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5592BD">
      <w:pPr>
        <w:spacing w:line="360" w:lineRule="auto"/>
        <w:jc w:val="center"/>
        <w:rPr>
          <w:rFonts w:hint="eastAsia" w:ascii="宋体" w:hAnsi="宋体" w:eastAsia="宋体" w:cs="宋体"/>
          <w:b/>
          <w:color w:val="auto"/>
          <w:sz w:val="24"/>
          <w:highlight w:val="none"/>
        </w:rPr>
      </w:pPr>
    </w:p>
    <w:p w14:paraId="4200F795">
      <w:pPr>
        <w:spacing w:line="360" w:lineRule="auto"/>
        <w:jc w:val="center"/>
        <w:rPr>
          <w:rFonts w:hint="eastAsia" w:ascii="宋体" w:hAnsi="宋体" w:eastAsia="宋体" w:cs="宋体"/>
          <w:b/>
          <w:color w:val="auto"/>
          <w:sz w:val="24"/>
          <w:highlight w:val="none"/>
        </w:rPr>
      </w:pPr>
    </w:p>
    <w:p w14:paraId="0E320827">
      <w:pPr>
        <w:spacing w:line="600" w:lineRule="exact"/>
        <w:jc w:val="center"/>
        <w:rPr>
          <w:rFonts w:hint="eastAsia" w:ascii="宋体" w:hAnsi="宋体" w:eastAsia="宋体" w:cs="宋体"/>
          <w:b/>
          <w:color w:val="auto"/>
          <w:sz w:val="44"/>
          <w:szCs w:val="44"/>
          <w:highlight w:val="none"/>
        </w:rPr>
      </w:pPr>
      <w:r>
        <w:rPr>
          <w:rFonts w:hint="eastAsia" w:ascii="宋体" w:hAnsi="宋体" w:eastAsia="宋体" w:cs="宋体"/>
          <w:b/>
          <w:color w:val="auto"/>
          <w:sz w:val="28"/>
          <w:szCs w:val="28"/>
          <w:highlight w:val="none"/>
          <w:lang w:val="zh-CN"/>
        </w:rPr>
        <w:drawing>
          <wp:anchor distT="0" distB="0" distL="114300" distR="114300" simplePos="0" relativeHeight="251662336" behindDoc="0" locked="0" layoutInCell="1" allowOverlap="1">
            <wp:simplePos x="0" y="0"/>
            <wp:positionH relativeFrom="column">
              <wp:posOffset>-313055</wp:posOffset>
            </wp:positionH>
            <wp:positionV relativeFrom="paragraph">
              <wp:posOffset>-266700</wp:posOffset>
            </wp:positionV>
            <wp:extent cx="1267460" cy="1593850"/>
            <wp:effectExtent l="0" t="0" r="8890" b="6350"/>
            <wp:wrapNone/>
            <wp:docPr id="1" name="图片 2" descr="科联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科联标志"/>
                    <pic:cNvPicPr>
                      <a:picLocks noChangeAspect="1"/>
                    </pic:cNvPicPr>
                  </pic:nvPicPr>
                  <pic:blipFill>
                    <a:blip r:embed="rId26"/>
                    <a:srcRect l="13066"/>
                    <a:stretch>
                      <a:fillRect/>
                    </a:stretch>
                  </pic:blipFill>
                  <pic:spPr>
                    <a:xfrm>
                      <a:off x="0" y="0"/>
                      <a:ext cx="1267460" cy="1593850"/>
                    </a:xfrm>
                    <a:prstGeom prst="rect">
                      <a:avLst/>
                    </a:prstGeom>
                    <a:noFill/>
                    <a:ln>
                      <a:noFill/>
                    </a:ln>
                  </pic:spPr>
                </pic:pic>
              </a:graphicData>
            </a:graphic>
          </wp:anchor>
        </w:drawing>
      </w:r>
      <w:r>
        <w:rPr>
          <w:rFonts w:hint="eastAsia" w:ascii="宋体" w:hAnsi="宋体" w:eastAsia="宋体" w:cs="宋体"/>
          <w:b/>
          <w:color w:val="auto"/>
          <w:sz w:val="44"/>
          <w:szCs w:val="44"/>
          <w:highlight w:val="none"/>
        </w:rPr>
        <w:t xml:space="preserve">    </w:t>
      </w:r>
    </w:p>
    <w:p w14:paraId="634DD71F">
      <w:pPr>
        <w:spacing w:line="600" w:lineRule="exact"/>
        <w:jc w:val="center"/>
        <w:rPr>
          <w:rFonts w:hint="eastAsia" w:ascii="宋体" w:hAnsi="宋体" w:eastAsia="宋体" w:cs="宋体"/>
          <w:b/>
          <w:color w:val="auto"/>
          <w:sz w:val="36"/>
          <w:szCs w:val="36"/>
          <w:highlight w:val="none"/>
        </w:rPr>
      </w:pPr>
      <w:r>
        <w:rPr>
          <w:rFonts w:hint="eastAsia" w:ascii="宋体" w:hAnsi="宋体" w:eastAsia="宋体" w:cs="宋体"/>
          <w:b/>
          <w:color w:val="auto"/>
          <w:sz w:val="44"/>
          <w:szCs w:val="44"/>
          <w:highlight w:val="none"/>
        </w:rPr>
        <w:t xml:space="preserve">      </w:t>
      </w:r>
      <w:r>
        <w:rPr>
          <w:rFonts w:hint="eastAsia" w:ascii="宋体" w:hAnsi="宋体" w:eastAsia="宋体" w:cs="宋体"/>
          <w:b/>
          <w:color w:val="auto"/>
          <w:sz w:val="36"/>
          <w:szCs w:val="36"/>
          <w:highlight w:val="none"/>
        </w:rPr>
        <w:t>广 西 科 联 招 标 中 心 有 限 公 司</w:t>
      </w:r>
    </w:p>
    <w:p w14:paraId="1B1E2B06">
      <w:pPr>
        <w:widowControl/>
        <w:ind w:firstLine="2349" w:firstLineChars="900"/>
        <w:jc w:val="left"/>
        <w:rPr>
          <w:rFonts w:hint="eastAsia" w:ascii="宋体" w:hAnsi="宋体" w:eastAsia="宋体" w:cs="宋体"/>
          <w:b/>
          <w:bCs/>
          <w:color w:val="auto"/>
          <w:sz w:val="26"/>
          <w:szCs w:val="26"/>
          <w:highlight w:val="none"/>
        </w:rPr>
      </w:pPr>
      <w:r>
        <w:rPr>
          <w:rFonts w:hint="eastAsia" w:ascii="宋体" w:hAnsi="宋体" w:eastAsia="宋体" w:cs="宋体"/>
          <w:b/>
          <w:bCs/>
          <w:color w:val="auto"/>
          <w:kern w:val="0"/>
          <w:sz w:val="26"/>
          <w:szCs w:val="26"/>
          <w:highlight w:val="none"/>
          <w:lang w:bidi="ar"/>
        </w:rPr>
        <w:t xml:space="preserve">GUANGXI KELIAN TENDERING CENTER CO.，LTD. </w:t>
      </w:r>
    </w:p>
    <w:p w14:paraId="10567057">
      <w:pPr>
        <w:spacing w:line="600" w:lineRule="exact"/>
        <w:rPr>
          <w:rFonts w:hint="eastAsia" w:ascii="宋体" w:hAnsi="宋体" w:eastAsia="宋体" w:cs="宋体"/>
          <w:b/>
          <w:color w:val="auto"/>
          <w:sz w:val="36"/>
          <w:szCs w:val="36"/>
          <w:highlight w:val="none"/>
        </w:rPr>
      </w:pPr>
      <w:r>
        <w:rPr>
          <w:rFonts w:hint="eastAsia" w:ascii="宋体" w:hAnsi="宋体" w:eastAsia="宋体" w:cs="宋体"/>
          <w:b/>
          <w:color w:val="auto"/>
          <w:sz w:val="28"/>
          <w:szCs w:val="28"/>
          <w:highlight w:val="none"/>
          <w:u w:val="single"/>
        </w:rPr>
        <w:t xml:space="preserve">                                                                    </w:t>
      </w:r>
    </w:p>
    <w:p w14:paraId="05FDE210">
      <w:pPr>
        <w:snapToGrid w:val="0"/>
        <w:spacing w:line="360" w:lineRule="auto"/>
        <w:ind w:left="-210" w:leftChars="-100" w:right="-210" w:rightChars="-100"/>
        <w:jc w:val="center"/>
        <w:rPr>
          <w:rFonts w:hint="eastAsia" w:ascii="宋体" w:hAnsi="宋体" w:eastAsia="宋体" w:cs="宋体"/>
          <w:b/>
          <w:bCs/>
          <w:color w:val="auto"/>
          <w:sz w:val="56"/>
          <w:szCs w:val="56"/>
          <w:highlight w:val="none"/>
          <w14:shadow w14:blurRad="50800" w14:dist="38100" w14:dir="2700000" w14:sx="100000" w14:sy="100000" w14:kx="0" w14:ky="0" w14:algn="tl">
            <w14:srgbClr w14:val="000000">
              <w14:alpha w14:val="60000"/>
            </w14:srgbClr>
          </w14:shadow>
        </w:rPr>
      </w:pPr>
    </w:p>
    <w:p w14:paraId="09381337">
      <w:pPr>
        <w:outlineLvl w:val="9"/>
        <w:rPr>
          <w:rFonts w:hint="eastAsia" w:ascii="宋体" w:hAnsi="宋体" w:eastAsia="宋体" w:cs="宋体"/>
          <w:color w:val="auto"/>
          <w:highlight w:val="none"/>
        </w:rPr>
      </w:pPr>
    </w:p>
    <w:p w14:paraId="34B96C18">
      <w:pPr>
        <w:rPr>
          <w:rFonts w:hint="eastAsia" w:ascii="宋体" w:hAnsi="宋体" w:eastAsia="宋体" w:cs="宋体"/>
          <w:color w:val="auto"/>
          <w:highlight w:val="none"/>
        </w:rPr>
      </w:pPr>
    </w:p>
    <w:p w14:paraId="2660C1E3">
      <w:pPr>
        <w:rPr>
          <w:rFonts w:hint="eastAsia" w:ascii="宋体" w:hAnsi="宋体" w:eastAsia="宋体" w:cs="宋体"/>
          <w:color w:val="auto"/>
          <w:highlight w:val="none"/>
        </w:rPr>
      </w:pPr>
    </w:p>
    <w:p w14:paraId="1DDFAE39">
      <w:pPr>
        <w:snapToGrid w:val="0"/>
        <w:spacing w:line="360" w:lineRule="auto"/>
        <w:ind w:left="-210" w:leftChars="-100" w:right="-210" w:rightChars="-100"/>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56"/>
          <w:szCs w:val="56"/>
          <w:highlight w:val="none"/>
          <w14:shadow w14:blurRad="50800" w14:dist="38100" w14:dir="2700000" w14:sx="100000" w14:sy="100000" w14:kx="0" w14:ky="0" w14:algn="tl">
            <w14:srgbClr w14:val="000000">
              <w14:alpha w14:val="60000"/>
            </w14:srgbClr>
          </w14:shadow>
        </w:rPr>
        <w:t>招 标 文 件</w:t>
      </w:r>
    </w:p>
    <w:p w14:paraId="6F6F13FC">
      <w:pPr>
        <w:pStyle w:val="35"/>
        <w:snapToGrid w:val="0"/>
        <w:spacing w:before="120" w:after="120" w:line="360" w:lineRule="auto"/>
        <w:rPr>
          <w:rFonts w:hint="eastAsia" w:ascii="宋体" w:hAnsi="宋体" w:eastAsia="宋体" w:cs="宋体"/>
          <w:b/>
          <w:bCs/>
          <w:color w:val="auto"/>
          <w:sz w:val="30"/>
          <w:szCs w:val="30"/>
          <w:highlight w:val="none"/>
        </w:rPr>
      </w:pPr>
    </w:p>
    <w:p w14:paraId="48854E46">
      <w:pPr>
        <w:pStyle w:val="35"/>
        <w:snapToGrid w:val="0"/>
        <w:spacing w:before="120" w:after="120" w:line="360" w:lineRule="auto"/>
        <w:rPr>
          <w:rFonts w:hint="eastAsia" w:ascii="宋体" w:hAnsi="宋体" w:eastAsia="宋体" w:cs="宋体"/>
          <w:color w:val="auto"/>
          <w:sz w:val="28"/>
          <w:szCs w:val="28"/>
          <w:highlight w:val="none"/>
        </w:rPr>
      </w:pPr>
    </w:p>
    <w:p w14:paraId="52A2A4B2">
      <w:pPr>
        <w:rPr>
          <w:rFonts w:hint="eastAsia" w:ascii="宋体" w:hAnsi="宋体" w:eastAsia="宋体" w:cs="宋体"/>
          <w:color w:val="auto"/>
          <w:highlight w:val="none"/>
        </w:rPr>
      </w:pPr>
      <w:r>
        <w:rPr>
          <w:rFonts w:hint="eastAsia" w:ascii="宋体" w:hAnsi="宋体" w:eastAsia="宋体" w:cs="宋体"/>
          <w:color w:val="auto"/>
          <w:highlight w:val="none"/>
        </w:rPr>
        <w:t xml:space="preserve"> </w:t>
      </w:r>
    </w:p>
    <w:tbl>
      <w:tblPr>
        <w:tblStyle w:val="64"/>
        <w:tblW w:w="7540" w:type="dxa"/>
        <w:jc w:val="center"/>
        <w:tblLayout w:type="autofit"/>
        <w:tblCellMar>
          <w:top w:w="0" w:type="dxa"/>
          <w:left w:w="108" w:type="dxa"/>
          <w:bottom w:w="0" w:type="dxa"/>
          <w:right w:w="108" w:type="dxa"/>
        </w:tblCellMar>
      </w:tblPr>
      <w:tblGrid>
        <w:gridCol w:w="2181"/>
        <w:gridCol w:w="5359"/>
      </w:tblGrid>
      <w:tr w14:paraId="017D2CC9">
        <w:tblPrEx>
          <w:tblCellMar>
            <w:top w:w="0" w:type="dxa"/>
            <w:left w:w="108" w:type="dxa"/>
            <w:bottom w:w="0" w:type="dxa"/>
            <w:right w:w="108" w:type="dxa"/>
          </w:tblCellMar>
        </w:tblPrEx>
        <w:trPr>
          <w:trHeight w:val="769" w:hRule="atLeast"/>
          <w:jc w:val="center"/>
        </w:trPr>
        <w:tc>
          <w:tcPr>
            <w:tcW w:w="2181" w:type="dxa"/>
            <w:noWrap w:val="0"/>
            <w:vAlign w:val="center"/>
          </w:tcPr>
          <w:p w14:paraId="0A07481C">
            <w:pPr>
              <w:jc w:val="center"/>
              <w:rPr>
                <w:rFonts w:hint="eastAsia" w:ascii="宋体" w:hAnsi="宋体" w:eastAsia="宋体" w:cs="宋体"/>
                <w:bCs/>
                <w:color w:val="auto"/>
                <w:spacing w:val="159"/>
                <w:sz w:val="28"/>
                <w:szCs w:val="28"/>
                <w:highlight w:val="none"/>
              </w:rPr>
            </w:pPr>
            <w:r>
              <w:rPr>
                <w:rFonts w:hint="eastAsia" w:ascii="宋体" w:hAnsi="宋体" w:eastAsia="宋体" w:cs="宋体"/>
                <w:b/>
                <w:bCs/>
                <w:color w:val="auto"/>
                <w:sz w:val="28"/>
                <w:szCs w:val="28"/>
                <w:highlight w:val="none"/>
              </w:rPr>
              <w:t>项 目 编 号：</w:t>
            </w:r>
          </w:p>
        </w:tc>
        <w:tc>
          <w:tcPr>
            <w:tcW w:w="5359" w:type="dxa"/>
            <w:noWrap w:val="0"/>
            <w:vAlign w:val="center"/>
          </w:tcPr>
          <w:p w14:paraId="01743F63">
            <w:pPr>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lang w:eastAsia="zh-CN"/>
              </w:rPr>
              <w:t>BHZC2025-G1-020046-GXKL</w:t>
            </w:r>
          </w:p>
        </w:tc>
      </w:tr>
      <w:tr w14:paraId="14ACCDB3">
        <w:tblPrEx>
          <w:tblCellMar>
            <w:top w:w="0" w:type="dxa"/>
            <w:left w:w="108" w:type="dxa"/>
            <w:bottom w:w="0" w:type="dxa"/>
            <w:right w:w="108" w:type="dxa"/>
          </w:tblCellMar>
        </w:tblPrEx>
        <w:trPr>
          <w:trHeight w:val="769" w:hRule="atLeast"/>
          <w:jc w:val="center"/>
        </w:trPr>
        <w:tc>
          <w:tcPr>
            <w:tcW w:w="2181" w:type="dxa"/>
            <w:noWrap w:val="0"/>
            <w:vAlign w:val="center"/>
          </w:tcPr>
          <w:p w14:paraId="22B8C707">
            <w:pPr>
              <w:jc w:val="center"/>
              <w:rPr>
                <w:rFonts w:hint="eastAsia" w:ascii="宋体" w:hAnsi="宋体" w:eastAsia="宋体" w:cs="宋体"/>
                <w:bCs/>
                <w:color w:val="auto"/>
                <w:spacing w:val="159"/>
                <w:sz w:val="28"/>
                <w:szCs w:val="28"/>
                <w:highlight w:val="none"/>
              </w:rPr>
            </w:pPr>
            <w:r>
              <w:rPr>
                <w:rFonts w:hint="eastAsia" w:ascii="宋体" w:hAnsi="宋体" w:eastAsia="宋体" w:cs="宋体"/>
                <w:b/>
                <w:bCs/>
                <w:color w:val="auto"/>
                <w:sz w:val="28"/>
                <w:szCs w:val="28"/>
                <w:highlight w:val="none"/>
              </w:rPr>
              <w:t>项 目 名 称：</w:t>
            </w:r>
          </w:p>
        </w:tc>
        <w:tc>
          <w:tcPr>
            <w:tcW w:w="5359" w:type="dxa"/>
            <w:noWrap w:val="0"/>
            <w:vAlign w:val="center"/>
          </w:tcPr>
          <w:p w14:paraId="124B4069">
            <w:pPr>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lang w:eastAsia="zh-CN"/>
              </w:rPr>
              <w:t>北海市海城区环卫设备更换项目2标（环卫作业车辆）</w:t>
            </w:r>
          </w:p>
        </w:tc>
      </w:tr>
      <w:tr w14:paraId="141C7477">
        <w:tblPrEx>
          <w:tblCellMar>
            <w:top w:w="0" w:type="dxa"/>
            <w:left w:w="108" w:type="dxa"/>
            <w:bottom w:w="0" w:type="dxa"/>
            <w:right w:w="108" w:type="dxa"/>
          </w:tblCellMar>
        </w:tblPrEx>
        <w:trPr>
          <w:trHeight w:val="769" w:hRule="atLeast"/>
          <w:jc w:val="center"/>
        </w:trPr>
        <w:tc>
          <w:tcPr>
            <w:tcW w:w="2181" w:type="dxa"/>
            <w:noWrap w:val="0"/>
            <w:vAlign w:val="center"/>
          </w:tcPr>
          <w:p w14:paraId="5A49606F">
            <w:pPr>
              <w:jc w:val="center"/>
              <w:rPr>
                <w:rFonts w:hint="eastAsia" w:ascii="宋体" w:hAnsi="宋体" w:eastAsia="宋体" w:cs="宋体"/>
                <w:bCs/>
                <w:color w:val="auto"/>
                <w:spacing w:val="159"/>
                <w:sz w:val="28"/>
                <w:szCs w:val="28"/>
                <w:highlight w:val="none"/>
              </w:rPr>
            </w:pPr>
            <w:r>
              <w:rPr>
                <w:rFonts w:hint="eastAsia" w:ascii="宋体" w:hAnsi="宋体" w:eastAsia="宋体" w:cs="宋体"/>
                <w:b/>
                <w:color w:val="auto"/>
                <w:sz w:val="28"/>
                <w:szCs w:val="28"/>
                <w:highlight w:val="none"/>
              </w:rPr>
              <w:t xml:space="preserve">采   </w:t>
            </w:r>
            <w:r>
              <w:rPr>
                <w:rFonts w:hint="eastAsia" w:ascii="宋体" w:hAnsi="宋体" w:eastAsia="宋体" w:cs="宋体"/>
                <w:b/>
                <w:bCs/>
                <w:color w:val="auto"/>
                <w:sz w:val="28"/>
                <w:szCs w:val="28"/>
                <w:highlight w:val="none"/>
              </w:rPr>
              <w:t>购  人</w:t>
            </w:r>
            <w:r>
              <w:rPr>
                <w:rFonts w:hint="eastAsia" w:ascii="宋体" w:hAnsi="宋体" w:eastAsia="宋体" w:cs="宋体"/>
                <w:b/>
                <w:color w:val="auto"/>
                <w:sz w:val="28"/>
                <w:szCs w:val="28"/>
                <w:highlight w:val="none"/>
              </w:rPr>
              <w:t>：</w:t>
            </w:r>
          </w:p>
        </w:tc>
        <w:tc>
          <w:tcPr>
            <w:tcW w:w="5359" w:type="dxa"/>
            <w:noWrap w:val="0"/>
            <w:vAlign w:val="center"/>
          </w:tcPr>
          <w:p w14:paraId="2E86E0AD">
            <w:pPr>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lang w:eastAsia="zh-CN"/>
              </w:rPr>
              <w:t xml:space="preserve">北海市海城区市政管理和交通运输局 </w:t>
            </w:r>
          </w:p>
        </w:tc>
      </w:tr>
      <w:tr w14:paraId="7CC00566">
        <w:tblPrEx>
          <w:tblCellMar>
            <w:top w:w="0" w:type="dxa"/>
            <w:left w:w="108" w:type="dxa"/>
            <w:bottom w:w="0" w:type="dxa"/>
            <w:right w:w="108" w:type="dxa"/>
          </w:tblCellMar>
        </w:tblPrEx>
        <w:trPr>
          <w:trHeight w:val="781" w:hRule="atLeast"/>
          <w:jc w:val="center"/>
        </w:trPr>
        <w:tc>
          <w:tcPr>
            <w:tcW w:w="2181" w:type="dxa"/>
            <w:noWrap w:val="0"/>
            <w:vAlign w:val="center"/>
          </w:tcPr>
          <w:p w14:paraId="7FC0A417">
            <w:pPr>
              <w:jc w:val="center"/>
              <w:rPr>
                <w:rFonts w:hint="eastAsia" w:ascii="宋体" w:hAnsi="宋体" w:eastAsia="宋体" w:cs="宋体"/>
                <w:bCs/>
                <w:color w:val="auto"/>
                <w:sz w:val="28"/>
                <w:szCs w:val="28"/>
                <w:highlight w:val="none"/>
              </w:rPr>
            </w:pPr>
            <w:r>
              <w:rPr>
                <w:rFonts w:hint="eastAsia" w:ascii="宋体" w:hAnsi="宋体" w:eastAsia="宋体" w:cs="宋体"/>
                <w:b/>
                <w:color w:val="auto"/>
                <w:sz w:val="28"/>
                <w:szCs w:val="28"/>
                <w:highlight w:val="none"/>
              </w:rPr>
              <w:t>采购代理机构：</w:t>
            </w:r>
          </w:p>
        </w:tc>
        <w:tc>
          <w:tcPr>
            <w:tcW w:w="5359" w:type="dxa"/>
            <w:noWrap w:val="0"/>
            <w:vAlign w:val="center"/>
          </w:tcPr>
          <w:p w14:paraId="3AB37106">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广西科联招标中心有限公司</w:t>
            </w:r>
          </w:p>
        </w:tc>
      </w:tr>
      <w:tr w14:paraId="54CC08A9">
        <w:tblPrEx>
          <w:tblCellMar>
            <w:top w:w="0" w:type="dxa"/>
            <w:left w:w="108" w:type="dxa"/>
            <w:bottom w:w="0" w:type="dxa"/>
            <w:right w:w="108" w:type="dxa"/>
          </w:tblCellMar>
        </w:tblPrEx>
        <w:trPr>
          <w:trHeight w:val="781" w:hRule="atLeast"/>
          <w:jc w:val="center"/>
        </w:trPr>
        <w:tc>
          <w:tcPr>
            <w:tcW w:w="7540" w:type="dxa"/>
            <w:gridSpan w:val="2"/>
            <w:noWrap w:val="0"/>
            <w:vAlign w:val="top"/>
          </w:tcPr>
          <w:p w14:paraId="2D22B223">
            <w:pPr>
              <w:pStyle w:val="35"/>
              <w:spacing w:line="900" w:lineRule="exact"/>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202</w:t>
            </w:r>
            <w:r>
              <w:rPr>
                <w:rFonts w:hint="eastAsia" w:ascii="宋体" w:hAnsi="宋体" w:eastAsia="宋体" w:cs="宋体"/>
                <w:bCs/>
                <w:color w:val="auto"/>
                <w:sz w:val="28"/>
                <w:szCs w:val="28"/>
                <w:highlight w:val="none"/>
                <w:lang w:val="en-US" w:eastAsia="zh-CN"/>
              </w:rPr>
              <w:t>5</w:t>
            </w:r>
            <w:r>
              <w:rPr>
                <w:rFonts w:hint="eastAsia" w:ascii="宋体" w:hAnsi="宋体" w:eastAsia="宋体" w:cs="宋体"/>
                <w:bCs/>
                <w:color w:val="auto"/>
                <w:sz w:val="28"/>
                <w:szCs w:val="28"/>
                <w:highlight w:val="none"/>
              </w:rPr>
              <w:t>年</w:t>
            </w:r>
            <w:r>
              <w:rPr>
                <w:rFonts w:hint="eastAsia" w:hAnsi="宋体" w:cs="宋体"/>
                <w:bCs/>
                <w:color w:val="auto"/>
                <w:sz w:val="28"/>
                <w:szCs w:val="28"/>
                <w:highlight w:val="none"/>
                <w:lang w:val="en-US" w:eastAsia="zh-CN"/>
              </w:rPr>
              <w:t>9</w:t>
            </w:r>
            <w:r>
              <w:rPr>
                <w:rFonts w:hint="eastAsia" w:ascii="宋体" w:hAnsi="宋体" w:eastAsia="宋体" w:cs="宋体"/>
                <w:bCs/>
                <w:color w:val="auto"/>
                <w:sz w:val="28"/>
                <w:szCs w:val="28"/>
                <w:highlight w:val="none"/>
              </w:rPr>
              <w:t>月</w:t>
            </w:r>
          </w:p>
        </w:tc>
      </w:tr>
    </w:tbl>
    <w:p w14:paraId="62D5858B">
      <w:pPr>
        <w:spacing w:line="360" w:lineRule="auto"/>
        <w:jc w:val="center"/>
        <w:rPr>
          <w:rFonts w:hint="eastAsia" w:ascii="宋体" w:hAnsi="宋体" w:eastAsia="宋体" w:cs="宋体"/>
          <w:color w:val="auto"/>
          <w:sz w:val="24"/>
          <w:highlight w:val="none"/>
        </w:rPr>
        <w:sectPr>
          <w:headerReference r:id="rId4" w:type="first"/>
          <w:headerReference r:id="rId3" w:type="default"/>
          <w:footerReference r:id="rId5" w:type="even"/>
          <w:pgSz w:w="11906" w:h="16838"/>
          <w:pgMar w:top="680" w:right="1418" w:bottom="468" w:left="1418" w:header="851" w:footer="992" w:gutter="0"/>
          <w:cols w:space="720" w:num="1"/>
          <w:titlePg/>
          <w:docGrid w:linePitch="312" w:charSpace="0"/>
        </w:sectPr>
      </w:pPr>
    </w:p>
    <w:p w14:paraId="01A8742C">
      <w:pPr>
        <w:tabs>
          <w:tab w:val="left" w:pos="432"/>
        </w:tabs>
        <w:outlineLvl w:val="9"/>
        <w:rPr>
          <w:rFonts w:hint="eastAsia" w:ascii="宋体" w:hAnsi="宋体" w:eastAsia="宋体" w:cs="宋体"/>
          <w:color w:val="auto"/>
          <w:highlight w:val="none"/>
        </w:rPr>
      </w:pPr>
    </w:p>
    <w:p w14:paraId="1D398333">
      <w:pPr>
        <w:spacing w:line="360" w:lineRule="auto"/>
        <w:jc w:val="center"/>
        <w:rPr>
          <w:rFonts w:hint="eastAsia" w:ascii="宋体" w:hAnsi="宋体" w:eastAsia="宋体" w:cs="宋体"/>
          <w:b/>
          <w:color w:val="auto"/>
          <w:sz w:val="48"/>
          <w:szCs w:val="48"/>
          <w:highlight w:val="none"/>
        </w:rPr>
      </w:pPr>
      <w:r>
        <w:rPr>
          <w:rFonts w:hint="eastAsia" w:ascii="宋体" w:hAnsi="宋体" w:eastAsia="宋体" w:cs="宋体"/>
          <w:b/>
          <w:color w:val="auto"/>
          <w:sz w:val="48"/>
          <w:szCs w:val="48"/>
          <w:highlight w:val="none"/>
        </w:rPr>
        <w:t>目  录</w:t>
      </w:r>
    </w:p>
    <w:p w14:paraId="7840B7DF">
      <w:pPr>
        <w:spacing w:line="360" w:lineRule="auto"/>
        <w:rPr>
          <w:rFonts w:hint="eastAsia" w:ascii="宋体" w:hAnsi="宋体" w:eastAsia="宋体" w:cs="宋体"/>
          <w:color w:val="auto"/>
          <w:sz w:val="32"/>
          <w:szCs w:val="32"/>
          <w:highlight w:val="none"/>
        </w:rPr>
      </w:pPr>
    </w:p>
    <w:p w14:paraId="4185AAA4">
      <w:pPr>
        <w:spacing w:line="480" w:lineRule="auto"/>
        <w:rPr>
          <w:rFonts w:hint="eastAsia" w:ascii="宋体" w:hAnsi="宋体" w:eastAsia="宋体" w:cs="宋体"/>
          <w:color w:val="auto"/>
          <w:sz w:val="32"/>
          <w:szCs w:val="32"/>
          <w:highlight w:val="none"/>
        </w:rPr>
      </w:pPr>
    </w:p>
    <w:p w14:paraId="58A9CC67">
      <w:pPr>
        <w:pStyle w:val="45"/>
        <w:tabs>
          <w:tab w:val="right" w:leader="dot" w:pos="9070"/>
        </w:tabs>
        <w:spacing w:line="480" w:lineRule="auto"/>
        <w:rPr>
          <w:sz w:val="24"/>
          <w:szCs w:val="32"/>
        </w:rPr>
      </w:pPr>
      <w:bookmarkStart w:id="0" w:name="_Hlt91233176"/>
      <w:bookmarkEnd w:id="0"/>
      <w:bookmarkStart w:id="1" w:name="_Toc91899869"/>
      <w:r>
        <w:rPr>
          <w:rFonts w:hint="eastAsia" w:ascii="宋体" w:hAnsi="宋体" w:eastAsia="宋体" w:cs="宋体"/>
          <w:color w:val="auto"/>
          <w:sz w:val="60"/>
          <w:szCs w:val="60"/>
          <w:highlight w:val="none"/>
        </w:rPr>
        <w:fldChar w:fldCharType="begin"/>
      </w:r>
      <w:r>
        <w:rPr>
          <w:rFonts w:hint="eastAsia" w:ascii="宋体" w:hAnsi="宋体" w:eastAsia="宋体" w:cs="宋体"/>
          <w:color w:val="auto"/>
          <w:sz w:val="60"/>
          <w:szCs w:val="60"/>
          <w:highlight w:val="none"/>
        </w:rPr>
        <w:instrText xml:space="preserve"> TOC \o "1-1" \h \z \u </w:instrText>
      </w:r>
      <w:r>
        <w:rPr>
          <w:rFonts w:hint="eastAsia" w:ascii="宋体" w:hAnsi="宋体" w:eastAsia="宋体" w:cs="宋体"/>
          <w:color w:val="auto"/>
          <w:sz w:val="60"/>
          <w:szCs w:val="60"/>
          <w:highlight w:val="none"/>
        </w:rPr>
        <w:fldChar w:fldCharType="separate"/>
      </w:r>
      <w:r>
        <w:rPr>
          <w:rFonts w:hint="eastAsia" w:ascii="宋体" w:hAnsi="宋体" w:eastAsia="宋体" w:cs="宋体"/>
          <w:color w:val="auto"/>
          <w:sz w:val="24"/>
          <w:szCs w:val="60"/>
          <w:highlight w:val="none"/>
        </w:rPr>
        <w:fldChar w:fldCharType="begin"/>
      </w:r>
      <w:r>
        <w:rPr>
          <w:rFonts w:hint="eastAsia" w:ascii="宋体" w:hAnsi="宋体" w:eastAsia="宋体" w:cs="宋体"/>
          <w:sz w:val="24"/>
          <w:szCs w:val="60"/>
          <w:highlight w:val="none"/>
        </w:rPr>
        <w:instrText xml:space="preserve"> HYPERLINK \l _Toc24334 </w:instrText>
      </w:r>
      <w:r>
        <w:rPr>
          <w:rFonts w:hint="eastAsia" w:ascii="宋体" w:hAnsi="宋体" w:eastAsia="宋体" w:cs="宋体"/>
          <w:sz w:val="24"/>
          <w:szCs w:val="60"/>
          <w:highlight w:val="none"/>
        </w:rPr>
        <w:fldChar w:fldCharType="separate"/>
      </w:r>
      <w:r>
        <w:rPr>
          <w:rFonts w:hint="eastAsia" w:ascii="宋体" w:hAnsi="宋体" w:eastAsia="宋体" w:cs="宋体"/>
          <w:sz w:val="24"/>
          <w:szCs w:val="22"/>
          <w:highlight w:val="none"/>
        </w:rPr>
        <w:t>第一部分  招标公告</w:t>
      </w:r>
      <w:r>
        <w:rPr>
          <w:sz w:val="24"/>
          <w:szCs w:val="32"/>
        </w:rPr>
        <w:tab/>
      </w:r>
      <w:r>
        <w:rPr>
          <w:sz w:val="24"/>
          <w:szCs w:val="32"/>
        </w:rPr>
        <w:fldChar w:fldCharType="begin"/>
      </w:r>
      <w:r>
        <w:rPr>
          <w:sz w:val="24"/>
          <w:szCs w:val="32"/>
        </w:rPr>
        <w:instrText xml:space="preserve"> PAGEREF _Toc24334 \h </w:instrText>
      </w:r>
      <w:r>
        <w:rPr>
          <w:sz w:val="24"/>
          <w:szCs w:val="32"/>
        </w:rPr>
        <w:fldChar w:fldCharType="separate"/>
      </w:r>
      <w:r>
        <w:rPr>
          <w:sz w:val="24"/>
          <w:szCs w:val="32"/>
        </w:rPr>
        <w:t>2</w:t>
      </w:r>
      <w:r>
        <w:rPr>
          <w:sz w:val="24"/>
          <w:szCs w:val="32"/>
        </w:rPr>
        <w:fldChar w:fldCharType="end"/>
      </w:r>
      <w:r>
        <w:rPr>
          <w:rFonts w:hint="eastAsia" w:ascii="宋体" w:hAnsi="宋体" w:eastAsia="宋体" w:cs="宋体"/>
          <w:color w:val="auto"/>
          <w:sz w:val="24"/>
          <w:szCs w:val="60"/>
          <w:highlight w:val="none"/>
        </w:rPr>
        <w:fldChar w:fldCharType="end"/>
      </w:r>
    </w:p>
    <w:p w14:paraId="274781AC">
      <w:pPr>
        <w:pStyle w:val="45"/>
        <w:tabs>
          <w:tab w:val="right" w:leader="dot" w:pos="9070"/>
        </w:tabs>
        <w:spacing w:line="480" w:lineRule="auto"/>
        <w:rPr>
          <w:sz w:val="24"/>
          <w:szCs w:val="32"/>
        </w:rPr>
      </w:pPr>
      <w:r>
        <w:rPr>
          <w:rFonts w:hint="eastAsia" w:ascii="宋体" w:hAnsi="宋体" w:eastAsia="宋体" w:cs="宋体"/>
          <w:color w:val="auto"/>
          <w:sz w:val="24"/>
          <w:szCs w:val="60"/>
          <w:highlight w:val="none"/>
        </w:rPr>
        <w:fldChar w:fldCharType="begin"/>
      </w:r>
      <w:r>
        <w:rPr>
          <w:rFonts w:hint="eastAsia" w:ascii="宋体" w:hAnsi="宋体" w:eastAsia="宋体" w:cs="宋体"/>
          <w:sz w:val="24"/>
          <w:szCs w:val="60"/>
          <w:highlight w:val="none"/>
        </w:rPr>
        <w:instrText xml:space="preserve"> HYPERLINK \l _Toc1658 </w:instrText>
      </w:r>
      <w:r>
        <w:rPr>
          <w:rFonts w:hint="eastAsia" w:ascii="宋体" w:hAnsi="宋体" w:eastAsia="宋体" w:cs="宋体"/>
          <w:sz w:val="24"/>
          <w:szCs w:val="60"/>
          <w:highlight w:val="none"/>
        </w:rPr>
        <w:fldChar w:fldCharType="separate"/>
      </w:r>
      <w:r>
        <w:rPr>
          <w:rFonts w:hint="eastAsia" w:ascii="宋体" w:hAnsi="宋体" w:eastAsia="宋体" w:cs="宋体"/>
          <w:sz w:val="24"/>
          <w:szCs w:val="22"/>
          <w:highlight w:val="none"/>
        </w:rPr>
        <w:t>第二部分  投标人须知</w:t>
      </w:r>
      <w:r>
        <w:rPr>
          <w:sz w:val="24"/>
          <w:szCs w:val="32"/>
        </w:rPr>
        <w:tab/>
      </w:r>
      <w:r>
        <w:rPr>
          <w:sz w:val="24"/>
          <w:szCs w:val="32"/>
        </w:rPr>
        <w:fldChar w:fldCharType="begin"/>
      </w:r>
      <w:r>
        <w:rPr>
          <w:sz w:val="24"/>
          <w:szCs w:val="32"/>
        </w:rPr>
        <w:instrText xml:space="preserve"> PAGEREF _Toc1658 \h </w:instrText>
      </w:r>
      <w:r>
        <w:rPr>
          <w:sz w:val="24"/>
          <w:szCs w:val="32"/>
        </w:rPr>
        <w:fldChar w:fldCharType="separate"/>
      </w:r>
      <w:r>
        <w:rPr>
          <w:sz w:val="24"/>
          <w:szCs w:val="32"/>
        </w:rPr>
        <w:t>5</w:t>
      </w:r>
      <w:r>
        <w:rPr>
          <w:sz w:val="24"/>
          <w:szCs w:val="32"/>
        </w:rPr>
        <w:fldChar w:fldCharType="end"/>
      </w:r>
      <w:r>
        <w:rPr>
          <w:rFonts w:hint="eastAsia" w:ascii="宋体" w:hAnsi="宋体" w:eastAsia="宋体" w:cs="宋体"/>
          <w:color w:val="auto"/>
          <w:sz w:val="24"/>
          <w:szCs w:val="60"/>
          <w:highlight w:val="none"/>
        </w:rPr>
        <w:fldChar w:fldCharType="end"/>
      </w:r>
    </w:p>
    <w:p w14:paraId="4CEB02E9">
      <w:pPr>
        <w:pStyle w:val="45"/>
        <w:tabs>
          <w:tab w:val="right" w:leader="dot" w:pos="9070"/>
        </w:tabs>
        <w:spacing w:line="480" w:lineRule="auto"/>
        <w:rPr>
          <w:sz w:val="24"/>
          <w:szCs w:val="32"/>
        </w:rPr>
      </w:pPr>
      <w:r>
        <w:rPr>
          <w:rFonts w:hint="eastAsia" w:ascii="宋体" w:hAnsi="宋体" w:eastAsia="宋体" w:cs="宋体"/>
          <w:color w:val="auto"/>
          <w:sz w:val="24"/>
          <w:szCs w:val="60"/>
          <w:highlight w:val="none"/>
        </w:rPr>
        <w:fldChar w:fldCharType="begin"/>
      </w:r>
      <w:r>
        <w:rPr>
          <w:rFonts w:hint="eastAsia" w:ascii="宋体" w:hAnsi="宋体" w:eastAsia="宋体" w:cs="宋体"/>
          <w:sz w:val="24"/>
          <w:szCs w:val="60"/>
          <w:highlight w:val="none"/>
        </w:rPr>
        <w:instrText xml:space="preserve"> HYPERLINK \l _Toc1005 </w:instrText>
      </w:r>
      <w:r>
        <w:rPr>
          <w:rFonts w:hint="eastAsia" w:ascii="宋体" w:hAnsi="宋体" w:eastAsia="宋体" w:cs="宋体"/>
          <w:sz w:val="24"/>
          <w:szCs w:val="60"/>
          <w:highlight w:val="none"/>
        </w:rPr>
        <w:fldChar w:fldCharType="separate"/>
      </w:r>
      <w:r>
        <w:rPr>
          <w:rFonts w:hint="eastAsia" w:ascii="宋体" w:hAnsi="宋体" w:eastAsia="宋体" w:cs="宋体"/>
          <w:sz w:val="24"/>
          <w:szCs w:val="44"/>
          <w:highlight w:val="none"/>
        </w:rPr>
        <w:t>第三部分  采购需求</w:t>
      </w:r>
      <w:r>
        <w:rPr>
          <w:sz w:val="24"/>
          <w:szCs w:val="32"/>
        </w:rPr>
        <w:tab/>
      </w:r>
      <w:r>
        <w:rPr>
          <w:sz w:val="24"/>
          <w:szCs w:val="32"/>
        </w:rPr>
        <w:fldChar w:fldCharType="begin"/>
      </w:r>
      <w:r>
        <w:rPr>
          <w:sz w:val="24"/>
          <w:szCs w:val="32"/>
        </w:rPr>
        <w:instrText xml:space="preserve"> PAGEREF _Toc1005 \h </w:instrText>
      </w:r>
      <w:r>
        <w:rPr>
          <w:sz w:val="24"/>
          <w:szCs w:val="32"/>
        </w:rPr>
        <w:fldChar w:fldCharType="separate"/>
      </w:r>
      <w:r>
        <w:rPr>
          <w:sz w:val="24"/>
          <w:szCs w:val="32"/>
        </w:rPr>
        <w:t>24</w:t>
      </w:r>
      <w:r>
        <w:rPr>
          <w:sz w:val="24"/>
          <w:szCs w:val="32"/>
        </w:rPr>
        <w:fldChar w:fldCharType="end"/>
      </w:r>
      <w:r>
        <w:rPr>
          <w:rFonts w:hint="eastAsia" w:ascii="宋体" w:hAnsi="宋体" w:eastAsia="宋体" w:cs="宋体"/>
          <w:color w:val="auto"/>
          <w:sz w:val="24"/>
          <w:szCs w:val="60"/>
          <w:highlight w:val="none"/>
        </w:rPr>
        <w:fldChar w:fldCharType="end"/>
      </w:r>
    </w:p>
    <w:p w14:paraId="021D9C1D">
      <w:pPr>
        <w:pStyle w:val="45"/>
        <w:tabs>
          <w:tab w:val="right" w:leader="dot" w:pos="9070"/>
        </w:tabs>
        <w:spacing w:line="480" w:lineRule="auto"/>
        <w:rPr>
          <w:sz w:val="24"/>
          <w:szCs w:val="32"/>
        </w:rPr>
      </w:pPr>
      <w:r>
        <w:rPr>
          <w:rFonts w:hint="eastAsia" w:ascii="宋体" w:hAnsi="宋体" w:eastAsia="宋体" w:cs="宋体"/>
          <w:color w:val="auto"/>
          <w:sz w:val="24"/>
          <w:szCs w:val="60"/>
          <w:highlight w:val="none"/>
        </w:rPr>
        <w:fldChar w:fldCharType="begin"/>
      </w:r>
      <w:r>
        <w:rPr>
          <w:rFonts w:hint="eastAsia" w:ascii="宋体" w:hAnsi="宋体" w:eastAsia="宋体" w:cs="宋体"/>
          <w:sz w:val="24"/>
          <w:szCs w:val="60"/>
          <w:highlight w:val="none"/>
        </w:rPr>
        <w:instrText xml:space="preserve"> HYPERLINK \l _Toc3491 </w:instrText>
      </w:r>
      <w:r>
        <w:rPr>
          <w:rFonts w:hint="eastAsia" w:ascii="宋体" w:hAnsi="宋体" w:eastAsia="宋体" w:cs="宋体"/>
          <w:sz w:val="24"/>
          <w:szCs w:val="60"/>
          <w:highlight w:val="none"/>
        </w:rPr>
        <w:fldChar w:fldCharType="separate"/>
      </w:r>
      <w:r>
        <w:rPr>
          <w:rFonts w:hint="eastAsia" w:ascii="宋体" w:hAnsi="宋体" w:eastAsia="宋体" w:cs="宋体"/>
          <w:sz w:val="24"/>
          <w:szCs w:val="44"/>
          <w:highlight w:val="none"/>
        </w:rPr>
        <w:t>第四部分  评标办法</w:t>
      </w:r>
      <w:r>
        <w:rPr>
          <w:sz w:val="24"/>
          <w:szCs w:val="32"/>
        </w:rPr>
        <w:tab/>
      </w:r>
      <w:r>
        <w:rPr>
          <w:sz w:val="24"/>
          <w:szCs w:val="32"/>
        </w:rPr>
        <w:fldChar w:fldCharType="begin"/>
      </w:r>
      <w:r>
        <w:rPr>
          <w:sz w:val="24"/>
          <w:szCs w:val="32"/>
        </w:rPr>
        <w:instrText xml:space="preserve"> PAGEREF _Toc3491 \h </w:instrText>
      </w:r>
      <w:r>
        <w:rPr>
          <w:sz w:val="24"/>
          <w:szCs w:val="32"/>
        </w:rPr>
        <w:fldChar w:fldCharType="separate"/>
      </w:r>
      <w:r>
        <w:rPr>
          <w:sz w:val="24"/>
          <w:szCs w:val="32"/>
        </w:rPr>
        <w:t>45</w:t>
      </w:r>
      <w:r>
        <w:rPr>
          <w:sz w:val="24"/>
          <w:szCs w:val="32"/>
        </w:rPr>
        <w:fldChar w:fldCharType="end"/>
      </w:r>
      <w:r>
        <w:rPr>
          <w:rFonts w:hint="eastAsia" w:ascii="宋体" w:hAnsi="宋体" w:eastAsia="宋体" w:cs="宋体"/>
          <w:color w:val="auto"/>
          <w:sz w:val="24"/>
          <w:szCs w:val="60"/>
          <w:highlight w:val="none"/>
        </w:rPr>
        <w:fldChar w:fldCharType="end"/>
      </w:r>
    </w:p>
    <w:p w14:paraId="212FF1DA">
      <w:pPr>
        <w:pStyle w:val="45"/>
        <w:tabs>
          <w:tab w:val="right" w:leader="dot" w:pos="9070"/>
        </w:tabs>
        <w:spacing w:line="480" w:lineRule="auto"/>
        <w:rPr>
          <w:sz w:val="24"/>
          <w:szCs w:val="32"/>
        </w:rPr>
      </w:pPr>
      <w:r>
        <w:rPr>
          <w:rFonts w:hint="eastAsia" w:ascii="宋体" w:hAnsi="宋体" w:eastAsia="宋体" w:cs="宋体"/>
          <w:color w:val="auto"/>
          <w:sz w:val="24"/>
          <w:szCs w:val="60"/>
          <w:highlight w:val="none"/>
        </w:rPr>
        <w:fldChar w:fldCharType="begin"/>
      </w:r>
      <w:r>
        <w:rPr>
          <w:rFonts w:hint="eastAsia" w:ascii="宋体" w:hAnsi="宋体" w:eastAsia="宋体" w:cs="宋体"/>
          <w:sz w:val="24"/>
          <w:szCs w:val="60"/>
          <w:highlight w:val="none"/>
        </w:rPr>
        <w:instrText xml:space="preserve"> HYPERLINK \l _Toc4803 </w:instrText>
      </w:r>
      <w:r>
        <w:rPr>
          <w:rFonts w:hint="eastAsia" w:ascii="宋体" w:hAnsi="宋体" w:eastAsia="宋体" w:cs="宋体"/>
          <w:sz w:val="24"/>
          <w:szCs w:val="60"/>
          <w:highlight w:val="none"/>
        </w:rPr>
        <w:fldChar w:fldCharType="separate"/>
      </w:r>
      <w:r>
        <w:rPr>
          <w:rFonts w:hint="eastAsia" w:ascii="宋体" w:hAnsi="宋体" w:eastAsia="宋体" w:cs="宋体"/>
          <w:sz w:val="24"/>
          <w:szCs w:val="44"/>
          <w:highlight w:val="none"/>
        </w:rPr>
        <w:t>第五部分  拟签订的合同文本</w:t>
      </w:r>
      <w:r>
        <w:rPr>
          <w:sz w:val="24"/>
          <w:szCs w:val="32"/>
        </w:rPr>
        <w:tab/>
      </w:r>
      <w:r>
        <w:rPr>
          <w:sz w:val="24"/>
          <w:szCs w:val="32"/>
        </w:rPr>
        <w:fldChar w:fldCharType="begin"/>
      </w:r>
      <w:r>
        <w:rPr>
          <w:sz w:val="24"/>
          <w:szCs w:val="32"/>
        </w:rPr>
        <w:instrText xml:space="preserve"> PAGEREF _Toc4803 \h </w:instrText>
      </w:r>
      <w:r>
        <w:rPr>
          <w:sz w:val="24"/>
          <w:szCs w:val="32"/>
        </w:rPr>
        <w:fldChar w:fldCharType="separate"/>
      </w:r>
      <w:r>
        <w:rPr>
          <w:sz w:val="24"/>
          <w:szCs w:val="32"/>
        </w:rPr>
        <w:t>54</w:t>
      </w:r>
      <w:r>
        <w:rPr>
          <w:sz w:val="24"/>
          <w:szCs w:val="32"/>
        </w:rPr>
        <w:fldChar w:fldCharType="end"/>
      </w:r>
      <w:r>
        <w:rPr>
          <w:rFonts w:hint="eastAsia" w:ascii="宋体" w:hAnsi="宋体" w:eastAsia="宋体" w:cs="宋体"/>
          <w:color w:val="auto"/>
          <w:sz w:val="24"/>
          <w:szCs w:val="60"/>
          <w:highlight w:val="none"/>
        </w:rPr>
        <w:fldChar w:fldCharType="end"/>
      </w:r>
    </w:p>
    <w:p w14:paraId="20CB06C9">
      <w:pPr>
        <w:pStyle w:val="45"/>
        <w:tabs>
          <w:tab w:val="right" w:leader="dot" w:pos="9070"/>
        </w:tabs>
        <w:spacing w:line="480" w:lineRule="auto"/>
        <w:rPr>
          <w:sz w:val="24"/>
          <w:szCs w:val="32"/>
        </w:rPr>
      </w:pPr>
      <w:r>
        <w:rPr>
          <w:rFonts w:hint="eastAsia" w:ascii="宋体" w:hAnsi="宋体" w:eastAsia="宋体" w:cs="宋体"/>
          <w:color w:val="auto"/>
          <w:sz w:val="24"/>
          <w:szCs w:val="60"/>
          <w:highlight w:val="none"/>
        </w:rPr>
        <w:fldChar w:fldCharType="begin"/>
      </w:r>
      <w:r>
        <w:rPr>
          <w:rFonts w:hint="eastAsia" w:ascii="宋体" w:hAnsi="宋体" w:eastAsia="宋体" w:cs="宋体"/>
          <w:sz w:val="24"/>
          <w:szCs w:val="60"/>
          <w:highlight w:val="none"/>
        </w:rPr>
        <w:instrText xml:space="preserve"> HYPERLINK \l _Toc25421 </w:instrText>
      </w:r>
      <w:r>
        <w:rPr>
          <w:rFonts w:hint="eastAsia" w:ascii="宋体" w:hAnsi="宋体" w:eastAsia="宋体" w:cs="宋体"/>
          <w:sz w:val="24"/>
          <w:szCs w:val="60"/>
          <w:highlight w:val="none"/>
        </w:rPr>
        <w:fldChar w:fldCharType="separate"/>
      </w:r>
      <w:r>
        <w:rPr>
          <w:rFonts w:hint="eastAsia" w:ascii="宋体" w:hAnsi="宋体" w:eastAsia="宋体" w:cs="宋体"/>
          <w:sz w:val="24"/>
          <w:szCs w:val="22"/>
          <w:highlight w:val="none"/>
        </w:rPr>
        <w:t>第六部分  应提交的有关格式范例</w:t>
      </w:r>
      <w:r>
        <w:rPr>
          <w:sz w:val="24"/>
          <w:szCs w:val="32"/>
        </w:rPr>
        <w:tab/>
      </w:r>
      <w:r>
        <w:rPr>
          <w:sz w:val="24"/>
          <w:szCs w:val="32"/>
        </w:rPr>
        <w:fldChar w:fldCharType="begin"/>
      </w:r>
      <w:r>
        <w:rPr>
          <w:sz w:val="24"/>
          <w:szCs w:val="32"/>
        </w:rPr>
        <w:instrText xml:space="preserve"> PAGEREF _Toc25421 \h </w:instrText>
      </w:r>
      <w:r>
        <w:rPr>
          <w:sz w:val="24"/>
          <w:szCs w:val="32"/>
        </w:rPr>
        <w:fldChar w:fldCharType="separate"/>
      </w:r>
      <w:r>
        <w:rPr>
          <w:sz w:val="24"/>
          <w:szCs w:val="32"/>
        </w:rPr>
        <w:t>70</w:t>
      </w:r>
      <w:r>
        <w:rPr>
          <w:sz w:val="24"/>
          <w:szCs w:val="32"/>
        </w:rPr>
        <w:fldChar w:fldCharType="end"/>
      </w:r>
      <w:r>
        <w:rPr>
          <w:rFonts w:hint="eastAsia" w:ascii="宋体" w:hAnsi="宋体" w:eastAsia="宋体" w:cs="宋体"/>
          <w:color w:val="auto"/>
          <w:sz w:val="24"/>
          <w:szCs w:val="60"/>
          <w:highlight w:val="none"/>
        </w:rPr>
        <w:fldChar w:fldCharType="end"/>
      </w:r>
    </w:p>
    <w:p w14:paraId="293F75AC">
      <w:pPr>
        <w:keepNext w:val="0"/>
        <w:keepLines w:val="0"/>
        <w:pageBreakBefore w:val="0"/>
        <w:widowControl w:val="0"/>
        <w:kinsoku/>
        <w:wordWrap/>
        <w:overflowPunct/>
        <w:topLinePunct w:val="0"/>
        <w:autoSpaceDE/>
        <w:autoSpaceDN/>
        <w:bidi w:val="0"/>
        <w:adjustRightInd w:val="0"/>
        <w:snapToGrid/>
        <w:spacing w:line="480" w:lineRule="auto"/>
        <w:ind w:firstLine="0" w:firstLineChars="0"/>
        <w:textAlignment w:val="auto"/>
        <w:rPr>
          <w:rFonts w:hint="eastAsia" w:ascii="宋体" w:hAnsi="宋体" w:eastAsia="宋体" w:cs="宋体"/>
          <w:color w:val="auto"/>
          <w:sz w:val="52"/>
          <w:szCs w:val="52"/>
          <w:highlight w:val="none"/>
        </w:rPr>
      </w:pPr>
      <w:r>
        <w:rPr>
          <w:rFonts w:hint="eastAsia" w:ascii="宋体" w:hAnsi="宋体" w:eastAsia="宋体" w:cs="宋体"/>
          <w:color w:val="auto"/>
          <w:sz w:val="24"/>
          <w:szCs w:val="60"/>
          <w:highlight w:val="none"/>
        </w:rPr>
        <w:fldChar w:fldCharType="end"/>
      </w:r>
      <w:bookmarkStart w:id="428" w:name="_GoBack"/>
      <w:bookmarkEnd w:id="428"/>
    </w:p>
    <w:p w14:paraId="2A7ECFE9">
      <w:pPr>
        <w:spacing w:line="360" w:lineRule="auto"/>
        <w:ind w:firstLine="549" w:firstLineChars="229"/>
        <w:rPr>
          <w:rFonts w:hint="eastAsia" w:ascii="宋体" w:hAnsi="宋体" w:eastAsia="宋体" w:cs="宋体"/>
          <w:color w:val="auto"/>
          <w:sz w:val="24"/>
          <w:highlight w:val="none"/>
        </w:rPr>
      </w:pPr>
    </w:p>
    <w:p w14:paraId="515D584F">
      <w:pPr>
        <w:spacing w:line="360" w:lineRule="auto"/>
        <w:ind w:firstLine="549" w:firstLineChars="229"/>
        <w:rPr>
          <w:rFonts w:hint="eastAsia" w:ascii="宋体" w:hAnsi="宋体" w:eastAsia="宋体" w:cs="宋体"/>
          <w:color w:val="auto"/>
          <w:sz w:val="24"/>
          <w:highlight w:val="none"/>
        </w:rPr>
      </w:pPr>
    </w:p>
    <w:p w14:paraId="60D995C3">
      <w:pPr>
        <w:spacing w:line="360" w:lineRule="auto"/>
        <w:ind w:firstLine="549" w:firstLineChars="229"/>
        <w:rPr>
          <w:rFonts w:hint="eastAsia" w:ascii="宋体" w:hAnsi="宋体" w:eastAsia="宋体" w:cs="宋体"/>
          <w:color w:val="auto"/>
          <w:sz w:val="24"/>
          <w:highlight w:val="none"/>
        </w:rPr>
      </w:pPr>
    </w:p>
    <w:p w14:paraId="4121AB51">
      <w:pPr>
        <w:spacing w:line="360" w:lineRule="auto"/>
        <w:ind w:firstLine="549" w:firstLineChars="229"/>
        <w:rPr>
          <w:rFonts w:hint="eastAsia" w:ascii="宋体" w:hAnsi="宋体" w:eastAsia="宋体" w:cs="宋体"/>
          <w:color w:val="auto"/>
          <w:sz w:val="24"/>
          <w:highlight w:val="none"/>
        </w:rPr>
      </w:pPr>
    </w:p>
    <w:p w14:paraId="4F04C99A">
      <w:pPr>
        <w:spacing w:line="360" w:lineRule="auto"/>
        <w:ind w:firstLine="549" w:firstLineChars="229"/>
        <w:rPr>
          <w:rFonts w:hint="eastAsia" w:ascii="宋体" w:hAnsi="宋体" w:eastAsia="宋体" w:cs="宋体"/>
          <w:color w:val="auto"/>
          <w:sz w:val="24"/>
          <w:highlight w:val="none"/>
        </w:rPr>
      </w:pPr>
    </w:p>
    <w:p w14:paraId="7D81090A">
      <w:pPr>
        <w:spacing w:line="360" w:lineRule="auto"/>
        <w:ind w:firstLine="549" w:firstLineChars="229"/>
        <w:rPr>
          <w:rFonts w:hint="eastAsia" w:ascii="宋体" w:hAnsi="宋体" w:eastAsia="宋体" w:cs="宋体"/>
          <w:color w:val="auto"/>
          <w:sz w:val="24"/>
          <w:highlight w:val="none"/>
        </w:rPr>
      </w:pPr>
    </w:p>
    <w:p w14:paraId="0ACFB8A1">
      <w:pPr>
        <w:spacing w:line="360" w:lineRule="auto"/>
        <w:ind w:firstLine="549" w:firstLineChars="229"/>
        <w:rPr>
          <w:rFonts w:hint="eastAsia" w:ascii="宋体" w:hAnsi="宋体" w:eastAsia="宋体" w:cs="宋体"/>
          <w:color w:val="auto"/>
          <w:sz w:val="24"/>
          <w:highlight w:val="none"/>
        </w:rPr>
      </w:pPr>
    </w:p>
    <w:p w14:paraId="123AC326">
      <w:pPr>
        <w:spacing w:line="360" w:lineRule="auto"/>
        <w:ind w:firstLine="549" w:firstLineChars="229"/>
        <w:rPr>
          <w:rFonts w:hint="eastAsia" w:ascii="宋体" w:hAnsi="宋体" w:eastAsia="宋体" w:cs="宋体"/>
          <w:color w:val="auto"/>
          <w:sz w:val="24"/>
          <w:highlight w:val="none"/>
        </w:rPr>
      </w:pPr>
    </w:p>
    <w:p w14:paraId="0D02B3F4">
      <w:pPr>
        <w:spacing w:line="360" w:lineRule="auto"/>
        <w:ind w:firstLine="549" w:firstLineChars="229"/>
        <w:rPr>
          <w:rFonts w:hint="eastAsia" w:ascii="宋体" w:hAnsi="宋体" w:eastAsia="宋体" w:cs="宋体"/>
          <w:color w:val="auto"/>
          <w:sz w:val="24"/>
          <w:highlight w:val="none"/>
        </w:rPr>
      </w:pPr>
    </w:p>
    <w:p w14:paraId="2486F5A5">
      <w:pPr>
        <w:spacing w:line="360" w:lineRule="auto"/>
        <w:ind w:firstLine="549" w:firstLineChars="229"/>
        <w:rPr>
          <w:rFonts w:hint="eastAsia" w:ascii="宋体" w:hAnsi="宋体" w:eastAsia="宋体" w:cs="宋体"/>
          <w:color w:val="auto"/>
          <w:sz w:val="24"/>
          <w:highlight w:val="none"/>
        </w:rPr>
      </w:pPr>
    </w:p>
    <w:p w14:paraId="175C28B3">
      <w:pPr>
        <w:spacing w:line="360" w:lineRule="auto"/>
        <w:ind w:firstLine="549" w:firstLineChars="229"/>
        <w:rPr>
          <w:rFonts w:hint="eastAsia" w:ascii="宋体" w:hAnsi="宋体" w:eastAsia="宋体" w:cs="宋体"/>
          <w:color w:val="auto"/>
          <w:sz w:val="24"/>
          <w:highlight w:val="none"/>
        </w:rPr>
      </w:pPr>
    </w:p>
    <w:p w14:paraId="3BEBFF28">
      <w:pPr>
        <w:spacing w:line="360" w:lineRule="auto"/>
        <w:rPr>
          <w:rFonts w:hint="eastAsia" w:ascii="宋体" w:hAnsi="宋体" w:eastAsia="宋体" w:cs="宋体"/>
          <w:color w:val="auto"/>
          <w:sz w:val="24"/>
          <w:highlight w:val="none"/>
        </w:rPr>
      </w:pPr>
    </w:p>
    <w:bookmarkEnd w:id="1"/>
    <w:p w14:paraId="309D736A">
      <w:pPr>
        <w:rPr>
          <w:rFonts w:hint="eastAsia" w:ascii="宋体" w:hAnsi="宋体" w:eastAsia="宋体" w:cs="宋体"/>
          <w:b/>
          <w:color w:val="auto"/>
          <w:sz w:val="36"/>
          <w:szCs w:val="20"/>
          <w:highlight w:val="none"/>
        </w:rPr>
      </w:pPr>
      <w:bookmarkStart w:id="2" w:name="_Hlt74729822"/>
      <w:bookmarkEnd w:id="2"/>
      <w:bookmarkStart w:id="3" w:name="_Hlt74707423"/>
      <w:bookmarkEnd w:id="3"/>
      <w:bookmarkStart w:id="4" w:name="_Hlt74728647"/>
      <w:bookmarkEnd w:id="4"/>
      <w:bookmarkStart w:id="5" w:name="_Hlt74649545"/>
      <w:bookmarkEnd w:id="5"/>
      <w:bookmarkStart w:id="6" w:name="_Toc176185119"/>
      <w:bookmarkStart w:id="7" w:name="第二部分"/>
      <w:bookmarkStart w:id="8" w:name="_Toc91899870"/>
      <w:bookmarkStart w:id="9" w:name="_Toc91899871"/>
      <w:r>
        <w:rPr>
          <w:rFonts w:hint="eastAsia" w:ascii="宋体" w:hAnsi="宋体" w:eastAsia="宋体" w:cs="宋体"/>
          <w:b/>
          <w:color w:val="auto"/>
          <w:sz w:val="36"/>
          <w:szCs w:val="20"/>
          <w:highlight w:val="none"/>
        </w:rPr>
        <w:br w:type="page"/>
      </w:r>
    </w:p>
    <w:p w14:paraId="4E09AD84">
      <w:pPr>
        <w:adjustRightInd/>
        <w:spacing w:line="360" w:lineRule="auto"/>
        <w:jc w:val="center"/>
        <w:outlineLvl w:val="0"/>
        <w:rPr>
          <w:rFonts w:hint="eastAsia" w:ascii="宋体" w:hAnsi="宋体" w:eastAsia="宋体" w:cs="宋体"/>
          <w:b/>
          <w:color w:val="auto"/>
          <w:sz w:val="36"/>
          <w:szCs w:val="20"/>
          <w:highlight w:val="none"/>
        </w:rPr>
      </w:pPr>
      <w:bookmarkStart w:id="10" w:name="_Toc24334"/>
      <w:r>
        <w:rPr>
          <w:rFonts w:hint="eastAsia" w:ascii="宋体" w:hAnsi="宋体" w:eastAsia="宋体" w:cs="宋体"/>
          <w:b/>
          <w:color w:val="auto"/>
          <w:sz w:val="36"/>
          <w:szCs w:val="20"/>
          <w:highlight w:val="none"/>
        </w:rPr>
        <w:t>第一部分  招标公告</w:t>
      </w:r>
      <w:bookmarkEnd w:id="6"/>
      <w:bookmarkEnd w:id="10"/>
    </w:p>
    <w:p w14:paraId="3E8D5A9F">
      <w:pPr>
        <w:pBdr>
          <w:top w:val="single" w:color="auto" w:sz="4" w:space="1"/>
          <w:left w:val="single" w:color="auto" w:sz="4" w:space="4"/>
          <w:bottom w:val="single" w:color="auto" w:sz="4" w:space="2"/>
          <w:right w:val="single" w:color="auto" w:sz="4" w:space="4"/>
        </w:pBd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项目概况</w:t>
      </w:r>
      <w:r>
        <w:rPr>
          <w:rFonts w:hint="eastAsia" w:ascii="宋体" w:hAnsi="宋体" w:eastAsia="宋体" w:cs="宋体"/>
          <w:color w:val="auto"/>
          <w:sz w:val="21"/>
          <w:szCs w:val="21"/>
          <w:highlight w:val="none"/>
          <w:lang w:eastAsia="zh-CN"/>
        </w:rPr>
        <w:t>：</w:t>
      </w:r>
    </w:p>
    <w:p w14:paraId="44A38F50">
      <w:pPr>
        <w:pBdr>
          <w:top w:val="single" w:color="auto" w:sz="4" w:space="1"/>
          <w:left w:val="single" w:color="auto" w:sz="4" w:space="4"/>
          <w:bottom w:val="single" w:color="auto" w:sz="4" w:space="2"/>
          <w:right w:val="single" w:color="auto" w:sz="4" w:space="4"/>
        </w:pBd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cs="宋体"/>
          <w:color w:val="auto"/>
          <w:sz w:val="21"/>
          <w:szCs w:val="21"/>
          <w:highlight w:val="none"/>
          <w:u w:val="single"/>
          <w:lang w:eastAsia="zh-CN"/>
        </w:rPr>
        <w:t>北海市海城区环卫设备更换项目2标（环卫作业车辆）</w:t>
      </w:r>
      <w:r>
        <w:rPr>
          <w:rFonts w:hint="eastAsia" w:ascii="宋体" w:hAnsi="宋体" w:eastAsia="宋体" w:cs="宋体"/>
          <w:color w:val="auto"/>
          <w:sz w:val="21"/>
          <w:szCs w:val="21"/>
          <w:highlight w:val="none"/>
        </w:rPr>
        <w:t>招标项目的潜在投标人应在广西政府采购云平台（https</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//www.gcy.zfcg.gxzf.gov.cn/）获取（下载）招标文件，并于</w:t>
      </w:r>
      <w:r>
        <w:rPr>
          <w:rFonts w:hint="eastAsia" w:ascii="宋体" w:hAnsi="宋体" w:eastAsia="宋体" w:cs="宋体"/>
          <w:color w:val="auto"/>
          <w:sz w:val="21"/>
          <w:szCs w:val="21"/>
          <w:highlight w:val="none"/>
          <w:u w:val="single"/>
        </w:rPr>
        <w:t>202</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color w:val="auto"/>
          <w:sz w:val="21"/>
          <w:szCs w:val="21"/>
          <w:highlight w:val="none"/>
          <w:u w:val="single"/>
        </w:rPr>
        <w:t>年</w:t>
      </w:r>
      <w:r>
        <w:rPr>
          <w:rFonts w:hint="eastAsia" w:ascii="宋体" w:hAnsi="宋体" w:cs="宋体"/>
          <w:color w:val="auto"/>
          <w:sz w:val="21"/>
          <w:szCs w:val="21"/>
          <w:highlight w:val="none"/>
          <w:u w:val="single"/>
          <w:lang w:val="en-US" w:eastAsia="zh-CN"/>
        </w:rPr>
        <w:t>10</w:t>
      </w:r>
      <w:r>
        <w:rPr>
          <w:rFonts w:hint="eastAsia" w:ascii="宋体" w:hAnsi="宋体" w:eastAsia="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20</w:t>
      </w:r>
      <w:r>
        <w:rPr>
          <w:rFonts w:hint="eastAsia" w:ascii="宋体" w:hAnsi="宋体" w:eastAsia="宋体" w:cs="宋体"/>
          <w:color w:val="auto"/>
          <w:sz w:val="21"/>
          <w:szCs w:val="21"/>
          <w:highlight w:val="none"/>
          <w:u w:val="single"/>
        </w:rPr>
        <w:t>日</w:t>
      </w:r>
      <w:r>
        <w:rPr>
          <w:rFonts w:hint="eastAsia" w:ascii="宋体" w:hAnsi="宋体" w:eastAsia="宋体" w:cs="宋体"/>
          <w:color w:val="auto"/>
          <w:sz w:val="21"/>
          <w:szCs w:val="21"/>
          <w:highlight w:val="none"/>
          <w:u w:val="single"/>
          <w:lang w:val="en-US" w:eastAsia="zh-CN"/>
        </w:rPr>
        <w:t>09</w:t>
      </w:r>
      <w:r>
        <w:rPr>
          <w:rFonts w:hint="eastAsia" w:ascii="宋体" w:hAnsi="宋体" w:eastAsia="宋体" w:cs="宋体"/>
          <w:color w:val="auto"/>
          <w:sz w:val="21"/>
          <w:szCs w:val="21"/>
          <w:highlight w:val="none"/>
          <w:u w:val="single"/>
        </w:rPr>
        <w:t>点</w:t>
      </w:r>
      <w:r>
        <w:rPr>
          <w:rFonts w:hint="eastAsia" w:ascii="宋体" w:hAnsi="宋体" w:eastAsia="宋体" w:cs="宋体"/>
          <w:color w:val="auto"/>
          <w:sz w:val="21"/>
          <w:szCs w:val="21"/>
          <w:highlight w:val="none"/>
          <w:u w:val="single"/>
          <w:lang w:val="en-US" w:eastAsia="zh-CN"/>
        </w:rPr>
        <w:t>00</w:t>
      </w:r>
      <w:r>
        <w:rPr>
          <w:rFonts w:hint="eastAsia" w:ascii="宋体" w:hAnsi="宋体" w:eastAsia="宋体" w:cs="宋体"/>
          <w:color w:val="auto"/>
          <w:sz w:val="21"/>
          <w:szCs w:val="21"/>
          <w:highlight w:val="none"/>
          <w:u w:val="single"/>
        </w:rPr>
        <w:t>分</w:t>
      </w:r>
      <w:r>
        <w:rPr>
          <w:rFonts w:hint="eastAsia" w:ascii="宋体" w:hAnsi="宋体" w:eastAsia="宋体" w:cs="宋体"/>
          <w:bCs/>
          <w:color w:val="auto"/>
          <w:sz w:val="21"/>
          <w:szCs w:val="21"/>
          <w:highlight w:val="none"/>
          <w:u w:val="single"/>
        </w:rPr>
        <w:t>00秒</w:t>
      </w:r>
      <w:r>
        <w:rPr>
          <w:rFonts w:hint="eastAsia" w:ascii="宋体" w:hAnsi="宋体" w:eastAsia="宋体" w:cs="宋体"/>
          <w:bCs/>
          <w:color w:val="auto"/>
          <w:sz w:val="21"/>
          <w:szCs w:val="21"/>
          <w:highlight w:val="none"/>
        </w:rPr>
        <w:t>（北京时间）前</w:t>
      </w:r>
      <w:r>
        <w:rPr>
          <w:rFonts w:hint="eastAsia" w:ascii="宋体" w:hAnsi="宋体" w:eastAsia="宋体" w:cs="宋体"/>
          <w:color w:val="auto"/>
          <w:sz w:val="21"/>
          <w:szCs w:val="21"/>
          <w:highlight w:val="none"/>
        </w:rPr>
        <w:t>递交（上传）投标文件。</w:t>
      </w:r>
    </w:p>
    <w:p w14:paraId="31792C89">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一、项目基本情况                                            </w:t>
      </w:r>
    </w:p>
    <w:p w14:paraId="591421F1">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b/>
          <w:bCs/>
          <w:color w:val="auto"/>
          <w:sz w:val="21"/>
          <w:szCs w:val="21"/>
          <w:highlight w:val="none"/>
        </w:rPr>
        <w:t>项目编号：</w:t>
      </w:r>
      <w:r>
        <w:rPr>
          <w:rFonts w:hint="eastAsia" w:ascii="宋体" w:hAnsi="宋体" w:cs="宋体"/>
          <w:color w:val="auto"/>
          <w:sz w:val="21"/>
          <w:szCs w:val="21"/>
          <w:highlight w:val="none"/>
          <w:lang w:eastAsia="zh-CN"/>
        </w:rPr>
        <w:t>BHZC2025-G1-020046-GXKL</w:t>
      </w:r>
    </w:p>
    <w:p w14:paraId="749C3AE4">
      <w:pPr>
        <w:spacing w:line="360" w:lineRule="auto"/>
        <w:ind w:firstLine="480"/>
        <w:rPr>
          <w:rFonts w:hint="eastAsia" w:ascii="宋体" w:hAnsi="宋体" w:eastAsia="宋体" w:cs="宋体"/>
          <w:b/>
          <w:bCs/>
          <w:color w:val="auto"/>
          <w:sz w:val="21"/>
          <w:szCs w:val="21"/>
          <w:highlight w:val="none"/>
        </w:rPr>
      </w:pPr>
      <w:r>
        <w:rPr>
          <w:rFonts w:hint="eastAsia" w:ascii="宋体" w:hAnsi="宋体" w:eastAsia="宋体" w:cs="宋体"/>
          <w:b/>
          <w:bCs/>
          <w:color w:val="auto"/>
          <w:highlight w:val="none"/>
          <w:lang w:val="en-US" w:eastAsia="zh-CN"/>
        </w:rPr>
        <w:t>采购计划编号</w:t>
      </w:r>
      <w:r>
        <w:rPr>
          <w:rFonts w:hint="eastAsia" w:ascii="宋体" w:hAnsi="宋体" w:eastAsia="宋体" w:cs="宋体"/>
          <w:b/>
          <w:bCs/>
          <w:color w:val="auto"/>
          <w:sz w:val="21"/>
          <w:szCs w:val="21"/>
          <w:highlight w:val="none"/>
          <w:lang w:val="en-US" w:eastAsia="zh-CN"/>
        </w:rPr>
        <w:t>：</w:t>
      </w:r>
      <w:r>
        <w:rPr>
          <w:rFonts w:hint="eastAsia" w:ascii="宋体" w:hAnsi="宋体" w:cs="宋体"/>
          <w:color w:val="auto"/>
          <w:sz w:val="21"/>
          <w:szCs w:val="21"/>
          <w:highlight w:val="none"/>
          <w:lang w:eastAsia="zh-CN"/>
        </w:rPr>
        <w:t>602001W2025002</w:t>
      </w:r>
    </w:p>
    <w:p w14:paraId="63282F10">
      <w:pPr>
        <w:spacing w:line="360" w:lineRule="auto"/>
        <w:ind w:firstLine="480"/>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rPr>
        <w:t>项目名称：</w:t>
      </w:r>
      <w:r>
        <w:rPr>
          <w:rFonts w:hint="eastAsia" w:ascii="宋体" w:hAnsi="宋体" w:cs="宋体"/>
          <w:color w:val="auto"/>
          <w:sz w:val="21"/>
          <w:szCs w:val="21"/>
          <w:highlight w:val="none"/>
          <w:lang w:eastAsia="zh-CN"/>
        </w:rPr>
        <w:t>北海市海城区环卫设备更换项目2标（环卫作业车辆）</w:t>
      </w:r>
    </w:p>
    <w:p w14:paraId="3B707192">
      <w:pPr>
        <w:spacing w:line="360" w:lineRule="auto"/>
        <w:ind w:firstLine="480"/>
        <w:rPr>
          <w:rFonts w:hint="eastAsia" w:ascii="宋体" w:hAnsi="宋体" w:eastAsia="宋体" w:cs="宋体"/>
          <w:b w:val="0"/>
          <w:bCs w:val="0"/>
          <w:color w:val="auto"/>
          <w:highlight w:val="none"/>
          <w:lang w:val="en-US" w:eastAsia="zh-CN"/>
        </w:rPr>
      </w:pPr>
      <w:r>
        <w:rPr>
          <w:rFonts w:hint="eastAsia" w:ascii="宋体" w:hAnsi="宋体" w:eastAsia="宋体" w:cs="宋体"/>
          <w:b/>
          <w:bCs/>
          <w:color w:val="auto"/>
          <w:highlight w:val="none"/>
          <w:lang w:val="en-US" w:eastAsia="zh-CN"/>
        </w:rPr>
        <w:t>预算金额：</w:t>
      </w:r>
      <w:r>
        <w:rPr>
          <w:rFonts w:hint="eastAsia" w:ascii="宋体" w:hAnsi="宋体" w:eastAsia="宋体" w:cs="宋体"/>
          <w:b w:val="0"/>
          <w:bCs w:val="0"/>
          <w:color w:val="auto"/>
          <w:highlight w:val="none"/>
          <w:lang w:val="en-US" w:eastAsia="zh-CN"/>
        </w:rPr>
        <w:t>人民币</w:t>
      </w:r>
      <w:r>
        <w:rPr>
          <w:rFonts w:hint="eastAsia" w:ascii="宋体" w:hAnsi="宋体" w:cs="宋体"/>
          <w:b w:val="0"/>
          <w:bCs w:val="0"/>
          <w:color w:val="auto"/>
          <w:highlight w:val="none"/>
          <w:lang w:val="en-US" w:eastAsia="zh-CN"/>
        </w:rPr>
        <w:t>6360.00</w:t>
      </w:r>
      <w:r>
        <w:rPr>
          <w:rFonts w:hint="eastAsia" w:ascii="宋体" w:hAnsi="宋体" w:eastAsia="宋体" w:cs="宋体"/>
          <w:b w:val="0"/>
          <w:bCs w:val="0"/>
          <w:color w:val="auto"/>
          <w:highlight w:val="none"/>
          <w:lang w:val="en-US" w:eastAsia="zh-CN"/>
        </w:rPr>
        <w:t>万元。</w:t>
      </w:r>
    </w:p>
    <w:p w14:paraId="4B117B32">
      <w:pPr>
        <w:spacing w:line="360" w:lineRule="auto"/>
        <w:ind w:firstLine="480"/>
        <w:rPr>
          <w:rFonts w:hint="eastAsia" w:ascii="宋体" w:hAnsi="宋体" w:eastAsia="宋体" w:cs="宋体"/>
          <w:b w:val="0"/>
          <w:bCs w:val="0"/>
          <w:color w:val="auto"/>
          <w:highlight w:val="none"/>
          <w:lang w:val="en-US" w:eastAsia="zh-CN"/>
        </w:rPr>
      </w:pPr>
      <w:r>
        <w:rPr>
          <w:rFonts w:hint="eastAsia" w:ascii="宋体" w:hAnsi="宋体" w:eastAsia="宋体" w:cs="宋体"/>
          <w:b/>
          <w:bCs/>
          <w:color w:val="auto"/>
          <w:highlight w:val="none"/>
          <w:lang w:val="en-US" w:eastAsia="zh-CN"/>
        </w:rPr>
        <w:t>最高限价：</w:t>
      </w:r>
      <w:r>
        <w:rPr>
          <w:rFonts w:hint="eastAsia" w:ascii="宋体" w:hAnsi="宋体" w:eastAsia="宋体" w:cs="宋体"/>
          <w:b w:val="0"/>
          <w:bCs w:val="0"/>
          <w:color w:val="auto"/>
          <w:highlight w:val="none"/>
          <w:lang w:val="en-US" w:eastAsia="zh-CN"/>
        </w:rPr>
        <w:t>人民币</w:t>
      </w:r>
      <w:r>
        <w:rPr>
          <w:rFonts w:hint="eastAsia" w:ascii="宋体" w:hAnsi="宋体" w:cs="宋体"/>
          <w:b w:val="0"/>
          <w:bCs w:val="0"/>
          <w:color w:val="auto"/>
          <w:highlight w:val="none"/>
          <w:lang w:val="en-US" w:eastAsia="zh-CN"/>
        </w:rPr>
        <w:t>6360.00</w:t>
      </w:r>
      <w:r>
        <w:rPr>
          <w:rFonts w:hint="eastAsia" w:ascii="宋体" w:hAnsi="宋体" w:eastAsia="宋体" w:cs="宋体"/>
          <w:b w:val="0"/>
          <w:bCs w:val="0"/>
          <w:color w:val="auto"/>
          <w:highlight w:val="none"/>
          <w:lang w:val="en-US" w:eastAsia="zh-CN"/>
        </w:rPr>
        <w:t>万元。</w:t>
      </w:r>
    </w:p>
    <w:p w14:paraId="1799BF57">
      <w:pPr>
        <w:spacing w:line="36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采购需求：</w:t>
      </w:r>
      <w:r>
        <w:rPr>
          <w:rFonts w:hint="eastAsia" w:ascii="宋体" w:hAnsi="宋体" w:eastAsia="宋体" w:cs="宋体"/>
          <w:color w:val="auto"/>
          <w:sz w:val="21"/>
          <w:szCs w:val="21"/>
          <w:highlight w:val="none"/>
          <w:lang w:val="en-US" w:eastAsia="zh-CN"/>
        </w:rPr>
        <w:t xml:space="preserve"> </w:t>
      </w: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0"/>
        <w:gridCol w:w="2240"/>
        <w:gridCol w:w="1360"/>
        <w:gridCol w:w="4934"/>
      </w:tblGrid>
      <w:tr w14:paraId="00846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0" w:type="dxa"/>
            <w:noWrap w:val="0"/>
            <w:vAlign w:val="center"/>
          </w:tcPr>
          <w:p w14:paraId="341F7DB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cs="宋体"/>
                <w:b/>
                <w:bCs/>
                <w:color w:val="auto"/>
                <w:sz w:val="21"/>
                <w:szCs w:val="21"/>
                <w:highlight w:val="none"/>
                <w:lang w:val="en-US" w:eastAsia="zh-CN"/>
              </w:rPr>
              <w:t>序号</w:t>
            </w:r>
          </w:p>
        </w:tc>
        <w:tc>
          <w:tcPr>
            <w:tcW w:w="2240" w:type="dxa"/>
            <w:noWrap w:val="0"/>
            <w:vAlign w:val="center"/>
          </w:tcPr>
          <w:p w14:paraId="0EF95F7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标的名称</w:t>
            </w:r>
          </w:p>
        </w:tc>
        <w:tc>
          <w:tcPr>
            <w:tcW w:w="1360" w:type="dxa"/>
            <w:noWrap w:val="0"/>
            <w:vAlign w:val="center"/>
          </w:tcPr>
          <w:p w14:paraId="612E774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数量及单位</w:t>
            </w:r>
          </w:p>
        </w:tc>
        <w:tc>
          <w:tcPr>
            <w:tcW w:w="4934" w:type="dxa"/>
            <w:noWrap w:val="0"/>
            <w:vAlign w:val="center"/>
          </w:tcPr>
          <w:p w14:paraId="17502BC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简要技术需求或者服务要求</w:t>
            </w:r>
          </w:p>
        </w:tc>
      </w:tr>
      <w:tr w14:paraId="7D043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670" w:type="dxa"/>
            <w:noWrap w:val="0"/>
            <w:vAlign w:val="center"/>
          </w:tcPr>
          <w:p w14:paraId="3742A90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240" w:type="dxa"/>
            <w:noWrap w:val="0"/>
            <w:vAlign w:val="center"/>
          </w:tcPr>
          <w:p w14:paraId="3948E2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新能源3吨压缩车</w:t>
            </w:r>
            <w:r>
              <w:rPr>
                <w:rFonts w:hint="eastAsia" w:ascii="宋体" w:hAnsi="宋体" w:cs="宋体"/>
                <w:color w:val="auto"/>
                <w:sz w:val="21"/>
                <w:szCs w:val="21"/>
                <w:highlight w:val="none"/>
                <w:lang w:val="en-US" w:eastAsia="zh-CN"/>
              </w:rPr>
              <w:t>等一批环卫作业车辆</w:t>
            </w:r>
          </w:p>
        </w:tc>
        <w:tc>
          <w:tcPr>
            <w:tcW w:w="1360" w:type="dxa"/>
            <w:noWrap w:val="0"/>
            <w:vAlign w:val="center"/>
          </w:tcPr>
          <w:p w14:paraId="47952D7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批</w:t>
            </w:r>
          </w:p>
        </w:tc>
        <w:tc>
          <w:tcPr>
            <w:tcW w:w="4934" w:type="dxa"/>
            <w:noWrap w:val="0"/>
            <w:vAlign w:val="center"/>
          </w:tcPr>
          <w:p w14:paraId="432B074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新能源3吨压缩车</w:t>
            </w:r>
            <w:r>
              <w:rPr>
                <w:rFonts w:hint="eastAsia" w:ascii="宋体" w:hAnsi="宋体" w:cs="宋体"/>
                <w:color w:val="auto"/>
                <w:sz w:val="21"/>
                <w:szCs w:val="21"/>
                <w:highlight w:val="none"/>
                <w:lang w:val="en-US" w:eastAsia="zh-CN"/>
              </w:rPr>
              <w:t>12辆、</w:t>
            </w:r>
            <w:r>
              <w:rPr>
                <w:rFonts w:hint="eastAsia" w:ascii="宋体" w:hAnsi="宋体" w:eastAsia="宋体" w:cs="宋体"/>
                <w:i w:val="0"/>
                <w:iCs w:val="0"/>
                <w:color w:val="auto"/>
                <w:kern w:val="0"/>
                <w:sz w:val="21"/>
                <w:szCs w:val="21"/>
                <w:highlight w:val="none"/>
                <w:u w:val="none"/>
                <w:lang w:val="en-US" w:eastAsia="zh-CN" w:bidi="ar"/>
              </w:rPr>
              <w:t>新能源12吨压缩车6辆</w:t>
            </w:r>
            <w:r>
              <w:rPr>
                <w:rFonts w:hint="eastAsia" w:ascii="宋体" w:hAnsi="宋体" w:cs="宋体"/>
                <w:color w:val="auto"/>
                <w:sz w:val="21"/>
                <w:szCs w:val="21"/>
                <w:highlight w:val="none"/>
                <w:lang w:val="en-US" w:eastAsia="zh-CN"/>
              </w:rPr>
              <w:t>等一批环卫作业车辆</w:t>
            </w:r>
            <w:r>
              <w:rPr>
                <w:rFonts w:hint="eastAsia" w:ascii="宋体" w:hAnsi="宋体" w:eastAsia="宋体" w:cs="宋体"/>
                <w:color w:val="auto"/>
                <w:sz w:val="21"/>
                <w:szCs w:val="21"/>
                <w:highlight w:val="none"/>
                <w:lang w:val="en-US" w:eastAsia="zh-CN"/>
              </w:rPr>
              <w:t>采购及安装，如需进一步了解详细内容，详见采购项目需求。</w:t>
            </w:r>
            <w:r>
              <w:rPr>
                <w:rFonts w:hint="eastAsia" w:ascii="宋体" w:hAnsi="宋体" w:eastAsia="宋体" w:cs="宋体"/>
                <w:color w:val="auto"/>
                <w:sz w:val="21"/>
                <w:szCs w:val="21"/>
                <w:highlight w:val="none"/>
              </w:rPr>
              <w:t xml:space="preserve"> </w:t>
            </w:r>
          </w:p>
        </w:tc>
      </w:tr>
    </w:tbl>
    <w:p w14:paraId="6D0E11D3">
      <w:pPr>
        <w:pStyle w:val="130"/>
        <w:spacing w:before="0"/>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合同履约期限：</w:t>
      </w:r>
      <w:r>
        <w:rPr>
          <w:rFonts w:hint="eastAsia" w:ascii="宋体" w:hAnsi="宋体" w:eastAsia="宋体" w:cs="宋体"/>
          <w:color w:val="auto"/>
          <w:kern w:val="2"/>
          <w:sz w:val="21"/>
          <w:szCs w:val="21"/>
          <w:highlight w:val="none"/>
          <w:u w:val="none"/>
          <w:lang w:val="en-US" w:eastAsia="zh-CN" w:bidi="ar-SA"/>
        </w:rPr>
        <w:t>自签订合同之日起30天内</w:t>
      </w:r>
      <w:r>
        <w:rPr>
          <w:rFonts w:hint="eastAsia" w:ascii="宋体" w:hAnsi="宋体" w:cs="宋体"/>
          <w:color w:val="auto"/>
          <w:kern w:val="2"/>
          <w:sz w:val="21"/>
          <w:szCs w:val="21"/>
          <w:highlight w:val="none"/>
          <w:u w:val="none"/>
          <w:lang w:val="en-US" w:eastAsia="zh-CN" w:bidi="ar-SA"/>
        </w:rPr>
        <w:t>验收</w:t>
      </w:r>
      <w:r>
        <w:rPr>
          <w:rFonts w:hint="eastAsia" w:ascii="宋体" w:hAnsi="宋体" w:eastAsia="宋体" w:cs="宋体"/>
          <w:color w:val="auto"/>
          <w:kern w:val="2"/>
          <w:sz w:val="21"/>
          <w:szCs w:val="21"/>
          <w:highlight w:val="none"/>
          <w:u w:val="none"/>
          <w:lang w:val="en-US" w:eastAsia="zh-CN" w:bidi="ar-SA"/>
        </w:rPr>
        <w:t>合格并交付使用</w:t>
      </w:r>
      <w:r>
        <w:rPr>
          <w:rFonts w:hint="eastAsia" w:ascii="宋体" w:hAnsi="宋体" w:eastAsia="宋体" w:cs="宋体"/>
          <w:color w:val="auto"/>
          <w:sz w:val="21"/>
          <w:szCs w:val="21"/>
          <w:highlight w:val="none"/>
          <w:lang w:val="en-US" w:eastAsia="zh-CN"/>
        </w:rPr>
        <w:t>。</w:t>
      </w:r>
    </w:p>
    <w:p w14:paraId="466D67FB">
      <w:pPr>
        <w:pStyle w:val="5"/>
        <w:spacing w:line="360" w:lineRule="auto"/>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本项目是否接受联合体投标：</w:t>
      </w:r>
      <w:sdt>
        <w:sdtPr>
          <w:rPr>
            <w:rFonts w:hint="eastAsia" w:ascii="宋体" w:hAnsi="宋体" w:eastAsia="宋体" w:cs="宋体"/>
            <w:color w:val="auto"/>
            <w:kern w:val="0"/>
            <w:sz w:val="21"/>
            <w:szCs w:val="21"/>
            <w:highlight w:val="none"/>
          </w:rPr>
          <w:id w:val="2035453831"/>
          <w14:checkbox>
            <w14:checked w14:val="0"/>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宋体" w:hAnsi="宋体" w:eastAsia="宋体" w:cs="宋体"/>
              <w:color w:val="auto"/>
              <w:kern w:val="0"/>
              <w:sz w:val="21"/>
              <w:szCs w:val="21"/>
              <w:highlight w:val="none"/>
            </w:rPr>
            <w:t>☐</w:t>
          </w:r>
        </w:sdtContent>
      </w:sdt>
      <w:r>
        <w:rPr>
          <w:rFonts w:hint="eastAsia" w:ascii="宋体" w:hAnsi="宋体" w:eastAsia="宋体" w:cs="宋体"/>
          <w:color w:val="auto"/>
          <w:sz w:val="21"/>
          <w:szCs w:val="21"/>
          <w:highlight w:val="none"/>
        </w:rPr>
        <w:t>是</w:t>
      </w:r>
      <w:r>
        <w:rPr>
          <w:rFonts w:hint="eastAsia" w:ascii="宋体" w:hAnsi="宋体" w:eastAsia="宋体" w:cs="宋体"/>
          <w:snapToGrid/>
          <w:color w:val="auto"/>
          <w:kern w:val="2"/>
          <w:sz w:val="21"/>
          <w:szCs w:val="21"/>
          <w:highlight w:val="none"/>
        </w:rPr>
        <w:t>；</w:t>
      </w:r>
      <w:sdt>
        <w:sdtPr>
          <w:rPr>
            <w:rFonts w:hint="eastAsia" w:ascii="宋体" w:hAnsi="宋体" w:eastAsia="宋体" w:cs="宋体"/>
            <w:color w:val="auto"/>
            <w:kern w:val="0"/>
            <w:sz w:val="21"/>
            <w:szCs w:val="21"/>
            <w:highlight w:val="none"/>
          </w:rPr>
          <w:id w:val="-1765526721"/>
          <w14:checkbox>
            <w14:checked w14:val="1"/>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宋体" w:hAnsi="宋体" w:eastAsia="宋体" w:cs="宋体"/>
              <w:color w:val="auto"/>
              <w:kern w:val="0"/>
              <w:sz w:val="21"/>
              <w:szCs w:val="21"/>
              <w:highlight w:val="none"/>
            </w:rPr>
            <w:sym w:font="Wingdings" w:char="F0FE"/>
          </w:r>
        </w:sdtContent>
      </w:sdt>
      <w:r>
        <w:rPr>
          <w:rFonts w:hint="eastAsia" w:ascii="宋体" w:hAnsi="宋体" w:eastAsia="宋体" w:cs="宋体"/>
          <w:color w:val="auto"/>
          <w:sz w:val="21"/>
          <w:szCs w:val="21"/>
          <w:highlight w:val="none"/>
        </w:rPr>
        <w:t>否</w:t>
      </w:r>
      <w:r>
        <w:rPr>
          <w:rFonts w:hint="eastAsia" w:ascii="宋体" w:hAnsi="宋体" w:eastAsia="宋体" w:cs="宋体"/>
          <w:color w:val="auto"/>
          <w:kern w:val="0"/>
          <w:sz w:val="21"/>
          <w:szCs w:val="21"/>
          <w:highlight w:val="none"/>
        </w:rPr>
        <w:t>。</w:t>
      </w:r>
    </w:p>
    <w:p w14:paraId="0DFCE245">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w:t>
      </w:r>
      <w:bookmarkStart w:id="11" w:name="_Hlk101132948"/>
      <w:r>
        <w:rPr>
          <w:rFonts w:hint="eastAsia" w:ascii="宋体" w:hAnsi="宋体" w:eastAsia="宋体" w:cs="宋体"/>
          <w:b/>
          <w:color w:val="auto"/>
          <w:sz w:val="21"/>
          <w:szCs w:val="21"/>
          <w:highlight w:val="none"/>
        </w:rPr>
        <w:t>申请人的资格要求</w:t>
      </w:r>
      <w:bookmarkEnd w:id="11"/>
      <w:r>
        <w:rPr>
          <w:rFonts w:hint="eastAsia" w:ascii="宋体" w:hAnsi="宋体" w:eastAsia="宋体" w:cs="宋体"/>
          <w:b/>
          <w:color w:val="auto"/>
          <w:sz w:val="21"/>
          <w:szCs w:val="21"/>
          <w:highlight w:val="none"/>
        </w:rPr>
        <w:t>：</w:t>
      </w:r>
    </w:p>
    <w:p w14:paraId="33AB751A">
      <w:pPr>
        <w:spacing w:line="360" w:lineRule="auto"/>
        <w:ind w:firstLine="480"/>
        <w:rPr>
          <w:rFonts w:hint="eastAsia" w:ascii="宋体" w:hAnsi="宋体" w:eastAsia="宋体" w:cs="宋体"/>
          <w:snapToGrid w:val="0"/>
          <w:color w:val="auto"/>
          <w:kern w:val="28"/>
          <w:sz w:val="21"/>
          <w:szCs w:val="21"/>
          <w:highlight w:val="none"/>
        </w:rPr>
      </w:pPr>
      <w:r>
        <w:rPr>
          <w:rFonts w:hint="eastAsia" w:ascii="宋体" w:hAnsi="宋体" w:eastAsia="宋体" w:cs="宋体"/>
          <w:snapToGrid w:val="0"/>
          <w:color w:val="auto"/>
          <w:kern w:val="28"/>
          <w:sz w:val="21"/>
          <w:szCs w:val="21"/>
          <w:highlight w:val="none"/>
        </w:rPr>
        <w:t>1.满足《中华人民共和国政府采购法》第二十二条规定；未被“信用中国”（www.creditchina.gov.cn)、中国政府采购网（www.ccgp.gov.cn）列入失信被执行人、重大税收违法案件当事人名单、政府采购严重违法失信行为记录名单；</w:t>
      </w:r>
    </w:p>
    <w:p w14:paraId="7110BF0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snapToGrid w:val="0"/>
          <w:color w:val="auto"/>
          <w:kern w:val="28"/>
          <w:sz w:val="21"/>
          <w:szCs w:val="21"/>
          <w:highlight w:val="none"/>
        </w:rPr>
        <w:t>2.落实政府采购政策需满足的资格要求：</w:t>
      </w:r>
      <w:r>
        <w:rPr>
          <w:rFonts w:hint="eastAsia" w:ascii="宋体" w:hAnsi="宋体" w:eastAsia="宋体" w:cs="宋体"/>
          <w:snapToGrid w:val="0"/>
          <w:color w:val="auto"/>
          <w:kern w:val="28"/>
          <w:sz w:val="21"/>
          <w:szCs w:val="21"/>
          <w:highlight w:val="none"/>
          <w:lang w:val="en-US" w:eastAsia="zh-CN"/>
        </w:rPr>
        <w:t>无</w:t>
      </w:r>
      <w:r>
        <w:rPr>
          <w:rFonts w:hint="eastAsia" w:ascii="宋体" w:hAnsi="宋体" w:eastAsia="宋体" w:cs="宋体"/>
          <w:color w:val="auto"/>
          <w:sz w:val="21"/>
          <w:szCs w:val="21"/>
          <w:highlight w:val="none"/>
        </w:rPr>
        <w:t>；</w:t>
      </w:r>
    </w:p>
    <w:p w14:paraId="721D8C60">
      <w:pPr>
        <w:wordWrap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.本项目的特定资格要</w:t>
      </w:r>
      <w:r>
        <w:rPr>
          <w:rFonts w:hint="eastAsia" w:ascii="宋体" w:hAnsi="宋体" w:eastAsia="宋体" w:cs="宋体"/>
          <w:color w:val="auto"/>
          <w:sz w:val="21"/>
          <w:szCs w:val="21"/>
          <w:highlight w:val="none"/>
          <w:lang w:val="en-US" w:eastAsia="zh-CN"/>
        </w:rPr>
        <w:t>求：</w:t>
      </w:r>
      <w:r>
        <w:rPr>
          <w:rFonts w:hint="eastAsia" w:ascii="宋体" w:hAnsi="宋体" w:cs="宋体"/>
          <w:color w:val="auto"/>
          <w:sz w:val="21"/>
          <w:szCs w:val="21"/>
          <w:highlight w:val="none"/>
          <w:lang w:val="en-US" w:eastAsia="zh-CN"/>
        </w:rPr>
        <w:t>无</w:t>
      </w:r>
      <w:r>
        <w:rPr>
          <w:rFonts w:hint="eastAsia" w:ascii="宋体" w:hAnsi="宋体" w:eastAsia="宋体" w:cs="宋体"/>
          <w:color w:val="auto"/>
          <w:sz w:val="21"/>
          <w:szCs w:val="21"/>
          <w:highlight w:val="none"/>
          <w:lang w:val="en-US" w:eastAsia="zh-CN"/>
        </w:rPr>
        <w:t>。</w:t>
      </w:r>
    </w:p>
    <w:p w14:paraId="600638CA">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三、获取招标文件 </w:t>
      </w:r>
    </w:p>
    <w:p w14:paraId="4FFDA10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u w:val="single"/>
        </w:rPr>
        <w:t>202</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color w:val="auto"/>
          <w:sz w:val="21"/>
          <w:szCs w:val="21"/>
          <w:highlight w:val="none"/>
          <w:u w:val="single"/>
        </w:rPr>
        <w:t>年</w:t>
      </w:r>
      <w:r>
        <w:rPr>
          <w:rFonts w:hint="eastAsia" w:ascii="宋体" w:hAnsi="宋体" w:cs="宋体"/>
          <w:color w:val="auto"/>
          <w:sz w:val="21"/>
          <w:szCs w:val="21"/>
          <w:highlight w:val="none"/>
          <w:u w:val="single"/>
          <w:lang w:val="en-US" w:eastAsia="zh-CN"/>
        </w:rPr>
        <w:t>9</w:t>
      </w:r>
      <w:r>
        <w:rPr>
          <w:rFonts w:hint="eastAsia" w:ascii="宋体" w:hAnsi="宋体" w:eastAsia="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28</w:t>
      </w:r>
      <w:r>
        <w:rPr>
          <w:rFonts w:hint="eastAsia" w:ascii="宋体" w:hAnsi="宋体" w:eastAsia="宋体" w:cs="宋体"/>
          <w:color w:val="auto"/>
          <w:sz w:val="21"/>
          <w:szCs w:val="21"/>
          <w:highlight w:val="none"/>
          <w:u w:val="single"/>
        </w:rPr>
        <w:t>日</w:t>
      </w:r>
      <w:r>
        <w:rPr>
          <w:rFonts w:hint="eastAsia" w:ascii="宋体" w:hAnsi="宋体" w:eastAsia="宋体" w:cs="宋体"/>
          <w:color w:val="auto"/>
          <w:sz w:val="21"/>
          <w:szCs w:val="21"/>
          <w:highlight w:val="none"/>
        </w:rPr>
        <w:t>至</w:t>
      </w:r>
      <w:r>
        <w:rPr>
          <w:rFonts w:hint="eastAsia" w:ascii="宋体" w:hAnsi="宋体" w:eastAsia="宋体" w:cs="宋体"/>
          <w:color w:val="auto"/>
          <w:sz w:val="21"/>
          <w:szCs w:val="21"/>
          <w:highlight w:val="none"/>
          <w:u w:val="single"/>
        </w:rPr>
        <w:t>202</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color w:val="auto"/>
          <w:sz w:val="21"/>
          <w:szCs w:val="21"/>
          <w:highlight w:val="none"/>
          <w:u w:val="single"/>
        </w:rPr>
        <w:t>年</w:t>
      </w:r>
      <w:r>
        <w:rPr>
          <w:rFonts w:hint="eastAsia" w:ascii="宋体" w:hAnsi="宋体" w:cs="宋体"/>
          <w:color w:val="auto"/>
          <w:sz w:val="21"/>
          <w:szCs w:val="21"/>
          <w:highlight w:val="none"/>
          <w:u w:val="single"/>
          <w:lang w:val="en-US" w:eastAsia="zh-CN"/>
        </w:rPr>
        <w:t>10</w:t>
      </w:r>
      <w:r>
        <w:rPr>
          <w:rFonts w:hint="eastAsia" w:ascii="宋体" w:hAnsi="宋体" w:eastAsia="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11</w:t>
      </w:r>
      <w:r>
        <w:rPr>
          <w:rFonts w:hint="eastAsia" w:ascii="宋体" w:hAnsi="宋体" w:eastAsia="宋体" w:cs="宋体"/>
          <w:color w:val="auto"/>
          <w:sz w:val="21"/>
          <w:szCs w:val="21"/>
          <w:highlight w:val="none"/>
          <w:u w:val="single"/>
        </w:rPr>
        <w:t>日</w:t>
      </w:r>
      <w:r>
        <w:rPr>
          <w:rFonts w:hint="eastAsia" w:ascii="宋体" w:hAnsi="宋体" w:eastAsia="宋体" w:cs="宋体"/>
          <w:color w:val="auto"/>
          <w:sz w:val="21"/>
          <w:szCs w:val="21"/>
          <w:highlight w:val="none"/>
        </w:rPr>
        <w:t>，每天上午00：00至12：00 ，下午12：00至23：59（北京时间，法定节假日除外）</w:t>
      </w:r>
    </w:p>
    <w:p w14:paraId="3A0CCFF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地点（网址）：广西政府采购云平台（https</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//www.gcy.zfcg.gxzf.gov.cn/） </w:t>
      </w:r>
    </w:p>
    <w:p w14:paraId="7CE42D4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方式：</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登录广西政府采购云平台（https</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//www.gcy.zfcg.gxzf.gov.cn/）在线申请获取采购文件（进入“项目采购”应用，在获取采购文件菜单中选择项目，申请获取采购文件）。 </w:t>
      </w:r>
    </w:p>
    <w:p w14:paraId="229CEEB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售价（元）：0 </w:t>
      </w:r>
      <w:r>
        <w:rPr>
          <w:rFonts w:hint="eastAsia" w:ascii="宋体" w:hAnsi="宋体" w:eastAsia="宋体" w:cs="宋体"/>
          <w:color w:val="auto"/>
          <w:sz w:val="21"/>
          <w:szCs w:val="21"/>
          <w:highlight w:val="none"/>
        </w:rPr>
        <w:tab/>
      </w:r>
    </w:p>
    <w:p w14:paraId="1F4DF055">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四、提交投标文件截止时间、开标时间和地点</w:t>
      </w:r>
    </w:p>
    <w:p w14:paraId="1713590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提交投标文件截止时间：</w:t>
      </w:r>
      <w:r>
        <w:rPr>
          <w:rFonts w:hint="eastAsia" w:ascii="宋体" w:hAnsi="宋体" w:eastAsia="宋体" w:cs="宋体"/>
          <w:color w:val="auto"/>
          <w:sz w:val="21"/>
          <w:szCs w:val="21"/>
          <w:highlight w:val="none"/>
          <w:u w:val="single"/>
        </w:rPr>
        <w:t>202</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color w:val="auto"/>
          <w:sz w:val="21"/>
          <w:szCs w:val="21"/>
          <w:highlight w:val="none"/>
          <w:u w:val="single"/>
        </w:rPr>
        <w:t>年</w:t>
      </w:r>
      <w:r>
        <w:rPr>
          <w:rFonts w:hint="eastAsia" w:ascii="宋体" w:hAnsi="宋体" w:cs="宋体"/>
          <w:color w:val="auto"/>
          <w:sz w:val="21"/>
          <w:szCs w:val="21"/>
          <w:highlight w:val="none"/>
          <w:u w:val="single"/>
          <w:lang w:val="en-US" w:eastAsia="zh-CN"/>
        </w:rPr>
        <w:t>10</w:t>
      </w:r>
      <w:r>
        <w:rPr>
          <w:rFonts w:hint="eastAsia" w:ascii="宋体" w:hAnsi="宋体" w:eastAsia="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20</w:t>
      </w:r>
      <w:r>
        <w:rPr>
          <w:rFonts w:hint="eastAsia" w:ascii="宋体" w:hAnsi="宋体" w:eastAsia="宋体" w:cs="宋体"/>
          <w:color w:val="auto"/>
          <w:sz w:val="21"/>
          <w:szCs w:val="21"/>
          <w:highlight w:val="none"/>
          <w:u w:val="single"/>
        </w:rPr>
        <w:t>日</w:t>
      </w:r>
      <w:r>
        <w:rPr>
          <w:rFonts w:hint="eastAsia" w:ascii="宋体" w:hAnsi="宋体" w:eastAsia="宋体" w:cs="宋体"/>
          <w:color w:val="auto"/>
          <w:sz w:val="21"/>
          <w:szCs w:val="21"/>
          <w:highlight w:val="none"/>
          <w:u w:val="single"/>
          <w:lang w:val="en-US" w:eastAsia="zh-CN"/>
        </w:rPr>
        <w:t>09</w:t>
      </w:r>
      <w:r>
        <w:rPr>
          <w:rFonts w:hint="eastAsia" w:ascii="宋体" w:hAnsi="宋体" w:eastAsia="宋体" w:cs="宋体"/>
          <w:color w:val="auto"/>
          <w:sz w:val="21"/>
          <w:szCs w:val="21"/>
          <w:highlight w:val="none"/>
          <w:u w:val="single"/>
        </w:rPr>
        <w:t>点</w:t>
      </w:r>
      <w:r>
        <w:rPr>
          <w:rFonts w:hint="eastAsia" w:ascii="宋体" w:hAnsi="宋体" w:eastAsia="宋体" w:cs="宋体"/>
          <w:color w:val="auto"/>
          <w:sz w:val="21"/>
          <w:szCs w:val="21"/>
          <w:highlight w:val="none"/>
          <w:u w:val="single"/>
          <w:lang w:val="en-US" w:eastAsia="zh-CN"/>
        </w:rPr>
        <w:t>00</w:t>
      </w:r>
      <w:r>
        <w:rPr>
          <w:rFonts w:hint="eastAsia" w:ascii="宋体" w:hAnsi="宋体" w:eastAsia="宋体" w:cs="宋体"/>
          <w:color w:val="auto"/>
          <w:sz w:val="21"/>
          <w:szCs w:val="21"/>
          <w:highlight w:val="none"/>
          <w:u w:val="single"/>
        </w:rPr>
        <w:t>分00秒</w:t>
      </w:r>
      <w:r>
        <w:rPr>
          <w:rFonts w:hint="eastAsia" w:ascii="宋体" w:hAnsi="宋体" w:eastAsia="宋体" w:cs="宋体"/>
          <w:color w:val="auto"/>
          <w:sz w:val="21"/>
          <w:szCs w:val="21"/>
          <w:highlight w:val="none"/>
        </w:rPr>
        <w:t>（北京时间）</w:t>
      </w:r>
    </w:p>
    <w:p w14:paraId="5E76C0D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投标地点（网址）：广西政府采购云平台（https</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//www.gcy.zfcg.gxzf.gov.cn/） </w:t>
      </w:r>
    </w:p>
    <w:p w14:paraId="7D6A9949">
      <w:pPr>
        <w:spacing w:line="360" w:lineRule="auto"/>
        <w:ind w:firstLine="420" w:firstLineChars="200"/>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rPr>
        <w:t>开标时间：</w:t>
      </w:r>
      <w:r>
        <w:rPr>
          <w:rFonts w:hint="eastAsia" w:ascii="宋体" w:hAnsi="宋体" w:eastAsia="宋体" w:cs="宋体"/>
          <w:color w:val="auto"/>
          <w:sz w:val="21"/>
          <w:szCs w:val="21"/>
          <w:highlight w:val="none"/>
          <w:u w:val="single"/>
        </w:rPr>
        <w:t>202</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color w:val="auto"/>
          <w:sz w:val="21"/>
          <w:szCs w:val="21"/>
          <w:highlight w:val="none"/>
          <w:u w:val="single"/>
        </w:rPr>
        <w:t>年</w:t>
      </w:r>
      <w:r>
        <w:rPr>
          <w:rFonts w:hint="eastAsia" w:ascii="宋体" w:hAnsi="宋体" w:cs="宋体"/>
          <w:color w:val="auto"/>
          <w:sz w:val="21"/>
          <w:szCs w:val="21"/>
          <w:highlight w:val="none"/>
          <w:u w:val="single"/>
          <w:lang w:val="en-US" w:eastAsia="zh-CN"/>
        </w:rPr>
        <w:t>10</w:t>
      </w:r>
      <w:r>
        <w:rPr>
          <w:rFonts w:hint="eastAsia" w:ascii="宋体" w:hAnsi="宋体" w:eastAsia="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20</w:t>
      </w:r>
      <w:r>
        <w:rPr>
          <w:rFonts w:hint="eastAsia" w:ascii="宋体" w:hAnsi="宋体" w:eastAsia="宋体" w:cs="宋体"/>
          <w:color w:val="auto"/>
          <w:sz w:val="21"/>
          <w:szCs w:val="21"/>
          <w:highlight w:val="none"/>
          <w:u w:val="single"/>
        </w:rPr>
        <w:t>日</w:t>
      </w:r>
      <w:r>
        <w:rPr>
          <w:rFonts w:hint="eastAsia" w:ascii="宋体" w:hAnsi="宋体" w:eastAsia="宋体" w:cs="宋体"/>
          <w:color w:val="auto"/>
          <w:sz w:val="21"/>
          <w:szCs w:val="21"/>
          <w:highlight w:val="none"/>
          <w:u w:val="single"/>
          <w:lang w:val="en-US" w:eastAsia="zh-CN"/>
        </w:rPr>
        <w:t>09</w:t>
      </w:r>
      <w:r>
        <w:rPr>
          <w:rFonts w:hint="eastAsia" w:ascii="宋体" w:hAnsi="宋体" w:eastAsia="宋体" w:cs="宋体"/>
          <w:color w:val="auto"/>
          <w:sz w:val="21"/>
          <w:szCs w:val="21"/>
          <w:highlight w:val="none"/>
          <w:u w:val="single"/>
        </w:rPr>
        <w:t>点</w:t>
      </w:r>
      <w:r>
        <w:rPr>
          <w:rFonts w:hint="eastAsia" w:ascii="宋体" w:hAnsi="宋体" w:eastAsia="宋体" w:cs="宋体"/>
          <w:color w:val="auto"/>
          <w:sz w:val="21"/>
          <w:szCs w:val="21"/>
          <w:highlight w:val="none"/>
          <w:u w:val="single"/>
          <w:lang w:val="en-US" w:eastAsia="zh-CN"/>
        </w:rPr>
        <w:t>00</w:t>
      </w:r>
      <w:r>
        <w:rPr>
          <w:rFonts w:hint="eastAsia" w:ascii="宋体" w:hAnsi="宋体" w:eastAsia="宋体" w:cs="宋体"/>
          <w:color w:val="auto"/>
          <w:sz w:val="21"/>
          <w:szCs w:val="21"/>
          <w:highlight w:val="none"/>
          <w:u w:val="single"/>
        </w:rPr>
        <w:t>分00秒</w:t>
      </w:r>
    </w:p>
    <w:p w14:paraId="196F63E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开标地点（网址）：广西政府采购云平台（https</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//www.gcy.zfcg.gxzf.gov.cn/）</w:t>
      </w:r>
    </w:p>
    <w:p w14:paraId="5F4737E4">
      <w:pPr>
        <w:spacing w:line="360" w:lineRule="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 xml:space="preserve">五、公告期限 </w:t>
      </w:r>
    </w:p>
    <w:p w14:paraId="07F7585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自本公告发布之日起5个工作日。</w:t>
      </w:r>
    </w:p>
    <w:p w14:paraId="12B6BE7F">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六、其他补充事宜</w:t>
      </w:r>
    </w:p>
    <w:p w14:paraId="2674CE1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1.投标保证金：</w:t>
      </w:r>
      <w:r>
        <w:rPr>
          <w:rFonts w:hint="eastAsia" w:ascii="宋体" w:hAnsi="宋体" w:eastAsia="宋体" w:cs="宋体"/>
          <w:color w:val="auto"/>
          <w:sz w:val="21"/>
          <w:szCs w:val="21"/>
          <w:highlight w:val="none"/>
          <w:lang w:val="en-US" w:eastAsia="zh-CN"/>
        </w:rPr>
        <w:t>无</w:t>
      </w:r>
      <w:r>
        <w:rPr>
          <w:rFonts w:hint="eastAsia" w:ascii="宋体" w:hAnsi="宋体" w:eastAsia="宋体" w:cs="宋体"/>
          <w:color w:val="auto"/>
          <w:sz w:val="21"/>
          <w:szCs w:val="21"/>
          <w:highlight w:val="none"/>
        </w:rPr>
        <w:t>。</w:t>
      </w:r>
    </w:p>
    <w:p w14:paraId="22593F4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2.本项目需要落实的政府采购政策：</w:t>
      </w:r>
    </w:p>
    <w:p w14:paraId="0C26E2F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（1）支持采用本国产品：政府采购应当采购本国产品，确需采购进口产品的，实行审核管理。优先采购向我国企业转让技术、与我国企业签订消化吸收再创新方案的</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的进口产品。</w:t>
      </w:r>
    </w:p>
    <w:p w14:paraId="00B44C9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（2）支持绿色发展：落实强制采购节能产品、鼓励节能政策；鼓励环保政策；推广使用绿色包装；采购绿色建材等。</w:t>
      </w:r>
    </w:p>
    <w:p w14:paraId="058DD26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支持中小企业发展：采购限额标准以上，200万元以下的货物和服务采购项目、400万元以下的工程采购项目，适宜由中小企业提供的，采购人应当专门面向中小企业采购。超过200万元的货物和服务采购项目、超过400万元的工程采购项目中适宜由中小企业提供的，预留该部分采购项目预算总额的30%以上专门面向中小企业采购，其中预留给小微企业的比例不低于60%。对于未预留份额专门面向中小企业采购的政府采购项目，以及预留份额政府采购项目中的非预留部分标项，对小型和微型企业的投标报价给予20%的扣除，用扣除后的价格参与评审。</w:t>
      </w:r>
    </w:p>
    <w:p w14:paraId="77C65B2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（4）支持监狱企业、残疾人福利性单位发展：监狱企业、残疾人福利性单位视同小型和微型企业。</w:t>
      </w:r>
    </w:p>
    <w:p w14:paraId="1A9B537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（5）支持创新发展：优先采购被认定为首台套产品和“制造精品”的自主创新产品。</w:t>
      </w:r>
    </w:p>
    <w:p w14:paraId="53AD8AA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（6）平等对待内外资企业和符合条件的破产重整企业。</w:t>
      </w:r>
    </w:p>
    <w:p w14:paraId="1D87EED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snapToGrid w:val="0"/>
          <w:color w:val="auto"/>
          <w:kern w:val="28"/>
          <w:sz w:val="21"/>
          <w:szCs w:val="21"/>
          <w:highlight w:val="none"/>
        </w:rPr>
        <w:t>3.为支持和促进中小企业发展，进一步发挥政府采购政策功能，北海市财政局与北海市工业和信息化局共同出台了《关于贯彻落实政府采购领域促进中小企业发展措施的通知》，</w:t>
      </w:r>
      <w:r>
        <w:rPr>
          <w:rFonts w:hint="eastAsia" w:ascii="宋体" w:hAnsi="宋体" w:eastAsia="宋体" w:cs="宋体"/>
          <w:snapToGrid w:val="0"/>
          <w:color w:val="auto"/>
          <w:kern w:val="28"/>
          <w:sz w:val="21"/>
          <w:szCs w:val="21"/>
          <w:highlight w:val="none"/>
          <w:lang w:eastAsia="zh-CN"/>
        </w:rPr>
        <w:t>投标人</w:t>
      </w:r>
      <w:r>
        <w:rPr>
          <w:rFonts w:hint="eastAsia" w:ascii="宋体" w:hAnsi="宋体" w:eastAsia="宋体" w:cs="宋体"/>
          <w:snapToGrid w:val="0"/>
          <w:color w:val="auto"/>
          <w:kern w:val="28"/>
          <w:sz w:val="21"/>
          <w:szCs w:val="21"/>
          <w:highlight w:val="none"/>
        </w:rPr>
        <w:t>若有融资意向，详见《关于贯彻落实政府采购领域促进中小企业发展措施的通知》，或登录北海市政府采购中心网站自助查询。</w:t>
      </w:r>
      <w:r>
        <w:rPr>
          <w:rFonts w:hint="eastAsia" w:ascii="宋体" w:hAnsi="宋体" w:eastAsia="宋体" w:cs="宋体"/>
          <w:snapToGrid w:val="0"/>
          <w:color w:val="auto"/>
          <w:kern w:val="28"/>
          <w:sz w:val="21"/>
          <w:szCs w:val="21"/>
          <w:highlight w:val="none"/>
          <w:lang w:eastAsia="zh-CN"/>
        </w:rPr>
        <w:t>投标人</w:t>
      </w:r>
      <w:r>
        <w:rPr>
          <w:rFonts w:hint="eastAsia" w:ascii="宋体" w:hAnsi="宋体" w:eastAsia="宋体" w:cs="宋体"/>
          <w:snapToGrid w:val="0"/>
          <w:color w:val="auto"/>
          <w:kern w:val="28"/>
          <w:sz w:val="21"/>
          <w:szCs w:val="21"/>
          <w:highlight w:val="none"/>
        </w:rPr>
        <w:t>中标后也可在“广西政府采购云”平台申请政采贷：操作路径：登录广西政府采购云平台-金融服务中心-【融资服务】，可在热门申请中选择产品直接申请。</w:t>
      </w:r>
    </w:p>
    <w:p w14:paraId="136767FE">
      <w:pPr>
        <w:keepNext w:val="0"/>
        <w:keepLines w:val="0"/>
        <w:pageBreakBefore w:val="0"/>
        <w:widowControl w:val="0"/>
        <w:kinsoku/>
        <w:wordWrap w:val="0"/>
        <w:overflowPunct/>
        <w:topLinePunct w:val="0"/>
        <w:autoSpaceDE/>
        <w:autoSpaceDN/>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4.网上公告媒体查询：</w:t>
      </w:r>
      <w:r>
        <w:rPr>
          <w:rFonts w:hint="eastAsia" w:ascii="宋体" w:hAnsi="宋体" w:eastAsia="宋体" w:cs="宋体"/>
          <w:color w:val="auto"/>
          <w:szCs w:val="21"/>
          <w:highlight w:val="none"/>
        </w:rPr>
        <w:t>广西政府采购网（http：//zfcg.gxzf.gov.cn/）、中国政府采购网（http：//www.ccgp.gov.cn//）</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全国公共资源交易平台(广西·北海)</w:t>
      </w:r>
      <w:r>
        <w:rPr>
          <w:rFonts w:hint="eastAsia" w:ascii="宋体" w:hAnsi="宋体" w:eastAsia="宋体" w:cs="宋体"/>
          <w:color w:val="auto"/>
          <w:szCs w:val="21"/>
          <w:highlight w:val="none"/>
          <w:lang w:eastAsia="zh-CN"/>
        </w:rPr>
        <w:t>（http：//ggzy.jgswj.gxzf.gov.cn/bhggzy/）</w:t>
      </w:r>
      <w:r>
        <w:rPr>
          <w:rFonts w:hint="eastAsia" w:ascii="宋体" w:hAnsi="宋体" w:eastAsia="宋体" w:cs="宋体"/>
          <w:color w:val="auto"/>
          <w:sz w:val="21"/>
          <w:szCs w:val="21"/>
          <w:highlight w:val="none"/>
        </w:rPr>
        <w:t>。</w:t>
      </w:r>
    </w:p>
    <w:p w14:paraId="1985D124">
      <w:pPr>
        <w:keepNext w:val="0"/>
        <w:keepLines w:val="0"/>
        <w:pageBreakBefore w:val="0"/>
        <w:widowControl w:val="0"/>
        <w:kinsoku/>
        <w:wordWrap w:val="0"/>
        <w:overflowPunct/>
        <w:topLinePunct w:val="0"/>
        <w:autoSpaceDE/>
        <w:autoSpaceDN/>
        <w:bidi w:val="0"/>
        <w:adjustRightIn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5.本项目通过广西政府采购云平台实行在线投标响应（电子投标），为确保网上操作合法、有效和安全，</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应当在</w:t>
      </w:r>
      <w:r>
        <w:rPr>
          <w:rFonts w:hint="eastAsia" w:ascii="宋体" w:hAnsi="宋体" w:eastAsia="宋体" w:cs="宋体"/>
          <w:color w:val="auto"/>
          <w:sz w:val="21"/>
          <w:szCs w:val="21"/>
          <w:highlight w:val="none"/>
          <w:lang w:eastAsia="zh-CN"/>
        </w:rPr>
        <w:t>投标截止时间</w:t>
      </w:r>
      <w:r>
        <w:rPr>
          <w:rFonts w:hint="eastAsia" w:ascii="宋体" w:hAnsi="宋体" w:eastAsia="宋体" w:cs="宋体"/>
          <w:color w:val="auto"/>
          <w:sz w:val="21"/>
          <w:szCs w:val="21"/>
          <w:highlight w:val="none"/>
        </w:rPr>
        <w:t>前完成在“广西政府采购云平台”的身份认证，确保在电子投标过程中能够对相关数据电文进行加密和使用电子签章。使用“广西政府采购云平台电子交易客户端”需要提前申领CA数字证书，CA证书申请操作指南下载地址（网上申请方式见网址：http</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//www.ccgp-guangxi.gov.cn/luban/detail?parentId=66479&amp;articleId=pSO9fZ16UrkQX4GkrKyqiA==&amp;utm=luban.luban-PC-38919.1085-pc-wsg-guangxi-secondPage-front.1.2e18f760d69611ed8f2cc9701088ccbf）（广西政府采购网）或（现场办理：https</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//www.gxca.com.cn/detail/detail?articleId=1546808615271264258&amp;classifyId=1546335737551556610&amp;pid=1546335679795990530（广西壮族自治区数字证书认证中心）。</w:t>
      </w:r>
    </w:p>
    <w:p w14:paraId="637D34E9">
      <w:pPr>
        <w:keepNext w:val="0"/>
        <w:keepLines w:val="0"/>
        <w:pageBreakBefore w:val="0"/>
        <w:widowControl w:val="0"/>
        <w:kinsoku/>
        <w:wordWrap w:val="0"/>
        <w:overflowPunct/>
        <w:topLinePunct w:val="0"/>
        <w:autoSpaceDE/>
        <w:autoSpaceDN/>
        <w:bidi w:val="0"/>
        <w:adjustRightIn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6.各</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通过广西政府采购云平台参与政府采购项目投标需下载使用新版客户端，新版客户端下载路径：广西政府采购网（http</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zfcg.gxzf.gov.cn/）—办事服务—下载专区—广西政府采购云平台新版客户端。电子响应文件制作与投送教程请登录广西政府采购云平台“服务中心-帮助文档-项目采购-操作流程-电子招投标-政府采购项目电子交易管理操作指南-</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w:t>
      </w:r>
    </w:p>
    <w:p w14:paraId="2BD108F7">
      <w:pPr>
        <w:keepNext w:val="0"/>
        <w:keepLines w:val="0"/>
        <w:pageBreakBefore w:val="0"/>
        <w:widowControl w:val="0"/>
        <w:kinsoku/>
        <w:wordWrap w:val="0"/>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7.单位负责人为同一人或者存在直接控股、管理关系的不同</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，不得参加同一合同项下的政府采购活动；为采购项目提供整体设计、规范编制或者项目管理、监理、检测等服务后不得再参加该采购项目的其他采购活动。</w:t>
      </w:r>
    </w:p>
    <w:p w14:paraId="0964F6D4">
      <w:pPr>
        <w:keepNext w:val="0"/>
        <w:keepLines w:val="0"/>
        <w:pageBreakBefore w:val="0"/>
        <w:widowControl w:val="0"/>
        <w:kinsoku/>
        <w:wordWrap w:val="0"/>
        <w:overflowPunct/>
        <w:topLinePunct w:val="0"/>
        <w:autoSpaceDE/>
        <w:autoSpaceDN/>
        <w:bidi w:val="0"/>
        <w:adjustRightIn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本项目采用远程异地评标。</w:t>
      </w:r>
    </w:p>
    <w:p w14:paraId="41DFD182">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七、对本次采购提出询问、质疑、投诉，请按以下方式联系</w:t>
      </w:r>
    </w:p>
    <w:p w14:paraId="73EEB1C5">
      <w:pPr>
        <w:keepNext w:val="0"/>
        <w:keepLines w:val="0"/>
        <w:pageBreakBefore w:val="0"/>
        <w:widowControl w:val="0"/>
        <w:kinsoku/>
        <w:wordWrap/>
        <w:overflowPunct/>
        <w:topLinePunct w:val="0"/>
        <w:autoSpaceDE/>
        <w:autoSpaceDN/>
        <w:bidi w:val="0"/>
        <w:adjustRightInd/>
        <w:snapToGrid/>
        <w:spacing w:before="0" w:after="0" w:line="400" w:lineRule="exact"/>
        <w:ind w:firstLine="211" w:firstLineChars="100"/>
        <w:textAlignment w:val="auto"/>
        <w:outlineLvl w:val="9"/>
        <w:rPr>
          <w:rFonts w:hint="eastAsia" w:ascii="宋体" w:hAnsi="宋体" w:eastAsia="宋体" w:cs="宋体"/>
          <w:b/>
          <w:color w:val="auto"/>
          <w:sz w:val="21"/>
          <w:szCs w:val="21"/>
          <w:highlight w:val="none"/>
        </w:rPr>
      </w:pPr>
      <w:bookmarkStart w:id="12" w:name="_Toc28359019"/>
      <w:bookmarkStart w:id="13" w:name="_Toc35393637"/>
      <w:bookmarkStart w:id="14" w:name="_Toc2074"/>
      <w:bookmarkStart w:id="15" w:name="_Toc35393806"/>
      <w:bookmarkStart w:id="16" w:name="_Toc28359096"/>
      <w:r>
        <w:rPr>
          <w:rFonts w:hint="eastAsia" w:ascii="宋体" w:hAnsi="宋体" w:eastAsia="宋体" w:cs="宋体"/>
          <w:b/>
          <w:color w:val="auto"/>
          <w:sz w:val="21"/>
          <w:szCs w:val="21"/>
          <w:highlight w:val="none"/>
        </w:rPr>
        <w:t>1.</w:t>
      </w:r>
      <w:r>
        <w:rPr>
          <w:rFonts w:hint="eastAsia" w:ascii="宋体" w:hAnsi="宋体" w:eastAsia="宋体" w:cs="宋体"/>
          <w:b/>
          <w:color w:val="auto"/>
          <w:sz w:val="21"/>
          <w:szCs w:val="21"/>
          <w:highlight w:val="none"/>
          <w:lang w:eastAsia="zh-CN"/>
        </w:rPr>
        <w:t>招标人</w:t>
      </w:r>
      <w:r>
        <w:rPr>
          <w:rFonts w:hint="eastAsia" w:ascii="宋体" w:hAnsi="宋体" w:eastAsia="宋体" w:cs="宋体"/>
          <w:b/>
          <w:color w:val="auto"/>
          <w:sz w:val="21"/>
          <w:szCs w:val="21"/>
          <w:highlight w:val="none"/>
        </w:rPr>
        <w:t>信息</w:t>
      </w:r>
      <w:bookmarkEnd w:id="12"/>
      <w:bookmarkEnd w:id="13"/>
      <w:bookmarkEnd w:id="14"/>
      <w:bookmarkEnd w:id="15"/>
      <w:bookmarkEnd w:id="16"/>
    </w:p>
    <w:p w14:paraId="3795193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Cs w:val="21"/>
          <w:highlight w:val="none"/>
        </w:rPr>
      </w:pPr>
      <w:bookmarkStart w:id="17" w:name="_Toc28359021"/>
      <w:bookmarkStart w:id="18" w:name="_Toc3367"/>
      <w:bookmarkStart w:id="19" w:name="_Toc28359098"/>
      <w:bookmarkStart w:id="20" w:name="_Toc35393639"/>
      <w:bookmarkStart w:id="21" w:name="_Toc35393808"/>
      <w:r>
        <w:rPr>
          <w:rFonts w:hint="eastAsia" w:ascii="宋体" w:hAnsi="宋体" w:eastAsia="宋体" w:cs="宋体"/>
          <w:color w:val="auto"/>
          <w:szCs w:val="21"/>
          <w:highlight w:val="none"/>
        </w:rPr>
        <w:t>名称：</w:t>
      </w:r>
      <w:r>
        <w:rPr>
          <w:rFonts w:hint="eastAsia" w:ascii="宋体" w:hAnsi="宋体" w:cs="宋体"/>
          <w:color w:val="auto"/>
          <w:szCs w:val="21"/>
          <w:highlight w:val="none"/>
          <w:lang w:eastAsia="zh-CN"/>
        </w:rPr>
        <w:t xml:space="preserve">北海市海城区市政管理和交通运输局 </w:t>
      </w:r>
      <w:r>
        <w:rPr>
          <w:rFonts w:hint="eastAsia" w:ascii="宋体" w:hAnsi="宋体" w:eastAsia="宋体" w:cs="宋体"/>
          <w:color w:val="auto"/>
          <w:szCs w:val="21"/>
          <w:highlight w:val="none"/>
        </w:rPr>
        <w:t xml:space="preserve"> </w:t>
      </w:r>
    </w:p>
    <w:p w14:paraId="2D6A33DA">
      <w:pPr>
        <w:keepNext w:val="0"/>
        <w:keepLines w:val="0"/>
        <w:pageBreakBefore w:val="0"/>
        <w:widowControl w:val="0"/>
        <w:kinsoku/>
        <w:wordWrap/>
        <w:overflowPunct/>
        <w:topLinePunct w:val="0"/>
        <w:autoSpaceDE/>
        <w:autoSpaceDN/>
        <w:bidi w:val="0"/>
        <w:adjustRightInd/>
        <w:snapToGrid/>
        <w:spacing w:before="0" w:after="0" w:line="400" w:lineRule="exact"/>
        <w:ind w:firstLine="420" w:firstLineChars="200"/>
        <w:textAlignment w:val="auto"/>
        <w:outlineLvl w:val="9"/>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地址：北海市海城区沈四村西路8号</w:t>
      </w:r>
    </w:p>
    <w:p w14:paraId="20AFCFF7">
      <w:pPr>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firstLine="420" w:firstLineChars="200"/>
        <w:textAlignment w:val="auto"/>
        <w:outlineLvl w:val="9"/>
        <w:rPr>
          <w:rFonts w:hint="default" w:ascii="宋体" w:hAnsi="宋体" w:eastAsia="宋体" w:cs="宋体"/>
          <w:color w:val="auto"/>
          <w:sz w:val="21"/>
          <w:szCs w:val="21"/>
          <w:highlight w:val="none"/>
          <w:lang w:val="en-US"/>
        </w:rPr>
      </w:pPr>
      <w:r>
        <w:rPr>
          <w:rFonts w:hint="eastAsia" w:ascii="宋体" w:hAnsi="宋体" w:eastAsia="宋体" w:cs="宋体"/>
          <w:b w:val="0"/>
          <w:bCs/>
          <w:color w:val="auto"/>
          <w:sz w:val="21"/>
          <w:szCs w:val="21"/>
          <w:highlight w:val="none"/>
          <w:lang w:val="en-US" w:eastAsia="zh-CN"/>
        </w:rPr>
        <w:t>联系方式：</w:t>
      </w:r>
      <w:r>
        <w:rPr>
          <w:rFonts w:hint="eastAsia" w:ascii="宋体" w:hAnsi="宋体" w:cs="宋体"/>
          <w:b w:val="0"/>
          <w:bCs/>
          <w:color w:val="auto"/>
          <w:sz w:val="21"/>
          <w:szCs w:val="21"/>
          <w:highlight w:val="none"/>
          <w:lang w:val="en-US" w:eastAsia="zh-CN"/>
        </w:rPr>
        <w:t>苏工  0779-3133205</w:t>
      </w:r>
    </w:p>
    <w:p w14:paraId="253F90FE">
      <w:pPr>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firstLine="211" w:firstLineChars="1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采购代理机构</w:t>
      </w:r>
      <w:r>
        <w:rPr>
          <w:rFonts w:hint="eastAsia" w:ascii="宋体" w:hAnsi="宋体" w:eastAsia="宋体" w:cs="宋体"/>
          <w:b/>
          <w:color w:val="auto"/>
          <w:sz w:val="21"/>
          <w:szCs w:val="21"/>
          <w:highlight w:val="none"/>
          <w:lang w:val="en-US" w:eastAsia="zh-CN"/>
        </w:rPr>
        <w:t>信息</w:t>
      </w:r>
    </w:p>
    <w:p w14:paraId="0206D439">
      <w:pPr>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firstLine="420" w:firstLineChars="2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val="0"/>
          <w:bCs/>
          <w:color w:val="auto"/>
          <w:sz w:val="21"/>
          <w:szCs w:val="21"/>
          <w:highlight w:val="none"/>
          <w:lang w:val="en-US" w:eastAsia="zh-CN"/>
        </w:rPr>
        <w:t>名称：</w:t>
      </w:r>
      <w:r>
        <w:rPr>
          <w:rFonts w:hint="eastAsia" w:ascii="宋体" w:hAnsi="宋体" w:eastAsia="宋体" w:cs="宋体"/>
          <w:b w:val="0"/>
          <w:bCs/>
          <w:color w:val="auto"/>
          <w:sz w:val="21"/>
          <w:szCs w:val="21"/>
          <w:highlight w:val="none"/>
        </w:rPr>
        <w:t xml:space="preserve">广西科联招标中心有限公司 </w:t>
      </w:r>
      <w:r>
        <w:rPr>
          <w:rFonts w:hint="eastAsia" w:ascii="宋体" w:hAnsi="宋体" w:eastAsia="宋体" w:cs="宋体"/>
          <w:b/>
          <w:color w:val="auto"/>
          <w:sz w:val="21"/>
          <w:szCs w:val="21"/>
          <w:highlight w:val="none"/>
        </w:rPr>
        <w:t xml:space="preserve">  </w:t>
      </w:r>
    </w:p>
    <w:p w14:paraId="08D7A64B">
      <w:pPr>
        <w:keepNext w:val="0"/>
        <w:keepLines w:val="0"/>
        <w:pageBreakBefore w:val="0"/>
        <w:widowControl w:val="0"/>
        <w:kinsoku/>
        <w:wordWrap/>
        <w:overflowPunct/>
        <w:topLinePunct w:val="0"/>
        <w:autoSpaceDE/>
        <w:autoSpaceDN/>
        <w:bidi w:val="0"/>
        <w:adjustRightInd/>
        <w:snapToGrid/>
        <w:spacing w:before="0" w:after="0" w:line="400" w:lineRule="exact"/>
        <w:ind w:firstLine="420" w:firstLineChars="200"/>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 xml:space="preserve">地址：北海市北海大道科技大厦三楼    </w:t>
      </w:r>
    </w:p>
    <w:p w14:paraId="6CECC3C1">
      <w:pPr>
        <w:keepNext w:val="0"/>
        <w:keepLines w:val="0"/>
        <w:pageBreakBefore w:val="0"/>
        <w:widowControl w:val="0"/>
        <w:kinsoku/>
        <w:wordWrap/>
        <w:overflowPunct/>
        <w:topLinePunct w:val="0"/>
        <w:autoSpaceDE/>
        <w:autoSpaceDN/>
        <w:bidi w:val="0"/>
        <w:adjustRightInd/>
        <w:snapToGrid/>
        <w:spacing w:before="0" w:after="0" w:line="400" w:lineRule="exact"/>
        <w:ind w:firstLine="420" w:firstLineChars="200"/>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color w:val="auto"/>
          <w:szCs w:val="21"/>
          <w:highlight w:val="none"/>
        </w:rPr>
        <w:t>联系方式：</w:t>
      </w:r>
      <w:r>
        <w:rPr>
          <w:rFonts w:hint="eastAsia" w:ascii="宋体" w:hAnsi="宋体" w:eastAsia="宋体" w:cs="宋体"/>
          <w:b w:val="0"/>
          <w:bCs/>
          <w:color w:val="auto"/>
          <w:sz w:val="21"/>
          <w:szCs w:val="21"/>
          <w:highlight w:val="none"/>
          <w:lang w:val="en-US" w:eastAsia="zh-CN"/>
        </w:rPr>
        <w:t xml:space="preserve">赖亭亭 </w:t>
      </w:r>
      <w:r>
        <w:rPr>
          <w:rFonts w:hint="eastAsia" w:ascii="宋体" w:hAnsi="宋体" w:eastAsia="宋体" w:cs="宋体"/>
          <w:b w:val="0"/>
          <w:bCs/>
          <w:color w:val="auto"/>
          <w:sz w:val="21"/>
          <w:szCs w:val="21"/>
          <w:highlight w:val="none"/>
        </w:rPr>
        <w:t xml:space="preserve">   0779-3832133</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3830266</w:t>
      </w:r>
    </w:p>
    <w:p w14:paraId="15299274">
      <w:pPr>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firstLine="211" w:firstLineChars="1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rPr>
        <w:t>项目联系方式</w:t>
      </w:r>
      <w:bookmarkEnd w:id="17"/>
      <w:bookmarkEnd w:id="18"/>
      <w:bookmarkEnd w:id="19"/>
      <w:bookmarkEnd w:id="20"/>
      <w:bookmarkEnd w:id="21"/>
    </w:p>
    <w:p w14:paraId="6600612C">
      <w:pPr>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firstLine="420" w:firstLineChars="200"/>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 xml:space="preserve">项目联系人：赖亭亭 </w:t>
      </w:r>
      <w:r>
        <w:rPr>
          <w:rFonts w:hint="eastAsia" w:ascii="宋体" w:hAnsi="宋体" w:eastAsia="宋体" w:cs="宋体"/>
          <w:b w:val="0"/>
          <w:bCs/>
          <w:color w:val="auto"/>
          <w:sz w:val="21"/>
          <w:szCs w:val="21"/>
          <w:highlight w:val="none"/>
        </w:rPr>
        <w:t xml:space="preserve"> </w:t>
      </w:r>
      <w:r>
        <w:rPr>
          <w:rFonts w:hint="eastAsia" w:ascii="宋体" w:hAnsi="宋体" w:eastAsia="宋体" w:cs="宋体"/>
          <w:b w:val="0"/>
          <w:bCs/>
          <w:color w:val="auto"/>
          <w:sz w:val="21"/>
          <w:szCs w:val="21"/>
          <w:highlight w:val="none"/>
          <w:lang w:val="en-US" w:eastAsia="zh-CN"/>
        </w:rPr>
        <w:t xml:space="preserve">   </w:t>
      </w:r>
      <w:r>
        <w:rPr>
          <w:rFonts w:hint="eastAsia" w:ascii="宋体" w:hAnsi="宋体" w:eastAsia="宋体" w:cs="宋体"/>
          <w:color w:val="auto"/>
          <w:szCs w:val="21"/>
          <w:highlight w:val="none"/>
          <w:lang w:val="en-US" w:eastAsia="zh-CN"/>
        </w:rPr>
        <w:t>联系方式</w:t>
      </w:r>
      <w:r>
        <w:rPr>
          <w:rFonts w:hint="eastAsia" w:ascii="宋体" w:hAnsi="宋体" w:eastAsia="宋体" w:cs="宋体"/>
          <w:color w:val="auto"/>
          <w:szCs w:val="21"/>
          <w:highlight w:val="none"/>
        </w:rPr>
        <w:t>：</w:t>
      </w:r>
      <w:r>
        <w:rPr>
          <w:rFonts w:hint="eastAsia" w:ascii="宋体" w:hAnsi="宋体" w:eastAsia="宋体" w:cs="宋体"/>
          <w:b w:val="0"/>
          <w:bCs/>
          <w:color w:val="auto"/>
          <w:sz w:val="21"/>
          <w:szCs w:val="21"/>
          <w:highlight w:val="none"/>
        </w:rPr>
        <w:t>0779-3832133</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3830266</w:t>
      </w:r>
    </w:p>
    <w:p w14:paraId="40677B4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0E15CB1B">
      <w:pPr>
        <w:spacing w:line="360" w:lineRule="auto"/>
        <w:rPr>
          <w:rFonts w:hint="eastAsia" w:ascii="宋体" w:hAnsi="宋体" w:eastAsia="宋体" w:cs="宋体"/>
          <w:color w:val="auto"/>
          <w:sz w:val="21"/>
          <w:szCs w:val="21"/>
          <w:highlight w:val="none"/>
        </w:rPr>
      </w:pPr>
    </w:p>
    <w:p w14:paraId="78B6A6D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若对项目采购电子交易系统操作有疑问，可登录广西政府采购云平台（https</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//www.gcy.zfcg.gxzf.gov.cn/），点击右侧咨询小采，获取采小蜜智能服务管家帮助，或拨打广西政府采购云平台服务热线95763获取热线服务帮助。</w:t>
      </w:r>
    </w:p>
    <w:p w14:paraId="12281DA0">
      <w:pPr>
        <w:spacing w:line="360" w:lineRule="auto"/>
        <w:ind w:firstLine="480" w:firstLineChars="200"/>
        <w:rPr>
          <w:rFonts w:hint="eastAsia" w:ascii="宋体" w:hAnsi="宋体" w:eastAsia="宋体" w:cs="宋体"/>
          <w:color w:val="auto"/>
          <w:sz w:val="24"/>
          <w:highlight w:val="none"/>
        </w:rPr>
      </w:pPr>
    </w:p>
    <w:p w14:paraId="265F7673">
      <w:pPr>
        <w:pStyle w:val="35"/>
        <w:spacing w:line="360" w:lineRule="auto"/>
        <w:rPr>
          <w:rFonts w:hint="eastAsia" w:ascii="宋体" w:hAnsi="宋体" w:eastAsia="宋体" w:cs="宋体"/>
          <w:b/>
          <w:color w:val="auto"/>
          <w:sz w:val="36"/>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
          <w:color w:val="auto"/>
          <w:sz w:val="36"/>
          <w:szCs w:val="20"/>
          <w:highlight w:val="none"/>
        </w:rPr>
        <w:t xml:space="preserve"> </w:t>
      </w:r>
    </w:p>
    <w:p w14:paraId="2AD2DFB2">
      <w:pPr>
        <w:pStyle w:val="84"/>
        <w:rPr>
          <w:rFonts w:hint="eastAsia" w:ascii="宋体" w:hAnsi="宋体" w:eastAsia="宋体" w:cs="宋体"/>
          <w:snapToGrid w:val="0"/>
          <w:color w:val="auto"/>
          <w:highlight w:val="none"/>
        </w:rPr>
      </w:pPr>
      <w:r>
        <w:rPr>
          <w:rFonts w:hint="eastAsia" w:ascii="宋体" w:hAnsi="宋体" w:eastAsia="宋体" w:cs="宋体"/>
          <w:color w:val="auto"/>
          <w:highlight w:val="none"/>
        </w:rPr>
        <w:br w:type="page"/>
      </w:r>
    </w:p>
    <w:p w14:paraId="2C64E4AA">
      <w:pPr>
        <w:adjustRightInd/>
        <w:spacing w:line="360" w:lineRule="auto"/>
        <w:jc w:val="center"/>
        <w:outlineLvl w:val="0"/>
        <w:rPr>
          <w:rFonts w:hint="eastAsia" w:ascii="宋体" w:hAnsi="宋体" w:eastAsia="宋体" w:cs="宋体"/>
          <w:b/>
          <w:color w:val="auto"/>
          <w:sz w:val="36"/>
          <w:szCs w:val="20"/>
          <w:highlight w:val="none"/>
        </w:rPr>
      </w:pPr>
      <w:bookmarkStart w:id="22" w:name="_Toc176185120"/>
      <w:bookmarkStart w:id="23" w:name="_Toc1658"/>
      <w:r>
        <w:rPr>
          <w:rFonts w:hint="eastAsia" w:ascii="宋体" w:hAnsi="宋体" w:eastAsia="宋体" w:cs="宋体"/>
          <w:b/>
          <w:color w:val="auto"/>
          <w:sz w:val="36"/>
          <w:szCs w:val="20"/>
          <w:highlight w:val="none"/>
        </w:rPr>
        <w:t>第二部分</w:t>
      </w:r>
      <w:bookmarkEnd w:id="7"/>
      <w:r>
        <w:rPr>
          <w:rFonts w:hint="eastAsia" w:ascii="宋体" w:hAnsi="宋体" w:eastAsia="宋体" w:cs="宋体"/>
          <w:b/>
          <w:color w:val="auto"/>
          <w:sz w:val="36"/>
          <w:szCs w:val="20"/>
          <w:highlight w:val="none"/>
        </w:rPr>
        <w:t xml:space="preserve">  投标人须知</w:t>
      </w:r>
      <w:bookmarkEnd w:id="8"/>
      <w:bookmarkEnd w:id="22"/>
      <w:bookmarkEnd w:id="23"/>
    </w:p>
    <w:p w14:paraId="1E5082F9">
      <w:pPr>
        <w:adjustRightInd/>
        <w:spacing w:line="360" w:lineRule="auto"/>
        <w:ind w:firstLine="3845" w:firstLineChars="1197"/>
        <w:outlineLvl w:val="9"/>
        <w:rPr>
          <w:rFonts w:hint="eastAsia" w:ascii="宋体" w:hAnsi="宋体" w:eastAsia="宋体" w:cs="宋体"/>
          <w:b/>
          <w:color w:val="auto"/>
          <w:sz w:val="32"/>
          <w:szCs w:val="20"/>
          <w:highlight w:val="none"/>
        </w:rPr>
      </w:pPr>
      <w:r>
        <w:rPr>
          <w:rFonts w:hint="eastAsia" w:ascii="宋体" w:hAnsi="宋体" w:eastAsia="宋体" w:cs="宋体"/>
          <w:b/>
          <w:color w:val="auto"/>
          <w:sz w:val="32"/>
          <w:szCs w:val="20"/>
          <w:highlight w:val="none"/>
        </w:rPr>
        <w:t>前附表</w:t>
      </w:r>
    </w:p>
    <w:tbl>
      <w:tblPr>
        <w:tblStyle w:val="64"/>
        <w:tblW w:w="9204" w:type="dxa"/>
        <w:tblInd w:w="51"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45" w:type="dxa"/>
          <w:left w:w="96" w:type="dxa"/>
          <w:bottom w:w="45" w:type="dxa"/>
          <w:right w:w="96" w:type="dxa"/>
        </w:tblCellMar>
      </w:tblPr>
      <w:tblGrid>
        <w:gridCol w:w="732"/>
        <w:gridCol w:w="1609"/>
        <w:gridCol w:w="6863"/>
      </w:tblGrid>
      <w:tr w14:paraId="1B0AFB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5" w:type="dxa"/>
            <w:left w:w="96" w:type="dxa"/>
            <w:bottom w:w="45" w:type="dxa"/>
            <w:right w:w="96" w:type="dxa"/>
          </w:tblCellMar>
        </w:tblPrEx>
        <w:trPr>
          <w:trHeight w:val="0" w:hRule="atLeast"/>
        </w:trPr>
        <w:tc>
          <w:tcPr>
            <w:tcW w:w="732" w:type="dxa"/>
            <w:tcBorders>
              <w:top w:val="single" w:color="auto" w:sz="4" w:space="0"/>
              <w:left w:val="single" w:color="auto" w:sz="4" w:space="0"/>
              <w:bottom w:val="single" w:color="auto" w:sz="4" w:space="0"/>
              <w:right w:val="single" w:color="auto" w:sz="4" w:space="0"/>
            </w:tcBorders>
            <w:vAlign w:val="center"/>
          </w:tcPr>
          <w:p w14:paraId="56D8D49C">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sz w:val="21"/>
                <w:szCs w:val="21"/>
                <w:highlight w:val="none"/>
                <w:lang w:eastAsia="zh-CN"/>
              </w:rPr>
            </w:pPr>
            <w:r>
              <w:rPr>
                <w:rFonts w:hint="eastAsia" w:ascii="宋体" w:hAnsi="宋体" w:cs="宋体"/>
                <w:b/>
                <w:color w:val="auto"/>
                <w:sz w:val="21"/>
                <w:szCs w:val="21"/>
                <w:highlight w:val="none"/>
                <w:lang w:eastAsia="zh-CN"/>
              </w:rPr>
              <w:t>序号</w:t>
            </w:r>
          </w:p>
        </w:tc>
        <w:tc>
          <w:tcPr>
            <w:tcW w:w="1609" w:type="dxa"/>
            <w:tcBorders>
              <w:top w:val="single" w:color="000000" w:sz="8" w:space="0"/>
              <w:left w:val="single" w:color="auto" w:sz="4" w:space="0"/>
              <w:bottom w:val="single" w:color="000000" w:sz="8" w:space="0"/>
              <w:right w:val="single" w:color="000000" w:sz="8" w:space="0"/>
            </w:tcBorders>
            <w:vAlign w:val="center"/>
          </w:tcPr>
          <w:p w14:paraId="6DB61C17">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sz w:val="21"/>
                <w:szCs w:val="21"/>
                <w:highlight w:val="none"/>
                <w:lang w:eastAsia="zh-CN"/>
              </w:rPr>
            </w:pPr>
            <w:r>
              <w:rPr>
                <w:rFonts w:hint="eastAsia" w:ascii="宋体" w:hAnsi="宋体" w:cs="宋体"/>
                <w:b/>
                <w:color w:val="auto"/>
                <w:sz w:val="21"/>
                <w:szCs w:val="21"/>
                <w:highlight w:val="none"/>
                <w:lang w:eastAsia="zh-CN"/>
              </w:rPr>
              <w:t>事项</w:t>
            </w:r>
          </w:p>
        </w:tc>
        <w:tc>
          <w:tcPr>
            <w:tcW w:w="6863" w:type="dxa"/>
            <w:tcBorders>
              <w:top w:val="single" w:color="000000" w:sz="8" w:space="0"/>
              <w:left w:val="single" w:color="000000" w:sz="2" w:space="0"/>
              <w:bottom w:val="single" w:color="000000" w:sz="8" w:space="0"/>
              <w:right w:val="single" w:color="000000" w:sz="8" w:space="0"/>
            </w:tcBorders>
            <w:vAlign w:val="center"/>
          </w:tcPr>
          <w:p w14:paraId="7796BE1D">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sz w:val="21"/>
                <w:szCs w:val="21"/>
                <w:highlight w:val="none"/>
                <w:lang w:eastAsia="zh-CN"/>
              </w:rPr>
            </w:pPr>
            <w:r>
              <w:rPr>
                <w:rFonts w:hint="eastAsia" w:ascii="宋体" w:hAnsi="宋体" w:cs="宋体"/>
                <w:b/>
                <w:color w:val="auto"/>
                <w:sz w:val="21"/>
                <w:szCs w:val="21"/>
                <w:highlight w:val="none"/>
                <w:lang w:eastAsia="zh-CN"/>
              </w:rPr>
              <w:t>本项目的特别规定</w:t>
            </w:r>
          </w:p>
        </w:tc>
      </w:tr>
      <w:tr w14:paraId="15A21F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5" w:type="dxa"/>
            <w:left w:w="96" w:type="dxa"/>
            <w:bottom w:w="45" w:type="dxa"/>
            <w:right w:w="96" w:type="dxa"/>
          </w:tblCellMar>
        </w:tblPrEx>
        <w:trPr>
          <w:trHeight w:val="0" w:hRule="atLeast"/>
        </w:trPr>
        <w:tc>
          <w:tcPr>
            <w:tcW w:w="732" w:type="dxa"/>
            <w:tcBorders>
              <w:top w:val="single" w:color="auto" w:sz="4" w:space="0"/>
              <w:left w:val="single" w:color="auto" w:sz="4" w:space="0"/>
              <w:bottom w:val="single" w:color="auto" w:sz="4" w:space="0"/>
              <w:right w:val="single" w:color="auto" w:sz="4" w:space="0"/>
            </w:tcBorders>
            <w:vAlign w:val="center"/>
          </w:tcPr>
          <w:p w14:paraId="7D0425B8">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609" w:type="dxa"/>
            <w:tcBorders>
              <w:top w:val="single" w:color="000000" w:sz="8" w:space="0"/>
              <w:left w:val="single" w:color="auto" w:sz="4" w:space="0"/>
              <w:bottom w:val="single" w:color="000000" w:sz="8" w:space="0"/>
              <w:right w:val="single" w:color="000000" w:sz="8" w:space="0"/>
            </w:tcBorders>
            <w:vAlign w:val="center"/>
          </w:tcPr>
          <w:p w14:paraId="61541A76">
            <w:pPr>
              <w:keepNext w:val="0"/>
              <w:keepLines w:val="0"/>
              <w:pageBreakBefore w:val="0"/>
              <w:widowControl w:val="0"/>
              <w:kinsoku/>
              <w:wordWrap w:val="0"/>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项目属性与核心产品</w:t>
            </w:r>
          </w:p>
        </w:tc>
        <w:tc>
          <w:tcPr>
            <w:tcW w:w="6863" w:type="dxa"/>
            <w:tcBorders>
              <w:top w:val="single" w:color="000000" w:sz="8" w:space="0"/>
              <w:left w:val="single" w:color="000000" w:sz="2" w:space="0"/>
              <w:bottom w:val="single" w:color="000000" w:sz="8" w:space="0"/>
              <w:right w:val="single" w:color="000000" w:sz="8" w:space="0"/>
            </w:tcBorders>
            <w:vAlign w:val="center"/>
          </w:tcPr>
          <w:p w14:paraId="1D0F05FD">
            <w:pPr>
              <w:keepNext w:val="0"/>
              <w:keepLines w:val="0"/>
              <w:pageBreakBefore w:val="0"/>
              <w:widowControl w:val="0"/>
              <w:kinsoku/>
              <w:wordWrap w:val="0"/>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属性：</w:t>
            </w:r>
            <w:r>
              <w:rPr>
                <w:rFonts w:hint="eastAsia" w:ascii="宋体" w:hAnsi="宋体" w:eastAsia="宋体" w:cs="宋体"/>
                <w:color w:val="auto"/>
                <w:sz w:val="21"/>
                <w:szCs w:val="21"/>
                <w:highlight w:val="none"/>
              </w:rPr>
              <w:t>货物类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rPr>
              <w:t>核心产品为：</w:t>
            </w:r>
            <w:r>
              <w:rPr>
                <w:rFonts w:hint="eastAsia" w:ascii="宋体" w:hAnsi="宋体" w:eastAsia="宋体" w:cs="宋体"/>
                <w:color w:val="auto"/>
                <w:sz w:val="21"/>
                <w:szCs w:val="21"/>
                <w:highlight w:val="none"/>
                <w:u w:val="single"/>
              </w:rPr>
              <w:t xml:space="preserve"> 新能源大型洗扫车</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tc>
      </w:tr>
      <w:tr w14:paraId="5BD63F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5" w:type="dxa"/>
            <w:left w:w="96" w:type="dxa"/>
            <w:bottom w:w="45" w:type="dxa"/>
            <w:right w:w="96" w:type="dxa"/>
          </w:tblCellMar>
        </w:tblPrEx>
        <w:trPr>
          <w:trHeight w:val="0" w:hRule="atLeast"/>
        </w:trPr>
        <w:tc>
          <w:tcPr>
            <w:tcW w:w="732" w:type="dxa"/>
            <w:tcBorders>
              <w:top w:val="single" w:color="auto" w:sz="4" w:space="0"/>
              <w:left w:val="single" w:color="auto" w:sz="4" w:space="0"/>
              <w:bottom w:val="single" w:color="auto" w:sz="4" w:space="0"/>
              <w:right w:val="single" w:color="auto" w:sz="4" w:space="0"/>
            </w:tcBorders>
            <w:vAlign w:val="center"/>
          </w:tcPr>
          <w:p w14:paraId="6CC58454">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609" w:type="dxa"/>
            <w:tcBorders>
              <w:top w:val="single" w:color="000000" w:sz="8" w:space="0"/>
              <w:left w:val="single" w:color="auto" w:sz="4" w:space="0"/>
              <w:bottom w:val="single" w:color="000000" w:sz="8" w:space="0"/>
              <w:right w:val="single" w:color="000000" w:sz="8" w:space="0"/>
            </w:tcBorders>
            <w:vAlign w:val="center"/>
          </w:tcPr>
          <w:p w14:paraId="462D357E">
            <w:pPr>
              <w:keepNext w:val="0"/>
              <w:keepLines w:val="0"/>
              <w:pageBreakBefore w:val="0"/>
              <w:widowControl w:val="0"/>
              <w:kinsoku/>
              <w:wordWrap w:val="0"/>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采购标的及其对应的中小企业划分标准所属行业</w:t>
            </w:r>
          </w:p>
        </w:tc>
        <w:tc>
          <w:tcPr>
            <w:tcW w:w="6863" w:type="dxa"/>
            <w:tcBorders>
              <w:top w:val="single" w:color="000000" w:sz="8" w:space="0"/>
              <w:left w:val="single" w:color="000000" w:sz="2" w:space="0"/>
              <w:bottom w:val="single" w:color="000000" w:sz="8" w:space="0"/>
              <w:right w:val="single" w:color="000000" w:sz="8" w:space="0"/>
            </w:tcBorders>
            <w:vAlign w:val="center"/>
          </w:tcPr>
          <w:p w14:paraId="3AF56932">
            <w:pPr>
              <w:keepNext w:val="0"/>
              <w:keepLines w:val="0"/>
              <w:pageBreakBefore w:val="0"/>
              <w:widowControl w:val="0"/>
              <w:tabs>
                <w:tab w:val="left" w:pos="432"/>
              </w:tabs>
              <w:kinsoku/>
              <w:wordWrap w:val="0"/>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color w:val="auto"/>
                <w:sz w:val="21"/>
                <w:szCs w:val="21"/>
                <w:highlight w:val="none"/>
                <w:lang w:val="en-US"/>
              </w:rPr>
            </w:pPr>
            <w:r>
              <w:rPr>
                <w:rFonts w:hint="eastAsia" w:ascii="宋体" w:hAnsi="宋体" w:eastAsia="宋体" w:cs="宋体"/>
                <w:color w:val="auto"/>
                <w:kern w:val="0"/>
                <w:sz w:val="21"/>
                <w:szCs w:val="21"/>
                <w:highlight w:val="none"/>
              </w:rPr>
              <w:t>标的：</w:t>
            </w:r>
            <w:r>
              <w:rPr>
                <w:rFonts w:hint="eastAsia" w:ascii="宋体" w:hAnsi="宋体" w:eastAsia="宋体" w:cs="宋体"/>
                <w:color w:val="auto"/>
                <w:kern w:val="0"/>
                <w:sz w:val="21"/>
                <w:szCs w:val="21"/>
                <w:highlight w:val="none"/>
                <w:u w:val="single"/>
              </w:rPr>
              <w:t xml:space="preserve"> 新能源3吨压缩车等一批环卫作业车辆</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，属于</w:t>
            </w:r>
            <w:r>
              <w:rPr>
                <w:rFonts w:hint="eastAsia" w:ascii="宋体" w:hAnsi="宋体" w:eastAsia="宋体" w:cs="宋体"/>
                <w:color w:val="auto"/>
                <w:kern w:val="0"/>
                <w:sz w:val="21"/>
                <w:szCs w:val="21"/>
                <w:highlight w:val="none"/>
                <w:u w:val="single"/>
                <w:lang w:val="en-US" w:eastAsia="zh-CN"/>
              </w:rPr>
              <w:t>工业*</w:t>
            </w:r>
            <w:r>
              <w:rPr>
                <w:rFonts w:hint="eastAsia" w:ascii="宋体" w:hAnsi="宋体" w:eastAsia="宋体" w:cs="宋体"/>
                <w:color w:val="auto"/>
                <w:kern w:val="0"/>
                <w:sz w:val="21"/>
                <w:szCs w:val="21"/>
                <w:highlight w:val="none"/>
              </w:rPr>
              <w:t>行业</w:t>
            </w:r>
            <w:r>
              <w:rPr>
                <w:rFonts w:hint="eastAsia" w:ascii="宋体" w:hAnsi="宋体" w:eastAsia="宋体" w:cs="宋体"/>
                <w:color w:val="auto"/>
                <w:kern w:val="0"/>
                <w:sz w:val="21"/>
                <w:szCs w:val="21"/>
                <w:highlight w:val="none"/>
                <w:lang w:eastAsia="zh-CN"/>
              </w:rPr>
              <w:t>。</w:t>
            </w:r>
          </w:p>
        </w:tc>
      </w:tr>
      <w:tr w14:paraId="7E2E2B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5" w:type="dxa"/>
            <w:left w:w="96" w:type="dxa"/>
            <w:bottom w:w="45" w:type="dxa"/>
            <w:right w:w="96" w:type="dxa"/>
          </w:tblCellMar>
        </w:tblPrEx>
        <w:trPr>
          <w:trHeight w:val="0" w:hRule="atLeast"/>
        </w:trPr>
        <w:tc>
          <w:tcPr>
            <w:tcW w:w="732" w:type="dxa"/>
            <w:tcBorders>
              <w:top w:val="single" w:color="auto" w:sz="4" w:space="0"/>
              <w:left w:val="single" w:color="auto" w:sz="4" w:space="0"/>
              <w:bottom w:val="single" w:color="auto" w:sz="4" w:space="0"/>
              <w:right w:val="single" w:color="auto" w:sz="4" w:space="0"/>
            </w:tcBorders>
            <w:vAlign w:val="center"/>
          </w:tcPr>
          <w:p w14:paraId="50B9F1DC">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609" w:type="dxa"/>
            <w:tcBorders>
              <w:top w:val="single" w:color="000000" w:sz="8" w:space="0"/>
              <w:left w:val="single" w:color="auto" w:sz="4" w:space="0"/>
              <w:bottom w:val="single" w:color="000000" w:sz="8" w:space="0"/>
              <w:right w:val="single" w:color="000000" w:sz="8" w:space="0"/>
            </w:tcBorders>
            <w:vAlign w:val="center"/>
          </w:tcPr>
          <w:p w14:paraId="1A59BD64">
            <w:pPr>
              <w:keepNext w:val="0"/>
              <w:keepLines w:val="0"/>
              <w:pageBreakBefore w:val="0"/>
              <w:widowControl w:val="0"/>
              <w:kinsoku/>
              <w:wordWrap w:val="0"/>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是否允许采购进口产品</w:t>
            </w:r>
          </w:p>
        </w:tc>
        <w:tc>
          <w:tcPr>
            <w:tcW w:w="6863" w:type="dxa"/>
            <w:tcBorders>
              <w:top w:val="single" w:color="000000" w:sz="8" w:space="0"/>
              <w:left w:val="single" w:color="000000" w:sz="2" w:space="0"/>
              <w:bottom w:val="single" w:color="000000" w:sz="8" w:space="0"/>
              <w:right w:val="single" w:color="000000" w:sz="8" w:space="0"/>
            </w:tcBorders>
            <w:vAlign w:val="center"/>
          </w:tcPr>
          <w:p w14:paraId="15812095">
            <w:pPr>
              <w:keepNext w:val="0"/>
              <w:keepLines w:val="0"/>
              <w:pageBreakBefore w:val="0"/>
              <w:widowControl w:val="0"/>
              <w:kinsoku/>
              <w:wordWrap w:val="0"/>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color w:val="auto"/>
                <w:kern w:val="0"/>
                <w:sz w:val="21"/>
                <w:szCs w:val="21"/>
                <w:highlight w:val="none"/>
              </w:rPr>
            </w:pPr>
            <w:sdt>
              <w:sdtPr>
                <w:rPr>
                  <w:rFonts w:hint="eastAsia" w:ascii="宋体" w:hAnsi="宋体" w:eastAsia="宋体" w:cs="宋体"/>
                  <w:color w:val="auto"/>
                  <w:kern w:val="0"/>
                  <w:sz w:val="21"/>
                  <w:szCs w:val="21"/>
                  <w:highlight w:val="none"/>
                </w:rPr>
                <w:id w:val="-1828425707"/>
                <w14:checkbox>
                  <w14:checked w14:val="1"/>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宋体" w:hAnsi="Wingdings" w:eastAsia="宋体" w:cs="宋体"/>
                    <w:color w:val="auto"/>
                    <w:kern w:val="0"/>
                    <w:sz w:val="21"/>
                    <w:szCs w:val="21"/>
                    <w:highlight w:val="none"/>
                    <w:lang w:val="en-US" w:eastAsia="zh-CN" w:bidi="ar-SA"/>
                  </w:rPr>
                  <w:t>þ</w:t>
                </w:r>
              </w:sdtContent>
            </w:sdt>
            <w:r>
              <w:rPr>
                <w:rFonts w:hint="eastAsia" w:ascii="宋体" w:hAnsi="宋体" w:eastAsia="宋体" w:cs="宋体"/>
                <w:color w:val="auto"/>
                <w:kern w:val="0"/>
                <w:sz w:val="21"/>
                <w:szCs w:val="21"/>
                <w:highlight w:val="none"/>
              </w:rPr>
              <w:t>本项目不允许采购进口产品。</w:t>
            </w:r>
          </w:p>
          <w:p w14:paraId="366D8649">
            <w:pPr>
              <w:keepNext w:val="0"/>
              <w:keepLines w:val="0"/>
              <w:pageBreakBefore w:val="0"/>
              <w:widowControl w:val="0"/>
              <w:kinsoku/>
              <w:wordWrap w:val="0"/>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color w:val="auto"/>
                <w:sz w:val="21"/>
                <w:szCs w:val="21"/>
                <w:highlight w:val="none"/>
              </w:rPr>
            </w:pPr>
            <w:sdt>
              <w:sdtPr>
                <w:rPr>
                  <w:rFonts w:hint="eastAsia" w:ascii="宋体" w:hAnsi="宋体" w:eastAsia="宋体" w:cs="宋体"/>
                  <w:color w:val="auto"/>
                  <w:kern w:val="0"/>
                  <w:sz w:val="21"/>
                  <w:szCs w:val="21"/>
                  <w:highlight w:val="none"/>
                </w:rPr>
                <w:id w:val="-52852824"/>
                <w14:checkbox>
                  <w14:checked w14:val="0"/>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宋体" w:hAnsi="MS Gothic" w:eastAsia="宋体" w:cs="宋体"/>
                    <w:color w:val="auto"/>
                    <w:kern w:val="0"/>
                    <w:sz w:val="21"/>
                    <w:szCs w:val="21"/>
                    <w:highlight w:val="none"/>
                    <w:lang w:val="en-US" w:eastAsia="zh-CN" w:bidi="ar-SA"/>
                  </w:rPr>
                  <w:t>☐</w:t>
                </w:r>
              </w:sdtContent>
            </w:sdt>
            <w:r>
              <w:rPr>
                <w:rFonts w:hint="eastAsia" w:ascii="宋体" w:hAnsi="宋体" w:eastAsia="宋体" w:cs="宋体"/>
                <w:color w:val="auto"/>
                <w:kern w:val="0"/>
                <w:sz w:val="21"/>
                <w:szCs w:val="21"/>
                <w:highlight w:val="none"/>
              </w:rPr>
              <w:t>可以就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采购进口产品。</w:t>
            </w:r>
          </w:p>
        </w:tc>
      </w:tr>
      <w:tr w14:paraId="7403CB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5" w:type="dxa"/>
            <w:left w:w="96" w:type="dxa"/>
            <w:bottom w:w="45" w:type="dxa"/>
            <w:right w:w="96" w:type="dxa"/>
          </w:tblCellMar>
        </w:tblPrEx>
        <w:trPr>
          <w:trHeight w:val="0" w:hRule="atLeast"/>
        </w:trPr>
        <w:tc>
          <w:tcPr>
            <w:tcW w:w="732" w:type="dxa"/>
            <w:tcBorders>
              <w:top w:val="single" w:color="auto" w:sz="4" w:space="0"/>
              <w:left w:val="single" w:color="auto" w:sz="4" w:space="0"/>
              <w:bottom w:val="single" w:color="auto" w:sz="4" w:space="0"/>
              <w:right w:val="single" w:color="auto" w:sz="4" w:space="0"/>
            </w:tcBorders>
            <w:vAlign w:val="center"/>
          </w:tcPr>
          <w:p w14:paraId="597759CF">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p>
        </w:tc>
        <w:tc>
          <w:tcPr>
            <w:tcW w:w="1609" w:type="dxa"/>
            <w:tcBorders>
              <w:top w:val="single" w:color="000000" w:sz="8" w:space="0"/>
              <w:left w:val="single" w:color="auto" w:sz="4" w:space="0"/>
              <w:bottom w:val="single" w:color="000000" w:sz="8" w:space="0"/>
              <w:right w:val="single" w:color="000000" w:sz="8" w:space="0"/>
            </w:tcBorders>
            <w:vAlign w:val="center"/>
          </w:tcPr>
          <w:p w14:paraId="4138FAED">
            <w:pPr>
              <w:keepNext w:val="0"/>
              <w:keepLines w:val="0"/>
              <w:pageBreakBefore w:val="0"/>
              <w:widowControl w:val="0"/>
              <w:kinsoku/>
              <w:wordWrap w:val="0"/>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允许偏离的条款数量</w:t>
            </w:r>
          </w:p>
        </w:tc>
        <w:tc>
          <w:tcPr>
            <w:tcW w:w="6863" w:type="dxa"/>
            <w:tcBorders>
              <w:top w:val="single" w:color="000000" w:sz="8" w:space="0"/>
              <w:left w:val="single" w:color="000000" w:sz="2" w:space="0"/>
              <w:bottom w:val="single" w:color="000000" w:sz="8" w:space="0"/>
              <w:right w:val="single" w:color="000000" w:sz="8" w:space="0"/>
            </w:tcBorders>
            <w:vAlign w:val="center"/>
          </w:tcPr>
          <w:p w14:paraId="13B0CC0C">
            <w:pPr>
              <w:keepNext w:val="0"/>
              <w:keepLines w:val="0"/>
              <w:pageBreakBefore w:val="0"/>
              <w:widowControl w:val="0"/>
              <w:kinsoku/>
              <w:wordWrap w:val="0"/>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商务条款评审中允许负偏离的条款数为</w:t>
            </w:r>
            <w:r>
              <w:rPr>
                <w:rFonts w:hint="eastAsia" w:ascii="宋体" w:hAnsi="宋体" w:eastAsia="宋体" w:cs="宋体"/>
                <w:color w:val="auto"/>
                <w:sz w:val="21"/>
                <w:szCs w:val="21"/>
                <w:highlight w:val="none"/>
                <w:u w:val="single"/>
              </w:rPr>
              <w:t xml:space="preserve"> 0</w:t>
            </w:r>
            <w:r>
              <w:rPr>
                <w:rFonts w:hint="eastAsia" w:ascii="宋体" w:hAnsi="宋体" w:eastAsia="宋体" w:cs="宋体"/>
                <w:color w:val="auto"/>
                <w:sz w:val="21"/>
                <w:szCs w:val="21"/>
                <w:highlight w:val="none"/>
              </w:rPr>
              <w:t>项。</w:t>
            </w:r>
          </w:p>
          <w:p w14:paraId="30B04F58">
            <w:pPr>
              <w:keepNext w:val="0"/>
              <w:keepLines w:val="0"/>
              <w:pageBreakBefore w:val="0"/>
              <w:widowControl w:val="0"/>
              <w:kinsoku/>
              <w:wordWrap w:val="0"/>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技术条款评审中允许负偏离的条款数为</w:t>
            </w:r>
            <w:r>
              <w:rPr>
                <w:rFonts w:hint="eastAsia" w:ascii="宋体" w:hAnsi="宋体" w:eastAsia="宋体" w:cs="宋体"/>
                <w:color w:val="auto"/>
                <w:sz w:val="21"/>
                <w:szCs w:val="21"/>
                <w:highlight w:val="none"/>
                <w:u w:val="single"/>
                <w:lang w:val="en-US" w:eastAsia="zh-CN"/>
              </w:rPr>
              <w:t xml:space="preserve"> 8 </w:t>
            </w:r>
            <w:r>
              <w:rPr>
                <w:rFonts w:hint="eastAsia" w:ascii="宋体" w:hAnsi="宋体" w:eastAsia="宋体" w:cs="宋体"/>
                <w:color w:val="auto"/>
                <w:sz w:val="21"/>
                <w:szCs w:val="21"/>
                <w:highlight w:val="none"/>
              </w:rPr>
              <w:t>项。</w:t>
            </w:r>
          </w:p>
        </w:tc>
      </w:tr>
      <w:tr w14:paraId="0767AC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5" w:type="dxa"/>
            <w:left w:w="96" w:type="dxa"/>
            <w:bottom w:w="45" w:type="dxa"/>
            <w:right w:w="96" w:type="dxa"/>
          </w:tblCellMar>
        </w:tblPrEx>
        <w:trPr>
          <w:trHeight w:val="0" w:hRule="atLeast"/>
        </w:trPr>
        <w:tc>
          <w:tcPr>
            <w:tcW w:w="732" w:type="dxa"/>
            <w:tcBorders>
              <w:top w:val="single" w:color="auto" w:sz="4" w:space="0"/>
              <w:left w:val="single" w:color="auto" w:sz="4" w:space="0"/>
              <w:bottom w:val="single" w:color="auto" w:sz="4" w:space="0"/>
              <w:right w:val="single" w:color="auto" w:sz="4" w:space="0"/>
            </w:tcBorders>
            <w:vAlign w:val="center"/>
          </w:tcPr>
          <w:p w14:paraId="39E7E199">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p>
        </w:tc>
        <w:tc>
          <w:tcPr>
            <w:tcW w:w="1609" w:type="dxa"/>
            <w:tcBorders>
              <w:top w:val="single" w:color="000000" w:sz="8" w:space="0"/>
              <w:left w:val="single" w:color="auto" w:sz="4" w:space="0"/>
              <w:bottom w:val="single" w:color="000000" w:sz="8" w:space="0"/>
              <w:right w:val="single" w:color="000000" w:sz="8" w:space="0"/>
            </w:tcBorders>
            <w:vAlign w:val="center"/>
          </w:tcPr>
          <w:p w14:paraId="2EC1754B">
            <w:pPr>
              <w:keepNext w:val="0"/>
              <w:keepLines w:val="0"/>
              <w:pageBreakBefore w:val="0"/>
              <w:widowControl w:val="0"/>
              <w:kinsoku/>
              <w:wordWrap w:val="0"/>
              <w:overflowPunct/>
              <w:topLinePunct w:val="0"/>
              <w:autoSpaceDE/>
              <w:autoSpaceDN/>
              <w:bidi w:val="0"/>
              <w:adjustRightInd w:val="0"/>
              <w:snapToGrid w:val="0"/>
              <w:spacing w:line="400" w:lineRule="exact"/>
              <w:ind w:firstLine="422" w:firstLineChars="200"/>
              <w:jc w:val="left"/>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分包</w:t>
            </w:r>
          </w:p>
        </w:tc>
        <w:tc>
          <w:tcPr>
            <w:tcW w:w="6863" w:type="dxa"/>
            <w:tcBorders>
              <w:top w:val="single" w:color="000000" w:sz="8" w:space="0"/>
              <w:left w:val="single" w:color="000000" w:sz="2" w:space="0"/>
              <w:bottom w:val="single" w:color="000000" w:sz="8" w:space="0"/>
              <w:right w:val="single" w:color="000000" w:sz="8" w:space="0"/>
            </w:tcBorders>
            <w:vAlign w:val="center"/>
          </w:tcPr>
          <w:p w14:paraId="0C4B9884">
            <w:pPr>
              <w:keepNext w:val="0"/>
              <w:keepLines w:val="0"/>
              <w:pageBreakBefore w:val="0"/>
              <w:widowControl w:val="0"/>
              <w:kinsoku/>
              <w:wordWrap w:val="0"/>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color w:val="auto"/>
                <w:sz w:val="21"/>
                <w:szCs w:val="21"/>
                <w:highlight w:val="none"/>
              </w:rPr>
            </w:pPr>
            <w:sdt>
              <w:sdtPr>
                <w:rPr>
                  <w:rFonts w:hint="eastAsia" w:ascii="宋体" w:hAnsi="宋体" w:eastAsia="宋体" w:cs="宋体"/>
                  <w:color w:val="auto"/>
                  <w:kern w:val="0"/>
                  <w:sz w:val="21"/>
                  <w:szCs w:val="21"/>
                  <w:highlight w:val="none"/>
                </w:rPr>
                <w:id w:val="-1477286927"/>
                <w14:checkbox>
                  <w14:checked w14:val="0"/>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宋体" w:hAnsi="宋体" w:eastAsia="宋体" w:cs="宋体"/>
                    <w:color w:val="auto"/>
                    <w:kern w:val="0"/>
                    <w:sz w:val="21"/>
                    <w:szCs w:val="21"/>
                    <w:highlight w:val="none"/>
                  </w:rPr>
                  <w:t>☐</w:t>
                </w:r>
              </w:sdtContent>
            </w:sdt>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sz w:val="21"/>
                <w:szCs w:val="21"/>
                <w:highlight w:val="none"/>
              </w:rPr>
              <w:t>同意将非主体、非关键性的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工作分包。</w:t>
            </w:r>
          </w:p>
          <w:p w14:paraId="107D1896">
            <w:pPr>
              <w:keepNext w:val="0"/>
              <w:keepLines w:val="0"/>
              <w:pageBreakBefore w:val="0"/>
              <w:widowControl w:val="0"/>
              <w:kinsoku/>
              <w:wordWrap w:val="0"/>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color w:val="auto"/>
                <w:sz w:val="21"/>
                <w:szCs w:val="21"/>
                <w:highlight w:val="none"/>
              </w:rPr>
            </w:pPr>
            <w:sdt>
              <w:sdtPr>
                <w:rPr>
                  <w:rFonts w:hint="eastAsia" w:ascii="宋体" w:hAnsi="宋体" w:eastAsia="宋体" w:cs="宋体"/>
                  <w:color w:val="auto"/>
                  <w:kern w:val="0"/>
                  <w:sz w:val="21"/>
                  <w:szCs w:val="21"/>
                  <w:highlight w:val="none"/>
                </w:rPr>
                <w:id w:val="-1276331357"/>
                <w14:checkbox>
                  <w14:checked w14:val="1"/>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宋体" w:hAnsi="Wingdings" w:eastAsia="宋体" w:cs="宋体"/>
                    <w:color w:val="auto"/>
                    <w:kern w:val="0"/>
                    <w:sz w:val="21"/>
                    <w:szCs w:val="21"/>
                    <w:highlight w:val="none"/>
                    <w:lang w:val="en-US" w:eastAsia="zh-CN" w:bidi="ar-SA"/>
                  </w:rPr>
                  <w:t>þ</w:t>
                </w:r>
              </w:sdtContent>
            </w:sdt>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sz w:val="21"/>
                <w:szCs w:val="21"/>
                <w:highlight w:val="none"/>
              </w:rPr>
              <w:t>不同意分包。</w:t>
            </w:r>
          </w:p>
          <w:p w14:paraId="1784820E">
            <w:pPr>
              <w:keepNext w:val="0"/>
              <w:keepLines w:val="0"/>
              <w:pageBreakBefore w:val="0"/>
              <w:widowControl w:val="0"/>
              <w:kinsoku/>
              <w:wordWrap w:val="0"/>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注：不得限制大中型企业向小微企业合理分包。</w:t>
            </w:r>
          </w:p>
        </w:tc>
      </w:tr>
      <w:tr w14:paraId="541957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5" w:type="dxa"/>
            <w:left w:w="96" w:type="dxa"/>
            <w:bottom w:w="45" w:type="dxa"/>
            <w:right w:w="96" w:type="dxa"/>
          </w:tblCellMar>
        </w:tblPrEx>
        <w:trPr>
          <w:trHeight w:val="0" w:hRule="atLeast"/>
        </w:trPr>
        <w:tc>
          <w:tcPr>
            <w:tcW w:w="732" w:type="dxa"/>
            <w:tcBorders>
              <w:top w:val="single" w:color="auto" w:sz="4" w:space="0"/>
              <w:left w:val="single" w:color="auto" w:sz="4" w:space="0"/>
              <w:bottom w:val="single" w:color="auto" w:sz="4" w:space="0"/>
              <w:right w:val="single" w:color="auto" w:sz="4" w:space="0"/>
            </w:tcBorders>
            <w:vAlign w:val="center"/>
          </w:tcPr>
          <w:p w14:paraId="6C97FBBF">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w:t>
            </w:r>
          </w:p>
        </w:tc>
        <w:tc>
          <w:tcPr>
            <w:tcW w:w="1609" w:type="dxa"/>
            <w:tcBorders>
              <w:top w:val="single" w:color="000000" w:sz="8" w:space="0"/>
              <w:left w:val="single" w:color="auto" w:sz="4" w:space="0"/>
              <w:bottom w:val="single" w:color="000000" w:sz="8" w:space="0"/>
              <w:right w:val="single" w:color="000000" w:sz="8" w:space="0"/>
            </w:tcBorders>
            <w:vAlign w:val="center"/>
          </w:tcPr>
          <w:p w14:paraId="68764D48">
            <w:pPr>
              <w:keepNext w:val="0"/>
              <w:keepLines w:val="0"/>
              <w:pageBreakBefore w:val="0"/>
              <w:widowControl w:val="0"/>
              <w:kinsoku/>
              <w:wordWrap w:val="0"/>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开标前答疑会或现场考察</w:t>
            </w:r>
          </w:p>
        </w:tc>
        <w:tc>
          <w:tcPr>
            <w:tcW w:w="6863" w:type="dxa"/>
            <w:tcBorders>
              <w:top w:val="single" w:color="000000" w:sz="8" w:space="0"/>
              <w:left w:val="single" w:color="000000" w:sz="2" w:space="0"/>
              <w:bottom w:val="single" w:color="000000" w:sz="8" w:space="0"/>
              <w:right w:val="single" w:color="000000" w:sz="8" w:space="0"/>
            </w:tcBorders>
            <w:vAlign w:val="center"/>
          </w:tcPr>
          <w:p w14:paraId="08E8884C">
            <w:pPr>
              <w:keepNext w:val="0"/>
              <w:keepLines w:val="0"/>
              <w:pageBreakBefore w:val="0"/>
              <w:widowControl w:val="0"/>
              <w:kinsoku/>
              <w:wordWrap w:val="0"/>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color w:val="auto"/>
                <w:sz w:val="21"/>
                <w:szCs w:val="21"/>
                <w:highlight w:val="none"/>
              </w:rPr>
            </w:pPr>
            <w:sdt>
              <w:sdtPr>
                <w:rPr>
                  <w:rFonts w:hint="eastAsia" w:ascii="宋体" w:hAnsi="宋体" w:eastAsia="宋体" w:cs="宋体"/>
                  <w:color w:val="auto"/>
                  <w:kern w:val="0"/>
                  <w:sz w:val="21"/>
                  <w:szCs w:val="21"/>
                  <w:highlight w:val="none"/>
                </w:rPr>
                <w:id w:val="-212966419"/>
                <w14:checkbox>
                  <w14:checked w14:val="1"/>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宋体" w:hAnsi="宋体" w:eastAsia="宋体" w:cs="宋体"/>
                    <w:color w:val="auto"/>
                    <w:kern w:val="0"/>
                    <w:sz w:val="21"/>
                    <w:szCs w:val="21"/>
                    <w:highlight w:val="none"/>
                  </w:rPr>
                  <w:sym w:font="Wingdings" w:char="F0FE"/>
                </w:r>
              </w:sdtContent>
            </w:sdt>
            <w:r>
              <w:rPr>
                <w:rFonts w:hint="eastAsia" w:ascii="宋体" w:hAnsi="宋体" w:eastAsia="宋体" w:cs="宋体"/>
                <w:color w:val="auto"/>
                <w:sz w:val="21"/>
                <w:szCs w:val="21"/>
                <w:highlight w:val="none"/>
              </w:rPr>
              <w:t>不组织。</w:t>
            </w:r>
          </w:p>
          <w:p w14:paraId="50C45DDB">
            <w:pPr>
              <w:keepNext w:val="0"/>
              <w:keepLines w:val="0"/>
              <w:pageBreakBefore w:val="0"/>
              <w:widowControl w:val="0"/>
              <w:kinsoku/>
              <w:wordWrap w:val="0"/>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color w:val="auto"/>
                <w:sz w:val="21"/>
                <w:szCs w:val="21"/>
                <w:highlight w:val="none"/>
              </w:rPr>
            </w:pPr>
            <w:sdt>
              <w:sdtPr>
                <w:rPr>
                  <w:rFonts w:hint="eastAsia" w:ascii="宋体" w:hAnsi="宋体" w:eastAsia="宋体" w:cs="宋体"/>
                  <w:color w:val="auto"/>
                  <w:kern w:val="0"/>
                  <w:sz w:val="21"/>
                  <w:szCs w:val="21"/>
                  <w:highlight w:val="none"/>
                </w:rPr>
                <w:id w:val="-999802974"/>
                <w14:checkbox>
                  <w14:checked w14:val="0"/>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宋体" w:hAnsi="宋体" w:eastAsia="宋体" w:cs="宋体"/>
                    <w:color w:val="auto"/>
                    <w:kern w:val="0"/>
                    <w:sz w:val="21"/>
                    <w:szCs w:val="21"/>
                    <w:highlight w:val="none"/>
                  </w:rPr>
                  <w:t>☐</w:t>
                </w:r>
              </w:sdtContent>
            </w:sdt>
            <w:r>
              <w:rPr>
                <w:rFonts w:hint="eastAsia" w:ascii="宋体" w:hAnsi="宋体" w:eastAsia="宋体" w:cs="宋体"/>
                <w:color w:val="auto"/>
                <w:kern w:val="0"/>
                <w:sz w:val="21"/>
                <w:szCs w:val="21"/>
                <w:highlight w:val="none"/>
              </w:rPr>
              <w:t>组织，</w:t>
            </w:r>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,地点：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，联系方式：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tc>
      </w:tr>
      <w:tr w14:paraId="451937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5" w:type="dxa"/>
            <w:left w:w="96" w:type="dxa"/>
            <w:bottom w:w="45" w:type="dxa"/>
            <w:right w:w="96" w:type="dxa"/>
          </w:tblCellMar>
        </w:tblPrEx>
        <w:trPr>
          <w:trHeight w:val="0" w:hRule="atLeast"/>
        </w:trPr>
        <w:tc>
          <w:tcPr>
            <w:tcW w:w="732" w:type="dxa"/>
            <w:tcBorders>
              <w:top w:val="single" w:color="auto" w:sz="4" w:space="0"/>
              <w:left w:val="single" w:color="auto" w:sz="4" w:space="0"/>
              <w:bottom w:val="single" w:color="auto" w:sz="4" w:space="0"/>
              <w:right w:val="single" w:color="auto" w:sz="4" w:space="0"/>
            </w:tcBorders>
            <w:vAlign w:val="center"/>
          </w:tcPr>
          <w:p w14:paraId="0F3C0A2A">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7</w:t>
            </w:r>
          </w:p>
        </w:tc>
        <w:tc>
          <w:tcPr>
            <w:tcW w:w="1609" w:type="dxa"/>
            <w:tcBorders>
              <w:top w:val="single" w:color="000000" w:sz="8" w:space="0"/>
              <w:left w:val="single" w:color="auto" w:sz="4" w:space="0"/>
              <w:bottom w:val="single" w:color="000000" w:sz="8" w:space="0"/>
              <w:right w:val="single" w:color="000000" w:sz="8" w:space="0"/>
            </w:tcBorders>
            <w:vAlign w:val="center"/>
          </w:tcPr>
          <w:p w14:paraId="052118CE">
            <w:pPr>
              <w:keepNext w:val="0"/>
              <w:keepLines w:val="0"/>
              <w:pageBreakBefore w:val="0"/>
              <w:widowControl w:val="0"/>
              <w:kinsoku/>
              <w:wordWrap w:val="0"/>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样品提供</w:t>
            </w:r>
          </w:p>
        </w:tc>
        <w:tc>
          <w:tcPr>
            <w:tcW w:w="6863" w:type="dxa"/>
            <w:tcBorders>
              <w:top w:val="single" w:color="000000" w:sz="8" w:space="0"/>
              <w:left w:val="single" w:color="000000" w:sz="2" w:space="0"/>
              <w:bottom w:val="single" w:color="000000" w:sz="8" w:space="0"/>
              <w:right w:val="single" w:color="000000" w:sz="8" w:space="0"/>
            </w:tcBorders>
            <w:vAlign w:val="center"/>
          </w:tcPr>
          <w:p w14:paraId="74C96EE7">
            <w:pPr>
              <w:keepNext w:val="0"/>
              <w:keepLines w:val="0"/>
              <w:pageBreakBefore w:val="0"/>
              <w:widowControl w:val="0"/>
              <w:kinsoku/>
              <w:wordWrap w:val="0"/>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color w:val="auto"/>
                <w:sz w:val="21"/>
                <w:szCs w:val="21"/>
                <w:highlight w:val="none"/>
              </w:rPr>
            </w:pPr>
            <w:sdt>
              <w:sdtPr>
                <w:rPr>
                  <w:rFonts w:hint="eastAsia" w:ascii="宋体" w:hAnsi="宋体" w:eastAsia="宋体" w:cs="宋体"/>
                  <w:color w:val="auto"/>
                  <w:kern w:val="0"/>
                  <w:sz w:val="21"/>
                  <w:szCs w:val="21"/>
                  <w:highlight w:val="none"/>
                </w:rPr>
                <w:id w:val="-1639946486"/>
                <w14:checkbox>
                  <w14:checked w14:val="1"/>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宋体" w:hAnsi="宋体" w:eastAsia="宋体" w:cs="宋体"/>
                    <w:color w:val="auto"/>
                    <w:kern w:val="0"/>
                    <w:sz w:val="21"/>
                    <w:szCs w:val="21"/>
                    <w:highlight w:val="none"/>
                  </w:rPr>
                  <w:sym w:font="Wingdings" w:char="F0FE"/>
                </w:r>
              </w:sdtContent>
            </w:sdt>
            <w:r>
              <w:rPr>
                <w:rFonts w:hint="eastAsia" w:ascii="宋体" w:hAnsi="宋体" w:eastAsia="宋体" w:cs="宋体"/>
                <w:color w:val="auto"/>
                <w:sz w:val="21"/>
                <w:szCs w:val="21"/>
                <w:highlight w:val="none"/>
              </w:rPr>
              <w:t>不要求提供。</w:t>
            </w:r>
          </w:p>
          <w:p w14:paraId="6FA5047D">
            <w:pPr>
              <w:keepNext w:val="0"/>
              <w:keepLines w:val="0"/>
              <w:pageBreakBefore w:val="0"/>
              <w:widowControl w:val="0"/>
              <w:kinsoku/>
              <w:wordWrap w:val="0"/>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color w:val="auto"/>
                <w:kern w:val="0"/>
                <w:sz w:val="21"/>
                <w:szCs w:val="21"/>
                <w:highlight w:val="none"/>
              </w:rPr>
            </w:pPr>
            <w:sdt>
              <w:sdtPr>
                <w:rPr>
                  <w:rFonts w:hint="eastAsia" w:ascii="宋体" w:hAnsi="宋体" w:eastAsia="宋体" w:cs="宋体"/>
                  <w:color w:val="auto"/>
                  <w:kern w:val="0"/>
                  <w:sz w:val="21"/>
                  <w:szCs w:val="21"/>
                  <w:highlight w:val="none"/>
                </w:rPr>
                <w:id w:val="1026831988"/>
                <w14:checkbox>
                  <w14:checked w14:val="0"/>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宋体" w:hAnsi="宋体" w:eastAsia="宋体" w:cs="宋体"/>
                    <w:color w:val="auto"/>
                    <w:kern w:val="0"/>
                    <w:sz w:val="21"/>
                    <w:szCs w:val="21"/>
                    <w:highlight w:val="none"/>
                  </w:rPr>
                  <w:t>☐</w:t>
                </w:r>
              </w:sdtContent>
            </w:sdt>
            <w:r>
              <w:rPr>
                <w:rFonts w:hint="eastAsia" w:ascii="宋体" w:hAnsi="宋体" w:eastAsia="宋体" w:cs="宋体"/>
                <w:color w:val="auto"/>
                <w:kern w:val="0"/>
                <w:sz w:val="21"/>
                <w:szCs w:val="21"/>
                <w:highlight w:val="none"/>
              </w:rPr>
              <w:t>要求提供，</w:t>
            </w:r>
          </w:p>
          <w:p w14:paraId="1ACB6D51">
            <w:pPr>
              <w:keepNext w:val="0"/>
              <w:keepLines w:val="0"/>
              <w:pageBreakBefore w:val="0"/>
              <w:widowControl w:val="0"/>
              <w:kinsoku/>
              <w:wordWrap w:val="0"/>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snapToGrid w:val="0"/>
                <w:color w:val="auto"/>
                <w:kern w:val="28"/>
                <w:sz w:val="21"/>
                <w:szCs w:val="21"/>
                <w:highlight w:val="none"/>
              </w:rPr>
              <w:t>样品：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14:paraId="1A2E1CD8">
            <w:pPr>
              <w:keepNext w:val="0"/>
              <w:keepLines w:val="0"/>
              <w:pageBreakBefore w:val="0"/>
              <w:widowControl w:val="0"/>
              <w:kinsoku/>
              <w:wordWrap w:val="0"/>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snapToGrid w:val="0"/>
                <w:color w:val="auto"/>
                <w:kern w:val="28"/>
                <w:sz w:val="21"/>
                <w:szCs w:val="21"/>
                <w:highlight w:val="none"/>
              </w:rPr>
              <w:t>样品制作的标准和要求：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14:paraId="44A45AE3">
            <w:pPr>
              <w:keepNext w:val="0"/>
              <w:keepLines w:val="0"/>
              <w:pageBreakBefore w:val="0"/>
              <w:widowControl w:val="0"/>
              <w:kinsoku/>
              <w:wordWrap w:val="0"/>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（3）样品的评审方法以及评审标准</w:t>
            </w:r>
            <w:r>
              <w:rPr>
                <w:rFonts w:hint="eastAsia" w:ascii="宋体" w:hAnsi="宋体" w:eastAsia="宋体" w:cs="宋体"/>
                <w:snapToGrid w:val="0"/>
                <w:color w:val="auto"/>
                <w:kern w:val="28"/>
                <w:sz w:val="21"/>
                <w:szCs w:val="21"/>
                <w:highlight w:val="none"/>
              </w:rPr>
              <w:t>：详见</w:t>
            </w:r>
            <w:r>
              <w:rPr>
                <w:rFonts w:hint="eastAsia" w:ascii="宋体" w:hAnsi="宋体" w:eastAsia="宋体" w:cs="宋体"/>
                <w:color w:val="auto"/>
                <w:sz w:val="21"/>
                <w:szCs w:val="21"/>
                <w:highlight w:val="none"/>
                <w:u w:val="single"/>
              </w:rPr>
              <w:t>评标办法</w:t>
            </w:r>
            <w:r>
              <w:rPr>
                <w:rFonts w:hint="eastAsia" w:ascii="宋体" w:hAnsi="宋体" w:eastAsia="宋体" w:cs="宋体"/>
                <w:color w:val="auto"/>
                <w:kern w:val="0"/>
                <w:sz w:val="21"/>
                <w:szCs w:val="21"/>
                <w:highlight w:val="none"/>
              </w:rPr>
              <w:t>；</w:t>
            </w:r>
          </w:p>
          <w:p w14:paraId="009438A6">
            <w:pPr>
              <w:keepNext w:val="0"/>
              <w:keepLines w:val="0"/>
              <w:pageBreakBefore w:val="0"/>
              <w:widowControl w:val="0"/>
              <w:kinsoku/>
              <w:wordWrap w:val="0"/>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（4）是否需要随样品提交检测报告：</w:t>
            </w:r>
            <w:sdt>
              <w:sdtPr>
                <w:rPr>
                  <w:rFonts w:hint="eastAsia" w:ascii="宋体" w:hAnsi="宋体" w:eastAsia="宋体" w:cs="宋体"/>
                  <w:color w:val="auto"/>
                  <w:kern w:val="0"/>
                  <w:sz w:val="21"/>
                  <w:szCs w:val="21"/>
                  <w:highlight w:val="none"/>
                </w:rPr>
                <w:id w:val="1303421454"/>
                <w14:checkbox>
                  <w14:checked w14:val="0"/>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宋体" w:hAnsi="宋体" w:eastAsia="宋体" w:cs="宋体"/>
                    <w:color w:val="auto"/>
                    <w:kern w:val="0"/>
                    <w:sz w:val="21"/>
                    <w:szCs w:val="21"/>
                    <w:highlight w:val="none"/>
                  </w:rPr>
                  <w:t>☐</w:t>
                </w:r>
              </w:sdtContent>
            </w:sdt>
            <w:r>
              <w:rPr>
                <w:rFonts w:hint="eastAsia" w:ascii="宋体" w:hAnsi="宋体" w:eastAsia="宋体" w:cs="宋体"/>
                <w:color w:val="auto"/>
                <w:kern w:val="0"/>
                <w:sz w:val="21"/>
                <w:szCs w:val="21"/>
                <w:highlight w:val="none"/>
              </w:rPr>
              <w:t>否；</w:t>
            </w:r>
            <w:sdt>
              <w:sdtPr>
                <w:rPr>
                  <w:rFonts w:hint="eastAsia" w:ascii="宋体" w:hAnsi="宋体" w:eastAsia="宋体" w:cs="宋体"/>
                  <w:color w:val="auto"/>
                  <w:kern w:val="0"/>
                  <w:sz w:val="21"/>
                  <w:szCs w:val="21"/>
                  <w:highlight w:val="none"/>
                </w:rPr>
                <w:id w:val="1621728433"/>
                <w14:checkbox>
                  <w14:checked w14:val="0"/>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宋体" w:hAnsi="宋体" w:eastAsia="宋体" w:cs="宋体"/>
                    <w:color w:val="auto"/>
                    <w:kern w:val="0"/>
                    <w:sz w:val="21"/>
                    <w:szCs w:val="21"/>
                    <w:highlight w:val="none"/>
                  </w:rPr>
                  <w:t>☐</w:t>
                </w:r>
              </w:sdtContent>
            </w:sdt>
            <w:r>
              <w:rPr>
                <w:rFonts w:hint="eastAsia" w:ascii="宋体" w:hAnsi="宋体" w:eastAsia="宋体" w:cs="宋体"/>
                <w:color w:val="auto"/>
                <w:kern w:val="0"/>
                <w:sz w:val="21"/>
                <w:szCs w:val="21"/>
                <w:highlight w:val="none"/>
              </w:rPr>
              <w:t>是，检测机构的要求</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；检测内容</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14:paraId="5591A412">
            <w:pPr>
              <w:keepNext w:val="0"/>
              <w:keepLines w:val="0"/>
              <w:pageBreakBefore w:val="0"/>
              <w:widowControl w:val="0"/>
              <w:kinsoku/>
              <w:wordWrap w:val="0"/>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（5）提供样品的时间：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；地点：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；联系人</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kern w:val="28"/>
                <w:sz w:val="21"/>
                <w:szCs w:val="21"/>
                <w:highlight w:val="none"/>
              </w:rPr>
              <w:t>联系电话：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。请投标人在上述时间内提供样品并按规定位置安装完毕。超过截止时间的，采购人或采购代理机构将不予接收，并将清场并封闭样品现场。</w:t>
            </w:r>
          </w:p>
          <w:p w14:paraId="44510D59">
            <w:pPr>
              <w:keepNext w:val="0"/>
              <w:keepLines w:val="0"/>
              <w:pageBreakBefore w:val="0"/>
              <w:widowControl w:val="0"/>
              <w:kinsoku/>
              <w:wordWrap w:val="0"/>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(6)采购活动结束后，对于未中标人提供的样品，采购人、采购代理机构将通知未中标人在规定的时间内取回，逾期未取回的，采购人、采购代理机构不负保管义务；对于中标人提供的样品，采购人将进行保管、封存，并作为履约验收的参考。</w:t>
            </w:r>
          </w:p>
          <w:p w14:paraId="4FEAF666">
            <w:pPr>
              <w:keepNext w:val="0"/>
              <w:keepLines w:val="0"/>
              <w:pageBreakBefore w:val="0"/>
              <w:widowControl w:val="0"/>
              <w:kinsoku/>
              <w:wordWrap w:val="0"/>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（7）制作、运输、安装和保管样品所发生的一切费用由投标人自理。</w:t>
            </w:r>
          </w:p>
        </w:tc>
      </w:tr>
      <w:tr w14:paraId="2F21FA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5" w:type="dxa"/>
            <w:left w:w="96" w:type="dxa"/>
            <w:bottom w:w="45" w:type="dxa"/>
            <w:right w:w="96" w:type="dxa"/>
          </w:tblCellMar>
        </w:tblPrEx>
        <w:trPr>
          <w:trHeight w:val="0" w:hRule="atLeast"/>
        </w:trPr>
        <w:tc>
          <w:tcPr>
            <w:tcW w:w="732" w:type="dxa"/>
            <w:tcBorders>
              <w:top w:val="single" w:color="auto" w:sz="4" w:space="0"/>
              <w:left w:val="single" w:color="auto" w:sz="4" w:space="0"/>
              <w:bottom w:val="single" w:color="auto" w:sz="4" w:space="0"/>
              <w:right w:val="single" w:color="auto" w:sz="4" w:space="0"/>
            </w:tcBorders>
            <w:vAlign w:val="center"/>
          </w:tcPr>
          <w:p w14:paraId="44C100F1">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8</w:t>
            </w:r>
          </w:p>
        </w:tc>
        <w:tc>
          <w:tcPr>
            <w:tcW w:w="1609" w:type="dxa"/>
            <w:tcBorders>
              <w:top w:val="single" w:color="000000" w:sz="8" w:space="0"/>
              <w:left w:val="single" w:color="auto" w:sz="4" w:space="0"/>
              <w:bottom w:val="single" w:color="000000" w:sz="8" w:space="0"/>
              <w:right w:val="single" w:color="000000" w:sz="8" w:space="0"/>
            </w:tcBorders>
            <w:vAlign w:val="center"/>
          </w:tcPr>
          <w:p w14:paraId="41FBB28E">
            <w:pPr>
              <w:keepNext w:val="0"/>
              <w:keepLines w:val="0"/>
              <w:pageBreakBefore w:val="0"/>
              <w:widowControl w:val="0"/>
              <w:kinsoku/>
              <w:wordWrap w:val="0"/>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rPr>
              <w:t>方案讲解演示</w:t>
            </w:r>
          </w:p>
        </w:tc>
        <w:tc>
          <w:tcPr>
            <w:tcW w:w="6863" w:type="dxa"/>
            <w:tcBorders>
              <w:top w:val="single" w:color="000000" w:sz="8" w:space="0"/>
              <w:left w:val="single" w:color="000000" w:sz="2" w:space="0"/>
              <w:bottom w:val="single" w:color="000000" w:sz="8" w:space="0"/>
              <w:right w:val="single" w:color="000000" w:sz="8" w:space="0"/>
            </w:tcBorders>
            <w:vAlign w:val="center"/>
          </w:tcPr>
          <w:p w14:paraId="0345644E">
            <w:pPr>
              <w:keepNext w:val="0"/>
              <w:keepLines w:val="0"/>
              <w:pageBreakBefore w:val="0"/>
              <w:widowControl w:val="0"/>
              <w:kinsoku/>
              <w:wordWrap w:val="0"/>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color w:val="auto"/>
                <w:sz w:val="21"/>
                <w:szCs w:val="21"/>
                <w:highlight w:val="none"/>
              </w:rPr>
            </w:pPr>
            <w:sdt>
              <w:sdtPr>
                <w:rPr>
                  <w:rFonts w:hint="eastAsia" w:ascii="宋体" w:hAnsi="宋体" w:eastAsia="宋体" w:cs="宋体"/>
                  <w:color w:val="auto"/>
                  <w:kern w:val="0"/>
                  <w:sz w:val="21"/>
                  <w:szCs w:val="21"/>
                  <w:highlight w:val="none"/>
                </w:rPr>
                <w:id w:val="-1859348549"/>
                <w14:checkbox>
                  <w14:checked w14:val="1"/>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宋体" w:hAnsi="宋体" w:eastAsia="宋体" w:cs="宋体"/>
                    <w:color w:val="auto"/>
                    <w:kern w:val="0"/>
                    <w:sz w:val="21"/>
                    <w:szCs w:val="21"/>
                    <w:highlight w:val="none"/>
                  </w:rPr>
                  <w:sym w:font="Wingdings" w:char="F0FE"/>
                </w:r>
              </w:sdtContent>
            </w:sdt>
            <w:r>
              <w:rPr>
                <w:rFonts w:hint="eastAsia" w:ascii="宋体" w:hAnsi="宋体" w:eastAsia="宋体" w:cs="宋体"/>
                <w:color w:val="auto"/>
                <w:sz w:val="21"/>
                <w:szCs w:val="21"/>
                <w:highlight w:val="none"/>
              </w:rPr>
              <w:t>不组织。</w:t>
            </w:r>
          </w:p>
          <w:p w14:paraId="287DAB2D">
            <w:pPr>
              <w:keepNext w:val="0"/>
              <w:keepLines w:val="0"/>
              <w:pageBreakBefore w:val="0"/>
              <w:widowControl w:val="0"/>
              <w:kinsoku/>
              <w:wordWrap w:val="0"/>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color w:val="auto"/>
                <w:kern w:val="0"/>
                <w:sz w:val="21"/>
                <w:szCs w:val="21"/>
                <w:highlight w:val="none"/>
              </w:rPr>
            </w:pPr>
            <w:sdt>
              <w:sdtPr>
                <w:rPr>
                  <w:rFonts w:hint="eastAsia" w:ascii="宋体" w:hAnsi="宋体" w:eastAsia="宋体" w:cs="宋体"/>
                  <w:color w:val="auto"/>
                  <w:kern w:val="0"/>
                  <w:sz w:val="21"/>
                  <w:szCs w:val="21"/>
                  <w:highlight w:val="none"/>
                </w:rPr>
                <w:id w:val="1174071719"/>
                <w14:checkbox>
                  <w14:checked w14:val="0"/>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宋体" w:hAnsi="宋体" w:eastAsia="宋体" w:cs="宋体"/>
                    <w:color w:val="auto"/>
                    <w:kern w:val="0"/>
                    <w:sz w:val="21"/>
                    <w:szCs w:val="21"/>
                    <w:highlight w:val="none"/>
                  </w:rPr>
                  <w:t>☐</w:t>
                </w:r>
              </w:sdtContent>
            </w:sdt>
            <w:r>
              <w:rPr>
                <w:rFonts w:hint="eastAsia" w:ascii="宋体" w:hAnsi="宋体" w:eastAsia="宋体" w:cs="宋体"/>
                <w:color w:val="auto"/>
                <w:kern w:val="0"/>
                <w:sz w:val="21"/>
                <w:szCs w:val="21"/>
                <w:highlight w:val="none"/>
              </w:rPr>
              <w:t>组织。</w:t>
            </w:r>
          </w:p>
          <w:p w14:paraId="7894AD0D">
            <w:pPr>
              <w:keepNext w:val="0"/>
              <w:keepLines w:val="0"/>
              <w:pageBreakBefore w:val="0"/>
              <w:widowControl w:val="0"/>
              <w:kinsoku/>
              <w:wordWrap w:val="0"/>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（1）在评标时安排每个投标人进行方案讲解演示。每个投标人时间不超过</w:t>
            </w:r>
            <w:r>
              <w:rPr>
                <w:rFonts w:hint="eastAsia" w:ascii="宋体" w:hAnsi="宋体" w:eastAsia="宋体" w:cs="宋体"/>
                <w:color w:val="auto"/>
                <w:kern w:val="0"/>
                <w:sz w:val="21"/>
                <w:szCs w:val="21"/>
                <w:highlight w:val="none"/>
                <w:u w:val="single"/>
              </w:rPr>
              <w:t>20（编制时可根据项目情况进行调整）</w:t>
            </w:r>
            <w:r>
              <w:rPr>
                <w:rFonts w:hint="eastAsia" w:ascii="宋体" w:hAnsi="宋体" w:eastAsia="宋体" w:cs="宋体"/>
                <w:color w:val="auto"/>
                <w:kern w:val="0"/>
                <w:sz w:val="21"/>
                <w:szCs w:val="21"/>
                <w:highlight w:val="none"/>
              </w:rPr>
              <w:t>分钟，讲解次序以投标文件解密时间先后次序为准，讲解演示人员不超过</w:t>
            </w:r>
            <w:r>
              <w:rPr>
                <w:rFonts w:hint="eastAsia" w:ascii="宋体" w:hAnsi="宋体" w:eastAsia="宋体" w:cs="宋体"/>
                <w:color w:val="auto"/>
                <w:kern w:val="0"/>
                <w:sz w:val="21"/>
                <w:szCs w:val="21"/>
                <w:highlight w:val="none"/>
                <w:u w:val="single"/>
              </w:rPr>
              <w:t>3（编制时可根据项目情况进行调整）</w:t>
            </w:r>
            <w:r>
              <w:rPr>
                <w:rFonts w:hint="eastAsia" w:ascii="宋体" w:hAnsi="宋体" w:eastAsia="宋体" w:cs="宋体"/>
                <w:color w:val="auto"/>
                <w:kern w:val="0"/>
                <w:sz w:val="21"/>
                <w:szCs w:val="21"/>
                <w:highlight w:val="none"/>
              </w:rPr>
              <w:t>人。讲解演示结束后按要求解答评标委员会提问。</w:t>
            </w:r>
          </w:p>
          <w:p w14:paraId="57AE5F4A">
            <w:pPr>
              <w:keepNext w:val="0"/>
              <w:keepLines w:val="0"/>
              <w:pageBreakBefore w:val="0"/>
              <w:widowControl w:val="0"/>
              <w:kinsoku/>
              <w:wordWrap w:val="0"/>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（2）方案讲解演示可选择以下其中一种方式：</w:t>
            </w:r>
          </w:p>
          <w:p w14:paraId="54B1C971">
            <w:pPr>
              <w:keepNext w:val="0"/>
              <w:keepLines w:val="0"/>
              <w:pageBreakBefore w:val="0"/>
              <w:widowControl w:val="0"/>
              <w:kinsoku/>
              <w:wordWrap w:val="0"/>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方式一：广西政府采购云平台在线讲解演示。广西政府采购云平台在线讲解需投标人根据广西政府采购云平台操作要求做好准备工作，提前完善软硬件配置环境。</w:t>
            </w:r>
          </w:p>
          <w:p w14:paraId="14261532">
            <w:pPr>
              <w:keepNext w:val="0"/>
              <w:keepLines w:val="0"/>
              <w:pageBreakBefore w:val="0"/>
              <w:widowControl w:val="0"/>
              <w:kinsoku/>
              <w:wordWrap w:val="0"/>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方式二：评审现场讲解演示。现场讲解地点为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，讲解演示所用电脑等设备由投标人自备。现场讲解演示人员进场时提供讲解人员名单（加盖公章或授权代表签名）及身份证明，否则不得讲解演示。</w:t>
            </w:r>
          </w:p>
          <w:p w14:paraId="216AC5DE">
            <w:pPr>
              <w:keepNext w:val="0"/>
              <w:keepLines w:val="0"/>
              <w:pageBreakBefore w:val="0"/>
              <w:widowControl w:val="0"/>
              <w:kinsoku/>
              <w:wordWrap w:val="0"/>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b/>
                <w:color w:val="auto"/>
                <w:kern w:val="0"/>
                <w:sz w:val="21"/>
                <w:szCs w:val="21"/>
                <w:highlight w:val="none"/>
                <w:lang w:val="zh-CN"/>
              </w:rPr>
            </w:pPr>
            <w:r>
              <w:rPr>
                <w:rFonts w:hint="eastAsia" w:ascii="宋体" w:hAnsi="宋体" w:eastAsia="宋体" w:cs="宋体"/>
                <w:color w:val="auto"/>
                <w:kern w:val="0"/>
                <w:sz w:val="21"/>
                <w:szCs w:val="21"/>
                <w:highlight w:val="none"/>
              </w:rPr>
              <w:t>注：因投标人自身原因导致无法演示或者演示效果不理想的，责任自负。因平台原因导致本项目方案讲解演示环节无法顺利开展，按照相关规定执行。</w:t>
            </w:r>
          </w:p>
        </w:tc>
      </w:tr>
      <w:tr w14:paraId="49CE75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5" w:type="dxa"/>
            <w:left w:w="96" w:type="dxa"/>
            <w:bottom w:w="45" w:type="dxa"/>
            <w:right w:w="96" w:type="dxa"/>
          </w:tblCellMar>
        </w:tblPrEx>
        <w:trPr>
          <w:trHeight w:val="0" w:hRule="atLeast"/>
        </w:trPr>
        <w:tc>
          <w:tcPr>
            <w:tcW w:w="732" w:type="dxa"/>
            <w:vMerge w:val="restart"/>
            <w:tcBorders>
              <w:top w:val="single" w:color="auto" w:sz="4" w:space="0"/>
              <w:left w:val="single" w:color="auto" w:sz="4" w:space="0"/>
              <w:right w:val="single" w:color="auto" w:sz="4" w:space="0"/>
            </w:tcBorders>
            <w:vAlign w:val="center"/>
          </w:tcPr>
          <w:p w14:paraId="4665573C">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9</w:t>
            </w:r>
          </w:p>
        </w:tc>
        <w:tc>
          <w:tcPr>
            <w:tcW w:w="1609" w:type="dxa"/>
            <w:vMerge w:val="restart"/>
            <w:tcBorders>
              <w:top w:val="single" w:color="000000" w:sz="8" w:space="0"/>
              <w:left w:val="single" w:color="auto" w:sz="4" w:space="0"/>
              <w:right w:val="single" w:color="000000" w:sz="8" w:space="0"/>
            </w:tcBorders>
            <w:vAlign w:val="center"/>
          </w:tcPr>
          <w:p w14:paraId="59DC4AD8">
            <w:pPr>
              <w:keepNext w:val="0"/>
              <w:keepLines w:val="0"/>
              <w:pageBreakBefore w:val="0"/>
              <w:widowControl w:val="0"/>
              <w:kinsoku/>
              <w:wordWrap w:val="0"/>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投标人应当提供的资格、资信证明文件</w:t>
            </w:r>
          </w:p>
        </w:tc>
        <w:tc>
          <w:tcPr>
            <w:tcW w:w="6863" w:type="dxa"/>
            <w:tcBorders>
              <w:top w:val="single" w:color="000000" w:sz="8" w:space="0"/>
              <w:left w:val="single" w:color="000000" w:sz="2" w:space="0"/>
              <w:bottom w:val="single" w:color="auto" w:sz="4" w:space="0"/>
              <w:right w:val="single" w:color="000000" w:sz="8" w:space="0"/>
            </w:tcBorders>
            <w:vAlign w:val="center"/>
          </w:tcPr>
          <w:p w14:paraId="593DE2BC">
            <w:pPr>
              <w:keepNext w:val="0"/>
              <w:keepLines w:val="0"/>
              <w:pageBreakBefore w:val="0"/>
              <w:widowControl w:val="0"/>
              <w:kinsoku/>
              <w:wordWrap w:val="0"/>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（1）资格证明文件：见招标文件第二部分11.1。</w:t>
            </w:r>
          </w:p>
          <w:p w14:paraId="4A0BBB7F">
            <w:pPr>
              <w:keepNext w:val="0"/>
              <w:keepLines w:val="0"/>
              <w:pageBreakBefore w:val="0"/>
              <w:widowControl w:val="0"/>
              <w:kinsoku/>
              <w:wordWrap w:val="0"/>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snapToGrid w:val="0"/>
                <w:color w:val="auto"/>
                <w:kern w:val="0"/>
                <w:sz w:val="21"/>
                <w:szCs w:val="21"/>
                <w:highlight w:val="none"/>
              </w:rPr>
            </w:pPr>
            <w:r>
              <w:rPr>
                <w:rFonts w:hint="eastAsia" w:ascii="宋体" w:hAnsi="宋体" w:eastAsia="宋体" w:cs="宋体"/>
                <w:color w:val="auto"/>
                <w:kern w:val="0"/>
                <w:sz w:val="21"/>
                <w:szCs w:val="21"/>
                <w:highlight w:val="none"/>
                <w:lang w:val="zh-CN"/>
              </w:rPr>
              <w:t>投标人未提供有效的资格证明文件的，视为投标人不具备招标文件中规定的资格要求，投标无效。</w:t>
            </w:r>
          </w:p>
        </w:tc>
      </w:tr>
      <w:tr w14:paraId="792644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5" w:type="dxa"/>
            <w:left w:w="96" w:type="dxa"/>
            <w:bottom w:w="45" w:type="dxa"/>
            <w:right w:w="96" w:type="dxa"/>
          </w:tblCellMar>
        </w:tblPrEx>
        <w:trPr>
          <w:trHeight w:val="0" w:hRule="atLeast"/>
        </w:trPr>
        <w:tc>
          <w:tcPr>
            <w:tcW w:w="732" w:type="dxa"/>
            <w:vMerge w:val="continue"/>
            <w:tcBorders>
              <w:left w:val="single" w:color="auto" w:sz="4" w:space="0"/>
              <w:bottom w:val="single" w:color="auto" w:sz="4" w:space="0"/>
              <w:right w:val="single" w:color="auto" w:sz="4" w:space="0"/>
            </w:tcBorders>
            <w:vAlign w:val="center"/>
          </w:tcPr>
          <w:p w14:paraId="5F164CF7">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sz w:val="21"/>
                <w:szCs w:val="21"/>
                <w:highlight w:val="none"/>
              </w:rPr>
            </w:pPr>
          </w:p>
        </w:tc>
        <w:tc>
          <w:tcPr>
            <w:tcW w:w="1609" w:type="dxa"/>
            <w:vMerge w:val="continue"/>
            <w:tcBorders>
              <w:left w:val="single" w:color="auto" w:sz="4" w:space="0"/>
              <w:bottom w:val="single" w:color="000000" w:sz="8" w:space="0"/>
              <w:right w:val="single" w:color="000000" w:sz="8" w:space="0"/>
            </w:tcBorders>
            <w:vAlign w:val="center"/>
          </w:tcPr>
          <w:p w14:paraId="42B52008">
            <w:pPr>
              <w:keepNext w:val="0"/>
              <w:keepLines w:val="0"/>
              <w:pageBreakBefore w:val="0"/>
              <w:widowControl w:val="0"/>
              <w:kinsoku/>
              <w:wordWrap w:val="0"/>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b/>
                <w:color w:val="auto"/>
                <w:sz w:val="21"/>
                <w:szCs w:val="21"/>
                <w:highlight w:val="none"/>
              </w:rPr>
            </w:pPr>
          </w:p>
        </w:tc>
        <w:tc>
          <w:tcPr>
            <w:tcW w:w="6863" w:type="dxa"/>
            <w:tcBorders>
              <w:top w:val="single" w:color="auto" w:sz="4" w:space="0"/>
              <w:left w:val="single" w:color="000000" w:sz="2" w:space="0"/>
              <w:bottom w:val="single" w:color="000000" w:sz="8" w:space="0"/>
              <w:right w:val="single" w:color="000000" w:sz="8" w:space="0"/>
            </w:tcBorders>
            <w:vAlign w:val="center"/>
          </w:tcPr>
          <w:p w14:paraId="6A3D7387">
            <w:pPr>
              <w:keepNext w:val="0"/>
              <w:keepLines w:val="0"/>
              <w:pageBreakBefore w:val="0"/>
              <w:widowControl w:val="0"/>
              <w:kinsoku/>
              <w:wordWrap w:val="0"/>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（2）资信证明文件：根据招标文件第四部分</w:t>
            </w:r>
            <w:r>
              <w:rPr>
                <w:rFonts w:hint="eastAsia" w:ascii="宋体" w:hAnsi="宋体" w:cs="宋体"/>
                <w:color w:val="auto"/>
                <w:sz w:val="21"/>
                <w:szCs w:val="21"/>
                <w:highlight w:val="none"/>
                <w:lang w:val="en-US" w:eastAsia="zh-CN"/>
              </w:rPr>
              <w:t>评标办法</w:t>
            </w:r>
            <w:r>
              <w:rPr>
                <w:rFonts w:hint="eastAsia" w:ascii="宋体" w:hAnsi="宋体" w:eastAsia="宋体" w:cs="宋体"/>
                <w:color w:val="auto"/>
                <w:sz w:val="21"/>
                <w:szCs w:val="21"/>
                <w:highlight w:val="none"/>
              </w:rPr>
              <w:t>提供。</w:t>
            </w:r>
          </w:p>
        </w:tc>
      </w:tr>
      <w:tr w14:paraId="24AEEA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5" w:type="dxa"/>
            <w:left w:w="96" w:type="dxa"/>
            <w:bottom w:w="45" w:type="dxa"/>
            <w:right w:w="96" w:type="dxa"/>
          </w:tblCellMar>
        </w:tblPrEx>
        <w:trPr>
          <w:trHeight w:val="0" w:hRule="atLeast"/>
        </w:trPr>
        <w:tc>
          <w:tcPr>
            <w:tcW w:w="732" w:type="dxa"/>
            <w:tcBorders>
              <w:top w:val="single" w:color="auto" w:sz="4" w:space="0"/>
              <w:left w:val="single" w:color="000000" w:sz="8" w:space="0"/>
              <w:bottom w:val="single" w:color="auto" w:sz="4" w:space="0"/>
              <w:right w:val="single" w:color="000000" w:sz="2" w:space="0"/>
            </w:tcBorders>
            <w:vAlign w:val="center"/>
          </w:tcPr>
          <w:p w14:paraId="12E9EA4C">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1609" w:type="dxa"/>
            <w:tcBorders>
              <w:top w:val="single" w:color="000000" w:sz="8" w:space="0"/>
              <w:left w:val="single" w:color="000000" w:sz="2" w:space="0"/>
              <w:bottom w:val="single" w:color="000000" w:sz="8" w:space="0"/>
              <w:right w:val="single" w:color="000000" w:sz="8" w:space="0"/>
            </w:tcBorders>
            <w:vAlign w:val="center"/>
          </w:tcPr>
          <w:p w14:paraId="62C3500D">
            <w:pPr>
              <w:keepNext w:val="0"/>
              <w:keepLines w:val="0"/>
              <w:pageBreakBefore w:val="0"/>
              <w:widowControl w:val="0"/>
              <w:kinsoku/>
              <w:wordWrap w:val="0"/>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节能产品、环境标志产品</w:t>
            </w:r>
          </w:p>
        </w:tc>
        <w:tc>
          <w:tcPr>
            <w:tcW w:w="6863" w:type="dxa"/>
            <w:tcBorders>
              <w:top w:val="single" w:color="000000" w:sz="8" w:space="0"/>
              <w:left w:val="single" w:color="000000" w:sz="2" w:space="0"/>
              <w:bottom w:val="single" w:color="000000" w:sz="8" w:space="0"/>
              <w:right w:val="single" w:color="000000" w:sz="8" w:space="0"/>
            </w:tcBorders>
            <w:vAlign w:val="center"/>
          </w:tcPr>
          <w:p w14:paraId="70D3FA1B">
            <w:pPr>
              <w:keepNext w:val="0"/>
              <w:keepLines w:val="0"/>
              <w:pageBreakBefore w:val="0"/>
              <w:widowControl w:val="0"/>
              <w:kinsoku/>
              <w:wordWrap w:val="0"/>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14:paraId="21495D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5" w:type="dxa"/>
            <w:left w:w="96" w:type="dxa"/>
            <w:bottom w:w="45" w:type="dxa"/>
            <w:right w:w="96" w:type="dxa"/>
          </w:tblCellMar>
        </w:tblPrEx>
        <w:trPr>
          <w:trHeight w:val="0" w:hRule="atLeast"/>
        </w:trPr>
        <w:tc>
          <w:tcPr>
            <w:tcW w:w="732" w:type="dxa"/>
            <w:tcBorders>
              <w:top w:val="single" w:color="auto" w:sz="4" w:space="0"/>
              <w:left w:val="single" w:color="000000" w:sz="8" w:space="0"/>
              <w:bottom w:val="single" w:color="auto" w:sz="4" w:space="0"/>
              <w:right w:val="single" w:color="000000" w:sz="2" w:space="0"/>
            </w:tcBorders>
            <w:vAlign w:val="center"/>
          </w:tcPr>
          <w:p w14:paraId="2D944318">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1</w:t>
            </w:r>
          </w:p>
        </w:tc>
        <w:tc>
          <w:tcPr>
            <w:tcW w:w="1609" w:type="dxa"/>
            <w:tcBorders>
              <w:top w:val="single" w:color="000000" w:sz="8" w:space="0"/>
              <w:left w:val="single" w:color="000000" w:sz="2" w:space="0"/>
              <w:bottom w:val="single" w:color="000000" w:sz="8" w:space="0"/>
              <w:right w:val="single" w:color="000000" w:sz="8" w:space="0"/>
            </w:tcBorders>
            <w:vAlign w:val="center"/>
          </w:tcPr>
          <w:p w14:paraId="7CAE6CDA">
            <w:pPr>
              <w:keepNext w:val="0"/>
              <w:keepLines w:val="0"/>
              <w:pageBreakBefore w:val="0"/>
              <w:widowControl w:val="0"/>
              <w:kinsoku/>
              <w:wordWrap w:val="0"/>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报价要求</w:t>
            </w:r>
          </w:p>
        </w:tc>
        <w:tc>
          <w:tcPr>
            <w:tcW w:w="6863" w:type="dxa"/>
            <w:tcBorders>
              <w:top w:val="single" w:color="000000" w:sz="8" w:space="0"/>
              <w:left w:val="single" w:color="000000" w:sz="2" w:space="0"/>
              <w:bottom w:val="single" w:color="000000" w:sz="8" w:space="0"/>
              <w:right w:val="single" w:color="000000" w:sz="8" w:space="0"/>
            </w:tcBorders>
            <w:vAlign w:val="center"/>
          </w:tcPr>
          <w:p w14:paraId="55D9CF7B">
            <w:pPr>
              <w:keepNext w:val="0"/>
              <w:keepLines w:val="0"/>
              <w:pageBreakBefore w:val="0"/>
              <w:widowControl w:val="0"/>
              <w:kinsoku/>
              <w:wordWrap w:val="0"/>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有关本项目实施所需的所有费用（含税费）均计入报价。</w:t>
            </w:r>
            <w:r>
              <w:rPr>
                <w:rFonts w:hint="eastAsia" w:ascii="宋体" w:hAnsi="宋体" w:eastAsia="宋体" w:cs="宋体"/>
                <w:bCs/>
                <w:color w:val="auto"/>
                <w:kern w:val="0"/>
                <w:sz w:val="21"/>
                <w:szCs w:val="21"/>
                <w:highlight w:val="none"/>
                <w:lang w:val="zh-CN"/>
              </w:rPr>
              <w:t>投标文件</w:t>
            </w:r>
            <w:r>
              <w:rPr>
                <w:rFonts w:hint="eastAsia" w:ascii="宋体" w:hAnsi="宋体" w:eastAsia="宋体" w:cs="宋体"/>
                <w:bCs/>
                <w:color w:val="auto"/>
                <w:sz w:val="21"/>
                <w:szCs w:val="21"/>
                <w:highlight w:val="none"/>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eastAsia="宋体" w:cs="宋体"/>
                <w:color w:val="auto"/>
                <w:kern w:val="0"/>
                <w:sz w:val="21"/>
                <w:szCs w:val="21"/>
                <w:highlight w:val="none"/>
                <w:lang w:val="zh-CN"/>
              </w:rPr>
              <w:t>投标文件中价格全部采用人民币报价。招标文件未列明，而投标人认为必需的费用也需列入报价。提醒：验收时检测费用由采购人承担，不包含在投标总价中。</w:t>
            </w:r>
          </w:p>
          <w:p w14:paraId="76B382DC">
            <w:pPr>
              <w:keepNext w:val="0"/>
              <w:keepLines w:val="0"/>
              <w:pageBreakBefore w:val="0"/>
              <w:widowControl w:val="0"/>
              <w:kinsoku/>
              <w:wordWrap w:val="0"/>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投标报价出现下列情形的，投标无效：</w:t>
            </w:r>
          </w:p>
          <w:p w14:paraId="3EDCCC15">
            <w:pPr>
              <w:keepNext w:val="0"/>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textAlignment w:val="auto"/>
              <w:outlineLvl w:val="9"/>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投标文件出现不是唯一的、有选择性投标报价的；</w:t>
            </w:r>
          </w:p>
          <w:p w14:paraId="0ECA811D">
            <w:pPr>
              <w:keepNext w:val="0"/>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textAlignment w:val="auto"/>
              <w:outlineLvl w:val="9"/>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投标报价超过招标文件中规定的预算金额或者最高限价的;</w:t>
            </w:r>
          </w:p>
          <w:p w14:paraId="614D3723">
            <w:pPr>
              <w:keepNext w:val="0"/>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报价明显低于其他通过符合性审查投标人的报价，有可能影响产品质量或者不能诚信履约的，未能按要求提供书面说明或者提交相关证明材料证明其报价合理性的</w:t>
            </w:r>
            <w:r>
              <w:rPr>
                <w:rFonts w:hint="eastAsia" w:ascii="宋体" w:hAnsi="宋体" w:eastAsia="宋体" w:cs="宋体"/>
                <w:color w:val="auto"/>
                <w:sz w:val="21"/>
                <w:szCs w:val="21"/>
                <w:highlight w:val="none"/>
              </w:rPr>
              <w:t>;</w:t>
            </w:r>
          </w:p>
          <w:p w14:paraId="029523CF">
            <w:pPr>
              <w:keepNext w:val="0"/>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投标人对根据修正原则修正后的报价不确认的</w:t>
            </w:r>
            <w:r>
              <w:rPr>
                <w:rFonts w:hint="eastAsia" w:ascii="宋体" w:hAnsi="宋体" w:eastAsia="宋体" w:cs="宋体"/>
                <w:color w:val="auto"/>
                <w:sz w:val="21"/>
                <w:szCs w:val="21"/>
                <w:highlight w:val="none"/>
              </w:rPr>
              <w:t>。</w:t>
            </w:r>
          </w:p>
        </w:tc>
      </w:tr>
      <w:tr w14:paraId="20A779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5" w:type="dxa"/>
            <w:left w:w="96" w:type="dxa"/>
            <w:bottom w:w="45" w:type="dxa"/>
            <w:right w:w="96" w:type="dxa"/>
          </w:tblCellMar>
        </w:tblPrEx>
        <w:trPr>
          <w:trHeight w:val="0" w:hRule="atLeast"/>
        </w:trPr>
        <w:tc>
          <w:tcPr>
            <w:tcW w:w="732" w:type="dxa"/>
            <w:tcBorders>
              <w:top w:val="single" w:color="auto" w:sz="4" w:space="0"/>
              <w:left w:val="single" w:color="000000" w:sz="8" w:space="0"/>
              <w:right w:val="single" w:color="000000" w:sz="2" w:space="0"/>
            </w:tcBorders>
            <w:vAlign w:val="center"/>
          </w:tcPr>
          <w:p w14:paraId="1B305CFB">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12</w:t>
            </w:r>
          </w:p>
        </w:tc>
        <w:tc>
          <w:tcPr>
            <w:tcW w:w="1609" w:type="dxa"/>
            <w:tcBorders>
              <w:top w:val="single" w:color="000000" w:sz="8" w:space="0"/>
              <w:left w:val="single" w:color="000000" w:sz="2" w:space="0"/>
              <w:right w:val="single" w:color="000000" w:sz="8" w:space="0"/>
            </w:tcBorders>
            <w:vAlign w:val="center"/>
          </w:tcPr>
          <w:p w14:paraId="3126FB59">
            <w:pPr>
              <w:keepNext w:val="0"/>
              <w:keepLines w:val="0"/>
              <w:pageBreakBefore w:val="0"/>
              <w:widowControl w:val="0"/>
              <w:kinsoku/>
              <w:wordWrap w:val="0"/>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中小企业信用融资</w:t>
            </w:r>
          </w:p>
        </w:tc>
        <w:tc>
          <w:tcPr>
            <w:tcW w:w="6863" w:type="dxa"/>
            <w:tcBorders>
              <w:top w:val="single" w:color="000000" w:sz="8" w:space="0"/>
              <w:left w:val="single" w:color="000000" w:sz="2" w:space="0"/>
              <w:right w:val="single" w:color="000000" w:sz="8" w:space="0"/>
            </w:tcBorders>
            <w:vAlign w:val="center"/>
          </w:tcPr>
          <w:p w14:paraId="4FB3654A">
            <w:pPr>
              <w:keepNext w:val="0"/>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textAlignment w:val="auto"/>
              <w:outlineLvl w:val="9"/>
              <w:rPr>
                <w:rFonts w:hint="eastAsia" w:ascii="宋体" w:hAnsi="宋体" w:eastAsia="宋体" w:cs="宋体"/>
                <w:snapToGrid w:val="0"/>
                <w:color w:val="auto"/>
                <w:kern w:val="28"/>
                <w:sz w:val="21"/>
                <w:szCs w:val="21"/>
                <w:highlight w:val="none"/>
              </w:rPr>
            </w:pPr>
            <w:r>
              <w:rPr>
                <w:rFonts w:hint="eastAsia" w:ascii="宋体" w:hAnsi="宋体" w:eastAsia="宋体" w:cs="宋体"/>
                <w:snapToGrid w:val="0"/>
                <w:color w:val="auto"/>
                <w:kern w:val="28"/>
                <w:sz w:val="21"/>
                <w:szCs w:val="21"/>
                <w:highlight w:val="none"/>
              </w:rPr>
              <w:t>为支持和促进中小企业发展，进一步发挥政府采购政策功能，北海市财政局与北海市工业和信息化局共同出台了《关于贯彻落实政府采购领域促进中小企业发展措施的通知》，</w:t>
            </w:r>
            <w:r>
              <w:rPr>
                <w:rFonts w:hint="eastAsia" w:ascii="宋体" w:hAnsi="宋体" w:eastAsia="宋体" w:cs="宋体"/>
                <w:snapToGrid w:val="0"/>
                <w:color w:val="auto"/>
                <w:kern w:val="28"/>
                <w:sz w:val="21"/>
                <w:szCs w:val="21"/>
                <w:highlight w:val="none"/>
                <w:lang w:eastAsia="zh-CN"/>
              </w:rPr>
              <w:t>投标人</w:t>
            </w:r>
            <w:r>
              <w:rPr>
                <w:rFonts w:hint="eastAsia" w:ascii="宋体" w:hAnsi="宋体" w:eastAsia="宋体" w:cs="宋体"/>
                <w:snapToGrid w:val="0"/>
                <w:color w:val="auto"/>
                <w:kern w:val="28"/>
                <w:sz w:val="21"/>
                <w:szCs w:val="21"/>
                <w:highlight w:val="none"/>
              </w:rPr>
              <w:t>若有融资意向，详见《关于贯彻落实政府采购领域促进中小企业发展措施的通知》，或登录北海市政府采购中心网站自助查询。</w:t>
            </w:r>
          </w:p>
          <w:p w14:paraId="18E49C30">
            <w:pPr>
              <w:keepNext w:val="0"/>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snapToGrid w:val="0"/>
                <w:color w:val="auto"/>
                <w:kern w:val="28"/>
                <w:sz w:val="21"/>
                <w:szCs w:val="21"/>
                <w:highlight w:val="none"/>
                <w:lang w:eastAsia="zh-CN"/>
              </w:rPr>
              <w:t>投标人</w:t>
            </w:r>
            <w:r>
              <w:rPr>
                <w:rFonts w:hint="eastAsia" w:ascii="宋体" w:hAnsi="宋体" w:eastAsia="宋体" w:cs="宋体"/>
                <w:snapToGrid w:val="0"/>
                <w:color w:val="auto"/>
                <w:kern w:val="28"/>
                <w:sz w:val="21"/>
                <w:szCs w:val="21"/>
                <w:highlight w:val="none"/>
              </w:rPr>
              <w:t>中标后也可在“广西政府采购云”平台申请政采贷：操作路径：登录广西政府采购云平台-金融服务中心-【融资服务】，可在热门申请中选择产品直接申请。</w:t>
            </w:r>
          </w:p>
        </w:tc>
      </w:tr>
      <w:tr w14:paraId="01266E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5" w:type="dxa"/>
            <w:left w:w="96" w:type="dxa"/>
            <w:bottom w:w="45" w:type="dxa"/>
            <w:right w:w="96" w:type="dxa"/>
          </w:tblCellMar>
        </w:tblPrEx>
        <w:trPr>
          <w:trHeight w:val="0" w:hRule="atLeast"/>
        </w:trPr>
        <w:tc>
          <w:tcPr>
            <w:tcW w:w="732" w:type="dxa"/>
            <w:tcBorders>
              <w:top w:val="single" w:color="auto" w:sz="4" w:space="0"/>
              <w:left w:val="single" w:color="000000" w:sz="8" w:space="0"/>
              <w:bottom w:val="single" w:color="auto" w:sz="4" w:space="0"/>
              <w:right w:val="single" w:color="000000" w:sz="2" w:space="0"/>
            </w:tcBorders>
            <w:vAlign w:val="center"/>
          </w:tcPr>
          <w:p w14:paraId="2FB10660">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w:t>
            </w:r>
          </w:p>
        </w:tc>
        <w:tc>
          <w:tcPr>
            <w:tcW w:w="1609" w:type="dxa"/>
            <w:tcBorders>
              <w:top w:val="single" w:color="000000" w:sz="8" w:space="0"/>
              <w:left w:val="single" w:color="000000" w:sz="2" w:space="0"/>
              <w:bottom w:val="single" w:color="auto" w:sz="4" w:space="0"/>
              <w:right w:val="single" w:color="000000" w:sz="8" w:space="0"/>
            </w:tcBorders>
            <w:vAlign w:val="center"/>
          </w:tcPr>
          <w:p w14:paraId="41F41EA9">
            <w:pPr>
              <w:keepNext w:val="0"/>
              <w:keepLines w:val="0"/>
              <w:pageBreakBefore w:val="0"/>
              <w:widowControl w:val="0"/>
              <w:kinsoku/>
              <w:wordWrap w:val="0"/>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备份投标文件送达地点和签收人员</w:t>
            </w:r>
          </w:p>
        </w:tc>
        <w:tc>
          <w:tcPr>
            <w:tcW w:w="6863" w:type="dxa"/>
            <w:tcBorders>
              <w:top w:val="single" w:color="000000" w:sz="8" w:space="0"/>
              <w:left w:val="single" w:color="000000" w:sz="2" w:space="0"/>
              <w:bottom w:val="single" w:color="auto" w:sz="4" w:space="0"/>
              <w:right w:val="single" w:color="000000" w:sz="8" w:space="0"/>
            </w:tcBorders>
            <w:vAlign w:val="center"/>
          </w:tcPr>
          <w:p w14:paraId="67F65FC7">
            <w:pPr>
              <w:keepNext w:val="0"/>
              <w:keepLines w:val="0"/>
              <w:pageBreakBefore w:val="0"/>
              <w:widowControl w:val="0"/>
              <w:kinsoku/>
              <w:wordWrap w:val="0"/>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sym w:font="Wingdings" w:char="00A8"/>
            </w:r>
            <w:r>
              <w:rPr>
                <w:rFonts w:hint="eastAsia" w:ascii="宋体" w:hAnsi="宋体" w:eastAsia="宋体" w:cs="宋体"/>
                <w:color w:val="auto"/>
                <w:sz w:val="21"/>
                <w:szCs w:val="21"/>
                <w:highlight w:val="none"/>
              </w:rPr>
              <w:t>不接受。</w:t>
            </w:r>
          </w:p>
          <w:p w14:paraId="0785DADD">
            <w:pPr>
              <w:keepNext w:val="0"/>
              <w:keepLines w:val="0"/>
              <w:pageBreakBefore w:val="0"/>
              <w:widowControl w:val="0"/>
              <w:kinsoku/>
              <w:wordWrap w:val="0"/>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color w:val="auto"/>
                <w:kern w:val="28"/>
                <w:sz w:val="21"/>
                <w:szCs w:val="21"/>
                <w:highlight w:val="none"/>
              </w:rPr>
            </w:pPr>
            <w:r>
              <w:rPr>
                <w:rFonts w:hint="eastAsia" w:ascii="宋体" w:hAnsi="宋体" w:eastAsia="宋体" w:cs="宋体"/>
                <w:color w:val="auto"/>
                <w:kern w:val="0"/>
                <w:sz w:val="21"/>
                <w:szCs w:val="21"/>
                <w:highlight w:val="none"/>
              </w:rPr>
              <w:sym w:font="Wingdings" w:char="F0FE"/>
            </w:r>
            <w:r>
              <w:rPr>
                <w:rFonts w:hint="eastAsia" w:ascii="宋体" w:hAnsi="宋体" w:eastAsia="宋体" w:cs="宋体"/>
                <w:color w:val="auto"/>
                <w:sz w:val="21"/>
                <w:szCs w:val="21"/>
                <w:highlight w:val="none"/>
              </w:rPr>
              <w:t>接受</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28"/>
                <w:sz w:val="21"/>
                <w:szCs w:val="21"/>
                <w:highlight w:val="none"/>
              </w:rPr>
              <w:t>备份投标文件送达地点：</w:t>
            </w:r>
            <w:r>
              <w:rPr>
                <w:rFonts w:hint="eastAsia" w:ascii="宋体" w:hAnsi="宋体" w:eastAsia="宋体" w:cs="宋体"/>
                <w:color w:val="auto"/>
                <w:kern w:val="2"/>
                <w:sz w:val="21"/>
                <w:szCs w:val="21"/>
                <w:highlight w:val="none"/>
                <w:u w:val="single"/>
                <w:lang w:val="en-US" w:eastAsia="zh-CN" w:bidi="ar-SA"/>
              </w:rPr>
              <w:t>北海市北海大道科技大厦三楼广西科联招标中心有限公司北海分公司</w:t>
            </w:r>
            <w:r>
              <w:rPr>
                <w:rFonts w:hint="eastAsia" w:ascii="宋体" w:hAnsi="宋体" w:eastAsia="宋体" w:cs="宋体"/>
                <w:color w:val="auto"/>
                <w:kern w:val="28"/>
                <w:sz w:val="21"/>
                <w:szCs w:val="21"/>
                <w:highlight w:val="none"/>
              </w:rPr>
              <w:t>；备份投标文件签收人员联系电话：</w:t>
            </w:r>
            <w:r>
              <w:rPr>
                <w:rFonts w:hint="eastAsia" w:ascii="宋体" w:hAnsi="宋体" w:eastAsia="宋体" w:cs="宋体"/>
                <w:color w:val="auto"/>
                <w:kern w:val="2"/>
                <w:sz w:val="21"/>
                <w:szCs w:val="21"/>
                <w:highlight w:val="none"/>
                <w:u w:val="single"/>
                <w:lang w:val="en-US" w:eastAsia="zh-CN" w:bidi="ar-SA"/>
              </w:rPr>
              <w:t>0779-3832133</w:t>
            </w:r>
            <w:r>
              <w:rPr>
                <w:rFonts w:hint="eastAsia" w:ascii="宋体" w:hAnsi="宋体" w:eastAsia="宋体" w:cs="宋体"/>
                <w:b w:val="0"/>
                <w:bCs/>
                <w:color w:val="auto"/>
                <w:sz w:val="21"/>
                <w:szCs w:val="21"/>
                <w:highlight w:val="none"/>
              </w:rPr>
              <w:t>。</w:t>
            </w:r>
          </w:p>
        </w:tc>
      </w:tr>
      <w:tr w14:paraId="32D06E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5" w:type="dxa"/>
            <w:left w:w="96" w:type="dxa"/>
            <w:bottom w:w="45" w:type="dxa"/>
            <w:right w:w="96" w:type="dxa"/>
          </w:tblCellMar>
        </w:tblPrEx>
        <w:trPr>
          <w:trHeight w:val="0" w:hRule="atLeast"/>
        </w:trPr>
        <w:tc>
          <w:tcPr>
            <w:tcW w:w="732" w:type="dxa"/>
            <w:vMerge w:val="restart"/>
            <w:tcBorders>
              <w:top w:val="single" w:color="auto" w:sz="4" w:space="0"/>
              <w:left w:val="single" w:color="auto" w:sz="4" w:space="0"/>
              <w:bottom w:val="single" w:color="auto" w:sz="4" w:space="0"/>
              <w:right w:val="single" w:color="auto" w:sz="4" w:space="0"/>
            </w:tcBorders>
            <w:vAlign w:val="center"/>
          </w:tcPr>
          <w:p w14:paraId="593BA045">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4</w:t>
            </w:r>
          </w:p>
        </w:tc>
        <w:tc>
          <w:tcPr>
            <w:tcW w:w="1609" w:type="dxa"/>
            <w:vMerge w:val="restart"/>
            <w:tcBorders>
              <w:top w:val="single" w:color="auto" w:sz="4" w:space="0"/>
              <w:left w:val="single" w:color="auto" w:sz="4" w:space="0"/>
              <w:bottom w:val="single" w:color="auto" w:sz="4" w:space="0"/>
              <w:right w:val="single" w:color="auto" w:sz="4" w:space="0"/>
            </w:tcBorders>
            <w:vAlign w:val="center"/>
          </w:tcPr>
          <w:p w14:paraId="3E9F807E">
            <w:pPr>
              <w:keepNext w:val="0"/>
              <w:keepLines w:val="0"/>
              <w:pageBreakBefore w:val="0"/>
              <w:widowControl w:val="0"/>
              <w:kinsoku/>
              <w:wordWrap w:val="0"/>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特别说明</w:t>
            </w:r>
          </w:p>
        </w:tc>
        <w:tc>
          <w:tcPr>
            <w:tcW w:w="6863" w:type="dxa"/>
            <w:tcBorders>
              <w:top w:val="single" w:color="auto" w:sz="4" w:space="0"/>
              <w:left w:val="single" w:color="auto" w:sz="4" w:space="0"/>
              <w:bottom w:val="single" w:color="auto" w:sz="4" w:space="0"/>
              <w:right w:val="single" w:color="auto" w:sz="4" w:space="0"/>
            </w:tcBorders>
            <w:vAlign w:val="center"/>
          </w:tcPr>
          <w:p w14:paraId="33240D0D">
            <w:pPr>
              <w:keepNext w:val="0"/>
              <w:keepLines w:val="0"/>
              <w:pageBreakBefore w:val="0"/>
              <w:widowControl w:val="0"/>
              <w:kinsoku/>
              <w:wordWrap w:val="0"/>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snapToGrid w:val="0"/>
                <w:color w:val="auto"/>
                <w:kern w:val="28"/>
                <w:sz w:val="21"/>
                <w:szCs w:val="21"/>
                <w:highlight w:val="none"/>
              </w:rPr>
            </w:pPr>
            <w:r>
              <w:rPr>
                <w:rFonts w:hint="eastAsia" w:ascii="宋体" w:hAnsi="宋体" w:eastAsia="宋体" w:cs="宋体"/>
                <w:snapToGrid w:val="0"/>
                <w:color w:val="auto"/>
                <w:kern w:val="28"/>
                <w:sz w:val="21"/>
                <w:szCs w:val="21"/>
                <w:highlight w:val="none"/>
              </w:rPr>
              <w:t>联合体投标的，联合体各方分别提供与联合体协议中规定的分工内容相应的业绩证明材料，业绩数量以提供材料较少的一方为准。</w:t>
            </w:r>
          </w:p>
        </w:tc>
      </w:tr>
      <w:tr w14:paraId="1585FD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5" w:type="dxa"/>
            <w:left w:w="96" w:type="dxa"/>
            <w:bottom w:w="45" w:type="dxa"/>
            <w:right w:w="96" w:type="dxa"/>
          </w:tblCellMar>
        </w:tblPrEx>
        <w:trPr>
          <w:trHeight w:val="0" w:hRule="atLeast"/>
        </w:trPr>
        <w:tc>
          <w:tcPr>
            <w:tcW w:w="732" w:type="dxa"/>
            <w:vMerge w:val="continue"/>
            <w:tcBorders>
              <w:top w:val="single" w:color="auto" w:sz="4" w:space="0"/>
              <w:left w:val="single" w:color="auto" w:sz="4" w:space="0"/>
              <w:bottom w:val="single" w:color="auto" w:sz="4" w:space="0"/>
              <w:right w:val="single" w:color="auto" w:sz="4" w:space="0"/>
            </w:tcBorders>
            <w:vAlign w:val="center"/>
          </w:tcPr>
          <w:p w14:paraId="292A5BE8">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sz w:val="21"/>
                <w:szCs w:val="21"/>
                <w:highlight w:val="none"/>
              </w:rPr>
            </w:pPr>
          </w:p>
        </w:tc>
        <w:tc>
          <w:tcPr>
            <w:tcW w:w="1609" w:type="dxa"/>
            <w:vMerge w:val="continue"/>
            <w:tcBorders>
              <w:top w:val="single" w:color="auto" w:sz="4" w:space="0"/>
              <w:left w:val="single" w:color="auto" w:sz="4" w:space="0"/>
              <w:bottom w:val="single" w:color="auto" w:sz="4" w:space="0"/>
              <w:right w:val="single" w:color="auto" w:sz="4" w:space="0"/>
            </w:tcBorders>
            <w:vAlign w:val="center"/>
          </w:tcPr>
          <w:p w14:paraId="370F0879">
            <w:pPr>
              <w:keepNext w:val="0"/>
              <w:keepLines w:val="0"/>
              <w:pageBreakBefore w:val="0"/>
              <w:widowControl w:val="0"/>
              <w:kinsoku/>
              <w:wordWrap w:val="0"/>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b/>
                <w:color w:val="auto"/>
                <w:sz w:val="21"/>
                <w:szCs w:val="21"/>
                <w:highlight w:val="none"/>
              </w:rPr>
            </w:pPr>
          </w:p>
        </w:tc>
        <w:tc>
          <w:tcPr>
            <w:tcW w:w="6863" w:type="dxa"/>
            <w:tcBorders>
              <w:top w:val="single" w:color="auto" w:sz="4" w:space="0"/>
              <w:left w:val="single" w:color="auto" w:sz="4" w:space="0"/>
              <w:bottom w:val="single" w:color="auto" w:sz="4" w:space="0"/>
              <w:right w:val="single" w:color="auto" w:sz="4" w:space="0"/>
            </w:tcBorders>
            <w:vAlign w:val="center"/>
          </w:tcPr>
          <w:p w14:paraId="463A232E">
            <w:pPr>
              <w:keepNext w:val="0"/>
              <w:keepLines w:val="0"/>
              <w:pageBreakBefore w:val="0"/>
              <w:widowControl w:val="0"/>
              <w:kinsoku/>
              <w:wordWrap w:val="0"/>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snapToGrid w:val="0"/>
                <w:color w:val="auto"/>
                <w:kern w:val="28"/>
                <w:sz w:val="21"/>
                <w:szCs w:val="21"/>
                <w:highlight w:val="none"/>
              </w:rPr>
            </w:pPr>
            <w:sdt>
              <w:sdtPr>
                <w:rPr>
                  <w:rFonts w:hint="eastAsia" w:ascii="宋体" w:hAnsi="宋体" w:eastAsia="宋体" w:cs="宋体"/>
                  <w:color w:val="auto"/>
                  <w:kern w:val="0"/>
                  <w:sz w:val="21"/>
                  <w:szCs w:val="21"/>
                  <w:highlight w:val="none"/>
                </w:rPr>
                <w:id w:val="-369766551"/>
                <w14:checkbox>
                  <w14:checked w14:val="0"/>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宋体" w:hAnsi="宋体" w:eastAsia="宋体" w:cs="宋体"/>
                    <w:color w:val="auto"/>
                    <w:kern w:val="0"/>
                    <w:sz w:val="21"/>
                    <w:szCs w:val="21"/>
                    <w:highlight w:val="none"/>
                  </w:rPr>
                  <w:t>☐</w:t>
                </w:r>
              </w:sdtContent>
            </w:sdt>
            <w:r>
              <w:rPr>
                <w:rFonts w:hint="eastAsia" w:ascii="宋体" w:hAnsi="宋体" w:eastAsia="宋体" w:cs="宋体"/>
                <w:snapToGrid w:val="0"/>
                <w:color w:val="auto"/>
                <w:kern w:val="28"/>
                <w:sz w:val="21"/>
                <w:szCs w:val="21"/>
                <w:highlight w:val="none"/>
              </w:rPr>
              <w:t>联合体投标的，联合体各方均需按招标文件第四部分评标标准要求提供资信证明文件，否则视为不符合相关要求。</w:t>
            </w:r>
          </w:p>
          <w:p w14:paraId="5507E58B">
            <w:pPr>
              <w:keepNext w:val="0"/>
              <w:keepLines w:val="0"/>
              <w:pageBreakBefore w:val="0"/>
              <w:widowControl w:val="0"/>
              <w:kinsoku/>
              <w:wordWrap w:val="0"/>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snapToGrid w:val="0"/>
                <w:color w:val="auto"/>
                <w:kern w:val="28"/>
                <w:sz w:val="21"/>
                <w:szCs w:val="21"/>
                <w:highlight w:val="none"/>
              </w:rPr>
            </w:pPr>
            <w:sdt>
              <w:sdtPr>
                <w:rPr>
                  <w:rFonts w:hint="eastAsia" w:ascii="宋体" w:hAnsi="宋体" w:eastAsia="宋体" w:cs="宋体"/>
                  <w:color w:val="auto"/>
                  <w:kern w:val="0"/>
                  <w:sz w:val="21"/>
                  <w:szCs w:val="21"/>
                  <w:highlight w:val="none"/>
                </w:rPr>
                <w:id w:val="1052570136"/>
                <w14:checkbox>
                  <w14:checked w14:val="0"/>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宋体" w:hAnsi="宋体" w:eastAsia="宋体" w:cs="宋体"/>
                    <w:color w:val="auto"/>
                    <w:kern w:val="0"/>
                    <w:sz w:val="21"/>
                    <w:szCs w:val="21"/>
                    <w:highlight w:val="none"/>
                  </w:rPr>
                  <w:t>☐</w:t>
                </w:r>
              </w:sdtContent>
            </w:sdt>
            <w:r>
              <w:rPr>
                <w:rFonts w:hint="eastAsia" w:ascii="宋体" w:hAnsi="宋体" w:eastAsia="宋体" w:cs="宋体"/>
                <w:snapToGrid w:val="0"/>
                <w:color w:val="auto"/>
                <w:kern w:val="28"/>
                <w:sz w:val="21"/>
                <w:szCs w:val="21"/>
                <w:highlight w:val="none"/>
              </w:rPr>
              <w:t>联合体投标的，联合体中有一方或者联合体成员根据分工按招标文件第四部分评标标准要求提供资信证明文件的，视为符合了相关要求。</w:t>
            </w:r>
          </w:p>
        </w:tc>
      </w:tr>
      <w:tr w14:paraId="222576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5" w:type="dxa"/>
            <w:left w:w="96" w:type="dxa"/>
            <w:bottom w:w="45" w:type="dxa"/>
            <w:right w:w="96" w:type="dxa"/>
          </w:tblCellMar>
        </w:tblPrEx>
        <w:trPr>
          <w:trHeight w:val="0" w:hRule="atLeast"/>
        </w:trPr>
        <w:tc>
          <w:tcPr>
            <w:tcW w:w="732" w:type="dxa"/>
            <w:tcBorders>
              <w:top w:val="single" w:color="auto" w:sz="4" w:space="0"/>
              <w:left w:val="single" w:color="auto" w:sz="4" w:space="0"/>
              <w:bottom w:val="single" w:color="auto" w:sz="4" w:space="0"/>
              <w:right w:val="single" w:color="auto" w:sz="4" w:space="0"/>
            </w:tcBorders>
            <w:vAlign w:val="center"/>
          </w:tcPr>
          <w:p w14:paraId="44266B52">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5</w:t>
            </w:r>
          </w:p>
        </w:tc>
        <w:tc>
          <w:tcPr>
            <w:tcW w:w="1609" w:type="dxa"/>
            <w:tcBorders>
              <w:top w:val="single" w:color="auto" w:sz="4" w:space="0"/>
              <w:left w:val="single" w:color="auto" w:sz="4" w:space="0"/>
              <w:bottom w:val="single" w:color="auto" w:sz="4" w:space="0"/>
              <w:right w:val="single" w:color="auto" w:sz="4" w:space="0"/>
            </w:tcBorders>
            <w:vAlign w:val="center"/>
          </w:tcPr>
          <w:p w14:paraId="6E8A4B60">
            <w:pPr>
              <w:keepNext w:val="0"/>
              <w:keepLines w:val="0"/>
              <w:pageBreakBefore w:val="0"/>
              <w:widowControl w:val="0"/>
              <w:kinsoku/>
              <w:wordWrap w:val="0"/>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解释权</w:t>
            </w:r>
          </w:p>
        </w:tc>
        <w:tc>
          <w:tcPr>
            <w:tcW w:w="6863" w:type="dxa"/>
            <w:tcBorders>
              <w:top w:val="single" w:color="auto" w:sz="4" w:space="0"/>
              <w:left w:val="single" w:color="auto" w:sz="4" w:space="0"/>
              <w:bottom w:val="single" w:color="auto" w:sz="4" w:space="0"/>
              <w:right w:val="single" w:color="auto" w:sz="4" w:space="0"/>
            </w:tcBorders>
            <w:vAlign w:val="center"/>
          </w:tcPr>
          <w:p w14:paraId="123D2C37">
            <w:pPr>
              <w:keepNext w:val="0"/>
              <w:keepLines w:val="0"/>
              <w:pageBreakBefore w:val="0"/>
              <w:widowControl w:val="0"/>
              <w:kinsoku/>
              <w:wordWrap w:val="0"/>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本招标文件解释权属采购人及代理机构。</w:t>
            </w:r>
          </w:p>
        </w:tc>
      </w:tr>
    </w:tbl>
    <w:p w14:paraId="64E74C8E">
      <w:pPr>
        <w:snapToGrid w:val="0"/>
        <w:spacing w:line="360" w:lineRule="auto"/>
        <w:jc w:val="center"/>
        <w:outlineLvl w:val="9"/>
        <w:rPr>
          <w:rFonts w:hint="eastAsia" w:ascii="宋体" w:hAnsi="宋体" w:eastAsia="宋体" w:cs="宋体"/>
          <w:b/>
          <w:color w:val="auto"/>
          <w:sz w:val="32"/>
          <w:szCs w:val="20"/>
          <w:highlight w:val="none"/>
        </w:rPr>
      </w:pPr>
    </w:p>
    <w:bookmarkEnd w:id="9"/>
    <w:p w14:paraId="574928D0">
      <w:pPr>
        <w:rPr>
          <w:rFonts w:hint="eastAsia" w:ascii="宋体" w:hAnsi="宋体" w:eastAsia="宋体" w:cs="宋体"/>
          <w:b/>
          <w:color w:val="auto"/>
          <w:sz w:val="32"/>
          <w:szCs w:val="20"/>
          <w:highlight w:val="none"/>
        </w:rPr>
      </w:pPr>
      <w:bookmarkStart w:id="24" w:name="第三部分"/>
      <w:bookmarkStart w:id="25" w:name="_Toc164416483"/>
      <w:r>
        <w:rPr>
          <w:rFonts w:hint="eastAsia" w:ascii="宋体" w:hAnsi="宋体" w:eastAsia="宋体" w:cs="宋体"/>
          <w:b/>
          <w:color w:val="auto"/>
          <w:sz w:val="32"/>
          <w:szCs w:val="20"/>
          <w:highlight w:val="none"/>
        </w:rPr>
        <w:br w:type="page"/>
      </w:r>
    </w:p>
    <w:p w14:paraId="75E55056">
      <w:pPr>
        <w:adjustRightInd/>
        <w:spacing w:line="360" w:lineRule="auto"/>
        <w:ind w:firstLine="3845" w:firstLineChars="1197"/>
        <w:outlineLvl w:val="9"/>
        <w:rPr>
          <w:rFonts w:hint="eastAsia" w:ascii="宋体" w:hAnsi="宋体" w:eastAsia="宋体" w:cs="宋体"/>
          <w:b/>
          <w:color w:val="auto"/>
          <w:sz w:val="32"/>
          <w:szCs w:val="20"/>
          <w:highlight w:val="none"/>
        </w:rPr>
      </w:pPr>
      <w:r>
        <w:rPr>
          <w:rFonts w:hint="eastAsia" w:ascii="宋体" w:hAnsi="宋体" w:eastAsia="宋体" w:cs="宋体"/>
          <w:b/>
          <w:color w:val="auto"/>
          <w:sz w:val="32"/>
          <w:szCs w:val="20"/>
          <w:highlight w:val="none"/>
        </w:rPr>
        <w:t>一、总则</w:t>
      </w:r>
    </w:p>
    <w:p w14:paraId="7A73003D">
      <w:pPr>
        <w:snapToGrid w:val="0"/>
        <w:spacing w:line="360" w:lineRule="auto"/>
        <w:jc w:val="left"/>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 适用范围</w:t>
      </w:r>
    </w:p>
    <w:p w14:paraId="1D80406B">
      <w:pPr>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本招标文件适用于该项目的招标、投标、开标、资格审查及信用信息查询、评标、定标、合同、验收等行为（法律、法规另有规定的，从其规定）。</w:t>
      </w:r>
    </w:p>
    <w:p w14:paraId="69698B76">
      <w:pPr>
        <w:adjustRightInd/>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2.定义</w:t>
      </w:r>
    </w:p>
    <w:p w14:paraId="0CFDAC12">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 “采购人”系指招标公告中载明的本项目的采购人。</w:t>
      </w:r>
    </w:p>
    <w:p w14:paraId="3B039A3C">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 “采购代理机构”系指招标公告中载明的本项目的采购代理机构。</w:t>
      </w:r>
    </w:p>
    <w:p w14:paraId="5099CFEA">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 “投标人”系指是指响应招标、参加投标竞争的法人、其他组织或者自然人。</w:t>
      </w:r>
    </w:p>
    <w:p w14:paraId="5C9B0C8D">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 “法定代表人（负责人）”系指法人企业的法定负责人，或其他组织为法律、行政法规规定代表单位行使职权的主要负责人，或自然人本人。</w:t>
      </w:r>
    </w:p>
    <w:p w14:paraId="00D93F37">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2.5“电子签名”系指数据电文中以电子形式所含、所附用于识别签名人身份并表明签名人认可其中内容的数据；“公章”系指单位法定名称章。</w:t>
      </w:r>
    </w:p>
    <w:p w14:paraId="7BC713D7">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本文件所涉及的法定代表人（负责人）或其委托代理人签名的内容，可以是</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的法定代表人（负责人）或其委托代理人的电子签名；如果</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没有法定代表人（负责人）或其委托代理人的电子签名，</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也可以线下签名或盖姓名章后扫描上传。电子投标文件加盖公章部分均采用CA签章。</w:t>
      </w:r>
    </w:p>
    <w:p w14:paraId="6E013691">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2.6“电子交易平台”系指本项目政府采购活动所依托的广西政府采购云平台（https</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//www.gcy.zfcg.gxzf.gov.cn/）。</w:t>
      </w:r>
    </w:p>
    <w:p w14:paraId="0D88B25B">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 “▲” 系指实质性要求条款，“</w:t>
      </w:r>
      <w:r>
        <w:rPr>
          <w:rFonts w:hint="eastAsia" w:ascii="宋体" w:hAnsi="宋体" w:eastAsia="宋体" w:cs="宋体"/>
          <w:color w:val="auto"/>
          <w:kern w:val="0"/>
          <w:sz w:val="21"/>
          <w:szCs w:val="21"/>
          <w:highlight w:val="none"/>
        </w:rPr>
        <w:sym w:font="Wingdings" w:char="F0FE"/>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系指适用本项目的要求，“</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系指不适用本项目的要求。</w:t>
      </w:r>
    </w:p>
    <w:p w14:paraId="550334B4">
      <w:pPr>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w:t>
      </w:r>
      <w:r>
        <w:rPr>
          <w:rFonts w:hint="eastAsia" w:ascii="宋体" w:hAnsi="宋体" w:eastAsia="宋体" w:cs="宋体"/>
          <w:color w:val="auto"/>
          <w:sz w:val="21"/>
          <w:szCs w:val="21"/>
          <w:highlight w:val="none"/>
        </w:rPr>
        <w:t xml:space="preserve"> </w:t>
      </w:r>
      <w:r>
        <w:rPr>
          <w:rFonts w:hint="eastAsia" w:ascii="宋体" w:hAnsi="宋体" w:eastAsia="宋体" w:cs="宋体"/>
          <w:b/>
          <w:color w:val="auto"/>
          <w:sz w:val="21"/>
          <w:szCs w:val="21"/>
          <w:highlight w:val="none"/>
        </w:rPr>
        <w:t>采购项目需要落实的政府采购政策</w:t>
      </w:r>
    </w:p>
    <w:p w14:paraId="25598785">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宋体" w:hAnsi="宋体" w:eastAsia="宋体" w:cs="宋体"/>
          <w:color w:val="auto"/>
          <w:kern w:val="0"/>
          <w:sz w:val="21"/>
          <w:szCs w:val="21"/>
          <w:highlight w:val="none"/>
        </w:rPr>
        <w:t>优先采购向我国企业转让技术、与我国企业签订消化吸收再创新方案的</w:t>
      </w:r>
      <w:r>
        <w:rPr>
          <w:rFonts w:hint="eastAsia" w:ascii="宋体" w:hAnsi="宋体" w:eastAsia="宋体" w:cs="宋体"/>
          <w:color w:val="auto"/>
          <w:kern w:val="0"/>
          <w:sz w:val="21"/>
          <w:szCs w:val="21"/>
          <w:highlight w:val="none"/>
          <w:lang w:eastAsia="zh-CN"/>
        </w:rPr>
        <w:t>投标人</w:t>
      </w:r>
      <w:r>
        <w:rPr>
          <w:rFonts w:hint="eastAsia" w:ascii="宋体" w:hAnsi="宋体" w:eastAsia="宋体" w:cs="宋体"/>
          <w:color w:val="auto"/>
          <w:kern w:val="0"/>
          <w:sz w:val="21"/>
          <w:szCs w:val="21"/>
          <w:highlight w:val="none"/>
        </w:rPr>
        <w:t>的进口产品</w:t>
      </w:r>
      <w:r>
        <w:rPr>
          <w:rFonts w:hint="eastAsia" w:ascii="宋体" w:hAnsi="宋体" w:eastAsia="宋体" w:cs="宋体"/>
          <w:color w:val="auto"/>
          <w:sz w:val="21"/>
          <w:szCs w:val="21"/>
          <w:highlight w:val="none"/>
        </w:rPr>
        <w:t>。</w:t>
      </w:r>
    </w:p>
    <w:p w14:paraId="6DCB964E">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 支持绿色发展</w:t>
      </w:r>
    </w:p>
    <w:p w14:paraId="59A287BA">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采购人拟采购的产品属于政府强制采购的节能产品品目清单范围的，投标人相应的投标产品未获得国家确定的认证机构出具的、处于有效期之内的节能产品认证证书的，投标无效。</w:t>
      </w:r>
    </w:p>
    <w:p w14:paraId="3A1B907C">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3.2.2 纳入政府采购管理的修缮、装修类项目采购建材的，鼓励采购单位将绿色建材性能、指标等作为实质性条件纳入采购文件和合同，具体性能指标要求参考相关绿色建材政府采购需求标准。</w:t>
      </w:r>
    </w:p>
    <w:p w14:paraId="2BF42436">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3.2.3为助力打好污染防治攻坚战，推广使用绿色包装，政府采购货物、工程和服务项目中涉及商品包装和快递包装的，</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提供产品及相关快递服务的具体包装要求要参考《商品包装政府采购需求标准（试行）》、《快递包装政府采购需求标准（试行）》。</w:t>
      </w:r>
      <w:bookmarkStart w:id="26" w:name="_Hlk107568539"/>
      <w:r>
        <w:rPr>
          <w:rFonts w:hint="eastAsia" w:ascii="宋体" w:hAnsi="宋体" w:eastAsia="宋体" w:cs="宋体"/>
          <w:color w:val="auto"/>
          <w:sz w:val="21"/>
          <w:szCs w:val="21"/>
          <w:highlight w:val="none"/>
        </w:rPr>
        <w:t>鼓励采购单位优先采购秸秆环保板材等资源综合利用产品。鼓励采购单位优先采购绿色物流配送服务、提供新能源交通工具的租赁服务。</w:t>
      </w:r>
    </w:p>
    <w:p w14:paraId="56B3DE41">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3.2.4 鼓励</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在参加政府采购过程中开展绿色设计、选择绿色材料、打造绿色制造工艺、开展绿色运输、做好废弃产品回收处理，实现产品全周期的绿色环保。鼓励采购单位对其提高预付款比例、免收履约保证金。</w:t>
      </w:r>
      <w:bookmarkEnd w:id="26"/>
    </w:p>
    <w:p w14:paraId="6E3112CA">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3.3支持中小企业发展</w:t>
      </w:r>
    </w:p>
    <w:p w14:paraId="51B09C17">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75817ED6">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符合中小企业划分标准的个体工商户，在政府采购活动中视同中小企业。</w:t>
      </w:r>
    </w:p>
    <w:p w14:paraId="5A1F010B">
      <w:pPr>
        <w:widowControl/>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highlight w:val="none"/>
        </w:rPr>
        <w:t>3.3.2</w:t>
      </w:r>
      <w:r>
        <w:rPr>
          <w:rFonts w:hint="eastAsia" w:ascii="宋体" w:hAnsi="宋体" w:eastAsia="宋体" w:cs="宋体"/>
          <w:color w:val="auto"/>
          <w:kern w:val="0"/>
          <w:sz w:val="21"/>
          <w:szCs w:val="21"/>
          <w:highlight w:val="none"/>
        </w:rPr>
        <w:t>在政府采购活动中，投标人提供的货物符合下列情形的，享受中小企业扶持政策：在货物采购项目中，货物由中小企业制造，即货物由中小企业生产且使用该中小企业商号或者注册商标；在货物采购项目中，投标人提供的货物既有中小企业制造货物，也有大型企业制造货物的，不享受中小企业扶持政策。</w:t>
      </w:r>
    </w:p>
    <w:p w14:paraId="5D8FD15B">
      <w:pPr>
        <w:widowControl/>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以联合体形式参加政府采购活动，联合体各方均为中小企业的，联合体视同中小企业。其中，联合体各方均为小微企业的，联合体视同小微企业。</w:t>
      </w:r>
    </w:p>
    <w:p w14:paraId="5557C413">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3.3.3对于未预留份额专门面向中小企业采购的政府采购项目，以及预留份额政府采购项目中的非预留部分标项，对小型和微型企业的投标报价给予20%的扣除，用扣除后的价格参与评审。接受大中型企业与小微企业组成联合体或者允许大中型企业向一家或者多家小微企业分包的政府采购项目，对于</w:t>
      </w:r>
      <w:bookmarkStart w:id="27" w:name="_Hlk101132181"/>
      <w:r>
        <w:rPr>
          <w:rFonts w:hint="eastAsia" w:ascii="宋体" w:hAnsi="宋体" w:eastAsia="宋体" w:cs="宋体"/>
          <w:color w:val="auto"/>
          <w:sz w:val="21"/>
          <w:szCs w:val="21"/>
          <w:highlight w:val="none"/>
        </w:rPr>
        <w:t>联合协议或者分包意向协议约定小微企业的合同份额占到合同总金额30%以上的</w:t>
      </w:r>
      <w:bookmarkEnd w:id="27"/>
      <w:r>
        <w:rPr>
          <w:rFonts w:hint="eastAsia" w:ascii="宋体" w:hAnsi="宋体" w:eastAsia="宋体" w:cs="宋体"/>
          <w:color w:val="auto"/>
          <w:sz w:val="21"/>
          <w:szCs w:val="21"/>
          <w:highlight w:val="none"/>
        </w:rPr>
        <w:t>，对联合体或者大中型企业的报价给予6%的扣除，用扣除后的价格参加评审。组成联合体或者接受分包的小微企业与联合体内其他企业、分包企业之间存在直接控股、管理关系的，不享受价格扣除优惠政策。</w:t>
      </w:r>
    </w:p>
    <w:p w14:paraId="5C968D19">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3.3.4符合《关于促进残疾人就业政府采购政策的通知》（财库〔2017〕141号）规定的条件并提供《残疾人福利性单位声明函》（附件1）的残疾人福利性单位视同小型、微型企业；</w:t>
      </w:r>
    </w:p>
    <w:p w14:paraId="0CCEF516">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4B33397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3.3.6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14:paraId="15D6045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3.3.7中小企业享受扶持政策获得政府采购合同的，小微企业不得将合同分包给大中型企业，中型企业不得将合同分包给大型企业。</w:t>
      </w:r>
    </w:p>
    <w:p w14:paraId="7BE31FD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w:t>
      </w:r>
      <w:r>
        <w:rPr>
          <w:rFonts w:hint="eastAsia" w:ascii="宋体" w:hAnsi="宋体" w:eastAsia="宋体" w:cs="宋体"/>
          <w:bCs/>
          <w:color w:val="auto"/>
          <w:sz w:val="21"/>
          <w:szCs w:val="21"/>
          <w:highlight w:val="none"/>
        </w:rPr>
        <w:t>支持创新发展</w:t>
      </w:r>
    </w:p>
    <w:p w14:paraId="70CD909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3.4.1 采购人优先采购被认定为首台套产品和“制造精品”的自主创新产品。</w:t>
      </w:r>
    </w:p>
    <w:p w14:paraId="14657A8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3.4.2首台套产品被纳入《首台套产品推广应用指导目录》之日起3年内，以及产品核心技术高于国内领先水平，并具有明晰自主知识产权的“制造精品”产品，自认定之日起2年内视同已具备相应销售业绩，参加政府采购活动时业绩分值为满分。</w:t>
      </w:r>
    </w:p>
    <w:p w14:paraId="64E66BF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3.5平等对待内外资企业</w:t>
      </w:r>
    </w:p>
    <w:p w14:paraId="3A3F1CB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政府采购依法对内外资企业在中国境内生产的产品（包括提供的服务）平等对待，不论其</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是内资还是外资企业，均应依法保障其平等参与政府采购活动的权利。不得以所有制形式、组织形式、股权结构、投资者国别、产品品牌以及其他不合理的条件对</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予以限定。平等对待内外资企业，切实保障企业公平竞争，平等维护企业的合法利益。</w:t>
      </w:r>
    </w:p>
    <w:p w14:paraId="563364DA">
      <w:pPr>
        <w:pStyle w:val="84"/>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3.6平等对待符合条件的破产重整企业</w:t>
      </w:r>
    </w:p>
    <w:p w14:paraId="1C73779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平等对待符合条件的破产重整企业，切实保障企业公平竞争，平等维护企业的合法利益。</w:t>
      </w:r>
    </w:p>
    <w:p w14:paraId="176BFCD0">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 询问、质疑、投诉</w:t>
      </w:r>
    </w:p>
    <w:p w14:paraId="6E6F3816">
      <w:pPr>
        <w:spacing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4.1在线询问、质疑、投诉</w:t>
      </w:r>
    </w:p>
    <w:p w14:paraId="1D5FC258">
      <w:pPr>
        <w:pStyle w:val="35"/>
        <w:spacing w:line="360" w:lineRule="auto"/>
        <w:ind w:firstLine="420" w:firstLineChars="200"/>
        <w:rPr>
          <w:rFonts w:hint="eastAsia" w:ascii="宋体" w:hAnsi="宋体" w:eastAsia="宋体" w:cs="宋体"/>
          <w:snapToGrid w:val="0"/>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rPr>
        <w:t>根据《北海市财政局  北海市政府采购中心关于启用政府采购在线询问、质疑、投诉功能的通知》（北财采〔2022〕23号）文件要求，鼓励投标人在线提起询问、质疑、投诉，路径为：投标人可通过北海“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w:t>
      </w:r>
      <w:r>
        <w:rPr>
          <w:rFonts w:hint="eastAsia" w:ascii="宋体" w:hAnsi="宋体" w:eastAsia="宋体" w:cs="宋体"/>
          <w:snapToGrid w:val="0"/>
          <w:color w:val="auto"/>
          <w:kern w:val="2"/>
          <w:sz w:val="21"/>
          <w:szCs w:val="21"/>
          <w:highlight w:val="none"/>
          <w:lang w:val="zh-CN" w:eastAsia="zh-CN" w:bidi="ar-SA"/>
        </w:rPr>
        <w:t>投诉。</w:t>
      </w:r>
    </w:p>
    <w:p w14:paraId="073B52D5">
      <w:pPr>
        <w:pStyle w:val="35"/>
        <w:spacing w:line="360" w:lineRule="auto"/>
        <w:ind w:firstLine="420" w:firstLineChars="200"/>
        <w:rPr>
          <w:rFonts w:hint="eastAsia" w:ascii="宋体" w:hAnsi="宋体" w:eastAsia="宋体" w:cs="宋体"/>
          <w:snapToGrid w:val="0"/>
          <w:color w:val="auto"/>
          <w:kern w:val="2"/>
          <w:sz w:val="21"/>
          <w:szCs w:val="21"/>
          <w:highlight w:val="none"/>
          <w:lang w:val="en-US" w:eastAsia="zh-CN" w:bidi="ar-SA"/>
        </w:rPr>
      </w:pPr>
      <w:r>
        <w:rPr>
          <w:rFonts w:hint="eastAsia" w:ascii="宋体" w:hAnsi="宋体" w:eastAsia="宋体" w:cs="宋体"/>
          <w:snapToGrid w:val="0"/>
          <w:color w:val="auto"/>
          <w:kern w:val="2"/>
          <w:sz w:val="21"/>
          <w:szCs w:val="21"/>
          <w:highlight w:val="none"/>
          <w:lang w:val="en-US" w:eastAsia="zh-CN" w:bidi="ar-SA"/>
        </w:rPr>
        <w:t xml:space="preserve">询问联系部门：广西科联招标中心有限公司      联系电话：0779-3832133；3830266       </w:t>
      </w:r>
    </w:p>
    <w:p w14:paraId="50B95456">
      <w:pPr>
        <w:pStyle w:val="35"/>
        <w:spacing w:line="360" w:lineRule="auto"/>
        <w:ind w:firstLine="420" w:firstLineChars="200"/>
        <w:rPr>
          <w:rFonts w:hint="eastAsia" w:ascii="宋体" w:hAnsi="宋体" w:eastAsia="宋体" w:cs="宋体"/>
          <w:snapToGrid w:val="0"/>
          <w:color w:val="auto"/>
          <w:kern w:val="2"/>
          <w:sz w:val="21"/>
          <w:szCs w:val="21"/>
          <w:highlight w:val="none"/>
          <w:lang w:val="en-US" w:eastAsia="zh-CN" w:bidi="ar-SA"/>
        </w:rPr>
      </w:pPr>
      <w:r>
        <w:rPr>
          <w:rFonts w:hint="eastAsia" w:ascii="宋体" w:hAnsi="宋体" w:eastAsia="宋体" w:cs="宋体"/>
          <w:snapToGrid w:val="0"/>
          <w:color w:val="auto"/>
          <w:kern w:val="2"/>
          <w:sz w:val="21"/>
          <w:szCs w:val="21"/>
          <w:highlight w:val="none"/>
          <w:lang w:val="en-US" w:eastAsia="zh-CN" w:bidi="ar-SA"/>
        </w:rPr>
        <w:t>联系人：赖亭亭     地址：北海市北海大道科技大厦三楼</w:t>
      </w:r>
    </w:p>
    <w:p w14:paraId="542B02D6">
      <w:pPr>
        <w:pStyle w:val="35"/>
        <w:spacing w:line="360" w:lineRule="auto"/>
        <w:ind w:firstLine="420" w:firstLineChars="200"/>
        <w:rPr>
          <w:rFonts w:hint="eastAsia" w:ascii="宋体" w:hAnsi="宋体" w:eastAsia="宋体" w:cs="宋体"/>
          <w:snapToGrid w:val="0"/>
          <w:color w:val="auto"/>
          <w:kern w:val="2"/>
          <w:sz w:val="21"/>
          <w:szCs w:val="21"/>
          <w:highlight w:val="none"/>
          <w:lang w:val="en-US" w:eastAsia="zh-CN" w:bidi="ar-SA"/>
        </w:rPr>
      </w:pPr>
      <w:r>
        <w:rPr>
          <w:rFonts w:hint="eastAsia" w:ascii="宋体" w:hAnsi="宋体" w:eastAsia="宋体" w:cs="宋体"/>
          <w:snapToGrid w:val="0"/>
          <w:color w:val="auto"/>
          <w:kern w:val="2"/>
          <w:sz w:val="21"/>
          <w:szCs w:val="21"/>
          <w:highlight w:val="none"/>
          <w:lang w:val="en-US" w:eastAsia="zh-CN" w:bidi="ar-SA"/>
        </w:rPr>
        <w:t xml:space="preserve">质疑联系部门：广西科联招标中心有限公司      联系电话：0779-3832133；3830266       </w:t>
      </w:r>
    </w:p>
    <w:p w14:paraId="4C321815">
      <w:pPr>
        <w:pStyle w:val="35"/>
        <w:spacing w:line="360" w:lineRule="auto"/>
        <w:ind w:firstLine="420" w:firstLineChars="200"/>
        <w:rPr>
          <w:rFonts w:hint="eastAsia" w:ascii="宋体" w:hAnsi="宋体" w:eastAsia="宋体" w:cs="宋体"/>
          <w:snapToGrid w:val="0"/>
          <w:color w:val="auto"/>
          <w:kern w:val="2"/>
          <w:sz w:val="21"/>
          <w:szCs w:val="21"/>
          <w:highlight w:val="none"/>
          <w:lang w:val="en-US" w:eastAsia="zh-CN" w:bidi="ar-SA"/>
        </w:rPr>
      </w:pPr>
      <w:r>
        <w:rPr>
          <w:rFonts w:hint="eastAsia" w:ascii="宋体" w:hAnsi="宋体" w:eastAsia="宋体" w:cs="宋体"/>
          <w:snapToGrid w:val="0"/>
          <w:color w:val="auto"/>
          <w:kern w:val="2"/>
          <w:sz w:val="21"/>
          <w:szCs w:val="21"/>
          <w:highlight w:val="none"/>
          <w:lang w:val="en-US" w:eastAsia="zh-CN" w:bidi="ar-SA"/>
        </w:rPr>
        <w:t xml:space="preserve">联系人：赖亭亭     地址：北海市北海大道科技大厦三楼        </w:t>
      </w:r>
    </w:p>
    <w:p w14:paraId="7F024679">
      <w:pPr>
        <w:pStyle w:val="35"/>
        <w:spacing w:line="360" w:lineRule="auto"/>
        <w:ind w:firstLine="420" w:firstLineChars="200"/>
        <w:rPr>
          <w:rFonts w:hint="eastAsia" w:ascii="宋体" w:hAnsi="宋体" w:eastAsia="宋体" w:cs="宋体"/>
          <w:snapToGrid w:val="0"/>
          <w:color w:val="auto"/>
          <w:kern w:val="2"/>
          <w:sz w:val="21"/>
          <w:szCs w:val="21"/>
          <w:highlight w:val="none"/>
          <w:lang w:val="en-US" w:eastAsia="zh-CN" w:bidi="ar-SA"/>
        </w:rPr>
      </w:pPr>
      <w:r>
        <w:rPr>
          <w:rFonts w:hint="eastAsia" w:ascii="宋体" w:hAnsi="宋体" w:eastAsia="宋体" w:cs="宋体"/>
          <w:snapToGrid w:val="0"/>
          <w:color w:val="auto"/>
          <w:kern w:val="2"/>
          <w:sz w:val="21"/>
          <w:szCs w:val="21"/>
          <w:highlight w:val="none"/>
          <w:lang w:val="en-US" w:eastAsia="zh-CN" w:bidi="ar-SA"/>
        </w:rPr>
        <w:t xml:space="preserve">投诉联系部门：北海市海城区财政局     联系电话：0779-3032655       </w:t>
      </w:r>
    </w:p>
    <w:p w14:paraId="35AF23BA">
      <w:pPr>
        <w:pStyle w:val="35"/>
        <w:spacing w:line="360" w:lineRule="auto"/>
        <w:ind w:firstLine="420" w:firstLineChars="200"/>
        <w:rPr>
          <w:rFonts w:hint="eastAsia" w:ascii="宋体" w:hAnsi="宋体" w:eastAsia="宋体" w:cs="宋体"/>
          <w:snapToGrid w:val="0"/>
          <w:color w:val="auto"/>
          <w:kern w:val="2"/>
          <w:sz w:val="21"/>
          <w:szCs w:val="21"/>
          <w:highlight w:val="none"/>
          <w:lang w:val="en-US" w:eastAsia="zh-CN" w:bidi="ar-SA"/>
        </w:rPr>
      </w:pPr>
      <w:r>
        <w:rPr>
          <w:rFonts w:hint="eastAsia" w:ascii="宋体" w:hAnsi="宋体" w:eastAsia="宋体" w:cs="宋体"/>
          <w:snapToGrid w:val="0"/>
          <w:color w:val="auto"/>
          <w:kern w:val="2"/>
          <w:sz w:val="21"/>
          <w:szCs w:val="21"/>
          <w:highlight w:val="none"/>
          <w:lang w:val="en-US" w:eastAsia="zh-CN" w:bidi="ar-SA"/>
        </w:rPr>
        <w:t xml:space="preserve">联系人：陈工              地址：北海市海城区长青北路13号海城区人民政府大院内 </w:t>
      </w:r>
    </w:p>
    <w:p w14:paraId="4A9A150D">
      <w:pPr>
        <w:pStyle w:val="35"/>
        <w:spacing w:line="360" w:lineRule="auto"/>
        <w:ind w:firstLine="420" w:firstLineChars="200"/>
        <w:rPr>
          <w:rFonts w:hint="eastAsia" w:ascii="宋体" w:hAnsi="宋体" w:eastAsia="宋体" w:cs="宋体"/>
          <w:snapToGrid w:val="0"/>
          <w:color w:val="auto"/>
          <w:kern w:val="2"/>
          <w:sz w:val="21"/>
          <w:szCs w:val="21"/>
          <w:highlight w:val="none"/>
          <w:lang w:val="zh-CN" w:eastAsia="zh-CN" w:bidi="ar-SA"/>
        </w:rPr>
      </w:pPr>
      <w:r>
        <w:rPr>
          <w:rFonts w:hint="eastAsia" w:ascii="宋体" w:hAnsi="宋体" w:eastAsia="宋体" w:cs="宋体"/>
          <w:snapToGrid w:val="0"/>
          <w:color w:val="auto"/>
          <w:kern w:val="2"/>
          <w:sz w:val="21"/>
          <w:szCs w:val="21"/>
          <w:highlight w:val="none"/>
          <w:lang w:val="zh-CN" w:eastAsia="zh-CN" w:bidi="ar-SA"/>
        </w:rPr>
        <w:t>4.2投标人询问</w:t>
      </w:r>
    </w:p>
    <w:p w14:paraId="4CA95D6F">
      <w:pPr>
        <w:pStyle w:val="35"/>
        <w:spacing w:line="360" w:lineRule="auto"/>
        <w:ind w:firstLine="420" w:firstLineChars="200"/>
        <w:rPr>
          <w:rFonts w:hint="eastAsia" w:ascii="宋体" w:hAnsi="宋体" w:eastAsia="宋体" w:cs="宋体"/>
          <w:snapToGrid w:val="0"/>
          <w:color w:val="auto"/>
          <w:kern w:val="2"/>
          <w:sz w:val="21"/>
          <w:szCs w:val="21"/>
          <w:highlight w:val="none"/>
          <w:lang w:val="zh-CN" w:eastAsia="zh-CN" w:bidi="ar-SA"/>
        </w:rPr>
      </w:pPr>
      <w:r>
        <w:rPr>
          <w:rFonts w:hint="eastAsia" w:ascii="宋体" w:hAnsi="宋体" w:eastAsia="宋体" w:cs="宋体"/>
          <w:snapToGrid w:val="0"/>
          <w:color w:val="auto"/>
          <w:kern w:val="2"/>
          <w:sz w:val="21"/>
          <w:szCs w:val="21"/>
          <w:highlight w:val="none"/>
          <w:lang w:val="zh-CN" w:eastAsia="zh-CN" w:bidi="ar-SA"/>
        </w:rPr>
        <w:t>投标人对政府采购活动事项有疑问的，可以提出询问，采购人或者采购代理机构应当在3个工作日内对投标人依法提出的询问作出答复，但答复的内容不得涉及商业秘密。投标人提出的询问超出采购人对采购代理机构委托授权范围的，采购代理机构应当告知投标人向采购人提出。</w:t>
      </w:r>
    </w:p>
    <w:p w14:paraId="49FCF04F">
      <w:pPr>
        <w:pStyle w:val="35"/>
        <w:spacing w:line="360" w:lineRule="auto"/>
        <w:ind w:firstLine="420" w:firstLineChars="200"/>
        <w:rPr>
          <w:rFonts w:hint="eastAsia" w:ascii="宋体" w:hAnsi="宋体" w:eastAsia="宋体" w:cs="宋体"/>
          <w:snapToGrid w:val="0"/>
          <w:color w:val="auto"/>
          <w:kern w:val="2"/>
          <w:sz w:val="21"/>
          <w:szCs w:val="21"/>
          <w:highlight w:val="none"/>
          <w:lang w:val="zh-CN" w:eastAsia="zh-CN" w:bidi="ar-SA"/>
        </w:rPr>
      </w:pPr>
      <w:r>
        <w:rPr>
          <w:rFonts w:hint="eastAsia" w:ascii="宋体" w:hAnsi="宋体" w:eastAsia="宋体" w:cs="宋体"/>
          <w:snapToGrid w:val="0"/>
          <w:color w:val="auto"/>
          <w:kern w:val="2"/>
          <w:sz w:val="21"/>
          <w:szCs w:val="21"/>
          <w:highlight w:val="none"/>
          <w:lang w:val="zh-CN" w:eastAsia="zh-CN" w:bidi="ar-SA"/>
        </w:rPr>
        <w:t>4.3投标人质疑</w:t>
      </w:r>
    </w:p>
    <w:p w14:paraId="1E8E703B">
      <w:pPr>
        <w:pStyle w:val="35"/>
        <w:spacing w:line="360" w:lineRule="auto"/>
        <w:ind w:firstLine="420" w:firstLineChars="200"/>
        <w:rPr>
          <w:rFonts w:hint="eastAsia" w:ascii="宋体" w:hAnsi="宋体" w:eastAsia="宋体" w:cs="宋体"/>
          <w:snapToGrid w:val="0"/>
          <w:color w:val="auto"/>
          <w:kern w:val="2"/>
          <w:sz w:val="21"/>
          <w:szCs w:val="21"/>
          <w:highlight w:val="none"/>
          <w:lang w:val="en-US" w:eastAsia="zh-CN" w:bidi="ar-SA"/>
        </w:rPr>
      </w:pPr>
      <w:r>
        <w:rPr>
          <w:rFonts w:hint="eastAsia" w:ascii="宋体" w:hAnsi="宋体" w:eastAsia="宋体" w:cs="宋体"/>
          <w:snapToGrid w:val="0"/>
          <w:color w:val="auto"/>
          <w:kern w:val="2"/>
          <w:sz w:val="21"/>
          <w:szCs w:val="21"/>
          <w:highlight w:val="none"/>
          <w:lang w:val="zh-CN" w:eastAsia="zh-CN" w:bidi="ar-SA"/>
        </w:rPr>
        <w:t>4.3</w:t>
      </w:r>
      <w:r>
        <w:rPr>
          <w:rFonts w:hint="eastAsia" w:ascii="宋体" w:hAnsi="宋体" w:eastAsia="宋体" w:cs="宋体"/>
          <w:snapToGrid w:val="0"/>
          <w:color w:val="auto"/>
          <w:kern w:val="2"/>
          <w:sz w:val="21"/>
          <w:szCs w:val="21"/>
          <w:highlight w:val="none"/>
          <w:lang w:val="en-US" w:eastAsia="zh-CN" w:bidi="ar-SA"/>
        </w:rPr>
        <w:t>.1提出质疑的投标人应当是参与所质疑项目采购活动的投标人。潜在投标人已依法获取其可质疑的招标文件的，可以对该文件提出质疑。</w:t>
      </w:r>
    </w:p>
    <w:p w14:paraId="12C2C033">
      <w:pPr>
        <w:pStyle w:val="35"/>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snapToGrid w:val="0"/>
          <w:color w:val="auto"/>
          <w:kern w:val="2"/>
          <w:sz w:val="21"/>
          <w:szCs w:val="21"/>
          <w:highlight w:val="none"/>
          <w:lang w:val="zh-CN" w:eastAsia="zh-CN" w:bidi="ar-SA"/>
        </w:rPr>
        <w:t>4.3</w:t>
      </w:r>
      <w:r>
        <w:rPr>
          <w:rFonts w:hint="eastAsia" w:ascii="宋体" w:hAnsi="宋体" w:eastAsia="宋体" w:cs="宋体"/>
          <w:snapToGrid w:val="0"/>
          <w:color w:val="auto"/>
          <w:kern w:val="2"/>
          <w:sz w:val="21"/>
          <w:szCs w:val="21"/>
          <w:highlight w:val="none"/>
          <w:lang w:val="en-US" w:eastAsia="zh-CN" w:bidi="ar-SA"/>
        </w:rPr>
        <w:t>.2投标人认为招标文件、采购过程和中标结果使自己的权益受到损害的，</w:t>
      </w:r>
      <w:r>
        <w:rPr>
          <w:rFonts w:hint="eastAsia" w:ascii="宋体" w:hAnsi="宋体" w:eastAsia="宋体" w:cs="宋体"/>
          <w:color w:val="auto"/>
          <w:sz w:val="21"/>
          <w:szCs w:val="21"/>
          <w:highlight w:val="none"/>
        </w:rPr>
        <w:t>可以在知道或者应知其权益受到损害之日起七个工作日内，以书面形式向采购人或者采购代理机构提出质疑，否则，采购人或者采购代理机构不予受理：</w:t>
      </w:r>
    </w:p>
    <w:p w14:paraId="01874B16">
      <w:pPr>
        <w:pStyle w:val="5"/>
        <w:spacing w:line="360" w:lineRule="auto"/>
        <w:ind w:firstLine="420" w:firstLineChars="200"/>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4.3.2.1对招标文件提出质疑的，质疑期限为</w:t>
      </w:r>
      <w:r>
        <w:rPr>
          <w:rFonts w:hint="eastAsia" w:ascii="宋体" w:hAnsi="宋体" w:eastAsia="宋体" w:cs="宋体"/>
          <w:snapToGrid/>
          <w:color w:val="auto"/>
          <w:kern w:val="2"/>
          <w:sz w:val="21"/>
          <w:szCs w:val="21"/>
          <w:highlight w:val="none"/>
          <w:lang w:eastAsia="zh-CN"/>
        </w:rPr>
        <w:t>投标人</w:t>
      </w:r>
      <w:r>
        <w:rPr>
          <w:rFonts w:hint="eastAsia" w:ascii="宋体" w:hAnsi="宋体" w:eastAsia="宋体" w:cs="宋体"/>
          <w:snapToGrid/>
          <w:color w:val="auto"/>
          <w:kern w:val="2"/>
          <w:sz w:val="21"/>
          <w:szCs w:val="21"/>
          <w:highlight w:val="none"/>
        </w:rPr>
        <w:t>获得招标文件之日或者招标文件公告期限届满之日起计算。</w:t>
      </w:r>
    </w:p>
    <w:p w14:paraId="31028F27">
      <w:pPr>
        <w:pStyle w:val="35"/>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4.3.2.2对采购过程提出质疑的，质疑期限为各采购程序环节结束之日起计算。</w:t>
      </w:r>
    </w:p>
    <w:p w14:paraId="3F578554">
      <w:pPr>
        <w:pStyle w:val="35"/>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4.3.2.3对采购结果提出质疑的，质疑期限自采购结果公告期限届满之日起计算。</w:t>
      </w:r>
    </w:p>
    <w:p w14:paraId="0ACB799B">
      <w:pPr>
        <w:pStyle w:val="35"/>
        <w:spacing w:line="360" w:lineRule="auto"/>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4.3.3</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提出质疑应当提交质疑函和必要的证明材料。质疑函应当包括下列内容：</w:t>
      </w:r>
    </w:p>
    <w:p w14:paraId="155B2F7C">
      <w:pPr>
        <w:pStyle w:val="35"/>
        <w:spacing w:line="360" w:lineRule="auto"/>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4.3.3.1投标人的姓名或者名称、地址、邮编、联系人及联系电话；</w:t>
      </w:r>
    </w:p>
    <w:p w14:paraId="3382E6C9">
      <w:pPr>
        <w:pStyle w:val="35"/>
        <w:spacing w:line="360" w:lineRule="auto"/>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4.3.3.2质疑项目的名称、编号；</w:t>
      </w:r>
    </w:p>
    <w:p w14:paraId="0477515E">
      <w:pPr>
        <w:pStyle w:val="35"/>
        <w:spacing w:line="360" w:lineRule="auto"/>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4.3.3.3具体、明确的质疑事</w:t>
      </w:r>
      <w:r>
        <w:rPr>
          <w:rFonts w:hint="eastAsia" w:ascii="宋体" w:hAnsi="宋体" w:eastAsia="宋体" w:cs="宋体"/>
          <w:color w:val="auto"/>
          <w:kern w:val="0"/>
          <w:sz w:val="21"/>
          <w:szCs w:val="21"/>
          <w:highlight w:val="none"/>
          <w:lang w:val="zh-CN"/>
        </w:rPr>
        <w:t>项和与质疑事项相关的请求；</w:t>
      </w:r>
    </w:p>
    <w:p w14:paraId="4B83C788">
      <w:pPr>
        <w:pStyle w:val="35"/>
        <w:spacing w:line="360" w:lineRule="auto"/>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4.3.3.4事实依据；</w:t>
      </w:r>
    </w:p>
    <w:p w14:paraId="5F6B39E0">
      <w:pPr>
        <w:pStyle w:val="35"/>
        <w:spacing w:line="360" w:lineRule="auto"/>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4.3.3.5必要的法律依据；</w:t>
      </w:r>
    </w:p>
    <w:p w14:paraId="3AEA645D">
      <w:pPr>
        <w:pStyle w:val="35"/>
        <w:spacing w:line="360" w:lineRule="auto"/>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4.3.3.6提出质疑的日期。</w:t>
      </w:r>
    </w:p>
    <w:p w14:paraId="19BAF4C0">
      <w:pPr>
        <w:pStyle w:val="35"/>
        <w:spacing w:line="360" w:lineRule="auto"/>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eastAsia="zh-CN"/>
        </w:rPr>
        <w:t>投标人</w:t>
      </w:r>
      <w:r>
        <w:rPr>
          <w:rFonts w:hint="eastAsia" w:ascii="宋体" w:hAnsi="宋体" w:eastAsia="宋体" w:cs="宋体"/>
          <w:color w:val="auto"/>
          <w:kern w:val="0"/>
          <w:sz w:val="21"/>
          <w:szCs w:val="21"/>
          <w:highlight w:val="none"/>
          <w:lang w:val="zh-CN"/>
        </w:rPr>
        <w:t>提交的质疑函需一式三份。</w:t>
      </w:r>
      <w:r>
        <w:rPr>
          <w:rFonts w:hint="eastAsia" w:ascii="宋体" w:hAnsi="宋体" w:eastAsia="宋体" w:cs="宋体"/>
          <w:color w:val="auto"/>
          <w:kern w:val="0"/>
          <w:sz w:val="21"/>
          <w:szCs w:val="21"/>
          <w:highlight w:val="none"/>
          <w:lang w:val="zh-CN" w:eastAsia="zh-CN"/>
        </w:rPr>
        <w:t>投标人</w:t>
      </w:r>
      <w:r>
        <w:rPr>
          <w:rFonts w:hint="eastAsia" w:ascii="宋体" w:hAnsi="宋体" w:eastAsia="宋体" w:cs="宋体"/>
          <w:color w:val="auto"/>
          <w:kern w:val="0"/>
          <w:sz w:val="21"/>
          <w:szCs w:val="21"/>
          <w:highlight w:val="none"/>
          <w:lang w:val="zh-CN"/>
        </w:rPr>
        <w:t>为自然人的，应当由本人签字；</w:t>
      </w:r>
      <w:r>
        <w:rPr>
          <w:rFonts w:hint="eastAsia" w:ascii="宋体" w:hAnsi="宋体" w:eastAsia="宋体" w:cs="宋体"/>
          <w:color w:val="auto"/>
          <w:kern w:val="0"/>
          <w:sz w:val="21"/>
          <w:szCs w:val="21"/>
          <w:highlight w:val="none"/>
          <w:lang w:val="zh-CN" w:eastAsia="zh-CN"/>
        </w:rPr>
        <w:t>投标人</w:t>
      </w:r>
      <w:r>
        <w:rPr>
          <w:rFonts w:hint="eastAsia" w:ascii="宋体" w:hAnsi="宋体" w:eastAsia="宋体" w:cs="宋体"/>
          <w:color w:val="auto"/>
          <w:kern w:val="0"/>
          <w:sz w:val="21"/>
          <w:szCs w:val="21"/>
          <w:highlight w:val="none"/>
          <w:lang w:val="zh-CN"/>
        </w:rPr>
        <w:t>为法人或者其他组织的，应当由法定代表人、主要负责人，或者其授权代表签字或者盖章，并加盖公章。</w:t>
      </w:r>
    </w:p>
    <w:p w14:paraId="3D4CFC9E">
      <w:pPr>
        <w:pStyle w:val="35"/>
        <w:spacing w:line="360" w:lineRule="auto"/>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质疑函范本及制作说明详见附件2。</w:t>
      </w:r>
    </w:p>
    <w:p w14:paraId="0EC9F351">
      <w:pPr>
        <w:pStyle w:val="35"/>
        <w:spacing w:line="360" w:lineRule="auto"/>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4.3.4对同一采购程序环节的质疑，</w:t>
      </w:r>
      <w:r>
        <w:rPr>
          <w:rFonts w:hint="eastAsia" w:ascii="宋体" w:hAnsi="宋体" w:eastAsia="宋体" w:cs="宋体"/>
          <w:color w:val="auto"/>
          <w:kern w:val="0"/>
          <w:sz w:val="21"/>
          <w:szCs w:val="21"/>
          <w:highlight w:val="none"/>
          <w:lang w:val="zh-CN" w:eastAsia="zh-CN"/>
        </w:rPr>
        <w:t>投标人</w:t>
      </w:r>
      <w:r>
        <w:rPr>
          <w:rFonts w:hint="eastAsia" w:ascii="宋体" w:hAnsi="宋体" w:eastAsia="宋体" w:cs="宋体"/>
          <w:color w:val="auto"/>
          <w:kern w:val="0"/>
          <w:sz w:val="21"/>
          <w:szCs w:val="21"/>
          <w:highlight w:val="none"/>
          <w:lang w:val="zh-CN"/>
        </w:rPr>
        <w:t>须在法定质疑期内一次性提出。</w:t>
      </w:r>
    </w:p>
    <w:p w14:paraId="67E80828">
      <w:pPr>
        <w:pStyle w:val="35"/>
        <w:spacing w:line="360" w:lineRule="auto"/>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4.3.5采购人或者采购代理机构应当在收到</w:t>
      </w:r>
      <w:r>
        <w:rPr>
          <w:rFonts w:hint="eastAsia" w:ascii="宋体" w:hAnsi="宋体" w:eastAsia="宋体" w:cs="宋体"/>
          <w:color w:val="auto"/>
          <w:kern w:val="0"/>
          <w:sz w:val="21"/>
          <w:szCs w:val="21"/>
          <w:highlight w:val="none"/>
          <w:lang w:val="zh-CN" w:eastAsia="zh-CN"/>
        </w:rPr>
        <w:t>投标人</w:t>
      </w:r>
      <w:r>
        <w:rPr>
          <w:rFonts w:hint="eastAsia" w:ascii="宋体" w:hAnsi="宋体" w:eastAsia="宋体" w:cs="宋体"/>
          <w:color w:val="auto"/>
          <w:kern w:val="0"/>
          <w:sz w:val="21"/>
          <w:szCs w:val="21"/>
          <w:highlight w:val="none"/>
          <w:lang w:val="zh-CN"/>
        </w:rPr>
        <w:t>的书面质疑后七个工作日内作出答复，并以书面形式通知质疑</w:t>
      </w:r>
      <w:r>
        <w:rPr>
          <w:rFonts w:hint="eastAsia" w:ascii="宋体" w:hAnsi="宋体" w:eastAsia="宋体" w:cs="宋体"/>
          <w:color w:val="auto"/>
          <w:kern w:val="0"/>
          <w:sz w:val="21"/>
          <w:szCs w:val="21"/>
          <w:highlight w:val="none"/>
          <w:lang w:val="zh-CN" w:eastAsia="zh-CN"/>
        </w:rPr>
        <w:t>投标人</w:t>
      </w:r>
      <w:r>
        <w:rPr>
          <w:rFonts w:hint="eastAsia" w:ascii="宋体" w:hAnsi="宋体" w:eastAsia="宋体" w:cs="宋体"/>
          <w:color w:val="auto"/>
          <w:kern w:val="0"/>
          <w:sz w:val="21"/>
          <w:szCs w:val="21"/>
          <w:highlight w:val="none"/>
          <w:lang w:val="zh-CN"/>
        </w:rPr>
        <w:t>和其他与质疑处理结果有利害关系的政府采购当事人，但答复的内容不得涉及商业秘密。采购人或者采购代理机构应当</w:t>
      </w:r>
      <w:r>
        <w:rPr>
          <w:rFonts w:hint="eastAsia" w:ascii="宋体" w:hAnsi="宋体" w:eastAsia="宋体" w:cs="宋体"/>
          <w:color w:val="auto"/>
          <w:kern w:val="0"/>
          <w:sz w:val="21"/>
          <w:szCs w:val="21"/>
          <w:highlight w:val="none"/>
          <w:lang w:val="en-US" w:eastAsia="zh-CN"/>
        </w:rPr>
        <w:t>在</w:t>
      </w:r>
      <w:r>
        <w:rPr>
          <w:rFonts w:hint="eastAsia" w:ascii="宋体" w:hAnsi="宋体" w:eastAsia="宋体" w:cs="宋体"/>
          <w:color w:val="auto"/>
          <w:kern w:val="0"/>
          <w:sz w:val="21"/>
          <w:szCs w:val="21"/>
          <w:highlight w:val="none"/>
          <w:lang w:val="zh-CN"/>
        </w:rPr>
        <w:t>质疑回复后5个工作日内，在广西政府采购网公开质疑答复，答复内容应当完整。</w:t>
      </w:r>
    </w:p>
    <w:p w14:paraId="73E05B0C">
      <w:pPr>
        <w:pStyle w:val="35"/>
        <w:spacing w:line="360" w:lineRule="auto"/>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4.3.6根据采购人与采购代理机构签订的采购委托协议，质疑答复责任主体如下： </w:t>
      </w:r>
    </w:p>
    <w:p w14:paraId="565C2212">
      <w:pPr>
        <w:widowControl/>
        <w:adjustRightInd/>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质疑答复责任主体一览表</w:t>
      </w:r>
    </w:p>
    <w:tbl>
      <w:tblPr>
        <w:tblStyle w:val="6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14:paraId="46AB2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54" w:type="dxa"/>
            <w:gridSpan w:val="2"/>
            <w:tcBorders>
              <w:top w:val="single" w:color="auto" w:sz="4" w:space="0"/>
              <w:left w:val="single" w:color="auto" w:sz="4" w:space="0"/>
              <w:bottom w:val="single" w:color="auto" w:sz="4" w:space="0"/>
              <w:right w:val="single" w:color="auto" w:sz="4" w:space="0"/>
            </w:tcBorders>
            <w:vAlign w:val="center"/>
          </w:tcPr>
          <w:p w14:paraId="133C488F">
            <w:pPr>
              <w:pStyle w:val="35"/>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质疑内容</w:t>
            </w:r>
          </w:p>
        </w:tc>
        <w:tc>
          <w:tcPr>
            <w:tcW w:w="2232" w:type="dxa"/>
            <w:tcBorders>
              <w:top w:val="single" w:color="auto" w:sz="4" w:space="0"/>
              <w:left w:val="single" w:color="auto" w:sz="4" w:space="0"/>
              <w:bottom w:val="single" w:color="auto" w:sz="4" w:space="0"/>
              <w:right w:val="single" w:color="auto" w:sz="4" w:space="0"/>
            </w:tcBorders>
            <w:vAlign w:val="center"/>
          </w:tcPr>
          <w:p w14:paraId="06F90F7B">
            <w:pPr>
              <w:pStyle w:val="35"/>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质疑答复责任主体</w:t>
            </w:r>
          </w:p>
        </w:tc>
      </w:tr>
      <w:tr w14:paraId="0CBBB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Merge w:val="restart"/>
            <w:tcBorders>
              <w:top w:val="single" w:color="auto" w:sz="4" w:space="0"/>
              <w:left w:val="single" w:color="auto" w:sz="4" w:space="0"/>
              <w:bottom w:val="single" w:color="auto" w:sz="4" w:space="0"/>
              <w:right w:val="single" w:color="auto" w:sz="4" w:space="0"/>
            </w:tcBorders>
            <w:vAlign w:val="center"/>
          </w:tcPr>
          <w:p w14:paraId="1439E327">
            <w:pPr>
              <w:pStyle w:val="35"/>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对采购文件提出质疑</w:t>
            </w:r>
          </w:p>
        </w:tc>
        <w:tc>
          <w:tcPr>
            <w:tcW w:w="4536" w:type="dxa"/>
            <w:tcBorders>
              <w:top w:val="single" w:color="auto" w:sz="4" w:space="0"/>
              <w:left w:val="single" w:color="auto" w:sz="4" w:space="0"/>
              <w:bottom w:val="single" w:color="auto" w:sz="4" w:space="0"/>
              <w:right w:val="single" w:color="auto" w:sz="4" w:space="0"/>
            </w:tcBorders>
            <w:vAlign w:val="center"/>
          </w:tcPr>
          <w:p w14:paraId="17E66FEA">
            <w:pPr>
              <w:pStyle w:val="35"/>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对采购文件中特定资格条件、采购需求、评审办法、评审标准提出的质疑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2A50F9A5">
            <w:pPr>
              <w:pStyle w:val="35"/>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w:t>
            </w:r>
          </w:p>
        </w:tc>
      </w:tr>
      <w:tr w14:paraId="72A3D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38A3ACC">
            <w:pPr>
              <w:widowControl/>
              <w:adjustRightInd/>
              <w:spacing w:line="360" w:lineRule="auto"/>
              <w:jc w:val="left"/>
              <w:rPr>
                <w:rFonts w:hint="eastAsia" w:ascii="宋体" w:hAnsi="宋体" w:eastAsia="宋体" w:cs="宋体"/>
                <w:color w:val="auto"/>
                <w:sz w:val="21"/>
                <w:szCs w:val="21"/>
                <w:highlight w:val="none"/>
              </w:rPr>
            </w:pPr>
          </w:p>
        </w:tc>
        <w:tc>
          <w:tcPr>
            <w:tcW w:w="4536" w:type="dxa"/>
            <w:tcBorders>
              <w:top w:val="single" w:color="auto" w:sz="4" w:space="0"/>
              <w:left w:val="single" w:color="auto" w:sz="4" w:space="0"/>
              <w:bottom w:val="single" w:color="auto" w:sz="4" w:space="0"/>
              <w:right w:val="single" w:color="auto" w:sz="4" w:space="0"/>
            </w:tcBorders>
            <w:vAlign w:val="center"/>
          </w:tcPr>
          <w:p w14:paraId="0196F0E9">
            <w:pPr>
              <w:pStyle w:val="35"/>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对采购文件中其他内容提出的质疑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2A5D37F1">
            <w:pPr>
              <w:pStyle w:val="35"/>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采购代理机构</w:t>
            </w:r>
          </w:p>
        </w:tc>
      </w:tr>
      <w:tr w14:paraId="2AA25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Merge w:val="restart"/>
            <w:tcBorders>
              <w:top w:val="single" w:color="auto" w:sz="4" w:space="0"/>
              <w:left w:val="single" w:color="auto" w:sz="4" w:space="0"/>
              <w:bottom w:val="single" w:color="auto" w:sz="4" w:space="0"/>
              <w:right w:val="single" w:color="auto" w:sz="4" w:space="0"/>
            </w:tcBorders>
            <w:vAlign w:val="center"/>
          </w:tcPr>
          <w:p w14:paraId="7237AE24">
            <w:pPr>
              <w:pStyle w:val="35"/>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对采购过程提出质疑</w:t>
            </w:r>
          </w:p>
        </w:tc>
        <w:tc>
          <w:tcPr>
            <w:tcW w:w="4536" w:type="dxa"/>
            <w:tcBorders>
              <w:top w:val="single" w:color="auto" w:sz="4" w:space="0"/>
              <w:left w:val="single" w:color="auto" w:sz="4" w:space="0"/>
              <w:bottom w:val="single" w:color="auto" w:sz="4" w:space="0"/>
              <w:right w:val="single" w:color="auto" w:sz="4" w:space="0"/>
            </w:tcBorders>
            <w:vAlign w:val="center"/>
          </w:tcPr>
          <w:p w14:paraId="347DF5AC">
            <w:pPr>
              <w:pStyle w:val="35"/>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有关现场考察或开启响应文件前答疑会事项提出的质疑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74AF3289">
            <w:pPr>
              <w:pStyle w:val="35"/>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w:t>
            </w:r>
          </w:p>
        </w:tc>
      </w:tr>
      <w:tr w14:paraId="13B80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905B22A">
            <w:pPr>
              <w:widowControl/>
              <w:adjustRightInd/>
              <w:spacing w:line="360" w:lineRule="auto"/>
              <w:jc w:val="left"/>
              <w:rPr>
                <w:rFonts w:hint="eastAsia" w:ascii="宋体" w:hAnsi="宋体" w:eastAsia="宋体" w:cs="宋体"/>
                <w:color w:val="auto"/>
                <w:sz w:val="21"/>
                <w:szCs w:val="21"/>
                <w:highlight w:val="none"/>
              </w:rPr>
            </w:pPr>
          </w:p>
        </w:tc>
        <w:tc>
          <w:tcPr>
            <w:tcW w:w="4536" w:type="dxa"/>
            <w:tcBorders>
              <w:top w:val="single" w:color="auto" w:sz="4" w:space="0"/>
              <w:left w:val="single" w:color="auto" w:sz="4" w:space="0"/>
              <w:bottom w:val="single" w:color="auto" w:sz="4" w:space="0"/>
              <w:right w:val="single" w:color="auto" w:sz="4" w:space="0"/>
            </w:tcBorders>
            <w:vAlign w:val="center"/>
          </w:tcPr>
          <w:p w14:paraId="703F5512">
            <w:pPr>
              <w:pStyle w:val="35"/>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对采购过程中其它事项提出的质疑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4C0A71C0">
            <w:pPr>
              <w:pStyle w:val="35"/>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采购代理机构</w:t>
            </w:r>
          </w:p>
        </w:tc>
      </w:tr>
      <w:tr w14:paraId="06018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tcBorders>
              <w:top w:val="single" w:color="auto" w:sz="4" w:space="0"/>
              <w:left w:val="single" w:color="auto" w:sz="4" w:space="0"/>
              <w:bottom w:val="single" w:color="auto" w:sz="4" w:space="0"/>
              <w:right w:val="single" w:color="auto" w:sz="4" w:space="0"/>
            </w:tcBorders>
            <w:vAlign w:val="center"/>
          </w:tcPr>
          <w:p w14:paraId="707BC434">
            <w:pPr>
              <w:pStyle w:val="35"/>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对采购结果提出质疑</w:t>
            </w:r>
          </w:p>
        </w:tc>
        <w:tc>
          <w:tcPr>
            <w:tcW w:w="4536" w:type="dxa"/>
            <w:tcBorders>
              <w:top w:val="single" w:color="auto" w:sz="4" w:space="0"/>
              <w:left w:val="single" w:color="auto" w:sz="4" w:space="0"/>
              <w:bottom w:val="single" w:color="auto" w:sz="4" w:space="0"/>
              <w:right w:val="single" w:color="auto" w:sz="4" w:space="0"/>
            </w:tcBorders>
            <w:vAlign w:val="center"/>
          </w:tcPr>
          <w:p w14:paraId="6B2DA892">
            <w:pPr>
              <w:pStyle w:val="35"/>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对采购结果提出的质疑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52E8324F">
            <w:pPr>
              <w:pStyle w:val="35"/>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采购代理机构</w:t>
            </w:r>
          </w:p>
        </w:tc>
      </w:tr>
    </w:tbl>
    <w:p w14:paraId="4D2D88FA">
      <w:pPr>
        <w:pStyle w:val="35"/>
        <w:spacing w:line="360" w:lineRule="auto"/>
        <w:ind w:firstLine="420" w:firstLineChars="200"/>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注：</w:t>
      </w:r>
      <w:r>
        <w:rPr>
          <w:rFonts w:hint="eastAsia" w:ascii="宋体" w:hAnsi="宋体" w:eastAsia="宋体" w:cs="宋体"/>
          <w:color w:val="auto"/>
          <w:sz w:val="21"/>
          <w:szCs w:val="21"/>
          <w:highlight w:val="none"/>
        </w:rPr>
        <w:t>采购人或代理机构应当协助质疑答复责任主体及时答复</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的书面质疑。</w:t>
      </w:r>
    </w:p>
    <w:p w14:paraId="11D7B0E6">
      <w:pPr>
        <w:pStyle w:val="35"/>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4.3</w:t>
      </w:r>
      <w:r>
        <w:rPr>
          <w:rFonts w:hint="eastAsia" w:ascii="宋体" w:hAnsi="宋体" w:eastAsia="宋体" w:cs="宋体"/>
          <w:color w:val="auto"/>
          <w:sz w:val="21"/>
          <w:szCs w:val="21"/>
          <w:highlight w:val="none"/>
        </w:rPr>
        <w:t>.7询问或者质疑事项可能影响采购结果的，采购人应当暂停签订合同，已经签订合同的，应当中止履行合同。</w:t>
      </w:r>
    </w:p>
    <w:p w14:paraId="3007072D">
      <w:pPr>
        <w:pStyle w:val="35"/>
        <w:spacing w:line="360" w:lineRule="auto"/>
        <w:ind w:firstLine="420" w:firstLineChars="200"/>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4.4投标人投诉</w:t>
      </w:r>
    </w:p>
    <w:p w14:paraId="7EB376B1">
      <w:pPr>
        <w:pStyle w:val="35"/>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4.4.1质疑</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对采购人、采购代理机构的答复不满意或者采购人、采购代理机构未在规定的时间内作出答复的，可以在答复期满后十五个工作日内向同级政府采购监督管理部门提出投诉。</w:t>
      </w:r>
    </w:p>
    <w:p w14:paraId="3786A25C">
      <w:pPr>
        <w:pStyle w:val="35"/>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w:t>
      </w: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投诉的事项不得超出已质疑事项的范围，基于质疑答复内容提出的投诉事项除外。</w:t>
      </w:r>
    </w:p>
    <w:p w14:paraId="71942C58">
      <w:pPr>
        <w:pStyle w:val="35"/>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4.4.3</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投诉应当有明确的请求和必要的证明材料。</w:t>
      </w:r>
    </w:p>
    <w:p w14:paraId="68A981FF">
      <w:pPr>
        <w:pStyle w:val="35"/>
        <w:spacing w:line="360" w:lineRule="auto"/>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sz w:val="21"/>
          <w:szCs w:val="21"/>
          <w:highlight w:val="none"/>
        </w:rPr>
        <w:t>4.4.4 以联合体形式参加政府采购活动的，其投诉应</w:t>
      </w:r>
      <w:r>
        <w:rPr>
          <w:rFonts w:hint="eastAsia" w:ascii="宋体" w:hAnsi="宋体" w:eastAsia="宋体" w:cs="宋体"/>
          <w:color w:val="auto"/>
          <w:sz w:val="21"/>
          <w:szCs w:val="21"/>
          <w:highlight w:val="none"/>
        </w:rPr>
        <w:t>当由组成联合体的所有</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共同提出。</w:t>
      </w:r>
    </w:p>
    <w:p w14:paraId="3F55D77A">
      <w:pPr>
        <w:adjustRightInd/>
        <w:spacing w:line="360" w:lineRule="auto"/>
        <w:jc w:val="center"/>
        <w:outlineLvl w:val="9"/>
        <w:rPr>
          <w:rFonts w:hint="eastAsia" w:ascii="宋体" w:hAnsi="宋体" w:eastAsia="宋体" w:cs="宋体"/>
          <w:b/>
          <w:color w:val="auto"/>
          <w:sz w:val="32"/>
          <w:szCs w:val="20"/>
          <w:highlight w:val="none"/>
        </w:rPr>
      </w:pPr>
      <w:r>
        <w:rPr>
          <w:rFonts w:hint="eastAsia" w:ascii="宋体" w:hAnsi="宋体" w:eastAsia="宋体" w:cs="宋体"/>
          <w:b/>
          <w:color w:val="auto"/>
          <w:sz w:val="32"/>
          <w:szCs w:val="20"/>
          <w:highlight w:val="none"/>
        </w:rPr>
        <w:t>二、招标文件的构成、澄清、修改</w:t>
      </w:r>
    </w:p>
    <w:p w14:paraId="1F090944">
      <w:pPr>
        <w:pStyle w:val="35"/>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5．招标文件的构成</w:t>
      </w:r>
    </w:p>
    <w:p w14:paraId="5D403934">
      <w:pPr>
        <w:pStyle w:val="35"/>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 招标文件包括下列文件及附件：</w:t>
      </w:r>
    </w:p>
    <w:p w14:paraId="10E9A686">
      <w:pPr>
        <w:pStyle w:val="35"/>
        <w:tabs>
          <w:tab w:val="left" w:pos="840"/>
        </w:tabs>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5.1.1招标公告；</w:t>
      </w:r>
    </w:p>
    <w:p w14:paraId="3B9B12EC">
      <w:pPr>
        <w:pStyle w:val="35"/>
        <w:tabs>
          <w:tab w:val="left" w:pos="840"/>
        </w:tabs>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5.1.2投标人须知；</w:t>
      </w:r>
    </w:p>
    <w:p w14:paraId="4F521563">
      <w:pPr>
        <w:pStyle w:val="35"/>
        <w:tabs>
          <w:tab w:val="left" w:pos="840"/>
        </w:tabs>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5.1.3采购需求；</w:t>
      </w:r>
    </w:p>
    <w:p w14:paraId="5B6DC90F">
      <w:pPr>
        <w:pStyle w:val="35"/>
        <w:tabs>
          <w:tab w:val="left" w:pos="840"/>
        </w:tabs>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5.1.4评标办法；</w:t>
      </w:r>
    </w:p>
    <w:p w14:paraId="1CAC00E6">
      <w:pPr>
        <w:pStyle w:val="35"/>
        <w:tabs>
          <w:tab w:val="left" w:pos="840"/>
        </w:tabs>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5.1.5拟签订的合同文本；</w:t>
      </w:r>
    </w:p>
    <w:p w14:paraId="4E647BEE">
      <w:pPr>
        <w:pStyle w:val="35"/>
        <w:tabs>
          <w:tab w:val="left" w:pos="840"/>
        </w:tabs>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5.1.6应提交的有关格式范例。</w:t>
      </w:r>
    </w:p>
    <w:p w14:paraId="4C01777F">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5.2与本项目有关的</w:t>
      </w:r>
      <w:r>
        <w:rPr>
          <w:rFonts w:hint="eastAsia" w:ascii="宋体" w:hAnsi="宋体" w:eastAsia="宋体" w:cs="宋体"/>
          <w:bCs/>
          <w:color w:val="auto"/>
          <w:sz w:val="21"/>
          <w:szCs w:val="21"/>
          <w:highlight w:val="none"/>
        </w:rPr>
        <w:t>澄清或者修改的内容为招标文件的组成部分</w:t>
      </w:r>
      <w:r>
        <w:rPr>
          <w:rFonts w:hint="eastAsia" w:ascii="宋体" w:hAnsi="宋体" w:eastAsia="宋体" w:cs="宋体"/>
          <w:color w:val="auto"/>
          <w:sz w:val="21"/>
          <w:szCs w:val="21"/>
          <w:highlight w:val="none"/>
        </w:rPr>
        <w:t>。</w:t>
      </w:r>
    </w:p>
    <w:p w14:paraId="47DCCC11">
      <w:pPr>
        <w:pStyle w:val="35"/>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6. 招标文件的澄清、修改</w:t>
      </w:r>
    </w:p>
    <w:p w14:paraId="22F5C4CA">
      <w:pPr>
        <w:pStyle w:val="130"/>
        <w:snapToGrid w:val="0"/>
        <w:spacing w:before="0"/>
        <w:ind w:firstLine="48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6.1已获取招标文件的潜在投标人，若有问题需要澄清，应于投标截止时间前，以书面形式向采购代理机构提出。</w:t>
      </w:r>
    </w:p>
    <w:p w14:paraId="43561E74">
      <w:pPr>
        <w:pStyle w:val="130"/>
        <w:snapToGrid w:val="0"/>
        <w:spacing w:before="0"/>
        <w:ind w:firstLine="48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 采购代理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3489A260">
      <w:pPr>
        <w:pStyle w:val="28"/>
        <w:outlineLvl w:val="9"/>
        <w:rPr>
          <w:rFonts w:hint="eastAsia" w:ascii="宋体" w:hAnsi="宋体" w:eastAsia="宋体" w:cs="宋体"/>
          <w:color w:val="auto"/>
          <w:sz w:val="18"/>
          <w:szCs w:val="18"/>
          <w:highlight w:val="none"/>
          <w:lang w:val="en-US"/>
        </w:rPr>
      </w:pPr>
      <w:r>
        <w:rPr>
          <w:rFonts w:hint="eastAsia" w:ascii="宋体" w:hAnsi="宋体" w:eastAsia="宋体" w:cs="宋体"/>
          <w:color w:val="auto"/>
          <w:szCs w:val="24"/>
          <w:highlight w:val="none"/>
          <w:lang w:val="en-US"/>
        </w:rPr>
        <w:t xml:space="preserve">    </w:t>
      </w:r>
    </w:p>
    <w:p w14:paraId="41A4B5AE">
      <w:pPr>
        <w:adjustRightInd/>
        <w:spacing w:line="360" w:lineRule="auto"/>
        <w:jc w:val="center"/>
        <w:outlineLvl w:val="9"/>
        <w:rPr>
          <w:rFonts w:hint="eastAsia" w:ascii="宋体" w:hAnsi="宋体" w:eastAsia="宋体" w:cs="宋体"/>
          <w:b/>
          <w:color w:val="auto"/>
          <w:sz w:val="30"/>
          <w:szCs w:val="20"/>
          <w:highlight w:val="none"/>
        </w:rPr>
      </w:pPr>
      <w:r>
        <w:rPr>
          <w:rFonts w:hint="eastAsia" w:ascii="宋体" w:hAnsi="宋体" w:eastAsia="宋体" w:cs="宋体"/>
          <w:b/>
          <w:color w:val="auto"/>
          <w:sz w:val="30"/>
          <w:szCs w:val="20"/>
          <w:highlight w:val="none"/>
        </w:rPr>
        <w:t>三、投标</w:t>
      </w:r>
    </w:p>
    <w:p w14:paraId="2F17D580">
      <w:pPr>
        <w:pStyle w:val="35"/>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7. 招标文件的获取</w:t>
      </w:r>
    </w:p>
    <w:p w14:paraId="4F5ECDAC">
      <w:pPr>
        <w:spacing w:line="360" w:lineRule="auto"/>
        <w:ind w:firstLine="420" w:firstLineChars="200"/>
        <w:outlineLvl w:val="9"/>
        <w:rPr>
          <w:rFonts w:hint="eastAsia" w:ascii="宋体" w:hAnsi="宋体" w:eastAsia="宋体" w:cs="宋体"/>
          <w:snapToGrid w:val="0"/>
          <w:color w:val="auto"/>
          <w:kern w:val="28"/>
          <w:sz w:val="21"/>
          <w:szCs w:val="21"/>
          <w:highlight w:val="none"/>
        </w:rPr>
      </w:pPr>
      <w:r>
        <w:rPr>
          <w:rFonts w:hint="eastAsia" w:ascii="宋体" w:hAnsi="宋体" w:eastAsia="宋体" w:cs="宋体"/>
          <w:snapToGrid w:val="0"/>
          <w:color w:val="auto"/>
          <w:kern w:val="28"/>
          <w:sz w:val="21"/>
          <w:szCs w:val="21"/>
          <w:highlight w:val="none"/>
        </w:rPr>
        <w:t>详见招标公告中获取招标文件的时间期限、地点、方式及招标文件售价。</w:t>
      </w:r>
    </w:p>
    <w:p w14:paraId="5424577F">
      <w:pPr>
        <w:pStyle w:val="35"/>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8.开标前答疑会或现场考察</w:t>
      </w:r>
    </w:p>
    <w:p w14:paraId="4D656169">
      <w:pPr>
        <w:pStyle w:val="35"/>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采购人组织潜在投标人现场考察或者召开开标前答疑会的，潜在投标人按第二部分投标人须知前附表的规定参加现场考察或者开标前答疑会。</w:t>
      </w:r>
    </w:p>
    <w:p w14:paraId="7DC1FE42">
      <w:pPr>
        <w:pStyle w:val="35"/>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kern w:val="28"/>
          <w:sz w:val="21"/>
          <w:szCs w:val="21"/>
          <w:highlight w:val="none"/>
        </w:rPr>
        <w:t>9.投标保证金</w:t>
      </w:r>
    </w:p>
    <w:p w14:paraId="3ECEBA22">
      <w:pPr>
        <w:pStyle w:val="5"/>
        <w:spacing w:line="360" w:lineRule="auto"/>
        <w:ind w:firstLine="411" w:firstLineChars="196"/>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9.1采购人在采购文件中要求提交投标保证金的，投标保证金的数额不得超过采购项目预算金额的1%，鼓励对诚信记录良好的</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免收或者减少收取投标保证金，对于需要收取保证金的政府采购项目，政府采购信用白名单</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可以免于缴纳保证金，降低信用白名单</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参与政府采购活动成本。投标保证金应当以支票、汇票、本票或者金融机构、担保机构出具的保函等非现金形式提交。</w:t>
      </w:r>
    </w:p>
    <w:p w14:paraId="730EE16F">
      <w:pPr>
        <w:pStyle w:val="84"/>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投标保证金收取银行账户</w:t>
      </w:r>
    </w:p>
    <w:p w14:paraId="6A75EABE">
      <w:pPr>
        <w:pStyle w:val="84"/>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开户名称： </w:t>
      </w:r>
    </w:p>
    <w:p w14:paraId="0E907E54">
      <w:pPr>
        <w:pStyle w:val="84"/>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开户银行： </w:t>
      </w:r>
    </w:p>
    <w:p w14:paraId="49EA0B6E">
      <w:pPr>
        <w:pStyle w:val="84"/>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银行账号：</w:t>
      </w:r>
    </w:p>
    <w:p w14:paraId="1F9542FD">
      <w:pPr>
        <w:pStyle w:val="5"/>
        <w:spacing w:line="360" w:lineRule="auto"/>
        <w:ind w:firstLine="411" w:firstLineChars="196"/>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9.2投标人在投标截止时间前撤回已提交的投标文件的，采购人或者采购代理机构应当自收到投标人书面撤回通知之日起５个工作日内，退还已收取的投标保证金，但因投标人自身原因导致无法及时退还的除外。</w:t>
      </w:r>
    </w:p>
    <w:p w14:paraId="3D7E8A1D">
      <w:pPr>
        <w:pStyle w:val="5"/>
        <w:spacing w:line="360" w:lineRule="auto"/>
        <w:ind w:firstLine="411" w:firstLineChars="196"/>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采购人或者采购代理机构应当自中标通知书发出之日起5个工作日内退还未中标人的投标保证金，自采购合同签订之日起5个工作日内退还中标人的投标保证金或者转为中标人的履约保证金。</w:t>
      </w:r>
    </w:p>
    <w:p w14:paraId="3EDF62DE">
      <w:pPr>
        <w:pStyle w:val="5"/>
        <w:spacing w:line="36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采购人或者采购代理机构逾期退还投标保证金的，除应当退还投标保证金本金外，还应当按中国人民银行同期贷款基准利率上浮20％后的利率支付超期资金占用费，但因投标人自身原因导致无法及时退还的除外。</w:t>
      </w:r>
    </w:p>
    <w:p w14:paraId="1D6BA81B">
      <w:pPr>
        <w:pStyle w:val="5"/>
        <w:spacing w:line="36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9.3保证金不予退还情形：（1）投标人在投标有效期内撤销投标文件的；（2）采购文件规定的其他情形。</w:t>
      </w:r>
    </w:p>
    <w:p w14:paraId="43E63EFA">
      <w:pPr>
        <w:pStyle w:val="35"/>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10. 投标文件的语言</w:t>
      </w:r>
    </w:p>
    <w:p w14:paraId="5221A3AD">
      <w:pPr>
        <w:autoSpaceDE w:val="0"/>
        <w:autoSpaceDN w:val="0"/>
        <w:spacing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投标文件及投标人与采购有关的来往通知、函件和文件均应使用中文。</w:t>
      </w:r>
    </w:p>
    <w:p w14:paraId="3E388077">
      <w:pPr>
        <w:pStyle w:val="35"/>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11. 投标文件的组成</w:t>
      </w:r>
      <w:r>
        <w:rPr>
          <w:rFonts w:hint="eastAsia" w:ascii="宋体" w:hAnsi="宋体" w:eastAsia="宋体" w:cs="宋体"/>
          <w:b/>
          <w:bCs/>
          <w:snapToGrid/>
          <w:color w:val="auto"/>
          <w:kern w:val="2"/>
          <w:sz w:val="21"/>
          <w:szCs w:val="21"/>
          <w:highlight w:val="none"/>
          <w:lang w:val="en-US" w:eastAsia="zh-CN" w:bidi="ar-SA"/>
        </w:rPr>
        <w:t>投标文件应当包括以下主要内容（标注“▲”为实质性要求，供应商必须提供，否则投标无效。）</w:t>
      </w:r>
    </w:p>
    <w:p w14:paraId="676B54A1">
      <w:pPr>
        <w:snapToGrid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11.1</w:t>
      </w:r>
      <w:r>
        <w:rPr>
          <w:rFonts w:hint="eastAsia" w:ascii="宋体" w:hAnsi="宋体" w:eastAsia="宋体" w:cs="宋体"/>
          <w:b/>
          <w:color w:val="auto"/>
          <w:sz w:val="21"/>
          <w:szCs w:val="21"/>
          <w:highlight w:val="none"/>
        </w:rPr>
        <w:t>资格文件（投标人须满足（1）-（</w:t>
      </w:r>
      <w:r>
        <w:rPr>
          <w:rFonts w:hint="eastAsia" w:ascii="宋体" w:hAnsi="宋体" w:cs="宋体"/>
          <w:b/>
          <w:color w:val="auto"/>
          <w:sz w:val="21"/>
          <w:szCs w:val="21"/>
          <w:highlight w:val="none"/>
          <w:lang w:val="en-US" w:eastAsia="zh-CN"/>
        </w:rPr>
        <w:t>8</w:t>
      </w:r>
      <w:r>
        <w:rPr>
          <w:rFonts w:hint="eastAsia" w:ascii="宋体" w:hAnsi="宋体" w:eastAsia="宋体" w:cs="宋体"/>
          <w:b/>
          <w:color w:val="auto"/>
          <w:sz w:val="21"/>
          <w:szCs w:val="21"/>
          <w:highlight w:val="none"/>
        </w:rPr>
        <w:t>）项资格要求）：</w:t>
      </w:r>
    </w:p>
    <w:p w14:paraId="3716C061">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▲（1）具有独立承担民事责任的能力（投标人为法人或者其他组织的具有营业执照或者事业单位法人证书或者执业许可证；投标人为自然人的具有身份证）；</w:t>
      </w:r>
    </w:p>
    <w:p w14:paraId="71280BD5">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▲（2）具有依法缴纳税收的良好记录（投标人具有税款所属时期为202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月1日至提交投标文件截止时间前，任意</w:t>
      </w:r>
      <w:r>
        <w:rPr>
          <w:rFonts w:hint="eastAsia" w:ascii="宋体" w:hAnsi="宋体" w:eastAsia="宋体" w:cs="宋体"/>
          <w:color w:val="auto"/>
          <w:szCs w:val="21"/>
          <w:highlight w:val="none"/>
          <w:lang w:val="en-US" w:eastAsia="zh-CN"/>
        </w:rPr>
        <w:t>一</w:t>
      </w:r>
      <w:r>
        <w:rPr>
          <w:rFonts w:hint="eastAsia" w:ascii="宋体" w:hAnsi="宋体" w:eastAsia="宋体" w:cs="宋体"/>
          <w:color w:val="auto"/>
          <w:szCs w:val="21"/>
          <w:highlight w:val="none"/>
        </w:rPr>
        <w:t>个月依法缴纳税费或依法免缴税费的证明【从取得营业执照时间起到投标文件提交截止时间为止不足要求月数的只需提供从取得营业执照起的依法缴纳税收的相应证明文件】）；</w:t>
      </w:r>
    </w:p>
    <w:p w14:paraId="1A838296">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▲（3）具有社会保障资金的良好记录（投标人具有税款所属时期或缴款日期为202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月1日至提交投标文件截止时间前，任意</w:t>
      </w:r>
      <w:r>
        <w:rPr>
          <w:rFonts w:hint="eastAsia" w:ascii="宋体" w:hAnsi="宋体" w:eastAsia="宋体" w:cs="宋体"/>
          <w:color w:val="auto"/>
          <w:szCs w:val="21"/>
          <w:highlight w:val="none"/>
          <w:lang w:val="en-US" w:eastAsia="zh-CN"/>
        </w:rPr>
        <w:t>一</w:t>
      </w:r>
      <w:r>
        <w:rPr>
          <w:rFonts w:hint="eastAsia" w:ascii="宋体" w:hAnsi="宋体" w:eastAsia="宋体" w:cs="宋体"/>
          <w:color w:val="auto"/>
          <w:szCs w:val="21"/>
          <w:highlight w:val="none"/>
        </w:rPr>
        <w:t>个月依法缴纳社保费的缴费凭证【从取得营业执照时间起到投标文件提交截止时间为止不足要求月数的只需提供从取得营业执照起的依法缴纳社会保障资金的相应证明文件】）；</w:t>
      </w:r>
    </w:p>
    <w:p w14:paraId="59F50E3B">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▲（4）具有良好的商业信誉和健全的财务会计制度（投标人具有202</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年年度经审计的财务报告或者截标时间前半年内至少一个月能反映财务状况的报表或者截标时间前半年内至少一个月的财务情况说明）；</w:t>
      </w:r>
    </w:p>
    <w:p w14:paraId="0B41AF5A">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▲（5）参加政府采购活动前3年内在经营活动中没有重大违法记录的书面声明；</w:t>
      </w:r>
    </w:p>
    <w:p w14:paraId="6A6F4598">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▲（6）具备履行合同所必需的设备和专业技术能力的证明材料；</w:t>
      </w:r>
    </w:p>
    <w:p w14:paraId="136511A3">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▲（7）投标人直接控股股东及出资信息表</w:t>
      </w:r>
      <w:r>
        <w:rPr>
          <w:rFonts w:hint="eastAsia" w:ascii="宋体" w:hAnsi="宋体" w:eastAsia="宋体" w:cs="宋体"/>
          <w:b/>
          <w:color w:val="auto"/>
          <w:szCs w:val="21"/>
          <w:highlight w:val="none"/>
        </w:rPr>
        <w:t>（</w:t>
      </w:r>
      <w:r>
        <w:rPr>
          <w:rFonts w:hint="eastAsia" w:ascii="宋体" w:hAnsi="宋体" w:eastAsia="宋体" w:cs="宋体"/>
          <w:b/>
          <w:color w:val="auto"/>
          <w:highlight w:val="none"/>
        </w:rPr>
        <w:t>格式见</w:t>
      </w:r>
      <w:r>
        <w:rPr>
          <w:rFonts w:hint="eastAsia" w:ascii="宋体" w:hAnsi="宋体" w:eastAsia="宋体" w:cs="宋体"/>
          <w:b/>
          <w:color w:val="auto"/>
          <w:highlight w:val="none"/>
          <w:lang w:eastAsia="zh-CN"/>
        </w:rPr>
        <w:t>第六部分</w:t>
      </w:r>
      <w:r>
        <w:rPr>
          <w:rFonts w:hint="eastAsia" w:ascii="宋体" w:hAnsi="宋体" w:eastAsia="宋体" w:cs="宋体"/>
          <w:b/>
          <w:color w:val="auto"/>
          <w:highlight w:val="none"/>
        </w:rPr>
        <w:t>，</w:t>
      </w:r>
      <w:r>
        <w:rPr>
          <w:rFonts w:hint="eastAsia" w:ascii="宋体" w:hAnsi="宋体" w:eastAsia="宋体" w:cs="宋体"/>
          <w:b/>
          <w:color w:val="auto"/>
          <w:szCs w:val="21"/>
          <w:highlight w:val="none"/>
        </w:rPr>
        <w:t>必须提供）；</w:t>
      </w:r>
    </w:p>
    <w:p w14:paraId="2587BF87">
      <w:pPr>
        <w:spacing w:line="400" w:lineRule="exact"/>
        <w:ind w:firstLine="420" w:firstLineChars="200"/>
        <w:jc w:val="left"/>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▲（8）投标人直接管理关系信息表</w:t>
      </w:r>
      <w:r>
        <w:rPr>
          <w:rFonts w:hint="eastAsia" w:ascii="宋体" w:hAnsi="宋体" w:eastAsia="宋体" w:cs="宋体"/>
          <w:b/>
          <w:bCs/>
          <w:color w:val="auto"/>
          <w:szCs w:val="21"/>
          <w:highlight w:val="none"/>
        </w:rPr>
        <w:t>（</w:t>
      </w:r>
      <w:r>
        <w:rPr>
          <w:rFonts w:hint="eastAsia" w:ascii="宋体" w:hAnsi="宋体" w:eastAsia="宋体" w:cs="宋体"/>
          <w:b/>
          <w:color w:val="auto"/>
          <w:highlight w:val="none"/>
        </w:rPr>
        <w:t>格式见</w:t>
      </w:r>
      <w:r>
        <w:rPr>
          <w:rFonts w:hint="eastAsia" w:ascii="宋体" w:hAnsi="宋体" w:eastAsia="宋体" w:cs="宋体"/>
          <w:b/>
          <w:color w:val="auto"/>
          <w:highlight w:val="none"/>
          <w:lang w:eastAsia="zh-CN"/>
        </w:rPr>
        <w:t>第六部分</w:t>
      </w:r>
      <w:r>
        <w:rPr>
          <w:rFonts w:hint="eastAsia" w:ascii="宋体" w:hAnsi="宋体" w:eastAsia="宋体" w:cs="宋体"/>
          <w:b/>
          <w:bCs/>
          <w:color w:val="auto"/>
          <w:szCs w:val="21"/>
          <w:highlight w:val="none"/>
        </w:rPr>
        <w:t>，必须提供）；</w:t>
      </w:r>
    </w:p>
    <w:p w14:paraId="6F86FD0B">
      <w:pPr>
        <w:spacing w:line="400" w:lineRule="exact"/>
        <w:ind w:firstLine="420" w:firstLineChars="200"/>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（9）特定资质：</w:t>
      </w:r>
      <w:r>
        <w:rPr>
          <w:rFonts w:hint="eastAsia" w:ascii="宋体" w:hAnsi="宋体" w:cs="宋体"/>
          <w:color w:val="auto"/>
          <w:szCs w:val="21"/>
          <w:highlight w:val="none"/>
          <w:lang w:val="en-US" w:eastAsia="zh-CN"/>
        </w:rPr>
        <w:t>无</w:t>
      </w:r>
      <w:r>
        <w:rPr>
          <w:rFonts w:hint="eastAsia" w:ascii="宋体" w:hAnsi="宋体" w:eastAsia="宋体" w:cs="宋体"/>
          <w:b/>
          <w:bCs/>
          <w:color w:val="auto"/>
          <w:szCs w:val="21"/>
          <w:highlight w:val="none"/>
        </w:rPr>
        <w:t>。</w:t>
      </w:r>
    </w:p>
    <w:p w14:paraId="434AD78A">
      <w:pPr>
        <w:spacing w:line="40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注：1.（1）-（6）项材料，投标人在制作响应文件时可提供符合采购文件要求的证明材料或以书面信用承诺函（</w:t>
      </w:r>
      <w:r>
        <w:rPr>
          <w:rFonts w:hint="eastAsia" w:ascii="宋体" w:hAnsi="宋体" w:eastAsia="宋体" w:cs="宋体"/>
          <w:b/>
          <w:bCs/>
          <w:color w:val="auto"/>
          <w:szCs w:val="21"/>
          <w:highlight w:val="none"/>
          <w:lang w:eastAsia="zh-CN"/>
        </w:rPr>
        <w:t>格式见第六部分</w:t>
      </w:r>
      <w:r>
        <w:rPr>
          <w:rFonts w:hint="eastAsia" w:ascii="宋体" w:hAnsi="宋体" w:eastAsia="宋体" w:cs="宋体"/>
          <w:b/>
          <w:bCs/>
          <w:color w:val="auto"/>
          <w:szCs w:val="21"/>
          <w:highlight w:val="none"/>
        </w:rPr>
        <w:t>）的形式进行响应。以承诺函形式进行响应的，无需提供证明材料。投标人若提供证明材料，提供的所有复印件必须加盖电子公章，否则投标无效。投标人未按要求提供材料或提供的证明材料</w:t>
      </w:r>
      <w:r>
        <w:rPr>
          <w:rFonts w:hint="eastAsia" w:ascii="宋体" w:hAnsi="宋体" w:eastAsia="宋体" w:cs="宋体"/>
          <w:b/>
          <w:bCs/>
          <w:color w:val="auto"/>
          <w:szCs w:val="21"/>
          <w:highlight w:val="none"/>
          <w:lang w:val="en-US" w:eastAsia="zh-CN"/>
        </w:rPr>
        <w:t>不</w:t>
      </w:r>
      <w:r>
        <w:rPr>
          <w:rFonts w:hint="eastAsia" w:ascii="宋体" w:hAnsi="宋体" w:eastAsia="宋体" w:cs="宋体"/>
          <w:b/>
          <w:bCs/>
          <w:color w:val="auto"/>
          <w:szCs w:val="21"/>
          <w:highlight w:val="none"/>
        </w:rPr>
        <w:t>齐全或提供的承诺函不符合采购文件要求的或不如实填写承诺函的，投标无效。（7）-（</w:t>
      </w:r>
      <w:r>
        <w:rPr>
          <w:rFonts w:hint="eastAsia" w:ascii="宋体" w:hAnsi="宋体" w:cs="宋体"/>
          <w:b/>
          <w:bCs/>
          <w:color w:val="auto"/>
          <w:szCs w:val="21"/>
          <w:highlight w:val="none"/>
          <w:lang w:val="en-US" w:eastAsia="zh-CN"/>
        </w:rPr>
        <w:t>8</w:t>
      </w:r>
      <w:r>
        <w:rPr>
          <w:rFonts w:hint="eastAsia" w:ascii="宋体" w:hAnsi="宋体" w:eastAsia="宋体" w:cs="宋体"/>
          <w:b/>
          <w:bCs/>
          <w:color w:val="auto"/>
          <w:szCs w:val="21"/>
          <w:highlight w:val="none"/>
        </w:rPr>
        <w:t>）项材料按采购文件要求提供证明材料，</w:t>
      </w:r>
      <w:r>
        <w:rPr>
          <w:rFonts w:hint="eastAsia" w:ascii="宋体" w:hAnsi="宋体" w:eastAsia="宋体" w:cs="宋体"/>
          <w:b/>
          <w:bCs/>
          <w:color w:val="auto"/>
          <w:szCs w:val="21"/>
          <w:highlight w:val="none"/>
          <w:lang w:eastAsia="zh-CN"/>
        </w:rPr>
        <w:t>第六部分</w:t>
      </w:r>
      <w:r>
        <w:rPr>
          <w:rFonts w:hint="eastAsia" w:ascii="宋体" w:hAnsi="宋体" w:eastAsia="宋体" w:cs="宋体"/>
          <w:b/>
          <w:bCs/>
          <w:color w:val="auto"/>
          <w:szCs w:val="21"/>
          <w:highlight w:val="none"/>
        </w:rPr>
        <w:t>提供了格式要求的，必须按格式内容进行填写、签章，不提供或者不按要求填写、签章的，投标无效。</w:t>
      </w:r>
    </w:p>
    <w:p w14:paraId="7B74B0D5">
      <w:pPr>
        <w:spacing w:line="40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rPr>
        <w:t>投标人应当遵守诚实信用原则，如实承诺，否则属于提供虚假材料谋取中标（成交），将上报财政监管部门，按照《中华人民共和国政府采购法》第七十七条相关规定进行处罚。</w:t>
      </w:r>
    </w:p>
    <w:p w14:paraId="5F7F68B1">
      <w:pPr>
        <w:numPr>
          <w:ilvl w:val="0"/>
          <w:numId w:val="0"/>
        </w:numPr>
        <w:snapToGrid w:val="0"/>
        <w:spacing w:line="360" w:lineRule="auto"/>
        <w:ind w:firstLine="422" w:firstLineChars="200"/>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11.</w:t>
      </w:r>
      <w:r>
        <w:rPr>
          <w:rFonts w:hint="eastAsia" w:ascii="宋体" w:hAnsi="宋体" w:eastAsia="宋体" w:cs="宋体"/>
          <w:b/>
          <w:color w:val="auto"/>
          <w:sz w:val="21"/>
          <w:szCs w:val="21"/>
          <w:highlight w:val="none"/>
        </w:rPr>
        <w:t>2</w:t>
      </w:r>
      <w:r>
        <w:rPr>
          <w:rFonts w:hint="eastAsia" w:ascii="宋体" w:hAnsi="宋体" w:eastAsia="宋体" w:cs="宋体"/>
          <w:b/>
          <w:color w:val="auto"/>
          <w:sz w:val="21"/>
          <w:szCs w:val="21"/>
          <w:highlight w:val="none"/>
          <w:lang w:val="zh-CN"/>
        </w:rPr>
        <w:t xml:space="preserve">  </w:t>
      </w:r>
      <w:r>
        <w:rPr>
          <w:rFonts w:hint="eastAsia" w:ascii="宋体" w:hAnsi="宋体" w:eastAsia="宋体" w:cs="宋体"/>
          <w:b/>
          <w:color w:val="auto"/>
          <w:sz w:val="21"/>
          <w:szCs w:val="21"/>
          <w:highlight w:val="none"/>
        </w:rPr>
        <w:t>商务技术</w:t>
      </w:r>
      <w:r>
        <w:rPr>
          <w:rFonts w:hint="eastAsia" w:ascii="宋体" w:hAnsi="宋体" w:eastAsia="宋体" w:cs="宋体"/>
          <w:b/>
          <w:color w:val="auto"/>
          <w:sz w:val="21"/>
          <w:szCs w:val="21"/>
          <w:highlight w:val="none"/>
          <w:lang w:val="zh-CN"/>
        </w:rPr>
        <w:t>文件：</w:t>
      </w:r>
    </w:p>
    <w:p w14:paraId="3B88207A">
      <w:pPr>
        <w:spacing w:line="400" w:lineRule="exact"/>
        <w:ind w:firstLine="422" w:firstLineChars="200"/>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11.2.1商务文件</w:t>
      </w:r>
    </w:p>
    <w:p w14:paraId="17570502">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▲（1）无串通投标行为的承诺函(</w:t>
      </w:r>
      <w:r>
        <w:rPr>
          <w:rFonts w:hint="eastAsia" w:ascii="宋体" w:hAnsi="宋体" w:eastAsia="宋体" w:cs="宋体"/>
          <w:color w:val="auto"/>
          <w:szCs w:val="21"/>
          <w:highlight w:val="none"/>
          <w:lang w:eastAsia="zh-CN"/>
        </w:rPr>
        <w:t>格式见第六部分</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w:t>
      </w:r>
      <w:r>
        <w:rPr>
          <w:rFonts w:hint="eastAsia" w:ascii="宋体" w:hAnsi="宋体" w:eastAsia="宋体" w:cs="宋体"/>
          <w:color w:val="auto"/>
          <w:szCs w:val="21"/>
          <w:highlight w:val="none"/>
        </w:rPr>
        <w:t>；</w:t>
      </w:r>
    </w:p>
    <w:p w14:paraId="232CC8F9">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▲（2）投标声明书(</w:t>
      </w:r>
      <w:r>
        <w:rPr>
          <w:rFonts w:hint="eastAsia" w:ascii="宋体" w:hAnsi="宋体" w:eastAsia="宋体" w:cs="宋体"/>
          <w:color w:val="auto"/>
          <w:szCs w:val="21"/>
          <w:highlight w:val="none"/>
          <w:lang w:eastAsia="zh-CN"/>
        </w:rPr>
        <w:t>格式见第六部分</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w:t>
      </w:r>
    </w:p>
    <w:p w14:paraId="4FBDAD20">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▲（3）法定代表人（负责人）身份证明书（附法定代表人（负责人）</w:t>
      </w:r>
      <w:r>
        <w:rPr>
          <w:rFonts w:hint="eastAsia" w:ascii="宋体" w:hAnsi="宋体" w:eastAsia="宋体" w:cs="宋体"/>
          <w:color w:val="auto"/>
          <w:szCs w:val="21"/>
          <w:highlight w:val="none"/>
          <w:lang w:val="en-US" w:eastAsia="zh-CN"/>
        </w:rPr>
        <w:t>有效的</w:t>
      </w:r>
      <w:r>
        <w:rPr>
          <w:rFonts w:hint="eastAsia" w:ascii="宋体" w:hAnsi="宋体" w:eastAsia="宋体" w:cs="宋体"/>
          <w:color w:val="auto"/>
          <w:szCs w:val="21"/>
          <w:highlight w:val="none"/>
        </w:rPr>
        <w:t>身份证</w:t>
      </w:r>
      <w:r>
        <w:rPr>
          <w:rFonts w:hint="eastAsia" w:ascii="宋体" w:hAnsi="宋体" w:eastAsia="宋体" w:cs="宋体"/>
          <w:color w:val="auto"/>
          <w:szCs w:val="21"/>
          <w:highlight w:val="none"/>
          <w:lang w:val="en-US" w:eastAsia="zh-CN"/>
        </w:rPr>
        <w:t>及营业执照或事业单位法人证书或执业许可证副本</w:t>
      </w:r>
      <w:r>
        <w:rPr>
          <w:rFonts w:hint="eastAsia" w:ascii="宋体" w:hAnsi="宋体" w:eastAsia="宋体" w:cs="宋体"/>
          <w:color w:val="auto"/>
          <w:szCs w:val="21"/>
          <w:highlight w:val="none"/>
        </w:rPr>
        <w:t>复印件）</w:t>
      </w:r>
      <w:r>
        <w:rPr>
          <w:rFonts w:hint="eastAsia" w:ascii="宋体" w:hAnsi="宋体" w:eastAsia="宋体" w:cs="宋体"/>
          <w:b/>
          <w:color w:val="auto"/>
          <w:szCs w:val="21"/>
          <w:highlight w:val="none"/>
        </w:rPr>
        <w:t>(必须提供)；</w:t>
      </w:r>
    </w:p>
    <w:p w14:paraId="279C63DB">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▲（4）法定代表人(负责人)授权委托书和委托代理人身份证复印件（第二代身份证必须提供正反面复印件）</w:t>
      </w:r>
      <w:r>
        <w:rPr>
          <w:rFonts w:hint="eastAsia" w:ascii="宋体" w:hAnsi="宋体" w:eastAsia="宋体" w:cs="宋体"/>
          <w:b/>
          <w:bCs/>
          <w:color w:val="auto"/>
          <w:szCs w:val="21"/>
          <w:highlight w:val="none"/>
        </w:rPr>
        <w:t>（委托代理时必须提供）</w:t>
      </w:r>
      <w:r>
        <w:rPr>
          <w:rFonts w:hint="eastAsia" w:ascii="宋体" w:hAnsi="宋体" w:eastAsia="宋体" w:cs="宋体"/>
          <w:color w:val="auto"/>
          <w:szCs w:val="21"/>
          <w:highlight w:val="none"/>
        </w:rPr>
        <w:t>；</w:t>
      </w:r>
    </w:p>
    <w:p w14:paraId="39EAFCFA">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▲（5）商务响应表(</w:t>
      </w:r>
      <w:r>
        <w:rPr>
          <w:rFonts w:hint="eastAsia" w:ascii="宋体" w:hAnsi="宋体" w:eastAsia="宋体" w:cs="宋体"/>
          <w:color w:val="auto"/>
          <w:szCs w:val="21"/>
          <w:highlight w:val="none"/>
          <w:lang w:eastAsia="zh-CN"/>
        </w:rPr>
        <w:t>格式见第六部分</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(必须提供)</w:t>
      </w:r>
      <w:r>
        <w:rPr>
          <w:rFonts w:hint="eastAsia" w:ascii="宋体" w:hAnsi="宋体" w:eastAsia="宋体" w:cs="宋体"/>
          <w:color w:val="auto"/>
          <w:szCs w:val="21"/>
          <w:highlight w:val="none"/>
        </w:rPr>
        <w:t>；</w:t>
      </w:r>
    </w:p>
    <w:p w14:paraId="5835A66A">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（6）投标人情况介绍； </w:t>
      </w:r>
    </w:p>
    <w:p w14:paraId="0720507D">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（7）属于投标人的资质及信誉等方面的证书或材料；</w:t>
      </w:r>
    </w:p>
    <w:p w14:paraId="5D35BFC0">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（8）属于产品制造商的资质及信誉等方面的证书或材料；</w:t>
      </w:r>
    </w:p>
    <w:p w14:paraId="0EF847ED">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（9）投标人需要说明的其他文件和说明；</w:t>
      </w:r>
    </w:p>
    <w:p w14:paraId="1CEB1948">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（10）投标人的类似成功案例的业绩证明文件(</w:t>
      </w:r>
      <w:r>
        <w:rPr>
          <w:rFonts w:hint="eastAsia" w:ascii="宋体" w:hAnsi="宋体" w:eastAsia="宋体" w:cs="宋体"/>
          <w:color w:val="auto"/>
          <w:szCs w:val="21"/>
          <w:highlight w:val="none"/>
          <w:lang w:eastAsia="zh-CN"/>
        </w:rPr>
        <w:t>格式见第六部分</w:t>
      </w:r>
      <w:r>
        <w:rPr>
          <w:rFonts w:hint="eastAsia" w:ascii="宋体" w:hAnsi="宋体" w:eastAsia="宋体" w:cs="宋体"/>
          <w:color w:val="auto"/>
          <w:szCs w:val="21"/>
          <w:highlight w:val="none"/>
        </w:rPr>
        <w:t>)；</w:t>
      </w:r>
    </w:p>
    <w:p w14:paraId="57102FF0">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投标人产品符合中小企业划型标准的，按《政府采购促进中小企业发展管理办法》（财库﹝2020﹞46号）要求，提供中小企业声明函。监狱企业参加政府采购活动时，应当提供由省级以上监狱管理局、戒毒管理局（含新疆生产建设兵团）出具的属于监狱企业的证明文件（证明文件在有效期内或注明为202</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年度的为有效；未注明有效期或202</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年度的，开具时间在一年内的为有效，其余由评标委员会认定）(</w:t>
      </w:r>
      <w:r>
        <w:rPr>
          <w:rFonts w:hint="eastAsia" w:ascii="宋体" w:hAnsi="宋体" w:eastAsia="宋体" w:cs="宋体"/>
          <w:color w:val="auto"/>
          <w:szCs w:val="21"/>
          <w:highlight w:val="none"/>
          <w:lang w:eastAsia="zh-CN"/>
        </w:rPr>
        <w:t>格式见第六部分</w:t>
      </w:r>
      <w:r>
        <w:rPr>
          <w:rFonts w:hint="eastAsia" w:ascii="宋体" w:hAnsi="宋体" w:eastAsia="宋体" w:cs="宋体"/>
          <w:color w:val="auto"/>
          <w:szCs w:val="21"/>
          <w:highlight w:val="none"/>
        </w:rPr>
        <w:t>)</w:t>
      </w:r>
    </w:p>
    <w:p w14:paraId="2B4A7494">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投标产品提供单位按《关于促进残疾人就业政府采购政策的通知》(财库〔2017〕141号)认定为残疾人福利性单位的，在政府采购活动中，残疾人福利性单位视同小型、微型企业。符合条件的残疾人福利性单位在参加政府采购活动时，应当提供本通知规定的《残疾人福利性单位声明函》，并对声明的真实性负责(</w:t>
      </w:r>
      <w:r>
        <w:rPr>
          <w:rFonts w:hint="eastAsia" w:ascii="宋体" w:hAnsi="宋体" w:eastAsia="宋体" w:cs="宋体"/>
          <w:color w:val="auto"/>
          <w:szCs w:val="21"/>
          <w:highlight w:val="none"/>
          <w:lang w:eastAsia="zh-CN"/>
        </w:rPr>
        <w:t>格式见第六部分</w:t>
      </w:r>
      <w:r>
        <w:rPr>
          <w:rFonts w:hint="eastAsia" w:ascii="宋体" w:hAnsi="宋体" w:eastAsia="宋体" w:cs="宋体"/>
          <w:color w:val="auto"/>
          <w:szCs w:val="21"/>
          <w:highlight w:val="none"/>
        </w:rPr>
        <w:t>)；</w:t>
      </w:r>
    </w:p>
    <w:p w14:paraId="1D90AD85">
      <w:pPr>
        <w:snapToGrid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（13）具备法律、行政法规规定的其他条件的证明材料(如有规定，则必须提供)</w:t>
      </w:r>
      <w:r>
        <w:rPr>
          <w:rFonts w:hint="eastAsia" w:ascii="宋体" w:hAnsi="宋体" w:eastAsia="宋体" w:cs="宋体"/>
          <w:color w:val="auto"/>
          <w:szCs w:val="21"/>
          <w:highlight w:val="none"/>
          <w:lang w:eastAsia="zh-CN"/>
        </w:rPr>
        <w:t>；</w:t>
      </w:r>
    </w:p>
    <w:p w14:paraId="3FDBE9C7">
      <w:pPr>
        <w:spacing w:line="400" w:lineRule="exact"/>
        <w:ind w:firstLine="422" w:firstLineChars="200"/>
        <w:jc w:val="left"/>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21"/>
          <w:szCs w:val="21"/>
          <w:highlight w:val="none"/>
          <w:lang w:val="en-US" w:eastAsia="zh-CN"/>
        </w:rPr>
        <w:t>11.2.2技术文件：</w:t>
      </w:r>
    </w:p>
    <w:p w14:paraId="1B53699C">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（1）对本项目系统总体要求的理解；</w:t>
      </w:r>
    </w:p>
    <w:p w14:paraId="0ED4CBB9">
      <w:pPr>
        <w:spacing w:line="312"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▲（2）技术响应表</w:t>
      </w:r>
      <w:r>
        <w:rPr>
          <w:rFonts w:hint="eastAsia" w:ascii="宋体" w:hAnsi="宋体" w:eastAsia="宋体" w:cs="宋体"/>
          <w:b/>
          <w:bCs/>
          <w:color w:val="auto"/>
          <w:szCs w:val="21"/>
          <w:highlight w:val="none"/>
        </w:rPr>
        <w:t>(必须提供)</w:t>
      </w:r>
      <w:r>
        <w:rPr>
          <w:rFonts w:hint="eastAsia" w:ascii="宋体" w:hAnsi="宋体" w:eastAsia="宋体" w:cs="宋体"/>
          <w:bCs/>
          <w:color w:val="auto"/>
          <w:szCs w:val="21"/>
          <w:highlight w:val="none"/>
        </w:rPr>
        <w:t>；</w:t>
      </w:r>
    </w:p>
    <w:p w14:paraId="7785C8C5">
      <w:pPr>
        <w:spacing w:line="312"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cs="宋体"/>
          <w:color w:val="auto"/>
          <w:szCs w:val="21"/>
          <w:highlight w:val="none"/>
          <w:lang w:eastAsia="zh-CN"/>
        </w:rPr>
        <w:t>设备配套配置清单</w:t>
      </w:r>
      <w:r>
        <w:rPr>
          <w:rFonts w:hint="eastAsia" w:ascii="宋体" w:hAnsi="宋体" w:eastAsia="宋体" w:cs="宋体"/>
          <w:color w:val="auto"/>
          <w:szCs w:val="21"/>
          <w:highlight w:val="none"/>
        </w:rPr>
        <w:t>（均不含报价）</w:t>
      </w:r>
      <w:r>
        <w:rPr>
          <w:rFonts w:hint="eastAsia" w:ascii="宋体" w:hAnsi="宋体" w:eastAsia="宋体" w:cs="宋体"/>
          <w:b/>
          <w:bCs/>
          <w:color w:val="auto"/>
          <w:szCs w:val="21"/>
          <w:highlight w:val="none"/>
        </w:rPr>
        <w:t>(必须提供)</w:t>
      </w:r>
      <w:r>
        <w:rPr>
          <w:rFonts w:hint="eastAsia" w:ascii="宋体" w:hAnsi="宋体" w:eastAsia="宋体" w:cs="宋体"/>
          <w:color w:val="auto"/>
          <w:szCs w:val="21"/>
          <w:highlight w:val="none"/>
        </w:rPr>
        <w:t>；</w:t>
      </w:r>
    </w:p>
    <w:p w14:paraId="5857C0B7">
      <w:pPr>
        <w:spacing w:line="312"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highlight w:val="none"/>
        </w:rPr>
        <w:t>售后服务承诺书</w:t>
      </w:r>
      <w:r>
        <w:rPr>
          <w:rFonts w:hint="eastAsia" w:ascii="宋体" w:hAnsi="宋体" w:eastAsia="宋体" w:cs="宋体"/>
          <w:b/>
          <w:color w:val="auto"/>
          <w:szCs w:val="21"/>
          <w:highlight w:val="none"/>
        </w:rPr>
        <w:t>(格式自拟，必须提供)；</w:t>
      </w:r>
    </w:p>
    <w:p w14:paraId="7C32E97C">
      <w:pPr>
        <w:spacing w:line="312"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（5）技术服务、技术培训的内容和措施；</w:t>
      </w:r>
    </w:p>
    <w:p w14:paraId="135727DC">
      <w:pPr>
        <w:spacing w:line="312"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（6）优惠条件：投标人承诺给予招标人的各种优惠条件，包括服务项目等方面的优惠；</w:t>
      </w:r>
    </w:p>
    <w:p w14:paraId="53131D19">
      <w:pPr>
        <w:spacing w:line="312"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（7）投标人对本项目的合理化建议和改进措施；</w:t>
      </w:r>
    </w:p>
    <w:p w14:paraId="277CE1B1">
      <w:pPr>
        <w:snapToGrid w:val="0"/>
        <w:spacing w:line="360" w:lineRule="auto"/>
        <w:ind w:firstLine="420" w:firstLineChars="200"/>
        <w:rPr>
          <w:rFonts w:hint="eastAsia" w:ascii="宋体" w:hAnsi="宋体" w:eastAsia="宋体" w:cs="宋体"/>
          <w:b/>
          <w:color w:val="auto"/>
          <w:kern w:val="0"/>
          <w:sz w:val="21"/>
          <w:szCs w:val="21"/>
          <w:highlight w:val="none"/>
          <w:lang w:val="en-US" w:eastAsia="zh-CN"/>
        </w:rPr>
      </w:pPr>
      <w:r>
        <w:rPr>
          <w:rFonts w:hint="eastAsia" w:ascii="宋体" w:hAnsi="宋体" w:eastAsia="宋体" w:cs="宋体"/>
          <w:color w:val="auto"/>
          <w:szCs w:val="21"/>
          <w:highlight w:val="none"/>
        </w:rPr>
        <w:t>（8）招标项目采购需求中要求必须提供的材料；</w:t>
      </w:r>
    </w:p>
    <w:p w14:paraId="22EC66ED">
      <w:pPr>
        <w:snapToGrid w:val="0"/>
        <w:spacing w:line="360" w:lineRule="auto"/>
        <w:ind w:firstLine="422" w:firstLineChars="200"/>
        <w:rPr>
          <w:rFonts w:hint="eastAsia" w:ascii="宋体" w:hAnsi="宋体" w:eastAsia="宋体" w:cs="宋体"/>
          <w:color w:val="auto"/>
          <w:sz w:val="21"/>
          <w:szCs w:val="21"/>
          <w:highlight w:val="none"/>
          <w:u w:val="single"/>
          <w:lang w:val="zh-CN"/>
        </w:rPr>
      </w:pPr>
      <w:r>
        <w:rPr>
          <w:rFonts w:hint="eastAsia" w:ascii="宋体" w:hAnsi="宋体" w:eastAsia="宋体" w:cs="宋体"/>
          <w:b/>
          <w:color w:val="auto"/>
          <w:kern w:val="0"/>
          <w:sz w:val="21"/>
          <w:szCs w:val="21"/>
          <w:highlight w:val="none"/>
          <w:lang w:val="zh-CN"/>
        </w:rPr>
        <w:t>11.</w:t>
      </w:r>
      <w:r>
        <w:rPr>
          <w:rFonts w:hint="eastAsia" w:ascii="宋体" w:hAnsi="宋体" w:eastAsia="宋体" w:cs="宋体"/>
          <w:b/>
          <w:color w:val="auto"/>
          <w:kern w:val="0"/>
          <w:sz w:val="21"/>
          <w:szCs w:val="21"/>
          <w:highlight w:val="none"/>
        </w:rPr>
        <w:t>3</w:t>
      </w:r>
      <w:r>
        <w:rPr>
          <w:rFonts w:hint="eastAsia" w:ascii="宋体" w:hAnsi="宋体" w:eastAsia="宋体" w:cs="宋体"/>
          <w:b/>
          <w:color w:val="auto"/>
          <w:sz w:val="21"/>
          <w:szCs w:val="21"/>
          <w:highlight w:val="none"/>
        </w:rPr>
        <w:t>报价文件：</w:t>
      </w:r>
      <w:r>
        <w:rPr>
          <w:rFonts w:hint="eastAsia" w:ascii="宋体" w:hAnsi="宋体" w:eastAsia="宋体" w:cs="宋体"/>
          <w:color w:val="auto"/>
          <w:sz w:val="21"/>
          <w:szCs w:val="21"/>
          <w:highlight w:val="none"/>
        </w:rPr>
        <w:t xml:space="preserve"> </w:t>
      </w:r>
    </w:p>
    <w:p w14:paraId="28AE11D5">
      <w:pPr>
        <w:tabs>
          <w:tab w:val="left" w:pos="3870"/>
          <w:tab w:val="left" w:pos="4085"/>
        </w:tabs>
        <w:spacing w:line="312"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▲（1）投标函（</w:t>
      </w:r>
      <w:r>
        <w:rPr>
          <w:rFonts w:hint="eastAsia" w:ascii="宋体" w:hAnsi="宋体" w:eastAsia="宋体" w:cs="宋体"/>
          <w:color w:val="auto"/>
          <w:szCs w:val="21"/>
          <w:highlight w:val="none"/>
          <w:lang w:eastAsia="zh-CN"/>
        </w:rPr>
        <w:t>格式见第六部分</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w:t>
      </w:r>
      <w:r>
        <w:rPr>
          <w:rFonts w:hint="eastAsia" w:ascii="宋体" w:hAnsi="宋体" w:eastAsia="宋体" w:cs="宋体"/>
          <w:color w:val="auto"/>
          <w:szCs w:val="21"/>
          <w:highlight w:val="none"/>
        </w:rPr>
        <w:t xml:space="preserve">； </w:t>
      </w:r>
    </w:p>
    <w:p w14:paraId="3D087666">
      <w:pPr>
        <w:tabs>
          <w:tab w:val="left" w:pos="3870"/>
          <w:tab w:val="left" w:pos="4085"/>
        </w:tabs>
        <w:spacing w:line="312"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▲（2）投标报价明细表（</w:t>
      </w:r>
      <w:r>
        <w:rPr>
          <w:rFonts w:hint="eastAsia" w:ascii="宋体" w:hAnsi="宋体" w:eastAsia="宋体" w:cs="宋体"/>
          <w:color w:val="auto"/>
          <w:szCs w:val="21"/>
          <w:highlight w:val="none"/>
          <w:lang w:eastAsia="zh-CN"/>
        </w:rPr>
        <w:t>格式见第六部分</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w:t>
      </w:r>
      <w:r>
        <w:rPr>
          <w:rFonts w:hint="eastAsia" w:ascii="宋体" w:hAnsi="宋体" w:eastAsia="宋体" w:cs="宋体"/>
          <w:color w:val="auto"/>
          <w:szCs w:val="21"/>
          <w:highlight w:val="none"/>
        </w:rPr>
        <w:t>；</w:t>
      </w:r>
    </w:p>
    <w:p w14:paraId="24EE642F">
      <w:pPr>
        <w:tabs>
          <w:tab w:val="left" w:pos="3870"/>
          <w:tab w:val="left" w:pos="4085"/>
        </w:tabs>
        <w:spacing w:line="312"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（3）投标人针对报价需要说明的其他文件和说明（格式自拟）；</w:t>
      </w:r>
    </w:p>
    <w:p w14:paraId="105E4DE6">
      <w:pPr>
        <w:spacing w:line="312"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▲（4）开标一览表（</w:t>
      </w:r>
      <w:r>
        <w:rPr>
          <w:rFonts w:hint="eastAsia" w:ascii="宋体" w:hAnsi="宋体" w:eastAsia="宋体" w:cs="宋体"/>
          <w:color w:val="auto"/>
          <w:szCs w:val="21"/>
          <w:highlight w:val="none"/>
          <w:lang w:eastAsia="zh-CN"/>
        </w:rPr>
        <w:t>格式见第六部分</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w:t>
      </w:r>
      <w:r>
        <w:rPr>
          <w:rFonts w:hint="eastAsia" w:ascii="宋体" w:hAnsi="宋体" w:eastAsia="宋体" w:cs="宋体"/>
          <w:color w:val="auto"/>
          <w:szCs w:val="21"/>
          <w:highlight w:val="none"/>
        </w:rPr>
        <w:t>。</w:t>
      </w:r>
    </w:p>
    <w:p w14:paraId="48EE33FD">
      <w:pPr>
        <w:spacing w:line="312" w:lineRule="auto"/>
        <w:ind w:firstLine="422" w:firstLineChars="20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▲特别说明：（1）招标文件</w:t>
      </w:r>
      <w:r>
        <w:rPr>
          <w:rFonts w:hint="eastAsia" w:ascii="宋体" w:hAnsi="宋体" w:eastAsia="宋体" w:cs="宋体"/>
          <w:b/>
          <w:color w:val="auto"/>
          <w:szCs w:val="21"/>
          <w:highlight w:val="none"/>
          <w:lang w:eastAsia="zh-CN"/>
        </w:rPr>
        <w:t>第六部分</w:t>
      </w:r>
      <w:r>
        <w:rPr>
          <w:rFonts w:hint="eastAsia" w:ascii="宋体" w:hAnsi="宋体" w:eastAsia="宋体" w:cs="宋体"/>
          <w:b/>
          <w:color w:val="auto"/>
          <w:szCs w:val="21"/>
          <w:highlight w:val="none"/>
        </w:rPr>
        <w:t>有格式要求的，必须按要求在规定处由法定代表人(负责人)或授权委托代理人签字并加盖电子公章。</w:t>
      </w:r>
    </w:p>
    <w:p w14:paraId="2928A0E5">
      <w:pPr>
        <w:spacing w:line="312" w:lineRule="auto"/>
        <w:ind w:firstLine="422" w:firstLineChars="20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（2）法定代表人（负责人）授权委托书必须由法定代表人（负责人）和委托代理人签名并加盖电子公章，否则作无效投标处理。</w:t>
      </w:r>
    </w:p>
    <w:p w14:paraId="27ED4A3E">
      <w:pPr>
        <w:spacing w:line="312" w:lineRule="auto"/>
        <w:ind w:firstLine="422" w:firstLineChars="20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（3）标明“必须提供”的材料属于复印件的扫描件的，必须加盖电子公章，否则作无效投标处理。</w:t>
      </w:r>
    </w:p>
    <w:p w14:paraId="07A3E432">
      <w:pPr>
        <w:pStyle w:val="130"/>
        <w:snapToGrid w:val="0"/>
        <w:spacing w:before="0"/>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12</w:t>
      </w:r>
      <w:r>
        <w:rPr>
          <w:rFonts w:hint="eastAsia" w:ascii="宋体" w:hAnsi="宋体" w:eastAsia="宋体" w:cs="宋体"/>
          <w:b/>
          <w:color w:val="auto"/>
          <w:kern w:val="0"/>
          <w:sz w:val="21"/>
          <w:szCs w:val="21"/>
          <w:highlight w:val="none"/>
          <w:lang w:val="zh-CN"/>
        </w:rPr>
        <w:t xml:space="preserve">. </w:t>
      </w:r>
      <w:r>
        <w:rPr>
          <w:rFonts w:hint="eastAsia" w:ascii="宋体" w:hAnsi="宋体" w:eastAsia="宋体" w:cs="宋体"/>
          <w:b/>
          <w:color w:val="auto"/>
          <w:sz w:val="21"/>
          <w:szCs w:val="21"/>
          <w:highlight w:val="none"/>
        </w:rPr>
        <w:t>投标文件的编制</w:t>
      </w:r>
    </w:p>
    <w:p w14:paraId="0EDF2396">
      <w:pPr>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kern w:val="0"/>
          <w:sz w:val="21"/>
          <w:szCs w:val="21"/>
          <w:highlight w:val="none"/>
          <w:lang w:val="zh-CN"/>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6436FB98">
      <w:pPr>
        <w:spacing w:line="360" w:lineRule="auto"/>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12.2投标人进行电子投标应安装客户端软件—“广西政府采购云平台电子交易客户端”，并按照招标文件和电子交易平台的要求编制并加密投标文件。投标人未按规定加密的投标文件，电子交易平台将拒收并提示。</w:t>
      </w:r>
    </w:p>
    <w:p w14:paraId="0BC86016">
      <w:pPr>
        <w:spacing w:line="360" w:lineRule="auto"/>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12.3使用“广西政府采购云平台电子交易客户端”需要提前申领CA数字证书，申领流程请自行前往“</w:t>
      </w:r>
      <w:r>
        <w:rPr>
          <w:rFonts w:hint="eastAsia" w:ascii="宋体" w:hAnsi="宋体" w:eastAsia="宋体" w:cs="宋体"/>
          <w:color w:val="auto"/>
          <w:sz w:val="21"/>
          <w:szCs w:val="21"/>
          <w:highlight w:val="none"/>
        </w:rPr>
        <w:t>广西政府采购网（http</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//zfcg.gxzf.gov.cn/）—办事服务—下载专区</w:t>
      </w:r>
      <w:r>
        <w:rPr>
          <w:rFonts w:hint="eastAsia" w:ascii="宋体" w:hAnsi="宋体" w:eastAsia="宋体" w:cs="宋体"/>
          <w:color w:val="auto"/>
          <w:kern w:val="0"/>
          <w:sz w:val="21"/>
          <w:szCs w:val="21"/>
          <w:highlight w:val="none"/>
          <w:lang w:val="zh-CN"/>
        </w:rPr>
        <w:t>”进行查阅。</w:t>
      </w:r>
    </w:p>
    <w:p w14:paraId="007F4FEA">
      <w:pPr>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13.投标文件的签署、盖章</w:t>
      </w:r>
    </w:p>
    <w:p w14:paraId="5E7DDD17">
      <w:pPr>
        <w:pStyle w:val="130"/>
        <w:snapToGrid w:val="0"/>
        <w:spacing w:before="0"/>
        <w:ind w:firstLine="48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13.1投标文件按照招标文件第六部分格式要求进行签署、盖章。</w:t>
      </w:r>
      <w:r>
        <w:rPr>
          <w:rFonts w:hint="eastAsia" w:ascii="宋体" w:hAnsi="宋体" w:eastAsia="宋体" w:cs="宋体"/>
          <w:b/>
          <w:color w:val="auto"/>
          <w:sz w:val="21"/>
          <w:szCs w:val="21"/>
          <w:highlight w:val="none"/>
        </w:rPr>
        <w:t>▲投标人的投标文件未按照招标文件要求签署、盖章的，其投标无效</w:t>
      </w:r>
      <w:r>
        <w:rPr>
          <w:rFonts w:hint="eastAsia" w:ascii="宋体" w:hAnsi="宋体" w:eastAsia="宋体" w:cs="宋体"/>
          <w:color w:val="auto"/>
          <w:sz w:val="21"/>
          <w:szCs w:val="21"/>
          <w:highlight w:val="none"/>
        </w:rPr>
        <w:t>。</w:t>
      </w:r>
    </w:p>
    <w:p w14:paraId="52DF493F">
      <w:pPr>
        <w:pStyle w:val="130"/>
        <w:snapToGrid w:val="0"/>
        <w:spacing w:before="0"/>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13.2为确保网上操作合法、有效和安全，投标人应当在投标截止时间前完成在“广西政府采购云平台”的身份认证，确保在电子投标过程中能够对相关数据电文进行加密和使用电子签名。</w:t>
      </w:r>
    </w:p>
    <w:p w14:paraId="0E85338B">
      <w:pPr>
        <w:pStyle w:val="130"/>
        <w:snapToGrid w:val="0"/>
        <w:spacing w:before="0"/>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13.3招标文件对投标文件签署、盖章的要求适用于电子签名、CA签章以及招标文件明确允许的其他方式。</w:t>
      </w:r>
    </w:p>
    <w:p w14:paraId="66183354">
      <w:pPr>
        <w:pStyle w:val="130"/>
        <w:spacing w:before="0"/>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14. 投标文件的提交、补充、修改、撤回</w:t>
      </w:r>
    </w:p>
    <w:p w14:paraId="44D41D01">
      <w:pPr>
        <w:pStyle w:val="130"/>
        <w:spacing w:before="0"/>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14.1 </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28ABBE86">
      <w:pPr>
        <w:pStyle w:val="130"/>
        <w:spacing w:before="0"/>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14.2电子交易平台收到投标文件，将妥善保存并即时向</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发出确认回执通知。在投标截止时间前，除</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补充、修改或者撤回投标文件外，任何单位和个人不得解密或提取投标文件。</w:t>
      </w:r>
    </w:p>
    <w:p w14:paraId="3EA8D2BE">
      <w:pPr>
        <w:pStyle w:val="130"/>
        <w:spacing w:before="0"/>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14.3采购人、采购代理机构可以视情况延长投标文件提交的截止时间。在上述情况下，采购代理机构与投标人以前在投标截止期方面的全部权利、责任和义务，将适用于延长至新的投标截止期。</w:t>
      </w:r>
    </w:p>
    <w:p w14:paraId="0E43148B">
      <w:pPr>
        <w:pStyle w:val="35"/>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15.备份投标文件</w:t>
      </w:r>
    </w:p>
    <w:p w14:paraId="52B29035">
      <w:pPr>
        <w:pStyle w:val="35"/>
        <w:spacing w:line="360" w:lineRule="auto"/>
        <w:ind w:firstLine="315" w:firstLineChars="15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 xml:space="preserve"> 15.1投标人在电子交易平台传输递交投标文件后，还可以在投标截止时间前直接提交或者以邮政快递方式递交备份投标文件1份，</w:t>
      </w:r>
      <w:r>
        <w:rPr>
          <w:rFonts w:hint="eastAsia" w:ascii="宋体" w:hAnsi="宋体" w:eastAsia="宋体" w:cs="宋体"/>
          <w:b/>
          <w:color w:val="auto"/>
          <w:sz w:val="21"/>
          <w:szCs w:val="21"/>
          <w:highlight w:val="none"/>
        </w:rPr>
        <w:t>但采购人、采购代理机构不强制或变相强制投标人提交备份投标文件。</w:t>
      </w:r>
    </w:p>
    <w:p w14:paraId="0F18E168">
      <w:pPr>
        <w:pStyle w:val="35"/>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15.2备份投标文件须在“广西政府采购云平台投标客户端”制作生成，并储存在DVD光盘等存储介质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ascii="宋体" w:hAnsi="宋体" w:eastAsia="宋体" w:cs="宋体"/>
          <w:b/>
          <w:color w:val="auto"/>
          <w:sz w:val="21"/>
          <w:szCs w:val="21"/>
          <w:highlight w:val="none"/>
        </w:rPr>
        <w:t>不符合上述制作、存储、密封规定的备份投标文件将被视为无效或者被拒绝接收。</w:t>
      </w:r>
    </w:p>
    <w:p w14:paraId="61A20C0D">
      <w:pPr>
        <w:pStyle w:val="35"/>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15.3直接提交备份投标文件的，投标人应于投标截止时间前在招标公告中载明的开标地点将备份投标文件提交给采购代理机构，采购代理机构将拒绝接受逾期送达的备份投标文件。</w:t>
      </w:r>
    </w:p>
    <w:p w14:paraId="64DD5475">
      <w:pPr>
        <w:pStyle w:val="35"/>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15.4以邮政快递方式递交备份投标文件的，投标人应先将备份投标文件按要求密封和标记，再进行邮政快递包装后邮寄。备份投标文件须在投标截止时间之前送达</w:t>
      </w:r>
      <w:r>
        <w:rPr>
          <w:rFonts w:hint="eastAsia" w:ascii="宋体" w:hAnsi="宋体" w:eastAsia="宋体" w:cs="宋体"/>
          <w:snapToGrid/>
          <w:color w:val="auto"/>
          <w:sz w:val="21"/>
          <w:szCs w:val="21"/>
          <w:highlight w:val="none"/>
        </w:rPr>
        <w:t>招标文件第二部分投标人须知前附表规定的备份投标文件送达地点；</w:t>
      </w:r>
      <w:r>
        <w:rPr>
          <w:rFonts w:hint="eastAsia" w:ascii="宋体" w:hAnsi="宋体" w:eastAsia="宋体" w:cs="宋体"/>
          <w:color w:val="auto"/>
          <w:sz w:val="21"/>
          <w:szCs w:val="21"/>
          <w:highlight w:val="none"/>
        </w:rPr>
        <w:t>送达时间以签收人签收时间为准。采购代理机构将拒绝接受逾期送达的备份投标文件。邮寄过程中，电子备份投标文件发生泄露、遗失、损坏或延期送达等情况的，由投标人自行负责。</w:t>
      </w:r>
    </w:p>
    <w:p w14:paraId="3A182A17">
      <w:pPr>
        <w:pStyle w:val="35"/>
        <w:spacing w:line="360" w:lineRule="auto"/>
        <w:ind w:firstLine="420" w:firstLineChars="19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15.5投标人仅提交备份投标文件，未在电子交易平台传输递交投标文件的，投标无效。</w:t>
      </w:r>
    </w:p>
    <w:p w14:paraId="1C401B13">
      <w:pPr>
        <w:pStyle w:val="130"/>
        <w:spacing w:before="0"/>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16.投标文件的无效处理</w:t>
      </w:r>
    </w:p>
    <w:p w14:paraId="04764C34">
      <w:pPr>
        <w:pStyle w:val="21"/>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有招标文件第四部分4.2规定的情形之一的，投标无效：</w:t>
      </w:r>
    </w:p>
    <w:p w14:paraId="42000C44">
      <w:pPr>
        <w:pStyle w:val="130"/>
        <w:spacing w:before="0"/>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17.投标有效期</w:t>
      </w:r>
    </w:p>
    <w:p w14:paraId="167E12A5">
      <w:pPr>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17.1投标有效期为从提交投标文件的截止之日起60天。▲</w:t>
      </w:r>
      <w:r>
        <w:rPr>
          <w:rFonts w:hint="eastAsia" w:ascii="宋体" w:hAnsi="宋体" w:eastAsia="宋体" w:cs="宋体"/>
          <w:b/>
          <w:color w:val="auto"/>
          <w:sz w:val="21"/>
          <w:szCs w:val="21"/>
          <w:highlight w:val="none"/>
        </w:rPr>
        <w:t>投标人的投标文件中承诺的投标有效期少于招标文件中载明的投标有效期的，投标无效。</w:t>
      </w:r>
    </w:p>
    <w:p w14:paraId="20A5FDE7">
      <w:pPr>
        <w:pStyle w:val="130"/>
        <w:spacing w:before="0"/>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17.2投标文件合格投递后，自投标截止日期起，在投标有效期内有效。</w:t>
      </w:r>
    </w:p>
    <w:p w14:paraId="345F4A86">
      <w:pPr>
        <w:pStyle w:val="130"/>
        <w:spacing w:before="0"/>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17.3在原定投标有效期满之前，如果出现特殊情况，采购代理机构可以以书面形式通知投标人延长投标有效期。投标人同意延长的，不得要求或被允许修改其投标文件，投标人拒绝延长的，其投标无效。</w:t>
      </w:r>
    </w:p>
    <w:p w14:paraId="4DC05EAE">
      <w:pPr>
        <w:pStyle w:val="130"/>
        <w:spacing w:before="0"/>
        <w:ind w:firstLine="643"/>
        <w:rPr>
          <w:rFonts w:hint="eastAsia" w:ascii="宋体" w:hAnsi="宋体" w:eastAsia="宋体" w:cs="宋体"/>
          <w:b/>
          <w:color w:val="auto"/>
          <w:sz w:val="32"/>
          <w:highlight w:val="none"/>
        </w:rPr>
      </w:pPr>
    </w:p>
    <w:p w14:paraId="114761B1">
      <w:pPr>
        <w:pStyle w:val="130"/>
        <w:spacing w:before="0"/>
        <w:ind w:firstLine="1928" w:firstLineChars="600"/>
        <w:outlineLvl w:val="9"/>
        <w:rPr>
          <w:rFonts w:hint="eastAsia" w:ascii="宋体" w:hAnsi="宋体" w:eastAsia="宋体" w:cs="宋体"/>
          <w:b/>
          <w:color w:val="auto"/>
          <w:sz w:val="32"/>
          <w:highlight w:val="none"/>
        </w:rPr>
      </w:pPr>
      <w:r>
        <w:rPr>
          <w:rFonts w:hint="eastAsia" w:ascii="宋体" w:hAnsi="宋体" w:eastAsia="宋体" w:cs="宋体"/>
          <w:b/>
          <w:color w:val="auto"/>
          <w:sz w:val="32"/>
          <w:highlight w:val="none"/>
        </w:rPr>
        <w:t>四、开标、资格审查与信用信息查询</w:t>
      </w:r>
    </w:p>
    <w:p w14:paraId="2B2B52C9">
      <w:pPr>
        <w:pStyle w:val="556"/>
        <w:spacing w:before="0" w:line="360" w:lineRule="auto"/>
        <w:ind w:left="0" w:firstLine="0"/>
        <w:contextualSpacing/>
        <w:outlineLvl w:val="9"/>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18.开标</w:t>
      </w:r>
      <w:r>
        <w:rPr>
          <w:rFonts w:hint="eastAsia" w:ascii="宋体" w:hAnsi="宋体" w:eastAsia="宋体" w:cs="宋体"/>
          <w:color w:val="auto"/>
          <w:sz w:val="21"/>
          <w:szCs w:val="21"/>
          <w:highlight w:val="none"/>
        </w:rPr>
        <w:t xml:space="preserve"> </w:t>
      </w:r>
    </w:p>
    <w:p w14:paraId="78483E2F">
      <w:pPr>
        <w:pStyle w:val="556"/>
        <w:spacing w:before="0" w:line="360" w:lineRule="auto"/>
        <w:ind w:left="0" w:firstLine="420" w:firstLineChars="200"/>
        <w:contextualSpacing/>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18.1采购代理机构按照招标文件规定的时间通过电子交易平台组织开标，所有投标人均应当准时在线参加。投标人不足3家的，不得开标。</w:t>
      </w:r>
    </w:p>
    <w:p w14:paraId="1A0F4855">
      <w:pPr>
        <w:pStyle w:val="556"/>
        <w:spacing w:before="0" w:line="360" w:lineRule="auto"/>
        <w:ind w:left="0" w:firstLine="210" w:firstLineChars="100"/>
        <w:contextualSpacing/>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18.2开标时，电子交易平台按开标时间自动提取所有投标文件。采购代理机构依托电子交易平台发起开始解密指令，投标人按照平台提示和招标文件的规定在半小时内完成在线解密。</w:t>
      </w:r>
    </w:p>
    <w:p w14:paraId="19813180">
      <w:pPr>
        <w:pStyle w:val="556"/>
        <w:spacing w:before="0" w:line="360" w:lineRule="auto"/>
        <w:ind w:left="0" w:firstLine="210" w:firstLineChars="100"/>
        <w:contextualSpacing/>
        <w:outlineLvl w:val="9"/>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　18.3</w:t>
      </w:r>
      <w:r>
        <w:rPr>
          <w:rFonts w:hint="eastAsia" w:ascii="宋体" w:hAnsi="宋体" w:eastAsia="宋体" w:cs="宋体"/>
          <w:b/>
          <w:color w:val="auto"/>
          <w:sz w:val="21"/>
          <w:szCs w:val="21"/>
          <w:highlight w:val="none"/>
        </w:rPr>
        <w:t>投标文件未按时解密，投标人提供了备份投标文件的，以备份投标文件作为依据，否则视为投标文件撤回。投标文件已按时解密的，备份投标文件自动失效。</w:t>
      </w:r>
    </w:p>
    <w:p w14:paraId="295BDAA2">
      <w:pPr>
        <w:widowControl/>
        <w:spacing w:line="360" w:lineRule="auto"/>
        <w:jc w:val="left"/>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19.资格审查</w:t>
      </w:r>
    </w:p>
    <w:p w14:paraId="29E1AD5C">
      <w:pPr>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19.1</w:t>
      </w:r>
      <w:r>
        <w:rPr>
          <w:rFonts w:hint="eastAsia" w:ascii="宋体" w:hAnsi="宋体" w:eastAsia="宋体" w:cs="宋体"/>
          <w:color w:val="auto"/>
          <w:sz w:val="21"/>
          <w:szCs w:val="21"/>
          <w:highlight w:val="none"/>
        </w:rPr>
        <w:t>采购人或采购代理机构依据法律法规和招标文件的规定，对投标人的资格进行审查。</w:t>
      </w:r>
    </w:p>
    <w:p w14:paraId="200619AC">
      <w:pPr>
        <w:pStyle w:val="130"/>
        <w:spacing w:before="0"/>
        <w:ind w:firstLine="480"/>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19.2投标人未按照招标文件要求提供与</w:t>
      </w:r>
      <w:r>
        <w:rPr>
          <w:rFonts w:hint="eastAsia" w:ascii="宋体" w:hAnsi="宋体" w:eastAsia="宋体" w:cs="宋体"/>
          <w:color w:val="auto"/>
          <w:sz w:val="21"/>
          <w:szCs w:val="21"/>
          <w:highlight w:val="none"/>
        </w:rPr>
        <w:t>资格条件相应的</w:t>
      </w:r>
      <w:r>
        <w:rPr>
          <w:rFonts w:hint="eastAsia" w:ascii="宋体" w:hAnsi="宋体" w:eastAsia="宋体" w:cs="宋体"/>
          <w:color w:val="auto"/>
          <w:kern w:val="0"/>
          <w:sz w:val="21"/>
          <w:szCs w:val="21"/>
          <w:highlight w:val="none"/>
        </w:rPr>
        <w:t>有效资格证明材料的，视为</w:t>
      </w:r>
      <w:r>
        <w:rPr>
          <w:rFonts w:hint="eastAsia" w:ascii="宋体" w:hAnsi="宋体" w:eastAsia="宋体" w:cs="宋体"/>
          <w:color w:val="auto"/>
          <w:sz w:val="21"/>
          <w:szCs w:val="21"/>
          <w:highlight w:val="none"/>
        </w:rPr>
        <w:t>投标人不具备招标文件中规定的资格要求，其投标无效。</w:t>
      </w:r>
    </w:p>
    <w:p w14:paraId="69DB1672">
      <w:pPr>
        <w:pStyle w:val="130"/>
        <w:spacing w:before="0"/>
        <w:ind w:firstLine="480"/>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19.</w:t>
      </w:r>
      <w:r>
        <w:rPr>
          <w:rFonts w:hint="eastAsia" w:ascii="宋体" w:hAnsi="宋体" w:eastAsia="宋体" w:cs="宋体"/>
          <w:color w:val="auto"/>
          <w:sz w:val="21"/>
          <w:szCs w:val="21"/>
          <w:highlight w:val="none"/>
        </w:rPr>
        <w:t>3对未通过资格审查的投标人，采购人或采购代理机构告知其未通过的原因。</w:t>
      </w:r>
    </w:p>
    <w:p w14:paraId="3E26CD57">
      <w:pPr>
        <w:pStyle w:val="130"/>
        <w:spacing w:before="0"/>
        <w:ind w:firstLine="480"/>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19.</w:t>
      </w:r>
      <w:r>
        <w:rPr>
          <w:rFonts w:hint="eastAsia" w:ascii="宋体" w:hAnsi="宋体" w:eastAsia="宋体" w:cs="宋体"/>
          <w:color w:val="auto"/>
          <w:sz w:val="21"/>
          <w:szCs w:val="21"/>
          <w:highlight w:val="none"/>
        </w:rPr>
        <w:t>4合格投标人不足3家的，不再评标。</w:t>
      </w:r>
    </w:p>
    <w:p w14:paraId="421521E3">
      <w:pPr>
        <w:pStyle w:val="130"/>
        <w:spacing w:before="0"/>
        <w:ind w:firstLine="0" w:firstLineChars="0"/>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20.信用信息查询</w:t>
      </w:r>
    </w:p>
    <w:p w14:paraId="78313198">
      <w:pPr>
        <w:pStyle w:val="130"/>
        <w:spacing w:before="0"/>
        <w:ind w:firstLine="495" w:firstLineChars="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20.1信用信息查询渠道及截止时间：</w:t>
      </w:r>
      <w:r>
        <w:rPr>
          <w:rFonts w:hint="eastAsia" w:ascii="宋体" w:hAnsi="宋体" w:eastAsia="宋体" w:cs="宋体"/>
          <w:color w:val="auto"/>
          <w:sz w:val="21"/>
          <w:szCs w:val="21"/>
          <w:highlight w:val="none"/>
        </w:rPr>
        <w:t>采购人或采购代理机构</w:t>
      </w:r>
      <w:r>
        <w:rPr>
          <w:rFonts w:hint="eastAsia" w:ascii="宋体" w:hAnsi="宋体" w:eastAsia="宋体" w:cs="宋体"/>
          <w:color w:val="auto"/>
          <w:kern w:val="0"/>
          <w:sz w:val="21"/>
          <w:szCs w:val="21"/>
          <w:highlight w:val="none"/>
        </w:rPr>
        <w:t>将在资格审查时通过“信用中国”网站(www.creditchina.gov.cn)、中国政府采购网(www.ccgp.gov.cn)渠道查询投标人接受资格审查时的信用记录。</w:t>
      </w:r>
    </w:p>
    <w:p w14:paraId="69B72B0C">
      <w:pPr>
        <w:pStyle w:val="130"/>
        <w:spacing w:before="0"/>
        <w:ind w:firstLine="495" w:firstLineChars="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20.2信用信息查询记录和证据留存的具体方式：现场查询的投标人的信用记录、查询结果经确认后将与采购文件一起存档。</w:t>
      </w:r>
    </w:p>
    <w:p w14:paraId="65401C7F">
      <w:pPr>
        <w:pStyle w:val="130"/>
        <w:spacing w:before="0"/>
        <w:ind w:firstLine="495" w:firstLineChars="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20.3信用信息的使用规则：经查询列入失信被执行人名单、重大税收违法案件当事人名单、政府采购严重违法失信行为记录名单的投标人将被拒绝参与政府采购活动。</w:t>
      </w:r>
    </w:p>
    <w:p w14:paraId="3B26FE35">
      <w:pPr>
        <w:pStyle w:val="130"/>
        <w:spacing w:before="0"/>
        <w:ind w:firstLine="480"/>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20.4联合体信用信息查询：两个以上的自然人、法人或者其他组织组成一个联合体，以一个</w:t>
      </w:r>
      <w:r>
        <w:rPr>
          <w:rFonts w:hint="eastAsia" w:ascii="宋体" w:hAnsi="宋体" w:eastAsia="宋体" w:cs="宋体"/>
          <w:color w:val="auto"/>
          <w:kern w:val="0"/>
          <w:sz w:val="21"/>
          <w:szCs w:val="21"/>
          <w:highlight w:val="none"/>
          <w:lang w:eastAsia="zh-CN"/>
        </w:rPr>
        <w:t>投标人</w:t>
      </w:r>
      <w:r>
        <w:rPr>
          <w:rFonts w:hint="eastAsia" w:ascii="宋体" w:hAnsi="宋体" w:eastAsia="宋体" w:cs="宋体"/>
          <w:color w:val="auto"/>
          <w:kern w:val="0"/>
          <w:sz w:val="21"/>
          <w:szCs w:val="21"/>
          <w:highlight w:val="none"/>
        </w:rPr>
        <w:t>的身份共同参加政府采购活动的，应当对所有联合体成员进行信用记录查询，联合体成员存在不良信用记录的，视同联合体存在不良信用记录</w:t>
      </w:r>
      <w:r>
        <w:rPr>
          <w:rFonts w:hint="eastAsia" w:ascii="宋体" w:hAnsi="宋体" w:eastAsia="宋体" w:cs="宋体"/>
          <w:color w:val="auto"/>
          <w:sz w:val="21"/>
          <w:szCs w:val="21"/>
          <w:highlight w:val="none"/>
        </w:rPr>
        <w:t>。</w:t>
      </w:r>
    </w:p>
    <w:p w14:paraId="7A067CEE">
      <w:pPr>
        <w:pStyle w:val="130"/>
        <w:spacing w:before="0"/>
        <w:ind w:firstLine="0" w:firstLineChars="0"/>
        <w:outlineLvl w:val="9"/>
        <w:rPr>
          <w:rFonts w:hint="eastAsia" w:ascii="宋体" w:hAnsi="宋体" w:eastAsia="宋体" w:cs="宋体"/>
          <w:color w:val="auto"/>
          <w:kern w:val="0"/>
          <w:szCs w:val="24"/>
          <w:highlight w:val="none"/>
        </w:rPr>
      </w:pPr>
    </w:p>
    <w:p w14:paraId="7BCE7FFB">
      <w:pPr>
        <w:snapToGrid w:val="0"/>
        <w:spacing w:line="360" w:lineRule="auto"/>
        <w:jc w:val="center"/>
        <w:outlineLvl w:val="9"/>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五、评标</w:t>
      </w:r>
    </w:p>
    <w:p w14:paraId="52E59AC0">
      <w:pPr>
        <w:spacing w:line="360" w:lineRule="auto"/>
        <w:outlineLvl w:val="9"/>
        <w:rPr>
          <w:rFonts w:hint="eastAsia" w:ascii="宋体" w:hAnsi="宋体" w:eastAsia="宋体" w:cs="宋体"/>
          <w:b/>
          <w:color w:val="auto"/>
          <w:sz w:val="21"/>
          <w:szCs w:val="21"/>
          <w:highlight w:val="none"/>
        </w:rPr>
      </w:pPr>
      <w:bookmarkStart w:id="28" w:name="_Toc91899903"/>
      <w:r>
        <w:rPr>
          <w:rFonts w:hint="eastAsia" w:ascii="宋体" w:hAnsi="宋体" w:eastAsia="宋体" w:cs="宋体"/>
          <w:b/>
          <w:color w:val="auto"/>
          <w:sz w:val="21"/>
          <w:szCs w:val="21"/>
          <w:highlight w:val="none"/>
        </w:rPr>
        <w:t>21.评标</w:t>
      </w:r>
    </w:p>
    <w:p w14:paraId="0A50B697">
      <w:pPr>
        <w:pStyle w:val="84"/>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本招标采购项目的评标委员会由采购人代表和评审专家组成，成员人数应当为5人以上单数，其中评审专家不得少于成员总数的三分之二。采购项目符合下列情形之一的，评标委员会成员人数应当为7人以上单数：（一）采购预算金额在1000万元以上；（二）技术复杂；（三）社会影响较大。</w:t>
      </w:r>
    </w:p>
    <w:p w14:paraId="3B211A9A">
      <w:pPr>
        <w:pStyle w:val="84"/>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21.2</w:t>
      </w:r>
      <w:r>
        <w:rPr>
          <w:rFonts w:hint="eastAsia" w:ascii="宋体" w:hAnsi="宋体" w:eastAsia="宋体" w:cs="宋体"/>
          <w:color w:val="auto"/>
          <w:sz w:val="21"/>
          <w:szCs w:val="21"/>
          <w:highlight w:val="none"/>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宋体" w:hAnsi="宋体" w:eastAsia="宋体" w:cs="宋体"/>
          <w:b/>
          <w:color w:val="auto"/>
          <w:sz w:val="21"/>
          <w:szCs w:val="21"/>
          <w:highlight w:val="none"/>
        </w:rPr>
        <w:t>详见招标文件第四部分评标办法。</w:t>
      </w:r>
    </w:p>
    <w:p w14:paraId="5F730A58">
      <w:pPr>
        <w:pStyle w:val="84"/>
        <w:outlineLvl w:val="9"/>
        <w:rPr>
          <w:rFonts w:hint="eastAsia" w:ascii="宋体" w:hAnsi="宋体" w:eastAsia="宋体" w:cs="宋体"/>
          <w:color w:val="auto"/>
          <w:highlight w:val="none"/>
        </w:rPr>
      </w:pPr>
    </w:p>
    <w:p w14:paraId="23A192DD">
      <w:pPr>
        <w:spacing w:line="360" w:lineRule="auto"/>
        <w:outlineLvl w:val="9"/>
        <w:rPr>
          <w:rFonts w:hint="eastAsia" w:ascii="宋体" w:hAnsi="宋体" w:eastAsia="宋体" w:cs="宋体"/>
          <w:b/>
          <w:color w:val="auto"/>
          <w:sz w:val="24"/>
          <w:highlight w:val="none"/>
        </w:rPr>
      </w:pPr>
    </w:p>
    <w:p w14:paraId="182F6DC0">
      <w:pPr>
        <w:snapToGrid w:val="0"/>
        <w:spacing w:line="360" w:lineRule="auto"/>
        <w:jc w:val="center"/>
        <w:outlineLvl w:val="9"/>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六、定 标</w:t>
      </w:r>
    </w:p>
    <w:p w14:paraId="76CB7446">
      <w:pPr>
        <w:pStyle w:val="21"/>
        <w:spacing w:line="360" w:lineRule="auto"/>
        <w:ind w:left="479" w:hanging="420" w:hangingChars="199"/>
        <w:outlineLvl w:val="9"/>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22. 确定中标</w:t>
      </w:r>
      <w:r>
        <w:rPr>
          <w:rFonts w:hint="eastAsia" w:ascii="宋体" w:hAnsi="宋体" w:eastAsia="宋体" w:cs="宋体"/>
          <w:b/>
          <w:color w:val="auto"/>
          <w:sz w:val="21"/>
          <w:szCs w:val="21"/>
          <w:highlight w:val="none"/>
          <w:lang w:eastAsia="zh-CN"/>
        </w:rPr>
        <w:t>投标人</w:t>
      </w:r>
    </w:p>
    <w:p w14:paraId="2200C7C5">
      <w:pPr>
        <w:pStyle w:val="130"/>
        <w:snapToGrid w:val="0"/>
        <w:spacing w:before="0"/>
        <w:ind w:firstLine="480"/>
        <w:outlineLvl w:val="9"/>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。中标通知书和中标结果公告应当在规定时间内同时发出。</w:t>
      </w:r>
    </w:p>
    <w:p w14:paraId="544E5F0D">
      <w:pPr>
        <w:pStyle w:val="130"/>
        <w:snapToGrid w:val="0"/>
        <w:spacing w:before="0"/>
        <w:ind w:firstLine="0" w:firstLineChars="0"/>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23. 中标通知与中标结果公告</w:t>
      </w:r>
    </w:p>
    <w:p w14:paraId="4F1E730E">
      <w:pPr>
        <w:widowControl/>
        <w:shd w:val="clear" w:color="auto" w:fill="FFFFFF"/>
        <w:spacing w:line="360" w:lineRule="auto"/>
        <w:ind w:firstLine="48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23.1自中标人确定之日起2个工作日内，采购代理机构通过电子交易平台向中标人发出中标通知书，同时编制发布采购结果公告。采购代理机构也可以以纸质形式进行中标通知。</w:t>
      </w:r>
    </w:p>
    <w:p w14:paraId="2C569A26">
      <w:pPr>
        <w:widowControl/>
        <w:shd w:val="clear" w:color="auto" w:fill="FFFFFF"/>
        <w:spacing w:line="360" w:lineRule="auto"/>
        <w:ind w:firstLine="48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23.2中标结果公告内容包括采购人及其委托的采购代理机构的名称、地址、联系方式，项目名称和项目编号，中标人名称、地址和中标金额，主要中标标的的名称、规格型号、数量、单价、服务要求，开标记录、评审专家抽取规则、未中标情况说明、中标公告期限以及评审专家名单。项目采购采用最低评标价法的，公告中标结果时应当同时公告因落实政府采购政策等原因进行价格扣除后中标</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和未中标</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的评审报价及排名；项目采购采用综合评分法的，公告中标结果时应当同时公告中标</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和未中标</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的评审总得分及排名。鼓励发布中标结果公告时加大评审过程公开力度，但发布内容不得涉及国家秘密和商业秘密。</w:t>
      </w:r>
    </w:p>
    <w:p w14:paraId="4318E963">
      <w:pPr>
        <w:widowControl/>
        <w:shd w:val="clear" w:color="auto" w:fill="FFFFFF"/>
        <w:spacing w:line="360" w:lineRule="auto"/>
        <w:ind w:firstLine="48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23.3公告期限为1个工作日。</w:t>
      </w:r>
    </w:p>
    <w:p w14:paraId="7766F3C9">
      <w:pPr>
        <w:snapToGrid w:val="0"/>
        <w:spacing w:line="360" w:lineRule="auto"/>
        <w:ind w:left="120" w:leftChars="57" w:firstLine="482" w:firstLineChars="150"/>
        <w:jc w:val="center"/>
        <w:outlineLvl w:val="9"/>
        <w:rPr>
          <w:rFonts w:hint="eastAsia" w:ascii="宋体" w:hAnsi="宋体" w:eastAsia="宋体" w:cs="宋体"/>
          <w:b/>
          <w:color w:val="auto"/>
          <w:sz w:val="32"/>
          <w:highlight w:val="none"/>
        </w:rPr>
      </w:pPr>
    </w:p>
    <w:p w14:paraId="701F39E5">
      <w:pPr>
        <w:snapToGrid w:val="0"/>
        <w:spacing w:line="360" w:lineRule="auto"/>
        <w:ind w:left="120" w:leftChars="57" w:firstLine="482" w:firstLineChars="150"/>
        <w:jc w:val="center"/>
        <w:outlineLvl w:val="9"/>
        <w:rPr>
          <w:rFonts w:hint="eastAsia" w:ascii="宋体" w:hAnsi="宋体" w:eastAsia="宋体" w:cs="宋体"/>
          <w:b/>
          <w:color w:val="auto"/>
          <w:sz w:val="32"/>
          <w:highlight w:val="none"/>
        </w:rPr>
      </w:pPr>
      <w:r>
        <w:rPr>
          <w:rFonts w:hint="eastAsia" w:ascii="宋体" w:hAnsi="宋体" w:eastAsia="宋体" w:cs="宋体"/>
          <w:b/>
          <w:color w:val="auto"/>
          <w:sz w:val="32"/>
          <w:highlight w:val="none"/>
        </w:rPr>
        <w:t>七、合同授予</w:t>
      </w:r>
    </w:p>
    <w:p w14:paraId="5646A2F5">
      <w:pPr>
        <w:pStyle w:val="21"/>
        <w:spacing w:line="360" w:lineRule="auto"/>
        <w:ind w:left="479" w:hanging="420" w:hangingChars="199"/>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24. </w:t>
      </w:r>
      <w:r>
        <w:rPr>
          <w:rFonts w:hint="eastAsia" w:ascii="宋体" w:hAnsi="宋体" w:eastAsia="宋体" w:cs="宋体"/>
          <w:color w:val="auto"/>
          <w:sz w:val="21"/>
          <w:szCs w:val="21"/>
          <w:highlight w:val="none"/>
        </w:rPr>
        <w:t>合同主要条款详见第五部分拟签订的合同文本。</w:t>
      </w:r>
    </w:p>
    <w:p w14:paraId="63AC02C7">
      <w:pPr>
        <w:pStyle w:val="21"/>
        <w:spacing w:line="360" w:lineRule="auto"/>
        <w:ind w:left="479" w:hanging="420" w:hangingChars="199"/>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25. 合同的签订</w:t>
      </w:r>
    </w:p>
    <w:p w14:paraId="14737796">
      <w:pPr>
        <w:pStyle w:val="130"/>
        <w:snapToGrid w:val="0"/>
        <w:spacing w:before="0"/>
        <w:ind w:firstLine="480"/>
        <w:outlineLvl w:val="9"/>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25.1采购人与中标投标人应当自中标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14:paraId="411B189A">
      <w:pPr>
        <w:pStyle w:val="130"/>
        <w:snapToGrid w:val="0"/>
        <w:spacing w:before="0"/>
        <w:ind w:firstLine="48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zh-CN"/>
        </w:rPr>
        <w:t>25.2中标人按规定的日期、时间、地点，由法定代表人或其授权代表与采购人代表签订合同。如中标人为联合体的，由联合体成员各方法定代表人或其授权代表与采购人代表签订合同。</w:t>
      </w:r>
    </w:p>
    <w:p w14:paraId="2E260A2E">
      <w:pPr>
        <w:pStyle w:val="130"/>
        <w:snapToGrid w:val="0"/>
        <w:spacing w:before="0"/>
        <w:ind w:firstLine="48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25.3如签订合同并生效后，</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无故拒绝或延期，除按照合同条款处理外，列入不良行为记录一次，并给予通报。</w:t>
      </w:r>
    </w:p>
    <w:p w14:paraId="74296CEA">
      <w:pPr>
        <w:pStyle w:val="130"/>
        <w:snapToGrid w:val="0"/>
        <w:spacing w:before="0"/>
        <w:ind w:firstLine="48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25.4中标</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拒绝与采购人签订合同的，采购人可以按照评审报告推荐的中标候选人名单排序，确定下一候选人为中标</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，也可以重新开展政府采购活动。</w:t>
      </w:r>
    </w:p>
    <w:p w14:paraId="2CFE2B01">
      <w:pPr>
        <w:pStyle w:val="130"/>
        <w:snapToGrid w:val="0"/>
        <w:spacing w:before="0"/>
        <w:ind w:firstLine="48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25.5采购合同由采购人与中标</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根据招标文件、投标文件等内容通过政府采购电子交易平台在线签订，自动备案。</w:t>
      </w:r>
    </w:p>
    <w:p w14:paraId="6C87372F">
      <w:pPr>
        <w:pStyle w:val="130"/>
        <w:snapToGrid w:val="0"/>
        <w:spacing w:before="0"/>
        <w:ind w:firstLine="48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25.6政采贷</w:t>
      </w:r>
    </w:p>
    <w:p w14:paraId="2D4A89D4">
      <w:pPr>
        <w:pStyle w:val="130"/>
        <w:snapToGrid w:val="0"/>
        <w:spacing w:before="0"/>
        <w:ind w:firstLine="48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14:paraId="4BC2E140">
      <w:pPr>
        <w:pStyle w:val="130"/>
        <w:snapToGrid w:val="0"/>
        <w:spacing w:before="0"/>
        <w:ind w:firstLine="48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（一）融资申请。有融资需求的</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取得《中标通知书》后，在签订采购合同前，向贷款金融机构递交融资申请表。中标</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可以根据贷款需求等实际情况选择是否需要北海市小微企业融资担保有限公司提供担保增信，如需要提供担保增信则同时向北海市小微企业融资担保有限公司递交融资申请表。</w:t>
      </w:r>
    </w:p>
    <w:p w14:paraId="6A687A49">
      <w:pPr>
        <w:pStyle w:val="130"/>
        <w:snapToGrid w:val="0"/>
        <w:spacing w:before="0"/>
        <w:ind w:firstLine="48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（二）资料审查。贷款金融机构查看有融资需求</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有关资料，进行贷前独立评审，决定是否提供融资或融资担保。双方达成融资意向后，确定融资方案和回款账户，</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与采购单位签订《政府采购合同》，并将金融机构监管账户设定为合同收款账户。其中，需北海市小微企业融资担保有限公司提供担保增信的，还需北海市小微企业融资担保有限公司进行保前独立评审。</w:t>
      </w:r>
    </w:p>
    <w:p w14:paraId="2E1666DC">
      <w:pPr>
        <w:pStyle w:val="130"/>
        <w:snapToGrid w:val="0"/>
        <w:spacing w:before="0"/>
        <w:ind w:firstLine="48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（三）签订贷款协议。无需北海市小微企业融资担保有限公司提供担保增信的，贷款金融机构查看采购合同信息，确认账户无误后，与</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签订贷款协议。需要北海市小微企业融资担保有限公司提供担保增信的，由其与贷款金融机构查看采购合同信息，确认账户无误后，贷款金融机构与</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签订贷款协议、北海市小微企业融资担保有限公司与</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签订委托担保合同。</w:t>
      </w:r>
    </w:p>
    <w:p w14:paraId="12BB8D91">
      <w:pPr>
        <w:pStyle w:val="130"/>
        <w:snapToGrid w:val="0"/>
        <w:spacing w:before="0"/>
        <w:ind w:firstLine="48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（四）贷款发放。贷款金融机构根据贷款协议向</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发放贷款。</w:t>
      </w:r>
    </w:p>
    <w:p w14:paraId="31780297">
      <w:pPr>
        <w:pStyle w:val="130"/>
        <w:snapToGrid w:val="0"/>
        <w:spacing w:before="0"/>
        <w:ind w:firstLine="48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（五）按期还款。</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获得贷款后应自觉履行政府采购合同，合同履行完毕后，采购单位根据合同约定时间和账户信息，严格按照财政资金管理的相关规定，及时将资金支付到采购合同收款账户。</w:t>
      </w:r>
    </w:p>
    <w:p w14:paraId="440BE802">
      <w:pPr>
        <w:pStyle w:val="130"/>
        <w:snapToGrid w:val="0"/>
        <w:spacing w:before="0"/>
        <w:ind w:firstLine="48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（六）业务终止。贷款偿清后，贷款金融机构或北海市小微企业融资担保有限公司及时办理应收账款质押注销登记，业务终止。</w:t>
      </w:r>
    </w:p>
    <w:p w14:paraId="2E31E4FE">
      <w:pPr>
        <w:pStyle w:val="130"/>
        <w:snapToGrid w:val="0"/>
        <w:spacing w:before="0"/>
        <w:ind w:firstLine="48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注：相关合作银行的具体操作流程详见北海市政府采购中心首页“政采贷”板块。</w:t>
      </w:r>
    </w:p>
    <w:p w14:paraId="4CB9CE76">
      <w:pPr>
        <w:pStyle w:val="130"/>
        <w:snapToGrid w:val="0"/>
        <w:spacing w:before="0"/>
        <w:ind w:firstLine="48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对于列入《政府采购信用白名单》的</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，在获取“政采贷”流水贷产品时给予更高的授信额度，在申请“政采贷”合同贷产品时，可享受较低的贷款利率，同时信用白名单</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获得信贷时长进一步缩短。</w:t>
      </w:r>
    </w:p>
    <w:p w14:paraId="0C4E0968">
      <w:pPr>
        <w:autoSpaceDE w:val="0"/>
        <w:autoSpaceDN w:val="0"/>
        <w:adjustRightInd/>
        <w:snapToGrid w:val="0"/>
        <w:spacing w:line="360" w:lineRule="auto"/>
        <w:ind w:firstLine="420" w:firstLineChars="200"/>
        <w:textAlignment w:val="bottom"/>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中标后可在“广西政府采购云”平台申请政采贷：操作路径：登录广西政府采购云平台-金融服务中心-【融资服务】，可在热门申请中选择产品直接申请。详见如下：</w:t>
      </w:r>
    </w:p>
    <w:p w14:paraId="1EECBB41">
      <w:pPr>
        <w:pStyle w:val="84"/>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1.有贷款需求的</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可以访问“广西政府采购云平台-金融服务-融资服务”栏目办理有关业务（链接：</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"https://jinrong.gcy.zfcg.gxzf.gov.cn/finance/loan/gx" </w:instrText>
      </w:r>
      <w:r>
        <w:rPr>
          <w:rFonts w:hint="eastAsia" w:ascii="宋体" w:hAnsi="宋体" w:eastAsia="宋体" w:cs="宋体"/>
          <w:color w:val="auto"/>
          <w:sz w:val="21"/>
          <w:szCs w:val="21"/>
          <w:highlight w:val="none"/>
        </w:rPr>
        <w:fldChar w:fldCharType="separate"/>
      </w:r>
      <w:r>
        <w:rPr>
          <w:rStyle w:val="78"/>
          <w:rFonts w:hint="eastAsia" w:ascii="宋体" w:hAnsi="宋体" w:eastAsia="宋体" w:cs="宋体"/>
          <w:snapToGrid/>
          <w:color w:val="auto"/>
          <w:sz w:val="21"/>
          <w:szCs w:val="21"/>
          <w:highlight w:val="none"/>
        </w:rPr>
        <w:t>https</w:t>
      </w:r>
      <w:r>
        <w:rPr>
          <w:rStyle w:val="78"/>
          <w:rFonts w:hint="eastAsia" w:cs="宋体"/>
          <w:snapToGrid/>
          <w:color w:val="auto"/>
          <w:sz w:val="21"/>
          <w:szCs w:val="21"/>
          <w:highlight w:val="none"/>
          <w:lang w:eastAsia="zh-CN"/>
        </w:rPr>
        <w:t>：</w:t>
      </w:r>
      <w:r>
        <w:rPr>
          <w:rStyle w:val="78"/>
          <w:rFonts w:hint="eastAsia" w:ascii="宋体" w:hAnsi="宋体" w:eastAsia="宋体" w:cs="宋体"/>
          <w:snapToGrid/>
          <w:color w:val="auto"/>
          <w:sz w:val="21"/>
          <w:szCs w:val="21"/>
          <w:highlight w:val="none"/>
        </w:rPr>
        <w:t>//jinrong.gcy.zfcg.gxzf.gov.cn/finance/loan/gx</w:t>
      </w:r>
      <w:r>
        <w:rPr>
          <w:rStyle w:val="78"/>
          <w:rFonts w:hint="eastAsia" w:ascii="宋体" w:hAnsi="宋体" w:eastAsia="宋体" w:cs="宋体"/>
          <w:snapToGrid/>
          <w:color w:val="auto"/>
          <w:sz w:val="21"/>
          <w:szCs w:val="21"/>
          <w:highlight w:val="none"/>
        </w:rPr>
        <w:fldChar w:fldCharType="end"/>
      </w:r>
      <w:r>
        <w:rPr>
          <w:rFonts w:hint="eastAsia" w:ascii="宋体" w:hAnsi="宋体" w:eastAsia="宋体" w:cs="宋体"/>
          <w:color w:val="auto"/>
          <w:sz w:val="21"/>
          <w:szCs w:val="21"/>
          <w:highlight w:val="none"/>
        </w:rPr>
        <w:t>）</w:t>
      </w:r>
    </w:p>
    <w:p w14:paraId="034B6673">
      <w:pPr>
        <w:pStyle w:val="84"/>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2.合作银行咨询办理</w:t>
      </w:r>
    </w:p>
    <w:tbl>
      <w:tblPr>
        <w:tblStyle w:val="6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14:paraId="74337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2644111">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银行名称</w:t>
            </w:r>
          </w:p>
        </w:tc>
        <w:tc>
          <w:tcPr>
            <w:tcW w:w="1134" w:type="dxa"/>
            <w:vAlign w:val="center"/>
          </w:tcPr>
          <w:p w14:paraId="3CDE9507">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tc>
        <w:tc>
          <w:tcPr>
            <w:tcW w:w="1701" w:type="dxa"/>
            <w:vAlign w:val="center"/>
          </w:tcPr>
          <w:p w14:paraId="4C7DB557">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最高授信金额</w:t>
            </w:r>
          </w:p>
        </w:tc>
        <w:tc>
          <w:tcPr>
            <w:tcW w:w="993" w:type="dxa"/>
            <w:vAlign w:val="center"/>
          </w:tcPr>
          <w:p w14:paraId="07598560">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最长授信期限</w:t>
            </w:r>
          </w:p>
        </w:tc>
        <w:tc>
          <w:tcPr>
            <w:tcW w:w="850" w:type="dxa"/>
            <w:vAlign w:val="center"/>
          </w:tcPr>
          <w:p w14:paraId="1D2402DE">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最低利率</w:t>
            </w:r>
          </w:p>
        </w:tc>
        <w:tc>
          <w:tcPr>
            <w:tcW w:w="3366" w:type="dxa"/>
            <w:vAlign w:val="center"/>
          </w:tcPr>
          <w:p w14:paraId="2AE717B3">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流程简介</w:t>
            </w:r>
          </w:p>
        </w:tc>
      </w:tr>
      <w:tr w14:paraId="12D90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16D6FB68">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建设银行</w:t>
            </w:r>
          </w:p>
        </w:tc>
        <w:tc>
          <w:tcPr>
            <w:tcW w:w="1134" w:type="dxa"/>
            <w:vAlign w:val="center"/>
          </w:tcPr>
          <w:p w14:paraId="36130B88">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13077729988</w:t>
            </w:r>
          </w:p>
        </w:tc>
        <w:tc>
          <w:tcPr>
            <w:tcW w:w="1701" w:type="dxa"/>
            <w:vAlign w:val="center"/>
          </w:tcPr>
          <w:p w14:paraId="2D08F55F">
            <w:pPr>
              <w:pStyle w:val="84"/>
              <w:ind w:firstLine="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最高3千万</w:t>
            </w:r>
          </w:p>
        </w:tc>
        <w:tc>
          <w:tcPr>
            <w:tcW w:w="993" w:type="dxa"/>
            <w:vAlign w:val="center"/>
          </w:tcPr>
          <w:p w14:paraId="667BFCB8">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1年</w:t>
            </w:r>
          </w:p>
        </w:tc>
        <w:tc>
          <w:tcPr>
            <w:tcW w:w="850" w:type="dxa"/>
            <w:vAlign w:val="center"/>
          </w:tcPr>
          <w:p w14:paraId="1ACF1763">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3366" w:type="dxa"/>
            <w:vAlign w:val="center"/>
          </w:tcPr>
          <w:p w14:paraId="0305FB5A">
            <w:pPr>
              <w:pStyle w:val="84"/>
              <w:ind w:firstLine="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开设账号，线下提供申请材料，进入贷款审批流程，贷款审批通过后可自主用款，银行官方网银可自主还款。</w:t>
            </w:r>
          </w:p>
        </w:tc>
      </w:tr>
      <w:tr w14:paraId="66CF5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000F4B16">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中国银行</w:t>
            </w:r>
          </w:p>
        </w:tc>
        <w:tc>
          <w:tcPr>
            <w:tcW w:w="1134" w:type="dxa"/>
            <w:vAlign w:val="center"/>
          </w:tcPr>
          <w:p w14:paraId="179DE3D1">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0779-3997084</w:t>
            </w:r>
          </w:p>
        </w:tc>
        <w:tc>
          <w:tcPr>
            <w:tcW w:w="1701" w:type="dxa"/>
            <w:vAlign w:val="center"/>
          </w:tcPr>
          <w:p w14:paraId="0AAE6BD6">
            <w:pPr>
              <w:pStyle w:val="84"/>
              <w:ind w:firstLine="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最高1千万</w:t>
            </w:r>
          </w:p>
        </w:tc>
        <w:tc>
          <w:tcPr>
            <w:tcW w:w="993" w:type="dxa"/>
            <w:vAlign w:val="center"/>
          </w:tcPr>
          <w:p w14:paraId="50726FFB">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3年</w:t>
            </w:r>
          </w:p>
        </w:tc>
        <w:tc>
          <w:tcPr>
            <w:tcW w:w="850" w:type="dxa"/>
            <w:vAlign w:val="center"/>
          </w:tcPr>
          <w:p w14:paraId="2CA917A0">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1.93%</w:t>
            </w:r>
          </w:p>
        </w:tc>
        <w:tc>
          <w:tcPr>
            <w:tcW w:w="3366" w:type="dxa"/>
            <w:vAlign w:val="center"/>
          </w:tcPr>
          <w:p w14:paraId="537ED759">
            <w:pPr>
              <w:pStyle w:val="84"/>
              <w:ind w:firstLine="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在银行开户，线上申请，上传所需材料，等待审批，审批通过后可直接在手机银行提款。</w:t>
            </w:r>
          </w:p>
        </w:tc>
      </w:tr>
      <w:tr w14:paraId="365BD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28680824">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兴业银行</w:t>
            </w:r>
          </w:p>
        </w:tc>
        <w:tc>
          <w:tcPr>
            <w:tcW w:w="1134" w:type="dxa"/>
            <w:vAlign w:val="center"/>
          </w:tcPr>
          <w:p w14:paraId="088BA887">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0779-3158330</w:t>
            </w:r>
          </w:p>
        </w:tc>
        <w:tc>
          <w:tcPr>
            <w:tcW w:w="1701" w:type="dxa"/>
            <w:vAlign w:val="center"/>
          </w:tcPr>
          <w:p w14:paraId="3C17EB69">
            <w:pPr>
              <w:pStyle w:val="84"/>
              <w:ind w:firstLine="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最高1千万（单笔提款金额达合同金额70%）</w:t>
            </w:r>
          </w:p>
        </w:tc>
        <w:tc>
          <w:tcPr>
            <w:tcW w:w="993" w:type="dxa"/>
            <w:vAlign w:val="center"/>
          </w:tcPr>
          <w:p w14:paraId="00AA49BC">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1年</w:t>
            </w:r>
          </w:p>
        </w:tc>
        <w:tc>
          <w:tcPr>
            <w:tcW w:w="850" w:type="dxa"/>
            <w:vAlign w:val="center"/>
          </w:tcPr>
          <w:p w14:paraId="5EE99E41">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3.70%</w:t>
            </w:r>
          </w:p>
        </w:tc>
        <w:tc>
          <w:tcPr>
            <w:tcW w:w="3366" w:type="dxa"/>
            <w:vAlign w:val="center"/>
          </w:tcPr>
          <w:p w14:paraId="4D7F1401">
            <w:pPr>
              <w:pStyle w:val="84"/>
              <w:ind w:firstLine="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全流程线上，初次申请开立账户，提供营业执照、采购合同、信用材料等，申请复审，签订合同，提交单笔贷款使用需求，贷款到账后受托使用。</w:t>
            </w:r>
          </w:p>
        </w:tc>
      </w:tr>
      <w:tr w14:paraId="22504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6CD80049">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工商银行</w:t>
            </w:r>
          </w:p>
        </w:tc>
        <w:tc>
          <w:tcPr>
            <w:tcW w:w="1134" w:type="dxa"/>
            <w:vAlign w:val="center"/>
          </w:tcPr>
          <w:p w14:paraId="54B579CE">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0779-3050645</w:t>
            </w:r>
          </w:p>
        </w:tc>
        <w:tc>
          <w:tcPr>
            <w:tcW w:w="1701" w:type="dxa"/>
            <w:vAlign w:val="center"/>
          </w:tcPr>
          <w:p w14:paraId="5182906B">
            <w:pPr>
              <w:pStyle w:val="84"/>
              <w:ind w:firstLine="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最高1千万且不超过合同金额70%</w:t>
            </w:r>
          </w:p>
        </w:tc>
        <w:tc>
          <w:tcPr>
            <w:tcW w:w="993" w:type="dxa"/>
            <w:vAlign w:val="center"/>
          </w:tcPr>
          <w:p w14:paraId="617B8927">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货物类1年</w:t>
            </w:r>
          </w:p>
          <w:p w14:paraId="58A7BE0C">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服务类3年</w:t>
            </w:r>
          </w:p>
          <w:p w14:paraId="7AE78487">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工程类5年</w:t>
            </w:r>
          </w:p>
        </w:tc>
        <w:tc>
          <w:tcPr>
            <w:tcW w:w="850" w:type="dxa"/>
            <w:vAlign w:val="center"/>
          </w:tcPr>
          <w:p w14:paraId="1D33741E">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3.45%</w:t>
            </w:r>
          </w:p>
        </w:tc>
        <w:tc>
          <w:tcPr>
            <w:tcW w:w="3366" w:type="dxa"/>
            <w:vAlign w:val="center"/>
          </w:tcPr>
          <w:p w14:paraId="3B0748AB">
            <w:pPr>
              <w:pStyle w:val="84"/>
              <w:ind w:firstLine="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为中征系统白名单企业，提供相关要求材料，内部审批后放款自主借还。</w:t>
            </w:r>
          </w:p>
        </w:tc>
      </w:tr>
      <w:tr w14:paraId="722AE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507C037">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国民村镇银行</w:t>
            </w:r>
          </w:p>
        </w:tc>
        <w:tc>
          <w:tcPr>
            <w:tcW w:w="1134" w:type="dxa"/>
            <w:vAlign w:val="center"/>
          </w:tcPr>
          <w:p w14:paraId="2D1BECDC">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0779-2668801</w:t>
            </w:r>
          </w:p>
        </w:tc>
        <w:tc>
          <w:tcPr>
            <w:tcW w:w="1701" w:type="dxa"/>
            <w:vAlign w:val="center"/>
          </w:tcPr>
          <w:p w14:paraId="2EE1D3F0">
            <w:pPr>
              <w:pStyle w:val="84"/>
              <w:ind w:firstLine="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最高500万</w:t>
            </w:r>
          </w:p>
        </w:tc>
        <w:tc>
          <w:tcPr>
            <w:tcW w:w="993" w:type="dxa"/>
            <w:vAlign w:val="center"/>
          </w:tcPr>
          <w:p w14:paraId="2AF515A5">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5年</w:t>
            </w:r>
          </w:p>
        </w:tc>
        <w:tc>
          <w:tcPr>
            <w:tcW w:w="850" w:type="dxa"/>
            <w:vAlign w:val="center"/>
          </w:tcPr>
          <w:p w14:paraId="2D963839">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2.80%</w:t>
            </w:r>
          </w:p>
        </w:tc>
        <w:tc>
          <w:tcPr>
            <w:tcW w:w="3366" w:type="dxa"/>
            <w:vAlign w:val="center"/>
          </w:tcPr>
          <w:p w14:paraId="4B457267">
            <w:pPr>
              <w:pStyle w:val="84"/>
              <w:ind w:firstLine="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银行开户，线下申请并提供材料，信用良好企业最快1天获批即可提款</w:t>
            </w:r>
          </w:p>
        </w:tc>
      </w:tr>
      <w:tr w14:paraId="25FCD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3A66D5EC">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桂林银行</w:t>
            </w:r>
          </w:p>
        </w:tc>
        <w:tc>
          <w:tcPr>
            <w:tcW w:w="1134" w:type="dxa"/>
            <w:vAlign w:val="center"/>
          </w:tcPr>
          <w:p w14:paraId="56C9C95C">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18577993959</w:t>
            </w:r>
          </w:p>
        </w:tc>
        <w:tc>
          <w:tcPr>
            <w:tcW w:w="1701" w:type="dxa"/>
            <w:vAlign w:val="center"/>
          </w:tcPr>
          <w:p w14:paraId="62F3BE83">
            <w:pPr>
              <w:pStyle w:val="84"/>
              <w:ind w:firstLine="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最高1千万</w:t>
            </w:r>
          </w:p>
        </w:tc>
        <w:tc>
          <w:tcPr>
            <w:tcW w:w="993" w:type="dxa"/>
            <w:vAlign w:val="center"/>
          </w:tcPr>
          <w:p w14:paraId="4A234D80">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1年</w:t>
            </w:r>
          </w:p>
        </w:tc>
        <w:tc>
          <w:tcPr>
            <w:tcW w:w="850" w:type="dxa"/>
            <w:vAlign w:val="center"/>
          </w:tcPr>
          <w:p w14:paraId="37B30A26">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3.45%</w:t>
            </w:r>
          </w:p>
        </w:tc>
        <w:tc>
          <w:tcPr>
            <w:tcW w:w="3366" w:type="dxa"/>
            <w:vAlign w:val="center"/>
          </w:tcPr>
          <w:p w14:paraId="433BD475">
            <w:pPr>
              <w:pStyle w:val="84"/>
              <w:ind w:firstLine="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线下申请，材料齐全最快1周内即可放款。</w:t>
            </w:r>
          </w:p>
        </w:tc>
      </w:tr>
      <w:tr w14:paraId="54F03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23389C4">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中小微商务服务公司</w:t>
            </w:r>
          </w:p>
        </w:tc>
        <w:tc>
          <w:tcPr>
            <w:tcW w:w="1134" w:type="dxa"/>
            <w:vAlign w:val="center"/>
          </w:tcPr>
          <w:p w14:paraId="2D03D15F">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19907799988</w:t>
            </w:r>
          </w:p>
        </w:tc>
        <w:tc>
          <w:tcPr>
            <w:tcW w:w="1701" w:type="dxa"/>
            <w:vAlign w:val="center"/>
          </w:tcPr>
          <w:p w14:paraId="17D7E3C3">
            <w:pPr>
              <w:pStyle w:val="84"/>
              <w:ind w:firstLine="0"/>
              <w:outlineLvl w:val="9"/>
              <w:rPr>
                <w:rFonts w:hint="eastAsia" w:ascii="宋体" w:hAnsi="宋体" w:eastAsia="宋体" w:cs="宋体"/>
                <w:color w:val="auto"/>
                <w:sz w:val="21"/>
                <w:szCs w:val="21"/>
                <w:highlight w:val="none"/>
              </w:rPr>
            </w:pPr>
          </w:p>
        </w:tc>
        <w:tc>
          <w:tcPr>
            <w:tcW w:w="993" w:type="dxa"/>
            <w:vAlign w:val="center"/>
          </w:tcPr>
          <w:p w14:paraId="47EB0CD5">
            <w:pPr>
              <w:pStyle w:val="84"/>
              <w:ind w:firstLine="0"/>
              <w:jc w:val="center"/>
              <w:outlineLvl w:val="9"/>
              <w:rPr>
                <w:rFonts w:hint="eastAsia" w:ascii="宋体" w:hAnsi="宋体" w:eastAsia="宋体" w:cs="宋体"/>
                <w:color w:val="auto"/>
                <w:sz w:val="21"/>
                <w:szCs w:val="21"/>
                <w:highlight w:val="none"/>
              </w:rPr>
            </w:pPr>
          </w:p>
        </w:tc>
        <w:tc>
          <w:tcPr>
            <w:tcW w:w="850" w:type="dxa"/>
            <w:vAlign w:val="center"/>
          </w:tcPr>
          <w:p w14:paraId="41E884C6">
            <w:pPr>
              <w:pStyle w:val="84"/>
              <w:ind w:firstLine="0"/>
              <w:jc w:val="center"/>
              <w:outlineLvl w:val="9"/>
              <w:rPr>
                <w:rFonts w:hint="eastAsia" w:ascii="宋体" w:hAnsi="宋体" w:eastAsia="宋体" w:cs="宋体"/>
                <w:color w:val="auto"/>
                <w:sz w:val="21"/>
                <w:szCs w:val="21"/>
                <w:highlight w:val="none"/>
              </w:rPr>
            </w:pPr>
          </w:p>
        </w:tc>
        <w:tc>
          <w:tcPr>
            <w:tcW w:w="3366" w:type="dxa"/>
            <w:vAlign w:val="center"/>
          </w:tcPr>
          <w:p w14:paraId="62D5A7F8">
            <w:pPr>
              <w:pStyle w:val="84"/>
              <w:ind w:firstLine="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具体业务可电话咨询。</w:t>
            </w:r>
          </w:p>
        </w:tc>
      </w:tr>
    </w:tbl>
    <w:p w14:paraId="0835DEB7">
      <w:pPr>
        <w:pStyle w:val="84"/>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注：表中联系电话、授信金额、授信期限、最低利率等信息可能动态更新，仅供参考，具体以办理时相关银行公布的为准。</w:t>
      </w:r>
    </w:p>
    <w:p w14:paraId="09721D1D">
      <w:pPr>
        <w:pStyle w:val="21"/>
        <w:spacing w:line="360" w:lineRule="auto"/>
        <w:ind w:left="479" w:hanging="420" w:hangingChars="199"/>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26. 履约保证金</w:t>
      </w:r>
    </w:p>
    <w:p w14:paraId="1D8F5931">
      <w:pPr>
        <w:tabs>
          <w:tab w:val="left" w:pos="0"/>
        </w:tabs>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26.1拟签订的合同文本要求中标</w:t>
      </w:r>
      <w:r>
        <w:rPr>
          <w:rFonts w:hint="eastAsia" w:ascii="宋体" w:hAnsi="宋体" w:eastAsia="宋体" w:cs="宋体"/>
          <w:color w:val="auto"/>
          <w:kern w:val="0"/>
          <w:sz w:val="21"/>
          <w:szCs w:val="21"/>
          <w:highlight w:val="none"/>
          <w:lang w:eastAsia="zh-CN"/>
        </w:rPr>
        <w:t>投标人</w:t>
      </w:r>
      <w:r>
        <w:rPr>
          <w:rFonts w:hint="eastAsia" w:ascii="宋体" w:hAnsi="宋体" w:eastAsia="宋体" w:cs="宋体"/>
          <w:color w:val="auto"/>
          <w:kern w:val="0"/>
          <w:sz w:val="21"/>
          <w:szCs w:val="21"/>
          <w:highlight w:val="none"/>
        </w:rPr>
        <w:t>提交履约保证金的，</w:t>
      </w:r>
      <w:r>
        <w:rPr>
          <w:rFonts w:hint="eastAsia" w:ascii="宋体" w:hAnsi="宋体" w:eastAsia="宋体" w:cs="宋体"/>
          <w:color w:val="auto"/>
          <w:kern w:val="0"/>
          <w:sz w:val="21"/>
          <w:szCs w:val="21"/>
          <w:highlight w:val="none"/>
          <w:lang w:eastAsia="zh-CN"/>
        </w:rPr>
        <w:t>投标人</w:t>
      </w:r>
      <w:r>
        <w:rPr>
          <w:rFonts w:hint="eastAsia" w:ascii="宋体" w:hAnsi="宋体" w:eastAsia="宋体" w:cs="宋体"/>
          <w:color w:val="auto"/>
          <w:kern w:val="0"/>
          <w:sz w:val="21"/>
          <w:szCs w:val="21"/>
          <w:highlight w:val="none"/>
        </w:rPr>
        <w:t>应当以支票、汇票、本票或者金融机构、担保机构出具的保函等非现金形式提交</w:t>
      </w:r>
      <w:r>
        <w:rPr>
          <w:rFonts w:hint="eastAsia" w:ascii="宋体" w:hAnsi="宋体" w:eastAsia="宋体" w:cs="宋体"/>
          <w:color w:val="auto"/>
          <w:sz w:val="21"/>
          <w:szCs w:val="21"/>
          <w:highlight w:val="none"/>
        </w:rPr>
        <w:t>。履约保证金数额不得超过政府采购合同金额的5%；加大对中小企业发展的扶持力度，对中小企业收取的履约保证金数额不得超过政府采购合同金额的2%。中标</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的投标保证金可转为履约保证金。鼓励根据项目特点、</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诚信等因素免收履约保证金或降低缴纳比例，对于需要收取保证金的政府采购项目，政府采购信用白名单</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可以免于缴纳保证金，降低信用白名单</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参与政府采购活动成本。鼓励和支持</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以银行、保险公司出具的保函形式提供履约保证金。采购人不得拒收履约保函，项目验收结束后应及时退还，延迟退还的，应当按照合同约定和法律规定承担相应的赔偿责任。</w:t>
      </w:r>
    </w:p>
    <w:p w14:paraId="5FE46643">
      <w:pPr>
        <w:pStyle w:val="84"/>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履约保证金</w:t>
      </w:r>
      <w:r>
        <w:rPr>
          <w:rFonts w:hint="eastAsia" w:ascii="宋体" w:hAnsi="宋体" w:eastAsia="宋体" w:cs="宋体"/>
          <w:color w:val="auto"/>
          <w:kern w:val="2"/>
          <w:sz w:val="21"/>
          <w:szCs w:val="21"/>
          <w:highlight w:val="none"/>
        </w:rPr>
        <w:t>收取银行账户</w:t>
      </w:r>
    </w:p>
    <w:p w14:paraId="52E2F3FD">
      <w:pPr>
        <w:pStyle w:val="84"/>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开户名称： </w:t>
      </w:r>
    </w:p>
    <w:p w14:paraId="469DCE67">
      <w:pPr>
        <w:pStyle w:val="84"/>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开户银行： </w:t>
      </w:r>
    </w:p>
    <w:p w14:paraId="0B21F798">
      <w:pPr>
        <w:pStyle w:val="84"/>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银行账号：</w:t>
      </w:r>
    </w:p>
    <w:p w14:paraId="624F7121">
      <w:pPr>
        <w:pStyle w:val="84"/>
        <w:ind w:firstLine="420" w:firstLineChars="200"/>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26.2积极推广电子保函，支持</w:t>
      </w:r>
      <w:r>
        <w:rPr>
          <w:rFonts w:hint="eastAsia" w:ascii="宋体" w:hAnsi="宋体" w:eastAsia="宋体" w:cs="宋体"/>
          <w:snapToGrid w:val="0"/>
          <w:color w:val="auto"/>
          <w:sz w:val="21"/>
          <w:szCs w:val="21"/>
          <w:highlight w:val="none"/>
          <w:lang w:eastAsia="zh-CN"/>
        </w:rPr>
        <w:t>投标人</w:t>
      </w:r>
      <w:r>
        <w:rPr>
          <w:rFonts w:hint="eastAsia" w:ascii="宋体" w:hAnsi="宋体" w:eastAsia="宋体" w:cs="宋体"/>
          <w:snapToGrid w:val="0"/>
          <w:color w:val="auto"/>
          <w:sz w:val="21"/>
          <w:szCs w:val="21"/>
          <w:highlight w:val="none"/>
        </w:rPr>
        <w:t>使用电子保函替代保证金。</w:t>
      </w:r>
      <w:r>
        <w:rPr>
          <w:rFonts w:hint="eastAsia" w:ascii="宋体" w:hAnsi="宋体" w:eastAsia="宋体" w:cs="宋体"/>
          <w:snapToGrid w:val="0"/>
          <w:color w:val="auto"/>
          <w:sz w:val="21"/>
          <w:szCs w:val="21"/>
          <w:highlight w:val="none"/>
          <w:lang w:eastAsia="zh-CN"/>
        </w:rPr>
        <w:t>投标人</w:t>
      </w:r>
      <w:r>
        <w:rPr>
          <w:rFonts w:hint="eastAsia" w:ascii="宋体" w:hAnsi="宋体" w:eastAsia="宋体" w:cs="宋体"/>
          <w:snapToGrid w:val="0"/>
          <w:color w:val="auto"/>
          <w:sz w:val="21"/>
          <w:szCs w:val="21"/>
          <w:highlight w:val="none"/>
        </w:rPr>
        <w:t>可登录广西政府采购云平台-【金融服务】—【我的项目】—【已备案合同】以保函形式提供：1、</w:t>
      </w:r>
      <w:r>
        <w:rPr>
          <w:rFonts w:hint="eastAsia" w:ascii="宋体" w:hAnsi="宋体" w:eastAsia="宋体" w:cs="宋体"/>
          <w:snapToGrid w:val="0"/>
          <w:color w:val="auto"/>
          <w:sz w:val="21"/>
          <w:szCs w:val="21"/>
          <w:highlight w:val="none"/>
          <w:lang w:eastAsia="zh-CN"/>
        </w:rPr>
        <w:t>投标人</w:t>
      </w:r>
      <w:r>
        <w:rPr>
          <w:rFonts w:hint="eastAsia" w:ascii="宋体" w:hAnsi="宋体" w:eastAsia="宋体" w:cs="宋体"/>
          <w:snapToGrid w:val="0"/>
          <w:color w:val="auto"/>
          <w:sz w:val="21"/>
          <w:szCs w:val="21"/>
          <w:highlight w:val="none"/>
        </w:rPr>
        <w:t>在合同列表选择需要投保的合同，点击[保函推荐]。2、在弹框里查看推荐的保函产品，</w:t>
      </w:r>
      <w:r>
        <w:rPr>
          <w:rFonts w:hint="eastAsia" w:ascii="宋体" w:hAnsi="宋体" w:eastAsia="宋体" w:cs="宋体"/>
          <w:snapToGrid w:val="0"/>
          <w:color w:val="auto"/>
          <w:sz w:val="21"/>
          <w:szCs w:val="21"/>
          <w:highlight w:val="none"/>
          <w:lang w:eastAsia="zh-CN"/>
        </w:rPr>
        <w:t>投标人</w:t>
      </w:r>
      <w:r>
        <w:rPr>
          <w:rFonts w:hint="eastAsia" w:ascii="宋体" w:hAnsi="宋体" w:eastAsia="宋体" w:cs="宋体"/>
          <w:snapToGrid w:val="0"/>
          <w:color w:val="auto"/>
          <w:sz w:val="21"/>
          <w:szCs w:val="21"/>
          <w:highlight w:val="none"/>
        </w:rPr>
        <w:t>自行选择保函产品，点击[立即申请]。3、在弹框里填写保函申请信息。具体步骤：选择产品—填写</w:t>
      </w:r>
      <w:r>
        <w:rPr>
          <w:rFonts w:hint="eastAsia" w:ascii="宋体" w:hAnsi="宋体" w:eastAsia="宋体" w:cs="宋体"/>
          <w:snapToGrid w:val="0"/>
          <w:color w:val="auto"/>
          <w:sz w:val="21"/>
          <w:szCs w:val="21"/>
          <w:highlight w:val="none"/>
          <w:lang w:eastAsia="zh-CN"/>
        </w:rPr>
        <w:t>投标人</w:t>
      </w:r>
      <w:r>
        <w:rPr>
          <w:rFonts w:hint="eastAsia" w:ascii="宋体" w:hAnsi="宋体" w:eastAsia="宋体" w:cs="宋体"/>
          <w:snapToGrid w:val="0"/>
          <w:color w:val="auto"/>
          <w:sz w:val="21"/>
          <w:szCs w:val="21"/>
          <w:highlight w:val="none"/>
        </w:rPr>
        <w:t>信息—选择中标项目—确认信息—等待保险/保函受理—确认保单—支付保费—成功出单。广西政府采购云平台金融专线400-903-9583。</w:t>
      </w:r>
    </w:p>
    <w:p w14:paraId="74743650">
      <w:pPr>
        <w:pStyle w:val="84"/>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26.3履约保证金的退还。验收合格的政府采购项目，采购人应当按照合同约定的退还方式，在5个工作日内办理履约保证金退还手续。</w:t>
      </w:r>
    </w:p>
    <w:p w14:paraId="585E83B2">
      <w:pPr>
        <w:pStyle w:val="84"/>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26.4履约保证金不予退还情形：（1）中标</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未能全部履行政府采购合同的；（2）采购文件规定的其他情形。</w:t>
      </w:r>
    </w:p>
    <w:p w14:paraId="00D7AE74">
      <w:pPr>
        <w:pStyle w:val="21"/>
        <w:spacing w:line="360" w:lineRule="auto"/>
        <w:ind w:left="479" w:hanging="420" w:hangingChars="199"/>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27.预付款</w:t>
      </w:r>
    </w:p>
    <w:p w14:paraId="2DD3B694">
      <w:pPr>
        <w:adjustRightInd/>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单位应当在政府采购合同中约定预付款，对中小企业合同预付款比例原则上不低于合同金额的30％，不高于合同金额的50%；项目分年安排预算的，每年预付款比例不低于项目年度计划支付资金额的30％，不高于合同金额的50%；采购项目实施以人工投入为主的，可适当降低预付款比例，但不得低于10%。对</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为大型企业的项目或者以人工投入为主且实行按月定期结算支付款项的项目，预付款可低于上述比例或者不约定预付款。在签订合同时，</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明确表示无需预付款或者主动要求降低预付款比例的，采购单位可不适用前述规定。采购单位根据项目特点、</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诚信等因素，可以要求</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提交银行、保险公司等金融机构出具的预付款保函或其他担保措施。政府采购预付款应在合同生效以及具备实施条件后5个工作日内支付。政府采购工程以及与工程建设有关的货物、服务，采用招标方式采购的，预付款从其相关规定。</w:t>
      </w:r>
    </w:p>
    <w:p w14:paraId="5E9B45DD">
      <w:pPr>
        <w:adjustRightIn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可登录广西政府采购云平台前台大厅选择金融服务 -【保函保险服务】出具预付款保函，具体步骤：选择产品—填写</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信息—选择中标项目—确认信息—等待保险/保函受理—确认保单—支付保费—成功出单。广西政府采购云平台金融专线400-903-9583。</w:t>
      </w:r>
    </w:p>
    <w:p w14:paraId="08A8A6D0">
      <w:pPr>
        <w:snapToGrid w:val="0"/>
        <w:spacing w:line="360" w:lineRule="auto"/>
        <w:ind w:firstLine="3357" w:firstLineChars="1045"/>
        <w:rPr>
          <w:rFonts w:hint="eastAsia" w:ascii="宋体" w:hAnsi="宋体" w:eastAsia="宋体" w:cs="宋体"/>
          <w:b/>
          <w:color w:val="auto"/>
          <w:sz w:val="32"/>
          <w:highlight w:val="none"/>
        </w:rPr>
      </w:pPr>
    </w:p>
    <w:p w14:paraId="1A261854">
      <w:pPr>
        <w:snapToGrid w:val="0"/>
        <w:spacing w:line="360" w:lineRule="auto"/>
        <w:ind w:firstLine="3357" w:firstLineChars="1045"/>
        <w:outlineLvl w:val="9"/>
        <w:rPr>
          <w:rFonts w:hint="eastAsia" w:ascii="宋体" w:hAnsi="宋体" w:eastAsia="宋体" w:cs="宋体"/>
          <w:b/>
          <w:color w:val="auto"/>
          <w:sz w:val="24"/>
          <w:highlight w:val="none"/>
        </w:rPr>
      </w:pPr>
      <w:r>
        <w:rPr>
          <w:rFonts w:hint="eastAsia" w:ascii="宋体" w:hAnsi="宋体" w:eastAsia="宋体" w:cs="宋体"/>
          <w:b/>
          <w:color w:val="auto"/>
          <w:sz w:val="32"/>
          <w:highlight w:val="none"/>
        </w:rPr>
        <w:t>八、电子交易活动的中止</w:t>
      </w:r>
    </w:p>
    <w:p w14:paraId="27898389">
      <w:pPr>
        <w:pStyle w:val="130"/>
        <w:snapToGrid w:val="0"/>
        <w:spacing w:before="0"/>
        <w:ind w:firstLine="0" w:firstLineChars="0"/>
        <w:outlineLvl w:val="9"/>
        <w:rPr>
          <w:rFonts w:hint="eastAsia" w:ascii="宋体" w:hAnsi="宋体" w:eastAsia="宋体" w:cs="宋体"/>
          <w:color w:val="auto"/>
          <w:highlight w:val="none"/>
        </w:rPr>
      </w:pPr>
      <w:r>
        <w:rPr>
          <w:rFonts w:hint="eastAsia" w:ascii="宋体" w:hAnsi="宋体" w:eastAsia="宋体" w:cs="宋体"/>
          <w:b/>
          <w:bCs/>
          <w:color w:val="auto"/>
          <w:highlight w:val="none"/>
        </w:rPr>
        <w:t>2</w:t>
      </w:r>
      <w:r>
        <w:rPr>
          <w:rFonts w:hint="eastAsia" w:ascii="宋体" w:hAnsi="宋体" w:eastAsia="宋体" w:cs="宋体"/>
          <w:b/>
          <w:bCs/>
          <w:color w:val="auto"/>
          <w:szCs w:val="24"/>
          <w:highlight w:val="none"/>
        </w:rPr>
        <w:t>8</w:t>
      </w:r>
      <w:r>
        <w:rPr>
          <w:rFonts w:hint="eastAsia" w:ascii="宋体" w:hAnsi="宋体" w:eastAsia="宋体" w:cs="宋体"/>
          <w:b/>
          <w:color w:val="auto"/>
          <w:szCs w:val="24"/>
          <w:highlight w:val="none"/>
        </w:rPr>
        <w:t>. 电子交易活动的中止。</w:t>
      </w:r>
      <w:r>
        <w:rPr>
          <w:rFonts w:hint="eastAsia" w:ascii="宋体" w:hAnsi="宋体" w:eastAsia="宋体" w:cs="宋体"/>
          <w:color w:val="auto"/>
          <w:highlight w:val="none"/>
        </w:rPr>
        <w:t>采购过程中出现以下情形，导致电子交易平台无法正常运行，或者无法保证电子交易的公平、公正和安全时，采购代理机构可中止电子交易活动：</w:t>
      </w:r>
    </w:p>
    <w:p w14:paraId="1CE2ACD1">
      <w:pPr>
        <w:pStyle w:val="130"/>
        <w:snapToGrid w:val="0"/>
        <w:spacing w:before="0"/>
        <w:ind w:firstLine="480"/>
        <w:outlineLvl w:val="9"/>
        <w:rPr>
          <w:rFonts w:hint="eastAsia" w:ascii="宋体" w:hAnsi="宋体" w:eastAsia="宋体" w:cs="宋体"/>
          <w:color w:val="auto"/>
          <w:highlight w:val="none"/>
        </w:rPr>
      </w:pPr>
      <w:r>
        <w:rPr>
          <w:rFonts w:hint="eastAsia" w:ascii="宋体" w:hAnsi="宋体" w:eastAsia="宋体" w:cs="宋体"/>
          <w:color w:val="auto"/>
          <w:highlight w:val="none"/>
        </w:rPr>
        <w:t xml:space="preserve">28.1电子交易平台发生故障而无法登录访问的； </w:t>
      </w:r>
    </w:p>
    <w:p w14:paraId="6A47E202">
      <w:pPr>
        <w:pStyle w:val="130"/>
        <w:snapToGrid w:val="0"/>
        <w:spacing w:before="0"/>
        <w:ind w:firstLine="480"/>
        <w:outlineLvl w:val="9"/>
        <w:rPr>
          <w:rFonts w:hint="eastAsia" w:ascii="宋体" w:hAnsi="宋体" w:eastAsia="宋体" w:cs="宋体"/>
          <w:color w:val="auto"/>
          <w:highlight w:val="none"/>
        </w:rPr>
      </w:pPr>
      <w:r>
        <w:rPr>
          <w:rFonts w:hint="eastAsia" w:ascii="宋体" w:hAnsi="宋体" w:eastAsia="宋体" w:cs="宋体"/>
          <w:color w:val="auto"/>
          <w:highlight w:val="none"/>
        </w:rPr>
        <w:t>28.2电子交易平台应用或数据库出现错误，不能进行正常操作的；</w:t>
      </w:r>
    </w:p>
    <w:p w14:paraId="5CA3815D">
      <w:pPr>
        <w:pStyle w:val="130"/>
        <w:snapToGrid w:val="0"/>
        <w:spacing w:before="0"/>
        <w:ind w:firstLine="480"/>
        <w:outlineLvl w:val="9"/>
        <w:rPr>
          <w:rFonts w:hint="eastAsia" w:ascii="宋体" w:hAnsi="宋体" w:eastAsia="宋体" w:cs="宋体"/>
          <w:color w:val="auto"/>
          <w:highlight w:val="none"/>
        </w:rPr>
      </w:pPr>
      <w:r>
        <w:rPr>
          <w:rFonts w:hint="eastAsia" w:ascii="宋体" w:hAnsi="宋体" w:eastAsia="宋体" w:cs="宋体"/>
          <w:color w:val="auto"/>
          <w:highlight w:val="none"/>
        </w:rPr>
        <w:t>28.3电子交易平台发现严重安全漏洞，有潜在泄密危险的；</w:t>
      </w:r>
    </w:p>
    <w:p w14:paraId="7C12297D">
      <w:pPr>
        <w:pStyle w:val="130"/>
        <w:snapToGrid w:val="0"/>
        <w:spacing w:before="0"/>
        <w:ind w:firstLine="480"/>
        <w:outlineLvl w:val="9"/>
        <w:rPr>
          <w:rFonts w:hint="eastAsia" w:ascii="宋体" w:hAnsi="宋体" w:eastAsia="宋体" w:cs="宋体"/>
          <w:color w:val="auto"/>
          <w:highlight w:val="none"/>
        </w:rPr>
      </w:pPr>
      <w:r>
        <w:rPr>
          <w:rFonts w:hint="eastAsia" w:ascii="宋体" w:hAnsi="宋体" w:eastAsia="宋体" w:cs="宋体"/>
          <w:color w:val="auto"/>
          <w:highlight w:val="none"/>
        </w:rPr>
        <w:t xml:space="preserve">28.4病毒发作导致不能进行正常操作的； </w:t>
      </w:r>
    </w:p>
    <w:p w14:paraId="0B4087DE">
      <w:pPr>
        <w:pStyle w:val="130"/>
        <w:snapToGrid w:val="0"/>
        <w:spacing w:before="0"/>
        <w:ind w:firstLine="480"/>
        <w:outlineLvl w:val="9"/>
        <w:rPr>
          <w:rFonts w:hint="eastAsia" w:ascii="宋体" w:hAnsi="宋体" w:eastAsia="宋体" w:cs="宋体"/>
          <w:color w:val="auto"/>
          <w:highlight w:val="none"/>
        </w:rPr>
      </w:pPr>
      <w:r>
        <w:rPr>
          <w:rFonts w:hint="eastAsia" w:ascii="宋体" w:hAnsi="宋体" w:eastAsia="宋体" w:cs="宋体"/>
          <w:color w:val="auto"/>
          <w:highlight w:val="none"/>
        </w:rPr>
        <w:t>28.5其他无法保证电子交易的公平、公正和安全的情况。</w:t>
      </w:r>
    </w:p>
    <w:p w14:paraId="7147D5E1">
      <w:pPr>
        <w:pStyle w:val="130"/>
        <w:snapToGrid w:val="0"/>
        <w:spacing w:before="0"/>
        <w:ind w:firstLine="0" w:firstLineChars="0"/>
        <w:outlineLvl w:val="9"/>
        <w:rPr>
          <w:rFonts w:hint="eastAsia" w:ascii="宋体" w:hAnsi="宋体" w:eastAsia="宋体" w:cs="宋体"/>
          <w:color w:val="auto"/>
          <w:highlight w:val="none"/>
        </w:rPr>
      </w:pPr>
      <w:r>
        <w:rPr>
          <w:rFonts w:hint="eastAsia" w:ascii="宋体" w:hAnsi="宋体" w:eastAsia="宋体" w:cs="宋体"/>
          <w:color w:val="auto"/>
          <w:highlight w:val="none"/>
        </w:rPr>
        <w:t xml:space="preserve"> 29.出现以上情形，不影响采购公平、公正性的，采购组织机构可以待上述情形消除后继续组织电子交易活动，也可以决定某些环节以纸质形式进行；影响或可能影响采购公平、公正性的，应当重新采购。</w:t>
      </w:r>
    </w:p>
    <w:p w14:paraId="432AFFDD">
      <w:pPr>
        <w:tabs>
          <w:tab w:val="left" w:pos="0"/>
        </w:tabs>
        <w:spacing w:line="360" w:lineRule="auto"/>
        <w:ind w:firstLine="480"/>
        <w:outlineLvl w:val="9"/>
        <w:rPr>
          <w:rFonts w:hint="eastAsia" w:ascii="宋体" w:hAnsi="宋体" w:eastAsia="宋体" w:cs="宋体"/>
          <w:color w:val="auto"/>
          <w:sz w:val="24"/>
          <w:highlight w:val="none"/>
        </w:rPr>
      </w:pPr>
    </w:p>
    <w:p w14:paraId="0095031E">
      <w:pPr>
        <w:snapToGrid w:val="0"/>
        <w:spacing w:line="360" w:lineRule="auto"/>
        <w:ind w:left="120" w:leftChars="57" w:firstLine="482" w:firstLineChars="150"/>
        <w:jc w:val="center"/>
        <w:outlineLvl w:val="9"/>
        <w:rPr>
          <w:rFonts w:hint="eastAsia" w:ascii="宋体" w:hAnsi="宋体" w:eastAsia="宋体" w:cs="宋体"/>
          <w:b/>
          <w:color w:val="auto"/>
          <w:sz w:val="32"/>
          <w:highlight w:val="none"/>
        </w:rPr>
      </w:pPr>
      <w:r>
        <w:rPr>
          <w:rFonts w:hint="eastAsia" w:ascii="宋体" w:hAnsi="宋体" w:eastAsia="宋体" w:cs="宋体"/>
          <w:b/>
          <w:color w:val="auto"/>
          <w:sz w:val="32"/>
          <w:highlight w:val="none"/>
        </w:rPr>
        <w:t>九、验收</w:t>
      </w:r>
    </w:p>
    <w:p w14:paraId="5BB33BF7">
      <w:pPr>
        <w:pStyle w:val="21"/>
        <w:spacing w:line="360" w:lineRule="auto"/>
        <w:ind w:firstLine="0" w:firstLineChars="0"/>
        <w:outlineLvl w:val="9"/>
        <w:rPr>
          <w:rFonts w:hint="eastAsia" w:ascii="宋体" w:hAnsi="宋体" w:eastAsia="宋体" w:cs="宋体"/>
          <w:b/>
          <w:color w:val="auto"/>
          <w:highlight w:val="none"/>
        </w:rPr>
      </w:pPr>
      <w:r>
        <w:rPr>
          <w:rFonts w:hint="eastAsia" w:ascii="宋体" w:hAnsi="宋体" w:eastAsia="宋体" w:cs="宋体"/>
          <w:b/>
          <w:color w:val="auto"/>
          <w:highlight w:val="none"/>
        </w:rPr>
        <w:t>30.验收</w:t>
      </w:r>
    </w:p>
    <w:p w14:paraId="2030CB17">
      <w:pPr>
        <w:tabs>
          <w:tab w:val="left" w:pos="0"/>
        </w:tabs>
        <w:spacing w:line="360" w:lineRule="auto"/>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30.1采购人组织对</w:t>
      </w:r>
      <w:r>
        <w:rPr>
          <w:rFonts w:hint="eastAsia" w:ascii="宋体" w:hAnsi="宋体" w:eastAsia="宋体" w:cs="宋体"/>
          <w:color w:val="auto"/>
          <w:kern w:val="0"/>
          <w:sz w:val="24"/>
          <w:highlight w:val="none"/>
          <w:lang w:eastAsia="zh-CN"/>
        </w:rPr>
        <w:t>投标人</w:t>
      </w:r>
      <w:r>
        <w:rPr>
          <w:rFonts w:hint="eastAsia" w:ascii="宋体" w:hAnsi="宋体" w:eastAsia="宋体" w:cs="宋体"/>
          <w:color w:val="auto"/>
          <w:kern w:val="0"/>
          <w:sz w:val="24"/>
          <w:highlight w:val="none"/>
        </w:rPr>
        <w:t>履约的验收。大型或者复杂的政府采购项目，应当邀请国家认可的质量检测机构参加验收工作。验收方成员应当在验收书上签字，并承担相应的法律责任。如果发现与合同中要求不符，</w:t>
      </w:r>
      <w:r>
        <w:rPr>
          <w:rFonts w:hint="eastAsia" w:ascii="宋体" w:hAnsi="宋体" w:eastAsia="宋体" w:cs="宋体"/>
          <w:color w:val="auto"/>
          <w:kern w:val="0"/>
          <w:sz w:val="24"/>
          <w:highlight w:val="none"/>
          <w:lang w:eastAsia="zh-CN"/>
        </w:rPr>
        <w:t>投标人</w:t>
      </w:r>
      <w:r>
        <w:rPr>
          <w:rFonts w:hint="eastAsia" w:ascii="宋体" w:hAnsi="宋体" w:eastAsia="宋体" w:cs="宋体"/>
          <w:color w:val="auto"/>
          <w:kern w:val="0"/>
          <w:sz w:val="24"/>
          <w:highlight w:val="none"/>
        </w:rPr>
        <w:t>须承担由此发生的一切损失和费用，并接受相应的处理。</w:t>
      </w:r>
    </w:p>
    <w:p w14:paraId="6D98C778">
      <w:pPr>
        <w:tabs>
          <w:tab w:val="left" w:pos="0"/>
        </w:tabs>
        <w:spacing w:line="360" w:lineRule="auto"/>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30.2采购人可以邀请参加本项目的其他投标人或者第三方机构参与验收。参与验收的投标人或者第三方机构的意见作为验收书的参考资料一并存档。</w:t>
      </w:r>
    </w:p>
    <w:p w14:paraId="4F84C59D">
      <w:pPr>
        <w:tabs>
          <w:tab w:val="left" w:pos="0"/>
        </w:tabs>
        <w:spacing w:line="360" w:lineRule="auto"/>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30.3严格按照采购合同开展履约验收。采购人成立验收小组，按照采购合同的约定对</w:t>
      </w:r>
      <w:r>
        <w:rPr>
          <w:rFonts w:hint="eastAsia" w:ascii="宋体" w:hAnsi="宋体" w:eastAsia="宋体" w:cs="宋体"/>
          <w:color w:val="auto"/>
          <w:kern w:val="0"/>
          <w:sz w:val="24"/>
          <w:highlight w:val="none"/>
          <w:lang w:eastAsia="zh-CN"/>
        </w:rPr>
        <w:t>投标人</w:t>
      </w:r>
      <w:r>
        <w:rPr>
          <w:rFonts w:hint="eastAsia" w:ascii="宋体" w:hAnsi="宋体" w:eastAsia="宋体" w:cs="宋体"/>
          <w:color w:val="auto"/>
          <w:kern w:val="0"/>
          <w:sz w:val="24"/>
          <w:highlight w:val="none"/>
        </w:rPr>
        <w:t>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4A1B45F2">
      <w:pPr>
        <w:tabs>
          <w:tab w:val="left" w:pos="0"/>
        </w:tabs>
        <w:spacing w:line="360" w:lineRule="auto"/>
        <w:ind w:firstLine="480"/>
        <w:rPr>
          <w:rFonts w:hint="eastAsia" w:ascii="宋体" w:hAnsi="宋体" w:eastAsia="宋体" w:cs="宋体"/>
          <w:color w:val="auto"/>
          <w:sz w:val="18"/>
          <w:szCs w:val="18"/>
          <w:highlight w:val="none"/>
        </w:rPr>
      </w:pPr>
      <w:r>
        <w:rPr>
          <w:rFonts w:hint="eastAsia" w:ascii="宋体" w:hAnsi="宋体" w:eastAsia="宋体" w:cs="宋体"/>
          <w:color w:val="auto"/>
          <w:kern w:val="0"/>
          <w:sz w:val="24"/>
          <w:highlight w:val="none"/>
        </w:rPr>
        <w:t>30.4验收合格的项目，采购人将根据采购合同的约定及时向</w:t>
      </w:r>
      <w:r>
        <w:rPr>
          <w:rFonts w:hint="eastAsia" w:ascii="宋体" w:hAnsi="宋体" w:eastAsia="宋体" w:cs="宋体"/>
          <w:color w:val="auto"/>
          <w:kern w:val="0"/>
          <w:sz w:val="24"/>
          <w:highlight w:val="none"/>
          <w:lang w:eastAsia="zh-CN"/>
        </w:rPr>
        <w:t>投标人</w:t>
      </w:r>
      <w:r>
        <w:rPr>
          <w:rFonts w:hint="eastAsia" w:ascii="宋体" w:hAnsi="宋体" w:eastAsia="宋体" w:cs="宋体"/>
          <w:color w:val="auto"/>
          <w:kern w:val="0"/>
          <w:sz w:val="24"/>
          <w:highlight w:val="none"/>
        </w:rPr>
        <w:t>支付采购资金、退还履约保证金。验收不合格的项目，采购人将依法及时处理。采购合同的履行、违约责任和解决争议的方式等适用《中华人民共和国民法典》。</w:t>
      </w:r>
      <w:r>
        <w:rPr>
          <w:rFonts w:hint="eastAsia" w:ascii="宋体" w:hAnsi="宋体" w:eastAsia="宋体" w:cs="宋体"/>
          <w:color w:val="auto"/>
          <w:kern w:val="0"/>
          <w:sz w:val="24"/>
          <w:highlight w:val="none"/>
          <w:lang w:eastAsia="zh-CN"/>
        </w:rPr>
        <w:t>投标人</w:t>
      </w:r>
      <w:r>
        <w:rPr>
          <w:rFonts w:hint="eastAsia" w:ascii="宋体" w:hAnsi="宋体" w:eastAsia="宋体" w:cs="宋体"/>
          <w:color w:val="auto"/>
          <w:kern w:val="0"/>
          <w:sz w:val="24"/>
          <w:highlight w:val="none"/>
        </w:rPr>
        <w:t>在履约过程中有政府采购法律法规规定的违法违规情形的，采购人应当及时报告本级财政部门。</w:t>
      </w:r>
    </w:p>
    <w:bookmarkEnd w:id="28"/>
    <w:p w14:paraId="75E5F2C9">
      <w:pPr>
        <w:tabs>
          <w:tab w:val="left" w:pos="0"/>
        </w:tabs>
        <w:spacing w:line="360" w:lineRule="auto"/>
        <w:ind w:firstLine="480"/>
        <w:rPr>
          <w:rFonts w:hint="eastAsia" w:ascii="宋体" w:hAnsi="宋体" w:eastAsia="宋体" w:cs="宋体"/>
          <w:color w:val="auto"/>
          <w:kern w:val="0"/>
          <w:sz w:val="24"/>
          <w:highlight w:val="none"/>
        </w:rPr>
      </w:pPr>
      <w:bookmarkStart w:id="29" w:name="_Hlt68403820"/>
      <w:bookmarkEnd w:id="29"/>
      <w:bookmarkStart w:id="30" w:name="_Hlt74707468"/>
      <w:bookmarkEnd w:id="30"/>
      <w:bookmarkStart w:id="31" w:name="_Hlt74714665"/>
      <w:bookmarkEnd w:id="31"/>
      <w:bookmarkStart w:id="32" w:name="_Hlt75236011"/>
      <w:bookmarkEnd w:id="32"/>
      <w:bookmarkStart w:id="33" w:name="_Hlt75236101"/>
      <w:bookmarkEnd w:id="33"/>
      <w:bookmarkStart w:id="34" w:name="_Hlt68072990"/>
      <w:bookmarkEnd w:id="34"/>
      <w:bookmarkStart w:id="35" w:name="_Hlt68057669"/>
      <w:bookmarkEnd w:id="35"/>
      <w:bookmarkStart w:id="36" w:name="_Hlt74729768"/>
      <w:bookmarkEnd w:id="36"/>
      <w:bookmarkStart w:id="37" w:name="_Hlt68072998"/>
      <w:bookmarkEnd w:id="37"/>
      <w:bookmarkStart w:id="38" w:name="_Hlt68073093"/>
      <w:bookmarkEnd w:id="38"/>
      <w:bookmarkStart w:id="39" w:name="_Hlt74730295"/>
      <w:bookmarkEnd w:id="39"/>
      <w:bookmarkStart w:id="40" w:name="_Hlt75236290"/>
      <w:bookmarkEnd w:id="40"/>
    </w:p>
    <w:p w14:paraId="7608BF29">
      <w:pPr>
        <w:snapToGrid w:val="0"/>
        <w:spacing w:line="360" w:lineRule="auto"/>
        <w:ind w:left="120" w:leftChars="57" w:firstLine="482" w:firstLineChars="150"/>
        <w:jc w:val="center"/>
        <w:outlineLvl w:val="9"/>
        <w:rPr>
          <w:rFonts w:hint="eastAsia" w:ascii="宋体" w:hAnsi="宋体" w:eastAsia="宋体" w:cs="宋体"/>
          <w:b/>
          <w:color w:val="auto"/>
          <w:sz w:val="32"/>
          <w:highlight w:val="none"/>
        </w:rPr>
      </w:pPr>
      <w:r>
        <w:rPr>
          <w:rFonts w:hint="eastAsia" w:ascii="宋体" w:hAnsi="宋体" w:eastAsia="宋体" w:cs="宋体"/>
          <w:b/>
          <w:color w:val="auto"/>
          <w:sz w:val="32"/>
          <w:highlight w:val="none"/>
        </w:rPr>
        <w:t>十、代理费用的收取标准和方式</w:t>
      </w:r>
    </w:p>
    <w:p w14:paraId="77A57C92">
      <w:pPr>
        <w:pStyle w:val="21"/>
        <w:spacing w:line="360" w:lineRule="auto"/>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31.代理费用的收取标准和方式（适用于有权收取代理费用的采购代理机构）</w:t>
      </w:r>
    </w:p>
    <w:p w14:paraId="0208BC7F">
      <w:pPr>
        <w:pStyle w:val="84"/>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31.1采购代理费支付方式：</w:t>
      </w:r>
    </w:p>
    <w:p w14:paraId="05678848">
      <w:pPr>
        <w:pStyle w:val="84"/>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☑本项目代理服务费由中标</w:t>
      </w:r>
      <w:r>
        <w:rPr>
          <w:rFonts w:hint="eastAsia" w:ascii="宋体" w:hAnsi="宋体" w:eastAsia="宋体" w:cs="宋体"/>
          <w:color w:val="auto"/>
          <w:kern w:val="2"/>
          <w:sz w:val="21"/>
          <w:szCs w:val="21"/>
          <w:highlight w:val="none"/>
          <w:lang w:eastAsia="zh-CN"/>
        </w:rPr>
        <w:t>投标人</w:t>
      </w:r>
      <w:r>
        <w:rPr>
          <w:rFonts w:hint="eastAsia" w:ascii="宋体" w:hAnsi="宋体" w:eastAsia="宋体" w:cs="宋体"/>
          <w:color w:val="auto"/>
          <w:kern w:val="2"/>
          <w:sz w:val="21"/>
          <w:szCs w:val="21"/>
          <w:highlight w:val="none"/>
        </w:rPr>
        <w:t>一次性向采购代理机构支付。</w:t>
      </w:r>
    </w:p>
    <w:p w14:paraId="115D945D">
      <w:pPr>
        <w:pStyle w:val="84"/>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r>
        <w:rPr>
          <w:rFonts w:hint="eastAsia" w:cs="宋体"/>
          <w:color w:val="auto"/>
          <w:kern w:val="2"/>
          <w:sz w:val="21"/>
          <w:szCs w:val="21"/>
          <w:highlight w:val="none"/>
          <w:lang w:eastAsia="zh-CN"/>
        </w:rPr>
        <w:t>采购人</w:t>
      </w:r>
      <w:r>
        <w:rPr>
          <w:rFonts w:hint="eastAsia" w:ascii="宋体" w:hAnsi="宋体" w:eastAsia="宋体" w:cs="宋体"/>
          <w:color w:val="auto"/>
          <w:kern w:val="2"/>
          <w:sz w:val="21"/>
          <w:szCs w:val="21"/>
          <w:highlight w:val="none"/>
        </w:rPr>
        <w:t>支付。</w:t>
      </w:r>
    </w:p>
    <w:p w14:paraId="3F5AE11F">
      <w:pPr>
        <w:pStyle w:val="84"/>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31.2采购代理费收取标准：</w:t>
      </w:r>
    </w:p>
    <w:p w14:paraId="5B9B98E2">
      <w:pPr>
        <w:pStyle w:val="84"/>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cs="宋体"/>
          <w:color w:val="auto"/>
          <w:kern w:val="0"/>
          <w:szCs w:val="21"/>
          <w:highlight w:val="none"/>
        </w:rPr>
      </w:pPr>
      <w:r>
        <w:rPr>
          <w:rFonts w:hint="eastAsia" w:ascii="宋体" w:hAnsi="宋体" w:eastAsia="宋体" w:cs="宋体"/>
          <w:color w:val="auto"/>
          <w:kern w:val="2"/>
          <w:sz w:val="21"/>
          <w:szCs w:val="21"/>
          <w:highlight w:val="none"/>
        </w:rPr>
        <w:t>☑以分标（</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中标金额/</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采购预算/□暂定</w:t>
      </w:r>
      <w:r>
        <w:rPr>
          <w:rFonts w:hint="eastAsia" w:cs="宋体"/>
          <w:color w:val="auto"/>
          <w:kern w:val="2"/>
          <w:sz w:val="21"/>
          <w:szCs w:val="21"/>
          <w:highlight w:val="none"/>
          <w:lang w:eastAsia="zh-CN"/>
        </w:rPr>
        <w:t>中标金额</w:t>
      </w:r>
      <w:r>
        <w:rPr>
          <w:rFonts w:hint="eastAsia" w:ascii="宋体" w:hAnsi="宋体" w:eastAsia="宋体" w:cs="宋体"/>
          <w:color w:val="auto"/>
          <w:kern w:val="2"/>
          <w:sz w:val="21"/>
          <w:szCs w:val="21"/>
          <w:highlight w:val="none"/>
        </w:rPr>
        <w:t>/□其他</w:t>
      </w:r>
      <w:r>
        <w:rPr>
          <w:rFonts w:hint="eastAsia" w:ascii="宋体" w:hAnsi="宋体" w:eastAsia="宋体" w:cs="宋体"/>
          <w:i/>
          <w:iCs/>
          <w:color w:val="auto"/>
          <w:kern w:val="2"/>
          <w:sz w:val="21"/>
          <w:szCs w:val="21"/>
          <w:highlight w:val="none"/>
          <w:u w:val="single"/>
        </w:rPr>
        <w:t xml:space="preserve"> / </w:t>
      </w:r>
      <w:r>
        <w:rPr>
          <w:rFonts w:hint="eastAsia" w:ascii="宋体" w:hAnsi="宋体" w:eastAsia="宋体" w:cs="宋体"/>
          <w:color w:val="auto"/>
          <w:kern w:val="2"/>
          <w:sz w:val="21"/>
          <w:szCs w:val="21"/>
          <w:highlight w:val="none"/>
        </w:rPr>
        <w:t>）为计费额，</w:t>
      </w:r>
      <w:r>
        <w:rPr>
          <w:rFonts w:hint="eastAsia" w:ascii="宋体" w:hAnsi="宋体" w:eastAsia="宋体" w:cs="宋体"/>
          <w:color w:val="auto"/>
          <w:kern w:val="0"/>
          <w:sz w:val="21"/>
          <w:szCs w:val="21"/>
          <w:highlight w:val="none"/>
        </w:rPr>
        <w:t>根据有关收费规定，代理服务费按《北海市海城区人民政府办公室关于印发海城区政府性投资项目服务性收费指导意见</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暂行</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的通知》（北城政办〔2021〕22号）规定标准向</w:t>
      </w:r>
      <w:r>
        <w:rPr>
          <w:rFonts w:hint="eastAsia" w:ascii="宋体" w:hAnsi="宋体" w:eastAsia="宋体" w:cs="宋体"/>
          <w:color w:val="auto"/>
          <w:kern w:val="0"/>
          <w:sz w:val="21"/>
          <w:szCs w:val="21"/>
          <w:highlight w:val="none"/>
          <w:lang w:val="en-US" w:eastAsia="zh-CN"/>
        </w:rPr>
        <w:t>中标人</w:t>
      </w:r>
      <w:r>
        <w:rPr>
          <w:rFonts w:hint="eastAsia" w:ascii="宋体" w:hAnsi="宋体" w:eastAsia="宋体" w:cs="宋体"/>
          <w:color w:val="auto"/>
          <w:kern w:val="0"/>
          <w:sz w:val="21"/>
          <w:szCs w:val="21"/>
          <w:highlight w:val="none"/>
        </w:rPr>
        <w:t>收取</w:t>
      </w:r>
      <w:r>
        <w:rPr>
          <w:rFonts w:hint="eastAsia" w:ascii="宋体" w:hAnsi="宋体" w:cs="宋体"/>
          <w:color w:val="auto"/>
          <w:kern w:val="0"/>
          <w:szCs w:val="21"/>
          <w:highlight w:val="none"/>
        </w:rPr>
        <w:t>。</w:t>
      </w:r>
    </w:p>
    <w:p w14:paraId="4658B4F6">
      <w:pPr>
        <w:pStyle w:val="84"/>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□固定采购代理收费。</w:t>
      </w:r>
    </w:p>
    <w:p w14:paraId="451D5795">
      <w:pPr>
        <w:pStyle w:val="84"/>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31.3采购代理费收取银行账户</w:t>
      </w:r>
    </w:p>
    <w:p w14:paraId="35CE34EE">
      <w:pPr>
        <w:pStyle w:val="84"/>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开户名称：广西科联招标中心有限公司北海分公司</w:t>
      </w:r>
    </w:p>
    <w:p w14:paraId="78D5D65A">
      <w:pPr>
        <w:pStyle w:val="84"/>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rPr>
        <w:t>账    号：</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45050165510109188888</w:t>
      </w:r>
      <w:r>
        <w:rPr>
          <w:rFonts w:hint="eastAsia" w:ascii="宋体" w:hAnsi="宋体" w:eastAsia="宋体" w:cs="宋体"/>
          <w:color w:val="auto"/>
          <w:kern w:val="2"/>
          <w:sz w:val="21"/>
          <w:szCs w:val="21"/>
          <w:highlight w:val="none"/>
          <w:lang w:val="en-US" w:eastAsia="zh-CN"/>
        </w:rPr>
        <w:t xml:space="preserve">           </w:t>
      </w:r>
    </w:p>
    <w:p w14:paraId="25AB5384">
      <w:pPr>
        <w:pStyle w:val="35"/>
        <w:snapToGrid w:val="0"/>
        <w:spacing w:before="120" w:after="120"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kern w:val="2"/>
          <w:sz w:val="21"/>
          <w:szCs w:val="21"/>
          <w:highlight w:val="none"/>
        </w:rPr>
        <w:t>开户行名称：中国建设银行股份有限公司北海北部湾东路支行</w:t>
      </w:r>
    </w:p>
    <w:p w14:paraId="317B76C3">
      <w:pPr>
        <w:pStyle w:val="84"/>
        <w:rPr>
          <w:rFonts w:hint="eastAsia" w:ascii="宋体" w:hAnsi="宋体" w:eastAsia="宋体" w:cs="宋体"/>
          <w:b/>
          <w:color w:val="auto"/>
          <w:kern w:val="2"/>
          <w:sz w:val="21"/>
          <w:szCs w:val="21"/>
          <w:highlight w:val="none"/>
        </w:rPr>
        <w:sectPr>
          <w:footerReference r:id="rId7" w:type="first"/>
          <w:footerReference r:id="rId6" w:type="default"/>
          <w:pgSz w:w="11906" w:h="16838"/>
          <w:pgMar w:top="680" w:right="1418" w:bottom="468" w:left="1418" w:header="851" w:footer="992" w:gutter="0"/>
          <w:pgNumType w:fmt="decimal" w:start="1"/>
          <w:cols w:space="720" w:num="1"/>
          <w:titlePg/>
          <w:docGrid w:linePitch="312" w:charSpace="0"/>
        </w:sectPr>
      </w:pPr>
    </w:p>
    <w:bookmarkEnd w:id="24"/>
    <w:bookmarkEnd w:id="25"/>
    <w:p w14:paraId="3054ECAD">
      <w:pPr>
        <w:spacing w:line="360" w:lineRule="auto"/>
        <w:jc w:val="center"/>
        <w:outlineLvl w:val="0"/>
        <w:rPr>
          <w:rFonts w:hint="eastAsia" w:ascii="宋体" w:hAnsi="宋体" w:eastAsia="宋体" w:cs="宋体"/>
          <w:b/>
          <w:color w:val="auto"/>
          <w:sz w:val="36"/>
          <w:szCs w:val="36"/>
          <w:highlight w:val="none"/>
        </w:rPr>
      </w:pPr>
      <w:bookmarkStart w:id="41" w:name="_Toc176185121"/>
      <w:bookmarkStart w:id="42" w:name="_Toc1005"/>
      <w:bookmarkStart w:id="43" w:name="第四部分"/>
      <w:r>
        <w:rPr>
          <w:rFonts w:hint="eastAsia" w:ascii="宋体" w:hAnsi="宋体" w:eastAsia="宋体" w:cs="宋体"/>
          <w:b/>
          <w:color w:val="auto"/>
          <w:sz w:val="36"/>
          <w:szCs w:val="36"/>
          <w:highlight w:val="none"/>
        </w:rPr>
        <w:t>第三部分  采购需求</w:t>
      </w:r>
      <w:bookmarkEnd w:id="41"/>
      <w:bookmarkEnd w:id="42"/>
    </w:p>
    <w:p w14:paraId="078310BF">
      <w:pPr>
        <w:spacing w:line="360" w:lineRule="auto"/>
        <w:ind w:firstLine="181" w:firstLineChars="50"/>
        <w:rPr>
          <w:rFonts w:hint="eastAsia" w:ascii="宋体" w:hAnsi="宋体" w:eastAsia="宋体" w:cs="宋体"/>
          <w:b/>
          <w:color w:val="auto"/>
          <w:sz w:val="36"/>
          <w:szCs w:val="36"/>
          <w:highlight w:val="none"/>
        </w:rPr>
      </w:pPr>
    </w:p>
    <w:p w14:paraId="78A44124">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说明：</w:t>
      </w:r>
    </w:p>
    <w:p w14:paraId="4F600C32">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1.根据《财政部 发展改革委 生态环境部 市场监管总局关于调整优化节能产品、环境标志产品政府采购执行机制的通知》（财库〔2019〕9号）和《关于印发节能产品政府采购品目清单的通知》（财库〔2019〕19号）的规定，节能产品政府采购品目清单内标注“★”的品目属于政府强制采购节能产品，如本项目包含的货物属于品目清单内标注“★”的产品时，投标人的投标货物必须使用政府强制采购的节能产品，投标人必须在投标文件中提供所投标产品的有效期内节能产品认证证书复印件（加盖投标人公章），否则投标文件作无效处理。如本项目包含的货物属于品目清单内非标注“★”的产品时，应优先采购。</w:t>
      </w:r>
    </w:p>
    <w:p w14:paraId="02D7D688">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投标人应对投标内容所涉及的专利承担法律责任，并负责保护招标人的利益不受任何损害。一切由于文字、商标、技术和软件专利授权引起的法律裁决、诉讼和赔偿费用均由中标人负责。同时，具有产品专利的投标人应在其投标文件中提供与其自有产品专利相关的有效证明材料，否则，不能就其产品的专利在本项目投标过程中被侵权问题而提出异议。</w:t>
      </w:r>
    </w:p>
    <w:p w14:paraId="1FAD69C1">
      <w:pPr>
        <w:spacing w:line="360" w:lineRule="auto"/>
        <w:ind w:firstLine="422" w:firstLineChars="200"/>
        <w:rPr>
          <w:rFonts w:hint="eastAsia" w:ascii="宋体" w:hAnsi="宋体" w:eastAsia="宋体" w:cs="宋体"/>
          <w:b/>
          <w:color w:val="auto"/>
          <w:sz w:val="24"/>
          <w:highlight w:val="none"/>
        </w:rPr>
      </w:pPr>
      <w:r>
        <w:rPr>
          <w:rFonts w:hint="eastAsia" w:ascii="宋体" w:hAnsi="宋体" w:eastAsia="宋体" w:cs="宋体"/>
          <w:b/>
          <w:color w:val="auto"/>
          <w:szCs w:val="21"/>
          <w:highlight w:val="none"/>
        </w:rPr>
        <w:t>3.列入《网络关键设备和网络安全专用产品目录》的网络安全专用产品应当按照《信息安全技术 网络安全专用产品安全技术要求》等相关国家标准的强制性要求，具有经具备资格的机构进行的安全认证合格或者安全检测。</w:t>
      </w:r>
    </w:p>
    <w:p w14:paraId="70C9610C">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1）招标文件中带“▲”的条款为本次采购的实质性（关键性）的商务、技术或服务要求，投标人须满足或响应，若无法完全满足，将会被认定为无效投标。</w:t>
      </w:r>
    </w:p>
    <w:p w14:paraId="4E4C6C48">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”的条款为本次采购的重要技术参数、技术性能、配置。</w:t>
      </w:r>
    </w:p>
    <w:p w14:paraId="541CDFFA">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投标人须在投标文件中填写/应答技术规格参数，当投标文件中技术参数与招标文件中技术参数有偏离时，须在“偏离”栏内如实注明是“正偏离”、“负偏离”或“无偏离”，“正偏离”指投标设备的技术参数优于招标文件中要求，“负偏离”指投标设备的技术参数低于招标文件中要求，“无偏离”指投标设备的技术参数满足招标文件中要求。投标文件中的技术参数、功能或其它内容有“正偏离”的，投标人须对“正偏离”的情况单独作出说明。</w:t>
      </w:r>
    </w:p>
    <w:p w14:paraId="2151EF41">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4）本货物需求一览表中所列的品牌、型号仅起参考作用，投标人可选用其他品牌、型号替代，但替代的品牌、型号在实质性要求和条件上要相当于或优于参考品牌、型号。</w:t>
      </w:r>
    </w:p>
    <w:p w14:paraId="1E4ECD7D">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5.投标人投标产品中的主要设备需提供有关产品说明书或产品彩页，这些资料文件应以附件形式在投标文件中列出。若提供的产品说明书或产品彩页与投标文件中响应的同一技术指标不一致时，应由生产厂商出具相关说明，否则以产品说明书或产品彩页为准。</w:t>
      </w:r>
    </w:p>
    <w:p w14:paraId="6AD6EC2A">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6.投标人应承诺投标文件中提供的证明材料和资质文件真实，如出现虚假应标情况，投标人除了应接受有关部门的处罚外，还应依据《中华人民共和国民法典》的相关条款来确定赔偿金额。</w:t>
      </w:r>
    </w:p>
    <w:p w14:paraId="403B3982">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7.最高限价：</w:t>
      </w:r>
      <w:bookmarkStart w:id="44" w:name="_Toc20816"/>
      <w:bookmarkStart w:id="45" w:name="_Toc5689"/>
      <w:bookmarkStart w:id="46" w:name="_Toc31915"/>
      <w:r>
        <w:rPr>
          <w:rFonts w:hint="eastAsia" w:ascii="宋体" w:hAnsi="宋体" w:eastAsia="宋体" w:cs="宋体"/>
          <w:b/>
          <w:bCs/>
          <w:color w:val="auto"/>
          <w:sz w:val="21"/>
          <w:szCs w:val="21"/>
          <w:highlight w:val="none"/>
          <w:lang w:val="en-US" w:eastAsia="zh-CN"/>
        </w:rPr>
        <w:t>人民币</w:t>
      </w:r>
      <w:r>
        <w:rPr>
          <w:rFonts w:hint="eastAsia" w:ascii="宋体" w:hAnsi="宋体" w:cs="宋体"/>
          <w:b/>
          <w:bCs/>
          <w:color w:val="auto"/>
          <w:sz w:val="21"/>
          <w:szCs w:val="21"/>
          <w:highlight w:val="none"/>
          <w:lang w:val="en-US" w:eastAsia="zh-CN"/>
        </w:rPr>
        <w:t>6360</w:t>
      </w:r>
      <w:r>
        <w:rPr>
          <w:rFonts w:hint="eastAsia" w:ascii="宋体" w:hAnsi="宋体" w:eastAsia="宋体" w:cs="宋体"/>
          <w:b/>
          <w:bCs/>
          <w:color w:val="auto"/>
          <w:sz w:val="21"/>
          <w:szCs w:val="21"/>
          <w:highlight w:val="none"/>
          <w:lang w:val="en-US" w:eastAsia="zh-CN"/>
        </w:rPr>
        <w:t>万元</w:t>
      </w:r>
      <w:r>
        <w:rPr>
          <w:rFonts w:hint="eastAsia" w:ascii="宋体" w:hAnsi="宋体" w:cs="宋体"/>
          <w:b/>
          <w:bCs/>
          <w:color w:val="auto"/>
          <w:sz w:val="21"/>
          <w:szCs w:val="21"/>
          <w:highlight w:val="none"/>
          <w:lang w:val="en-US" w:eastAsia="zh-CN"/>
        </w:rPr>
        <w:t>，其中</w:t>
      </w:r>
      <w:r>
        <w:rPr>
          <w:rFonts w:hint="eastAsia"/>
          <w:color w:val="auto"/>
          <w:highlight w:val="none"/>
        </w:rPr>
        <w:t>新能源3吨压缩车</w:t>
      </w:r>
      <w:r>
        <w:rPr>
          <w:rFonts w:hint="eastAsia"/>
          <w:color w:val="auto"/>
          <w:highlight w:val="none"/>
          <w:lang w:eastAsia="zh-CN"/>
        </w:rPr>
        <w:t>：</w:t>
      </w:r>
      <w:r>
        <w:rPr>
          <w:rFonts w:hint="eastAsia"/>
          <w:color w:val="auto"/>
          <w:highlight w:val="none"/>
          <w:lang w:val="en-US" w:eastAsia="zh-CN"/>
        </w:rPr>
        <w:t>人民币1176万元、</w:t>
      </w:r>
      <w:r>
        <w:rPr>
          <w:rFonts w:hint="eastAsia"/>
          <w:color w:val="auto"/>
          <w:highlight w:val="none"/>
        </w:rPr>
        <w:t>新能源12吨压缩车</w:t>
      </w:r>
      <w:r>
        <w:rPr>
          <w:rFonts w:hint="eastAsia"/>
          <w:color w:val="auto"/>
          <w:highlight w:val="none"/>
          <w:lang w:eastAsia="zh-CN"/>
        </w:rPr>
        <w:t>：</w:t>
      </w:r>
      <w:r>
        <w:rPr>
          <w:rFonts w:hint="eastAsia"/>
          <w:color w:val="auto"/>
          <w:highlight w:val="none"/>
          <w:lang w:val="en-US" w:eastAsia="zh-CN"/>
        </w:rPr>
        <w:t>人民币630万元、</w:t>
      </w:r>
      <w:r>
        <w:rPr>
          <w:rFonts w:hint="eastAsia"/>
          <w:color w:val="auto"/>
          <w:highlight w:val="none"/>
        </w:rPr>
        <w:t>新能源小型扫路车</w:t>
      </w:r>
      <w:r>
        <w:rPr>
          <w:rFonts w:hint="eastAsia"/>
          <w:color w:val="auto"/>
          <w:highlight w:val="none"/>
          <w:lang w:eastAsia="zh-CN"/>
        </w:rPr>
        <w:t>：</w:t>
      </w:r>
      <w:r>
        <w:rPr>
          <w:rFonts w:hint="eastAsia"/>
          <w:color w:val="auto"/>
          <w:highlight w:val="none"/>
          <w:lang w:val="en-US" w:eastAsia="zh-CN"/>
        </w:rPr>
        <w:t>人民币720万元、</w:t>
      </w:r>
      <w:r>
        <w:rPr>
          <w:rFonts w:hint="eastAsia"/>
          <w:color w:val="auto"/>
          <w:highlight w:val="none"/>
        </w:rPr>
        <w:t>新能源中型洗扫车</w:t>
      </w:r>
      <w:r>
        <w:rPr>
          <w:rFonts w:hint="eastAsia"/>
          <w:color w:val="auto"/>
          <w:highlight w:val="none"/>
          <w:lang w:eastAsia="zh-CN"/>
        </w:rPr>
        <w:t>：</w:t>
      </w:r>
      <w:r>
        <w:rPr>
          <w:rFonts w:hint="eastAsia"/>
          <w:color w:val="auto"/>
          <w:highlight w:val="none"/>
          <w:lang w:val="en-US" w:eastAsia="zh-CN"/>
        </w:rPr>
        <w:t>人民币95万元、</w:t>
      </w:r>
      <w:r>
        <w:rPr>
          <w:rFonts w:hint="eastAsia"/>
          <w:color w:val="auto"/>
          <w:highlight w:val="none"/>
        </w:rPr>
        <w:t>新能源大型洗扫车</w:t>
      </w:r>
      <w:r>
        <w:rPr>
          <w:rFonts w:hint="eastAsia"/>
          <w:color w:val="auto"/>
          <w:highlight w:val="none"/>
          <w:lang w:eastAsia="zh-CN"/>
        </w:rPr>
        <w:t>：</w:t>
      </w:r>
      <w:r>
        <w:rPr>
          <w:rFonts w:hint="eastAsia"/>
          <w:color w:val="auto"/>
          <w:highlight w:val="none"/>
          <w:lang w:val="en-US" w:eastAsia="zh-CN"/>
        </w:rPr>
        <w:t>人民币1420万元、</w:t>
      </w:r>
      <w:r>
        <w:rPr>
          <w:rFonts w:hint="eastAsia"/>
          <w:color w:val="auto"/>
          <w:highlight w:val="none"/>
        </w:rPr>
        <w:t>新能源大型洒水车</w:t>
      </w:r>
      <w:r>
        <w:rPr>
          <w:rFonts w:hint="eastAsia"/>
          <w:color w:val="auto"/>
          <w:highlight w:val="none"/>
          <w:lang w:eastAsia="zh-CN"/>
        </w:rPr>
        <w:t>：</w:t>
      </w:r>
      <w:r>
        <w:rPr>
          <w:rFonts w:hint="eastAsia"/>
          <w:color w:val="auto"/>
          <w:highlight w:val="none"/>
          <w:lang w:val="en-US" w:eastAsia="zh-CN"/>
        </w:rPr>
        <w:t>人民币303万元、</w:t>
      </w:r>
      <w:r>
        <w:rPr>
          <w:rFonts w:hint="eastAsia"/>
          <w:color w:val="auto"/>
          <w:highlight w:val="none"/>
        </w:rPr>
        <w:t>新能源抑尘车</w:t>
      </w:r>
      <w:r>
        <w:rPr>
          <w:rFonts w:hint="eastAsia"/>
          <w:color w:val="auto"/>
          <w:highlight w:val="none"/>
          <w:lang w:eastAsia="zh-CN"/>
        </w:rPr>
        <w:t>：</w:t>
      </w:r>
      <w:r>
        <w:rPr>
          <w:rFonts w:hint="eastAsia"/>
          <w:color w:val="auto"/>
          <w:highlight w:val="none"/>
          <w:lang w:val="en-US" w:eastAsia="zh-CN"/>
        </w:rPr>
        <w:t>人民币280万元、</w:t>
      </w:r>
      <w:r>
        <w:rPr>
          <w:rFonts w:hint="eastAsia"/>
          <w:color w:val="auto"/>
          <w:highlight w:val="none"/>
        </w:rPr>
        <w:t>新能源中型护栏清洗车</w:t>
      </w:r>
      <w:r>
        <w:rPr>
          <w:rFonts w:hint="eastAsia"/>
          <w:color w:val="auto"/>
          <w:highlight w:val="none"/>
          <w:lang w:eastAsia="zh-CN"/>
        </w:rPr>
        <w:t>：</w:t>
      </w:r>
      <w:r>
        <w:rPr>
          <w:rFonts w:hint="eastAsia"/>
          <w:color w:val="auto"/>
          <w:highlight w:val="none"/>
          <w:lang w:val="en-US" w:eastAsia="zh-CN"/>
        </w:rPr>
        <w:t>人民币108万元、</w:t>
      </w:r>
      <w:r>
        <w:rPr>
          <w:rFonts w:hint="eastAsia"/>
          <w:color w:val="auto"/>
          <w:highlight w:val="none"/>
        </w:rPr>
        <w:t>新能源重型勾臂车</w:t>
      </w:r>
      <w:r>
        <w:rPr>
          <w:rFonts w:hint="eastAsia"/>
          <w:color w:val="auto"/>
          <w:highlight w:val="none"/>
          <w:lang w:eastAsia="zh-CN"/>
        </w:rPr>
        <w:t>：</w:t>
      </w:r>
      <w:r>
        <w:rPr>
          <w:rFonts w:hint="eastAsia"/>
          <w:color w:val="auto"/>
          <w:highlight w:val="none"/>
          <w:lang w:val="en-US" w:eastAsia="zh-CN"/>
        </w:rPr>
        <w:t>人民币852万元、</w:t>
      </w:r>
      <w:r>
        <w:rPr>
          <w:rFonts w:hint="eastAsia"/>
          <w:color w:val="auto"/>
          <w:highlight w:val="none"/>
        </w:rPr>
        <w:t>新能源小型货车（自卸式）</w:t>
      </w:r>
      <w:r>
        <w:rPr>
          <w:rFonts w:hint="eastAsia"/>
          <w:color w:val="auto"/>
          <w:highlight w:val="none"/>
          <w:lang w:eastAsia="zh-CN"/>
        </w:rPr>
        <w:t>：</w:t>
      </w:r>
      <w:r>
        <w:rPr>
          <w:rFonts w:hint="eastAsia"/>
          <w:color w:val="auto"/>
          <w:highlight w:val="none"/>
          <w:lang w:val="en-US" w:eastAsia="zh-CN"/>
        </w:rPr>
        <w:t>人民币280万元、</w:t>
      </w:r>
      <w:r>
        <w:rPr>
          <w:rFonts w:hint="eastAsia"/>
          <w:color w:val="auto"/>
          <w:highlight w:val="none"/>
        </w:rPr>
        <w:t>新能源小型货车（厢式）</w:t>
      </w:r>
      <w:r>
        <w:rPr>
          <w:rFonts w:hint="eastAsia"/>
          <w:color w:val="auto"/>
          <w:highlight w:val="none"/>
          <w:lang w:eastAsia="zh-CN"/>
        </w:rPr>
        <w:t>：</w:t>
      </w:r>
      <w:r>
        <w:rPr>
          <w:rFonts w:hint="eastAsia"/>
          <w:color w:val="auto"/>
          <w:highlight w:val="none"/>
          <w:lang w:val="en-US" w:eastAsia="zh-CN"/>
        </w:rPr>
        <w:t>人民币36万元、</w:t>
      </w:r>
      <w:r>
        <w:rPr>
          <w:rFonts w:hint="eastAsia"/>
          <w:color w:val="auto"/>
          <w:highlight w:val="none"/>
        </w:rPr>
        <w:t>电动三轮保洁车</w:t>
      </w:r>
      <w:r>
        <w:rPr>
          <w:rFonts w:hint="eastAsia"/>
          <w:color w:val="auto"/>
          <w:highlight w:val="none"/>
          <w:lang w:eastAsia="zh-CN"/>
        </w:rPr>
        <w:t>：</w:t>
      </w:r>
      <w:r>
        <w:rPr>
          <w:rFonts w:hint="eastAsia"/>
          <w:color w:val="auto"/>
          <w:highlight w:val="none"/>
          <w:lang w:val="en-US" w:eastAsia="zh-CN"/>
        </w:rPr>
        <w:t>人民币235万元、</w:t>
      </w:r>
      <w:r>
        <w:rPr>
          <w:rFonts w:hint="eastAsia"/>
          <w:color w:val="auto"/>
          <w:highlight w:val="none"/>
        </w:rPr>
        <w:t>电动三轮保洁车（挂桶式）</w:t>
      </w:r>
      <w:r>
        <w:rPr>
          <w:rFonts w:hint="eastAsia"/>
          <w:color w:val="auto"/>
          <w:highlight w:val="none"/>
          <w:lang w:eastAsia="zh-CN"/>
        </w:rPr>
        <w:t>：</w:t>
      </w:r>
      <w:r>
        <w:rPr>
          <w:rFonts w:hint="eastAsia"/>
          <w:color w:val="auto"/>
          <w:highlight w:val="none"/>
          <w:lang w:val="en-US" w:eastAsia="zh-CN"/>
        </w:rPr>
        <w:t>人民币135万元、</w:t>
      </w:r>
      <w:r>
        <w:rPr>
          <w:rFonts w:hint="eastAsia"/>
          <w:color w:val="auto"/>
          <w:highlight w:val="none"/>
        </w:rPr>
        <w:t>燃油中型吸污车</w:t>
      </w:r>
      <w:r>
        <w:rPr>
          <w:rFonts w:hint="eastAsia"/>
          <w:color w:val="auto"/>
          <w:highlight w:val="none"/>
          <w:lang w:eastAsia="zh-CN"/>
        </w:rPr>
        <w:t>：</w:t>
      </w:r>
      <w:r>
        <w:rPr>
          <w:rFonts w:hint="eastAsia"/>
          <w:color w:val="auto"/>
          <w:highlight w:val="none"/>
          <w:lang w:val="en-US" w:eastAsia="zh-CN"/>
        </w:rPr>
        <w:t>人民币45万元、</w:t>
      </w:r>
      <w:r>
        <w:rPr>
          <w:rFonts w:hint="eastAsia"/>
          <w:color w:val="auto"/>
          <w:highlight w:val="none"/>
        </w:rPr>
        <w:t>燃油装载机</w:t>
      </w:r>
      <w:r>
        <w:rPr>
          <w:rFonts w:hint="eastAsia"/>
          <w:color w:val="auto"/>
          <w:highlight w:val="none"/>
          <w:lang w:eastAsia="zh-CN"/>
        </w:rPr>
        <w:t>：</w:t>
      </w:r>
      <w:r>
        <w:rPr>
          <w:rFonts w:hint="eastAsia"/>
          <w:color w:val="auto"/>
          <w:highlight w:val="none"/>
          <w:lang w:val="en-US" w:eastAsia="zh-CN"/>
        </w:rPr>
        <w:t>人民币45万元</w:t>
      </w:r>
      <w:r>
        <w:rPr>
          <w:rFonts w:hint="eastAsia" w:ascii="宋体" w:hAnsi="宋体" w:eastAsia="宋体" w:cs="宋体"/>
          <w:b w:val="0"/>
          <w:bCs w:val="0"/>
          <w:color w:val="auto"/>
          <w:highlight w:val="none"/>
          <w:lang w:val="en-US" w:eastAsia="zh-CN"/>
        </w:rPr>
        <w:t>。</w:t>
      </w:r>
      <w:r>
        <w:rPr>
          <w:rFonts w:hint="eastAsia" w:ascii="宋体" w:hAnsi="宋体" w:eastAsia="宋体" w:cs="宋体"/>
          <w:b/>
          <w:color w:val="auto"/>
          <w:szCs w:val="21"/>
          <w:highlight w:val="none"/>
        </w:rPr>
        <w:t>投标人的投标报价或单项报价超过采购预算或单项预算的，将导致其投标被拒绝。</w:t>
      </w:r>
    </w:p>
    <w:p w14:paraId="38A8098C">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8.采购标的对应的中小企业划分标准所属行业名称：</w:t>
      </w:r>
      <w:bookmarkEnd w:id="44"/>
      <w:bookmarkEnd w:id="45"/>
      <w:bookmarkEnd w:id="46"/>
      <w:r>
        <w:rPr>
          <w:rFonts w:hint="eastAsia" w:ascii="宋体" w:hAnsi="宋体" w:eastAsia="宋体" w:cs="宋体"/>
          <w:b/>
          <w:color w:val="auto"/>
          <w:szCs w:val="21"/>
          <w:highlight w:val="none"/>
          <w:u w:val="single"/>
        </w:rPr>
        <w:t>工业*</w:t>
      </w:r>
      <w:r>
        <w:rPr>
          <w:rFonts w:hint="eastAsia" w:ascii="宋体" w:hAnsi="宋体" w:eastAsia="宋体" w:cs="宋体"/>
          <w:b/>
          <w:color w:val="auto"/>
          <w:szCs w:val="21"/>
          <w:highlight w:val="none"/>
        </w:rPr>
        <w:t>。</w:t>
      </w:r>
      <w:bookmarkStart w:id="47" w:name="_Toc176185122"/>
    </w:p>
    <w:tbl>
      <w:tblPr>
        <w:tblStyle w:val="64"/>
        <w:tblW w:w="93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1000"/>
        <w:gridCol w:w="879"/>
        <w:gridCol w:w="6722"/>
      </w:tblGrid>
      <w:tr w14:paraId="2BAA0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 w:hRule="atLeast"/>
          <w:jc w:val="center"/>
        </w:trPr>
        <w:tc>
          <w:tcPr>
            <w:tcW w:w="764" w:type="dxa"/>
            <w:noWrap w:val="0"/>
            <w:vAlign w:val="center"/>
          </w:tcPr>
          <w:p w14:paraId="23994DCA">
            <w:pPr>
              <w:keepNext w:val="0"/>
              <w:keepLines w:val="0"/>
              <w:pageBreakBefore w:val="0"/>
              <w:widowControl/>
              <w:kinsoku/>
              <w:wordWrap/>
              <w:overflowPunct/>
              <w:topLinePunct w:val="0"/>
              <w:autoSpaceDE/>
              <w:autoSpaceDN/>
              <w:bidi w:val="0"/>
              <w:adjustRightInd/>
              <w:spacing w:line="400" w:lineRule="exac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序号</w:t>
            </w:r>
          </w:p>
        </w:tc>
        <w:tc>
          <w:tcPr>
            <w:tcW w:w="1000" w:type="dxa"/>
            <w:noWrap w:val="0"/>
            <w:vAlign w:val="center"/>
          </w:tcPr>
          <w:p w14:paraId="239CA6C0">
            <w:pPr>
              <w:keepNext w:val="0"/>
              <w:keepLines w:val="0"/>
              <w:pageBreakBefore w:val="0"/>
              <w:widowControl/>
              <w:kinsoku/>
              <w:wordWrap/>
              <w:overflowPunct/>
              <w:topLinePunct w:val="0"/>
              <w:autoSpaceDE/>
              <w:autoSpaceDN/>
              <w:bidi w:val="0"/>
              <w:adjustRightInd/>
              <w:spacing w:line="400" w:lineRule="exact"/>
              <w:jc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标的名称</w:t>
            </w:r>
          </w:p>
        </w:tc>
        <w:tc>
          <w:tcPr>
            <w:tcW w:w="879" w:type="dxa"/>
            <w:noWrap w:val="0"/>
            <w:vAlign w:val="center"/>
          </w:tcPr>
          <w:p w14:paraId="758EE843">
            <w:pPr>
              <w:keepNext w:val="0"/>
              <w:keepLines w:val="0"/>
              <w:pageBreakBefore w:val="0"/>
              <w:widowControl/>
              <w:kinsoku/>
              <w:wordWrap/>
              <w:overflowPunct/>
              <w:topLinePunct w:val="0"/>
              <w:autoSpaceDE/>
              <w:autoSpaceDN/>
              <w:bidi w:val="0"/>
              <w:adjustRightInd/>
              <w:spacing w:line="40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数量</w:t>
            </w:r>
            <w:r>
              <w:rPr>
                <w:rFonts w:hint="eastAsia" w:ascii="宋体" w:hAnsi="宋体" w:eastAsia="宋体" w:cs="宋体"/>
                <w:b/>
                <w:bCs/>
                <w:color w:val="auto"/>
                <w:kern w:val="0"/>
                <w:sz w:val="21"/>
                <w:szCs w:val="21"/>
                <w:highlight w:val="none"/>
                <w:lang w:val="en-US" w:eastAsia="zh-CN"/>
              </w:rPr>
              <w:t>及单位</w:t>
            </w:r>
          </w:p>
        </w:tc>
        <w:tc>
          <w:tcPr>
            <w:tcW w:w="6722" w:type="dxa"/>
            <w:noWrap w:val="0"/>
            <w:vAlign w:val="center"/>
          </w:tcPr>
          <w:p w14:paraId="7077C289">
            <w:pPr>
              <w:keepNext w:val="0"/>
              <w:keepLines w:val="0"/>
              <w:pageBreakBefore w:val="0"/>
              <w:widowControl/>
              <w:kinsoku/>
              <w:wordWrap/>
              <w:overflowPunct/>
              <w:topLinePunct w:val="0"/>
              <w:autoSpaceDE/>
              <w:autoSpaceDN/>
              <w:bidi w:val="0"/>
              <w:adjustRightInd/>
              <w:spacing w:line="40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参数要求</w:t>
            </w:r>
          </w:p>
        </w:tc>
      </w:tr>
      <w:tr w14:paraId="5077A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4" w:type="dxa"/>
            <w:noWrap w:val="0"/>
            <w:vAlign w:val="center"/>
          </w:tcPr>
          <w:p w14:paraId="385FE40F">
            <w:pPr>
              <w:keepNext w:val="0"/>
              <w:keepLines w:val="0"/>
              <w:pageBreakBefore w:val="0"/>
              <w:kinsoku/>
              <w:overflowPunct/>
              <w:topLinePunct w:val="0"/>
              <w:autoSpaceDE/>
              <w:autoSpaceDN/>
              <w:bidi w:val="0"/>
              <w:spacing w:line="400" w:lineRule="exact"/>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vertAlign w:val="baseline"/>
                <w:lang w:val="en-US" w:eastAsia="zh-CN"/>
              </w:rPr>
              <w:t>1</w:t>
            </w:r>
          </w:p>
        </w:tc>
        <w:tc>
          <w:tcPr>
            <w:tcW w:w="1000" w:type="dxa"/>
            <w:shd w:val="clear" w:color="auto" w:fill="auto"/>
            <w:noWrap w:val="0"/>
            <w:vAlign w:val="center"/>
          </w:tcPr>
          <w:p w14:paraId="756FA3D3">
            <w:pPr>
              <w:keepNext w:val="0"/>
              <w:keepLines w:val="0"/>
              <w:pageBreakBefore w:val="0"/>
              <w:widowControl/>
              <w:suppressLineNumbers w:val="0"/>
              <w:kinsoku/>
              <w:wordWrap/>
              <w:overflowPunct/>
              <w:topLinePunct w:val="0"/>
              <w:autoSpaceDE/>
              <w:autoSpaceDN/>
              <w:bidi w:val="0"/>
              <w:snapToGrid/>
              <w:spacing w:line="37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新能源3吨压缩车</w:t>
            </w:r>
          </w:p>
        </w:tc>
        <w:tc>
          <w:tcPr>
            <w:tcW w:w="879" w:type="dxa"/>
            <w:shd w:val="clear" w:color="auto" w:fill="auto"/>
            <w:noWrap w:val="0"/>
            <w:vAlign w:val="center"/>
          </w:tcPr>
          <w:p w14:paraId="30D21883">
            <w:pPr>
              <w:keepNext w:val="0"/>
              <w:keepLines w:val="0"/>
              <w:pageBreakBefore w:val="0"/>
              <w:widowControl/>
              <w:suppressLineNumbers w:val="0"/>
              <w:kinsoku/>
              <w:wordWrap/>
              <w:overflowPunct/>
              <w:topLinePunct w:val="0"/>
              <w:autoSpaceDE/>
              <w:autoSpaceDN/>
              <w:bidi w:val="0"/>
              <w:snapToGrid/>
              <w:spacing w:line="37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12辆</w:t>
            </w:r>
          </w:p>
        </w:tc>
        <w:tc>
          <w:tcPr>
            <w:tcW w:w="6722" w:type="dxa"/>
            <w:shd w:val="clear" w:color="auto" w:fill="auto"/>
            <w:noWrap w:val="0"/>
            <w:vAlign w:val="top"/>
          </w:tcPr>
          <w:p w14:paraId="3CD40B4B">
            <w:pPr>
              <w:keepNext w:val="0"/>
              <w:keepLines w:val="0"/>
              <w:pageBreakBefore w:val="0"/>
              <w:widowControl w:val="0"/>
              <w:kinsoku/>
              <w:wordWrap/>
              <w:overflowPunct/>
              <w:topLinePunct w:val="0"/>
              <w:autoSpaceDE/>
              <w:autoSpaceDN/>
              <w:bidi w:val="0"/>
              <w:adjustRightInd w:val="0"/>
              <w:snapToGrid/>
              <w:spacing w:line="370" w:lineRule="exac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一、主要技术要求</w:t>
            </w:r>
          </w:p>
          <w:p w14:paraId="0A429055">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1.总质量(kg)：</w:t>
            </w:r>
            <w:r>
              <w:rPr>
                <w:rFonts w:hint="eastAsia" w:ascii="宋体" w:hAnsi="宋体" w:eastAsia="宋体" w:cs="宋体"/>
                <w:color w:val="auto"/>
                <w:sz w:val="21"/>
                <w:szCs w:val="21"/>
                <w:highlight w:val="none"/>
              </w:rPr>
              <w:t>999</w:t>
            </w:r>
            <w:r>
              <w:rPr>
                <w:rFonts w:hint="eastAsia" w:ascii="宋体" w:hAnsi="宋体" w:eastAsia="宋体" w:cs="宋体"/>
                <w:color w:val="auto"/>
                <w:sz w:val="21"/>
                <w:szCs w:val="21"/>
                <w:highlight w:val="none"/>
                <w:lang w:val="en-US" w:eastAsia="zh-CN"/>
              </w:rPr>
              <w:t>0-11000。</w:t>
            </w:r>
          </w:p>
          <w:p w14:paraId="176F0C16">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2.整备质量(kg)：≤7000。</w:t>
            </w:r>
          </w:p>
          <w:p w14:paraId="6EF75480">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3.额定载质量(kg)：≥3000。</w:t>
            </w:r>
          </w:p>
          <w:p w14:paraId="4A1B6A62">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5.车辆外形尺寸(mm)：≥6500×2100×2500。</w:t>
            </w:r>
          </w:p>
          <w:p w14:paraId="09D82F40">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6.轴距(mm)：≥3300。</w:t>
            </w:r>
          </w:p>
          <w:p w14:paraId="3DB65023">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8.驾驶室准乘人数：≥3。</w:t>
            </w:r>
          </w:p>
          <w:p w14:paraId="4C139843">
            <w:pPr>
              <w:keepNext w:val="0"/>
              <w:keepLines w:val="0"/>
              <w:pageBreakBefore w:val="0"/>
              <w:widowControl w:val="0"/>
              <w:kinsoku/>
              <w:wordWrap/>
              <w:overflowPunct/>
              <w:topLinePunct w:val="0"/>
              <w:autoSpaceDE/>
              <w:autoSpaceDN/>
              <w:bidi w:val="0"/>
              <w:adjustRightInd w:val="0"/>
              <w:snapToGrid/>
              <w:spacing w:line="370" w:lineRule="exac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二、新能源电池电机要求</w:t>
            </w:r>
          </w:p>
          <w:p w14:paraId="03703A57">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1.底盘电机类型：永磁同步电机。</w:t>
            </w:r>
          </w:p>
          <w:p w14:paraId="0D30F754">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2.电池种类：磷酸铁锂电池。</w:t>
            </w:r>
          </w:p>
          <w:p w14:paraId="42B96F7A">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3.电池及管理系统要求：采用原装电池包和原装BMS系统。</w:t>
            </w:r>
          </w:p>
          <w:p w14:paraId="07BF838E">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4.电池总储电量(kwh)：≥160。</w:t>
            </w:r>
          </w:p>
          <w:p w14:paraId="66EF89DD">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5.底盘电机额定功率(kW)：≥50。</w:t>
            </w:r>
          </w:p>
          <w:p w14:paraId="51043B84">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6.底盘电机峰值功率(kW)：≥120。</w:t>
            </w:r>
          </w:p>
          <w:p w14:paraId="3991183D">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7.续航里程（等速法）(km)：≥400。</w:t>
            </w:r>
          </w:p>
          <w:p w14:paraId="698F299B">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8.充电要求：支持直流快充。</w:t>
            </w:r>
          </w:p>
          <w:p w14:paraId="629BB163">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9.</w:t>
            </w:r>
            <w:r>
              <w:rPr>
                <w:rFonts w:hint="eastAsia" w:ascii="宋体" w:hAnsi="宋体" w:cs="宋体"/>
                <w:color w:val="auto"/>
                <w:sz w:val="21"/>
                <w:szCs w:val="21"/>
                <w:highlight w:val="none"/>
                <w:lang w:val="en-US" w:eastAsia="zh-CN"/>
              </w:rPr>
              <w:t>电池质保：8年或40万公里（先到者为准，衰减度在30%以内）。</w:t>
            </w:r>
          </w:p>
          <w:p w14:paraId="44C2BA3D">
            <w:pPr>
              <w:keepNext w:val="0"/>
              <w:keepLines w:val="0"/>
              <w:pageBreakBefore w:val="0"/>
              <w:widowControl w:val="0"/>
              <w:kinsoku/>
              <w:wordWrap/>
              <w:overflowPunct/>
              <w:topLinePunct w:val="0"/>
              <w:autoSpaceDE/>
              <w:autoSpaceDN/>
              <w:bidi w:val="0"/>
              <w:adjustRightInd w:val="0"/>
              <w:snapToGrid/>
              <w:spacing w:line="370" w:lineRule="exac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三、主要性能要求</w:t>
            </w:r>
          </w:p>
          <w:p w14:paraId="4BE91807">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1.压缩循环时间(s)：≤13。</w:t>
            </w:r>
          </w:p>
          <w:p w14:paraId="6BE47B0E">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2.上料方式：翻桶型。</w:t>
            </w:r>
          </w:p>
          <w:p w14:paraId="3A37D2F4">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3.垃圾箱有效容积(m</w:t>
            </w:r>
            <w:r>
              <w:rPr>
                <w:rFonts w:hint="eastAsia" w:ascii="宋体" w:hAnsi="宋体" w:eastAsia="宋体" w:cs="宋体"/>
                <w:color w:val="auto"/>
                <w:sz w:val="21"/>
                <w:szCs w:val="21"/>
                <w:highlight w:val="none"/>
                <w:vertAlign w:val="superscript"/>
                <w:lang w:val="en-US" w:eastAsia="zh-CN"/>
              </w:rPr>
              <w:t>3</w:t>
            </w:r>
            <w:r>
              <w:rPr>
                <w:rFonts w:hint="eastAsia" w:ascii="宋体" w:hAnsi="宋体" w:eastAsia="宋体" w:cs="宋体"/>
                <w:color w:val="auto"/>
                <w:sz w:val="21"/>
                <w:szCs w:val="21"/>
                <w:highlight w:val="none"/>
                <w:lang w:val="en-US" w:eastAsia="zh-CN"/>
              </w:rPr>
              <w:t>)：≥6.8。</w:t>
            </w:r>
          </w:p>
          <w:p w14:paraId="4FA23C93">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4.污水箱总容积(L)：≥100。</w:t>
            </w:r>
          </w:p>
          <w:p w14:paraId="17DADB3D">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5.采用双向压缩技术，压缩能力强。</w:t>
            </w:r>
          </w:p>
          <w:p w14:paraId="412DAE1A">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6.液压系统需采用双联油泵，压填循环和上料循环联动互不影响。</w:t>
            </w:r>
          </w:p>
          <w:p w14:paraId="1D2A20DA">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7.垃圾箱内腔关键部位采用耐腐蚀性强的耐候钢，材质不低于09CuPCrNiA，适用于腐蚀性作业环境。</w:t>
            </w:r>
          </w:p>
          <w:p w14:paraId="05D305F2">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8.填装器底部需设计有污水箱，提高设备的污水储存能力。</w:t>
            </w:r>
          </w:p>
          <w:p w14:paraId="4AA24E73">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9.设置有填装器盖，用于遮挡填装斗，防止垃圾散落及臭气外泄的部件。</w:t>
            </w:r>
          </w:p>
          <w:p w14:paraId="76F554B4">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10.配置有硫化橡胶的挡桶杆，在上料机构翻桶到位的时候，可缓冲垃圾桶和挡桶杆的碰撞，降低冲击噪声，同时防止塑料垃圾桶在倾翻到位惯性作用下发生脆断或掉入填装斗内的情况。</w:t>
            </w:r>
          </w:p>
          <w:p w14:paraId="47E0464E">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11.采用铝合金材质的侧护栏，整体强度高，而且可以实现全回收，杜绝资源浪费和环境污染。</w:t>
            </w:r>
          </w:p>
          <w:p w14:paraId="0C544CC5">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12.采用独立油缸控制的可调式锁紧机构对填装器进行锁紧。同时采用马蹄形结构的硅胶密封条，形成三道密封面，且密封条布满填装器四周，确保填装器与垃圾箱的结合面四周全密封，有效杜绝二次污染。</w:t>
            </w:r>
          </w:p>
          <w:p w14:paraId="4260BBB1">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在驾驶室内和填装器尾部需分别安装有作业操控盒，驾驶室内的控制面板可控制推铲卸料和选择操作模式，填装器尾部的作业操控盒可控制压缩机构和上料机构的作业。在垃圾填埋场，作业人员无须下车即可完成卸料。</w:t>
            </w:r>
          </w:p>
          <w:p w14:paraId="402D69FD">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14.上料机构、压缩机构运动铰点处装有自润滑轴承，降低轴孔处的磨损。</w:t>
            </w:r>
          </w:p>
          <w:p w14:paraId="6BB9BE27">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15.需采用“CAN总线+专用控制器模式”，并设置有保险继电器盒，有效保护电路。</w:t>
            </w:r>
          </w:p>
          <w:p w14:paraId="1718021C">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16.垃圾箱侧面需设有维修安全按钮，防止填装器举升后误操作导致填装器下降威胁到人身安全。</w:t>
            </w:r>
          </w:p>
          <w:p w14:paraId="2F7B1A41">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17.需配备声音报警系统，能在卸料和维护作业时发出声音警示，提示操作人员谨慎操作。</w:t>
            </w:r>
          </w:p>
          <w:p w14:paraId="2E318E46">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18.填装器举升油缸需设计有安全阀，即使油管爆裂，压填机构也不会突然下降造成恶性事故。</w:t>
            </w:r>
          </w:p>
          <w:p w14:paraId="22EEA84D">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19.填装器上需设有安全撑杆，避免下降伤人。</w:t>
            </w:r>
          </w:p>
          <w:p w14:paraId="3833031B">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20.垃圾箱厚度≥3mm，垃圾箱底板采用耐候钢材质不低于09CuPCrNiA，其余材质不低于Q355B。</w:t>
            </w:r>
          </w:p>
          <w:p w14:paraId="0736A30A">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21.填装器斗底板、斗弧板厚度≥8mm，下侧板厚度≥4mm，上侧板厚度≥3mm，材质不低于Q355B。</w:t>
            </w:r>
          </w:p>
        </w:tc>
      </w:tr>
      <w:tr w14:paraId="048D5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764" w:type="dxa"/>
            <w:noWrap w:val="0"/>
            <w:vAlign w:val="center"/>
          </w:tcPr>
          <w:p w14:paraId="1C74B927">
            <w:pPr>
              <w:keepNext w:val="0"/>
              <w:keepLines w:val="0"/>
              <w:pageBreakBefore w:val="0"/>
              <w:kinsoku/>
              <w:overflowPunct/>
              <w:topLinePunct w:val="0"/>
              <w:autoSpaceDE/>
              <w:autoSpaceDN/>
              <w:bidi w:val="0"/>
              <w:spacing w:line="400" w:lineRule="exact"/>
              <w:jc w:val="center"/>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2</w:t>
            </w:r>
          </w:p>
        </w:tc>
        <w:tc>
          <w:tcPr>
            <w:tcW w:w="1000" w:type="dxa"/>
            <w:shd w:val="clear" w:color="auto" w:fill="auto"/>
            <w:noWrap w:val="0"/>
            <w:vAlign w:val="center"/>
          </w:tcPr>
          <w:p w14:paraId="7B1BDE28">
            <w:pPr>
              <w:keepNext w:val="0"/>
              <w:keepLines w:val="0"/>
              <w:pageBreakBefore w:val="0"/>
              <w:widowControl/>
              <w:suppressLineNumbers w:val="0"/>
              <w:kinsoku/>
              <w:wordWrap/>
              <w:overflowPunct/>
              <w:topLinePunct w:val="0"/>
              <w:autoSpaceDE/>
              <w:autoSpaceDN/>
              <w:bidi w:val="0"/>
              <w:snapToGrid/>
              <w:spacing w:line="37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新能源12吨压缩车</w:t>
            </w:r>
          </w:p>
        </w:tc>
        <w:tc>
          <w:tcPr>
            <w:tcW w:w="879" w:type="dxa"/>
            <w:shd w:val="clear" w:color="auto" w:fill="auto"/>
            <w:noWrap w:val="0"/>
            <w:vAlign w:val="center"/>
          </w:tcPr>
          <w:p w14:paraId="4EE620BD">
            <w:pPr>
              <w:keepNext w:val="0"/>
              <w:keepLines w:val="0"/>
              <w:pageBreakBefore w:val="0"/>
              <w:widowControl/>
              <w:suppressLineNumbers w:val="0"/>
              <w:kinsoku/>
              <w:wordWrap/>
              <w:overflowPunct/>
              <w:topLinePunct w:val="0"/>
              <w:autoSpaceDE/>
              <w:autoSpaceDN/>
              <w:bidi w:val="0"/>
              <w:snapToGrid/>
              <w:spacing w:line="37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6辆</w:t>
            </w:r>
          </w:p>
        </w:tc>
        <w:tc>
          <w:tcPr>
            <w:tcW w:w="6722" w:type="dxa"/>
            <w:shd w:val="clear" w:color="auto" w:fill="auto"/>
            <w:noWrap w:val="0"/>
            <w:vAlign w:val="top"/>
          </w:tcPr>
          <w:p w14:paraId="1827EC78">
            <w:pPr>
              <w:keepNext w:val="0"/>
              <w:keepLines w:val="0"/>
              <w:pageBreakBefore w:val="0"/>
              <w:widowControl w:val="0"/>
              <w:kinsoku/>
              <w:wordWrap/>
              <w:overflowPunct/>
              <w:topLinePunct w:val="0"/>
              <w:autoSpaceDE/>
              <w:autoSpaceDN/>
              <w:bidi w:val="0"/>
              <w:adjustRightInd w:val="0"/>
              <w:snapToGrid/>
              <w:spacing w:line="370" w:lineRule="exact"/>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一、主要技术要求</w:t>
            </w:r>
          </w:p>
          <w:p w14:paraId="0EA6D9E2">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▲1.总质量(kg)：≥30000。</w:t>
            </w:r>
          </w:p>
          <w:p w14:paraId="6B4BFD96">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▲2.整备质量(kg)：≤20000。</w:t>
            </w:r>
          </w:p>
          <w:p w14:paraId="7921A159">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◆3.额定载质量(kg)：≥11800。</w:t>
            </w:r>
          </w:p>
          <w:p w14:paraId="6BE1131D">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4.外型尺寸（长×宽×高(mm)）：≥11000×2500×3300。</w:t>
            </w:r>
          </w:p>
          <w:p w14:paraId="64448578">
            <w:pPr>
              <w:keepNext w:val="0"/>
              <w:keepLines w:val="0"/>
              <w:pageBreakBefore w:val="0"/>
              <w:widowControl w:val="0"/>
              <w:kinsoku/>
              <w:wordWrap/>
              <w:overflowPunct/>
              <w:topLinePunct w:val="0"/>
              <w:autoSpaceDE/>
              <w:autoSpaceDN/>
              <w:bidi w:val="0"/>
              <w:adjustRightInd w:val="0"/>
              <w:snapToGrid/>
              <w:spacing w:line="370" w:lineRule="exac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二、新能源电池电机要求</w:t>
            </w:r>
          </w:p>
          <w:p w14:paraId="0B19FE7D">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1.底盘电机类型：永磁同步电机。</w:t>
            </w:r>
          </w:p>
          <w:p w14:paraId="052F2C26">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2.电池种类：磷酸铁锂电池。</w:t>
            </w:r>
          </w:p>
          <w:p w14:paraId="6B7D4FE9">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3.电池及管理系统要求：采用原装电池包和原装BMS系统。</w:t>
            </w:r>
          </w:p>
          <w:p w14:paraId="4DA01C91">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4.电池总储电量(kwh)：≥350。</w:t>
            </w:r>
          </w:p>
          <w:p w14:paraId="1939E18E">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5.底盘电机额定功率(kW)：≥250。</w:t>
            </w:r>
          </w:p>
          <w:p w14:paraId="73BEAA43">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6.底盘电机峰值功率(kW)：≥350。</w:t>
            </w:r>
          </w:p>
          <w:p w14:paraId="6A4594D4">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7.续航里程（等速法）</w:t>
            </w:r>
            <w:r>
              <w:rPr>
                <w:rFonts w:hint="eastAsia" w:ascii="宋体" w:hAnsi="宋体" w:eastAsia="宋体" w:cs="宋体"/>
                <w:color w:val="auto"/>
                <w:sz w:val="21"/>
                <w:szCs w:val="21"/>
                <w:highlight w:val="none"/>
              </w:rPr>
              <w:t>(km)</w:t>
            </w:r>
            <w:r>
              <w:rPr>
                <w:rFonts w:hint="eastAsia" w:ascii="宋体" w:hAnsi="宋体" w:eastAsia="宋体" w:cs="宋体"/>
                <w:color w:val="auto"/>
                <w:sz w:val="21"/>
                <w:szCs w:val="21"/>
                <w:highlight w:val="none"/>
                <w:lang w:val="en-US" w:eastAsia="zh-CN"/>
              </w:rPr>
              <w:t>：≥270。</w:t>
            </w:r>
          </w:p>
          <w:p w14:paraId="40CEA433">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8.充电要求：支持直流快充。</w:t>
            </w:r>
          </w:p>
          <w:p w14:paraId="38571899">
            <w:pPr>
              <w:keepNext w:val="0"/>
              <w:keepLines w:val="0"/>
              <w:pageBreakBefore w:val="0"/>
              <w:widowControl w:val="0"/>
              <w:kinsoku/>
              <w:wordWrap/>
              <w:overflowPunct/>
              <w:topLinePunct w:val="0"/>
              <w:autoSpaceDE/>
              <w:autoSpaceDN/>
              <w:bidi w:val="0"/>
              <w:adjustRightInd w:val="0"/>
              <w:snapToGrid/>
              <w:spacing w:line="370" w:lineRule="exact"/>
              <w:ind w:firstLine="562"/>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9.电池质保：8年或40万公里（先到者为准，衰减度在30%以内）。</w:t>
            </w:r>
          </w:p>
          <w:p w14:paraId="4D4B7E22">
            <w:pPr>
              <w:keepNext w:val="0"/>
              <w:keepLines w:val="0"/>
              <w:pageBreakBefore w:val="0"/>
              <w:widowControl w:val="0"/>
              <w:kinsoku/>
              <w:wordWrap/>
              <w:overflowPunct/>
              <w:topLinePunct w:val="0"/>
              <w:autoSpaceDE/>
              <w:autoSpaceDN/>
              <w:bidi w:val="0"/>
              <w:adjustRightInd w:val="0"/>
              <w:snapToGrid/>
              <w:spacing w:line="370" w:lineRule="exac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三、主要性能要求</w:t>
            </w:r>
          </w:p>
          <w:p w14:paraId="7A5AB080">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1.压填工作循环时间(s)：≤30。</w:t>
            </w:r>
          </w:p>
          <w:p w14:paraId="3FC097D0">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2.上料方式：翻斗型。</w:t>
            </w:r>
          </w:p>
          <w:p w14:paraId="0D472478">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3.卸料时间(s)：≤55。</w:t>
            </w:r>
          </w:p>
          <w:p w14:paraId="388833DF">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4.垃圾箱有效容积(m3)：≥20。</w:t>
            </w:r>
          </w:p>
          <w:p w14:paraId="2F327721">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5.污水箱总容积(L)：≥500。</w:t>
            </w:r>
          </w:p>
          <w:p w14:paraId="3022564D">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6.需采用双向压缩技术，压缩能力强。</w:t>
            </w:r>
          </w:p>
          <w:p w14:paraId="158BA52B">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7.液压系统需采用双联油泵，压填循环和上料循环联动互不影响。</w:t>
            </w:r>
          </w:p>
          <w:p w14:paraId="21811180">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8.车辆需配有推铲结构，布置在垃圾箱内部，在液压油缸驱动下沿垃圾箱轨道滑动，完成卸料作业。</w:t>
            </w:r>
          </w:p>
          <w:p w14:paraId="3AB59732">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9.垃圾箱关键部位需采用耐腐蚀性强的耐候钢，材质不低于09CuPCrNiA，耐腐蚀能力强。</w:t>
            </w:r>
          </w:p>
          <w:p w14:paraId="17D15380">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val="zh-CN" w:eastAsia="zh-CN"/>
              </w:rPr>
              <w:t>填装器底部需设计有污水箱，提高产品储存污水能力。</w:t>
            </w:r>
          </w:p>
          <w:p w14:paraId="3D3FAAED">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11.采用独立油缸控制的可调式锁紧机构，对填装器进行锁紧。</w:t>
            </w:r>
          </w:p>
          <w:p w14:paraId="2C81ED56">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12.采用马蹄形结构的硅胶密封条，形成三道密封面，且密封条布满填装器四周，确保填装器与垃圾箱的结合面四周全密封，有效杜绝二次污染。</w:t>
            </w:r>
          </w:p>
          <w:p w14:paraId="172972BA">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13.上料机构、压缩机构的运动铰点处需装有自润滑轴承，降低轴孔处的磨损。</w:t>
            </w:r>
          </w:p>
          <w:p w14:paraId="57DBE9BE">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14.填装器滑板滑块需采用整体式滑块结构，滑块材料选用高耐磨MC尼龙，具有自润滑功能和自排除垃圾能力。</w:t>
            </w:r>
          </w:p>
          <w:p w14:paraId="27F36337">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在驾驶室内和填装器尾部需分别安装有作业操控盒，驾驶室内的控制面板可控制推铲卸料和选择操作模式，填装器尾部的作业操控盒则控制压缩机构和上料机构的作业；在垃圾填埋场，作业人员无须下车即可完成卸料。</w:t>
            </w:r>
          </w:p>
          <w:p w14:paraId="781C5741">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16.采用“CAN总线+专用控制器模式”，并设置有保险继电器盒，有效保护电路。</w:t>
            </w:r>
          </w:p>
          <w:p w14:paraId="6EA47930">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17.需配备声音报警系统，能在卸料和维护作业时发出声音警示，提示操作人员谨慎操作。</w:t>
            </w:r>
          </w:p>
          <w:p w14:paraId="032DC2A2">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18.填装器上需设有安全撑杆，避免压填机构下降伤人。</w:t>
            </w:r>
          </w:p>
          <w:p w14:paraId="7787CDD5">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19.填装器举升油缸设计有平衡阀，即使油管爆裂，填装器也不会突然下降造成恶性事故。</w:t>
            </w:r>
          </w:p>
          <w:p w14:paraId="525A50D5">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20.垃圾箱厚度≥4mm，垃圾箱底板采用耐候钢材质不低于09CuPCrNiA；其余材质不低于Q355B。</w:t>
            </w:r>
          </w:p>
          <w:p w14:paraId="72A0C934">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21.填装器斗底板、斗弧板≥8mm，下侧板≥5mm，上侧板≥4mm，材质不低于Q355B。</w:t>
            </w:r>
          </w:p>
        </w:tc>
      </w:tr>
      <w:tr w14:paraId="31DD3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764" w:type="dxa"/>
            <w:noWrap w:val="0"/>
            <w:vAlign w:val="center"/>
          </w:tcPr>
          <w:p w14:paraId="09089F01">
            <w:pPr>
              <w:keepNext w:val="0"/>
              <w:keepLines w:val="0"/>
              <w:pageBreakBefore w:val="0"/>
              <w:kinsoku/>
              <w:overflowPunct/>
              <w:topLinePunct w:val="0"/>
              <w:autoSpaceDE/>
              <w:autoSpaceDN/>
              <w:bidi w:val="0"/>
              <w:spacing w:line="400" w:lineRule="exact"/>
              <w:jc w:val="center"/>
              <w:rPr>
                <w:rFonts w:hint="default" w:ascii="宋体" w:hAnsi="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3</w:t>
            </w:r>
          </w:p>
        </w:tc>
        <w:tc>
          <w:tcPr>
            <w:tcW w:w="1000" w:type="dxa"/>
            <w:shd w:val="clear" w:color="auto" w:fill="auto"/>
            <w:noWrap w:val="0"/>
            <w:vAlign w:val="center"/>
          </w:tcPr>
          <w:p w14:paraId="7BD1FAF8">
            <w:pPr>
              <w:keepNext w:val="0"/>
              <w:keepLines w:val="0"/>
              <w:pageBreakBefore w:val="0"/>
              <w:widowControl/>
              <w:suppressLineNumbers w:val="0"/>
              <w:kinsoku/>
              <w:wordWrap/>
              <w:overflowPunct/>
              <w:topLinePunct w:val="0"/>
              <w:autoSpaceDE/>
              <w:autoSpaceDN/>
              <w:bidi w:val="0"/>
              <w:snapToGrid/>
              <w:spacing w:line="37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新能源小型扫路车</w:t>
            </w:r>
          </w:p>
        </w:tc>
        <w:tc>
          <w:tcPr>
            <w:tcW w:w="879" w:type="dxa"/>
            <w:shd w:val="clear" w:color="auto" w:fill="auto"/>
            <w:noWrap w:val="0"/>
            <w:vAlign w:val="center"/>
          </w:tcPr>
          <w:p w14:paraId="27FFC1EC">
            <w:pPr>
              <w:keepNext w:val="0"/>
              <w:keepLines w:val="0"/>
              <w:pageBreakBefore w:val="0"/>
              <w:widowControl/>
              <w:suppressLineNumbers w:val="0"/>
              <w:kinsoku/>
              <w:wordWrap/>
              <w:overflowPunct/>
              <w:topLinePunct w:val="0"/>
              <w:autoSpaceDE/>
              <w:autoSpaceDN/>
              <w:bidi w:val="0"/>
              <w:snapToGrid/>
              <w:spacing w:line="37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12辆</w:t>
            </w:r>
          </w:p>
        </w:tc>
        <w:tc>
          <w:tcPr>
            <w:tcW w:w="6722" w:type="dxa"/>
            <w:shd w:val="clear" w:color="auto" w:fill="auto"/>
            <w:noWrap w:val="0"/>
            <w:vAlign w:val="top"/>
          </w:tcPr>
          <w:p w14:paraId="77FDD196">
            <w:pPr>
              <w:keepNext w:val="0"/>
              <w:keepLines w:val="0"/>
              <w:pageBreakBefore w:val="0"/>
              <w:widowControl w:val="0"/>
              <w:numPr>
                <w:ilvl w:val="0"/>
                <w:numId w:val="0"/>
              </w:numPr>
              <w:kinsoku/>
              <w:wordWrap/>
              <w:overflowPunct/>
              <w:topLinePunct w:val="0"/>
              <w:autoSpaceDE/>
              <w:autoSpaceDN/>
              <w:bidi w:val="0"/>
              <w:adjustRightInd w:val="0"/>
              <w:snapToGrid/>
              <w:spacing w:line="370" w:lineRule="exact"/>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一、主要技术要求</w:t>
            </w:r>
          </w:p>
          <w:p w14:paraId="3DEEB814">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▲1.总质量(kg)</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3100。</w:t>
            </w:r>
          </w:p>
          <w:p w14:paraId="200B0E9D">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额定载质量(kg)</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≥450</w:t>
            </w:r>
            <w:r>
              <w:rPr>
                <w:rFonts w:hint="eastAsia" w:ascii="宋体" w:hAnsi="宋体" w:eastAsia="宋体" w:cs="宋体"/>
                <w:color w:val="auto"/>
                <w:sz w:val="21"/>
                <w:szCs w:val="21"/>
                <w:highlight w:val="none"/>
                <w:lang w:eastAsia="zh-CN"/>
              </w:rPr>
              <w:t>。</w:t>
            </w:r>
          </w:p>
          <w:p w14:paraId="432665B0">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整备质量(kg)</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2400。</w:t>
            </w:r>
          </w:p>
          <w:p w14:paraId="4987531B">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外形尺寸：</w:t>
            </w:r>
            <w:r>
              <w:rPr>
                <w:rFonts w:hint="eastAsia" w:ascii="宋体" w:hAnsi="宋体" w:eastAsia="宋体" w:cs="宋体"/>
                <w:color w:val="auto"/>
                <w:sz w:val="21"/>
                <w:szCs w:val="21"/>
                <w:highlight w:val="none"/>
              </w:rPr>
              <w:t>长×宽×高(mm)</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≥4100×1400×2000</w:t>
            </w:r>
            <w:r>
              <w:rPr>
                <w:rFonts w:hint="eastAsia" w:ascii="宋体" w:hAnsi="宋体" w:eastAsia="宋体" w:cs="宋体"/>
                <w:color w:val="auto"/>
                <w:sz w:val="21"/>
                <w:szCs w:val="21"/>
                <w:highlight w:val="none"/>
                <w:lang w:eastAsia="zh-CN"/>
              </w:rPr>
              <w:t>。</w:t>
            </w:r>
          </w:p>
          <w:p w14:paraId="4D14B8FA">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前悬/后悬（mm）：≤1090/1600</w:t>
            </w:r>
            <w:r>
              <w:rPr>
                <w:rFonts w:hint="eastAsia" w:ascii="宋体" w:hAnsi="宋体" w:eastAsia="宋体" w:cs="宋体"/>
                <w:color w:val="auto"/>
                <w:sz w:val="21"/>
                <w:szCs w:val="21"/>
                <w:highlight w:val="none"/>
                <w:lang w:eastAsia="zh-CN"/>
              </w:rPr>
              <w:t>。</w:t>
            </w:r>
          </w:p>
          <w:p w14:paraId="50D33AF6">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接近角/离去角（°）：≥11/11</w:t>
            </w:r>
            <w:r>
              <w:rPr>
                <w:rFonts w:hint="eastAsia" w:ascii="宋体" w:hAnsi="宋体" w:eastAsia="宋体" w:cs="宋体"/>
                <w:color w:val="auto"/>
                <w:sz w:val="21"/>
                <w:szCs w:val="21"/>
                <w:highlight w:val="none"/>
                <w:lang w:eastAsia="zh-CN"/>
              </w:rPr>
              <w:t>。</w:t>
            </w:r>
          </w:p>
          <w:p w14:paraId="2DDD2C43">
            <w:pPr>
              <w:keepNext w:val="0"/>
              <w:keepLines w:val="0"/>
              <w:pageBreakBefore w:val="0"/>
              <w:widowControl w:val="0"/>
              <w:kinsoku/>
              <w:wordWrap/>
              <w:overflowPunct/>
              <w:topLinePunct w:val="0"/>
              <w:autoSpaceDE/>
              <w:autoSpaceDN/>
              <w:bidi w:val="0"/>
              <w:adjustRightInd w:val="0"/>
              <w:snapToGrid/>
              <w:spacing w:line="370" w:lineRule="exac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二、新能源电池电机要求</w:t>
            </w:r>
          </w:p>
          <w:p w14:paraId="03156073">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1.底盘驱动电机型式及冷却方式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永磁同步电机/水冷</w:t>
            </w:r>
            <w:r>
              <w:rPr>
                <w:rFonts w:hint="eastAsia" w:ascii="宋体" w:hAnsi="宋体" w:eastAsia="宋体" w:cs="宋体"/>
                <w:color w:val="auto"/>
                <w:sz w:val="21"/>
                <w:szCs w:val="21"/>
                <w:highlight w:val="none"/>
                <w:lang w:eastAsia="zh-CN"/>
              </w:rPr>
              <w:t>。</w:t>
            </w:r>
          </w:p>
          <w:p w14:paraId="121D9F52">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2.电池种类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磷酸铁锂电池</w:t>
            </w:r>
            <w:r>
              <w:rPr>
                <w:rFonts w:hint="eastAsia" w:ascii="宋体" w:hAnsi="宋体" w:eastAsia="宋体" w:cs="宋体"/>
                <w:color w:val="auto"/>
                <w:sz w:val="21"/>
                <w:szCs w:val="21"/>
                <w:highlight w:val="none"/>
                <w:lang w:eastAsia="zh-CN"/>
              </w:rPr>
              <w:t>。</w:t>
            </w:r>
          </w:p>
          <w:p w14:paraId="14E89340">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▲3.电池及管理系统要求：采用原装电池包和原装BMS系统。</w:t>
            </w:r>
          </w:p>
          <w:p w14:paraId="562048B5">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4.底盘电池、驱动电机、电控系统防护等级</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性能同等于或优于</w:t>
            </w:r>
            <w:r>
              <w:rPr>
                <w:rFonts w:hint="eastAsia" w:ascii="宋体" w:hAnsi="宋体" w:eastAsia="宋体" w:cs="宋体"/>
                <w:color w:val="auto"/>
                <w:sz w:val="21"/>
                <w:szCs w:val="21"/>
                <w:highlight w:val="none"/>
              </w:rPr>
              <w:t>IP67</w:t>
            </w:r>
            <w:r>
              <w:rPr>
                <w:rFonts w:hint="eastAsia" w:ascii="宋体" w:hAnsi="宋体" w:eastAsia="宋体" w:cs="宋体"/>
                <w:color w:val="auto"/>
                <w:sz w:val="21"/>
                <w:szCs w:val="21"/>
                <w:highlight w:val="none"/>
                <w:lang w:eastAsia="zh-CN"/>
              </w:rPr>
              <w:t>。</w:t>
            </w:r>
          </w:p>
          <w:p w14:paraId="7541981C">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5.储能装置总储电量（kWh）</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38。</w:t>
            </w:r>
          </w:p>
          <w:p w14:paraId="4F047A4F">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6.底盘驱动电机额定功率（kw）</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0。</w:t>
            </w:r>
          </w:p>
          <w:p w14:paraId="21B2725A">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▲7.底盘驱动电机峰值功率（kw）</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lang w:eastAsia="zh-CN"/>
              </w:rPr>
              <w:t>。</w:t>
            </w:r>
          </w:p>
          <w:p w14:paraId="7FBE0CCA">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上装驱动电机额定功率（kw）：≥10</w:t>
            </w:r>
            <w:r>
              <w:rPr>
                <w:rFonts w:hint="eastAsia" w:ascii="宋体" w:hAnsi="宋体" w:eastAsia="宋体" w:cs="宋体"/>
                <w:color w:val="auto"/>
                <w:sz w:val="21"/>
                <w:szCs w:val="21"/>
                <w:highlight w:val="none"/>
                <w:lang w:eastAsia="zh-CN"/>
              </w:rPr>
              <w:t>。</w:t>
            </w:r>
          </w:p>
          <w:p w14:paraId="47ED841F">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9.充电要求：支持直流快充。</w:t>
            </w:r>
          </w:p>
          <w:p w14:paraId="2CD4D21F">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10.</w:t>
            </w:r>
            <w:r>
              <w:rPr>
                <w:rFonts w:hint="eastAsia" w:ascii="宋体" w:hAnsi="宋体" w:cs="宋体"/>
                <w:color w:val="auto"/>
                <w:sz w:val="21"/>
                <w:szCs w:val="21"/>
                <w:highlight w:val="none"/>
                <w:lang w:val="en-US" w:eastAsia="zh-CN"/>
              </w:rPr>
              <w:t>电池质保：8年或40万公里（先到者为准，衰减度在30%以内）。</w:t>
            </w:r>
          </w:p>
          <w:p w14:paraId="273CB2AE">
            <w:pPr>
              <w:keepNext w:val="0"/>
              <w:keepLines w:val="0"/>
              <w:pageBreakBefore w:val="0"/>
              <w:widowControl w:val="0"/>
              <w:kinsoku/>
              <w:wordWrap/>
              <w:overflowPunct/>
              <w:topLinePunct w:val="0"/>
              <w:autoSpaceDE/>
              <w:autoSpaceDN/>
              <w:bidi w:val="0"/>
              <w:adjustRightInd w:val="0"/>
              <w:snapToGrid/>
              <w:spacing w:line="37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三、主要</w:t>
            </w:r>
            <w:r>
              <w:rPr>
                <w:rFonts w:hint="eastAsia" w:ascii="宋体" w:hAnsi="宋体" w:eastAsia="宋体" w:cs="宋体"/>
                <w:b/>
                <w:bCs/>
                <w:color w:val="auto"/>
                <w:sz w:val="21"/>
                <w:szCs w:val="21"/>
                <w:highlight w:val="none"/>
                <w:lang w:val="en-US" w:eastAsia="zh-CN"/>
              </w:rPr>
              <w:t>功能参数及</w:t>
            </w:r>
            <w:r>
              <w:rPr>
                <w:rFonts w:hint="eastAsia" w:ascii="宋体" w:hAnsi="宋体" w:eastAsia="宋体" w:cs="宋体"/>
                <w:b/>
                <w:bCs/>
                <w:color w:val="auto"/>
                <w:sz w:val="21"/>
                <w:szCs w:val="21"/>
                <w:highlight w:val="none"/>
              </w:rPr>
              <w:t>要求</w:t>
            </w:r>
          </w:p>
          <w:p w14:paraId="7A4E9AAC">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垃圾箱容积（m³）、材质、厚度：≥1.8（m³）材质不低于SUS304、厚度≥2mm。</w:t>
            </w:r>
          </w:p>
          <w:p w14:paraId="7C0AEC8E">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清水箱容积（m³）</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1.1。</w:t>
            </w:r>
          </w:p>
          <w:p w14:paraId="5420F21B">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.续航里程（km）</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≥140</w:t>
            </w:r>
            <w:r>
              <w:rPr>
                <w:rFonts w:hint="eastAsia" w:ascii="宋体" w:hAnsi="宋体" w:eastAsia="宋体" w:cs="宋体"/>
                <w:color w:val="auto"/>
                <w:sz w:val="21"/>
                <w:szCs w:val="21"/>
                <w:highlight w:val="none"/>
                <w:lang w:eastAsia="zh-CN"/>
              </w:rPr>
              <w:t>。</w:t>
            </w:r>
          </w:p>
          <w:p w14:paraId="5BDB65CA">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.最大洗扫宽度（m）</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≥2.3</w:t>
            </w:r>
            <w:r>
              <w:rPr>
                <w:rFonts w:hint="eastAsia" w:ascii="宋体" w:hAnsi="宋体" w:eastAsia="宋体" w:cs="宋体"/>
                <w:color w:val="auto"/>
                <w:sz w:val="21"/>
                <w:szCs w:val="21"/>
                <w:highlight w:val="none"/>
                <w:lang w:eastAsia="zh-CN"/>
              </w:rPr>
              <w:t>。</w:t>
            </w:r>
          </w:p>
          <w:p w14:paraId="4E6BD4FE">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.最大清扫能力（㎡/h）</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000</w:t>
            </w:r>
            <w:r>
              <w:rPr>
                <w:rFonts w:hint="eastAsia" w:ascii="宋体" w:hAnsi="宋体" w:eastAsia="宋体" w:cs="宋体"/>
                <w:color w:val="auto"/>
                <w:sz w:val="21"/>
                <w:szCs w:val="21"/>
                <w:highlight w:val="none"/>
                <w:lang w:eastAsia="zh-CN"/>
              </w:rPr>
              <w:t>。</w:t>
            </w:r>
          </w:p>
          <w:p w14:paraId="297FEA3C">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6.高压水泵额定流量（L/min）：≥50。</w:t>
            </w:r>
          </w:p>
          <w:p w14:paraId="3A9781B1">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作业模式：系统设置了全扫、全洗扫、全清洗等多种作业模式。用户可根据作业需要，选择合适的作业模式进行作业。作业模式选定后，一键起动作业，需参与作业的所有机构，会按规定的顺序自动伸出并运转作业。需要停止作业时，一键停机，工作中的所有作业机构，会按规定的顺序自动停止运转并收回到原始状态。</w:t>
            </w:r>
          </w:p>
          <w:p w14:paraId="39210520">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8.垃圾仓采用304不锈钢材质，带内部自洁装置。</w:t>
            </w:r>
          </w:p>
          <w:p w14:paraId="4B2F42CE">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9.车辆采用“显示屏+控制器”的控制模式。便于上装操作，作业启动和作业停止时，吸嘴升降、扫盘收放等作业装置全由一键控制，电机转速采用油门旋钮控制。车辆作业由2处操作装置实现，均在驾驶室内。</w:t>
            </w:r>
          </w:p>
          <w:p w14:paraId="7C0F57C5">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10.清扫装置有防碰撞避让功能。</w:t>
            </w:r>
          </w:p>
          <w:p w14:paraId="05B19B19">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11.车辆设有彩色视频后视系统。车辆后部装有摄像头，驾驶室内装有彩色显示屏。作业时，可以在驾驶室内检查监视清洁效果。倒车时可以导航，防止追尾。</w:t>
            </w:r>
          </w:p>
          <w:p w14:paraId="0A398B9B">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12.配备报警系统：本车配备报警系统能在作业和卸车时发出多种报警提示音。</w:t>
            </w:r>
          </w:p>
          <w:p w14:paraId="0795C306">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13.照明系统：为便于在夜间或亮度不够的环境下作业时，监视扫盘的工作情况，左、右扫盘上方配备有照明灯。</w:t>
            </w:r>
          </w:p>
          <w:p w14:paraId="35C30AEB">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14.多种自动保护装置：本洗扫车设有清水箱低水位，污水垃圾箱高水位，驱动电机水温，液压油泄漏，垃圾箱倾翻、复位，后门开闭安全报警装置等，保护洗扫车在遇缺水等特定工况或误操作时不受损害。</w:t>
            </w:r>
          </w:p>
        </w:tc>
      </w:tr>
      <w:tr w14:paraId="3268F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764" w:type="dxa"/>
            <w:noWrap w:val="0"/>
            <w:vAlign w:val="center"/>
          </w:tcPr>
          <w:p w14:paraId="5F17EC0A">
            <w:pPr>
              <w:keepNext w:val="0"/>
              <w:keepLines w:val="0"/>
              <w:pageBreakBefore w:val="0"/>
              <w:kinsoku/>
              <w:overflowPunct/>
              <w:topLinePunct w:val="0"/>
              <w:autoSpaceDE/>
              <w:autoSpaceDN/>
              <w:bidi w:val="0"/>
              <w:spacing w:line="400" w:lineRule="exact"/>
              <w:jc w:val="center"/>
              <w:rPr>
                <w:rFonts w:hint="default" w:ascii="宋体" w:hAnsi="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4</w:t>
            </w:r>
          </w:p>
        </w:tc>
        <w:tc>
          <w:tcPr>
            <w:tcW w:w="1000" w:type="dxa"/>
            <w:shd w:val="clear" w:color="auto" w:fill="auto"/>
            <w:noWrap w:val="0"/>
            <w:vAlign w:val="center"/>
          </w:tcPr>
          <w:p w14:paraId="0753C68F">
            <w:pPr>
              <w:keepNext w:val="0"/>
              <w:keepLines w:val="0"/>
              <w:pageBreakBefore w:val="0"/>
              <w:widowControl/>
              <w:suppressLineNumbers w:val="0"/>
              <w:kinsoku/>
              <w:wordWrap/>
              <w:overflowPunct/>
              <w:topLinePunct w:val="0"/>
              <w:autoSpaceDE/>
              <w:autoSpaceDN/>
              <w:bidi w:val="0"/>
              <w:snapToGrid/>
              <w:spacing w:line="37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新能源中型洗扫车</w:t>
            </w:r>
          </w:p>
        </w:tc>
        <w:tc>
          <w:tcPr>
            <w:tcW w:w="879" w:type="dxa"/>
            <w:shd w:val="clear" w:color="auto" w:fill="auto"/>
            <w:noWrap w:val="0"/>
            <w:vAlign w:val="center"/>
          </w:tcPr>
          <w:p w14:paraId="7F729CC2">
            <w:pPr>
              <w:keepNext w:val="0"/>
              <w:keepLines w:val="0"/>
              <w:pageBreakBefore w:val="0"/>
              <w:widowControl/>
              <w:suppressLineNumbers w:val="0"/>
              <w:kinsoku/>
              <w:wordWrap/>
              <w:overflowPunct/>
              <w:topLinePunct w:val="0"/>
              <w:autoSpaceDE/>
              <w:autoSpaceDN/>
              <w:bidi w:val="0"/>
              <w:snapToGrid/>
              <w:spacing w:line="37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1辆</w:t>
            </w:r>
          </w:p>
        </w:tc>
        <w:tc>
          <w:tcPr>
            <w:tcW w:w="6722" w:type="dxa"/>
            <w:shd w:val="clear" w:color="auto" w:fill="auto"/>
            <w:noWrap w:val="0"/>
            <w:vAlign w:val="top"/>
          </w:tcPr>
          <w:p w14:paraId="0153C3C5">
            <w:pPr>
              <w:keepNext w:val="0"/>
              <w:keepLines w:val="0"/>
              <w:pageBreakBefore w:val="0"/>
              <w:widowControl w:val="0"/>
              <w:numPr>
                <w:ilvl w:val="0"/>
                <w:numId w:val="0"/>
              </w:numPr>
              <w:kinsoku/>
              <w:wordWrap/>
              <w:overflowPunct/>
              <w:topLinePunct w:val="0"/>
              <w:autoSpaceDE/>
              <w:autoSpaceDN/>
              <w:bidi w:val="0"/>
              <w:adjustRightInd w:val="0"/>
              <w:snapToGrid/>
              <w:spacing w:line="370" w:lineRule="exact"/>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一、主要技术要求</w:t>
            </w:r>
          </w:p>
          <w:p w14:paraId="00A6FAF9">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▲1.总质量(kg)</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lang w:val="en-US" w:eastAsia="zh-CN"/>
              </w:rPr>
              <w:t>490。</w:t>
            </w:r>
          </w:p>
          <w:p w14:paraId="479DD15A">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额定载质量(kg)</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≥3000</w:t>
            </w:r>
            <w:r>
              <w:rPr>
                <w:rFonts w:hint="eastAsia" w:ascii="宋体" w:hAnsi="宋体" w:eastAsia="宋体" w:cs="宋体"/>
                <w:color w:val="auto"/>
                <w:sz w:val="21"/>
                <w:szCs w:val="21"/>
                <w:highlight w:val="none"/>
                <w:lang w:eastAsia="zh-CN"/>
              </w:rPr>
              <w:t>。</w:t>
            </w:r>
          </w:p>
          <w:p w14:paraId="0B500311">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整备质量(kg)</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≥8100</w:t>
            </w:r>
            <w:r>
              <w:rPr>
                <w:rFonts w:hint="eastAsia" w:ascii="宋体" w:hAnsi="宋体" w:eastAsia="宋体" w:cs="宋体"/>
                <w:color w:val="auto"/>
                <w:sz w:val="21"/>
                <w:szCs w:val="21"/>
                <w:highlight w:val="none"/>
                <w:lang w:eastAsia="zh-CN"/>
              </w:rPr>
              <w:t>。</w:t>
            </w:r>
          </w:p>
          <w:p w14:paraId="2B32A3FF">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外形尺寸：</w:t>
            </w:r>
            <w:r>
              <w:rPr>
                <w:rFonts w:hint="eastAsia" w:ascii="宋体" w:hAnsi="宋体" w:eastAsia="宋体" w:cs="宋体"/>
                <w:color w:val="auto"/>
                <w:sz w:val="21"/>
                <w:szCs w:val="21"/>
                <w:highlight w:val="none"/>
              </w:rPr>
              <w:t>长×宽×高(mm)</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≥7100×2380×2600</w:t>
            </w:r>
            <w:r>
              <w:rPr>
                <w:rFonts w:hint="eastAsia" w:ascii="宋体" w:hAnsi="宋体" w:eastAsia="宋体" w:cs="宋体"/>
                <w:color w:val="auto"/>
                <w:sz w:val="21"/>
                <w:szCs w:val="21"/>
                <w:highlight w:val="none"/>
                <w:lang w:eastAsia="zh-CN"/>
              </w:rPr>
              <w:t>。</w:t>
            </w:r>
          </w:p>
          <w:p w14:paraId="7282186B">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前悬/后悬（mm）：≤1130/1950</w:t>
            </w:r>
            <w:r>
              <w:rPr>
                <w:rFonts w:hint="eastAsia" w:ascii="宋体" w:hAnsi="宋体" w:eastAsia="宋体" w:cs="宋体"/>
                <w:color w:val="auto"/>
                <w:sz w:val="21"/>
                <w:szCs w:val="21"/>
                <w:highlight w:val="none"/>
                <w:lang w:eastAsia="zh-CN"/>
              </w:rPr>
              <w:t>。</w:t>
            </w:r>
          </w:p>
          <w:p w14:paraId="45BB672E">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接近角/离去角（°）：≥16/1</w:t>
            </w:r>
            <w:r>
              <w:rPr>
                <w:rFonts w:hint="eastAsia" w:ascii="宋体" w:hAnsi="宋体" w:eastAsia="宋体" w:cs="宋体"/>
                <w:color w:val="auto"/>
                <w:sz w:val="21"/>
                <w:szCs w:val="21"/>
                <w:highlight w:val="none"/>
                <w:lang w:val="en-US" w:eastAsia="zh-CN"/>
              </w:rPr>
              <w:t>2。</w:t>
            </w:r>
          </w:p>
          <w:p w14:paraId="5C86188E">
            <w:pPr>
              <w:keepNext w:val="0"/>
              <w:keepLines w:val="0"/>
              <w:pageBreakBefore w:val="0"/>
              <w:widowControl w:val="0"/>
              <w:kinsoku/>
              <w:wordWrap/>
              <w:overflowPunct/>
              <w:topLinePunct w:val="0"/>
              <w:autoSpaceDE/>
              <w:autoSpaceDN/>
              <w:bidi w:val="0"/>
              <w:adjustRightInd w:val="0"/>
              <w:snapToGrid/>
              <w:spacing w:line="370" w:lineRule="exac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二、新能源电池电机要求</w:t>
            </w:r>
          </w:p>
          <w:p w14:paraId="42C15811">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1.底盘驱动电机型式及冷却方式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永磁同步电机/水冷</w:t>
            </w:r>
            <w:r>
              <w:rPr>
                <w:rFonts w:hint="eastAsia" w:ascii="宋体" w:hAnsi="宋体" w:eastAsia="宋体" w:cs="宋体"/>
                <w:color w:val="auto"/>
                <w:sz w:val="21"/>
                <w:szCs w:val="21"/>
                <w:highlight w:val="none"/>
                <w:lang w:eastAsia="zh-CN"/>
              </w:rPr>
              <w:t>。</w:t>
            </w:r>
          </w:p>
          <w:p w14:paraId="29B9F456">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2.电池种类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磷酸铁锂电池</w:t>
            </w:r>
            <w:r>
              <w:rPr>
                <w:rFonts w:hint="eastAsia" w:ascii="宋体" w:hAnsi="宋体" w:eastAsia="宋体" w:cs="宋体"/>
                <w:color w:val="auto"/>
                <w:sz w:val="21"/>
                <w:szCs w:val="21"/>
                <w:highlight w:val="none"/>
                <w:lang w:eastAsia="zh-CN"/>
              </w:rPr>
              <w:t>。</w:t>
            </w:r>
          </w:p>
          <w:p w14:paraId="45562376">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▲3.电池及管理系统要求：采用原装电池包和原装BMS系统。</w:t>
            </w:r>
          </w:p>
          <w:p w14:paraId="0C66B014">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4.底盘电池、驱动电机、电控系统防护等级</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性能同等于或优于IP67</w:t>
            </w:r>
            <w:r>
              <w:rPr>
                <w:rFonts w:hint="eastAsia" w:ascii="宋体" w:hAnsi="宋体" w:eastAsia="宋体" w:cs="宋体"/>
                <w:color w:val="auto"/>
                <w:sz w:val="21"/>
                <w:szCs w:val="21"/>
                <w:highlight w:val="none"/>
                <w:lang w:eastAsia="zh-CN"/>
              </w:rPr>
              <w:t>。</w:t>
            </w:r>
          </w:p>
          <w:p w14:paraId="15172186">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5.储能装置总储电量（kWh）</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160。</w:t>
            </w:r>
          </w:p>
          <w:p w14:paraId="1A52031F">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6.底盘驱动电机额定功率/转速（kw）</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75。</w:t>
            </w:r>
          </w:p>
          <w:p w14:paraId="3827EE07">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▲7.底盘驱动电机峰值功率/转速（kw）</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50。</w:t>
            </w:r>
          </w:p>
          <w:p w14:paraId="0BCC1FF9">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上装驱动电机额定功率（kw）：≥</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lang w:eastAsia="zh-CN"/>
              </w:rPr>
              <w:t>。</w:t>
            </w:r>
          </w:p>
          <w:p w14:paraId="437E525D">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9.充电要求：支持直流快充。</w:t>
            </w:r>
          </w:p>
          <w:p w14:paraId="2E8A435D">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10.</w:t>
            </w:r>
            <w:r>
              <w:rPr>
                <w:rFonts w:hint="eastAsia" w:ascii="宋体" w:hAnsi="宋体" w:cs="宋体"/>
                <w:color w:val="auto"/>
                <w:sz w:val="21"/>
                <w:szCs w:val="21"/>
                <w:highlight w:val="none"/>
                <w:lang w:val="en-US" w:eastAsia="zh-CN"/>
              </w:rPr>
              <w:t>电池质保：8年或40万公里（先到者为准，衰减度在30%以内）。</w:t>
            </w:r>
          </w:p>
          <w:p w14:paraId="74BFB6D3">
            <w:pPr>
              <w:keepNext w:val="0"/>
              <w:keepLines w:val="0"/>
              <w:pageBreakBefore w:val="0"/>
              <w:widowControl w:val="0"/>
              <w:kinsoku/>
              <w:wordWrap/>
              <w:overflowPunct/>
              <w:topLinePunct w:val="0"/>
              <w:autoSpaceDE/>
              <w:autoSpaceDN/>
              <w:bidi w:val="0"/>
              <w:adjustRightInd w:val="0"/>
              <w:snapToGrid/>
              <w:spacing w:line="37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三、主要</w:t>
            </w:r>
            <w:r>
              <w:rPr>
                <w:rFonts w:hint="eastAsia" w:ascii="宋体" w:hAnsi="宋体" w:eastAsia="宋体" w:cs="宋体"/>
                <w:b/>
                <w:bCs/>
                <w:color w:val="auto"/>
                <w:sz w:val="21"/>
                <w:szCs w:val="21"/>
                <w:highlight w:val="none"/>
                <w:lang w:val="en-US" w:eastAsia="zh-CN"/>
              </w:rPr>
              <w:t>功能参数及</w:t>
            </w:r>
            <w:r>
              <w:rPr>
                <w:rFonts w:hint="eastAsia" w:ascii="宋体" w:hAnsi="宋体" w:eastAsia="宋体" w:cs="宋体"/>
                <w:b/>
                <w:bCs/>
                <w:color w:val="auto"/>
                <w:sz w:val="21"/>
                <w:szCs w:val="21"/>
                <w:highlight w:val="none"/>
              </w:rPr>
              <w:t>要求</w:t>
            </w:r>
          </w:p>
          <w:p w14:paraId="17C0C7A6">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▲1.垃圾箱容积（m³）、材质、厚度：≥2.8（m³）、材质不低于SUS304、厚度≥3mm。</w:t>
            </w:r>
          </w:p>
          <w:p w14:paraId="127AB745">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清水箱容积（m³）</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4.4。</w:t>
            </w:r>
          </w:p>
          <w:p w14:paraId="55925324">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.续航里程（km）</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300。</w:t>
            </w:r>
          </w:p>
          <w:p w14:paraId="4FCD9931">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.最大洗扫宽度（m）</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3.2。</w:t>
            </w:r>
          </w:p>
          <w:p w14:paraId="392FF4EC">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.最大清扫能力（㎡/h）</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≥64</w:t>
            </w:r>
            <w:r>
              <w:rPr>
                <w:rFonts w:hint="eastAsia" w:ascii="宋体" w:hAnsi="宋体" w:eastAsia="宋体" w:cs="宋体"/>
                <w:color w:val="auto"/>
                <w:sz w:val="21"/>
                <w:szCs w:val="21"/>
                <w:highlight w:val="none"/>
              </w:rPr>
              <w:t>000</w:t>
            </w:r>
            <w:r>
              <w:rPr>
                <w:rFonts w:hint="eastAsia" w:ascii="宋体" w:hAnsi="宋体" w:eastAsia="宋体" w:cs="宋体"/>
                <w:color w:val="auto"/>
                <w:sz w:val="21"/>
                <w:szCs w:val="21"/>
                <w:highlight w:val="none"/>
                <w:lang w:eastAsia="zh-CN"/>
              </w:rPr>
              <w:t>。</w:t>
            </w:r>
          </w:p>
          <w:p w14:paraId="51817515">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6.高压水泵额定流量（L/min）：≥75。</w:t>
            </w:r>
          </w:p>
          <w:p w14:paraId="1A901C4D">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7.作业模式：系统设置了全扫、全洗扫、全清洗等多种作业模式。用户可根据作业需要，选择合适的作业模式进行作业。作业模式选定后，一键起动作业，需参与作业的所有机构，会按规定的顺序自动伸出并运转作业。需要停止作业时，一键停机，工作中的所有作业机构，会按规定的顺序自动停止运转并收回到原始状态。</w:t>
            </w:r>
          </w:p>
          <w:p w14:paraId="1538CADB">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8.垃圾仓采用304不锈钢材质，带内部自洁装置。</w:t>
            </w:r>
          </w:p>
          <w:p w14:paraId="53903F70">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9.车辆采用“显示屏+控制器+外置操作面板”的控制模式。作业起动和作业停止时，驱动电机转速调节、吸嘴升降、扫盘收放、左右喷杆收放等作业装置全由一键控制。车辆作业由2处操作装置实现，其中一处在驾驶室内，一处在车辆后部右侧的外置操作面板。</w:t>
            </w:r>
          </w:p>
          <w:p w14:paraId="28D8610B">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10.清扫装置有防碰撞避让功能。</w:t>
            </w:r>
          </w:p>
          <w:p w14:paraId="5426E3E7">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11.车辆设有彩色视频后视系统。车辆后部装有摄像头，驾驶室内装有彩色显示屏。作业时，可以在驾驶室内检查监视清洁效果。倒车时可以导航，防止追尾。</w:t>
            </w:r>
          </w:p>
          <w:p w14:paraId="57A2EF4B">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12.配备报警系统：本车配备报警系统能在作业和卸车时发出多种报警提示音。</w:t>
            </w:r>
          </w:p>
          <w:p w14:paraId="115CF11A">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13.照明系统：为便于在夜间或亮度不够的环境下作业时，监视扫盘的工作情况，左、右扫盘上方配备有照明灯。</w:t>
            </w:r>
          </w:p>
          <w:p w14:paraId="7A0CE35C">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14.多种自动保护装置：本洗扫车设有清水箱低水位，污水垃圾箱高水位，驱动电机水温，液压油泄漏，垃圾箱倾翻、复位，后门开闭安全报警装置等，保护洗扫车在遇缺水等特定工况或误操作时不受损害。</w:t>
            </w:r>
          </w:p>
        </w:tc>
      </w:tr>
      <w:tr w14:paraId="12878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764" w:type="dxa"/>
            <w:noWrap w:val="0"/>
            <w:vAlign w:val="center"/>
          </w:tcPr>
          <w:p w14:paraId="3775F8C0">
            <w:pPr>
              <w:keepNext w:val="0"/>
              <w:keepLines w:val="0"/>
              <w:pageBreakBefore w:val="0"/>
              <w:kinsoku/>
              <w:overflowPunct/>
              <w:topLinePunct w:val="0"/>
              <w:autoSpaceDE/>
              <w:autoSpaceDN/>
              <w:bidi w:val="0"/>
              <w:spacing w:line="400" w:lineRule="exact"/>
              <w:jc w:val="center"/>
              <w:rPr>
                <w:rFonts w:hint="default" w:ascii="宋体" w:hAnsi="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5</w:t>
            </w:r>
          </w:p>
        </w:tc>
        <w:tc>
          <w:tcPr>
            <w:tcW w:w="1000" w:type="dxa"/>
            <w:shd w:val="clear" w:color="auto" w:fill="auto"/>
            <w:noWrap w:val="0"/>
            <w:vAlign w:val="center"/>
          </w:tcPr>
          <w:p w14:paraId="2BE6234F">
            <w:pPr>
              <w:keepNext w:val="0"/>
              <w:keepLines w:val="0"/>
              <w:pageBreakBefore w:val="0"/>
              <w:widowControl/>
              <w:suppressLineNumbers w:val="0"/>
              <w:kinsoku/>
              <w:wordWrap/>
              <w:overflowPunct/>
              <w:topLinePunct w:val="0"/>
              <w:autoSpaceDE/>
              <w:autoSpaceDN/>
              <w:bidi w:val="0"/>
              <w:snapToGrid/>
              <w:spacing w:line="37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新能源大型洗扫车</w:t>
            </w:r>
          </w:p>
        </w:tc>
        <w:tc>
          <w:tcPr>
            <w:tcW w:w="879" w:type="dxa"/>
            <w:shd w:val="clear" w:color="auto" w:fill="auto"/>
            <w:noWrap w:val="0"/>
            <w:vAlign w:val="center"/>
          </w:tcPr>
          <w:p w14:paraId="31C24818">
            <w:pPr>
              <w:keepNext w:val="0"/>
              <w:keepLines w:val="0"/>
              <w:pageBreakBefore w:val="0"/>
              <w:widowControl/>
              <w:suppressLineNumbers w:val="0"/>
              <w:kinsoku/>
              <w:wordWrap/>
              <w:overflowPunct/>
              <w:topLinePunct w:val="0"/>
              <w:autoSpaceDE/>
              <w:autoSpaceDN/>
              <w:bidi w:val="0"/>
              <w:snapToGrid/>
              <w:spacing w:line="37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10辆</w:t>
            </w:r>
          </w:p>
        </w:tc>
        <w:tc>
          <w:tcPr>
            <w:tcW w:w="6722" w:type="dxa"/>
            <w:shd w:val="clear" w:color="auto" w:fill="auto"/>
            <w:noWrap w:val="0"/>
            <w:vAlign w:val="top"/>
          </w:tcPr>
          <w:p w14:paraId="7FBB51D1">
            <w:pPr>
              <w:keepNext w:val="0"/>
              <w:keepLines w:val="0"/>
              <w:pageBreakBefore w:val="0"/>
              <w:widowControl w:val="0"/>
              <w:numPr>
                <w:ilvl w:val="0"/>
                <w:numId w:val="0"/>
              </w:numPr>
              <w:kinsoku/>
              <w:wordWrap/>
              <w:overflowPunct/>
              <w:topLinePunct w:val="0"/>
              <w:autoSpaceDE/>
              <w:autoSpaceDN/>
              <w:bidi w:val="0"/>
              <w:adjustRightInd w:val="0"/>
              <w:snapToGrid/>
              <w:spacing w:line="370" w:lineRule="exact"/>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一、主要技术要求</w:t>
            </w:r>
          </w:p>
          <w:p w14:paraId="430013A2">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▲1.总质量(kg)</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180</w:t>
            </w:r>
            <w:r>
              <w:rPr>
                <w:rFonts w:hint="eastAsia" w:ascii="宋体" w:hAnsi="宋体" w:eastAsia="宋体" w:cs="宋体"/>
                <w:color w:val="auto"/>
                <w:sz w:val="21"/>
                <w:szCs w:val="21"/>
                <w:highlight w:val="none"/>
              </w:rPr>
              <w:t>00</w:t>
            </w:r>
            <w:r>
              <w:rPr>
                <w:rFonts w:hint="eastAsia" w:ascii="宋体" w:hAnsi="宋体" w:eastAsia="宋体" w:cs="宋体"/>
                <w:color w:val="auto"/>
                <w:sz w:val="21"/>
                <w:szCs w:val="21"/>
                <w:highlight w:val="none"/>
                <w:lang w:eastAsia="zh-CN"/>
              </w:rPr>
              <w:t>。</w:t>
            </w:r>
          </w:p>
          <w:p w14:paraId="4207C243">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额定载质量(kg)</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≥5100</w:t>
            </w:r>
            <w:r>
              <w:rPr>
                <w:rFonts w:hint="eastAsia" w:ascii="宋体" w:hAnsi="宋体" w:eastAsia="宋体" w:cs="宋体"/>
                <w:color w:val="auto"/>
                <w:sz w:val="21"/>
                <w:szCs w:val="21"/>
                <w:highlight w:val="none"/>
                <w:lang w:eastAsia="zh-CN"/>
              </w:rPr>
              <w:t>。</w:t>
            </w:r>
          </w:p>
          <w:p w14:paraId="380C8FB7">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整备质量(kg)</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lang w:val="en-US" w:eastAsia="zh-CN"/>
              </w:rPr>
              <w:t>190。</w:t>
            </w:r>
          </w:p>
          <w:p w14:paraId="251A5FEB">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外形尺寸：</w:t>
            </w:r>
            <w:r>
              <w:rPr>
                <w:rFonts w:hint="eastAsia" w:ascii="宋体" w:hAnsi="宋体" w:eastAsia="宋体" w:cs="宋体"/>
                <w:color w:val="auto"/>
                <w:sz w:val="21"/>
                <w:szCs w:val="21"/>
                <w:highlight w:val="none"/>
              </w:rPr>
              <w:t>长×宽×高(mm)</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≥8200×2520×3000</w:t>
            </w:r>
            <w:r>
              <w:rPr>
                <w:rFonts w:hint="eastAsia" w:ascii="宋体" w:hAnsi="宋体" w:eastAsia="宋体" w:cs="宋体"/>
                <w:color w:val="auto"/>
                <w:sz w:val="21"/>
                <w:szCs w:val="21"/>
                <w:highlight w:val="none"/>
                <w:lang w:eastAsia="zh-CN"/>
              </w:rPr>
              <w:t>。</w:t>
            </w:r>
          </w:p>
          <w:p w14:paraId="45DA4597">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前悬/后悬（mm）：≤1270/2120</w:t>
            </w:r>
            <w:r>
              <w:rPr>
                <w:rFonts w:hint="eastAsia" w:ascii="宋体" w:hAnsi="宋体" w:eastAsia="宋体" w:cs="宋体"/>
                <w:color w:val="auto"/>
                <w:sz w:val="21"/>
                <w:szCs w:val="21"/>
                <w:highlight w:val="none"/>
                <w:lang w:eastAsia="zh-CN"/>
              </w:rPr>
              <w:t>。</w:t>
            </w:r>
          </w:p>
          <w:p w14:paraId="2D9B14A2">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接近角/离去角（°）：≥18/11</w:t>
            </w:r>
            <w:r>
              <w:rPr>
                <w:rFonts w:hint="eastAsia" w:ascii="宋体" w:hAnsi="宋体" w:eastAsia="宋体" w:cs="宋体"/>
                <w:color w:val="auto"/>
                <w:sz w:val="21"/>
                <w:szCs w:val="21"/>
                <w:highlight w:val="none"/>
                <w:lang w:eastAsia="zh-CN"/>
              </w:rPr>
              <w:t>。</w:t>
            </w:r>
          </w:p>
          <w:p w14:paraId="620A527C">
            <w:pPr>
              <w:keepNext w:val="0"/>
              <w:keepLines w:val="0"/>
              <w:pageBreakBefore w:val="0"/>
              <w:widowControl w:val="0"/>
              <w:kinsoku/>
              <w:wordWrap/>
              <w:overflowPunct/>
              <w:topLinePunct w:val="0"/>
              <w:autoSpaceDE/>
              <w:autoSpaceDN/>
              <w:bidi w:val="0"/>
              <w:adjustRightInd w:val="0"/>
              <w:snapToGrid/>
              <w:spacing w:line="370" w:lineRule="exac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二、新能源电池电机要求</w:t>
            </w:r>
          </w:p>
          <w:p w14:paraId="0D98E1B9">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1.底盘驱动电机型式及冷却方式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永磁同步电机/水冷</w:t>
            </w:r>
            <w:r>
              <w:rPr>
                <w:rFonts w:hint="eastAsia" w:ascii="宋体" w:hAnsi="宋体" w:eastAsia="宋体" w:cs="宋体"/>
                <w:color w:val="auto"/>
                <w:sz w:val="21"/>
                <w:szCs w:val="21"/>
                <w:highlight w:val="none"/>
                <w:lang w:eastAsia="zh-CN"/>
              </w:rPr>
              <w:t>。</w:t>
            </w:r>
          </w:p>
          <w:p w14:paraId="347A6771">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2.电池种类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磷酸铁锂电池</w:t>
            </w:r>
            <w:r>
              <w:rPr>
                <w:rFonts w:hint="eastAsia" w:ascii="宋体" w:hAnsi="宋体" w:eastAsia="宋体" w:cs="宋体"/>
                <w:color w:val="auto"/>
                <w:sz w:val="21"/>
                <w:szCs w:val="21"/>
                <w:highlight w:val="none"/>
                <w:lang w:eastAsia="zh-CN"/>
              </w:rPr>
              <w:t>。</w:t>
            </w:r>
          </w:p>
          <w:p w14:paraId="456BC8E3">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▲3.电池及管理系统要求：采用原装电池包和原装BMS系统。</w:t>
            </w:r>
          </w:p>
          <w:p w14:paraId="034703EF">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4.底盘电池、驱动电机、电控系统防护等级</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性能同等于或优于IP68</w:t>
            </w:r>
            <w:r>
              <w:rPr>
                <w:rFonts w:hint="eastAsia" w:ascii="宋体" w:hAnsi="宋体" w:eastAsia="宋体" w:cs="宋体"/>
                <w:color w:val="auto"/>
                <w:sz w:val="21"/>
                <w:szCs w:val="21"/>
                <w:highlight w:val="none"/>
                <w:lang w:eastAsia="zh-CN"/>
              </w:rPr>
              <w:t>。</w:t>
            </w:r>
          </w:p>
          <w:p w14:paraId="45455093">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5.储能装置总储电量（kWh）</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280。</w:t>
            </w:r>
          </w:p>
          <w:p w14:paraId="03B60979">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6.底盘驱动电机额定功率（kw）</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120</w:t>
            </w:r>
            <w:r>
              <w:rPr>
                <w:rFonts w:hint="eastAsia" w:ascii="宋体" w:hAnsi="宋体" w:eastAsia="宋体" w:cs="宋体"/>
                <w:color w:val="auto"/>
                <w:sz w:val="21"/>
                <w:szCs w:val="21"/>
                <w:highlight w:val="none"/>
                <w:lang w:val="en-US" w:eastAsia="zh-CN"/>
              </w:rPr>
              <w:t>。</w:t>
            </w:r>
          </w:p>
          <w:p w14:paraId="11136DF7">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▲7.底盘驱动电机峰值功率（kw）</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18</w:t>
            </w:r>
            <w:r>
              <w:rPr>
                <w:rFonts w:hint="eastAsia" w:ascii="宋体" w:hAnsi="宋体" w:eastAsia="宋体" w:cs="宋体"/>
                <w:color w:val="auto"/>
                <w:sz w:val="21"/>
                <w:szCs w:val="21"/>
                <w:highlight w:val="none"/>
                <w:lang w:val="en-US" w:eastAsia="zh-CN"/>
              </w:rPr>
              <w:t>0。</w:t>
            </w:r>
          </w:p>
          <w:p w14:paraId="5E312111">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上装驱动电机额定功率（kw）：≥</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lang w:eastAsia="zh-CN"/>
              </w:rPr>
              <w:t>。</w:t>
            </w:r>
          </w:p>
          <w:p w14:paraId="2F59A117">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9.充电要求：支持直流快充。</w:t>
            </w:r>
          </w:p>
          <w:p w14:paraId="708C6826">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10.</w:t>
            </w:r>
            <w:r>
              <w:rPr>
                <w:rFonts w:hint="eastAsia" w:ascii="宋体" w:hAnsi="宋体" w:cs="宋体"/>
                <w:color w:val="auto"/>
                <w:sz w:val="21"/>
                <w:szCs w:val="21"/>
                <w:highlight w:val="none"/>
                <w:lang w:val="en-US" w:eastAsia="zh-CN"/>
              </w:rPr>
              <w:t>电池质保：8年或40万公里（先到者为准，衰减度在30%以内）。</w:t>
            </w:r>
          </w:p>
          <w:p w14:paraId="4D8C716A">
            <w:pPr>
              <w:keepNext w:val="0"/>
              <w:keepLines w:val="0"/>
              <w:pageBreakBefore w:val="0"/>
              <w:widowControl w:val="0"/>
              <w:kinsoku/>
              <w:wordWrap/>
              <w:overflowPunct/>
              <w:topLinePunct w:val="0"/>
              <w:autoSpaceDE/>
              <w:autoSpaceDN/>
              <w:bidi w:val="0"/>
              <w:adjustRightInd w:val="0"/>
              <w:snapToGrid/>
              <w:spacing w:line="37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三、主要</w:t>
            </w:r>
            <w:r>
              <w:rPr>
                <w:rFonts w:hint="eastAsia" w:ascii="宋体" w:hAnsi="宋体" w:eastAsia="宋体" w:cs="宋体"/>
                <w:b/>
                <w:bCs/>
                <w:color w:val="auto"/>
                <w:sz w:val="21"/>
                <w:szCs w:val="21"/>
                <w:highlight w:val="none"/>
                <w:lang w:val="en-US" w:eastAsia="zh-CN"/>
              </w:rPr>
              <w:t>功能参数及</w:t>
            </w:r>
            <w:r>
              <w:rPr>
                <w:rFonts w:hint="eastAsia" w:ascii="宋体" w:hAnsi="宋体" w:eastAsia="宋体" w:cs="宋体"/>
                <w:b/>
                <w:bCs/>
                <w:color w:val="auto"/>
                <w:sz w:val="21"/>
                <w:szCs w:val="21"/>
                <w:highlight w:val="none"/>
              </w:rPr>
              <w:t>要求</w:t>
            </w:r>
          </w:p>
          <w:p w14:paraId="62AC591A">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▲1.垃圾箱容积（m³）、材质、厚度：≥5.8（m³）、材质不低于SUS304、厚度≥3mm。</w:t>
            </w:r>
          </w:p>
          <w:p w14:paraId="1521FB33">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清水箱容积（m³）</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8.5。</w:t>
            </w:r>
          </w:p>
          <w:p w14:paraId="589A22A0">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.续航里程（km）</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380。</w:t>
            </w:r>
          </w:p>
          <w:p w14:paraId="45FA8AA3">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.最大洗扫宽度（m）</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p>
          <w:p w14:paraId="5EF53D6C">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.最大清扫能力（㎡/h）</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≥69000</w:t>
            </w:r>
            <w:r>
              <w:rPr>
                <w:rFonts w:hint="eastAsia" w:ascii="宋体" w:hAnsi="宋体" w:eastAsia="宋体" w:cs="宋体"/>
                <w:color w:val="auto"/>
                <w:sz w:val="21"/>
                <w:szCs w:val="21"/>
                <w:highlight w:val="none"/>
                <w:lang w:eastAsia="zh-CN"/>
              </w:rPr>
              <w:t>。</w:t>
            </w:r>
          </w:p>
          <w:p w14:paraId="2BF2BAA7">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6.高压水泵额定流量（L/min）：≥150。</w:t>
            </w:r>
          </w:p>
          <w:p w14:paraId="3D145681">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7.作业模式：系统设置了全扫、全洗扫、全清洗等多种作业模式。用户可根据作业需要，选择合适的作业模式进行作业。作业模式选定后，一键起动作业，需参与作业的所有机构，会按规定的顺序自动伸出并运转作业。需要停止作业时，一键停机，工作中的所有作业机构，会按规定的顺序自动停止运转并收回到原始状态。</w:t>
            </w:r>
          </w:p>
          <w:p w14:paraId="4CA76ED6">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8.垃圾仓采用304不锈钢材质，带内部自洁装置。</w:t>
            </w:r>
          </w:p>
          <w:p w14:paraId="6CEC38DE">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9.车辆采用“显示屏+控制器+外置操作面板”的控制模式。作业起动和作业停止时，驱动电机转速调节、吸嘴升降、扫盘收放、左右喷杆收放等作业装置全由一键控制。车辆作业由2处操作装置实现，其中一处在驾驶室内，一处在车辆后部右侧的外置操作面板。</w:t>
            </w:r>
          </w:p>
          <w:p w14:paraId="696CB112">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10.清扫装置有防碰撞避让功能。</w:t>
            </w:r>
          </w:p>
          <w:p w14:paraId="133930DB">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11.车辆设有彩色视频后视系统。车辆后部及右侧装有摄像头，驾驶室内装有彩色显示屏。作业时，可以在驾驶室内检查监视清洁效果。倒车时可以导航，防止追尾。</w:t>
            </w:r>
          </w:p>
          <w:p w14:paraId="1880F900">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12.配备报警系统：本车配备报警系统能在作业和卸车时发出多种报警提示音。</w:t>
            </w:r>
          </w:p>
          <w:p w14:paraId="6E1552C3">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13.照明系统：为便于在夜间或亮度不够的环境下作业时，监视扫盘的工作情况，左、右扫盘上方配备有照明灯。</w:t>
            </w:r>
          </w:p>
          <w:p w14:paraId="497B511F">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14.多种自动保护装置：本洗扫车设有清水箱低水位，污水垃圾箱高水位，驱动电机水温，液压油泄漏，垃圾箱倾翻、复位，后门开闭安全报警装置等，保护洗扫车在遇缺水等特定工况或误操作时不受损害。</w:t>
            </w:r>
          </w:p>
        </w:tc>
      </w:tr>
      <w:tr w14:paraId="5EB77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764" w:type="dxa"/>
            <w:noWrap w:val="0"/>
            <w:vAlign w:val="center"/>
          </w:tcPr>
          <w:p w14:paraId="2A5AC31E">
            <w:pPr>
              <w:keepNext w:val="0"/>
              <w:keepLines w:val="0"/>
              <w:pageBreakBefore w:val="0"/>
              <w:kinsoku/>
              <w:overflowPunct/>
              <w:topLinePunct w:val="0"/>
              <w:autoSpaceDE/>
              <w:autoSpaceDN/>
              <w:bidi w:val="0"/>
              <w:spacing w:line="400" w:lineRule="exact"/>
              <w:jc w:val="center"/>
              <w:rPr>
                <w:rFonts w:hint="default" w:ascii="宋体" w:hAnsi="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6</w:t>
            </w:r>
          </w:p>
        </w:tc>
        <w:tc>
          <w:tcPr>
            <w:tcW w:w="1000" w:type="dxa"/>
            <w:shd w:val="clear" w:color="auto" w:fill="auto"/>
            <w:noWrap w:val="0"/>
            <w:vAlign w:val="center"/>
          </w:tcPr>
          <w:p w14:paraId="2CDD0DF1">
            <w:pPr>
              <w:keepNext w:val="0"/>
              <w:keepLines w:val="0"/>
              <w:pageBreakBefore w:val="0"/>
              <w:widowControl/>
              <w:suppressLineNumbers w:val="0"/>
              <w:kinsoku/>
              <w:wordWrap/>
              <w:overflowPunct/>
              <w:topLinePunct w:val="0"/>
              <w:autoSpaceDE/>
              <w:autoSpaceDN/>
              <w:bidi w:val="0"/>
              <w:snapToGrid/>
              <w:spacing w:line="37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新能源大型洒水车</w:t>
            </w:r>
          </w:p>
        </w:tc>
        <w:tc>
          <w:tcPr>
            <w:tcW w:w="879" w:type="dxa"/>
            <w:shd w:val="clear" w:color="auto" w:fill="auto"/>
            <w:noWrap w:val="0"/>
            <w:vAlign w:val="center"/>
          </w:tcPr>
          <w:p w14:paraId="2FCD70BC">
            <w:pPr>
              <w:keepNext w:val="0"/>
              <w:keepLines w:val="0"/>
              <w:pageBreakBefore w:val="0"/>
              <w:widowControl/>
              <w:suppressLineNumbers w:val="0"/>
              <w:kinsoku/>
              <w:wordWrap/>
              <w:overflowPunct/>
              <w:topLinePunct w:val="0"/>
              <w:autoSpaceDE/>
              <w:autoSpaceDN/>
              <w:bidi w:val="0"/>
              <w:snapToGrid/>
              <w:spacing w:line="37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3辆</w:t>
            </w:r>
          </w:p>
        </w:tc>
        <w:tc>
          <w:tcPr>
            <w:tcW w:w="6722" w:type="dxa"/>
            <w:shd w:val="clear" w:color="auto" w:fill="auto"/>
            <w:noWrap w:val="0"/>
            <w:vAlign w:val="top"/>
          </w:tcPr>
          <w:p w14:paraId="11EF7979">
            <w:pPr>
              <w:keepNext w:val="0"/>
              <w:keepLines w:val="0"/>
              <w:pageBreakBefore w:val="0"/>
              <w:widowControl w:val="0"/>
              <w:kinsoku/>
              <w:wordWrap/>
              <w:overflowPunct/>
              <w:topLinePunct w:val="0"/>
              <w:autoSpaceDE/>
              <w:autoSpaceDN/>
              <w:bidi w:val="0"/>
              <w:adjustRightInd w:val="0"/>
              <w:snapToGrid/>
              <w:spacing w:line="370" w:lineRule="exact"/>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一、主要技术要求</w:t>
            </w:r>
          </w:p>
          <w:p w14:paraId="73F31E8D">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1.总质量(kg)：≥18000。</w:t>
            </w:r>
          </w:p>
          <w:p w14:paraId="36FC5725">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◆2.整备质量(kg)：≥8650。</w:t>
            </w:r>
          </w:p>
          <w:p w14:paraId="6C662F05">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▲3.额定载质量(kg)：≥9150。</w:t>
            </w:r>
          </w:p>
          <w:p w14:paraId="4AFBDEDF">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4.外形尺寸：长×宽×高(mm)：≥7900×2500×2950。</w:t>
            </w:r>
          </w:p>
          <w:p w14:paraId="451C386C">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◆5.罐体总容量(m³)：≥9.4。</w:t>
            </w:r>
          </w:p>
          <w:p w14:paraId="07C80A52">
            <w:pPr>
              <w:keepNext w:val="0"/>
              <w:keepLines w:val="0"/>
              <w:pageBreakBefore w:val="0"/>
              <w:widowControl w:val="0"/>
              <w:kinsoku/>
              <w:wordWrap/>
              <w:overflowPunct/>
              <w:topLinePunct w:val="0"/>
              <w:autoSpaceDE/>
              <w:autoSpaceDN/>
              <w:bidi w:val="0"/>
              <w:adjustRightInd w:val="0"/>
              <w:snapToGrid/>
              <w:spacing w:line="370" w:lineRule="exac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二、新能源电池电机要求</w:t>
            </w:r>
          </w:p>
          <w:p w14:paraId="2DD7FBDA">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1.底盘电机类型：永磁同步电机。</w:t>
            </w:r>
          </w:p>
          <w:p w14:paraId="5CCB38DD">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2.电池种类：磷酸铁锂电池。</w:t>
            </w:r>
          </w:p>
          <w:p w14:paraId="01777909">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3.电池及管理系统要求：采用原装电池包和原装BMS系统。</w:t>
            </w:r>
          </w:p>
          <w:p w14:paraId="78321A60">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4.电池总储电量(kWh)：≥210。</w:t>
            </w:r>
          </w:p>
          <w:p w14:paraId="08EA10AC">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5.底盘电机额定功率(kW)：≥80。</w:t>
            </w:r>
          </w:p>
          <w:p w14:paraId="63876366">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6.底盘电机峰值功率(kW)：≥150。</w:t>
            </w:r>
          </w:p>
          <w:p w14:paraId="696151DC">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7.上装电机额定功率(kW)：≥40。</w:t>
            </w:r>
          </w:p>
          <w:p w14:paraId="1593ABA1">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8.续航里程（等速法）</w:t>
            </w:r>
            <w:r>
              <w:rPr>
                <w:rFonts w:hint="eastAsia" w:ascii="宋体" w:hAnsi="宋体" w:eastAsia="宋体" w:cs="宋体"/>
                <w:color w:val="auto"/>
                <w:sz w:val="21"/>
                <w:szCs w:val="21"/>
                <w:highlight w:val="none"/>
              </w:rPr>
              <w:t>(km)</w:t>
            </w:r>
            <w:r>
              <w:rPr>
                <w:rFonts w:hint="eastAsia" w:ascii="宋体" w:hAnsi="宋体" w:eastAsia="宋体" w:cs="宋体"/>
                <w:color w:val="auto"/>
                <w:sz w:val="21"/>
                <w:szCs w:val="21"/>
                <w:highlight w:val="none"/>
                <w:lang w:val="en-US" w:eastAsia="zh-CN"/>
              </w:rPr>
              <w:t>：≥300。</w:t>
            </w:r>
          </w:p>
          <w:p w14:paraId="2C4A300C">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9.充电要求：需支持直流快充。</w:t>
            </w:r>
          </w:p>
          <w:p w14:paraId="17C2A5C9">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10.</w:t>
            </w:r>
            <w:r>
              <w:rPr>
                <w:rFonts w:hint="eastAsia" w:ascii="宋体" w:hAnsi="宋体" w:cs="宋体"/>
                <w:color w:val="auto"/>
                <w:sz w:val="21"/>
                <w:szCs w:val="21"/>
                <w:highlight w:val="none"/>
                <w:lang w:val="en-US" w:eastAsia="zh-CN"/>
              </w:rPr>
              <w:t>电池质保：8年或40万公里（先到者为准，衰减度在30%以内）。</w:t>
            </w:r>
          </w:p>
          <w:p w14:paraId="5000E936">
            <w:pPr>
              <w:keepNext w:val="0"/>
              <w:keepLines w:val="0"/>
              <w:pageBreakBefore w:val="0"/>
              <w:widowControl w:val="0"/>
              <w:kinsoku/>
              <w:wordWrap/>
              <w:overflowPunct/>
              <w:topLinePunct w:val="0"/>
              <w:autoSpaceDE/>
              <w:autoSpaceDN/>
              <w:bidi w:val="0"/>
              <w:adjustRightInd w:val="0"/>
              <w:snapToGrid/>
              <w:spacing w:line="370" w:lineRule="exac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三、主要性能要求</w:t>
            </w:r>
          </w:p>
          <w:p w14:paraId="2354D57A">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1.前鸭嘴冲洗宽度(m)：≥10。</w:t>
            </w:r>
          </w:p>
          <w:p w14:paraId="2C1A2E89">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2.对冲冲洗宽度(m)：≥24。</w:t>
            </w:r>
          </w:p>
          <w:p w14:paraId="51E4F3BF">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3.后洒水宽度(m)：≥14。</w:t>
            </w:r>
          </w:p>
          <w:p w14:paraId="48F1AE80">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4.水炮射程(m)：≥50。</w:t>
            </w:r>
          </w:p>
          <w:p w14:paraId="6CE4AE62">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5.最小离地间隙(mm)：≥250。</w:t>
            </w:r>
          </w:p>
          <w:p w14:paraId="606DC4AF">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6.低压水泵扬程(m)：≥110。</w:t>
            </w:r>
          </w:p>
          <w:p w14:paraId="06E87642">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7.电池系统需通过严格的振动、冲击、挤压、湿热循环、海水浸泡、外部火烧、过温保护等试验。电池防护等级不低于IP68级。</w:t>
            </w:r>
          </w:p>
          <w:p w14:paraId="7D3B1626">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8.配有上装电机，电机直连驱动低压水泵，传动环节紧凑，效率高，噪声低。</w:t>
            </w:r>
          </w:p>
          <w:p w14:paraId="6AEE1483">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9.水罐需采用一次性包罐成型技术，渗透无损探伤检测，不漏水，水罐内部需采用专业防腐涂层，保证防腐效果。</w:t>
            </w:r>
          </w:p>
          <w:p w14:paraId="69154B99">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10.设有前鸭嘴冲洗装置，由气动切断阀控制，适用于冲洗路面及路沿，可在一定范围内任意调节鸭嘴型喷头的冲洗方位。</w:t>
            </w:r>
          </w:p>
          <w:p w14:paraId="13F25806">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11.设有对冲功能，由气动切断阀控制，可任意调节喷嘴角度，对冲可一次冲洗6条车道。</w:t>
            </w:r>
          </w:p>
          <w:p w14:paraId="7F176499">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12.设有后洒水装置，采用气动切断阀控制后洒水嘴的开启与关闭。</w:t>
            </w:r>
          </w:p>
          <w:p w14:paraId="2521ACC9">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13.设置有远射程水炮, 安装于后工作台附近。水炮可0～360°旋转、炮体可上下俯仰操作。正反拧转炮体前部的调节套管，可调节水流的喷射形状（柱状或锥状及关闭水炮。</w:t>
            </w:r>
          </w:p>
          <w:p w14:paraId="29608872">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14.需配备缺水报警，防止水泵无水运转。</w:t>
            </w:r>
          </w:p>
          <w:p w14:paraId="3FFDB9DC">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15.为保证作业人员安全，后作业平台和水罐顶部需设有防护栏。</w:t>
            </w:r>
          </w:p>
        </w:tc>
      </w:tr>
      <w:tr w14:paraId="3F03C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764" w:type="dxa"/>
            <w:noWrap w:val="0"/>
            <w:vAlign w:val="center"/>
          </w:tcPr>
          <w:p w14:paraId="1CD54DE1">
            <w:pPr>
              <w:keepNext w:val="0"/>
              <w:keepLines w:val="0"/>
              <w:pageBreakBefore w:val="0"/>
              <w:kinsoku/>
              <w:overflowPunct/>
              <w:topLinePunct w:val="0"/>
              <w:autoSpaceDE/>
              <w:autoSpaceDN/>
              <w:bidi w:val="0"/>
              <w:spacing w:line="400" w:lineRule="exact"/>
              <w:jc w:val="center"/>
              <w:rPr>
                <w:rFonts w:hint="default" w:ascii="宋体" w:hAnsi="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7</w:t>
            </w:r>
          </w:p>
        </w:tc>
        <w:tc>
          <w:tcPr>
            <w:tcW w:w="1000" w:type="dxa"/>
            <w:shd w:val="clear" w:color="auto" w:fill="auto"/>
            <w:noWrap w:val="0"/>
            <w:vAlign w:val="center"/>
          </w:tcPr>
          <w:p w14:paraId="6780276A">
            <w:pPr>
              <w:keepNext w:val="0"/>
              <w:keepLines w:val="0"/>
              <w:pageBreakBefore w:val="0"/>
              <w:widowControl/>
              <w:suppressLineNumbers w:val="0"/>
              <w:kinsoku/>
              <w:wordWrap/>
              <w:overflowPunct/>
              <w:topLinePunct w:val="0"/>
              <w:autoSpaceDE/>
              <w:autoSpaceDN/>
              <w:bidi w:val="0"/>
              <w:snapToGrid/>
              <w:spacing w:line="37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新能源抑尘车</w:t>
            </w:r>
          </w:p>
        </w:tc>
        <w:tc>
          <w:tcPr>
            <w:tcW w:w="879" w:type="dxa"/>
            <w:shd w:val="clear" w:color="auto" w:fill="auto"/>
            <w:noWrap w:val="0"/>
            <w:vAlign w:val="center"/>
          </w:tcPr>
          <w:p w14:paraId="77AB9556">
            <w:pPr>
              <w:keepNext w:val="0"/>
              <w:keepLines w:val="0"/>
              <w:pageBreakBefore w:val="0"/>
              <w:widowControl/>
              <w:suppressLineNumbers w:val="0"/>
              <w:kinsoku/>
              <w:wordWrap/>
              <w:overflowPunct/>
              <w:topLinePunct w:val="0"/>
              <w:autoSpaceDE/>
              <w:autoSpaceDN/>
              <w:bidi w:val="0"/>
              <w:snapToGrid/>
              <w:spacing w:line="37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2辆</w:t>
            </w:r>
          </w:p>
        </w:tc>
        <w:tc>
          <w:tcPr>
            <w:tcW w:w="6722" w:type="dxa"/>
            <w:shd w:val="clear" w:color="auto" w:fill="auto"/>
            <w:noWrap w:val="0"/>
            <w:vAlign w:val="top"/>
          </w:tcPr>
          <w:p w14:paraId="2A443A61">
            <w:pPr>
              <w:keepNext w:val="0"/>
              <w:keepLines w:val="0"/>
              <w:pageBreakBefore w:val="0"/>
              <w:widowControl w:val="0"/>
              <w:kinsoku/>
              <w:wordWrap/>
              <w:overflowPunct/>
              <w:topLinePunct w:val="0"/>
              <w:autoSpaceDE/>
              <w:autoSpaceDN/>
              <w:bidi w:val="0"/>
              <w:adjustRightInd w:val="0"/>
              <w:snapToGrid/>
              <w:spacing w:line="370" w:lineRule="exact"/>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一、主要技术要求</w:t>
            </w:r>
          </w:p>
          <w:p w14:paraId="2096C65B">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1.总质量(kg)≥18000。</w:t>
            </w:r>
          </w:p>
          <w:p w14:paraId="194B824D">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◆2.整备质量(kg)：≥10000。</w:t>
            </w:r>
          </w:p>
          <w:p w14:paraId="1CAD43FC">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3.额定载质量(kg)：≥7300。</w:t>
            </w:r>
          </w:p>
          <w:p w14:paraId="65542DC1">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4.外形尺寸：长×宽×高(mm)：≥9450×2500×3200。</w:t>
            </w:r>
          </w:p>
          <w:p w14:paraId="5D992D35">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◆5.总容积(m³)：≥7.3。</w:t>
            </w:r>
          </w:p>
          <w:p w14:paraId="09CB8D80">
            <w:pPr>
              <w:keepNext w:val="0"/>
              <w:keepLines w:val="0"/>
              <w:pageBreakBefore w:val="0"/>
              <w:widowControl w:val="0"/>
              <w:kinsoku/>
              <w:wordWrap/>
              <w:overflowPunct/>
              <w:topLinePunct w:val="0"/>
              <w:autoSpaceDE/>
              <w:autoSpaceDN/>
              <w:bidi w:val="0"/>
              <w:adjustRightInd w:val="0"/>
              <w:snapToGrid/>
              <w:spacing w:line="370" w:lineRule="exac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二、新能源电池电机要求</w:t>
            </w:r>
          </w:p>
          <w:p w14:paraId="71DC08C7">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1.底盘电机类型：永磁同步电机。</w:t>
            </w:r>
          </w:p>
          <w:p w14:paraId="5FF6DE2B">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2.电池种类：磷酸铁锂电池。</w:t>
            </w:r>
          </w:p>
          <w:p w14:paraId="683BFFB3">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3.电池及管理系统要求：采用原装电池包和原装BMS系统。</w:t>
            </w:r>
          </w:p>
          <w:p w14:paraId="541A35BD">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4.电池总储电量(kWh)：≥280。</w:t>
            </w:r>
          </w:p>
          <w:p w14:paraId="6CC6C5AD">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5.底盘电机额定功率(kW)：≥70。</w:t>
            </w:r>
          </w:p>
          <w:p w14:paraId="0CCF6991">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6.底盘电机峰值功率(kW)：≥150。</w:t>
            </w:r>
          </w:p>
          <w:p w14:paraId="0096D200">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7.水泵电机额定功率(kW)≥40。</w:t>
            </w:r>
          </w:p>
          <w:p w14:paraId="189918C2">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8.风炮电机额定功率(kW)≥40。</w:t>
            </w:r>
          </w:p>
          <w:p w14:paraId="13A4B738">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9.续航里程（等速法）</w:t>
            </w:r>
            <w:r>
              <w:rPr>
                <w:rFonts w:hint="eastAsia" w:ascii="宋体" w:hAnsi="宋体" w:eastAsia="宋体" w:cs="宋体"/>
                <w:color w:val="auto"/>
                <w:sz w:val="21"/>
                <w:szCs w:val="21"/>
                <w:highlight w:val="none"/>
              </w:rPr>
              <w:t>(km)</w:t>
            </w:r>
            <w:r>
              <w:rPr>
                <w:rFonts w:hint="eastAsia" w:ascii="宋体" w:hAnsi="宋体" w:eastAsia="宋体" w:cs="宋体"/>
                <w:color w:val="auto"/>
                <w:sz w:val="21"/>
                <w:szCs w:val="21"/>
                <w:highlight w:val="none"/>
                <w:lang w:val="en-US" w:eastAsia="zh-CN"/>
              </w:rPr>
              <w:t>：≥380。</w:t>
            </w:r>
          </w:p>
          <w:p w14:paraId="3391AB0D">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10.充电要求：支持直流快充。</w:t>
            </w:r>
          </w:p>
          <w:p w14:paraId="5D624084">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11.</w:t>
            </w:r>
            <w:r>
              <w:rPr>
                <w:rFonts w:hint="eastAsia" w:ascii="宋体" w:hAnsi="宋体" w:cs="宋体"/>
                <w:color w:val="auto"/>
                <w:sz w:val="21"/>
                <w:szCs w:val="21"/>
                <w:highlight w:val="none"/>
                <w:lang w:val="en-US" w:eastAsia="zh-CN"/>
              </w:rPr>
              <w:t>电池质保：8年或40万公里（先到者为准，衰减度在30%以内）。</w:t>
            </w:r>
          </w:p>
          <w:p w14:paraId="70A828E8">
            <w:pPr>
              <w:keepNext w:val="0"/>
              <w:keepLines w:val="0"/>
              <w:pageBreakBefore w:val="0"/>
              <w:widowControl w:val="0"/>
              <w:kinsoku/>
              <w:wordWrap/>
              <w:overflowPunct/>
              <w:topLinePunct w:val="0"/>
              <w:autoSpaceDE/>
              <w:autoSpaceDN/>
              <w:bidi w:val="0"/>
              <w:adjustRightInd w:val="0"/>
              <w:snapToGrid/>
              <w:spacing w:line="370" w:lineRule="exac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三、主要性能要求</w:t>
            </w:r>
          </w:p>
          <w:p w14:paraId="1296CB94">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1.最小离地间隙(mm)：≥240。</w:t>
            </w:r>
          </w:p>
          <w:p w14:paraId="53AB1B1A">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2.喷雾系统喷雾射程(mm)：≥100。</w:t>
            </w:r>
          </w:p>
          <w:p w14:paraId="72CEB21A">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3.喷雾系统喷雾射高(m)：≥35。</w:t>
            </w:r>
          </w:p>
          <w:p w14:paraId="65613043">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4.喷雾俯仰角度(°)：≥-10～60。</w:t>
            </w:r>
          </w:p>
          <w:p w14:paraId="6FFC3552">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5.喷雾回转角度(°)：≥-90～90。</w:t>
            </w:r>
          </w:p>
          <w:p w14:paraId="553484F0">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6.鸭嘴冲洗宽度(m)：≥10。</w:t>
            </w:r>
          </w:p>
          <w:p w14:paraId="382D7F03">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7.圆锥冲洗宽度(m)：≥24。</w:t>
            </w:r>
          </w:p>
          <w:p w14:paraId="4ED6191F">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8.后洒水宽度(m)：≥14。</w:t>
            </w:r>
          </w:p>
          <w:p w14:paraId="1A12788F">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9.后绿化浇灌宽度(m)：≥14。</w:t>
            </w:r>
          </w:p>
          <w:p w14:paraId="1A41469C">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10.水枪射程(m)：≥50。</w:t>
            </w:r>
          </w:p>
          <w:p w14:paraId="47673864">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11.水罐需进行防腐防锈处理，并设置有低水位报警，避免水泵因无水运转而损坏。</w:t>
            </w:r>
          </w:p>
          <w:p w14:paraId="7BCD0F53">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12.风机转速需分为“标准”、“强力”两种或更多模式，满足不同喷雾距离的需要。</w:t>
            </w:r>
          </w:p>
          <w:p w14:paraId="10A655DF">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13.车辆需配有鸭嘴、圆锥冲洗喷嘴、后洒水、后浇灌、水枪功能，可满足不同工况需求。</w:t>
            </w:r>
          </w:p>
          <w:p w14:paraId="5DC579E4">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14.通过单独的电机带动低压水泵，不通过底盘取力，作业速度不受限制。</w:t>
            </w:r>
          </w:p>
          <w:p w14:paraId="598E3457">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15.驾驶室内需设置有集成式控制盒和显示屏，可控制车辆全部作业功能，并需在后作业平台附近设置控制面板，用于控制风炮作业的部分动作。</w:t>
            </w:r>
          </w:p>
          <w:p w14:paraId="61CA1EF4">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16.设置有多重安全防护装置与报警系统，水箱水位、上装电机转速可在显示屏上集中显示信息，并可显示故障和及时预警。 </w:t>
            </w:r>
          </w:p>
          <w:p w14:paraId="6D7038B7">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17.车辆后部需装有摄像头，驾驶室内装有彩色显示屏。风炮作业时，可以在驾驶室内监视风炮的作业状态，避免发生碰撞。</w:t>
            </w:r>
          </w:p>
          <w:p w14:paraId="57D6516B">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18.设置有警示灯、安全标贴、作业音乐等多重方式提示周围行人注意避让。</w:t>
            </w:r>
          </w:p>
          <w:p w14:paraId="0D787DAF">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19.带无线遥控，遥控距离≥100m。</w:t>
            </w:r>
          </w:p>
        </w:tc>
      </w:tr>
      <w:tr w14:paraId="52C42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764" w:type="dxa"/>
            <w:noWrap w:val="0"/>
            <w:vAlign w:val="center"/>
          </w:tcPr>
          <w:p w14:paraId="2EC5CAD3">
            <w:pPr>
              <w:keepNext w:val="0"/>
              <w:keepLines w:val="0"/>
              <w:pageBreakBefore w:val="0"/>
              <w:kinsoku/>
              <w:overflowPunct/>
              <w:topLinePunct w:val="0"/>
              <w:autoSpaceDE/>
              <w:autoSpaceDN/>
              <w:bidi w:val="0"/>
              <w:spacing w:line="400" w:lineRule="exact"/>
              <w:jc w:val="center"/>
              <w:rPr>
                <w:rFonts w:hint="default" w:ascii="宋体" w:hAnsi="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8</w:t>
            </w:r>
          </w:p>
        </w:tc>
        <w:tc>
          <w:tcPr>
            <w:tcW w:w="1000" w:type="dxa"/>
            <w:shd w:val="clear" w:color="auto" w:fill="auto"/>
            <w:noWrap w:val="0"/>
            <w:vAlign w:val="center"/>
          </w:tcPr>
          <w:p w14:paraId="54581C2A">
            <w:pPr>
              <w:keepNext w:val="0"/>
              <w:keepLines w:val="0"/>
              <w:pageBreakBefore w:val="0"/>
              <w:widowControl/>
              <w:suppressLineNumbers w:val="0"/>
              <w:kinsoku/>
              <w:wordWrap/>
              <w:overflowPunct/>
              <w:topLinePunct w:val="0"/>
              <w:autoSpaceDE/>
              <w:autoSpaceDN/>
              <w:bidi w:val="0"/>
              <w:snapToGrid/>
              <w:spacing w:line="37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新能源中型护栏清洗车</w:t>
            </w:r>
          </w:p>
        </w:tc>
        <w:tc>
          <w:tcPr>
            <w:tcW w:w="879" w:type="dxa"/>
            <w:shd w:val="clear" w:color="auto" w:fill="auto"/>
            <w:noWrap w:val="0"/>
            <w:vAlign w:val="center"/>
          </w:tcPr>
          <w:p w14:paraId="6496B294">
            <w:pPr>
              <w:keepNext w:val="0"/>
              <w:keepLines w:val="0"/>
              <w:pageBreakBefore w:val="0"/>
              <w:widowControl/>
              <w:suppressLineNumbers w:val="0"/>
              <w:kinsoku/>
              <w:wordWrap/>
              <w:overflowPunct/>
              <w:topLinePunct w:val="0"/>
              <w:autoSpaceDE/>
              <w:autoSpaceDN/>
              <w:bidi w:val="0"/>
              <w:snapToGrid/>
              <w:spacing w:line="37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1辆</w:t>
            </w:r>
          </w:p>
        </w:tc>
        <w:tc>
          <w:tcPr>
            <w:tcW w:w="6722" w:type="dxa"/>
            <w:shd w:val="clear" w:color="auto" w:fill="auto"/>
            <w:noWrap w:val="0"/>
            <w:vAlign w:val="top"/>
          </w:tcPr>
          <w:p w14:paraId="6EC0D5DE">
            <w:pPr>
              <w:keepNext w:val="0"/>
              <w:keepLines w:val="0"/>
              <w:pageBreakBefore w:val="0"/>
              <w:widowControl w:val="0"/>
              <w:kinsoku/>
              <w:wordWrap/>
              <w:overflowPunct/>
              <w:topLinePunct w:val="0"/>
              <w:autoSpaceDE/>
              <w:autoSpaceDN/>
              <w:bidi w:val="0"/>
              <w:adjustRightInd w:val="0"/>
              <w:snapToGrid/>
              <w:spacing w:line="37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val="en-US" w:eastAsia="zh-CN"/>
              </w:rPr>
              <w:t>一、主要技术要求</w:t>
            </w:r>
          </w:p>
          <w:p w14:paraId="36F2C657">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总质量(kg)</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≥119</w:t>
            </w:r>
            <w:r>
              <w:rPr>
                <w:rFonts w:hint="eastAsia" w:ascii="宋体" w:hAnsi="宋体" w:eastAsia="宋体" w:cs="宋体"/>
                <w:color w:val="auto"/>
                <w:sz w:val="21"/>
                <w:szCs w:val="21"/>
                <w:highlight w:val="none"/>
                <w:lang w:val="en-US" w:eastAsia="zh-CN"/>
              </w:rPr>
              <w:t>00。</w:t>
            </w:r>
          </w:p>
          <w:p w14:paraId="4B083DA5">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2.额定载质量（</w:t>
            </w:r>
            <w:r>
              <w:rPr>
                <w:rFonts w:hint="eastAsia" w:ascii="宋体" w:hAnsi="宋体" w:eastAsia="宋体" w:cs="宋体"/>
                <w:color w:val="auto"/>
                <w:sz w:val="21"/>
                <w:szCs w:val="21"/>
                <w:highlight w:val="none"/>
              </w:rPr>
              <w:t>kg</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4500。</w:t>
            </w:r>
          </w:p>
          <w:p w14:paraId="636F4053">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整备质量(kg)</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00</w:t>
            </w:r>
            <w:r>
              <w:rPr>
                <w:rFonts w:hint="eastAsia" w:ascii="宋体" w:hAnsi="宋体" w:eastAsia="宋体" w:cs="宋体"/>
                <w:color w:val="auto"/>
                <w:sz w:val="21"/>
                <w:szCs w:val="21"/>
                <w:highlight w:val="none"/>
                <w:lang w:eastAsia="zh-CN"/>
              </w:rPr>
              <w:t>。</w:t>
            </w:r>
          </w:p>
          <w:p w14:paraId="48FD11CA">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外形尺寸</w:t>
            </w:r>
            <w:r>
              <w:rPr>
                <w:rFonts w:hint="eastAsia" w:ascii="宋体" w:hAnsi="宋体" w:eastAsia="宋体" w:cs="宋体"/>
                <w:color w:val="auto"/>
                <w:sz w:val="21"/>
                <w:szCs w:val="21"/>
                <w:highlight w:val="none"/>
              </w:rPr>
              <w:t>：长×宽×高(mm)</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≥6400×2100×2600</w:t>
            </w:r>
            <w:r>
              <w:rPr>
                <w:rFonts w:hint="eastAsia" w:ascii="宋体" w:hAnsi="宋体" w:eastAsia="宋体" w:cs="宋体"/>
                <w:color w:val="auto"/>
                <w:sz w:val="21"/>
                <w:szCs w:val="21"/>
                <w:highlight w:val="none"/>
                <w:lang w:eastAsia="zh-CN"/>
              </w:rPr>
              <w:t>。</w:t>
            </w:r>
          </w:p>
          <w:p w14:paraId="1766678A">
            <w:pPr>
              <w:keepNext w:val="0"/>
              <w:keepLines w:val="0"/>
              <w:pageBreakBefore w:val="0"/>
              <w:widowControl w:val="0"/>
              <w:kinsoku/>
              <w:wordWrap/>
              <w:overflowPunct/>
              <w:topLinePunct w:val="0"/>
              <w:autoSpaceDE/>
              <w:autoSpaceDN/>
              <w:bidi w:val="0"/>
              <w:adjustRightInd w:val="0"/>
              <w:snapToGrid/>
              <w:spacing w:line="370" w:lineRule="exac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二、新能源电池电机要求</w:t>
            </w:r>
          </w:p>
          <w:p w14:paraId="45A00DC1">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1.底盘电机类型：永磁同步电机。</w:t>
            </w:r>
          </w:p>
          <w:p w14:paraId="12A4C016">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2.电池种类：磷酸铁锂电池。</w:t>
            </w:r>
          </w:p>
          <w:p w14:paraId="02B26F68">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3.电池及管理系统要求：采用原装电池包和原装BMS系统。</w:t>
            </w:r>
          </w:p>
          <w:p w14:paraId="77831759">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4.电池总储电量(kWh)：≥160。</w:t>
            </w:r>
          </w:p>
          <w:p w14:paraId="5FF0887A">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底盘驱动电机额定功率(kW)</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50。</w:t>
            </w:r>
          </w:p>
          <w:p w14:paraId="683A8A1F">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底盘驱动电机峰值功率(kW)</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≥120</w:t>
            </w:r>
            <w:r>
              <w:rPr>
                <w:rFonts w:hint="eastAsia" w:ascii="宋体" w:hAnsi="宋体" w:eastAsia="宋体" w:cs="宋体"/>
                <w:color w:val="auto"/>
                <w:sz w:val="21"/>
                <w:szCs w:val="21"/>
                <w:highlight w:val="none"/>
                <w:lang w:eastAsia="zh-CN"/>
              </w:rPr>
              <w:t>。</w:t>
            </w:r>
          </w:p>
          <w:p w14:paraId="0308FC7D">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上装电机额定功率(kW)</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lang w:eastAsia="zh-CN"/>
              </w:rPr>
              <w:t>。</w:t>
            </w:r>
          </w:p>
          <w:p w14:paraId="461CD69D">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8.充电要求：支持直流快充。</w:t>
            </w:r>
          </w:p>
          <w:p w14:paraId="32DF2970">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9.</w:t>
            </w:r>
            <w:r>
              <w:rPr>
                <w:rFonts w:hint="eastAsia" w:ascii="宋体" w:hAnsi="宋体" w:cs="宋体"/>
                <w:color w:val="auto"/>
                <w:sz w:val="21"/>
                <w:szCs w:val="21"/>
                <w:highlight w:val="none"/>
                <w:lang w:val="en-US" w:eastAsia="zh-CN"/>
              </w:rPr>
              <w:t>电池质保：8年或40万公里（先到者为准，衰减度在30%以内）。</w:t>
            </w:r>
          </w:p>
          <w:p w14:paraId="622EB57E">
            <w:pPr>
              <w:keepNext w:val="0"/>
              <w:keepLines w:val="0"/>
              <w:pageBreakBefore w:val="0"/>
              <w:widowControl w:val="0"/>
              <w:kinsoku/>
              <w:wordWrap/>
              <w:overflowPunct/>
              <w:topLinePunct w:val="0"/>
              <w:autoSpaceDE/>
              <w:autoSpaceDN/>
              <w:bidi w:val="0"/>
              <w:adjustRightInd w:val="0"/>
              <w:snapToGrid/>
              <w:spacing w:line="37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三、主要性能要求</w:t>
            </w:r>
          </w:p>
          <w:p w14:paraId="08289E0F">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罐体总容量(m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6。</w:t>
            </w:r>
          </w:p>
          <w:p w14:paraId="412E8930">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续驶里程(满载，等速法)(km)</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≥380</w:t>
            </w:r>
            <w:r>
              <w:rPr>
                <w:rFonts w:hint="eastAsia" w:ascii="宋体" w:hAnsi="宋体" w:eastAsia="宋体" w:cs="宋体"/>
                <w:color w:val="auto"/>
                <w:sz w:val="21"/>
                <w:szCs w:val="21"/>
                <w:highlight w:val="none"/>
                <w:lang w:eastAsia="zh-CN"/>
              </w:rPr>
              <w:t>。</w:t>
            </w:r>
          </w:p>
          <w:p w14:paraId="08583A20">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最大清洗厚度(mm)</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0～</w:t>
            </w:r>
            <w:r>
              <w:rPr>
                <w:rFonts w:hint="eastAsia" w:ascii="宋体" w:hAnsi="宋体" w:eastAsia="宋体" w:cs="宋体"/>
                <w:b w:val="0"/>
                <w:bCs/>
                <w:color w:val="auto"/>
                <w:sz w:val="21"/>
                <w:szCs w:val="21"/>
                <w:highlight w:val="none"/>
                <w:vertAlign w:val="baseline"/>
                <w:lang w:val="en-US" w:eastAsia="zh-CN"/>
              </w:rPr>
              <w:t>≥</w:t>
            </w:r>
            <w:r>
              <w:rPr>
                <w:rFonts w:hint="eastAsia" w:ascii="宋体" w:hAnsi="宋体" w:eastAsia="宋体" w:cs="宋体"/>
                <w:color w:val="auto"/>
                <w:sz w:val="21"/>
                <w:szCs w:val="21"/>
                <w:highlight w:val="none"/>
              </w:rPr>
              <w:t>230</w:t>
            </w:r>
            <w:r>
              <w:rPr>
                <w:rFonts w:hint="eastAsia" w:ascii="宋体" w:hAnsi="宋体" w:eastAsia="宋体" w:cs="宋体"/>
                <w:color w:val="auto"/>
                <w:sz w:val="21"/>
                <w:szCs w:val="21"/>
                <w:highlight w:val="none"/>
                <w:lang w:eastAsia="zh-CN"/>
              </w:rPr>
              <w:t>。</w:t>
            </w:r>
          </w:p>
          <w:p w14:paraId="300F89AB">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清洗护栏高度(mm)</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100～</w:t>
            </w:r>
            <w:r>
              <w:rPr>
                <w:rFonts w:hint="eastAsia" w:ascii="宋体" w:hAnsi="宋体" w:eastAsia="宋体" w:cs="宋体"/>
                <w:b w:val="0"/>
                <w:bCs/>
                <w:color w:val="auto"/>
                <w:sz w:val="21"/>
                <w:szCs w:val="21"/>
                <w:highlight w:val="none"/>
                <w:vertAlign w:val="baseline"/>
                <w:lang w:val="en-US" w:eastAsia="zh-CN"/>
              </w:rPr>
              <w:t>≥</w:t>
            </w:r>
            <w:r>
              <w:rPr>
                <w:rFonts w:hint="eastAsia" w:ascii="宋体" w:hAnsi="宋体" w:eastAsia="宋体" w:cs="宋体"/>
                <w:color w:val="auto"/>
                <w:sz w:val="21"/>
                <w:szCs w:val="21"/>
                <w:highlight w:val="none"/>
              </w:rPr>
              <w:t>1600</w:t>
            </w:r>
            <w:r>
              <w:rPr>
                <w:rFonts w:hint="eastAsia" w:ascii="宋体" w:hAnsi="宋体" w:eastAsia="宋体" w:cs="宋体"/>
                <w:color w:val="auto"/>
                <w:sz w:val="21"/>
                <w:szCs w:val="21"/>
                <w:highlight w:val="none"/>
                <w:lang w:eastAsia="zh-CN"/>
              </w:rPr>
              <w:t>。</w:t>
            </w:r>
          </w:p>
          <w:p w14:paraId="5FFF84B8">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清洗效率(%)≥90</w:t>
            </w:r>
            <w:r>
              <w:rPr>
                <w:rFonts w:hint="eastAsia" w:ascii="宋体" w:hAnsi="宋体" w:eastAsia="宋体" w:cs="宋体"/>
                <w:color w:val="auto"/>
                <w:sz w:val="21"/>
                <w:szCs w:val="21"/>
                <w:highlight w:val="none"/>
                <w:lang w:eastAsia="zh-CN"/>
              </w:rPr>
              <w:t>。</w:t>
            </w:r>
          </w:p>
          <w:p w14:paraId="5D0662FE">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高压水泵压力(MPa)≥15</w:t>
            </w:r>
            <w:r>
              <w:rPr>
                <w:rFonts w:hint="eastAsia" w:ascii="宋体" w:hAnsi="宋体" w:eastAsia="宋体" w:cs="宋体"/>
                <w:color w:val="auto"/>
                <w:sz w:val="21"/>
                <w:szCs w:val="21"/>
                <w:highlight w:val="none"/>
                <w:lang w:eastAsia="zh-CN"/>
              </w:rPr>
              <w:t>。</w:t>
            </w:r>
          </w:p>
          <w:p w14:paraId="4366DDC7">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需采用副电机驱动分动箱，分动箱再驱动双联齿轮泵和高压水泵，高压水泵可通过分动箱拨杆进行分离，实现工作机构、执行机构的单独控制。</w:t>
            </w:r>
          </w:p>
          <w:p w14:paraId="659F5297">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水箱需采用瓦棱结构设计，强度高，内腔作防锈防腐处理，水罐中间需用防波板隔开并配有高低水位标记管。</w:t>
            </w:r>
          </w:p>
          <w:p w14:paraId="08382E94">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水箱顶部需设置护栏装置，能在维护作业时提供可靠安全防护。</w:t>
            </w:r>
          </w:p>
          <w:p w14:paraId="4857F7BE">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水箱顶部需设置有吊装装置，</w:t>
            </w:r>
            <w:r>
              <w:rPr>
                <w:rFonts w:hint="eastAsia" w:ascii="宋体" w:hAnsi="宋体" w:eastAsia="宋体" w:cs="宋体"/>
                <w:color w:val="auto"/>
                <w:sz w:val="21"/>
                <w:szCs w:val="21"/>
                <w:highlight w:val="none"/>
                <w:lang w:val="en-US" w:eastAsia="zh-CN"/>
              </w:rPr>
              <w:t>便于</w:t>
            </w:r>
            <w:r>
              <w:rPr>
                <w:rFonts w:hint="eastAsia" w:ascii="宋体" w:hAnsi="宋体" w:eastAsia="宋体" w:cs="宋体"/>
                <w:color w:val="auto"/>
                <w:sz w:val="21"/>
                <w:szCs w:val="21"/>
                <w:highlight w:val="none"/>
              </w:rPr>
              <w:t>吊装和拆装。</w:t>
            </w:r>
          </w:p>
          <w:p w14:paraId="41E2AD92">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清洗作业需采用控制器+液晶屏+遥控器操作面板开关控制，集自动控制与监测、设备管理、故障报警与诊断于一体。</w:t>
            </w:r>
          </w:p>
          <w:p w14:paraId="2C3390D8">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车辆上部需装有摄像头，驾驶室内需装有彩色显示屏。作业时，可以在驾驶室内检查监视清洗状态。</w:t>
            </w:r>
          </w:p>
          <w:p w14:paraId="5D230E28">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13.</w:t>
            </w:r>
            <w:r>
              <w:rPr>
                <w:rFonts w:hint="eastAsia" w:ascii="宋体" w:hAnsi="宋体" w:eastAsia="宋体" w:cs="宋体"/>
                <w:color w:val="auto"/>
                <w:sz w:val="21"/>
                <w:szCs w:val="21"/>
                <w:highlight w:val="none"/>
              </w:rPr>
              <w:t>护栏清洗机构需具有四个滚刷总成，可根据护栏高度，使清洗装置在高度方向自由调节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可根据护栏的厚度、干净程度调整内外滚刷的间距。每个滚刷由独立的马达驱动旋转，</w:t>
            </w:r>
            <w:r>
              <w:rPr>
                <w:rFonts w:hint="eastAsia" w:ascii="宋体" w:hAnsi="宋体" w:eastAsia="宋体" w:cs="宋体"/>
                <w:color w:val="auto"/>
                <w:sz w:val="21"/>
                <w:szCs w:val="21"/>
                <w:highlight w:val="none"/>
                <w:lang w:eastAsia="zh-CN"/>
              </w:rPr>
              <w:t>相邻</w:t>
            </w:r>
            <w:r>
              <w:rPr>
                <w:rFonts w:hint="eastAsia" w:ascii="宋体" w:hAnsi="宋体" w:eastAsia="宋体" w:cs="宋体"/>
                <w:color w:val="auto"/>
                <w:sz w:val="21"/>
                <w:szCs w:val="21"/>
                <w:highlight w:val="none"/>
              </w:rPr>
              <w:t>滚刷的旋转方向相反，能实现护栏的全方位刷洗。</w:t>
            </w:r>
          </w:p>
          <w:p w14:paraId="0E72D3F6">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14.</w:t>
            </w:r>
            <w:r>
              <w:rPr>
                <w:rFonts w:hint="eastAsia" w:ascii="宋体" w:hAnsi="宋体" w:eastAsia="宋体" w:cs="宋体"/>
                <w:color w:val="auto"/>
                <w:sz w:val="21"/>
                <w:szCs w:val="21"/>
                <w:highlight w:val="none"/>
              </w:rPr>
              <w:t>需配备多重感应系统和监视系统，能在作业时感应和监视到各机构动作执行情况。</w:t>
            </w:r>
          </w:p>
          <w:p w14:paraId="3CA29B6C">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用户可根据现场作业需求，自由选择护栏清洗机构的左侧或右侧清洗作业模式。</w:t>
            </w:r>
          </w:p>
          <w:p w14:paraId="470B6947">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16.</w:t>
            </w:r>
            <w:r>
              <w:rPr>
                <w:rFonts w:hint="eastAsia" w:ascii="宋体" w:hAnsi="宋体" w:eastAsia="宋体" w:cs="宋体"/>
                <w:color w:val="auto"/>
                <w:sz w:val="21"/>
                <w:szCs w:val="21"/>
                <w:highlight w:val="none"/>
              </w:rPr>
              <w:t>需具有左/右角喷作业模式，根据护栏座墩高度，可以调节左/右角喷喷嘴角度，用于冲洗护栏座墩。</w:t>
            </w:r>
          </w:p>
          <w:p w14:paraId="0056C112">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17.</w:t>
            </w:r>
            <w:r>
              <w:rPr>
                <w:rFonts w:hint="eastAsia" w:ascii="宋体" w:hAnsi="宋体" w:eastAsia="宋体" w:cs="宋体"/>
                <w:color w:val="auto"/>
                <w:sz w:val="21"/>
                <w:szCs w:val="21"/>
                <w:highlight w:val="none"/>
              </w:rPr>
              <w:t>需配有中角喷，可以调节中角喷喷嘴角度，用于冲洗双黄线。</w:t>
            </w:r>
          </w:p>
          <w:p w14:paraId="305AD7D5">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18.</w:t>
            </w:r>
            <w:r>
              <w:rPr>
                <w:rFonts w:hint="eastAsia" w:ascii="宋体" w:hAnsi="宋体" w:eastAsia="宋体" w:cs="宋体"/>
                <w:color w:val="auto"/>
                <w:sz w:val="21"/>
                <w:szCs w:val="21"/>
                <w:highlight w:val="none"/>
              </w:rPr>
              <w:t>需具有定速巡航功能，车辆在5～10km/h的低速范围内保持稳定的行驶速度，确保清洗效果。</w:t>
            </w:r>
          </w:p>
          <w:p w14:paraId="023D2024">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19.</w:t>
            </w:r>
            <w:r>
              <w:rPr>
                <w:rFonts w:hint="eastAsia" w:ascii="宋体" w:hAnsi="宋体" w:eastAsia="宋体" w:cs="宋体"/>
                <w:color w:val="auto"/>
                <w:sz w:val="21"/>
                <w:szCs w:val="21"/>
                <w:highlight w:val="none"/>
              </w:rPr>
              <w:t>水路系统需配置有过滤器，确保水泵安全正常运行</w:t>
            </w:r>
            <w:r>
              <w:rPr>
                <w:rFonts w:hint="eastAsia" w:ascii="宋体" w:hAnsi="宋体" w:eastAsia="宋体" w:cs="宋体"/>
                <w:color w:val="auto"/>
                <w:sz w:val="21"/>
                <w:szCs w:val="21"/>
                <w:highlight w:val="none"/>
                <w:lang w:eastAsia="zh-CN"/>
              </w:rPr>
              <w:t>。</w:t>
            </w:r>
          </w:p>
          <w:p w14:paraId="15B77F19">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液压系统需配置风冷冷却器，</w:t>
            </w:r>
            <w:r>
              <w:rPr>
                <w:rFonts w:hint="eastAsia" w:ascii="宋体" w:hAnsi="宋体" w:eastAsia="宋体" w:cs="宋体"/>
                <w:color w:val="auto"/>
                <w:sz w:val="21"/>
                <w:szCs w:val="21"/>
                <w:highlight w:val="none"/>
                <w:lang w:val="en-US" w:eastAsia="zh-CN"/>
              </w:rPr>
              <w:t>便于</w:t>
            </w:r>
            <w:r>
              <w:rPr>
                <w:rFonts w:hint="eastAsia" w:ascii="宋体" w:hAnsi="宋体" w:eastAsia="宋体" w:cs="宋体"/>
                <w:color w:val="auto"/>
                <w:sz w:val="21"/>
                <w:szCs w:val="21"/>
                <w:highlight w:val="none"/>
              </w:rPr>
              <w:t>维护</w:t>
            </w:r>
            <w:r>
              <w:rPr>
                <w:rFonts w:hint="eastAsia" w:ascii="宋体" w:hAnsi="宋体" w:eastAsia="宋体" w:cs="宋体"/>
                <w:color w:val="auto"/>
                <w:sz w:val="21"/>
                <w:szCs w:val="21"/>
                <w:highlight w:val="none"/>
                <w:lang w:eastAsia="zh-CN"/>
              </w:rPr>
              <w:t>。</w:t>
            </w:r>
          </w:p>
          <w:p w14:paraId="11D58AF3">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21.</w:t>
            </w:r>
            <w:r>
              <w:rPr>
                <w:rFonts w:hint="eastAsia" w:ascii="宋体" w:hAnsi="宋体" w:eastAsia="宋体" w:cs="宋体"/>
                <w:color w:val="auto"/>
                <w:sz w:val="21"/>
                <w:szCs w:val="21"/>
                <w:highlight w:val="none"/>
              </w:rPr>
              <w:t>水箱需配有低水位传感器保护系统，防止水泵缺水运转损坏</w:t>
            </w:r>
            <w:r>
              <w:rPr>
                <w:rFonts w:hint="eastAsia" w:ascii="宋体" w:hAnsi="宋体" w:eastAsia="宋体" w:cs="宋体"/>
                <w:color w:val="auto"/>
                <w:sz w:val="21"/>
                <w:szCs w:val="21"/>
                <w:highlight w:val="none"/>
                <w:lang w:eastAsia="zh-CN"/>
              </w:rPr>
              <w:t>。</w:t>
            </w:r>
          </w:p>
          <w:p w14:paraId="2BD60401">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22.</w:t>
            </w:r>
            <w:r>
              <w:rPr>
                <w:rFonts w:hint="eastAsia" w:ascii="宋体" w:hAnsi="宋体" w:eastAsia="宋体" w:cs="宋体"/>
                <w:color w:val="auto"/>
                <w:sz w:val="21"/>
                <w:szCs w:val="21"/>
                <w:highlight w:val="none"/>
              </w:rPr>
              <w:t>液压油箱需配有液位报警装置，提醒</w:t>
            </w:r>
            <w:r>
              <w:rPr>
                <w:rFonts w:hint="eastAsia" w:ascii="宋体" w:hAnsi="宋体" w:eastAsia="宋体" w:cs="宋体"/>
                <w:color w:val="auto"/>
                <w:sz w:val="21"/>
                <w:szCs w:val="21"/>
                <w:highlight w:val="none"/>
                <w:lang w:eastAsia="zh-CN"/>
              </w:rPr>
              <w:t>操作员</w:t>
            </w:r>
            <w:r>
              <w:rPr>
                <w:rFonts w:hint="eastAsia" w:ascii="宋体" w:hAnsi="宋体" w:eastAsia="宋体" w:cs="宋体"/>
                <w:color w:val="auto"/>
                <w:sz w:val="21"/>
                <w:szCs w:val="21"/>
                <w:highlight w:val="none"/>
              </w:rPr>
              <w:t>随时加注油液。</w:t>
            </w:r>
          </w:p>
          <w:p w14:paraId="77F9F278">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23.</w:t>
            </w:r>
            <w:r>
              <w:rPr>
                <w:rFonts w:hint="eastAsia" w:ascii="宋体" w:hAnsi="宋体" w:eastAsia="宋体" w:cs="宋体"/>
                <w:color w:val="auto"/>
                <w:sz w:val="21"/>
                <w:szCs w:val="21"/>
                <w:highlight w:val="none"/>
              </w:rPr>
              <w:t>车辆需设有信号语音报警系统，车辆后部需装有音乐喇叭，在系统存在水箱缺水、液压系统漏油等工况时，发出报警音，提醒操作员。</w:t>
            </w:r>
          </w:p>
          <w:p w14:paraId="44E81C2A">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24.</w:t>
            </w:r>
            <w:r>
              <w:rPr>
                <w:rFonts w:hint="eastAsia" w:ascii="宋体" w:hAnsi="宋体" w:eastAsia="宋体" w:cs="宋体"/>
                <w:color w:val="auto"/>
                <w:sz w:val="21"/>
                <w:szCs w:val="21"/>
                <w:highlight w:val="none"/>
              </w:rPr>
              <w:t>需配有手持喷枪，配快速接头，</w:t>
            </w:r>
            <w:r>
              <w:rPr>
                <w:rFonts w:hint="eastAsia" w:ascii="宋体" w:hAnsi="宋体" w:eastAsia="宋体" w:cs="宋体"/>
                <w:color w:val="auto"/>
                <w:sz w:val="21"/>
                <w:szCs w:val="21"/>
                <w:highlight w:val="none"/>
                <w:lang w:val="en-US" w:eastAsia="zh-CN"/>
              </w:rPr>
              <w:t>便于</w:t>
            </w:r>
            <w:r>
              <w:rPr>
                <w:rFonts w:hint="eastAsia" w:ascii="宋体" w:hAnsi="宋体" w:eastAsia="宋体" w:cs="宋体"/>
                <w:color w:val="auto"/>
                <w:sz w:val="21"/>
                <w:szCs w:val="21"/>
                <w:highlight w:val="none"/>
              </w:rPr>
              <w:t>与冲洗卷盘连接或脱开，</w:t>
            </w:r>
            <w:r>
              <w:rPr>
                <w:rFonts w:hint="eastAsia" w:ascii="宋体" w:hAnsi="宋体" w:eastAsia="宋体" w:cs="宋体"/>
                <w:color w:val="auto"/>
                <w:sz w:val="21"/>
                <w:szCs w:val="21"/>
                <w:highlight w:val="none"/>
                <w:lang w:val="en-US" w:eastAsia="zh-CN"/>
              </w:rPr>
              <w:t>便于</w:t>
            </w:r>
            <w:r>
              <w:rPr>
                <w:rFonts w:hint="eastAsia" w:ascii="宋体" w:hAnsi="宋体" w:eastAsia="宋体" w:cs="宋体"/>
                <w:color w:val="auto"/>
                <w:sz w:val="21"/>
                <w:szCs w:val="21"/>
                <w:highlight w:val="none"/>
              </w:rPr>
              <w:t>清洗。</w:t>
            </w:r>
          </w:p>
        </w:tc>
      </w:tr>
      <w:tr w14:paraId="721D8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764" w:type="dxa"/>
            <w:noWrap w:val="0"/>
            <w:vAlign w:val="center"/>
          </w:tcPr>
          <w:p w14:paraId="68250AEF">
            <w:pPr>
              <w:keepNext w:val="0"/>
              <w:keepLines w:val="0"/>
              <w:pageBreakBefore w:val="0"/>
              <w:kinsoku/>
              <w:overflowPunct/>
              <w:topLinePunct w:val="0"/>
              <w:autoSpaceDE/>
              <w:autoSpaceDN/>
              <w:bidi w:val="0"/>
              <w:spacing w:line="400" w:lineRule="exact"/>
              <w:jc w:val="center"/>
              <w:rPr>
                <w:rFonts w:hint="default" w:ascii="宋体" w:hAnsi="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9</w:t>
            </w:r>
          </w:p>
        </w:tc>
        <w:tc>
          <w:tcPr>
            <w:tcW w:w="1000" w:type="dxa"/>
            <w:shd w:val="clear" w:color="auto" w:fill="auto"/>
            <w:noWrap w:val="0"/>
            <w:vAlign w:val="center"/>
          </w:tcPr>
          <w:p w14:paraId="47D2C1D1">
            <w:pPr>
              <w:keepNext w:val="0"/>
              <w:keepLines w:val="0"/>
              <w:pageBreakBefore w:val="0"/>
              <w:widowControl/>
              <w:suppressLineNumbers w:val="0"/>
              <w:kinsoku/>
              <w:wordWrap/>
              <w:overflowPunct/>
              <w:topLinePunct w:val="0"/>
              <w:autoSpaceDE/>
              <w:autoSpaceDN/>
              <w:bidi w:val="0"/>
              <w:snapToGrid/>
              <w:spacing w:line="37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新能源重型勾臂车</w:t>
            </w:r>
          </w:p>
        </w:tc>
        <w:tc>
          <w:tcPr>
            <w:tcW w:w="879" w:type="dxa"/>
            <w:shd w:val="clear" w:color="auto" w:fill="auto"/>
            <w:noWrap w:val="0"/>
            <w:vAlign w:val="center"/>
          </w:tcPr>
          <w:p w14:paraId="781A367C">
            <w:pPr>
              <w:keepNext w:val="0"/>
              <w:keepLines w:val="0"/>
              <w:pageBreakBefore w:val="0"/>
              <w:widowControl/>
              <w:suppressLineNumbers w:val="0"/>
              <w:kinsoku/>
              <w:wordWrap/>
              <w:overflowPunct/>
              <w:topLinePunct w:val="0"/>
              <w:autoSpaceDE/>
              <w:autoSpaceDN/>
              <w:bidi w:val="0"/>
              <w:snapToGrid/>
              <w:spacing w:line="37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6辆</w:t>
            </w:r>
          </w:p>
        </w:tc>
        <w:tc>
          <w:tcPr>
            <w:tcW w:w="6722" w:type="dxa"/>
            <w:shd w:val="clear" w:color="auto" w:fill="auto"/>
            <w:noWrap w:val="0"/>
            <w:vAlign w:val="top"/>
          </w:tcPr>
          <w:p w14:paraId="79F72842">
            <w:pPr>
              <w:keepNext w:val="0"/>
              <w:keepLines w:val="0"/>
              <w:pageBreakBefore w:val="0"/>
              <w:widowControl w:val="0"/>
              <w:numPr>
                <w:ilvl w:val="0"/>
                <w:numId w:val="0"/>
              </w:numPr>
              <w:kinsoku/>
              <w:wordWrap/>
              <w:overflowPunct/>
              <w:topLinePunct w:val="0"/>
              <w:autoSpaceDE/>
              <w:autoSpaceDN/>
              <w:bidi w:val="0"/>
              <w:adjustRightInd w:val="0"/>
              <w:snapToGrid/>
              <w:spacing w:line="370" w:lineRule="exact"/>
              <w:jc w:val="left"/>
              <w:textAlignment w:val="auto"/>
              <w:outlineLvl w:val="1"/>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一、主要技术要求</w:t>
            </w:r>
          </w:p>
          <w:p w14:paraId="16A17F89">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1.▲总质量(kg)：≥31000。</w:t>
            </w:r>
          </w:p>
          <w:p w14:paraId="1484B060">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2.▲额定载质量(kg)：≥16100。</w:t>
            </w:r>
          </w:p>
          <w:p w14:paraId="02E7673B">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3.◆整备质量(kg)：≥14200。</w:t>
            </w:r>
          </w:p>
          <w:p w14:paraId="62BAA309">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4.外型尺寸:长×宽×高(mm)：≥9500×2520×3000。</w:t>
            </w:r>
          </w:p>
          <w:p w14:paraId="2414BA14">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5.▲前悬/后悬（mm）：≤1430/1280。</w:t>
            </w:r>
          </w:p>
          <w:p w14:paraId="1CD7BC6B">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6.▲接近角/离去角（°）：≥17/21。</w:t>
            </w:r>
          </w:p>
          <w:p w14:paraId="10E61399">
            <w:pPr>
              <w:keepNext w:val="0"/>
              <w:keepLines w:val="0"/>
              <w:pageBreakBefore w:val="0"/>
              <w:widowControl w:val="0"/>
              <w:numPr>
                <w:ilvl w:val="0"/>
                <w:numId w:val="0"/>
              </w:numPr>
              <w:kinsoku/>
              <w:wordWrap/>
              <w:overflowPunct/>
              <w:topLinePunct w:val="0"/>
              <w:autoSpaceDE/>
              <w:autoSpaceDN/>
              <w:bidi w:val="0"/>
              <w:adjustRightInd w:val="0"/>
              <w:snapToGrid/>
              <w:spacing w:line="370" w:lineRule="exact"/>
              <w:jc w:val="left"/>
              <w:textAlignment w:val="auto"/>
              <w:outlineLvl w:val="1"/>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二、新能源电池电机要求</w:t>
            </w:r>
          </w:p>
          <w:p w14:paraId="7B2D206C">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1.底盘驱动电机型式及冷却方式：永磁同步电机/水冷。</w:t>
            </w:r>
          </w:p>
          <w:p w14:paraId="0EE1DBB6">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2.电池种类：磷酸铁锂电池。</w:t>
            </w:r>
          </w:p>
          <w:p w14:paraId="5FD06CF1">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3.电池及管理系统要求：采用原装电池包和原装BMS系统。</w:t>
            </w:r>
          </w:p>
          <w:p w14:paraId="7A207854">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4.底盘电池、驱动电机、电控系统防护等级：优于或等于IP67。</w:t>
            </w:r>
          </w:p>
          <w:p w14:paraId="395D3223">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5.储能装置总储电量（kWh）：≥350。</w:t>
            </w:r>
          </w:p>
          <w:p w14:paraId="7C33BCC4">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6.底盘驱动电机额定功率（kw）：≥260。</w:t>
            </w:r>
          </w:p>
          <w:p w14:paraId="4857344F">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▲7.底盘驱动电机峰值功率（kw）：≥400。</w:t>
            </w:r>
          </w:p>
          <w:p w14:paraId="3591FB6D">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▲8.充电要求：支持直流快充。</w:t>
            </w:r>
          </w:p>
          <w:p w14:paraId="5E161E05">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▲9.电池质保：8年或40万公里（先到者为准，衰减度在30%以内）。   </w:t>
            </w:r>
          </w:p>
          <w:p w14:paraId="027821D7">
            <w:pPr>
              <w:keepNext w:val="0"/>
              <w:keepLines w:val="0"/>
              <w:pageBreakBefore w:val="0"/>
              <w:widowControl w:val="0"/>
              <w:numPr>
                <w:ilvl w:val="0"/>
                <w:numId w:val="0"/>
              </w:numPr>
              <w:kinsoku/>
              <w:wordWrap/>
              <w:overflowPunct/>
              <w:topLinePunct w:val="0"/>
              <w:autoSpaceDE/>
              <w:autoSpaceDN/>
              <w:bidi w:val="0"/>
              <w:adjustRightInd w:val="0"/>
              <w:snapToGrid/>
              <w:spacing w:line="370" w:lineRule="exact"/>
              <w:jc w:val="left"/>
              <w:textAlignment w:val="auto"/>
              <w:outlineLvl w:val="1"/>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三、主要功能参数及要求</w:t>
            </w:r>
          </w:p>
          <w:p w14:paraId="4FA1D6CC">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1.钩心高度（mm）：≥1560。</w:t>
            </w:r>
          </w:p>
          <w:p w14:paraId="3B287773">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2.钩心到后滚轮中心距离（拉臂长度）（mm）：≥5360。</w:t>
            </w:r>
          </w:p>
          <w:p w14:paraId="0CB3C7D5">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3.续航里程（等速法）（km）：≥220。</w:t>
            </w:r>
          </w:p>
          <w:p w14:paraId="03D5F986">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4.钩臂系统最大起重能力（t）：≥20。</w:t>
            </w:r>
          </w:p>
          <w:p w14:paraId="04D84042">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5.最大自卸角度（°）：≥48。</w:t>
            </w:r>
          </w:p>
          <w:p w14:paraId="5C89E7F4">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6.装箱工作时间（s）：≤60。</w:t>
            </w:r>
          </w:p>
          <w:p w14:paraId="5AF99368">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7.卸箱工作时间（s）：≤72。</w:t>
            </w:r>
          </w:p>
          <w:p w14:paraId="5C92242F">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8.钩臂系统采用成套设备。</w:t>
            </w:r>
          </w:p>
          <w:p w14:paraId="4766CAEE">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9.多路阀为手动气控液压多路阀，工作模式为电控气，气控液。</w:t>
            </w:r>
          </w:p>
          <w:p w14:paraId="1B7498C7">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10.工作装置的电器系统与汽车底盘的电器系统为独立的两个系统。</w:t>
            </w:r>
          </w:p>
          <w:p w14:paraId="1C3D69D2">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11.通过电磁气阀的开启关闭控制气控多路阀，控制钩臂系统的动作，气源取自底盘气路分配阀。</w:t>
            </w:r>
          </w:p>
          <w:p w14:paraId="1916B54E">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12.钩臂系统采用滑臂式铰接结构；主臂下降有缓冲功能，到位冲击小；动作之间有互锁功能，避免误操作。</w:t>
            </w:r>
          </w:p>
          <w:p w14:paraId="2560162A">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13.所有操作均可在驾驶室内通过电控操作盒完成，降低操作者的劳动强度。采用电气控制和手动控制相结合的控制模式。</w:t>
            </w:r>
          </w:p>
          <w:p w14:paraId="3DAF8B85">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14.车辆采用后滚轮支撑稳定装置，采用液压油缸驱动，装卸箱体过程中，防止车辆头部翘起，在松软地面和倾斜地面均能作业。</w:t>
            </w:r>
          </w:p>
          <w:p w14:paraId="178D0049">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15.多项安全装置：动作之间设置互锁功能，防止误操作，箱体与钩臂连接设置安全装置，防止误操作损坏设备；驾驶室操作手柄装箱体锁警示装置，提醒驾驶员箱体锁实时状态，后支撑下降到位有指示灯提示。</w:t>
            </w:r>
          </w:p>
          <w:p w14:paraId="3D7030D7">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16.箱体锁采用液压油缸驱动，锁住垃圾箱，防止转运过程中箱体晃动。</w:t>
            </w:r>
          </w:p>
          <w:p w14:paraId="7A713E7C">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17.箱体后门液压系统通过两个液压快速接头，与箱体上的两个液压快速接头进行对接启闭箱体后门。</w:t>
            </w:r>
          </w:p>
          <w:p w14:paraId="4EE34EA4">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b w:val="0"/>
                <w:bCs/>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lang w:val="en-US" w:eastAsia="zh-CN"/>
              </w:rPr>
              <w:t>18.车辆后轮罩中间雨帘采用分体式安装，避免车辆抖动造成轮罩主体损坏。</w:t>
            </w:r>
          </w:p>
        </w:tc>
      </w:tr>
      <w:tr w14:paraId="19AAC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764" w:type="dxa"/>
            <w:noWrap w:val="0"/>
            <w:vAlign w:val="center"/>
          </w:tcPr>
          <w:p w14:paraId="041ADB71">
            <w:pPr>
              <w:keepNext w:val="0"/>
              <w:keepLines w:val="0"/>
              <w:pageBreakBefore w:val="0"/>
              <w:kinsoku/>
              <w:overflowPunct/>
              <w:topLinePunct w:val="0"/>
              <w:autoSpaceDE/>
              <w:autoSpaceDN/>
              <w:bidi w:val="0"/>
              <w:spacing w:line="400" w:lineRule="exact"/>
              <w:jc w:val="center"/>
              <w:rPr>
                <w:rFonts w:hint="default" w:ascii="宋体" w:hAnsi="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10</w:t>
            </w:r>
          </w:p>
        </w:tc>
        <w:tc>
          <w:tcPr>
            <w:tcW w:w="1000" w:type="dxa"/>
            <w:shd w:val="clear" w:color="auto" w:fill="auto"/>
            <w:noWrap w:val="0"/>
            <w:vAlign w:val="center"/>
          </w:tcPr>
          <w:p w14:paraId="5252802B">
            <w:pPr>
              <w:keepNext w:val="0"/>
              <w:keepLines w:val="0"/>
              <w:pageBreakBefore w:val="0"/>
              <w:widowControl/>
              <w:suppressLineNumbers w:val="0"/>
              <w:kinsoku/>
              <w:wordWrap/>
              <w:overflowPunct/>
              <w:topLinePunct w:val="0"/>
              <w:autoSpaceDE/>
              <w:autoSpaceDN/>
              <w:bidi w:val="0"/>
              <w:snapToGrid/>
              <w:spacing w:line="37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新能源小型货车（自卸式）</w:t>
            </w:r>
          </w:p>
        </w:tc>
        <w:tc>
          <w:tcPr>
            <w:tcW w:w="879" w:type="dxa"/>
            <w:shd w:val="clear" w:color="auto" w:fill="auto"/>
            <w:noWrap w:val="0"/>
            <w:vAlign w:val="center"/>
          </w:tcPr>
          <w:p w14:paraId="6BF2C68C">
            <w:pPr>
              <w:keepNext w:val="0"/>
              <w:keepLines w:val="0"/>
              <w:pageBreakBefore w:val="0"/>
              <w:widowControl/>
              <w:suppressLineNumbers w:val="0"/>
              <w:kinsoku/>
              <w:wordWrap/>
              <w:overflowPunct/>
              <w:topLinePunct w:val="0"/>
              <w:autoSpaceDE/>
              <w:autoSpaceDN/>
              <w:bidi w:val="0"/>
              <w:snapToGrid/>
              <w:spacing w:line="37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8辆</w:t>
            </w:r>
          </w:p>
        </w:tc>
        <w:tc>
          <w:tcPr>
            <w:tcW w:w="6722" w:type="dxa"/>
            <w:shd w:val="clear" w:color="auto" w:fill="auto"/>
            <w:noWrap w:val="0"/>
            <w:vAlign w:val="top"/>
          </w:tcPr>
          <w:p w14:paraId="34A85FB3">
            <w:pPr>
              <w:keepNext w:val="0"/>
              <w:keepLines w:val="0"/>
              <w:pageBreakBefore w:val="0"/>
              <w:widowControl w:val="0"/>
              <w:numPr>
                <w:ilvl w:val="0"/>
                <w:numId w:val="0"/>
              </w:numPr>
              <w:kinsoku/>
              <w:wordWrap/>
              <w:overflowPunct/>
              <w:topLinePunct w:val="0"/>
              <w:autoSpaceDE/>
              <w:autoSpaceDN/>
              <w:bidi w:val="0"/>
              <w:adjustRightInd w:val="0"/>
              <w:snapToGrid/>
              <w:spacing w:line="370" w:lineRule="exact"/>
              <w:jc w:val="left"/>
              <w:textAlignment w:val="auto"/>
              <w:outlineLvl w:val="1"/>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一、主要技术要求</w:t>
            </w:r>
          </w:p>
          <w:p w14:paraId="468A66B2">
            <w:pPr>
              <w:keepNext w:val="0"/>
              <w:keepLines w:val="0"/>
              <w:pageBreakBefore w:val="0"/>
              <w:widowControl w:val="0"/>
              <w:numPr>
                <w:ilvl w:val="0"/>
                <w:numId w:val="0"/>
              </w:numPr>
              <w:kinsoku/>
              <w:wordWrap/>
              <w:overflowPunct/>
              <w:topLinePunct w:val="0"/>
              <w:autoSpaceDE/>
              <w:autoSpaceDN/>
              <w:bidi w:val="0"/>
              <w:adjustRightInd w:val="0"/>
              <w:snapToGrid/>
              <w:spacing w:line="37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 w:val="21"/>
                <w:szCs w:val="21"/>
                <w:highlight w:val="none"/>
                <w:lang w:val="en-US" w:eastAsia="zh-CN"/>
              </w:rPr>
              <w:t>总质量(kg)：≥4400。</w:t>
            </w:r>
          </w:p>
          <w:p w14:paraId="403FFB10">
            <w:pPr>
              <w:keepNext w:val="0"/>
              <w:keepLines w:val="0"/>
              <w:pageBreakBefore w:val="0"/>
              <w:widowControl w:val="0"/>
              <w:numPr>
                <w:ilvl w:val="0"/>
                <w:numId w:val="0"/>
              </w:numPr>
              <w:kinsoku/>
              <w:wordWrap/>
              <w:overflowPunct/>
              <w:topLinePunct w:val="0"/>
              <w:autoSpaceDE/>
              <w:autoSpaceDN/>
              <w:bidi w:val="0"/>
              <w:adjustRightInd w:val="0"/>
              <w:snapToGrid/>
              <w:spacing w:line="37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color w:val="auto"/>
                <w:sz w:val="21"/>
                <w:szCs w:val="21"/>
                <w:highlight w:val="none"/>
                <w:lang w:val="en-US" w:eastAsia="zh-CN"/>
              </w:rPr>
              <w:t>整备质量(kg)：≤3400。</w:t>
            </w:r>
          </w:p>
          <w:p w14:paraId="4BC6BF91">
            <w:pPr>
              <w:keepNext w:val="0"/>
              <w:keepLines w:val="0"/>
              <w:pageBreakBefore w:val="0"/>
              <w:widowControl w:val="0"/>
              <w:numPr>
                <w:ilvl w:val="0"/>
                <w:numId w:val="0"/>
              </w:numPr>
              <w:kinsoku/>
              <w:wordWrap/>
              <w:overflowPunct/>
              <w:topLinePunct w:val="0"/>
              <w:autoSpaceDE/>
              <w:autoSpaceDN/>
              <w:bidi w:val="0"/>
              <w:adjustRightInd w:val="0"/>
              <w:snapToGrid/>
              <w:spacing w:line="37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color w:val="auto"/>
                <w:sz w:val="21"/>
                <w:szCs w:val="21"/>
                <w:highlight w:val="none"/>
                <w:lang w:val="en-US" w:eastAsia="zh-CN"/>
              </w:rPr>
              <w:t>额定载质量(kg)：≥1000。</w:t>
            </w:r>
          </w:p>
          <w:p w14:paraId="31486699">
            <w:pPr>
              <w:keepNext w:val="0"/>
              <w:keepLines w:val="0"/>
              <w:pageBreakBefore w:val="0"/>
              <w:widowControl w:val="0"/>
              <w:numPr>
                <w:ilvl w:val="0"/>
                <w:numId w:val="0"/>
              </w:numPr>
              <w:kinsoku/>
              <w:wordWrap/>
              <w:overflowPunct/>
              <w:topLinePunct w:val="0"/>
              <w:autoSpaceDE/>
              <w:autoSpaceDN/>
              <w:bidi w:val="0"/>
              <w:adjustRightInd w:val="0"/>
              <w:snapToGrid/>
              <w:spacing w:line="37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color w:val="auto"/>
                <w:sz w:val="21"/>
                <w:szCs w:val="21"/>
                <w:highlight w:val="none"/>
                <w:lang w:val="en-US" w:eastAsia="zh-CN"/>
              </w:rPr>
              <w:t>车辆外形尺寸(mm)：≥4900×1900×2100。</w:t>
            </w:r>
          </w:p>
          <w:p w14:paraId="19E16E90">
            <w:pPr>
              <w:keepNext w:val="0"/>
              <w:keepLines w:val="0"/>
              <w:pageBreakBefore w:val="0"/>
              <w:widowControl w:val="0"/>
              <w:numPr>
                <w:ilvl w:val="0"/>
                <w:numId w:val="0"/>
              </w:numPr>
              <w:kinsoku/>
              <w:wordWrap/>
              <w:overflowPunct/>
              <w:topLinePunct w:val="0"/>
              <w:autoSpaceDE/>
              <w:autoSpaceDN/>
              <w:bidi w:val="0"/>
              <w:adjustRightInd w:val="0"/>
              <w:snapToGrid/>
              <w:spacing w:line="37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5.</w:t>
            </w:r>
            <w:r>
              <w:rPr>
                <w:rFonts w:hint="eastAsia" w:ascii="宋体" w:hAnsi="宋体" w:eastAsia="宋体" w:cs="宋体"/>
                <w:color w:val="auto"/>
                <w:sz w:val="21"/>
                <w:szCs w:val="21"/>
                <w:highlight w:val="none"/>
                <w:lang w:val="en-US" w:eastAsia="zh-CN"/>
              </w:rPr>
              <w:t>货箱内径（mm）：≥2800×1800×365。</w:t>
            </w:r>
          </w:p>
          <w:p w14:paraId="54BDB361">
            <w:pPr>
              <w:keepNext w:val="0"/>
              <w:keepLines w:val="0"/>
              <w:pageBreakBefore w:val="0"/>
              <w:widowControl w:val="0"/>
              <w:numPr>
                <w:ilvl w:val="0"/>
                <w:numId w:val="0"/>
              </w:numPr>
              <w:kinsoku/>
              <w:wordWrap/>
              <w:overflowPunct/>
              <w:topLinePunct w:val="0"/>
              <w:autoSpaceDE/>
              <w:autoSpaceDN/>
              <w:bidi w:val="0"/>
              <w:adjustRightInd w:val="0"/>
              <w:snapToGrid/>
              <w:spacing w:line="370" w:lineRule="exact"/>
              <w:jc w:val="left"/>
              <w:textAlignment w:val="auto"/>
              <w:outlineLvl w:val="1"/>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kern w:val="2"/>
                <w:sz w:val="21"/>
                <w:szCs w:val="21"/>
                <w:highlight w:val="none"/>
                <w:lang w:val="en-US" w:eastAsia="zh-CN" w:bidi="ar-SA"/>
              </w:rPr>
              <w:t>二、</w:t>
            </w:r>
            <w:r>
              <w:rPr>
                <w:rFonts w:hint="eastAsia" w:ascii="宋体" w:hAnsi="宋体" w:eastAsia="宋体" w:cs="宋体"/>
                <w:b/>
                <w:bCs/>
                <w:color w:val="auto"/>
                <w:sz w:val="21"/>
                <w:szCs w:val="21"/>
                <w:highlight w:val="none"/>
                <w:lang w:val="en-US" w:eastAsia="zh-CN"/>
              </w:rPr>
              <w:t>新能源电池电机要求</w:t>
            </w:r>
          </w:p>
          <w:p w14:paraId="26ED90BE">
            <w:pPr>
              <w:keepNext w:val="0"/>
              <w:keepLines w:val="0"/>
              <w:pageBreakBefore w:val="0"/>
              <w:widowControl w:val="0"/>
              <w:numPr>
                <w:ilvl w:val="0"/>
                <w:numId w:val="0"/>
              </w:numPr>
              <w:kinsoku/>
              <w:wordWrap/>
              <w:overflowPunct/>
              <w:topLinePunct w:val="0"/>
              <w:autoSpaceDE/>
              <w:autoSpaceDN/>
              <w:bidi w:val="0"/>
              <w:adjustRightInd w:val="0"/>
              <w:snapToGrid/>
              <w:spacing w:line="37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 w:val="21"/>
                <w:szCs w:val="21"/>
                <w:highlight w:val="none"/>
                <w:lang w:val="en-US" w:eastAsia="zh-CN"/>
              </w:rPr>
              <w:t>底盘电机类型：永磁同步电机。</w:t>
            </w:r>
          </w:p>
          <w:p w14:paraId="33EA8A29">
            <w:pPr>
              <w:keepNext w:val="0"/>
              <w:keepLines w:val="0"/>
              <w:pageBreakBefore w:val="0"/>
              <w:widowControl w:val="0"/>
              <w:numPr>
                <w:ilvl w:val="0"/>
                <w:numId w:val="0"/>
              </w:numPr>
              <w:kinsoku/>
              <w:wordWrap/>
              <w:overflowPunct/>
              <w:topLinePunct w:val="0"/>
              <w:autoSpaceDE/>
              <w:autoSpaceDN/>
              <w:bidi w:val="0"/>
              <w:adjustRightInd w:val="0"/>
              <w:snapToGrid/>
              <w:spacing w:line="37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color w:val="auto"/>
                <w:sz w:val="21"/>
                <w:szCs w:val="21"/>
                <w:highlight w:val="none"/>
                <w:lang w:val="en-US" w:eastAsia="zh-CN"/>
              </w:rPr>
              <w:t>电池种类：磷酸铁锂电池。</w:t>
            </w:r>
          </w:p>
          <w:p w14:paraId="5E71E0F2">
            <w:pPr>
              <w:keepNext w:val="0"/>
              <w:keepLines w:val="0"/>
              <w:pageBreakBefore w:val="0"/>
              <w:widowControl w:val="0"/>
              <w:numPr>
                <w:ilvl w:val="0"/>
                <w:numId w:val="0"/>
              </w:numPr>
              <w:kinsoku/>
              <w:wordWrap/>
              <w:overflowPunct/>
              <w:topLinePunct w:val="0"/>
              <w:autoSpaceDE/>
              <w:autoSpaceDN/>
              <w:bidi w:val="0"/>
              <w:adjustRightInd w:val="0"/>
              <w:snapToGrid/>
              <w:spacing w:line="370" w:lineRule="exact"/>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w:t>
            </w: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color w:val="auto"/>
                <w:sz w:val="21"/>
                <w:szCs w:val="21"/>
                <w:highlight w:val="none"/>
                <w:lang w:val="en-US" w:eastAsia="zh-CN"/>
              </w:rPr>
              <w:t>电池及管理系统要求：采用原装电池包和原装BMS系统。</w:t>
            </w:r>
          </w:p>
          <w:p w14:paraId="1B2B5BFB">
            <w:pPr>
              <w:keepNext w:val="0"/>
              <w:keepLines w:val="0"/>
              <w:pageBreakBefore w:val="0"/>
              <w:widowControl w:val="0"/>
              <w:numPr>
                <w:ilvl w:val="0"/>
                <w:numId w:val="0"/>
              </w:numPr>
              <w:kinsoku/>
              <w:wordWrap/>
              <w:overflowPunct/>
              <w:topLinePunct w:val="0"/>
              <w:autoSpaceDE/>
              <w:autoSpaceDN/>
              <w:bidi w:val="0"/>
              <w:adjustRightInd w:val="0"/>
              <w:snapToGrid/>
              <w:spacing w:line="37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color w:val="auto"/>
                <w:sz w:val="21"/>
                <w:szCs w:val="21"/>
                <w:highlight w:val="none"/>
                <w:lang w:val="en-US" w:eastAsia="zh-CN"/>
              </w:rPr>
              <w:t>电池总储电量(kwh)：≥80。</w:t>
            </w:r>
          </w:p>
          <w:p w14:paraId="0FC03A19">
            <w:pPr>
              <w:keepNext w:val="0"/>
              <w:keepLines w:val="0"/>
              <w:pageBreakBefore w:val="0"/>
              <w:widowControl w:val="0"/>
              <w:numPr>
                <w:ilvl w:val="0"/>
                <w:numId w:val="0"/>
              </w:numPr>
              <w:kinsoku/>
              <w:wordWrap/>
              <w:overflowPunct/>
              <w:topLinePunct w:val="0"/>
              <w:autoSpaceDE/>
              <w:autoSpaceDN/>
              <w:bidi w:val="0"/>
              <w:adjustRightInd w:val="0"/>
              <w:snapToGrid/>
              <w:spacing w:line="37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5.</w:t>
            </w:r>
            <w:r>
              <w:rPr>
                <w:rFonts w:hint="eastAsia" w:ascii="宋体" w:hAnsi="宋体" w:eastAsia="宋体" w:cs="宋体"/>
                <w:color w:val="auto"/>
                <w:sz w:val="21"/>
                <w:szCs w:val="21"/>
                <w:highlight w:val="none"/>
                <w:lang w:val="en-US" w:eastAsia="zh-CN"/>
              </w:rPr>
              <w:t>底盘电机额定功率(kW)：≥50。</w:t>
            </w:r>
          </w:p>
          <w:p w14:paraId="5E28C4B4">
            <w:pPr>
              <w:keepNext w:val="0"/>
              <w:keepLines w:val="0"/>
              <w:pageBreakBefore w:val="0"/>
              <w:widowControl w:val="0"/>
              <w:numPr>
                <w:ilvl w:val="0"/>
                <w:numId w:val="0"/>
              </w:numPr>
              <w:kinsoku/>
              <w:wordWrap/>
              <w:overflowPunct/>
              <w:topLinePunct w:val="0"/>
              <w:autoSpaceDE/>
              <w:autoSpaceDN/>
              <w:bidi w:val="0"/>
              <w:adjustRightInd w:val="0"/>
              <w:snapToGrid/>
              <w:spacing w:line="37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kern w:val="2"/>
                <w:sz w:val="21"/>
                <w:szCs w:val="21"/>
                <w:highlight w:val="none"/>
                <w:lang w:val="en-US" w:eastAsia="zh-CN" w:bidi="ar-SA"/>
              </w:rPr>
              <w:t>6.</w:t>
            </w:r>
            <w:r>
              <w:rPr>
                <w:rFonts w:hint="eastAsia" w:ascii="宋体" w:hAnsi="宋体" w:eastAsia="宋体" w:cs="宋体"/>
                <w:color w:val="auto"/>
                <w:sz w:val="21"/>
                <w:szCs w:val="21"/>
                <w:highlight w:val="none"/>
                <w:lang w:val="en-US" w:eastAsia="zh-CN"/>
              </w:rPr>
              <w:t>底盘电机峰值功率(kW)：≥110。</w:t>
            </w:r>
          </w:p>
          <w:p w14:paraId="160A10CE">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7.续航里程（等速法）</w:t>
            </w:r>
            <w:r>
              <w:rPr>
                <w:rFonts w:hint="eastAsia" w:ascii="宋体" w:hAnsi="宋体" w:eastAsia="宋体" w:cs="宋体"/>
                <w:color w:val="auto"/>
                <w:sz w:val="21"/>
                <w:szCs w:val="21"/>
                <w:highlight w:val="none"/>
              </w:rPr>
              <w:t>(km)</w:t>
            </w:r>
            <w:r>
              <w:rPr>
                <w:rFonts w:hint="eastAsia" w:ascii="宋体" w:hAnsi="宋体" w:eastAsia="宋体" w:cs="宋体"/>
                <w:color w:val="auto"/>
                <w:sz w:val="21"/>
                <w:szCs w:val="21"/>
                <w:highlight w:val="none"/>
                <w:lang w:val="en-US" w:eastAsia="zh-CN"/>
              </w:rPr>
              <w:t>：≥220。</w:t>
            </w:r>
          </w:p>
          <w:p w14:paraId="2FF48E85">
            <w:pPr>
              <w:keepNext w:val="0"/>
              <w:keepLines w:val="0"/>
              <w:pageBreakBefore w:val="0"/>
              <w:widowControl w:val="0"/>
              <w:numPr>
                <w:ilvl w:val="0"/>
                <w:numId w:val="0"/>
              </w:numPr>
              <w:kinsoku/>
              <w:wordWrap/>
              <w:overflowPunct/>
              <w:topLinePunct w:val="0"/>
              <w:autoSpaceDE/>
              <w:autoSpaceDN/>
              <w:bidi w:val="0"/>
              <w:adjustRightInd w:val="0"/>
              <w:snapToGrid/>
              <w:spacing w:line="37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8.充电要求：支持直流快充。</w:t>
            </w:r>
          </w:p>
          <w:p w14:paraId="7D472105">
            <w:pPr>
              <w:keepNext w:val="0"/>
              <w:keepLines w:val="0"/>
              <w:pageBreakBefore w:val="0"/>
              <w:widowControl w:val="0"/>
              <w:numPr>
                <w:ilvl w:val="0"/>
                <w:numId w:val="0"/>
              </w:numPr>
              <w:kinsoku/>
              <w:wordWrap/>
              <w:overflowPunct/>
              <w:topLinePunct w:val="0"/>
              <w:autoSpaceDE/>
              <w:autoSpaceDN/>
              <w:bidi w:val="0"/>
              <w:adjustRightInd w:val="0"/>
              <w:snapToGrid/>
              <w:spacing w:line="370" w:lineRule="exact"/>
              <w:ind w:firstLine="420" w:firstLineChars="20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9.</w:t>
            </w:r>
            <w:r>
              <w:rPr>
                <w:rFonts w:hint="eastAsia" w:ascii="宋体" w:hAnsi="宋体" w:cs="宋体"/>
                <w:color w:val="auto"/>
                <w:sz w:val="21"/>
                <w:szCs w:val="21"/>
                <w:highlight w:val="none"/>
                <w:lang w:val="en-US" w:eastAsia="zh-CN"/>
              </w:rPr>
              <w:t>电池质保：5年或20万公里（先到者为准，衰减度在20%以内）。</w:t>
            </w:r>
          </w:p>
          <w:p w14:paraId="649F9294">
            <w:pPr>
              <w:keepNext w:val="0"/>
              <w:keepLines w:val="0"/>
              <w:pageBreakBefore w:val="0"/>
              <w:widowControl w:val="0"/>
              <w:numPr>
                <w:ilvl w:val="0"/>
                <w:numId w:val="0"/>
              </w:numPr>
              <w:kinsoku/>
              <w:wordWrap/>
              <w:overflowPunct/>
              <w:topLinePunct w:val="0"/>
              <w:autoSpaceDE/>
              <w:autoSpaceDN/>
              <w:bidi w:val="0"/>
              <w:adjustRightInd w:val="0"/>
              <w:snapToGrid/>
              <w:spacing w:line="370" w:lineRule="exact"/>
              <w:textAlignment w:val="auto"/>
              <w:outlineLvl w:val="1"/>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三、主要性能要求</w:t>
            </w:r>
          </w:p>
          <w:p w14:paraId="6BFBAC11">
            <w:pPr>
              <w:keepNext w:val="0"/>
              <w:keepLines w:val="0"/>
              <w:pageBreakBefore w:val="0"/>
              <w:widowControl w:val="0"/>
              <w:numPr>
                <w:ilvl w:val="0"/>
                <w:numId w:val="0"/>
              </w:numPr>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1.基本配置：多功能方向盘、中电遥（中控门锁、电动窗、遥控钥匙）、收音机+蓝牙、空调、液晶仪表、能量回收。</w:t>
            </w:r>
          </w:p>
          <w:p w14:paraId="7251F4EE">
            <w:pPr>
              <w:keepNext w:val="0"/>
              <w:keepLines w:val="0"/>
              <w:pageBreakBefore w:val="0"/>
              <w:widowControl w:val="0"/>
              <w:numPr>
                <w:ilvl w:val="0"/>
                <w:numId w:val="0"/>
              </w:numPr>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2.畅行无忧：整车降高不超过2200mm，能下地库，满足多用途、多场景的使用需求。</w:t>
            </w:r>
          </w:p>
          <w:p w14:paraId="59302F8E">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4.底盘：承载能力强，具有高强度双层车架。</w:t>
            </w:r>
          </w:p>
        </w:tc>
      </w:tr>
      <w:tr w14:paraId="1142D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764" w:type="dxa"/>
            <w:noWrap w:val="0"/>
            <w:vAlign w:val="center"/>
          </w:tcPr>
          <w:p w14:paraId="5460BC7F">
            <w:pPr>
              <w:keepNext w:val="0"/>
              <w:keepLines w:val="0"/>
              <w:pageBreakBefore w:val="0"/>
              <w:kinsoku/>
              <w:overflowPunct/>
              <w:topLinePunct w:val="0"/>
              <w:autoSpaceDE/>
              <w:autoSpaceDN/>
              <w:bidi w:val="0"/>
              <w:spacing w:line="400" w:lineRule="exact"/>
              <w:jc w:val="center"/>
              <w:rPr>
                <w:rFonts w:hint="default" w:ascii="宋体" w:hAnsi="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11</w:t>
            </w:r>
          </w:p>
        </w:tc>
        <w:tc>
          <w:tcPr>
            <w:tcW w:w="1000" w:type="dxa"/>
            <w:shd w:val="clear" w:color="auto" w:fill="auto"/>
            <w:noWrap w:val="0"/>
            <w:vAlign w:val="center"/>
          </w:tcPr>
          <w:p w14:paraId="7EEB860C">
            <w:pPr>
              <w:keepNext w:val="0"/>
              <w:keepLines w:val="0"/>
              <w:pageBreakBefore w:val="0"/>
              <w:widowControl/>
              <w:suppressLineNumbers w:val="0"/>
              <w:kinsoku/>
              <w:wordWrap/>
              <w:overflowPunct/>
              <w:topLinePunct w:val="0"/>
              <w:autoSpaceDE/>
              <w:autoSpaceDN/>
              <w:bidi w:val="0"/>
              <w:snapToGrid/>
              <w:spacing w:line="37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新能源小型货车（厢式）</w:t>
            </w:r>
          </w:p>
        </w:tc>
        <w:tc>
          <w:tcPr>
            <w:tcW w:w="879" w:type="dxa"/>
            <w:shd w:val="clear" w:color="auto" w:fill="auto"/>
            <w:noWrap w:val="0"/>
            <w:vAlign w:val="center"/>
          </w:tcPr>
          <w:p w14:paraId="5003E630">
            <w:pPr>
              <w:keepNext w:val="0"/>
              <w:keepLines w:val="0"/>
              <w:pageBreakBefore w:val="0"/>
              <w:widowControl/>
              <w:suppressLineNumbers w:val="0"/>
              <w:kinsoku/>
              <w:wordWrap/>
              <w:overflowPunct/>
              <w:topLinePunct w:val="0"/>
              <w:autoSpaceDE/>
              <w:autoSpaceDN/>
              <w:bidi w:val="0"/>
              <w:snapToGrid/>
              <w:spacing w:line="37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2辆</w:t>
            </w:r>
          </w:p>
        </w:tc>
        <w:tc>
          <w:tcPr>
            <w:tcW w:w="6722" w:type="dxa"/>
            <w:shd w:val="clear" w:color="auto" w:fill="auto"/>
            <w:noWrap w:val="0"/>
            <w:vAlign w:val="top"/>
          </w:tcPr>
          <w:p w14:paraId="209F5254">
            <w:pPr>
              <w:keepNext w:val="0"/>
              <w:keepLines w:val="0"/>
              <w:pageBreakBefore w:val="0"/>
              <w:widowControl w:val="0"/>
              <w:kinsoku/>
              <w:wordWrap/>
              <w:overflowPunct/>
              <w:topLinePunct w:val="0"/>
              <w:autoSpaceDE/>
              <w:autoSpaceDN/>
              <w:bidi w:val="0"/>
              <w:adjustRightInd w:val="0"/>
              <w:snapToGrid/>
              <w:spacing w:line="370" w:lineRule="exac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一、主要技术要求</w:t>
            </w:r>
          </w:p>
          <w:p w14:paraId="79CECF22">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1.总质量(kg)：≥4300。</w:t>
            </w:r>
          </w:p>
          <w:p w14:paraId="0227FF51">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◆2.整备质量(kg)：≤2500。</w:t>
            </w:r>
          </w:p>
          <w:p w14:paraId="1BA32967">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▲3.额定载质量(kg)：≥1800。</w:t>
            </w:r>
          </w:p>
          <w:p w14:paraId="51DBFBFE">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4.车辆外形尺寸(mm)：≥5300×1800×1700。</w:t>
            </w:r>
          </w:p>
          <w:p w14:paraId="1C007B1E">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5.货箱内径（mm）：≥3500×1700×1700。</w:t>
            </w:r>
          </w:p>
          <w:p w14:paraId="133C7B91">
            <w:pPr>
              <w:keepNext w:val="0"/>
              <w:keepLines w:val="0"/>
              <w:pageBreakBefore w:val="0"/>
              <w:widowControl w:val="0"/>
              <w:kinsoku/>
              <w:wordWrap/>
              <w:overflowPunct/>
              <w:topLinePunct w:val="0"/>
              <w:autoSpaceDE/>
              <w:autoSpaceDN/>
              <w:bidi w:val="0"/>
              <w:adjustRightInd w:val="0"/>
              <w:snapToGrid/>
              <w:spacing w:line="370" w:lineRule="exac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二、新能源电池电机要求</w:t>
            </w:r>
          </w:p>
          <w:p w14:paraId="1107E1AD">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1.底盘电机类型：永磁同步电机。</w:t>
            </w:r>
          </w:p>
          <w:p w14:paraId="3A4837F3">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2.电池种类：磷酸铁锂电池。</w:t>
            </w:r>
          </w:p>
          <w:p w14:paraId="1CB714D8">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3.电池及管理系统要求：采用原装电池包和原装BMS系统。</w:t>
            </w:r>
          </w:p>
          <w:p w14:paraId="094E5231">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4.电池总储电量(kwh)：≥50。</w:t>
            </w:r>
          </w:p>
          <w:p w14:paraId="5EBF5376">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5.底盘电机额定功率(kW)：≥50。</w:t>
            </w:r>
          </w:p>
          <w:p w14:paraId="155BBA2A">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6.底盘电机峰值功率(kW)：≥90。</w:t>
            </w:r>
          </w:p>
          <w:p w14:paraId="0C6E5DC9">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7.续航里程（等速法）</w:t>
            </w:r>
            <w:r>
              <w:rPr>
                <w:rFonts w:hint="eastAsia" w:ascii="宋体" w:hAnsi="宋体" w:eastAsia="宋体" w:cs="宋体"/>
                <w:color w:val="auto"/>
                <w:sz w:val="21"/>
                <w:szCs w:val="21"/>
                <w:highlight w:val="none"/>
              </w:rPr>
              <w:t>(km)</w:t>
            </w:r>
            <w:r>
              <w:rPr>
                <w:rFonts w:hint="eastAsia" w:ascii="宋体" w:hAnsi="宋体" w:eastAsia="宋体" w:cs="宋体"/>
                <w:color w:val="auto"/>
                <w:sz w:val="21"/>
                <w:szCs w:val="21"/>
                <w:highlight w:val="none"/>
                <w:lang w:val="en-US" w:eastAsia="zh-CN"/>
              </w:rPr>
              <w:t>：≥280。</w:t>
            </w:r>
          </w:p>
          <w:p w14:paraId="39AA4205">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8.充电要求：支持直流快充。</w:t>
            </w:r>
          </w:p>
          <w:p w14:paraId="50600B84">
            <w:pPr>
              <w:keepNext w:val="0"/>
              <w:keepLines w:val="0"/>
              <w:pageBreakBefore w:val="0"/>
              <w:widowControl w:val="0"/>
              <w:numPr>
                <w:ilvl w:val="0"/>
                <w:numId w:val="0"/>
              </w:numPr>
              <w:kinsoku/>
              <w:wordWrap/>
              <w:overflowPunct/>
              <w:topLinePunct w:val="0"/>
              <w:autoSpaceDE/>
              <w:autoSpaceDN/>
              <w:bidi w:val="0"/>
              <w:adjustRightInd w:val="0"/>
              <w:snapToGrid/>
              <w:spacing w:line="370" w:lineRule="exact"/>
              <w:ind w:firstLine="420" w:firstLineChars="20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9.</w:t>
            </w:r>
            <w:r>
              <w:rPr>
                <w:rFonts w:hint="eastAsia" w:ascii="宋体" w:hAnsi="宋体" w:cs="宋体"/>
                <w:color w:val="auto"/>
                <w:sz w:val="21"/>
                <w:szCs w:val="21"/>
                <w:highlight w:val="none"/>
                <w:lang w:val="en-US" w:eastAsia="zh-CN"/>
              </w:rPr>
              <w:t>电池质保：5年或20万公里（先到者为准，衰减度在20%以内）。</w:t>
            </w:r>
          </w:p>
          <w:p w14:paraId="223F860E">
            <w:pPr>
              <w:keepNext w:val="0"/>
              <w:keepLines w:val="0"/>
              <w:pageBreakBefore w:val="0"/>
              <w:widowControl w:val="0"/>
              <w:kinsoku/>
              <w:wordWrap/>
              <w:overflowPunct/>
              <w:topLinePunct w:val="0"/>
              <w:autoSpaceDE/>
              <w:autoSpaceDN/>
              <w:bidi w:val="0"/>
              <w:adjustRightInd w:val="0"/>
              <w:snapToGrid/>
              <w:spacing w:line="370" w:lineRule="exac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三、主要性能要求</w:t>
            </w:r>
          </w:p>
          <w:p w14:paraId="3BAAA5C7">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1.车厢形态需采用瓦楞（花纹地板）。</w:t>
            </w:r>
          </w:p>
          <w:p w14:paraId="621D0E0B">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2.大梁不低于3t级后桥。</w:t>
            </w:r>
          </w:p>
          <w:p w14:paraId="1F453D87">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3.需配备动能回收系统。</w:t>
            </w:r>
          </w:p>
          <w:p w14:paraId="0CEB72F6">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4.车辆为自动挡。</w:t>
            </w:r>
          </w:p>
          <w:p w14:paraId="21860582">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5.驾驶室类型：平头小卡。</w:t>
            </w:r>
          </w:p>
        </w:tc>
      </w:tr>
      <w:tr w14:paraId="3372B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764" w:type="dxa"/>
            <w:noWrap w:val="0"/>
            <w:vAlign w:val="center"/>
          </w:tcPr>
          <w:p w14:paraId="57BA8E2E">
            <w:pPr>
              <w:keepNext w:val="0"/>
              <w:keepLines w:val="0"/>
              <w:pageBreakBefore w:val="0"/>
              <w:kinsoku/>
              <w:overflowPunct/>
              <w:topLinePunct w:val="0"/>
              <w:autoSpaceDE/>
              <w:autoSpaceDN/>
              <w:bidi w:val="0"/>
              <w:spacing w:line="400" w:lineRule="exact"/>
              <w:jc w:val="center"/>
              <w:rPr>
                <w:rFonts w:hint="default" w:ascii="宋体" w:hAnsi="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12</w:t>
            </w:r>
          </w:p>
        </w:tc>
        <w:tc>
          <w:tcPr>
            <w:tcW w:w="1000" w:type="dxa"/>
            <w:shd w:val="clear" w:color="auto" w:fill="auto"/>
            <w:noWrap w:val="0"/>
            <w:vAlign w:val="center"/>
          </w:tcPr>
          <w:p w14:paraId="153D65B4">
            <w:pPr>
              <w:keepNext w:val="0"/>
              <w:keepLines w:val="0"/>
              <w:pageBreakBefore w:val="0"/>
              <w:widowControl/>
              <w:suppressLineNumbers w:val="0"/>
              <w:kinsoku/>
              <w:wordWrap/>
              <w:overflowPunct/>
              <w:topLinePunct w:val="0"/>
              <w:autoSpaceDE/>
              <w:autoSpaceDN/>
              <w:bidi w:val="0"/>
              <w:snapToGrid/>
              <w:spacing w:line="37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电动三轮保洁车</w:t>
            </w:r>
          </w:p>
        </w:tc>
        <w:tc>
          <w:tcPr>
            <w:tcW w:w="879" w:type="dxa"/>
            <w:shd w:val="clear" w:color="auto" w:fill="auto"/>
            <w:noWrap w:val="0"/>
            <w:vAlign w:val="center"/>
          </w:tcPr>
          <w:p w14:paraId="3D98A858">
            <w:pPr>
              <w:keepNext w:val="0"/>
              <w:keepLines w:val="0"/>
              <w:pageBreakBefore w:val="0"/>
              <w:widowControl/>
              <w:suppressLineNumbers w:val="0"/>
              <w:kinsoku/>
              <w:wordWrap/>
              <w:overflowPunct/>
              <w:topLinePunct w:val="0"/>
              <w:autoSpaceDE/>
              <w:autoSpaceDN/>
              <w:bidi w:val="0"/>
              <w:snapToGrid/>
              <w:spacing w:line="37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235辆</w:t>
            </w:r>
          </w:p>
        </w:tc>
        <w:tc>
          <w:tcPr>
            <w:tcW w:w="6722" w:type="dxa"/>
            <w:shd w:val="clear" w:color="auto" w:fill="auto"/>
            <w:noWrap w:val="0"/>
            <w:vAlign w:val="top"/>
          </w:tcPr>
          <w:p w14:paraId="79895D74">
            <w:pPr>
              <w:keepNext w:val="0"/>
              <w:keepLines w:val="0"/>
              <w:pageBreakBefore w:val="0"/>
              <w:widowControl w:val="0"/>
              <w:numPr>
                <w:ilvl w:val="0"/>
                <w:numId w:val="0"/>
              </w:numPr>
              <w:kinsoku/>
              <w:wordWrap/>
              <w:overflowPunct/>
              <w:topLinePunct w:val="0"/>
              <w:autoSpaceDE/>
              <w:autoSpaceDN/>
              <w:bidi w:val="0"/>
              <w:adjustRightInd w:val="0"/>
              <w:snapToGrid/>
              <w:spacing w:line="370" w:lineRule="exact"/>
              <w:textAlignment w:val="auto"/>
              <w:outlineLvl w:val="2"/>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一、主要技术要求</w:t>
            </w:r>
          </w:p>
          <w:p w14:paraId="6B0A7C41">
            <w:pPr>
              <w:keepNext w:val="0"/>
              <w:keepLines w:val="0"/>
              <w:pageBreakBefore w:val="0"/>
              <w:widowControl w:val="0"/>
              <w:numPr>
                <w:ilvl w:val="0"/>
                <w:numId w:val="0"/>
              </w:numPr>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 w:val="21"/>
                <w:szCs w:val="21"/>
                <w:highlight w:val="none"/>
                <w:lang w:val="en-US" w:eastAsia="zh-CN"/>
              </w:rPr>
              <w:t>车身尺寸 (长×宽×高)（mm）：≥2400×900×1000。</w:t>
            </w:r>
          </w:p>
          <w:p w14:paraId="5E9F382B">
            <w:pPr>
              <w:keepNext w:val="0"/>
              <w:keepLines w:val="0"/>
              <w:pageBreakBefore w:val="0"/>
              <w:widowControl w:val="0"/>
              <w:numPr>
                <w:ilvl w:val="0"/>
                <w:numId w:val="0"/>
              </w:numPr>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color w:val="auto"/>
                <w:sz w:val="21"/>
                <w:szCs w:val="21"/>
                <w:highlight w:val="none"/>
                <w:lang w:val="en-US" w:eastAsia="zh-CN"/>
              </w:rPr>
              <w:t>总质量（kg）：≥330。</w:t>
            </w:r>
          </w:p>
          <w:p w14:paraId="57688CDD">
            <w:pPr>
              <w:keepNext w:val="0"/>
              <w:keepLines w:val="0"/>
              <w:pageBreakBefore w:val="0"/>
              <w:widowControl w:val="0"/>
              <w:numPr>
                <w:ilvl w:val="0"/>
                <w:numId w:val="0"/>
              </w:numPr>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color w:val="auto"/>
                <w:sz w:val="21"/>
                <w:szCs w:val="21"/>
                <w:highlight w:val="none"/>
                <w:lang w:val="en-US" w:eastAsia="zh-CN"/>
              </w:rPr>
              <w:t>整备质量（kg）：≥120。</w:t>
            </w:r>
          </w:p>
          <w:p w14:paraId="593C39FD">
            <w:pPr>
              <w:keepNext w:val="0"/>
              <w:keepLines w:val="0"/>
              <w:pageBreakBefore w:val="0"/>
              <w:widowControl w:val="0"/>
              <w:numPr>
                <w:ilvl w:val="0"/>
                <w:numId w:val="0"/>
              </w:numPr>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color w:val="auto"/>
                <w:sz w:val="21"/>
                <w:szCs w:val="21"/>
                <w:highlight w:val="none"/>
                <w:lang w:val="en-US" w:eastAsia="zh-CN"/>
              </w:rPr>
              <w:t>额定载质量（kg）：≥150。</w:t>
            </w:r>
          </w:p>
          <w:p w14:paraId="6117392A">
            <w:pPr>
              <w:keepNext w:val="0"/>
              <w:keepLines w:val="0"/>
              <w:pageBreakBefore w:val="0"/>
              <w:widowControl w:val="0"/>
              <w:numPr>
                <w:ilvl w:val="0"/>
                <w:numId w:val="0"/>
              </w:numPr>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kern w:val="2"/>
                <w:sz w:val="21"/>
                <w:szCs w:val="21"/>
                <w:highlight w:val="none"/>
                <w:lang w:val="en-US" w:eastAsia="zh-CN" w:bidi="ar-SA"/>
              </w:rPr>
              <w:t>5.</w:t>
            </w:r>
            <w:r>
              <w:rPr>
                <w:rFonts w:hint="eastAsia" w:ascii="宋体" w:hAnsi="宋体" w:eastAsia="宋体" w:cs="宋体"/>
                <w:color w:val="auto"/>
                <w:sz w:val="21"/>
                <w:szCs w:val="21"/>
                <w:highlight w:val="none"/>
                <w:lang w:val="en-US" w:eastAsia="zh-CN"/>
              </w:rPr>
              <w:t>驱动电机额定功率（KW）：≥1.</w:t>
            </w:r>
            <w:r>
              <w:rPr>
                <w:rFonts w:hint="eastAsia" w:ascii="宋体" w:hAnsi="宋体" w:eastAsia="宋体" w:cs="宋体"/>
                <w:color w:val="auto"/>
                <w:sz w:val="21"/>
                <w:szCs w:val="21"/>
                <w:highlight w:val="none"/>
                <w:lang w:eastAsia="zh-CN"/>
              </w:rPr>
              <w:t>2。</w:t>
            </w:r>
          </w:p>
          <w:p w14:paraId="56D74561">
            <w:pPr>
              <w:keepNext w:val="0"/>
              <w:keepLines w:val="0"/>
              <w:pageBreakBefore w:val="0"/>
              <w:widowControl w:val="0"/>
              <w:numPr>
                <w:ilvl w:val="0"/>
                <w:numId w:val="0"/>
              </w:numPr>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6.</w:t>
            </w:r>
            <w:r>
              <w:rPr>
                <w:rFonts w:hint="eastAsia" w:ascii="宋体" w:hAnsi="宋体" w:eastAsia="宋体" w:cs="宋体"/>
                <w:color w:val="auto"/>
                <w:sz w:val="21"/>
                <w:szCs w:val="21"/>
                <w:highlight w:val="none"/>
                <w:lang w:val="en-US" w:eastAsia="zh-CN"/>
              </w:rPr>
              <w:t>轴距（mm）：</w:t>
            </w:r>
            <w:r>
              <w:rPr>
                <w:rFonts w:hint="eastAsia" w:ascii="宋体" w:hAnsi="宋体" w:eastAsia="宋体" w:cs="宋体"/>
                <w:color w:val="auto"/>
                <w:sz w:val="21"/>
                <w:szCs w:val="21"/>
                <w:highlight w:val="none"/>
                <w:lang w:eastAsia="zh-CN"/>
              </w:rPr>
              <w:t>≥1500。</w:t>
            </w:r>
          </w:p>
          <w:p w14:paraId="7097286B">
            <w:pPr>
              <w:keepNext w:val="0"/>
              <w:keepLines w:val="0"/>
              <w:pageBreakBefore w:val="0"/>
              <w:widowControl w:val="0"/>
              <w:numPr>
                <w:ilvl w:val="0"/>
                <w:numId w:val="0"/>
              </w:numPr>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7.</w:t>
            </w:r>
            <w:r>
              <w:rPr>
                <w:rFonts w:hint="eastAsia" w:ascii="宋体" w:hAnsi="宋体" w:eastAsia="宋体" w:cs="宋体"/>
                <w:color w:val="auto"/>
                <w:sz w:val="21"/>
                <w:szCs w:val="21"/>
                <w:highlight w:val="none"/>
                <w:lang w:val="en-US" w:eastAsia="zh-CN"/>
              </w:rPr>
              <w:t>后轮距（mm）：</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75</w:t>
            </w:r>
            <w:r>
              <w:rPr>
                <w:rFonts w:hint="eastAsia" w:ascii="宋体" w:hAnsi="宋体" w:eastAsia="宋体" w:cs="宋体"/>
                <w:color w:val="auto"/>
                <w:sz w:val="21"/>
                <w:szCs w:val="21"/>
                <w:highlight w:val="none"/>
                <w:lang w:eastAsia="zh-CN"/>
              </w:rPr>
              <w:t>0。</w:t>
            </w:r>
          </w:p>
          <w:p w14:paraId="4CED1652">
            <w:pPr>
              <w:keepNext w:val="0"/>
              <w:keepLines w:val="0"/>
              <w:pageBreakBefore w:val="0"/>
              <w:widowControl w:val="0"/>
              <w:numPr>
                <w:ilvl w:val="0"/>
                <w:numId w:val="0"/>
              </w:numPr>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8.</w:t>
            </w:r>
            <w:r>
              <w:rPr>
                <w:rFonts w:hint="eastAsia" w:ascii="宋体" w:hAnsi="宋体" w:eastAsia="宋体" w:cs="宋体"/>
                <w:color w:val="auto"/>
                <w:sz w:val="21"/>
                <w:szCs w:val="21"/>
                <w:highlight w:val="none"/>
                <w:lang w:val="en-US" w:eastAsia="zh-CN"/>
              </w:rPr>
              <w:t>最高车速km/h：≥25。</w:t>
            </w:r>
          </w:p>
          <w:p w14:paraId="61BD626E">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9.充电要求：220V的交流电。</w:t>
            </w:r>
          </w:p>
          <w:p w14:paraId="5B456151">
            <w:pPr>
              <w:keepNext w:val="0"/>
              <w:keepLines w:val="0"/>
              <w:pageBreakBefore w:val="0"/>
              <w:widowControl w:val="0"/>
              <w:numPr>
                <w:ilvl w:val="0"/>
                <w:numId w:val="0"/>
              </w:numPr>
              <w:kinsoku/>
              <w:wordWrap/>
              <w:overflowPunct/>
              <w:topLinePunct w:val="0"/>
              <w:autoSpaceDE/>
              <w:autoSpaceDN/>
              <w:bidi w:val="0"/>
              <w:adjustRightInd w:val="0"/>
              <w:snapToGrid/>
              <w:spacing w:line="370" w:lineRule="exact"/>
              <w:textAlignment w:val="auto"/>
              <w:outlineLvl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kern w:val="2"/>
                <w:sz w:val="21"/>
                <w:szCs w:val="21"/>
                <w:highlight w:val="none"/>
                <w:lang w:val="en-US" w:eastAsia="zh-CN" w:bidi="ar-SA"/>
              </w:rPr>
              <w:t>二、</w:t>
            </w:r>
            <w:r>
              <w:rPr>
                <w:rFonts w:hint="eastAsia" w:ascii="宋体" w:hAnsi="宋体" w:eastAsia="宋体" w:cs="宋体"/>
                <w:b/>
                <w:bCs/>
                <w:color w:val="auto"/>
                <w:sz w:val="21"/>
                <w:szCs w:val="21"/>
                <w:highlight w:val="none"/>
                <w:lang w:val="en-US" w:eastAsia="zh-CN"/>
              </w:rPr>
              <w:t>配置要求：</w:t>
            </w:r>
          </w:p>
          <w:p w14:paraId="191BD2EF">
            <w:pPr>
              <w:keepNext w:val="0"/>
              <w:keepLines w:val="0"/>
              <w:pageBreakBefore w:val="0"/>
              <w:widowControl w:val="0"/>
              <w:numPr>
                <w:ilvl w:val="0"/>
                <w:numId w:val="0"/>
              </w:numPr>
              <w:kinsoku/>
              <w:wordWrap/>
              <w:overflowPunct/>
              <w:topLinePunct w:val="0"/>
              <w:autoSpaceDE/>
              <w:autoSpaceDN/>
              <w:bidi w:val="0"/>
              <w:adjustRightInd w:val="0"/>
              <w:snapToGrid/>
              <w:spacing w:line="370" w:lineRule="exact"/>
              <w:ind w:leftChars="0" w:firstLine="420" w:firstLineChars="200"/>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1.爬坡度（%）：≥15。</w:t>
            </w:r>
          </w:p>
          <w:p w14:paraId="38BBFB5C">
            <w:pPr>
              <w:keepNext w:val="0"/>
              <w:keepLines w:val="0"/>
              <w:pageBreakBefore w:val="0"/>
              <w:widowControl w:val="0"/>
              <w:numPr>
                <w:ilvl w:val="0"/>
                <w:numId w:val="0"/>
              </w:numPr>
              <w:kinsoku/>
              <w:wordWrap/>
              <w:overflowPunct/>
              <w:topLinePunct w:val="0"/>
              <w:autoSpaceDE/>
              <w:autoSpaceDN/>
              <w:bidi w:val="0"/>
              <w:adjustRightInd w:val="0"/>
              <w:snapToGrid/>
              <w:spacing w:line="370" w:lineRule="exact"/>
              <w:ind w:leftChars="0" w:firstLine="420" w:firstLineChars="200"/>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2.电池额定电压（V）：60。</w:t>
            </w:r>
          </w:p>
          <w:p w14:paraId="16545387">
            <w:pPr>
              <w:keepNext w:val="0"/>
              <w:keepLines w:val="0"/>
              <w:pageBreakBefore w:val="0"/>
              <w:widowControl w:val="0"/>
              <w:numPr>
                <w:ilvl w:val="0"/>
                <w:numId w:val="0"/>
              </w:numPr>
              <w:kinsoku/>
              <w:wordWrap/>
              <w:overflowPunct/>
              <w:topLinePunct w:val="0"/>
              <w:autoSpaceDE/>
              <w:autoSpaceDN/>
              <w:bidi w:val="0"/>
              <w:adjustRightInd w:val="0"/>
              <w:snapToGrid/>
              <w:spacing w:line="370" w:lineRule="exact"/>
              <w:ind w:leftChars="0" w:firstLine="420" w:firstLineChars="200"/>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3.电池电量(ah)：</w:t>
            </w:r>
            <w:r>
              <w:rPr>
                <w:rFonts w:hint="eastAsia" w:ascii="宋体" w:hAnsi="宋体" w:eastAsia="宋体" w:cs="宋体"/>
                <w:b w:val="0"/>
                <w:bCs w:val="0"/>
                <w:color w:val="auto"/>
                <w:sz w:val="21"/>
                <w:szCs w:val="21"/>
                <w:highlight w:val="none"/>
                <w:lang w:val="en-US" w:eastAsia="zh-CN"/>
              </w:rPr>
              <w:t>≥20</w:t>
            </w:r>
            <w:r>
              <w:rPr>
                <w:rFonts w:hint="eastAsia" w:ascii="宋体" w:hAnsi="宋体" w:eastAsia="宋体" w:cs="宋体"/>
                <w:b w:val="0"/>
                <w:bCs w:val="0"/>
                <w:color w:val="auto"/>
                <w:sz w:val="21"/>
                <w:szCs w:val="21"/>
                <w:highlight w:val="none"/>
                <w:lang w:eastAsia="zh-CN"/>
              </w:rPr>
              <w:t>(免维护）。</w:t>
            </w:r>
          </w:p>
          <w:p w14:paraId="0456D356">
            <w:pPr>
              <w:keepNext w:val="0"/>
              <w:keepLines w:val="0"/>
              <w:pageBreakBefore w:val="0"/>
              <w:widowControl w:val="0"/>
              <w:numPr>
                <w:ilvl w:val="0"/>
                <w:numId w:val="0"/>
              </w:numPr>
              <w:kinsoku/>
              <w:wordWrap/>
              <w:overflowPunct/>
              <w:topLinePunct w:val="0"/>
              <w:autoSpaceDE/>
              <w:autoSpaceDN/>
              <w:bidi w:val="0"/>
              <w:adjustRightInd w:val="0"/>
              <w:snapToGrid/>
              <w:spacing w:line="370" w:lineRule="exact"/>
              <w:ind w:leftChars="0" w:firstLine="420" w:firstLineChars="200"/>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4.续航里程（KM）：≥35。</w:t>
            </w:r>
          </w:p>
          <w:p w14:paraId="2297AFF5">
            <w:pPr>
              <w:keepNext w:val="0"/>
              <w:keepLines w:val="0"/>
              <w:pageBreakBefore w:val="0"/>
              <w:widowControl w:val="0"/>
              <w:numPr>
                <w:ilvl w:val="0"/>
                <w:numId w:val="0"/>
              </w:numPr>
              <w:kinsoku/>
              <w:wordWrap/>
              <w:overflowPunct/>
              <w:topLinePunct w:val="0"/>
              <w:autoSpaceDE/>
              <w:autoSpaceDN/>
              <w:bidi w:val="0"/>
              <w:adjustRightInd w:val="0"/>
              <w:snapToGrid/>
              <w:spacing w:line="370" w:lineRule="exact"/>
              <w:ind w:leftChars="0" w:firstLine="420" w:firstLineChars="200"/>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5.箱体要求：碳钢材质、容积≥500L。</w:t>
            </w:r>
          </w:p>
          <w:p w14:paraId="56298F1D">
            <w:pPr>
              <w:keepNext w:val="0"/>
              <w:keepLines w:val="0"/>
              <w:pageBreakBefore w:val="0"/>
              <w:widowControl w:val="0"/>
              <w:numPr>
                <w:ilvl w:val="0"/>
                <w:numId w:val="0"/>
              </w:numPr>
              <w:kinsoku/>
              <w:wordWrap/>
              <w:overflowPunct/>
              <w:topLinePunct w:val="0"/>
              <w:autoSpaceDE/>
              <w:autoSpaceDN/>
              <w:bidi w:val="0"/>
              <w:adjustRightInd w:val="0"/>
              <w:snapToGrid/>
              <w:spacing w:line="370" w:lineRule="exact"/>
              <w:ind w:leftChars="0" w:firstLine="420" w:firstLineChars="200"/>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6.车架要求：框架式结构，主梁内撑加强，高强度碳钢整体焊接。</w:t>
            </w:r>
          </w:p>
          <w:p w14:paraId="1AFBE82F">
            <w:pPr>
              <w:keepNext w:val="0"/>
              <w:keepLines w:val="0"/>
              <w:pageBreakBefore w:val="0"/>
              <w:widowControl w:val="0"/>
              <w:numPr>
                <w:ilvl w:val="0"/>
                <w:numId w:val="0"/>
              </w:numPr>
              <w:kinsoku/>
              <w:wordWrap/>
              <w:overflowPunct/>
              <w:topLinePunct w:val="0"/>
              <w:autoSpaceDE/>
              <w:autoSpaceDN/>
              <w:bidi w:val="0"/>
              <w:adjustRightInd w:val="0"/>
              <w:snapToGrid/>
              <w:spacing w:line="370" w:lineRule="exact"/>
              <w:ind w:leftChars="0" w:firstLine="420" w:firstLineChars="200"/>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7.制动器要求：脚踩鼓式前后轮制动 +手动驻车制动。</w:t>
            </w:r>
          </w:p>
          <w:p w14:paraId="025B77DF">
            <w:pPr>
              <w:keepNext w:val="0"/>
              <w:keepLines w:val="0"/>
              <w:pageBreakBefore w:val="0"/>
              <w:widowControl w:val="0"/>
              <w:numPr>
                <w:ilvl w:val="0"/>
                <w:numId w:val="0"/>
              </w:numPr>
              <w:kinsoku/>
              <w:wordWrap/>
              <w:overflowPunct/>
              <w:topLinePunct w:val="0"/>
              <w:autoSpaceDE/>
              <w:autoSpaceDN/>
              <w:bidi w:val="0"/>
              <w:adjustRightInd w:val="0"/>
              <w:snapToGrid/>
              <w:spacing w:line="370" w:lineRule="exact"/>
              <w:ind w:leftChars="0" w:firstLine="420" w:firstLineChars="200"/>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lang w:eastAsia="zh-CN"/>
              </w:rPr>
              <w:t>.整车工艺要求：酸洗磷化+阴极电泳+高温智能烤漆，耐腐蚀抗磨损。</w:t>
            </w:r>
          </w:p>
          <w:p w14:paraId="242AFEC3">
            <w:pPr>
              <w:keepNext w:val="0"/>
              <w:keepLines w:val="0"/>
              <w:pageBreakBefore w:val="0"/>
              <w:widowControl w:val="0"/>
              <w:numPr>
                <w:ilvl w:val="0"/>
                <w:numId w:val="0"/>
              </w:numPr>
              <w:kinsoku/>
              <w:wordWrap/>
              <w:overflowPunct/>
              <w:topLinePunct w:val="0"/>
              <w:autoSpaceDE/>
              <w:autoSpaceDN/>
              <w:bidi w:val="0"/>
              <w:adjustRightInd w:val="0"/>
              <w:snapToGrid/>
              <w:spacing w:line="370" w:lineRule="exact"/>
              <w:ind w:leftChars="0" w:firstLine="420" w:firstLineChars="200"/>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9</w:t>
            </w:r>
            <w:r>
              <w:rPr>
                <w:rFonts w:hint="eastAsia" w:ascii="宋体" w:hAnsi="宋体" w:eastAsia="宋体" w:cs="宋体"/>
                <w:b w:val="0"/>
                <w:bCs w:val="0"/>
                <w:color w:val="auto"/>
                <w:sz w:val="21"/>
                <w:szCs w:val="21"/>
                <w:highlight w:val="none"/>
                <w:lang w:eastAsia="zh-CN"/>
              </w:rPr>
              <w:t>.驱动电机类型要求：永磁同步电机。</w:t>
            </w:r>
          </w:p>
          <w:p w14:paraId="38DF8E63">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b w:val="0"/>
                <w:bCs/>
                <w:color w:val="auto"/>
                <w:kern w:val="2"/>
                <w:sz w:val="21"/>
                <w:szCs w:val="21"/>
                <w:highlight w:val="none"/>
                <w:vertAlign w:val="baseline"/>
                <w:lang w:val="en-US" w:eastAsia="zh-CN" w:bidi="ar-SA"/>
              </w:rPr>
            </w:pPr>
            <w:r>
              <w:rPr>
                <w:rFonts w:hint="eastAsia" w:ascii="宋体" w:hAnsi="宋体" w:eastAsia="宋体" w:cs="宋体"/>
                <w:b w:val="0"/>
                <w:bCs/>
                <w:color w:val="auto"/>
                <w:sz w:val="21"/>
                <w:szCs w:val="21"/>
                <w:highlight w:val="none"/>
                <w:vertAlign w:val="baseline"/>
              </w:rPr>
              <w:t>10.车辆座椅与车厢中间设有专用工具箱，可放扫把等作业工具。</w:t>
            </w:r>
          </w:p>
        </w:tc>
      </w:tr>
      <w:tr w14:paraId="6579A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764" w:type="dxa"/>
            <w:noWrap w:val="0"/>
            <w:vAlign w:val="center"/>
          </w:tcPr>
          <w:p w14:paraId="711F3B36">
            <w:pPr>
              <w:keepNext w:val="0"/>
              <w:keepLines w:val="0"/>
              <w:pageBreakBefore w:val="0"/>
              <w:kinsoku/>
              <w:overflowPunct/>
              <w:topLinePunct w:val="0"/>
              <w:autoSpaceDE/>
              <w:autoSpaceDN/>
              <w:bidi w:val="0"/>
              <w:spacing w:line="400" w:lineRule="exact"/>
              <w:jc w:val="center"/>
              <w:rPr>
                <w:rFonts w:hint="default" w:ascii="宋体" w:hAnsi="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13</w:t>
            </w:r>
          </w:p>
        </w:tc>
        <w:tc>
          <w:tcPr>
            <w:tcW w:w="1000" w:type="dxa"/>
            <w:shd w:val="clear" w:color="auto" w:fill="auto"/>
            <w:noWrap w:val="0"/>
            <w:vAlign w:val="center"/>
          </w:tcPr>
          <w:p w14:paraId="2A8EE8C0">
            <w:pPr>
              <w:keepNext w:val="0"/>
              <w:keepLines w:val="0"/>
              <w:pageBreakBefore w:val="0"/>
              <w:widowControl/>
              <w:suppressLineNumbers w:val="0"/>
              <w:kinsoku/>
              <w:wordWrap/>
              <w:overflowPunct/>
              <w:topLinePunct w:val="0"/>
              <w:autoSpaceDE/>
              <w:autoSpaceDN/>
              <w:bidi w:val="0"/>
              <w:snapToGrid/>
              <w:spacing w:line="37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电动三轮保洁车（挂桶式）</w:t>
            </w:r>
          </w:p>
        </w:tc>
        <w:tc>
          <w:tcPr>
            <w:tcW w:w="879" w:type="dxa"/>
            <w:shd w:val="clear" w:color="auto" w:fill="auto"/>
            <w:noWrap w:val="0"/>
            <w:vAlign w:val="center"/>
          </w:tcPr>
          <w:p w14:paraId="2061253A">
            <w:pPr>
              <w:keepNext w:val="0"/>
              <w:keepLines w:val="0"/>
              <w:pageBreakBefore w:val="0"/>
              <w:widowControl/>
              <w:suppressLineNumbers w:val="0"/>
              <w:kinsoku/>
              <w:wordWrap/>
              <w:overflowPunct/>
              <w:topLinePunct w:val="0"/>
              <w:autoSpaceDE/>
              <w:autoSpaceDN/>
              <w:bidi w:val="0"/>
              <w:snapToGrid/>
              <w:spacing w:line="37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30辆</w:t>
            </w:r>
          </w:p>
        </w:tc>
        <w:tc>
          <w:tcPr>
            <w:tcW w:w="6722" w:type="dxa"/>
            <w:shd w:val="clear" w:color="auto" w:fill="auto"/>
            <w:noWrap w:val="0"/>
            <w:vAlign w:val="top"/>
          </w:tcPr>
          <w:p w14:paraId="3A9B6CB6">
            <w:pPr>
              <w:keepNext w:val="0"/>
              <w:keepLines w:val="0"/>
              <w:pageBreakBefore w:val="0"/>
              <w:widowControl w:val="0"/>
              <w:numPr>
                <w:ilvl w:val="0"/>
                <w:numId w:val="0"/>
              </w:numPr>
              <w:kinsoku/>
              <w:wordWrap/>
              <w:overflowPunct/>
              <w:topLinePunct w:val="0"/>
              <w:autoSpaceDE/>
              <w:autoSpaceDN/>
              <w:bidi w:val="0"/>
              <w:adjustRightInd w:val="0"/>
              <w:snapToGrid/>
              <w:spacing w:line="370" w:lineRule="exact"/>
              <w:textAlignment w:val="auto"/>
              <w:outlineLvl w:val="2"/>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一、主要技术要求</w:t>
            </w:r>
          </w:p>
          <w:p w14:paraId="2AB4083C">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b w:val="0"/>
                <w:bCs/>
                <w:color w:val="auto"/>
                <w:sz w:val="21"/>
                <w:szCs w:val="21"/>
                <w:highlight w:val="none"/>
                <w:vertAlign w:val="baseline"/>
                <w:lang w:eastAsia="zh-CN"/>
              </w:rPr>
            </w:pPr>
            <w:r>
              <w:rPr>
                <w:rFonts w:hint="eastAsia" w:ascii="宋体" w:hAnsi="宋体" w:eastAsia="宋体" w:cs="宋体"/>
                <w:b w:val="0"/>
                <w:bCs/>
                <w:color w:val="auto"/>
                <w:sz w:val="21"/>
                <w:szCs w:val="21"/>
                <w:highlight w:val="none"/>
                <w:vertAlign w:val="baseline"/>
              </w:rPr>
              <w:t>1.车身尺寸 (长×宽×高)（mm）：≥3400×1300×1800</w:t>
            </w:r>
            <w:r>
              <w:rPr>
                <w:rFonts w:hint="eastAsia" w:ascii="宋体" w:hAnsi="宋体" w:eastAsia="宋体" w:cs="宋体"/>
                <w:b w:val="0"/>
                <w:bCs/>
                <w:color w:val="auto"/>
                <w:sz w:val="21"/>
                <w:szCs w:val="21"/>
                <w:highlight w:val="none"/>
                <w:vertAlign w:val="baseline"/>
                <w:lang w:eastAsia="zh-CN"/>
              </w:rPr>
              <w:t>。</w:t>
            </w:r>
          </w:p>
          <w:p w14:paraId="01900E0C">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b w:val="0"/>
                <w:bCs/>
                <w:color w:val="auto"/>
                <w:sz w:val="21"/>
                <w:szCs w:val="21"/>
                <w:highlight w:val="none"/>
                <w:vertAlign w:val="baseline"/>
                <w:lang w:eastAsia="zh-CN"/>
              </w:rPr>
            </w:pPr>
            <w:r>
              <w:rPr>
                <w:rFonts w:hint="eastAsia" w:ascii="宋体" w:hAnsi="宋体" w:eastAsia="宋体" w:cs="宋体"/>
                <w:color w:val="auto"/>
                <w:sz w:val="21"/>
                <w:szCs w:val="21"/>
                <w:highlight w:val="none"/>
              </w:rPr>
              <w:t>▲</w:t>
            </w:r>
            <w:r>
              <w:rPr>
                <w:rFonts w:hint="eastAsia" w:ascii="宋体" w:hAnsi="宋体" w:eastAsia="宋体" w:cs="宋体"/>
                <w:b w:val="0"/>
                <w:bCs/>
                <w:color w:val="auto"/>
                <w:sz w:val="21"/>
                <w:szCs w:val="21"/>
                <w:highlight w:val="none"/>
                <w:vertAlign w:val="baseline"/>
              </w:rPr>
              <w:t>2.总质量（kg）：≥1200</w:t>
            </w:r>
            <w:r>
              <w:rPr>
                <w:rFonts w:hint="eastAsia" w:ascii="宋体" w:hAnsi="宋体" w:eastAsia="宋体" w:cs="宋体"/>
                <w:b w:val="0"/>
                <w:bCs/>
                <w:color w:val="auto"/>
                <w:sz w:val="21"/>
                <w:szCs w:val="21"/>
                <w:highlight w:val="none"/>
                <w:vertAlign w:val="baseline"/>
                <w:lang w:eastAsia="zh-CN"/>
              </w:rPr>
              <w:t>。</w:t>
            </w:r>
          </w:p>
          <w:p w14:paraId="3EA11967">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b w:val="0"/>
                <w:bCs/>
                <w:color w:val="auto"/>
                <w:sz w:val="21"/>
                <w:szCs w:val="21"/>
                <w:highlight w:val="none"/>
                <w:vertAlign w:val="baseline"/>
                <w:lang w:eastAsia="zh-CN"/>
              </w:rPr>
            </w:pPr>
            <w:r>
              <w:rPr>
                <w:rFonts w:hint="eastAsia" w:ascii="宋体" w:hAnsi="宋体" w:eastAsia="宋体" w:cs="宋体"/>
                <w:b w:val="0"/>
                <w:bCs/>
                <w:color w:val="auto"/>
                <w:sz w:val="21"/>
                <w:szCs w:val="21"/>
                <w:highlight w:val="none"/>
                <w:vertAlign w:val="baseline"/>
              </w:rPr>
              <w:t>3.整备质量（kg）：≥550</w:t>
            </w:r>
            <w:r>
              <w:rPr>
                <w:rFonts w:hint="eastAsia" w:ascii="宋体" w:hAnsi="宋体" w:eastAsia="宋体" w:cs="宋体"/>
                <w:b w:val="0"/>
                <w:bCs/>
                <w:color w:val="auto"/>
                <w:sz w:val="21"/>
                <w:szCs w:val="21"/>
                <w:highlight w:val="none"/>
                <w:vertAlign w:val="baseline"/>
                <w:lang w:eastAsia="zh-CN"/>
              </w:rPr>
              <w:t>。</w:t>
            </w:r>
          </w:p>
          <w:p w14:paraId="1322A4AE">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b w:val="0"/>
                <w:bCs/>
                <w:color w:val="auto"/>
                <w:sz w:val="21"/>
                <w:szCs w:val="21"/>
                <w:highlight w:val="none"/>
                <w:vertAlign w:val="baseline"/>
                <w:lang w:eastAsia="zh-CN"/>
              </w:rPr>
            </w:pPr>
            <w:r>
              <w:rPr>
                <w:rFonts w:hint="eastAsia" w:ascii="宋体" w:hAnsi="宋体" w:eastAsia="宋体" w:cs="宋体"/>
                <w:b w:val="0"/>
                <w:bCs/>
                <w:color w:val="auto"/>
                <w:sz w:val="21"/>
                <w:szCs w:val="21"/>
                <w:highlight w:val="none"/>
                <w:vertAlign w:val="baseline"/>
              </w:rPr>
              <w:t>4.额定载质量（kg）：≥500</w:t>
            </w:r>
            <w:r>
              <w:rPr>
                <w:rFonts w:hint="eastAsia" w:ascii="宋体" w:hAnsi="宋体" w:eastAsia="宋体" w:cs="宋体"/>
                <w:b w:val="0"/>
                <w:bCs/>
                <w:color w:val="auto"/>
                <w:sz w:val="21"/>
                <w:szCs w:val="21"/>
                <w:highlight w:val="none"/>
                <w:vertAlign w:val="baseline"/>
                <w:lang w:eastAsia="zh-CN"/>
              </w:rPr>
              <w:t>。</w:t>
            </w:r>
          </w:p>
          <w:p w14:paraId="2CDA13FA">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b w:val="0"/>
                <w:bCs/>
                <w:color w:val="auto"/>
                <w:sz w:val="21"/>
                <w:szCs w:val="21"/>
                <w:highlight w:val="none"/>
                <w:vertAlign w:val="baseline"/>
                <w:lang w:eastAsia="zh-CN"/>
              </w:rPr>
            </w:pPr>
            <w:r>
              <w:rPr>
                <w:rFonts w:hint="eastAsia" w:ascii="宋体" w:hAnsi="宋体" w:eastAsia="宋体" w:cs="宋体"/>
                <w:color w:val="auto"/>
                <w:sz w:val="21"/>
                <w:szCs w:val="21"/>
                <w:highlight w:val="none"/>
              </w:rPr>
              <w:t>▲</w:t>
            </w:r>
            <w:r>
              <w:rPr>
                <w:rFonts w:hint="eastAsia" w:ascii="宋体" w:hAnsi="宋体" w:eastAsia="宋体" w:cs="宋体"/>
                <w:b w:val="0"/>
                <w:bCs/>
                <w:color w:val="auto"/>
                <w:sz w:val="21"/>
                <w:szCs w:val="21"/>
                <w:highlight w:val="none"/>
                <w:vertAlign w:val="baseline"/>
              </w:rPr>
              <w:t>5.驱动电机额定功率（KW）：≥2.0</w:t>
            </w:r>
            <w:r>
              <w:rPr>
                <w:rFonts w:hint="eastAsia" w:ascii="宋体" w:hAnsi="宋体" w:eastAsia="宋体" w:cs="宋体"/>
                <w:b w:val="0"/>
                <w:bCs/>
                <w:color w:val="auto"/>
                <w:sz w:val="21"/>
                <w:szCs w:val="21"/>
                <w:highlight w:val="none"/>
                <w:vertAlign w:val="baseline"/>
                <w:lang w:eastAsia="zh-CN"/>
              </w:rPr>
              <w:t>。</w:t>
            </w:r>
          </w:p>
          <w:p w14:paraId="0DB83D92">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b w:val="0"/>
                <w:bCs/>
                <w:color w:val="auto"/>
                <w:sz w:val="21"/>
                <w:szCs w:val="21"/>
                <w:highlight w:val="none"/>
                <w:vertAlign w:val="baseline"/>
                <w:lang w:eastAsia="zh-CN"/>
              </w:rPr>
            </w:pPr>
            <w:r>
              <w:rPr>
                <w:rFonts w:hint="eastAsia" w:ascii="宋体" w:hAnsi="宋体" w:eastAsia="宋体" w:cs="宋体"/>
                <w:b w:val="0"/>
                <w:bCs/>
                <w:color w:val="auto"/>
                <w:sz w:val="21"/>
                <w:szCs w:val="21"/>
                <w:highlight w:val="none"/>
                <w:vertAlign w:val="baseline"/>
              </w:rPr>
              <w:t>6.轴距（mm）：≥2300</w:t>
            </w:r>
            <w:r>
              <w:rPr>
                <w:rFonts w:hint="eastAsia" w:ascii="宋体" w:hAnsi="宋体" w:eastAsia="宋体" w:cs="宋体"/>
                <w:b w:val="0"/>
                <w:bCs/>
                <w:color w:val="auto"/>
                <w:sz w:val="21"/>
                <w:szCs w:val="21"/>
                <w:highlight w:val="none"/>
                <w:vertAlign w:val="baseline"/>
                <w:lang w:eastAsia="zh-CN"/>
              </w:rPr>
              <w:t>。</w:t>
            </w:r>
          </w:p>
          <w:p w14:paraId="0BC3B136">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b w:val="0"/>
                <w:bCs/>
                <w:color w:val="auto"/>
                <w:sz w:val="21"/>
                <w:szCs w:val="21"/>
                <w:highlight w:val="none"/>
                <w:vertAlign w:val="baseline"/>
                <w:lang w:eastAsia="zh-CN"/>
              </w:rPr>
            </w:pPr>
            <w:r>
              <w:rPr>
                <w:rFonts w:hint="eastAsia" w:ascii="宋体" w:hAnsi="宋体" w:eastAsia="宋体" w:cs="宋体"/>
                <w:b w:val="0"/>
                <w:bCs/>
                <w:color w:val="auto"/>
                <w:sz w:val="21"/>
                <w:szCs w:val="21"/>
                <w:highlight w:val="none"/>
                <w:vertAlign w:val="baseline"/>
              </w:rPr>
              <w:t>7.后轮距（mm）：≥1000</w:t>
            </w:r>
            <w:r>
              <w:rPr>
                <w:rFonts w:hint="eastAsia" w:ascii="宋体" w:hAnsi="宋体" w:eastAsia="宋体" w:cs="宋体"/>
                <w:b w:val="0"/>
                <w:bCs/>
                <w:color w:val="auto"/>
                <w:sz w:val="21"/>
                <w:szCs w:val="21"/>
                <w:highlight w:val="none"/>
                <w:vertAlign w:val="baseline"/>
                <w:lang w:eastAsia="zh-CN"/>
              </w:rPr>
              <w:t>。</w:t>
            </w:r>
          </w:p>
          <w:p w14:paraId="4F1DCE3E">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b w:val="0"/>
                <w:bCs/>
                <w:color w:val="auto"/>
                <w:sz w:val="21"/>
                <w:szCs w:val="21"/>
                <w:highlight w:val="none"/>
                <w:vertAlign w:val="baseline"/>
                <w:lang w:eastAsia="zh-CN"/>
              </w:rPr>
            </w:pPr>
            <w:r>
              <w:rPr>
                <w:rFonts w:hint="eastAsia" w:ascii="宋体" w:hAnsi="宋体" w:eastAsia="宋体" w:cs="宋体"/>
                <w:b w:val="0"/>
                <w:bCs/>
                <w:color w:val="auto"/>
                <w:sz w:val="21"/>
                <w:szCs w:val="21"/>
                <w:highlight w:val="none"/>
                <w:vertAlign w:val="baseline"/>
              </w:rPr>
              <w:t>8.最高车速km/h：≥25</w:t>
            </w:r>
            <w:r>
              <w:rPr>
                <w:rFonts w:hint="eastAsia" w:ascii="宋体" w:hAnsi="宋体" w:eastAsia="宋体" w:cs="宋体"/>
                <w:b w:val="0"/>
                <w:bCs/>
                <w:color w:val="auto"/>
                <w:sz w:val="21"/>
                <w:szCs w:val="21"/>
                <w:highlight w:val="none"/>
                <w:vertAlign w:val="baseline"/>
                <w:lang w:eastAsia="zh-CN"/>
              </w:rPr>
              <w:t>。</w:t>
            </w:r>
          </w:p>
          <w:p w14:paraId="5EC26060">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9.充电要求：220V的交流电。</w:t>
            </w:r>
          </w:p>
          <w:p w14:paraId="3A912F23">
            <w:pPr>
              <w:keepNext w:val="0"/>
              <w:keepLines w:val="0"/>
              <w:pageBreakBefore w:val="0"/>
              <w:widowControl w:val="0"/>
              <w:kinsoku/>
              <w:wordWrap/>
              <w:overflowPunct/>
              <w:topLinePunct w:val="0"/>
              <w:autoSpaceDE/>
              <w:autoSpaceDN/>
              <w:bidi w:val="0"/>
              <w:adjustRightInd w:val="0"/>
              <w:snapToGrid/>
              <w:spacing w:line="370" w:lineRule="exact"/>
              <w:textAlignment w:val="auto"/>
              <w:rPr>
                <w:rFonts w:hint="eastAsia" w:ascii="宋体" w:hAnsi="宋体" w:eastAsia="宋体" w:cs="宋体"/>
                <w:b w:val="0"/>
                <w:bCs/>
                <w:color w:val="auto"/>
                <w:sz w:val="21"/>
                <w:szCs w:val="21"/>
                <w:highlight w:val="none"/>
                <w:vertAlign w:val="baseline"/>
              </w:rPr>
            </w:pPr>
            <w:r>
              <w:rPr>
                <w:rFonts w:hint="eastAsia" w:ascii="宋体" w:hAnsi="宋体" w:eastAsia="宋体" w:cs="宋体"/>
                <w:b/>
                <w:bCs/>
                <w:color w:val="auto"/>
                <w:kern w:val="2"/>
                <w:sz w:val="21"/>
                <w:szCs w:val="21"/>
                <w:highlight w:val="none"/>
                <w:lang w:val="en-US" w:eastAsia="zh-CN" w:bidi="ar-SA"/>
              </w:rPr>
              <w:t>二、配置要求：</w:t>
            </w:r>
          </w:p>
          <w:p w14:paraId="12FAAC90">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b w:val="0"/>
                <w:bCs/>
                <w:color w:val="auto"/>
                <w:sz w:val="21"/>
                <w:szCs w:val="21"/>
                <w:highlight w:val="none"/>
                <w:vertAlign w:val="baseline"/>
                <w:lang w:eastAsia="zh-CN"/>
              </w:rPr>
            </w:pPr>
            <w:r>
              <w:rPr>
                <w:rFonts w:hint="eastAsia" w:ascii="宋体" w:hAnsi="宋体" w:eastAsia="宋体" w:cs="宋体"/>
                <w:b w:val="0"/>
                <w:bCs/>
                <w:color w:val="auto"/>
                <w:sz w:val="21"/>
                <w:szCs w:val="21"/>
                <w:highlight w:val="none"/>
                <w:vertAlign w:val="baseline"/>
              </w:rPr>
              <w:t>1.车厢有效容积</w:t>
            </w:r>
            <w:r>
              <w:rPr>
                <w:rFonts w:hint="eastAsia" w:ascii="宋体" w:hAnsi="宋体" w:eastAsia="宋体" w:cs="宋体"/>
                <w:b w:val="0"/>
                <w:bCs/>
                <w:color w:val="auto"/>
                <w:sz w:val="21"/>
                <w:szCs w:val="21"/>
                <w:highlight w:val="none"/>
                <w:vertAlign w:val="baseline"/>
                <w:lang w:eastAsia="zh-CN"/>
              </w:rPr>
              <w:t>（</w:t>
            </w:r>
            <w:r>
              <w:rPr>
                <w:rFonts w:hint="eastAsia" w:ascii="宋体" w:hAnsi="宋体" w:eastAsia="宋体" w:cs="宋体"/>
                <w:b w:val="0"/>
                <w:bCs/>
                <w:color w:val="auto"/>
                <w:sz w:val="21"/>
                <w:szCs w:val="21"/>
                <w:highlight w:val="none"/>
                <w:vertAlign w:val="baseline"/>
              </w:rPr>
              <w:t>m³</w:t>
            </w:r>
            <w:r>
              <w:rPr>
                <w:rFonts w:hint="eastAsia" w:ascii="宋体" w:hAnsi="宋体" w:eastAsia="宋体" w:cs="宋体"/>
                <w:b w:val="0"/>
                <w:bCs/>
                <w:color w:val="auto"/>
                <w:sz w:val="21"/>
                <w:szCs w:val="21"/>
                <w:highlight w:val="none"/>
                <w:vertAlign w:val="baseline"/>
                <w:lang w:eastAsia="zh-CN"/>
              </w:rPr>
              <w:t>）</w:t>
            </w:r>
            <w:r>
              <w:rPr>
                <w:rFonts w:hint="eastAsia" w:ascii="宋体" w:hAnsi="宋体" w:eastAsia="宋体" w:cs="宋体"/>
                <w:b w:val="0"/>
                <w:bCs/>
                <w:color w:val="auto"/>
                <w:sz w:val="21"/>
                <w:szCs w:val="21"/>
                <w:highlight w:val="none"/>
                <w:vertAlign w:val="baseline"/>
              </w:rPr>
              <w:t>：≥3</w:t>
            </w:r>
            <w:r>
              <w:rPr>
                <w:rFonts w:hint="eastAsia" w:ascii="宋体" w:hAnsi="宋体" w:eastAsia="宋体" w:cs="宋体"/>
                <w:b w:val="0"/>
                <w:bCs/>
                <w:color w:val="auto"/>
                <w:sz w:val="21"/>
                <w:szCs w:val="21"/>
                <w:highlight w:val="none"/>
                <w:vertAlign w:val="baseline"/>
                <w:lang w:eastAsia="zh-CN"/>
              </w:rPr>
              <w:t>。</w:t>
            </w:r>
          </w:p>
          <w:p w14:paraId="2EC9AFE9">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b w:val="0"/>
                <w:bCs/>
                <w:color w:val="auto"/>
                <w:sz w:val="21"/>
                <w:szCs w:val="21"/>
                <w:highlight w:val="none"/>
                <w:vertAlign w:val="baseline"/>
                <w:lang w:eastAsia="zh-CN"/>
              </w:rPr>
            </w:pPr>
            <w:r>
              <w:rPr>
                <w:rFonts w:hint="eastAsia" w:ascii="宋体" w:hAnsi="宋体" w:eastAsia="宋体" w:cs="宋体"/>
                <w:b w:val="0"/>
                <w:bCs/>
                <w:color w:val="auto"/>
                <w:sz w:val="21"/>
                <w:szCs w:val="21"/>
                <w:highlight w:val="none"/>
                <w:vertAlign w:val="baseline"/>
              </w:rPr>
              <w:t>2.电池额定电压（V）：≥60</w:t>
            </w:r>
            <w:r>
              <w:rPr>
                <w:rFonts w:hint="eastAsia" w:ascii="宋体" w:hAnsi="宋体" w:eastAsia="宋体" w:cs="宋体"/>
                <w:b w:val="0"/>
                <w:bCs/>
                <w:color w:val="auto"/>
                <w:sz w:val="21"/>
                <w:szCs w:val="21"/>
                <w:highlight w:val="none"/>
                <w:vertAlign w:val="baseline"/>
                <w:lang w:eastAsia="zh-CN"/>
              </w:rPr>
              <w:t>。</w:t>
            </w:r>
          </w:p>
          <w:p w14:paraId="4569002D">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b w:val="0"/>
                <w:bCs/>
                <w:color w:val="auto"/>
                <w:sz w:val="21"/>
                <w:szCs w:val="21"/>
                <w:highlight w:val="none"/>
                <w:vertAlign w:val="baseline"/>
                <w:lang w:eastAsia="zh-CN"/>
              </w:rPr>
            </w:pPr>
            <w:r>
              <w:rPr>
                <w:rFonts w:hint="eastAsia" w:ascii="宋体" w:hAnsi="宋体" w:eastAsia="宋体" w:cs="宋体"/>
                <w:b w:val="0"/>
                <w:bCs/>
                <w:color w:val="auto"/>
                <w:sz w:val="21"/>
                <w:szCs w:val="21"/>
                <w:highlight w:val="none"/>
                <w:vertAlign w:val="baseline"/>
              </w:rPr>
              <w:t>3.电池电量(ah)​：≥80(免维护）</w:t>
            </w:r>
            <w:r>
              <w:rPr>
                <w:rFonts w:hint="eastAsia" w:ascii="宋体" w:hAnsi="宋体" w:eastAsia="宋体" w:cs="宋体"/>
                <w:b w:val="0"/>
                <w:bCs/>
                <w:color w:val="auto"/>
                <w:sz w:val="21"/>
                <w:szCs w:val="21"/>
                <w:highlight w:val="none"/>
                <w:vertAlign w:val="baseline"/>
                <w:lang w:eastAsia="zh-CN"/>
              </w:rPr>
              <w:t>。</w:t>
            </w:r>
          </w:p>
          <w:p w14:paraId="553D8D39">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b w:val="0"/>
                <w:bCs/>
                <w:color w:val="auto"/>
                <w:sz w:val="21"/>
                <w:szCs w:val="21"/>
                <w:highlight w:val="none"/>
                <w:vertAlign w:val="baseline"/>
                <w:lang w:eastAsia="zh-CN"/>
              </w:rPr>
            </w:pPr>
            <w:r>
              <w:rPr>
                <w:rFonts w:hint="eastAsia" w:ascii="宋体" w:hAnsi="宋体" w:eastAsia="宋体" w:cs="宋体"/>
                <w:b w:val="0"/>
                <w:bCs/>
                <w:color w:val="auto"/>
                <w:sz w:val="21"/>
                <w:szCs w:val="21"/>
                <w:highlight w:val="none"/>
                <w:vertAlign w:val="baseline"/>
              </w:rPr>
              <w:t>4.续航里程（KM）：≥80</w:t>
            </w:r>
            <w:r>
              <w:rPr>
                <w:rFonts w:hint="eastAsia" w:ascii="宋体" w:hAnsi="宋体" w:eastAsia="宋体" w:cs="宋体"/>
                <w:b w:val="0"/>
                <w:bCs/>
                <w:color w:val="auto"/>
                <w:sz w:val="21"/>
                <w:szCs w:val="21"/>
                <w:highlight w:val="none"/>
                <w:vertAlign w:val="baseline"/>
                <w:lang w:eastAsia="zh-CN"/>
              </w:rPr>
              <w:t>。</w:t>
            </w:r>
          </w:p>
          <w:p w14:paraId="3D70F954">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b w:val="0"/>
                <w:bCs/>
                <w:color w:val="auto"/>
                <w:sz w:val="21"/>
                <w:szCs w:val="21"/>
                <w:highlight w:val="none"/>
                <w:vertAlign w:val="baseline"/>
                <w:lang w:eastAsia="zh-CN"/>
              </w:rPr>
            </w:pPr>
            <w:r>
              <w:rPr>
                <w:rFonts w:hint="eastAsia" w:ascii="宋体" w:hAnsi="宋体" w:eastAsia="宋体" w:cs="宋体"/>
                <w:b w:val="0"/>
                <w:bCs/>
                <w:color w:val="auto"/>
                <w:sz w:val="21"/>
                <w:szCs w:val="21"/>
                <w:highlight w:val="none"/>
                <w:vertAlign w:val="baseline"/>
              </w:rPr>
              <w:t>5. 制动方式：脚踩鼓式前后轮制动+手动驻车制动</w:t>
            </w:r>
            <w:r>
              <w:rPr>
                <w:rFonts w:hint="eastAsia" w:ascii="宋体" w:hAnsi="宋体" w:eastAsia="宋体" w:cs="宋体"/>
                <w:b w:val="0"/>
                <w:bCs/>
                <w:color w:val="auto"/>
                <w:sz w:val="21"/>
                <w:szCs w:val="21"/>
                <w:highlight w:val="none"/>
                <w:vertAlign w:val="baseline"/>
                <w:lang w:eastAsia="zh-CN"/>
              </w:rPr>
              <w:t>。</w:t>
            </w:r>
          </w:p>
          <w:p w14:paraId="5E673BD7">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b w:val="0"/>
                <w:bCs/>
                <w:color w:val="auto"/>
                <w:sz w:val="21"/>
                <w:szCs w:val="21"/>
                <w:highlight w:val="none"/>
                <w:vertAlign w:val="baseline"/>
                <w:lang w:eastAsia="zh-CN"/>
              </w:rPr>
            </w:pPr>
            <w:r>
              <w:rPr>
                <w:rFonts w:hint="eastAsia" w:ascii="宋体" w:hAnsi="宋体" w:eastAsia="宋体" w:cs="宋体"/>
                <w:b w:val="0"/>
                <w:bCs/>
                <w:color w:val="auto"/>
                <w:sz w:val="21"/>
                <w:szCs w:val="21"/>
                <w:highlight w:val="none"/>
                <w:vertAlign w:val="baseline"/>
              </w:rPr>
              <w:t>6. 驱动电机类型要求：永磁同步电机</w:t>
            </w:r>
            <w:r>
              <w:rPr>
                <w:rFonts w:hint="eastAsia" w:ascii="宋体" w:hAnsi="宋体" w:eastAsia="宋体" w:cs="宋体"/>
                <w:b w:val="0"/>
                <w:bCs/>
                <w:color w:val="auto"/>
                <w:sz w:val="21"/>
                <w:szCs w:val="21"/>
                <w:highlight w:val="none"/>
                <w:vertAlign w:val="baseline"/>
                <w:lang w:eastAsia="zh-CN"/>
              </w:rPr>
              <w:t>。</w:t>
            </w:r>
          </w:p>
          <w:p w14:paraId="6A57EA9E">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b w:val="0"/>
                <w:bCs/>
                <w:color w:val="auto"/>
                <w:sz w:val="21"/>
                <w:szCs w:val="21"/>
                <w:highlight w:val="none"/>
                <w:vertAlign w:val="baseline"/>
                <w:lang w:eastAsia="zh-CN"/>
              </w:rPr>
            </w:pPr>
            <w:r>
              <w:rPr>
                <w:rFonts w:hint="eastAsia" w:ascii="宋体" w:hAnsi="宋体" w:eastAsia="宋体" w:cs="宋体"/>
                <w:b w:val="0"/>
                <w:bCs/>
                <w:color w:val="auto"/>
                <w:sz w:val="21"/>
                <w:szCs w:val="21"/>
                <w:highlight w:val="none"/>
                <w:vertAlign w:val="baseline"/>
              </w:rPr>
              <w:t>7.车厢升降时间s</w:t>
            </w:r>
            <w:r>
              <w:rPr>
                <w:rFonts w:hint="eastAsia" w:ascii="宋体" w:hAnsi="宋体" w:eastAsia="宋体" w:cs="宋体"/>
                <w:b w:val="0"/>
                <w:bCs/>
                <w:color w:val="auto"/>
                <w:sz w:val="21"/>
                <w:szCs w:val="21"/>
                <w:highlight w:val="none"/>
                <w:vertAlign w:val="baseline"/>
                <w:lang w:eastAsia="zh-CN"/>
              </w:rPr>
              <w:t>：</w:t>
            </w:r>
            <w:r>
              <w:rPr>
                <w:rFonts w:hint="eastAsia" w:ascii="宋体" w:hAnsi="宋体" w:eastAsia="宋体" w:cs="宋体"/>
                <w:b w:val="0"/>
                <w:bCs/>
                <w:color w:val="auto"/>
                <w:sz w:val="21"/>
                <w:szCs w:val="21"/>
                <w:highlight w:val="none"/>
                <w:vertAlign w:val="baseline"/>
              </w:rPr>
              <w:t>≤13</w:t>
            </w:r>
            <w:r>
              <w:rPr>
                <w:rFonts w:hint="eastAsia" w:ascii="宋体" w:hAnsi="宋体" w:eastAsia="宋体" w:cs="宋体"/>
                <w:b w:val="0"/>
                <w:bCs/>
                <w:color w:val="auto"/>
                <w:sz w:val="21"/>
                <w:szCs w:val="21"/>
                <w:highlight w:val="none"/>
                <w:vertAlign w:val="baseline"/>
                <w:lang w:eastAsia="zh-CN"/>
              </w:rPr>
              <w:t>。</w:t>
            </w:r>
          </w:p>
          <w:p w14:paraId="6C97992C">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b w:val="0"/>
                <w:bCs/>
                <w:color w:val="auto"/>
                <w:sz w:val="21"/>
                <w:szCs w:val="21"/>
                <w:highlight w:val="none"/>
                <w:vertAlign w:val="baseline"/>
                <w:lang w:eastAsia="zh-CN"/>
              </w:rPr>
            </w:pPr>
            <w:r>
              <w:rPr>
                <w:rFonts w:hint="eastAsia" w:ascii="宋体" w:hAnsi="宋体" w:eastAsia="宋体" w:cs="宋体"/>
                <w:b w:val="0"/>
                <w:bCs/>
                <w:color w:val="auto"/>
                <w:sz w:val="21"/>
                <w:szCs w:val="21"/>
                <w:highlight w:val="none"/>
                <w:vertAlign w:val="baseline"/>
              </w:rPr>
              <w:t>8.翻桶起升时间s（空桶）</w:t>
            </w:r>
            <w:r>
              <w:rPr>
                <w:rFonts w:hint="eastAsia" w:ascii="宋体" w:hAnsi="宋体" w:eastAsia="宋体" w:cs="宋体"/>
                <w:b w:val="0"/>
                <w:bCs/>
                <w:color w:val="auto"/>
                <w:sz w:val="21"/>
                <w:szCs w:val="21"/>
                <w:highlight w:val="none"/>
                <w:vertAlign w:val="baseline"/>
                <w:lang w:eastAsia="zh-CN"/>
              </w:rPr>
              <w:t>：</w:t>
            </w:r>
            <w:r>
              <w:rPr>
                <w:rFonts w:hint="eastAsia" w:ascii="宋体" w:hAnsi="宋体" w:eastAsia="宋体" w:cs="宋体"/>
                <w:b w:val="0"/>
                <w:bCs/>
                <w:color w:val="auto"/>
                <w:sz w:val="21"/>
                <w:szCs w:val="21"/>
                <w:highlight w:val="none"/>
                <w:vertAlign w:val="baseline"/>
              </w:rPr>
              <w:t>≤15</w:t>
            </w:r>
            <w:r>
              <w:rPr>
                <w:rFonts w:hint="eastAsia" w:ascii="宋体" w:hAnsi="宋体" w:eastAsia="宋体" w:cs="宋体"/>
                <w:b w:val="0"/>
                <w:bCs/>
                <w:color w:val="auto"/>
                <w:sz w:val="21"/>
                <w:szCs w:val="21"/>
                <w:highlight w:val="none"/>
                <w:vertAlign w:val="baseline"/>
                <w:lang w:eastAsia="zh-CN"/>
              </w:rPr>
              <w:t>。</w:t>
            </w:r>
          </w:p>
          <w:p w14:paraId="2A9F9D8E">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b w:val="0"/>
                <w:bCs/>
                <w:color w:val="auto"/>
                <w:sz w:val="21"/>
                <w:szCs w:val="21"/>
                <w:highlight w:val="none"/>
                <w:vertAlign w:val="baseline"/>
                <w:lang w:eastAsia="zh-CN"/>
              </w:rPr>
            </w:pPr>
            <w:r>
              <w:rPr>
                <w:rFonts w:hint="eastAsia" w:ascii="宋体" w:hAnsi="宋体" w:eastAsia="宋体" w:cs="宋体"/>
                <w:b w:val="0"/>
                <w:bCs/>
                <w:color w:val="auto"/>
                <w:sz w:val="21"/>
                <w:szCs w:val="21"/>
                <w:highlight w:val="none"/>
                <w:vertAlign w:val="baseline"/>
              </w:rPr>
              <w:t>9.翻桶下降时间s（空桶）</w:t>
            </w:r>
            <w:r>
              <w:rPr>
                <w:rFonts w:hint="eastAsia" w:ascii="宋体" w:hAnsi="宋体" w:eastAsia="宋体" w:cs="宋体"/>
                <w:b w:val="0"/>
                <w:bCs/>
                <w:color w:val="auto"/>
                <w:sz w:val="21"/>
                <w:szCs w:val="21"/>
                <w:highlight w:val="none"/>
                <w:vertAlign w:val="baseline"/>
                <w:lang w:eastAsia="zh-CN"/>
              </w:rPr>
              <w:t>：</w:t>
            </w:r>
            <w:r>
              <w:rPr>
                <w:rFonts w:hint="eastAsia" w:ascii="宋体" w:hAnsi="宋体" w:eastAsia="宋体" w:cs="宋体"/>
                <w:b w:val="0"/>
                <w:bCs/>
                <w:color w:val="auto"/>
                <w:sz w:val="21"/>
                <w:szCs w:val="21"/>
                <w:highlight w:val="none"/>
                <w:vertAlign w:val="baseline"/>
              </w:rPr>
              <w:t>≤10</w:t>
            </w:r>
            <w:r>
              <w:rPr>
                <w:rFonts w:hint="eastAsia" w:ascii="宋体" w:hAnsi="宋体" w:eastAsia="宋体" w:cs="宋体"/>
                <w:b w:val="0"/>
                <w:bCs/>
                <w:color w:val="auto"/>
                <w:sz w:val="21"/>
                <w:szCs w:val="21"/>
                <w:highlight w:val="none"/>
                <w:vertAlign w:val="baseline"/>
                <w:lang w:eastAsia="zh-CN"/>
              </w:rPr>
              <w:t>。</w:t>
            </w:r>
          </w:p>
          <w:p w14:paraId="74126ACE">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b w:val="0"/>
                <w:bCs/>
                <w:color w:val="auto"/>
                <w:sz w:val="21"/>
                <w:szCs w:val="21"/>
                <w:highlight w:val="none"/>
                <w:vertAlign w:val="baseline"/>
                <w:lang w:eastAsia="zh-CN"/>
              </w:rPr>
            </w:pPr>
            <w:r>
              <w:rPr>
                <w:rFonts w:hint="eastAsia" w:ascii="宋体" w:hAnsi="宋体" w:eastAsia="宋体" w:cs="宋体"/>
                <w:b w:val="0"/>
                <w:bCs/>
                <w:color w:val="auto"/>
                <w:sz w:val="21"/>
                <w:szCs w:val="21"/>
                <w:highlight w:val="none"/>
                <w:vertAlign w:val="baseline"/>
              </w:rPr>
              <w:t>10.前减震：加重型内外簧油压伸缩管式铁减震，实心铸钢联板</w:t>
            </w:r>
            <w:r>
              <w:rPr>
                <w:rFonts w:hint="eastAsia" w:ascii="宋体" w:hAnsi="宋体" w:eastAsia="宋体" w:cs="宋体"/>
                <w:b w:val="0"/>
                <w:bCs/>
                <w:color w:val="auto"/>
                <w:sz w:val="21"/>
                <w:szCs w:val="21"/>
                <w:highlight w:val="none"/>
                <w:vertAlign w:val="baseline"/>
                <w:lang w:eastAsia="zh-CN"/>
              </w:rPr>
              <w:t>。</w:t>
            </w:r>
          </w:p>
          <w:p w14:paraId="04F6E178">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b w:val="0"/>
                <w:bCs/>
                <w:color w:val="auto"/>
                <w:sz w:val="21"/>
                <w:szCs w:val="21"/>
                <w:highlight w:val="none"/>
                <w:vertAlign w:val="baseline"/>
                <w:lang w:eastAsia="zh-CN"/>
              </w:rPr>
            </w:pPr>
            <w:r>
              <w:rPr>
                <w:rFonts w:hint="eastAsia" w:ascii="宋体" w:hAnsi="宋体" w:eastAsia="宋体" w:cs="宋体"/>
                <w:b w:val="0"/>
                <w:bCs/>
                <w:color w:val="auto"/>
                <w:sz w:val="21"/>
                <w:szCs w:val="21"/>
                <w:highlight w:val="none"/>
                <w:vertAlign w:val="baseline"/>
              </w:rPr>
              <w:t>11.箱体材质：碳钢材质</w:t>
            </w:r>
            <w:r>
              <w:rPr>
                <w:rFonts w:hint="eastAsia" w:ascii="宋体" w:hAnsi="宋体" w:eastAsia="宋体" w:cs="宋体"/>
                <w:b w:val="0"/>
                <w:bCs/>
                <w:color w:val="auto"/>
                <w:sz w:val="21"/>
                <w:szCs w:val="21"/>
                <w:highlight w:val="none"/>
                <w:vertAlign w:val="baseline"/>
                <w:lang w:eastAsia="zh-CN"/>
              </w:rPr>
              <w:t>。</w:t>
            </w:r>
          </w:p>
          <w:p w14:paraId="6E34C498">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b w:val="0"/>
                <w:bCs/>
                <w:color w:val="auto"/>
                <w:sz w:val="21"/>
                <w:szCs w:val="21"/>
                <w:highlight w:val="none"/>
                <w:vertAlign w:val="baseline"/>
                <w:lang w:eastAsia="zh-CN"/>
              </w:rPr>
            </w:pPr>
            <w:r>
              <w:rPr>
                <w:rFonts w:hint="eastAsia" w:ascii="宋体" w:hAnsi="宋体" w:eastAsia="宋体" w:cs="宋体"/>
                <w:b w:val="0"/>
                <w:bCs/>
                <w:color w:val="auto"/>
                <w:sz w:val="21"/>
                <w:szCs w:val="21"/>
                <w:highlight w:val="none"/>
                <w:vertAlign w:val="baseline"/>
              </w:rPr>
              <w:t>12.车架材质：碳钢+阴极电泳防腐防锈处理</w:t>
            </w:r>
            <w:r>
              <w:rPr>
                <w:rFonts w:hint="eastAsia" w:ascii="宋体" w:hAnsi="宋体" w:eastAsia="宋体" w:cs="宋体"/>
                <w:b w:val="0"/>
                <w:bCs/>
                <w:color w:val="auto"/>
                <w:sz w:val="21"/>
                <w:szCs w:val="21"/>
                <w:highlight w:val="none"/>
                <w:vertAlign w:val="baseline"/>
                <w:lang w:eastAsia="zh-CN"/>
              </w:rPr>
              <w:t>。</w:t>
            </w:r>
          </w:p>
          <w:p w14:paraId="2ED20C48">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b w:val="0"/>
                <w:bCs/>
                <w:color w:val="auto"/>
                <w:sz w:val="21"/>
                <w:szCs w:val="21"/>
                <w:highlight w:val="none"/>
                <w:vertAlign w:val="baseline"/>
                <w:lang w:eastAsia="zh-CN"/>
              </w:rPr>
            </w:pPr>
            <w:r>
              <w:rPr>
                <w:rFonts w:hint="eastAsia" w:ascii="宋体" w:hAnsi="宋体" w:eastAsia="宋体" w:cs="宋体"/>
                <w:b w:val="0"/>
                <w:bCs/>
                <w:color w:val="auto"/>
                <w:sz w:val="21"/>
                <w:szCs w:val="21"/>
                <w:highlight w:val="none"/>
                <w:vertAlign w:val="baseline"/>
              </w:rPr>
              <w:t>13.驾驶室材质及灯具：钢制结构，整体冲压驾驶室，前一体化嵌入式卤素大灯</w:t>
            </w:r>
            <w:r>
              <w:rPr>
                <w:rFonts w:hint="eastAsia" w:ascii="宋体" w:hAnsi="宋体" w:eastAsia="宋体" w:cs="宋体"/>
                <w:b w:val="0"/>
                <w:bCs/>
                <w:color w:val="auto"/>
                <w:sz w:val="21"/>
                <w:szCs w:val="21"/>
                <w:highlight w:val="none"/>
                <w:vertAlign w:val="baseline"/>
                <w:lang w:eastAsia="zh-CN"/>
              </w:rPr>
              <w:t>。</w:t>
            </w:r>
          </w:p>
          <w:p w14:paraId="3F0643DB">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b w:val="0"/>
                <w:bCs/>
                <w:color w:val="auto"/>
                <w:sz w:val="21"/>
                <w:szCs w:val="21"/>
                <w:highlight w:val="none"/>
                <w:vertAlign w:val="baseline"/>
              </w:rPr>
            </w:pPr>
            <w:r>
              <w:rPr>
                <w:rFonts w:hint="eastAsia" w:ascii="宋体" w:hAnsi="宋体" w:eastAsia="宋体" w:cs="宋体"/>
                <w:b w:val="0"/>
                <w:bCs/>
                <w:color w:val="auto"/>
                <w:sz w:val="21"/>
                <w:szCs w:val="21"/>
                <w:highlight w:val="none"/>
                <w:vertAlign w:val="baseline"/>
              </w:rPr>
              <w:t>14.车厢门、厢盖：上下开启式后门（选配侧开式后门），翻桶器一侧设有侧上门，箱盖采用</w:t>
            </w:r>
            <w:r>
              <w:rPr>
                <w:rFonts w:hint="eastAsia" w:ascii="宋体" w:hAnsi="宋体" w:eastAsia="宋体" w:cs="宋体"/>
                <w:b w:val="0"/>
                <w:bCs/>
                <w:color w:val="auto"/>
                <w:sz w:val="21"/>
                <w:szCs w:val="21"/>
                <w:highlight w:val="none"/>
                <w:vertAlign w:val="baseline"/>
                <w:lang w:val="en-US" w:eastAsia="zh-CN"/>
              </w:rPr>
              <w:t>≥</w:t>
            </w:r>
            <w:r>
              <w:rPr>
                <w:rFonts w:hint="eastAsia" w:ascii="宋体" w:hAnsi="宋体" w:eastAsia="宋体" w:cs="宋体"/>
                <w:b w:val="0"/>
                <w:bCs/>
                <w:color w:val="auto"/>
                <w:sz w:val="21"/>
                <w:szCs w:val="21"/>
                <w:highlight w:val="none"/>
                <w:vertAlign w:val="baseline"/>
              </w:rPr>
              <w:t>1.1mm冷轧板。上盖开启方式为翻桶器一侧上开式，厢门采用双调节式锁扣。车厢阴极电泳防腐防锈处理。</w:t>
            </w:r>
          </w:p>
          <w:p w14:paraId="646D2219">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b w:val="0"/>
                <w:bCs/>
                <w:color w:val="auto"/>
                <w:sz w:val="21"/>
                <w:szCs w:val="21"/>
                <w:highlight w:val="none"/>
                <w:vertAlign w:val="baseline"/>
              </w:rPr>
            </w:pPr>
            <w:r>
              <w:rPr>
                <w:rFonts w:hint="eastAsia" w:ascii="宋体" w:hAnsi="宋体" w:eastAsia="宋体" w:cs="宋体"/>
                <w:b w:val="0"/>
                <w:bCs/>
                <w:color w:val="auto"/>
                <w:sz w:val="21"/>
                <w:szCs w:val="21"/>
                <w:highlight w:val="none"/>
                <w:vertAlign w:val="baseline"/>
              </w:rPr>
              <w:t>15.后悬挂：采用主、辅弹簧钢共2组。单组11片，带辅簧支架。</w:t>
            </w:r>
          </w:p>
          <w:p w14:paraId="04D1439C">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b w:val="0"/>
                <w:bCs/>
                <w:color w:val="auto"/>
                <w:sz w:val="21"/>
                <w:szCs w:val="21"/>
                <w:highlight w:val="none"/>
                <w:vertAlign w:val="baseline"/>
              </w:rPr>
            </w:pPr>
            <w:r>
              <w:rPr>
                <w:rFonts w:hint="eastAsia" w:ascii="宋体" w:hAnsi="宋体" w:eastAsia="宋体" w:cs="宋体"/>
                <w:b w:val="0"/>
                <w:bCs/>
                <w:color w:val="auto"/>
                <w:sz w:val="21"/>
                <w:szCs w:val="21"/>
                <w:highlight w:val="none"/>
                <w:vertAlign w:val="baseline"/>
              </w:rPr>
              <w:t>16.液压控制阀：采用两联带微动开关多路阀，开关与油泵同步工作，控制阀装在驾驶室内右侧座桶上。</w:t>
            </w:r>
          </w:p>
          <w:p w14:paraId="357B0937">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b w:val="0"/>
                <w:bCs/>
                <w:color w:val="auto"/>
                <w:sz w:val="21"/>
                <w:szCs w:val="21"/>
                <w:highlight w:val="none"/>
                <w:vertAlign w:val="baseline"/>
              </w:rPr>
            </w:pPr>
            <w:r>
              <w:rPr>
                <w:rFonts w:hint="eastAsia" w:ascii="宋体" w:hAnsi="宋体" w:eastAsia="宋体" w:cs="宋体"/>
                <w:b w:val="0"/>
                <w:bCs/>
                <w:color w:val="auto"/>
                <w:sz w:val="21"/>
                <w:szCs w:val="21"/>
                <w:highlight w:val="none"/>
                <w:vertAlign w:val="baseline"/>
              </w:rPr>
              <w:t>17.挂桶要求：与国标120L和240L垃圾桶配套。</w:t>
            </w:r>
          </w:p>
          <w:p w14:paraId="4E3DA548">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b w:val="0"/>
                <w:bCs/>
                <w:color w:val="auto"/>
                <w:kern w:val="2"/>
                <w:sz w:val="21"/>
                <w:szCs w:val="21"/>
                <w:highlight w:val="none"/>
                <w:vertAlign w:val="baseline"/>
                <w:lang w:val="en-US" w:eastAsia="zh-CN" w:bidi="ar-SA"/>
              </w:rPr>
            </w:pPr>
            <w:r>
              <w:rPr>
                <w:rFonts w:hint="eastAsia" w:ascii="宋体" w:hAnsi="宋体" w:eastAsia="宋体" w:cs="宋体"/>
                <w:b w:val="0"/>
                <w:bCs/>
                <w:color w:val="auto"/>
                <w:sz w:val="21"/>
                <w:szCs w:val="21"/>
                <w:highlight w:val="none"/>
                <w:vertAlign w:val="baseline"/>
              </w:rPr>
              <w:t>18.可放置垃圾铲专用区</w:t>
            </w:r>
            <w:r>
              <w:rPr>
                <w:rFonts w:hint="eastAsia" w:ascii="宋体" w:hAnsi="宋体" w:eastAsia="宋体" w:cs="宋体"/>
                <w:b w:val="0"/>
                <w:bCs/>
                <w:color w:val="auto"/>
                <w:sz w:val="21"/>
                <w:szCs w:val="21"/>
                <w:highlight w:val="none"/>
                <w:vertAlign w:val="baseline"/>
                <w:lang w:eastAsia="zh-CN"/>
              </w:rPr>
              <w:t>。</w:t>
            </w:r>
          </w:p>
        </w:tc>
      </w:tr>
      <w:tr w14:paraId="47671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764" w:type="dxa"/>
            <w:noWrap w:val="0"/>
            <w:vAlign w:val="center"/>
          </w:tcPr>
          <w:p w14:paraId="46B70D83">
            <w:pPr>
              <w:keepNext w:val="0"/>
              <w:keepLines w:val="0"/>
              <w:pageBreakBefore w:val="0"/>
              <w:kinsoku/>
              <w:overflowPunct/>
              <w:topLinePunct w:val="0"/>
              <w:autoSpaceDE/>
              <w:autoSpaceDN/>
              <w:bidi w:val="0"/>
              <w:spacing w:line="400" w:lineRule="exact"/>
              <w:jc w:val="center"/>
              <w:rPr>
                <w:rFonts w:hint="default" w:ascii="宋体" w:hAnsi="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14</w:t>
            </w:r>
          </w:p>
        </w:tc>
        <w:tc>
          <w:tcPr>
            <w:tcW w:w="1000" w:type="dxa"/>
            <w:shd w:val="clear" w:color="auto" w:fill="auto"/>
            <w:noWrap w:val="0"/>
            <w:vAlign w:val="center"/>
          </w:tcPr>
          <w:p w14:paraId="2F699F84">
            <w:pPr>
              <w:keepNext w:val="0"/>
              <w:keepLines w:val="0"/>
              <w:pageBreakBefore w:val="0"/>
              <w:widowControl/>
              <w:suppressLineNumbers w:val="0"/>
              <w:kinsoku/>
              <w:wordWrap/>
              <w:overflowPunct/>
              <w:topLinePunct w:val="0"/>
              <w:autoSpaceDE/>
              <w:autoSpaceDN/>
              <w:bidi w:val="0"/>
              <w:snapToGrid/>
              <w:spacing w:line="37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燃油中型吸污车</w:t>
            </w:r>
          </w:p>
        </w:tc>
        <w:tc>
          <w:tcPr>
            <w:tcW w:w="879" w:type="dxa"/>
            <w:shd w:val="clear" w:color="auto" w:fill="auto"/>
            <w:noWrap w:val="0"/>
            <w:vAlign w:val="center"/>
          </w:tcPr>
          <w:p w14:paraId="7F04C60A">
            <w:pPr>
              <w:keepNext w:val="0"/>
              <w:keepLines w:val="0"/>
              <w:pageBreakBefore w:val="0"/>
              <w:widowControl/>
              <w:suppressLineNumbers w:val="0"/>
              <w:kinsoku/>
              <w:wordWrap/>
              <w:overflowPunct/>
              <w:topLinePunct w:val="0"/>
              <w:autoSpaceDE/>
              <w:autoSpaceDN/>
              <w:bidi w:val="0"/>
              <w:snapToGrid/>
              <w:spacing w:line="37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1辆</w:t>
            </w:r>
          </w:p>
        </w:tc>
        <w:tc>
          <w:tcPr>
            <w:tcW w:w="6722" w:type="dxa"/>
            <w:shd w:val="clear" w:color="auto" w:fill="auto"/>
            <w:noWrap w:val="0"/>
            <w:vAlign w:val="top"/>
          </w:tcPr>
          <w:p w14:paraId="0D85B389">
            <w:pPr>
              <w:keepNext w:val="0"/>
              <w:keepLines w:val="0"/>
              <w:pageBreakBefore w:val="0"/>
              <w:widowControl w:val="0"/>
              <w:kinsoku/>
              <w:wordWrap/>
              <w:overflowPunct/>
              <w:topLinePunct w:val="0"/>
              <w:autoSpaceDE/>
              <w:autoSpaceDN/>
              <w:bidi w:val="0"/>
              <w:adjustRightInd w:val="0"/>
              <w:snapToGrid/>
              <w:spacing w:line="370" w:lineRule="exact"/>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一、主要技术要求</w:t>
            </w:r>
          </w:p>
          <w:p w14:paraId="7A6E81FF">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总质量(kg)：10000-13000</w:t>
            </w:r>
            <w:r>
              <w:rPr>
                <w:rFonts w:hint="eastAsia" w:ascii="宋体" w:hAnsi="宋体" w:eastAsia="宋体" w:cs="宋体"/>
                <w:color w:val="auto"/>
                <w:sz w:val="21"/>
                <w:szCs w:val="21"/>
                <w:highlight w:val="none"/>
                <w:lang w:eastAsia="zh-CN"/>
              </w:rPr>
              <w:t>。</w:t>
            </w:r>
          </w:p>
          <w:p w14:paraId="75ACF275">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额定载质量(kg)</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≥6400</w:t>
            </w:r>
            <w:r>
              <w:rPr>
                <w:rFonts w:hint="eastAsia" w:ascii="宋体" w:hAnsi="宋体" w:eastAsia="宋体" w:cs="宋体"/>
                <w:color w:val="auto"/>
                <w:sz w:val="21"/>
                <w:szCs w:val="21"/>
                <w:highlight w:val="none"/>
                <w:lang w:eastAsia="zh-CN"/>
              </w:rPr>
              <w:t>。</w:t>
            </w:r>
          </w:p>
          <w:p w14:paraId="5DD8827B">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sz w:val="21"/>
                <w:szCs w:val="21"/>
                <w:highlight w:val="none"/>
                <w:lang w:val="en-US" w:eastAsia="zh-CN"/>
              </w:rPr>
              <w:t>3.整备质量</w:t>
            </w:r>
            <w:r>
              <w:rPr>
                <w:rFonts w:hint="eastAsia" w:ascii="宋体" w:hAnsi="宋体" w:eastAsia="宋体" w:cs="宋体"/>
                <w:color w:val="auto"/>
                <w:sz w:val="21"/>
                <w:szCs w:val="21"/>
                <w:highlight w:val="none"/>
              </w:rPr>
              <w:t>(kg)</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53</w:t>
            </w:r>
            <w:r>
              <w:rPr>
                <w:rFonts w:hint="eastAsia" w:ascii="宋体" w:hAnsi="宋体" w:eastAsia="宋体" w:cs="宋体"/>
                <w:color w:val="auto"/>
                <w:sz w:val="21"/>
                <w:szCs w:val="21"/>
                <w:highlight w:val="none"/>
                <w:lang w:val="en-US" w:eastAsia="zh-CN"/>
              </w:rPr>
              <w:t>00。</w:t>
            </w:r>
          </w:p>
          <w:p w14:paraId="4F52B913">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底盘发动机功率(kW)</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≥112</w:t>
            </w:r>
            <w:r>
              <w:rPr>
                <w:rFonts w:hint="eastAsia" w:ascii="宋体" w:hAnsi="宋体" w:eastAsia="宋体" w:cs="宋体"/>
                <w:color w:val="auto"/>
                <w:sz w:val="21"/>
                <w:szCs w:val="21"/>
                <w:highlight w:val="none"/>
                <w:lang w:eastAsia="zh-CN"/>
              </w:rPr>
              <w:t>。</w:t>
            </w:r>
          </w:p>
          <w:p w14:paraId="254E7E13">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底盘发动机排放标准：国六</w:t>
            </w:r>
            <w:r>
              <w:rPr>
                <w:rFonts w:hint="eastAsia" w:ascii="宋体" w:hAnsi="宋体" w:eastAsia="宋体" w:cs="宋体"/>
                <w:color w:val="auto"/>
                <w:sz w:val="21"/>
                <w:szCs w:val="21"/>
                <w:highlight w:val="none"/>
                <w:lang w:eastAsia="zh-CN"/>
              </w:rPr>
              <w:t>。</w:t>
            </w:r>
          </w:p>
          <w:p w14:paraId="0D203111">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6.外形尺寸：长×宽×高(mm)：≥</w:t>
            </w:r>
            <w:r>
              <w:rPr>
                <w:rFonts w:hint="eastAsia" w:ascii="宋体" w:hAnsi="宋体" w:eastAsia="宋体" w:cs="宋体"/>
                <w:color w:val="auto"/>
                <w:sz w:val="21"/>
                <w:szCs w:val="21"/>
                <w:highlight w:val="none"/>
                <w:lang w:val="zh-CN"/>
              </w:rPr>
              <w:t>68</w:t>
            </w:r>
            <w:r>
              <w:rPr>
                <w:rFonts w:hint="eastAsia" w:ascii="宋体" w:hAnsi="宋体" w:eastAsia="宋体" w:cs="宋体"/>
                <w:color w:val="auto"/>
                <w:sz w:val="21"/>
                <w:szCs w:val="21"/>
                <w:highlight w:val="none"/>
                <w:lang w:val="en-US" w:eastAsia="zh-CN"/>
              </w:rPr>
              <w:t>00</w:t>
            </w:r>
            <w:r>
              <w:rPr>
                <w:rFonts w:hint="eastAsia" w:ascii="宋体" w:hAnsi="宋体" w:eastAsia="宋体" w:cs="宋体"/>
                <w:color w:val="auto"/>
                <w:sz w:val="21"/>
                <w:szCs w:val="21"/>
                <w:highlight w:val="none"/>
                <w:lang w:val="zh-CN"/>
              </w:rPr>
              <w:t>×22</w:t>
            </w:r>
            <w:r>
              <w:rPr>
                <w:rFonts w:hint="eastAsia" w:ascii="宋体" w:hAnsi="宋体" w:eastAsia="宋体" w:cs="宋体"/>
                <w:color w:val="auto"/>
                <w:sz w:val="21"/>
                <w:szCs w:val="21"/>
                <w:highlight w:val="none"/>
                <w:lang w:val="en-US" w:eastAsia="zh-CN"/>
              </w:rPr>
              <w:t>00</w:t>
            </w:r>
            <w:r>
              <w:rPr>
                <w:rFonts w:hint="eastAsia" w:ascii="宋体" w:hAnsi="宋体" w:eastAsia="宋体" w:cs="宋体"/>
                <w:color w:val="auto"/>
                <w:sz w:val="21"/>
                <w:szCs w:val="21"/>
                <w:highlight w:val="none"/>
                <w:lang w:val="zh-CN"/>
              </w:rPr>
              <w:t>×28</w:t>
            </w:r>
            <w:r>
              <w:rPr>
                <w:rFonts w:hint="eastAsia" w:ascii="宋体" w:hAnsi="宋体" w:eastAsia="宋体" w:cs="宋体"/>
                <w:color w:val="auto"/>
                <w:sz w:val="21"/>
                <w:szCs w:val="21"/>
                <w:highlight w:val="none"/>
                <w:lang w:val="en-US" w:eastAsia="zh-CN"/>
              </w:rPr>
              <w:t>00。</w:t>
            </w:r>
          </w:p>
          <w:p w14:paraId="71763238">
            <w:pPr>
              <w:keepNext w:val="0"/>
              <w:keepLines w:val="0"/>
              <w:pageBreakBefore w:val="0"/>
              <w:widowControl w:val="0"/>
              <w:kinsoku/>
              <w:wordWrap/>
              <w:overflowPunct/>
              <w:topLinePunct w:val="0"/>
              <w:autoSpaceDE/>
              <w:autoSpaceDN/>
              <w:bidi w:val="0"/>
              <w:adjustRightInd w:val="0"/>
              <w:snapToGrid/>
              <w:spacing w:line="37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rPr>
              <w:t>、主要性能要求</w:t>
            </w:r>
          </w:p>
          <w:p w14:paraId="3BE355D6">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真空泵最大流量(L/min)</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≥9000</w:t>
            </w:r>
            <w:r>
              <w:rPr>
                <w:rFonts w:hint="eastAsia" w:ascii="宋体" w:hAnsi="宋体" w:eastAsia="宋体" w:cs="宋体"/>
                <w:color w:val="auto"/>
                <w:sz w:val="21"/>
                <w:szCs w:val="21"/>
                <w:highlight w:val="none"/>
                <w:lang w:eastAsia="zh-CN"/>
              </w:rPr>
              <w:t>。</w:t>
            </w:r>
          </w:p>
          <w:p w14:paraId="03EEE763">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真空泵极限真空度(%)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≥90</w:t>
            </w:r>
            <w:r>
              <w:rPr>
                <w:rFonts w:hint="eastAsia" w:ascii="宋体" w:hAnsi="宋体" w:eastAsia="宋体" w:cs="宋体"/>
                <w:color w:val="auto"/>
                <w:sz w:val="21"/>
                <w:szCs w:val="21"/>
                <w:highlight w:val="none"/>
                <w:lang w:eastAsia="zh-CN"/>
              </w:rPr>
              <w:t>。</w:t>
            </w:r>
          </w:p>
          <w:p w14:paraId="5B4F4560">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满管吸最大深度(m)</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eastAsia="zh-CN"/>
              </w:rPr>
              <w:t>。</w:t>
            </w:r>
          </w:p>
          <w:p w14:paraId="64F01C7D">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吸污管管径(mm)</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≥100</w:t>
            </w:r>
            <w:r>
              <w:rPr>
                <w:rFonts w:hint="eastAsia" w:ascii="宋体" w:hAnsi="宋体" w:eastAsia="宋体" w:cs="宋体"/>
                <w:color w:val="auto"/>
                <w:sz w:val="21"/>
                <w:szCs w:val="21"/>
                <w:highlight w:val="none"/>
                <w:lang w:eastAsia="zh-CN"/>
              </w:rPr>
              <w:t>。</w:t>
            </w:r>
          </w:p>
          <w:p w14:paraId="3D08C66C">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最小转弯直径(m)</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≤17</w:t>
            </w:r>
            <w:r>
              <w:rPr>
                <w:rFonts w:hint="eastAsia" w:ascii="宋体" w:hAnsi="宋体" w:eastAsia="宋体" w:cs="宋体"/>
                <w:color w:val="auto"/>
                <w:sz w:val="21"/>
                <w:szCs w:val="21"/>
                <w:highlight w:val="none"/>
                <w:lang w:eastAsia="zh-CN"/>
              </w:rPr>
              <w:t>。</w:t>
            </w:r>
          </w:p>
          <w:p w14:paraId="3DDBF703">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罐体总容量(m³)</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≥8.3</w:t>
            </w:r>
            <w:r>
              <w:rPr>
                <w:rFonts w:hint="eastAsia" w:ascii="宋体" w:hAnsi="宋体" w:eastAsia="宋体" w:cs="宋体"/>
                <w:color w:val="auto"/>
                <w:sz w:val="21"/>
                <w:szCs w:val="21"/>
                <w:highlight w:val="none"/>
                <w:lang w:eastAsia="zh-CN"/>
              </w:rPr>
              <w:t>。</w:t>
            </w:r>
          </w:p>
          <w:p w14:paraId="1FDCF413">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污水罐</w:t>
            </w:r>
            <w:r>
              <w:rPr>
                <w:rFonts w:hint="eastAsia" w:ascii="宋体" w:hAnsi="宋体" w:eastAsia="宋体" w:cs="宋体"/>
                <w:color w:val="auto"/>
                <w:sz w:val="21"/>
                <w:szCs w:val="21"/>
                <w:highlight w:val="none"/>
                <w:lang w:val="en-US" w:eastAsia="zh-CN"/>
              </w:rPr>
              <w:t>厚度</w:t>
            </w:r>
            <w:r>
              <w:rPr>
                <w:rFonts w:hint="eastAsia" w:ascii="宋体" w:hAnsi="宋体" w:eastAsia="宋体" w:cs="宋体"/>
                <w:b w:val="0"/>
                <w:bCs/>
                <w:color w:val="auto"/>
                <w:sz w:val="21"/>
                <w:szCs w:val="21"/>
                <w:highlight w:val="none"/>
                <w:vertAlign w:val="baseline"/>
              </w:rPr>
              <w:t>≥</w:t>
            </w:r>
            <w:r>
              <w:rPr>
                <w:rFonts w:hint="eastAsia" w:ascii="宋体" w:hAnsi="宋体" w:eastAsia="宋体" w:cs="宋体"/>
                <w:color w:val="auto"/>
                <w:sz w:val="21"/>
                <w:szCs w:val="21"/>
                <w:highlight w:val="none"/>
              </w:rPr>
              <w:t>5mm，</w:t>
            </w:r>
            <w:r>
              <w:rPr>
                <w:rFonts w:hint="eastAsia" w:ascii="宋体" w:hAnsi="宋体" w:eastAsia="宋体" w:cs="宋体"/>
                <w:color w:val="auto"/>
                <w:sz w:val="21"/>
                <w:szCs w:val="21"/>
                <w:highlight w:val="none"/>
                <w:lang w:val="en-US" w:eastAsia="zh-CN"/>
              </w:rPr>
              <w:t>材质不低于Q355B，</w:t>
            </w:r>
            <w:r>
              <w:rPr>
                <w:rFonts w:hint="eastAsia" w:ascii="宋体" w:hAnsi="宋体" w:eastAsia="宋体" w:cs="宋体"/>
                <w:color w:val="auto"/>
                <w:sz w:val="21"/>
                <w:szCs w:val="21"/>
                <w:highlight w:val="none"/>
              </w:rPr>
              <w:t>圆柱形，后盖自动开闭，倾翻卸料。</w:t>
            </w:r>
          </w:p>
          <w:p w14:paraId="604ABFB2">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需设有液位计、高液位防溢流等保护装置。</w:t>
            </w:r>
          </w:p>
          <w:p w14:paraId="551FC123">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需配备污水罐安全撑杆，在污水罐顶升状态下维修作业时，可支起保险撑杆确保安全。</w:t>
            </w:r>
          </w:p>
          <w:p w14:paraId="793E66F4">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需配备过压安全阀。压排作业过程中，罐体总成及真空管路中压力达到设计安全压力后，安全阀打开排气泄压。</w:t>
            </w:r>
          </w:p>
          <w:p w14:paraId="02A16F19">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需具有吸污、清污和压排三种功能。</w:t>
            </w:r>
          </w:p>
          <w:p w14:paraId="48EA27A2">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需具有抽吸作业控制快速卸荷功能，使吸污管能快速卸荷，操作轻便。</w:t>
            </w:r>
          </w:p>
          <w:p w14:paraId="11794CE8">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13.</w:t>
            </w:r>
            <w:r>
              <w:rPr>
                <w:rFonts w:hint="eastAsia" w:ascii="宋体" w:hAnsi="宋体" w:eastAsia="宋体" w:cs="宋体"/>
                <w:color w:val="auto"/>
                <w:sz w:val="21"/>
                <w:szCs w:val="21"/>
                <w:highlight w:val="none"/>
              </w:rPr>
              <w:t>车辆需具有后门开启排放和压力排放两种方式。</w:t>
            </w:r>
          </w:p>
          <w:p w14:paraId="27C8B63D">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14.</w:t>
            </w:r>
            <w:r>
              <w:rPr>
                <w:rFonts w:hint="eastAsia" w:ascii="宋体" w:hAnsi="宋体" w:eastAsia="宋体" w:cs="宋体"/>
                <w:color w:val="auto"/>
                <w:sz w:val="21"/>
                <w:szCs w:val="21"/>
                <w:highlight w:val="none"/>
              </w:rPr>
              <w:t>需采用液压驱动后门开启、关闭。</w:t>
            </w:r>
          </w:p>
        </w:tc>
      </w:tr>
      <w:tr w14:paraId="316A9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64" w:type="dxa"/>
            <w:noWrap w:val="0"/>
            <w:vAlign w:val="center"/>
          </w:tcPr>
          <w:p w14:paraId="46BBE37B">
            <w:pPr>
              <w:keepNext w:val="0"/>
              <w:keepLines w:val="0"/>
              <w:pageBreakBefore w:val="0"/>
              <w:kinsoku/>
              <w:overflowPunct/>
              <w:topLinePunct w:val="0"/>
              <w:autoSpaceDE/>
              <w:autoSpaceDN/>
              <w:bidi w:val="0"/>
              <w:spacing w:line="400" w:lineRule="exact"/>
              <w:jc w:val="center"/>
              <w:rPr>
                <w:rFonts w:hint="default" w:ascii="宋体" w:hAnsi="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15</w:t>
            </w:r>
          </w:p>
        </w:tc>
        <w:tc>
          <w:tcPr>
            <w:tcW w:w="1000" w:type="dxa"/>
            <w:shd w:val="clear" w:color="auto" w:fill="auto"/>
            <w:noWrap w:val="0"/>
            <w:vAlign w:val="center"/>
          </w:tcPr>
          <w:p w14:paraId="7293D5DA">
            <w:pPr>
              <w:keepNext w:val="0"/>
              <w:keepLines w:val="0"/>
              <w:pageBreakBefore w:val="0"/>
              <w:widowControl/>
              <w:suppressLineNumbers w:val="0"/>
              <w:kinsoku/>
              <w:wordWrap/>
              <w:overflowPunct/>
              <w:topLinePunct w:val="0"/>
              <w:autoSpaceDE/>
              <w:autoSpaceDN/>
              <w:bidi w:val="0"/>
              <w:snapToGrid/>
              <w:spacing w:line="37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燃油装载机</w:t>
            </w:r>
          </w:p>
        </w:tc>
        <w:tc>
          <w:tcPr>
            <w:tcW w:w="879" w:type="dxa"/>
            <w:shd w:val="clear" w:color="auto" w:fill="auto"/>
            <w:noWrap w:val="0"/>
            <w:vAlign w:val="center"/>
          </w:tcPr>
          <w:p w14:paraId="43118393">
            <w:pPr>
              <w:keepNext w:val="0"/>
              <w:keepLines w:val="0"/>
              <w:pageBreakBefore w:val="0"/>
              <w:widowControl/>
              <w:suppressLineNumbers w:val="0"/>
              <w:kinsoku/>
              <w:wordWrap/>
              <w:overflowPunct/>
              <w:topLinePunct w:val="0"/>
              <w:autoSpaceDE/>
              <w:autoSpaceDN/>
              <w:bidi w:val="0"/>
              <w:snapToGrid/>
              <w:spacing w:line="37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1辆</w:t>
            </w:r>
          </w:p>
        </w:tc>
        <w:tc>
          <w:tcPr>
            <w:tcW w:w="6722" w:type="dxa"/>
            <w:shd w:val="clear" w:color="auto" w:fill="auto"/>
            <w:noWrap w:val="0"/>
            <w:vAlign w:val="top"/>
          </w:tcPr>
          <w:p w14:paraId="60B197CC">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b w:val="0"/>
                <w:bCs/>
                <w:color w:val="auto"/>
                <w:sz w:val="21"/>
                <w:szCs w:val="21"/>
                <w:highlight w:val="none"/>
                <w:vertAlign w:val="baseline"/>
                <w:lang w:eastAsia="zh-CN"/>
              </w:rPr>
            </w:pPr>
            <w:r>
              <w:rPr>
                <w:rFonts w:hint="eastAsia" w:ascii="宋体" w:hAnsi="宋体" w:eastAsia="宋体" w:cs="宋体"/>
                <w:b w:val="0"/>
                <w:bCs/>
                <w:color w:val="auto"/>
                <w:sz w:val="21"/>
                <w:szCs w:val="21"/>
                <w:highlight w:val="none"/>
                <w:vertAlign w:val="baseline"/>
              </w:rPr>
              <w:t>1.工作质量（整机铭牌重量）：≥17000kg</w:t>
            </w:r>
            <w:r>
              <w:rPr>
                <w:rFonts w:hint="eastAsia" w:ascii="宋体" w:hAnsi="宋体" w:eastAsia="宋体" w:cs="宋体"/>
                <w:b w:val="0"/>
                <w:bCs/>
                <w:color w:val="auto"/>
                <w:sz w:val="21"/>
                <w:szCs w:val="21"/>
                <w:highlight w:val="none"/>
                <w:vertAlign w:val="baseline"/>
                <w:lang w:eastAsia="zh-CN"/>
              </w:rPr>
              <w:t>。</w:t>
            </w:r>
          </w:p>
          <w:p w14:paraId="16651705">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b w:val="0"/>
                <w:bCs/>
                <w:color w:val="auto"/>
                <w:sz w:val="21"/>
                <w:szCs w:val="21"/>
                <w:highlight w:val="none"/>
                <w:vertAlign w:val="baseline"/>
                <w:lang w:eastAsia="zh-CN"/>
              </w:rPr>
            </w:pPr>
            <w:r>
              <w:rPr>
                <w:rFonts w:hint="eastAsia" w:ascii="宋体" w:hAnsi="宋体" w:eastAsia="宋体" w:cs="宋体"/>
                <w:b w:val="0"/>
                <w:bCs/>
                <w:color w:val="auto"/>
                <w:sz w:val="21"/>
                <w:szCs w:val="21"/>
                <w:highlight w:val="none"/>
                <w:vertAlign w:val="baseline"/>
              </w:rPr>
              <w:t>2.发动机要求：电控高压共轨发动机</w:t>
            </w:r>
            <w:r>
              <w:rPr>
                <w:rFonts w:hint="eastAsia" w:ascii="宋体" w:hAnsi="宋体" w:eastAsia="宋体" w:cs="宋体"/>
                <w:b w:val="0"/>
                <w:bCs/>
                <w:color w:val="auto"/>
                <w:sz w:val="21"/>
                <w:szCs w:val="21"/>
                <w:highlight w:val="none"/>
                <w:vertAlign w:val="baseline"/>
                <w:lang w:eastAsia="zh-CN"/>
              </w:rPr>
              <w:t>。</w:t>
            </w:r>
          </w:p>
          <w:p w14:paraId="1BB7EB4C">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b w:val="0"/>
                <w:bCs/>
                <w:color w:val="auto"/>
                <w:sz w:val="21"/>
                <w:szCs w:val="21"/>
                <w:highlight w:val="none"/>
                <w:vertAlign w:val="baseline"/>
                <w:lang w:eastAsia="zh-CN"/>
              </w:rPr>
            </w:pPr>
            <w:r>
              <w:rPr>
                <w:rFonts w:hint="eastAsia" w:ascii="宋体" w:hAnsi="宋体" w:eastAsia="宋体" w:cs="宋体"/>
                <w:color w:val="auto"/>
                <w:sz w:val="21"/>
                <w:szCs w:val="21"/>
                <w:highlight w:val="none"/>
              </w:rPr>
              <w:t>▲</w:t>
            </w:r>
            <w:r>
              <w:rPr>
                <w:rFonts w:hint="eastAsia" w:ascii="宋体" w:hAnsi="宋体" w:eastAsia="宋体" w:cs="宋体"/>
                <w:b w:val="0"/>
                <w:bCs/>
                <w:color w:val="auto"/>
                <w:sz w:val="21"/>
                <w:szCs w:val="21"/>
                <w:highlight w:val="none"/>
                <w:vertAlign w:val="baseline"/>
              </w:rPr>
              <w:t>3.功率：≥170kw</w:t>
            </w:r>
            <w:r>
              <w:rPr>
                <w:rFonts w:hint="eastAsia" w:ascii="宋体" w:hAnsi="宋体" w:eastAsia="宋体" w:cs="宋体"/>
                <w:b w:val="0"/>
                <w:bCs/>
                <w:color w:val="auto"/>
                <w:sz w:val="21"/>
                <w:szCs w:val="21"/>
                <w:highlight w:val="none"/>
                <w:vertAlign w:val="baseline"/>
                <w:lang w:eastAsia="zh-CN"/>
              </w:rPr>
              <w:t>。</w:t>
            </w:r>
          </w:p>
          <w:p w14:paraId="62576BCF">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b w:val="0"/>
                <w:bCs/>
                <w:color w:val="auto"/>
                <w:sz w:val="21"/>
                <w:szCs w:val="21"/>
                <w:highlight w:val="none"/>
                <w:vertAlign w:val="baseline"/>
                <w:lang w:eastAsia="zh-CN"/>
              </w:rPr>
            </w:pPr>
            <w:r>
              <w:rPr>
                <w:rFonts w:hint="eastAsia" w:ascii="宋体" w:hAnsi="宋体" w:eastAsia="宋体" w:cs="宋体"/>
                <w:b w:val="0"/>
                <w:bCs/>
                <w:color w:val="auto"/>
                <w:sz w:val="21"/>
                <w:szCs w:val="21"/>
                <w:highlight w:val="none"/>
                <w:vertAlign w:val="baseline"/>
              </w:rPr>
              <w:t>4.排放标准：国四</w:t>
            </w:r>
            <w:r>
              <w:rPr>
                <w:rFonts w:hint="eastAsia" w:ascii="宋体" w:hAnsi="宋体" w:eastAsia="宋体" w:cs="宋体"/>
                <w:b w:val="0"/>
                <w:bCs/>
                <w:color w:val="auto"/>
                <w:sz w:val="21"/>
                <w:szCs w:val="21"/>
                <w:highlight w:val="none"/>
                <w:vertAlign w:val="baseline"/>
                <w:lang w:eastAsia="zh-CN"/>
              </w:rPr>
              <w:t>。</w:t>
            </w:r>
          </w:p>
          <w:p w14:paraId="0B67F3B8">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b w:val="0"/>
                <w:bCs/>
                <w:color w:val="auto"/>
                <w:sz w:val="21"/>
                <w:szCs w:val="21"/>
                <w:highlight w:val="none"/>
                <w:vertAlign w:val="baseline"/>
                <w:lang w:eastAsia="zh-CN"/>
              </w:rPr>
            </w:pPr>
            <w:r>
              <w:rPr>
                <w:rFonts w:hint="eastAsia" w:ascii="宋体" w:hAnsi="宋体" w:eastAsia="宋体" w:cs="宋体"/>
                <w:b w:val="0"/>
                <w:bCs/>
                <w:color w:val="auto"/>
                <w:sz w:val="21"/>
                <w:szCs w:val="21"/>
                <w:highlight w:val="none"/>
                <w:vertAlign w:val="baseline"/>
              </w:rPr>
              <w:t>5.发动机排量：≥8L</w:t>
            </w:r>
            <w:r>
              <w:rPr>
                <w:rFonts w:hint="eastAsia" w:ascii="宋体" w:hAnsi="宋体" w:eastAsia="宋体" w:cs="宋体"/>
                <w:b w:val="0"/>
                <w:bCs/>
                <w:color w:val="auto"/>
                <w:sz w:val="21"/>
                <w:szCs w:val="21"/>
                <w:highlight w:val="none"/>
                <w:vertAlign w:val="baseline"/>
                <w:lang w:eastAsia="zh-CN"/>
              </w:rPr>
              <w:t>。</w:t>
            </w:r>
          </w:p>
          <w:p w14:paraId="6FDE2B97">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b w:val="0"/>
                <w:bCs/>
                <w:color w:val="auto"/>
                <w:sz w:val="21"/>
                <w:szCs w:val="21"/>
                <w:highlight w:val="none"/>
                <w:vertAlign w:val="baseline"/>
                <w:lang w:eastAsia="zh-CN"/>
              </w:rPr>
            </w:pPr>
            <w:r>
              <w:rPr>
                <w:rFonts w:hint="eastAsia" w:ascii="宋体" w:hAnsi="宋体" w:eastAsia="宋体" w:cs="宋体"/>
                <w:b w:val="0"/>
                <w:bCs/>
                <w:color w:val="auto"/>
                <w:sz w:val="21"/>
                <w:szCs w:val="21"/>
                <w:highlight w:val="none"/>
                <w:vertAlign w:val="baseline"/>
              </w:rPr>
              <w:t>6.额定载重量：≥5300kg</w:t>
            </w:r>
            <w:r>
              <w:rPr>
                <w:rFonts w:hint="eastAsia" w:ascii="宋体" w:hAnsi="宋体" w:eastAsia="宋体" w:cs="宋体"/>
                <w:b w:val="0"/>
                <w:bCs/>
                <w:color w:val="auto"/>
                <w:sz w:val="21"/>
                <w:szCs w:val="21"/>
                <w:highlight w:val="none"/>
                <w:vertAlign w:val="baseline"/>
                <w:lang w:eastAsia="zh-CN"/>
              </w:rPr>
              <w:t>。</w:t>
            </w:r>
          </w:p>
          <w:p w14:paraId="47E3D6AC">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b w:val="0"/>
                <w:bCs/>
                <w:color w:val="auto"/>
                <w:sz w:val="21"/>
                <w:szCs w:val="21"/>
                <w:highlight w:val="none"/>
                <w:vertAlign w:val="baseline"/>
                <w:lang w:eastAsia="zh-CN"/>
              </w:rPr>
            </w:pPr>
            <w:r>
              <w:rPr>
                <w:rFonts w:hint="eastAsia" w:ascii="宋体" w:hAnsi="宋体" w:eastAsia="宋体" w:cs="宋体"/>
                <w:b w:val="0"/>
                <w:bCs/>
                <w:color w:val="auto"/>
                <w:sz w:val="21"/>
                <w:szCs w:val="21"/>
                <w:highlight w:val="none"/>
                <w:vertAlign w:val="baseline"/>
              </w:rPr>
              <w:t>7.斗容：≥3.5方</w:t>
            </w:r>
            <w:r>
              <w:rPr>
                <w:rFonts w:hint="eastAsia" w:ascii="宋体" w:hAnsi="宋体" w:eastAsia="宋体" w:cs="宋体"/>
                <w:b w:val="0"/>
                <w:bCs/>
                <w:color w:val="auto"/>
                <w:sz w:val="21"/>
                <w:szCs w:val="21"/>
                <w:highlight w:val="none"/>
                <w:vertAlign w:val="baseline"/>
                <w:lang w:eastAsia="zh-CN"/>
              </w:rPr>
              <w:t>。</w:t>
            </w:r>
          </w:p>
          <w:p w14:paraId="7D0C836C">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b w:val="0"/>
                <w:bCs/>
                <w:color w:val="auto"/>
                <w:sz w:val="21"/>
                <w:szCs w:val="21"/>
                <w:highlight w:val="none"/>
                <w:vertAlign w:val="baseline"/>
                <w:lang w:eastAsia="zh-CN"/>
              </w:rPr>
            </w:pPr>
            <w:r>
              <w:rPr>
                <w:rFonts w:hint="eastAsia" w:ascii="宋体" w:hAnsi="宋体" w:eastAsia="宋体" w:cs="宋体"/>
                <w:color w:val="auto"/>
                <w:sz w:val="21"/>
                <w:szCs w:val="21"/>
                <w:highlight w:val="none"/>
              </w:rPr>
              <w:t>▲</w:t>
            </w:r>
            <w:r>
              <w:rPr>
                <w:rFonts w:hint="eastAsia" w:ascii="宋体" w:hAnsi="宋体" w:eastAsia="宋体" w:cs="宋体"/>
                <w:b w:val="0"/>
                <w:bCs/>
                <w:color w:val="auto"/>
                <w:sz w:val="21"/>
                <w:szCs w:val="21"/>
                <w:highlight w:val="none"/>
                <w:vertAlign w:val="baseline"/>
              </w:rPr>
              <w:t>8.最大崛起力：≥175KN</w:t>
            </w:r>
            <w:r>
              <w:rPr>
                <w:rFonts w:hint="eastAsia" w:ascii="宋体" w:hAnsi="宋体" w:eastAsia="宋体" w:cs="宋体"/>
                <w:b w:val="0"/>
                <w:bCs/>
                <w:color w:val="auto"/>
                <w:sz w:val="21"/>
                <w:szCs w:val="21"/>
                <w:highlight w:val="none"/>
                <w:vertAlign w:val="baseline"/>
                <w:lang w:eastAsia="zh-CN"/>
              </w:rPr>
              <w:t>。</w:t>
            </w:r>
          </w:p>
          <w:p w14:paraId="4BB6D064">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b w:val="0"/>
                <w:bCs/>
                <w:color w:val="auto"/>
                <w:sz w:val="21"/>
                <w:szCs w:val="21"/>
                <w:highlight w:val="none"/>
                <w:vertAlign w:val="baseline"/>
                <w:lang w:eastAsia="zh-CN"/>
              </w:rPr>
            </w:pPr>
            <w:r>
              <w:rPr>
                <w:rFonts w:hint="eastAsia" w:ascii="宋体" w:hAnsi="宋体" w:eastAsia="宋体" w:cs="宋体"/>
                <w:b w:val="0"/>
                <w:bCs/>
                <w:color w:val="auto"/>
                <w:sz w:val="21"/>
                <w:szCs w:val="21"/>
                <w:highlight w:val="none"/>
                <w:vertAlign w:val="baseline"/>
              </w:rPr>
              <w:t>9.轴距：≥3300mm</w:t>
            </w:r>
            <w:r>
              <w:rPr>
                <w:rFonts w:hint="eastAsia" w:ascii="宋体" w:hAnsi="宋体" w:eastAsia="宋体" w:cs="宋体"/>
                <w:b w:val="0"/>
                <w:bCs/>
                <w:color w:val="auto"/>
                <w:sz w:val="21"/>
                <w:szCs w:val="21"/>
                <w:highlight w:val="none"/>
                <w:vertAlign w:val="baseline"/>
                <w:lang w:eastAsia="zh-CN"/>
              </w:rPr>
              <w:t>。</w:t>
            </w:r>
          </w:p>
          <w:p w14:paraId="1B0EB9D3">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b w:val="0"/>
                <w:bCs/>
                <w:color w:val="auto"/>
                <w:sz w:val="21"/>
                <w:szCs w:val="21"/>
                <w:highlight w:val="none"/>
                <w:vertAlign w:val="baseline"/>
                <w:lang w:eastAsia="zh-CN"/>
              </w:rPr>
            </w:pPr>
            <w:r>
              <w:rPr>
                <w:rFonts w:hint="eastAsia" w:ascii="宋体" w:hAnsi="宋体" w:eastAsia="宋体" w:cs="宋体"/>
                <w:b w:val="0"/>
                <w:bCs/>
                <w:color w:val="auto"/>
                <w:sz w:val="21"/>
                <w:szCs w:val="21"/>
                <w:highlight w:val="none"/>
                <w:vertAlign w:val="baseline"/>
              </w:rPr>
              <w:t>10.倾翻载荷：≥10500mm</w:t>
            </w:r>
            <w:r>
              <w:rPr>
                <w:rFonts w:hint="eastAsia" w:ascii="宋体" w:hAnsi="宋体" w:eastAsia="宋体" w:cs="宋体"/>
                <w:b w:val="0"/>
                <w:bCs/>
                <w:color w:val="auto"/>
                <w:sz w:val="21"/>
                <w:szCs w:val="21"/>
                <w:highlight w:val="none"/>
                <w:vertAlign w:val="baseline"/>
                <w:lang w:eastAsia="zh-CN"/>
              </w:rPr>
              <w:t>。</w:t>
            </w:r>
          </w:p>
          <w:p w14:paraId="23C268B0">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b w:val="0"/>
                <w:bCs/>
                <w:color w:val="auto"/>
                <w:sz w:val="21"/>
                <w:szCs w:val="21"/>
                <w:highlight w:val="none"/>
                <w:vertAlign w:val="baseline"/>
                <w:lang w:eastAsia="zh-CN"/>
              </w:rPr>
            </w:pPr>
            <w:r>
              <w:rPr>
                <w:rFonts w:hint="eastAsia" w:ascii="宋体" w:hAnsi="宋体" w:eastAsia="宋体" w:cs="宋体"/>
                <w:b w:val="0"/>
                <w:bCs/>
                <w:color w:val="auto"/>
                <w:sz w:val="21"/>
                <w:szCs w:val="21"/>
                <w:highlight w:val="none"/>
                <w:vertAlign w:val="baseline"/>
              </w:rPr>
              <w:t>11.三项和：≤10S</w:t>
            </w:r>
            <w:r>
              <w:rPr>
                <w:rFonts w:hint="eastAsia" w:ascii="宋体" w:hAnsi="宋体" w:eastAsia="宋体" w:cs="宋体"/>
                <w:b w:val="0"/>
                <w:bCs/>
                <w:color w:val="auto"/>
                <w:sz w:val="21"/>
                <w:szCs w:val="21"/>
                <w:highlight w:val="none"/>
                <w:vertAlign w:val="baseline"/>
                <w:lang w:eastAsia="zh-CN"/>
              </w:rPr>
              <w:t>。</w:t>
            </w:r>
          </w:p>
          <w:p w14:paraId="25EEB4B1">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b w:val="0"/>
                <w:bCs/>
                <w:color w:val="auto"/>
                <w:sz w:val="21"/>
                <w:szCs w:val="21"/>
                <w:highlight w:val="none"/>
                <w:vertAlign w:val="baseline"/>
                <w:lang w:eastAsia="zh-CN"/>
              </w:rPr>
            </w:pPr>
            <w:r>
              <w:rPr>
                <w:rFonts w:hint="eastAsia" w:ascii="宋体" w:hAnsi="宋体" w:eastAsia="宋体" w:cs="宋体"/>
                <w:b w:val="0"/>
                <w:bCs/>
                <w:color w:val="auto"/>
                <w:sz w:val="21"/>
                <w:szCs w:val="21"/>
                <w:highlight w:val="none"/>
                <w:vertAlign w:val="baseline"/>
              </w:rPr>
              <w:t>12.卸载高度：≥3450mm</w:t>
            </w:r>
            <w:r>
              <w:rPr>
                <w:rFonts w:hint="eastAsia" w:ascii="宋体" w:hAnsi="宋体" w:eastAsia="宋体" w:cs="宋体"/>
                <w:b w:val="0"/>
                <w:bCs/>
                <w:color w:val="auto"/>
                <w:sz w:val="21"/>
                <w:szCs w:val="21"/>
                <w:highlight w:val="none"/>
                <w:vertAlign w:val="baseline"/>
                <w:lang w:eastAsia="zh-CN"/>
              </w:rPr>
              <w:t>。</w:t>
            </w:r>
          </w:p>
          <w:p w14:paraId="5E228D5C">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b w:val="0"/>
                <w:bCs/>
                <w:color w:val="auto"/>
                <w:sz w:val="21"/>
                <w:szCs w:val="21"/>
                <w:highlight w:val="none"/>
                <w:vertAlign w:val="baseline"/>
                <w:lang w:eastAsia="zh-CN"/>
              </w:rPr>
            </w:pPr>
            <w:r>
              <w:rPr>
                <w:rFonts w:hint="eastAsia" w:ascii="宋体" w:hAnsi="宋体" w:eastAsia="宋体" w:cs="宋体"/>
                <w:b w:val="0"/>
                <w:bCs/>
                <w:color w:val="auto"/>
                <w:sz w:val="21"/>
                <w:szCs w:val="21"/>
                <w:highlight w:val="none"/>
                <w:vertAlign w:val="baseline"/>
              </w:rPr>
              <w:t>13.转向角：≥38°</w:t>
            </w:r>
            <w:r>
              <w:rPr>
                <w:rFonts w:hint="eastAsia" w:ascii="宋体" w:hAnsi="宋体" w:eastAsia="宋体" w:cs="宋体"/>
                <w:b w:val="0"/>
                <w:bCs/>
                <w:color w:val="auto"/>
                <w:sz w:val="21"/>
                <w:szCs w:val="21"/>
                <w:highlight w:val="none"/>
                <w:vertAlign w:val="baseline"/>
                <w:lang w:eastAsia="zh-CN"/>
              </w:rPr>
              <w:t>。</w:t>
            </w:r>
          </w:p>
          <w:p w14:paraId="05870EB9">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b w:val="0"/>
                <w:bCs/>
                <w:color w:val="auto"/>
                <w:sz w:val="21"/>
                <w:szCs w:val="21"/>
                <w:highlight w:val="none"/>
                <w:vertAlign w:val="baseline"/>
                <w:lang w:eastAsia="zh-CN"/>
              </w:rPr>
            </w:pPr>
            <w:r>
              <w:rPr>
                <w:rFonts w:hint="eastAsia" w:ascii="宋体" w:hAnsi="宋体" w:eastAsia="宋体" w:cs="宋体"/>
                <w:b w:val="0"/>
                <w:bCs/>
                <w:color w:val="auto"/>
                <w:sz w:val="21"/>
                <w:szCs w:val="21"/>
                <w:highlight w:val="none"/>
                <w:vertAlign w:val="baseline"/>
              </w:rPr>
              <w:t>14.变速箱形式：行星式动力换挡</w:t>
            </w:r>
            <w:r>
              <w:rPr>
                <w:rFonts w:hint="eastAsia" w:ascii="宋体" w:hAnsi="宋体" w:eastAsia="宋体" w:cs="宋体"/>
                <w:b w:val="0"/>
                <w:bCs/>
                <w:color w:val="auto"/>
                <w:sz w:val="21"/>
                <w:szCs w:val="21"/>
                <w:highlight w:val="none"/>
                <w:vertAlign w:val="baseline"/>
                <w:lang w:eastAsia="zh-CN"/>
              </w:rPr>
              <w:t>。</w:t>
            </w:r>
          </w:p>
          <w:p w14:paraId="52331243">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b w:val="0"/>
                <w:bCs/>
                <w:color w:val="auto"/>
                <w:sz w:val="21"/>
                <w:szCs w:val="21"/>
                <w:highlight w:val="none"/>
                <w:vertAlign w:val="baseline"/>
                <w:lang w:eastAsia="zh-CN"/>
              </w:rPr>
            </w:pPr>
            <w:r>
              <w:rPr>
                <w:rFonts w:hint="eastAsia" w:ascii="宋体" w:hAnsi="宋体" w:eastAsia="宋体" w:cs="宋体"/>
                <w:b w:val="0"/>
                <w:bCs/>
                <w:color w:val="auto"/>
                <w:sz w:val="21"/>
                <w:szCs w:val="21"/>
                <w:highlight w:val="none"/>
                <w:vertAlign w:val="baseline"/>
              </w:rPr>
              <w:t>15.驱动桥形式：干式桥</w:t>
            </w:r>
            <w:r>
              <w:rPr>
                <w:rFonts w:hint="eastAsia" w:ascii="宋体" w:hAnsi="宋体" w:eastAsia="宋体" w:cs="宋体"/>
                <w:b w:val="0"/>
                <w:bCs/>
                <w:color w:val="auto"/>
                <w:sz w:val="21"/>
                <w:szCs w:val="21"/>
                <w:highlight w:val="none"/>
                <w:vertAlign w:val="baseline"/>
                <w:lang w:eastAsia="zh-CN"/>
              </w:rPr>
              <w:t>。</w:t>
            </w:r>
          </w:p>
          <w:p w14:paraId="6258D1BE">
            <w:pPr>
              <w:keepNext w:val="0"/>
              <w:keepLines w:val="0"/>
              <w:pageBreakBefore w:val="0"/>
              <w:widowControl w:val="0"/>
              <w:kinsoku/>
              <w:wordWrap/>
              <w:overflowPunct/>
              <w:topLinePunct w:val="0"/>
              <w:autoSpaceDE/>
              <w:autoSpaceDN/>
              <w:bidi w:val="0"/>
              <w:adjustRightInd w:val="0"/>
              <w:snapToGrid/>
              <w:spacing w:line="370" w:lineRule="exact"/>
              <w:ind w:firstLine="420" w:firstLineChars="200"/>
              <w:textAlignment w:val="auto"/>
              <w:rPr>
                <w:rFonts w:hint="eastAsia" w:ascii="宋体" w:hAnsi="宋体" w:eastAsia="宋体" w:cs="宋体"/>
                <w:b w:val="0"/>
                <w:bCs/>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rPr>
              <w:t>▲</w:t>
            </w:r>
            <w:r>
              <w:rPr>
                <w:rFonts w:hint="eastAsia" w:ascii="宋体" w:hAnsi="宋体" w:eastAsia="宋体" w:cs="宋体"/>
                <w:b w:val="0"/>
                <w:bCs/>
                <w:color w:val="auto"/>
                <w:sz w:val="21"/>
                <w:szCs w:val="21"/>
                <w:highlight w:val="none"/>
                <w:vertAlign w:val="baseline"/>
              </w:rPr>
              <w:t>16.空调：需带冷暖空调</w:t>
            </w:r>
            <w:r>
              <w:rPr>
                <w:rFonts w:hint="eastAsia" w:ascii="宋体" w:hAnsi="宋体" w:eastAsia="宋体" w:cs="宋体"/>
                <w:b w:val="0"/>
                <w:bCs/>
                <w:color w:val="auto"/>
                <w:sz w:val="21"/>
                <w:szCs w:val="21"/>
                <w:highlight w:val="none"/>
                <w:vertAlign w:val="baseline"/>
                <w:lang w:eastAsia="zh-CN"/>
              </w:rPr>
              <w:t>。</w:t>
            </w:r>
          </w:p>
        </w:tc>
      </w:tr>
      <w:tr w14:paraId="4426F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65" w:type="dxa"/>
            <w:gridSpan w:val="4"/>
            <w:noWrap w:val="0"/>
            <w:vAlign w:val="center"/>
          </w:tcPr>
          <w:p w14:paraId="35EAAC2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▲商务要求</w:t>
            </w:r>
          </w:p>
        </w:tc>
      </w:tr>
      <w:tr w14:paraId="3BC90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764" w:type="dxa"/>
            <w:gridSpan w:val="2"/>
            <w:shd w:val="clear" w:color="auto" w:fill="auto"/>
            <w:noWrap w:val="0"/>
            <w:vAlign w:val="center"/>
          </w:tcPr>
          <w:p w14:paraId="0CDF18A7">
            <w:pPr>
              <w:keepNext w:val="0"/>
              <w:keepLines w:val="0"/>
              <w:pageBreakBefore w:val="0"/>
              <w:widowControl w:val="0"/>
              <w:suppressLineNumbers w:val="0"/>
              <w:tabs>
                <w:tab w:val="left" w:pos="215"/>
              </w:tabs>
              <w:kinsoku/>
              <w:wordWrap/>
              <w:overflowPunct/>
              <w:topLinePunct w:val="0"/>
              <w:autoSpaceDE/>
              <w:autoSpaceDN/>
              <w:bidi w:val="0"/>
              <w:adjustRightInd/>
              <w:snapToGrid/>
              <w:spacing w:before="0" w:beforeAutospacing="0" w:after="0" w:afterAutospacing="0" w:line="370" w:lineRule="exact"/>
              <w:ind w:left="0" w:leftChars="0" w:right="0" w:rightChars="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vertAlign w:val="baseline"/>
                <w:lang w:eastAsia="zh-CN"/>
              </w:rPr>
              <w:t>质保期</w:t>
            </w:r>
          </w:p>
        </w:tc>
        <w:tc>
          <w:tcPr>
            <w:tcW w:w="7601" w:type="dxa"/>
            <w:gridSpan w:val="2"/>
            <w:shd w:val="clear" w:color="auto" w:fill="auto"/>
            <w:noWrap w:val="0"/>
            <w:vAlign w:val="center"/>
          </w:tcPr>
          <w:p w14:paraId="56B18259">
            <w:pPr>
              <w:keepNext w:val="0"/>
              <w:keepLines w:val="0"/>
              <w:pageBreakBefore w:val="0"/>
              <w:widowControl w:val="0"/>
              <w:kinsoku/>
              <w:wordWrap/>
              <w:overflowPunct/>
              <w:topLinePunct w:val="0"/>
              <w:autoSpaceDE/>
              <w:autoSpaceDN/>
              <w:bidi w:val="0"/>
              <w:adjustRightInd/>
              <w:snapToGrid/>
              <w:spacing w:line="370" w:lineRule="exact"/>
              <w:ind w:firstLine="420" w:firstLineChars="200"/>
              <w:jc w:val="left"/>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sz w:val="21"/>
                <w:szCs w:val="21"/>
                <w:highlight w:val="none"/>
                <w:u w:val="none"/>
                <w:lang w:val="en-US" w:eastAsia="zh-CN"/>
              </w:rPr>
              <w:t>按国家有关产品“三包”规定执行“三包”，整车：自交付验收合格之日起质保期不少于12个月。项目需求中有特殊要求的，按项目需求执行。</w:t>
            </w:r>
          </w:p>
        </w:tc>
      </w:tr>
      <w:tr w14:paraId="46772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764" w:type="dxa"/>
            <w:gridSpan w:val="2"/>
            <w:shd w:val="clear" w:color="auto" w:fill="auto"/>
            <w:noWrap w:val="0"/>
            <w:vAlign w:val="center"/>
          </w:tcPr>
          <w:p w14:paraId="50BE391A">
            <w:pPr>
              <w:keepNext w:val="0"/>
              <w:keepLines w:val="0"/>
              <w:pageBreakBefore w:val="0"/>
              <w:widowControl w:val="0"/>
              <w:kinsoku/>
              <w:wordWrap/>
              <w:overflowPunct/>
              <w:topLinePunct w:val="0"/>
              <w:autoSpaceDE/>
              <w:autoSpaceDN/>
              <w:bidi w:val="0"/>
              <w:adjustRightInd/>
              <w:snapToGrid/>
              <w:spacing w:line="370" w:lineRule="exact"/>
              <w:jc w:val="center"/>
              <w:textAlignment w:val="auto"/>
              <w:rPr>
                <w:rFonts w:hint="eastAsia" w:ascii="宋体" w:hAnsi="宋体" w:eastAsia="宋体" w:cs="宋体"/>
                <w:b/>
                <w:bCs/>
                <w:color w:val="auto"/>
                <w:kern w:val="2"/>
                <w:sz w:val="21"/>
                <w:szCs w:val="21"/>
                <w:highlight w:val="none"/>
                <w:u w:val="none"/>
                <w:lang w:val="en-US" w:eastAsia="zh-CN" w:bidi="ar-SA"/>
              </w:rPr>
            </w:pPr>
            <w:r>
              <w:rPr>
                <w:rFonts w:hint="eastAsia" w:ascii="宋体" w:hAnsi="宋体" w:eastAsia="宋体" w:cs="宋体"/>
                <w:b/>
                <w:bCs/>
                <w:color w:val="auto"/>
                <w:sz w:val="21"/>
                <w:szCs w:val="21"/>
                <w:highlight w:val="none"/>
                <w:u w:val="none"/>
                <w:lang w:val="en-US" w:eastAsia="zh-CN"/>
              </w:rPr>
              <w:t>交货时间及地点</w:t>
            </w:r>
          </w:p>
        </w:tc>
        <w:tc>
          <w:tcPr>
            <w:tcW w:w="7601" w:type="dxa"/>
            <w:gridSpan w:val="2"/>
            <w:shd w:val="clear" w:color="auto" w:fill="auto"/>
            <w:noWrap w:val="0"/>
            <w:vAlign w:val="center"/>
          </w:tcPr>
          <w:p w14:paraId="6EB91D91">
            <w:pPr>
              <w:keepNext w:val="0"/>
              <w:keepLines w:val="0"/>
              <w:pageBreakBefore w:val="0"/>
              <w:widowControl w:val="0"/>
              <w:kinsoku/>
              <w:wordWrap/>
              <w:overflowPunct/>
              <w:topLinePunct w:val="0"/>
              <w:autoSpaceDE/>
              <w:autoSpaceDN/>
              <w:bidi w:val="0"/>
              <w:adjustRightInd/>
              <w:snapToGrid/>
              <w:spacing w:line="370" w:lineRule="exact"/>
              <w:ind w:firstLine="420" w:firstLineChars="200"/>
              <w:jc w:val="left"/>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1.交货时间：自签订合同之日起30天内验收合格并交付使用</w:t>
            </w:r>
            <w:r>
              <w:rPr>
                <w:rFonts w:hint="eastAsia" w:ascii="宋体" w:hAnsi="宋体" w:eastAsia="宋体" w:cs="宋体"/>
                <w:color w:val="auto"/>
                <w:sz w:val="21"/>
                <w:szCs w:val="21"/>
                <w:highlight w:val="none"/>
                <w:lang w:val="en-US" w:eastAsia="zh-CN"/>
              </w:rPr>
              <w:t>。</w:t>
            </w:r>
          </w:p>
          <w:p w14:paraId="1130F3BB">
            <w:pPr>
              <w:keepNext w:val="0"/>
              <w:keepLines w:val="0"/>
              <w:pageBreakBefore w:val="0"/>
              <w:widowControl w:val="0"/>
              <w:kinsoku/>
              <w:wordWrap/>
              <w:overflowPunct/>
              <w:topLinePunct w:val="0"/>
              <w:autoSpaceDE/>
              <w:autoSpaceDN/>
              <w:bidi w:val="0"/>
              <w:adjustRightInd/>
              <w:snapToGrid/>
              <w:spacing w:line="370" w:lineRule="exact"/>
              <w:ind w:firstLine="420" w:firstLineChars="200"/>
              <w:jc w:val="left"/>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2.交付地点：北海市采购人指定地点。</w:t>
            </w:r>
          </w:p>
        </w:tc>
      </w:tr>
      <w:tr w14:paraId="2E980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764" w:type="dxa"/>
            <w:gridSpan w:val="2"/>
            <w:shd w:val="clear" w:color="auto" w:fill="auto"/>
            <w:noWrap w:val="0"/>
            <w:vAlign w:val="center"/>
          </w:tcPr>
          <w:p w14:paraId="24A62E52">
            <w:pPr>
              <w:keepNext w:val="0"/>
              <w:keepLines w:val="0"/>
              <w:pageBreakBefore w:val="0"/>
              <w:widowControl w:val="0"/>
              <w:kinsoku/>
              <w:wordWrap/>
              <w:overflowPunct/>
              <w:topLinePunct w:val="0"/>
              <w:autoSpaceDE/>
              <w:autoSpaceDN/>
              <w:bidi w:val="0"/>
              <w:adjustRightInd/>
              <w:snapToGrid/>
              <w:spacing w:line="370" w:lineRule="exact"/>
              <w:jc w:val="center"/>
              <w:textAlignment w:val="auto"/>
              <w:rPr>
                <w:rFonts w:hint="eastAsia" w:ascii="宋体" w:hAnsi="宋体" w:eastAsia="宋体" w:cs="宋体"/>
                <w:b/>
                <w:bCs/>
                <w:color w:val="auto"/>
                <w:kern w:val="2"/>
                <w:sz w:val="21"/>
                <w:szCs w:val="21"/>
                <w:highlight w:val="none"/>
                <w:u w:val="none"/>
                <w:lang w:val="en-US" w:eastAsia="zh-CN" w:bidi="ar-SA"/>
              </w:rPr>
            </w:pPr>
            <w:r>
              <w:rPr>
                <w:rFonts w:hint="eastAsia" w:ascii="宋体" w:hAnsi="宋体" w:eastAsia="宋体" w:cs="宋体"/>
                <w:b/>
                <w:bCs/>
                <w:color w:val="auto"/>
                <w:sz w:val="21"/>
                <w:szCs w:val="21"/>
                <w:highlight w:val="none"/>
                <w:u w:val="none"/>
                <w:lang w:val="en-US" w:eastAsia="zh-CN"/>
              </w:rPr>
              <w:t>付款方式</w:t>
            </w:r>
          </w:p>
        </w:tc>
        <w:tc>
          <w:tcPr>
            <w:tcW w:w="7601" w:type="dxa"/>
            <w:gridSpan w:val="2"/>
            <w:shd w:val="clear" w:color="auto" w:fill="auto"/>
            <w:noWrap w:val="0"/>
            <w:vAlign w:val="center"/>
          </w:tcPr>
          <w:p w14:paraId="75D9BAB4">
            <w:pPr>
              <w:keepNext w:val="0"/>
              <w:keepLines w:val="0"/>
              <w:pageBreakBefore w:val="0"/>
              <w:widowControl w:val="0"/>
              <w:kinsoku/>
              <w:wordWrap/>
              <w:overflowPunct/>
              <w:topLinePunct w:val="0"/>
              <w:autoSpaceDE/>
              <w:autoSpaceDN/>
              <w:bidi w:val="0"/>
              <w:adjustRightInd/>
              <w:snapToGrid/>
              <w:spacing w:line="370" w:lineRule="exact"/>
              <w:ind w:firstLine="420" w:firstLineChars="200"/>
              <w:jc w:val="left"/>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合同签订后10个工作日内采购人向中标人支付中标金额的30%，剩余中标金额的70%待全部货物验收合格后30天内支付（全部货物验收合格后，采购人付款前，中标人应向采购人开具等额有效的增值税发票。采购人未收到发票的，有权不予以支付相应款项直至中标人提供合格发票，并不承担延迟付款责任，发票认证通过是付款的必要前提之一）。</w:t>
            </w:r>
          </w:p>
        </w:tc>
      </w:tr>
      <w:tr w14:paraId="53FF4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764" w:type="dxa"/>
            <w:gridSpan w:val="2"/>
            <w:shd w:val="clear" w:color="auto" w:fill="auto"/>
            <w:noWrap w:val="0"/>
            <w:vAlign w:val="center"/>
          </w:tcPr>
          <w:p w14:paraId="66F6E110">
            <w:pPr>
              <w:keepNext w:val="0"/>
              <w:keepLines w:val="0"/>
              <w:pageBreakBefore w:val="0"/>
              <w:widowControl w:val="0"/>
              <w:suppressLineNumbers w:val="0"/>
              <w:tabs>
                <w:tab w:val="left" w:pos="215"/>
              </w:tabs>
              <w:kinsoku/>
              <w:wordWrap/>
              <w:overflowPunct/>
              <w:topLinePunct w:val="0"/>
              <w:autoSpaceDE/>
              <w:autoSpaceDN/>
              <w:bidi w:val="0"/>
              <w:adjustRightInd/>
              <w:snapToGrid/>
              <w:spacing w:before="0" w:beforeAutospacing="0" w:after="0" w:afterAutospacing="0" w:line="370" w:lineRule="exact"/>
              <w:ind w:left="0" w:leftChars="0" w:right="0" w:rightChars="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0"/>
                <w:sz w:val="21"/>
                <w:szCs w:val="21"/>
                <w:highlight w:val="none"/>
                <w:shd w:val="clear" w:color="auto" w:fill="FFFFFF"/>
              </w:rPr>
              <w:t>售后技术服务要求</w:t>
            </w:r>
          </w:p>
        </w:tc>
        <w:tc>
          <w:tcPr>
            <w:tcW w:w="7601" w:type="dxa"/>
            <w:gridSpan w:val="2"/>
            <w:shd w:val="clear" w:color="auto" w:fill="auto"/>
            <w:noWrap w:val="0"/>
            <w:vAlign w:val="center"/>
          </w:tcPr>
          <w:p w14:paraId="2174AB58">
            <w:pPr>
              <w:keepNext w:val="0"/>
              <w:keepLines w:val="0"/>
              <w:pageBreakBefore w:val="0"/>
              <w:widowControl w:val="0"/>
              <w:kinsoku/>
              <w:wordWrap/>
              <w:overflowPunct/>
              <w:topLinePunct w:val="0"/>
              <w:autoSpaceDE/>
              <w:autoSpaceDN/>
              <w:bidi w:val="0"/>
              <w:adjustRightInd/>
              <w:snapToGrid/>
              <w:spacing w:line="370" w:lineRule="exact"/>
              <w:ind w:firstLine="420" w:firstLineChars="200"/>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1.免费送货上门、免费为用户安装、调试；售后服务人员现场免费培训操作人员到能熟练操作（保证使用人员正常操作产品的各种功能；提供培训时长、内容等说明）。</w:t>
            </w:r>
          </w:p>
          <w:p w14:paraId="3301F85A">
            <w:pPr>
              <w:keepNext w:val="0"/>
              <w:keepLines w:val="0"/>
              <w:pageBreakBefore w:val="0"/>
              <w:widowControl w:val="0"/>
              <w:kinsoku/>
              <w:wordWrap/>
              <w:overflowPunct/>
              <w:topLinePunct w:val="0"/>
              <w:autoSpaceDE/>
              <w:autoSpaceDN/>
              <w:bidi w:val="0"/>
              <w:adjustRightInd/>
              <w:snapToGrid/>
              <w:spacing w:line="370" w:lineRule="exact"/>
              <w:ind w:firstLine="420" w:firstLineChars="200"/>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2.售后服务：项目在安装调试过程中，中标人应派专业技术人员进行同步指导，并负责产品的调试运行，达到验收要求。负责派具有资质的工程师到现场进行设备安装、调试，达到正常运作要求，保证产品正常使用。在保质期内，设备出现问题或采购人有服务需求的，中标人应在24小时内响应，应在三个工作日内到达产品使用现场；一般问题应在48小时内解决。质保期内免费提供维护和保养服务并提供技术援助电话和售后服务电话，维修、换货中所有产生的一切费用由中标人承担。质保期外要求终身维护，零配件只收取成本费。</w:t>
            </w:r>
          </w:p>
          <w:p w14:paraId="02AED193">
            <w:pPr>
              <w:keepNext w:val="0"/>
              <w:keepLines w:val="0"/>
              <w:pageBreakBefore w:val="0"/>
              <w:widowControl w:val="0"/>
              <w:kinsoku/>
              <w:wordWrap/>
              <w:overflowPunct/>
              <w:topLinePunct w:val="0"/>
              <w:autoSpaceDE/>
              <w:autoSpaceDN/>
              <w:bidi w:val="0"/>
              <w:adjustRightInd/>
              <w:snapToGrid/>
              <w:spacing w:line="370" w:lineRule="exact"/>
              <w:ind w:firstLine="420" w:firstLineChars="200"/>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3.承诺提供保修服务须原厂保修。</w:t>
            </w:r>
          </w:p>
          <w:p w14:paraId="6D50EAB6">
            <w:pPr>
              <w:keepNext w:val="0"/>
              <w:keepLines w:val="0"/>
              <w:pageBreakBefore w:val="0"/>
              <w:widowControl w:val="0"/>
              <w:kinsoku/>
              <w:wordWrap/>
              <w:overflowPunct/>
              <w:topLinePunct w:val="0"/>
              <w:autoSpaceDE/>
              <w:autoSpaceDN/>
              <w:bidi w:val="0"/>
              <w:adjustRightInd/>
              <w:snapToGrid/>
              <w:spacing w:line="370" w:lineRule="exact"/>
              <w:ind w:firstLine="420" w:firstLineChars="200"/>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4.中标人提供24小时365天免费维修服务热线支持。质保期内每半年至少提供一次维护保养，并提供保养报告单；定期的维护保养服务包括：设备的安全检查、设备质量检查、设备清洁保养、性能测试及校准、 运行状态检查等。质保期内需更换的损耗品（性能维护保养品）由中标人免费提供。</w:t>
            </w:r>
          </w:p>
          <w:p w14:paraId="756BCEE1">
            <w:pPr>
              <w:keepNext w:val="0"/>
              <w:keepLines w:val="0"/>
              <w:pageBreakBefore w:val="0"/>
              <w:widowControl w:val="0"/>
              <w:kinsoku/>
              <w:wordWrap/>
              <w:overflowPunct/>
              <w:topLinePunct w:val="0"/>
              <w:autoSpaceDE/>
              <w:autoSpaceDN/>
              <w:bidi w:val="0"/>
              <w:adjustRightInd/>
              <w:snapToGrid/>
              <w:spacing w:line="370" w:lineRule="exact"/>
              <w:ind w:firstLine="420" w:firstLineChars="200"/>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5.提供操作手册、维护手册、维修手册、备件清单、零部件等维护维修必需的材料和信息。</w:t>
            </w:r>
          </w:p>
          <w:p w14:paraId="1CFC5472">
            <w:pPr>
              <w:keepNext w:val="0"/>
              <w:keepLines w:val="0"/>
              <w:pageBreakBefore w:val="0"/>
              <w:widowControl w:val="0"/>
              <w:kinsoku/>
              <w:wordWrap/>
              <w:overflowPunct/>
              <w:topLinePunct w:val="0"/>
              <w:autoSpaceDE/>
              <w:autoSpaceDN/>
              <w:bidi w:val="0"/>
              <w:adjustRightInd/>
              <w:snapToGrid/>
              <w:spacing w:line="370" w:lineRule="exact"/>
              <w:ind w:firstLine="420" w:firstLineChars="200"/>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6.售后服务承诺书中根据采购人的实际情况对质量保证及售后服务方案做出详细服务承诺、提供详细的保养计划。</w:t>
            </w:r>
          </w:p>
          <w:p w14:paraId="3ECDA5CA">
            <w:pPr>
              <w:keepNext w:val="0"/>
              <w:keepLines w:val="0"/>
              <w:pageBreakBefore w:val="0"/>
              <w:widowControl w:val="0"/>
              <w:kinsoku/>
              <w:wordWrap/>
              <w:overflowPunct/>
              <w:topLinePunct w:val="0"/>
              <w:autoSpaceDE/>
              <w:autoSpaceDN/>
              <w:bidi w:val="0"/>
              <w:adjustRightInd/>
              <w:snapToGrid/>
              <w:spacing w:line="370" w:lineRule="exact"/>
              <w:ind w:firstLine="420" w:firstLineChars="200"/>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7.在保质期满后，中标人应提供备件和维修服务。</w:t>
            </w:r>
          </w:p>
          <w:p w14:paraId="6EFD8F31">
            <w:pPr>
              <w:keepNext w:val="0"/>
              <w:keepLines w:val="0"/>
              <w:pageBreakBefore w:val="0"/>
              <w:widowControl w:val="0"/>
              <w:kinsoku/>
              <w:wordWrap/>
              <w:overflowPunct/>
              <w:topLinePunct w:val="0"/>
              <w:autoSpaceDE/>
              <w:autoSpaceDN/>
              <w:bidi w:val="0"/>
              <w:adjustRightInd/>
              <w:snapToGrid/>
              <w:spacing w:line="370" w:lineRule="exact"/>
              <w:ind w:firstLine="420" w:firstLineChars="200"/>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8.货物送交采购人时，必须无破损、掉漆现象，否则视为不合格产品，不予签收；中标人在供货时须提供的证件包括：产品公告、产品3C、底盘和整车合格证书、整车发票等，如有缺漏不予签收；中标人所提供的车辆及配置须保证能满足公安交通管理要求，所提供的证件必须满足车辆 (上牌) 办理要求，并且协助采购人上牌。由此产生的所有费用，由中标人自行承担。</w:t>
            </w:r>
          </w:p>
          <w:p w14:paraId="0FACC99E">
            <w:pPr>
              <w:keepNext w:val="0"/>
              <w:keepLines w:val="0"/>
              <w:pageBreakBefore w:val="0"/>
              <w:widowControl w:val="0"/>
              <w:kinsoku/>
              <w:wordWrap/>
              <w:overflowPunct/>
              <w:topLinePunct w:val="0"/>
              <w:autoSpaceDE/>
              <w:autoSpaceDN/>
              <w:bidi w:val="0"/>
              <w:adjustRightInd/>
              <w:snapToGrid/>
              <w:spacing w:line="370" w:lineRule="exact"/>
              <w:ind w:firstLine="420" w:firstLineChars="200"/>
              <w:jc w:val="left"/>
              <w:textAlignment w:val="auto"/>
              <w:outlineLvl w:val="9"/>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sz w:val="21"/>
                <w:szCs w:val="21"/>
                <w:highlight w:val="none"/>
                <w:u w:val="none"/>
                <w:lang w:val="en-US" w:eastAsia="zh-CN"/>
              </w:rPr>
              <w:t>9.中标人需为所有所投车辆交付购置税、首年交强险、车船税等。</w:t>
            </w:r>
          </w:p>
        </w:tc>
      </w:tr>
      <w:tr w14:paraId="20E8C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764" w:type="dxa"/>
            <w:gridSpan w:val="2"/>
            <w:shd w:val="clear" w:color="auto" w:fill="auto"/>
            <w:noWrap w:val="0"/>
            <w:vAlign w:val="center"/>
          </w:tcPr>
          <w:p w14:paraId="55A1E9C9">
            <w:pPr>
              <w:keepNext w:val="0"/>
              <w:keepLines w:val="0"/>
              <w:pageBreakBefore w:val="0"/>
              <w:widowControl w:val="0"/>
              <w:kinsoku/>
              <w:wordWrap/>
              <w:overflowPunct/>
              <w:topLinePunct w:val="0"/>
              <w:autoSpaceDE/>
              <w:autoSpaceDN/>
              <w:bidi w:val="0"/>
              <w:adjustRightInd/>
              <w:snapToGrid/>
              <w:spacing w:line="370" w:lineRule="exact"/>
              <w:jc w:val="center"/>
              <w:textAlignment w:val="auto"/>
              <w:rPr>
                <w:rFonts w:hint="eastAsia" w:ascii="宋体" w:hAnsi="宋体" w:eastAsia="宋体" w:cs="宋体"/>
                <w:b/>
                <w:bCs/>
                <w:color w:val="auto"/>
                <w:kern w:val="2"/>
                <w:sz w:val="21"/>
                <w:szCs w:val="21"/>
                <w:highlight w:val="none"/>
                <w:u w:val="none"/>
                <w:lang w:val="en-US" w:eastAsia="zh-CN" w:bidi="ar-SA"/>
              </w:rPr>
            </w:pPr>
            <w:r>
              <w:rPr>
                <w:rFonts w:hint="eastAsia" w:ascii="宋体" w:hAnsi="宋体" w:eastAsia="宋体" w:cs="宋体"/>
                <w:b/>
                <w:bCs/>
                <w:color w:val="auto"/>
                <w:sz w:val="21"/>
                <w:szCs w:val="21"/>
                <w:highlight w:val="none"/>
                <w:u w:val="none"/>
                <w:lang w:val="en-US" w:eastAsia="zh-CN"/>
              </w:rPr>
              <w:t>质量要求</w:t>
            </w:r>
          </w:p>
        </w:tc>
        <w:tc>
          <w:tcPr>
            <w:tcW w:w="7601" w:type="dxa"/>
            <w:gridSpan w:val="2"/>
            <w:shd w:val="clear" w:color="auto" w:fill="auto"/>
            <w:noWrap w:val="0"/>
            <w:vAlign w:val="center"/>
          </w:tcPr>
          <w:p w14:paraId="6C3F73DD">
            <w:pPr>
              <w:keepNext w:val="0"/>
              <w:keepLines w:val="0"/>
              <w:pageBreakBefore w:val="0"/>
              <w:widowControl w:val="0"/>
              <w:kinsoku/>
              <w:wordWrap/>
              <w:overflowPunct/>
              <w:topLinePunct w:val="0"/>
              <w:autoSpaceDE/>
              <w:autoSpaceDN/>
              <w:bidi w:val="0"/>
              <w:adjustRightInd/>
              <w:snapToGrid/>
              <w:spacing w:line="370" w:lineRule="exact"/>
              <w:ind w:firstLine="420" w:firstLineChars="200"/>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1.质量标准：（1）新能源3吨压缩车、新能源12吨压缩车、新能源小型扫路车、新能源中型洗扫车、新能源大型洗扫车、新能源大型洒水车、新能源抑尘车、新能源中型护栏清洗车、新能源重型勾臂车、新能源小型货车（自卸式）、新能源小型货车（厢式）：①GB T 3730.1-2022汽车、挂车及汽车列车的术语和定义 第1部分：类型；②GBT 12674-2024 汽车、挂车及汽车列车质量参数测量方法；③GBT 12534-1990汽车道路试验方法通则；④GB 7258-2017 机动车安全运行技术条件。（2）电动三轮保洁车、电动三轮保洁车（挂桶式）：①GB7258-2017《机动车运行安全技术条件》；②GB 24155-2020《电动摩托车和电动轻便摩托车安全要求》；③GB20073-2018《摩托车和轻便摩托车制动性能要求及试验方法》；（3）燃油中型吸污车：①GB T 3730.1-2022汽车、挂车及汽车列车的术语和定义 第1部分：类型；②GBT 12674-2024 汽车、挂车及汽车列车质量参数测量方法；③GBT 12534-1990汽车道路试验方法通则；④GB 7258-2017 机动车安全运行技术条件；⑤GB 17691-2018重型柴油车污染物排放限值及测量方法（国六阶段）；（4）燃油装载机：①GB 16710-2010《土方机械 噪声限值》；②GB/T 20178-2022《土方机械 机器安全标签 通则》；③GB/T 25684.1-2021《土方机械 安全 第1部分：通用要求》；④GB/T 25684.3-2021《土方机械 安全 第3部分：装载机的要求》；⑤GB/T 35198-2017《土方机械 轮胎式装载机 试验方法》；⑥GB/T 35199-2017《土方机械 轮胎式装载机 技术条件》。</w:t>
            </w:r>
          </w:p>
          <w:p w14:paraId="3D9EAF34">
            <w:pPr>
              <w:keepNext w:val="0"/>
              <w:keepLines w:val="0"/>
              <w:pageBreakBefore w:val="0"/>
              <w:widowControl w:val="0"/>
              <w:kinsoku/>
              <w:wordWrap/>
              <w:overflowPunct/>
              <w:topLinePunct w:val="0"/>
              <w:autoSpaceDE/>
              <w:autoSpaceDN/>
              <w:bidi w:val="0"/>
              <w:adjustRightInd/>
              <w:snapToGrid/>
              <w:spacing w:line="370" w:lineRule="exact"/>
              <w:ind w:firstLine="420" w:firstLineChars="200"/>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2.中标人所提供的货物型号、技术规格、技术参数等质量必须与招投标文件和承诺相一致。</w:t>
            </w:r>
          </w:p>
          <w:p w14:paraId="01DA11E6">
            <w:pPr>
              <w:keepNext w:val="0"/>
              <w:keepLines w:val="0"/>
              <w:pageBreakBefore w:val="0"/>
              <w:widowControl w:val="0"/>
              <w:kinsoku/>
              <w:wordWrap/>
              <w:overflowPunct/>
              <w:topLinePunct w:val="0"/>
              <w:autoSpaceDE/>
              <w:autoSpaceDN/>
              <w:bidi w:val="0"/>
              <w:adjustRightInd/>
              <w:snapToGrid/>
              <w:spacing w:line="370" w:lineRule="exact"/>
              <w:ind w:firstLine="420" w:firstLineChars="200"/>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3.中标人所提供的货物必须是全新、未使用的原装产品，且在正常安装、使用和保养条件下，其使用寿命期内各项指标均达到质量要求。</w:t>
            </w:r>
          </w:p>
          <w:p w14:paraId="5F3B91D7">
            <w:pPr>
              <w:keepNext w:val="0"/>
              <w:keepLines w:val="0"/>
              <w:pageBreakBefore w:val="0"/>
              <w:widowControl w:val="0"/>
              <w:kinsoku/>
              <w:wordWrap/>
              <w:overflowPunct/>
              <w:topLinePunct w:val="0"/>
              <w:autoSpaceDE/>
              <w:autoSpaceDN/>
              <w:bidi w:val="0"/>
              <w:adjustRightInd/>
              <w:snapToGrid/>
              <w:spacing w:line="370" w:lineRule="exact"/>
              <w:ind w:firstLine="420" w:firstLineChars="200"/>
              <w:jc w:val="left"/>
              <w:textAlignment w:val="auto"/>
              <w:outlineLvl w:val="9"/>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sz w:val="21"/>
                <w:szCs w:val="21"/>
                <w:highlight w:val="none"/>
                <w:u w:val="none"/>
                <w:lang w:val="en-US" w:eastAsia="zh-CN"/>
              </w:rPr>
              <w:t>4.测试及检验：检验和测试在产品使用地进行；如果任何被检验或测试的产品不能满足采购要求的，采购人可以拒绝接受该产品，中标人需承担被采购人终止合同的一切风险和费用。</w:t>
            </w:r>
          </w:p>
        </w:tc>
      </w:tr>
      <w:tr w14:paraId="3E6A6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764" w:type="dxa"/>
            <w:gridSpan w:val="2"/>
            <w:shd w:val="clear" w:color="auto" w:fill="auto"/>
            <w:noWrap w:val="0"/>
            <w:vAlign w:val="center"/>
          </w:tcPr>
          <w:p w14:paraId="7759B199">
            <w:pPr>
              <w:keepNext w:val="0"/>
              <w:keepLines w:val="0"/>
              <w:pageBreakBefore w:val="0"/>
              <w:widowControl w:val="0"/>
              <w:kinsoku/>
              <w:wordWrap/>
              <w:overflowPunct/>
              <w:topLinePunct w:val="0"/>
              <w:autoSpaceDE/>
              <w:autoSpaceDN/>
              <w:bidi w:val="0"/>
              <w:adjustRightInd/>
              <w:snapToGrid/>
              <w:spacing w:line="370" w:lineRule="exact"/>
              <w:jc w:val="center"/>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b/>
                <w:bCs/>
                <w:color w:val="auto"/>
                <w:sz w:val="21"/>
                <w:szCs w:val="21"/>
                <w:highlight w:val="none"/>
                <w:u w:val="none"/>
                <w:lang w:val="en-US" w:eastAsia="zh-CN"/>
              </w:rPr>
              <w:t>验收要求</w:t>
            </w:r>
          </w:p>
        </w:tc>
        <w:tc>
          <w:tcPr>
            <w:tcW w:w="7601" w:type="dxa"/>
            <w:gridSpan w:val="2"/>
            <w:shd w:val="clear" w:color="auto" w:fill="auto"/>
            <w:noWrap w:val="0"/>
            <w:vAlign w:val="center"/>
          </w:tcPr>
          <w:p w14:paraId="172B046B">
            <w:pPr>
              <w:keepNext w:val="0"/>
              <w:keepLines w:val="0"/>
              <w:pageBreakBefore w:val="0"/>
              <w:widowControl w:val="0"/>
              <w:numPr>
                <w:ilvl w:val="0"/>
                <w:numId w:val="0"/>
              </w:numPr>
              <w:kinsoku/>
              <w:wordWrap/>
              <w:overflowPunct/>
              <w:topLinePunct w:val="0"/>
              <w:autoSpaceDE/>
              <w:autoSpaceDN/>
              <w:bidi w:val="0"/>
              <w:adjustRightInd/>
              <w:snapToGrid/>
              <w:spacing w:line="370" w:lineRule="exact"/>
              <w:ind w:firstLine="420" w:firstLineChars="200"/>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1.采购人对中标人提交的货物依据招标文件上的技术规格要求和国家有关质量标准进行现场验收，外观、安装、调试、说明书符合招标文件技术要求的，给予签收，验收不合格的不予签收。</w:t>
            </w:r>
          </w:p>
          <w:p w14:paraId="346F2CAF">
            <w:pPr>
              <w:keepNext w:val="0"/>
              <w:keepLines w:val="0"/>
              <w:pageBreakBefore w:val="0"/>
              <w:widowControl w:val="0"/>
              <w:numPr>
                <w:ilvl w:val="0"/>
                <w:numId w:val="0"/>
              </w:numPr>
              <w:kinsoku/>
              <w:wordWrap/>
              <w:overflowPunct/>
              <w:topLinePunct w:val="0"/>
              <w:autoSpaceDE/>
              <w:autoSpaceDN/>
              <w:bidi w:val="0"/>
              <w:adjustRightInd/>
              <w:snapToGrid/>
              <w:spacing w:line="370" w:lineRule="exact"/>
              <w:ind w:firstLine="420" w:firstLineChars="200"/>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2.中标人交货前应对产品作出全面检查和对验收文件进行整理，并列出清单，作为采购人收货验收和使用的技术条件依据，检验的结果应随货物交采购人。</w:t>
            </w:r>
          </w:p>
          <w:p w14:paraId="74BBB7D2">
            <w:pPr>
              <w:keepNext w:val="0"/>
              <w:keepLines w:val="0"/>
              <w:pageBreakBefore w:val="0"/>
              <w:widowControl w:val="0"/>
              <w:kinsoku/>
              <w:wordWrap/>
              <w:overflowPunct/>
              <w:topLinePunct w:val="0"/>
              <w:autoSpaceDE/>
              <w:autoSpaceDN/>
              <w:bidi w:val="0"/>
              <w:adjustRightInd/>
              <w:snapToGrid/>
              <w:spacing w:line="370" w:lineRule="exact"/>
              <w:ind w:firstLine="420" w:firstLineChars="200"/>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3.采购人对中标人提供的货物在使用前进行调试时，中标人须负责安装并培训采购人的使用操作人员。</w:t>
            </w:r>
          </w:p>
          <w:p w14:paraId="1FECB912">
            <w:pPr>
              <w:keepNext w:val="0"/>
              <w:keepLines w:val="0"/>
              <w:pageBreakBefore w:val="0"/>
              <w:widowControl w:val="0"/>
              <w:kinsoku/>
              <w:wordWrap/>
              <w:overflowPunct/>
              <w:topLinePunct w:val="0"/>
              <w:autoSpaceDE/>
              <w:autoSpaceDN/>
              <w:bidi w:val="0"/>
              <w:adjustRightInd/>
              <w:snapToGrid/>
              <w:spacing w:line="370" w:lineRule="exact"/>
              <w:ind w:firstLine="420" w:firstLineChars="200"/>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4.对技术复杂的货物，采购人可请国家认可的专业检测机构参与验收，并由其出具质量检测报告。</w:t>
            </w:r>
          </w:p>
          <w:p w14:paraId="33247F64">
            <w:pPr>
              <w:keepNext w:val="0"/>
              <w:keepLines w:val="0"/>
              <w:pageBreakBefore w:val="0"/>
              <w:widowControl w:val="0"/>
              <w:kinsoku/>
              <w:wordWrap/>
              <w:overflowPunct/>
              <w:topLinePunct w:val="0"/>
              <w:autoSpaceDE/>
              <w:autoSpaceDN/>
              <w:bidi w:val="0"/>
              <w:adjustRightInd/>
              <w:snapToGrid/>
              <w:spacing w:line="370" w:lineRule="exact"/>
              <w:ind w:firstLine="420" w:firstLineChars="200"/>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5.项目实施过程中，发生非中标人责任不可履约情况的，中标人须立即通知采购人，且在5个工作日内提交书面情况说明及应对措施给采购人。</w:t>
            </w:r>
          </w:p>
          <w:p w14:paraId="0563D44C">
            <w:pPr>
              <w:keepNext w:val="0"/>
              <w:keepLines w:val="0"/>
              <w:pageBreakBefore w:val="0"/>
              <w:widowControl w:val="0"/>
              <w:kinsoku/>
              <w:wordWrap/>
              <w:overflowPunct/>
              <w:topLinePunct w:val="0"/>
              <w:autoSpaceDE/>
              <w:autoSpaceDN/>
              <w:bidi w:val="0"/>
              <w:adjustRightInd/>
              <w:snapToGrid/>
              <w:spacing w:line="370" w:lineRule="exact"/>
              <w:ind w:firstLine="420" w:firstLineChars="200"/>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6.验收时中标人必须在现场，验收完毕后作出验收结果报告。</w:t>
            </w:r>
          </w:p>
          <w:p w14:paraId="76D3C95F">
            <w:pPr>
              <w:keepNext w:val="0"/>
              <w:keepLines w:val="0"/>
              <w:pageBreakBefore w:val="0"/>
              <w:widowControl w:val="0"/>
              <w:kinsoku/>
              <w:wordWrap/>
              <w:overflowPunct/>
              <w:topLinePunct w:val="0"/>
              <w:autoSpaceDE/>
              <w:autoSpaceDN/>
              <w:bidi w:val="0"/>
              <w:adjustRightInd/>
              <w:snapToGrid/>
              <w:spacing w:line="370" w:lineRule="exact"/>
              <w:ind w:firstLine="420" w:firstLineChars="200"/>
              <w:jc w:val="left"/>
              <w:textAlignment w:val="auto"/>
              <w:outlineLvl w:val="9"/>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sz w:val="21"/>
                <w:szCs w:val="21"/>
                <w:highlight w:val="none"/>
                <w:u w:val="none"/>
                <w:lang w:val="en-US" w:eastAsia="zh-CN"/>
              </w:rPr>
              <w:t>7.其余未尽事项按相关法律规定及售后服务承诺书及招标、投标文件相应约定办理。</w:t>
            </w:r>
          </w:p>
        </w:tc>
      </w:tr>
      <w:tr w14:paraId="702BC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764" w:type="dxa"/>
            <w:gridSpan w:val="2"/>
            <w:shd w:val="clear" w:color="auto" w:fill="auto"/>
            <w:noWrap w:val="0"/>
            <w:vAlign w:val="center"/>
          </w:tcPr>
          <w:p w14:paraId="5B129771">
            <w:pPr>
              <w:keepNext w:val="0"/>
              <w:keepLines w:val="0"/>
              <w:pageBreakBefore w:val="0"/>
              <w:widowControl w:val="0"/>
              <w:kinsoku/>
              <w:wordWrap/>
              <w:overflowPunct/>
              <w:topLinePunct w:val="0"/>
              <w:autoSpaceDE/>
              <w:autoSpaceDN/>
              <w:bidi w:val="0"/>
              <w:adjustRightInd/>
              <w:snapToGrid/>
              <w:spacing w:line="370" w:lineRule="exact"/>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u w:val="none"/>
                <w:lang w:val="en-US" w:eastAsia="zh-CN"/>
              </w:rPr>
              <w:t>包装方式</w:t>
            </w:r>
          </w:p>
        </w:tc>
        <w:tc>
          <w:tcPr>
            <w:tcW w:w="7601" w:type="dxa"/>
            <w:gridSpan w:val="2"/>
            <w:shd w:val="clear" w:color="auto" w:fill="auto"/>
            <w:noWrap w:val="0"/>
            <w:vAlign w:val="center"/>
          </w:tcPr>
          <w:p w14:paraId="74DE7BBA">
            <w:pPr>
              <w:keepNext w:val="0"/>
              <w:keepLines w:val="0"/>
              <w:pageBreakBefore w:val="0"/>
              <w:widowControl w:val="0"/>
              <w:kinsoku/>
              <w:wordWrap/>
              <w:overflowPunct/>
              <w:topLinePunct w:val="0"/>
              <w:autoSpaceDE/>
              <w:autoSpaceDN/>
              <w:bidi w:val="0"/>
              <w:adjustRightInd/>
              <w:snapToGrid/>
              <w:spacing w:line="370" w:lineRule="exact"/>
              <w:ind w:firstLine="420" w:firstLineChars="200"/>
              <w:jc w:val="left"/>
              <w:textAlignment w:val="auto"/>
              <w:outlineLvl w:val="9"/>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sz w:val="21"/>
                <w:szCs w:val="21"/>
                <w:highlight w:val="none"/>
                <w:u w:val="none"/>
                <w:lang w:val="en-US" w:eastAsia="zh-CN"/>
              </w:rPr>
              <w:t xml:space="preserve">中标人应提供货物运至合同规定的最终目的地所需要的包装，以防止货物在转运中损坏或变质。这类包装应采取防潮、防晒、防锈、防腐蚀、防震动及防止其它损坏的必要保护措施，从而保护货物能够经受多次搬运、装卸及内陆的长途运输。中标人应承担由于其包装或其防护措施不妥而引起货物锈蚀、损坏或丢失的任何损失的责任或费用。 </w:t>
            </w:r>
          </w:p>
        </w:tc>
      </w:tr>
      <w:tr w14:paraId="080DC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9365" w:type="dxa"/>
            <w:gridSpan w:val="4"/>
            <w:shd w:val="clear" w:color="auto" w:fill="auto"/>
            <w:noWrap w:val="0"/>
            <w:vAlign w:val="center"/>
          </w:tcPr>
          <w:p w14:paraId="3D9BA32C">
            <w:pPr>
              <w:pStyle w:val="35"/>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宋体" w:hAnsi="宋体" w:eastAsia="宋体" w:cs="宋体"/>
                <w:b/>
                <w:bCs/>
                <w:snapToGrid w:val="0"/>
                <w:color w:val="auto"/>
                <w:kern w:val="2"/>
                <w:sz w:val="21"/>
                <w:szCs w:val="21"/>
                <w:highlight w:val="none"/>
                <w:u w:val="none"/>
                <w:lang w:val="en-US" w:eastAsia="zh-CN" w:bidi="ar-SA"/>
              </w:rPr>
            </w:pPr>
            <w:r>
              <w:rPr>
                <w:rFonts w:hint="eastAsia" w:ascii="宋体" w:hAnsi="宋体" w:eastAsia="宋体" w:cs="宋体"/>
                <w:b/>
                <w:bCs/>
                <w:color w:val="auto"/>
                <w:kern w:val="2"/>
                <w:sz w:val="21"/>
                <w:szCs w:val="21"/>
                <w:highlight w:val="none"/>
                <w:u w:val="none"/>
                <w:lang w:val="en-US" w:eastAsia="zh-CN" w:bidi="ar-SA"/>
              </w:rPr>
              <w:t>投标人资信要求</w:t>
            </w:r>
          </w:p>
        </w:tc>
      </w:tr>
      <w:tr w14:paraId="0159C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764" w:type="dxa"/>
            <w:gridSpan w:val="2"/>
            <w:shd w:val="clear" w:color="auto" w:fill="auto"/>
            <w:noWrap w:val="0"/>
            <w:vAlign w:val="center"/>
          </w:tcPr>
          <w:p w14:paraId="3B455B98">
            <w:pPr>
              <w:keepNext w:val="0"/>
              <w:keepLines w:val="0"/>
              <w:pageBreakBefore w:val="0"/>
              <w:kinsoku/>
              <w:wordWrap/>
              <w:overflowPunct/>
              <w:topLinePunct w:val="0"/>
              <w:autoSpaceDE/>
              <w:autoSpaceDN/>
              <w:bidi w:val="0"/>
              <w:adjustRightInd/>
              <w:snapToGrid/>
              <w:spacing w:line="420" w:lineRule="exact"/>
              <w:jc w:val="center"/>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资料证明</w:t>
            </w:r>
          </w:p>
          <w:p w14:paraId="369377C0">
            <w:pPr>
              <w:keepNext w:val="0"/>
              <w:keepLines w:val="0"/>
              <w:pageBreakBefore w:val="0"/>
              <w:kinsoku/>
              <w:wordWrap/>
              <w:overflowPunct/>
              <w:topLinePunct w:val="0"/>
              <w:autoSpaceDE/>
              <w:autoSpaceDN/>
              <w:bidi w:val="0"/>
              <w:adjustRightInd/>
              <w:snapToGrid/>
              <w:spacing w:line="420" w:lineRule="exact"/>
              <w:jc w:val="center"/>
              <w:textAlignment w:val="auto"/>
              <w:outlineLvl w:val="9"/>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文件</w:t>
            </w:r>
          </w:p>
        </w:tc>
        <w:tc>
          <w:tcPr>
            <w:tcW w:w="7601" w:type="dxa"/>
            <w:gridSpan w:val="2"/>
            <w:shd w:val="clear" w:color="auto" w:fill="auto"/>
            <w:noWrap w:val="0"/>
            <w:vAlign w:val="center"/>
          </w:tcPr>
          <w:p w14:paraId="537315E9">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lang w:val="en-US" w:eastAsia="zh-CN" w:bidi="ar-SA"/>
              </w:rPr>
              <w:t>1.投标时若有，请提供由产品厂家编写的、完整的、中文版的性能参数描述等有关说明文件或产品彩页。当投标文件承诺的货物性能参数与该货物厂家提供的性能参数不符合时，以厂家出具的为准。符合要求的产品说明文件应该是出厂装箱的产品说明书，或从产品厂家官方网页下载、打印的有产品详细说明的相关PDF、HTML彩打文件（打印时必须保留页面页脚的网址链接内容）；符合要求的产品彩页必须是厂家编写印刷的公开发行宣传铜版彩页，或厂家编写的公开发行宣传图册，或厂家编写由投标人自行打印并加盖厂家公章的彩色说明文件。</w:t>
            </w:r>
          </w:p>
        </w:tc>
      </w:tr>
      <w:tr w14:paraId="0E0E0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764" w:type="dxa"/>
            <w:gridSpan w:val="2"/>
            <w:shd w:val="clear" w:color="auto" w:fill="auto"/>
            <w:noWrap w:val="0"/>
            <w:vAlign w:val="center"/>
          </w:tcPr>
          <w:p w14:paraId="7A5971A0">
            <w:pPr>
              <w:keepNext w:val="0"/>
              <w:keepLines w:val="0"/>
              <w:pageBreakBefore w:val="0"/>
              <w:kinsoku/>
              <w:wordWrap/>
              <w:overflowPunct/>
              <w:topLinePunct w:val="0"/>
              <w:autoSpaceDE/>
              <w:autoSpaceDN/>
              <w:bidi w:val="0"/>
              <w:adjustRightInd/>
              <w:snapToGrid/>
              <w:spacing w:line="420" w:lineRule="exact"/>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u w:val="none"/>
                <w:lang w:val="en-US" w:eastAsia="zh-CN"/>
              </w:rPr>
              <w:t>投标报价要求</w:t>
            </w:r>
          </w:p>
        </w:tc>
        <w:tc>
          <w:tcPr>
            <w:tcW w:w="7601" w:type="dxa"/>
            <w:gridSpan w:val="2"/>
            <w:shd w:val="clear" w:color="auto" w:fill="auto"/>
            <w:noWrap w:val="0"/>
            <w:vAlign w:val="center"/>
          </w:tcPr>
          <w:p w14:paraId="3177A487">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b/>
                <w:bCs/>
                <w:color w:val="auto"/>
                <w:kern w:val="2"/>
                <w:sz w:val="21"/>
                <w:szCs w:val="21"/>
                <w:highlight w:val="none"/>
                <w:lang w:val="en-US" w:eastAsia="zh-CN" w:bidi="ar-SA"/>
              </w:rPr>
              <w:t>▲</w:t>
            </w:r>
            <w:r>
              <w:rPr>
                <w:rFonts w:hint="eastAsia" w:ascii="宋体" w:hAnsi="宋体" w:eastAsia="宋体" w:cs="宋体"/>
                <w:color w:val="auto"/>
                <w:sz w:val="21"/>
                <w:szCs w:val="21"/>
                <w:highlight w:val="none"/>
                <w:u w:val="none"/>
                <w:lang w:val="en-US" w:eastAsia="zh-CN"/>
              </w:rPr>
              <w:t>1.投标报价为投标人在采购人指定地点交付所投产品时所产生的一切费用总和；</w:t>
            </w:r>
            <w:r>
              <w:rPr>
                <w:rFonts w:hint="eastAsia" w:ascii="宋体" w:hAnsi="宋体" w:eastAsia="宋体" w:cs="宋体"/>
                <w:color w:val="auto"/>
                <w:sz w:val="21"/>
                <w:szCs w:val="21"/>
                <w:highlight w:val="none"/>
              </w:rPr>
              <w:t>包括货款、标准附件、备品备件、专用工具、</w:t>
            </w:r>
            <w:r>
              <w:rPr>
                <w:rFonts w:hint="eastAsia" w:ascii="宋体" w:hAnsi="宋体" w:eastAsia="宋体" w:cs="宋体"/>
                <w:color w:val="auto"/>
                <w:sz w:val="21"/>
                <w:szCs w:val="21"/>
                <w:highlight w:val="none"/>
                <w:lang w:val="en-US" w:eastAsia="zh-CN"/>
              </w:rPr>
              <w:t>人工费、服务费、</w:t>
            </w:r>
            <w:r>
              <w:rPr>
                <w:rFonts w:hint="eastAsia" w:ascii="宋体" w:hAnsi="宋体" w:cs="宋体"/>
                <w:color w:val="auto"/>
                <w:sz w:val="21"/>
                <w:szCs w:val="21"/>
                <w:highlight w:val="none"/>
                <w:lang w:val="en-US" w:eastAsia="zh-CN"/>
              </w:rPr>
              <w:t>上牌费、</w:t>
            </w:r>
            <w:r>
              <w:rPr>
                <w:rFonts w:hint="eastAsia" w:ascii="宋体" w:hAnsi="宋体" w:eastAsia="宋体" w:cs="宋体"/>
                <w:color w:val="auto"/>
                <w:sz w:val="21"/>
                <w:szCs w:val="21"/>
                <w:highlight w:val="none"/>
              </w:rPr>
              <w:t>包装、运输、装卸、</w:t>
            </w:r>
            <w:r>
              <w:rPr>
                <w:rFonts w:hint="eastAsia" w:ascii="宋体" w:hAnsi="宋体" w:eastAsia="宋体" w:cs="宋体"/>
                <w:color w:val="auto"/>
                <w:sz w:val="21"/>
                <w:szCs w:val="21"/>
                <w:highlight w:val="none"/>
                <w:lang w:val="en-US" w:eastAsia="zh-CN"/>
              </w:rPr>
              <w:t>检测、试验、</w:t>
            </w:r>
            <w:r>
              <w:rPr>
                <w:rFonts w:hint="eastAsia" w:ascii="宋体" w:hAnsi="宋体" w:eastAsia="宋体" w:cs="宋体"/>
                <w:color w:val="auto"/>
                <w:sz w:val="21"/>
                <w:szCs w:val="21"/>
                <w:highlight w:val="none"/>
              </w:rPr>
              <w:t>保险</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含交强险</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、税</w:t>
            </w:r>
            <w:r>
              <w:rPr>
                <w:rFonts w:hint="eastAsia" w:ascii="宋体" w:hAnsi="宋体" w:cs="宋体"/>
                <w:color w:val="auto"/>
                <w:sz w:val="21"/>
                <w:szCs w:val="21"/>
                <w:highlight w:val="none"/>
                <w:lang w:val="en-US" w:eastAsia="zh-CN"/>
              </w:rPr>
              <w:t>费</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含购置税、车船税</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、货到就位以及安装、调试、</w:t>
            </w:r>
            <w:r>
              <w:rPr>
                <w:rFonts w:hint="eastAsia" w:ascii="宋体" w:hAnsi="宋体" w:eastAsia="宋体" w:cs="宋体"/>
                <w:color w:val="auto"/>
                <w:sz w:val="21"/>
                <w:szCs w:val="21"/>
                <w:highlight w:val="none"/>
                <w:lang w:val="en-US" w:eastAsia="zh-CN"/>
              </w:rPr>
              <w:t>验收、</w:t>
            </w:r>
            <w:r>
              <w:rPr>
                <w:rFonts w:hint="eastAsia" w:ascii="宋体" w:hAnsi="宋体" w:eastAsia="宋体" w:cs="宋体"/>
                <w:color w:val="auto"/>
                <w:sz w:val="21"/>
                <w:szCs w:val="21"/>
                <w:highlight w:val="none"/>
              </w:rPr>
              <w:t>培训、保修</w:t>
            </w:r>
            <w:r>
              <w:rPr>
                <w:rFonts w:hint="eastAsia" w:ascii="宋体" w:hAnsi="宋体" w:eastAsia="宋体" w:cs="宋体"/>
                <w:color w:val="auto"/>
                <w:sz w:val="21"/>
                <w:szCs w:val="21"/>
                <w:highlight w:val="none"/>
                <w:lang w:val="en-US" w:eastAsia="zh-CN"/>
              </w:rPr>
              <w:t>费</w:t>
            </w:r>
            <w:r>
              <w:rPr>
                <w:rFonts w:hint="eastAsia" w:ascii="宋体" w:hAnsi="宋体" w:eastAsia="宋体" w:cs="宋体"/>
                <w:color w:val="auto"/>
                <w:sz w:val="21"/>
                <w:szCs w:val="21"/>
                <w:highlight w:val="none"/>
              </w:rPr>
              <w:t>等</w:t>
            </w:r>
            <w:r>
              <w:rPr>
                <w:rFonts w:hint="eastAsia" w:ascii="宋体" w:hAnsi="宋体" w:eastAsia="宋体" w:cs="宋体"/>
                <w:color w:val="auto"/>
                <w:sz w:val="21"/>
                <w:szCs w:val="21"/>
                <w:highlight w:val="none"/>
                <w:lang w:val="en-US" w:eastAsia="zh-CN"/>
              </w:rPr>
              <w:t>成本</w:t>
            </w:r>
            <w:r>
              <w:rPr>
                <w:rFonts w:hint="eastAsia" w:ascii="宋体" w:hAnsi="宋体" w:cs="宋体"/>
                <w:color w:val="auto"/>
                <w:sz w:val="21"/>
                <w:szCs w:val="21"/>
                <w:highlight w:val="none"/>
                <w:lang w:val="en-US" w:eastAsia="zh-CN"/>
              </w:rPr>
              <w:t>、税金</w:t>
            </w:r>
            <w:r>
              <w:rPr>
                <w:rFonts w:hint="eastAsia" w:ascii="宋体" w:hAnsi="宋体" w:eastAsia="宋体" w:cs="宋体"/>
                <w:color w:val="auto"/>
                <w:sz w:val="21"/>
                <w:szCs w:val="21"/>
                <w:highlight w:val="none"/>
                <w:lang w:val="en-US" w:eastAsia="zh-CN"/>
              </w:rPr>
              <w:t>及利润</w:t>
            </w:r>
            <w:r>
              <w:rPr>
                <w:rFonts w:hint="eastAsia" w:ascii="宋体" w:hAnsi="宋体" w:eastAsia="宋体" w:cs="宋体"/>
                <w:color w:val="auto"/>
                <w:sz w:val="21"/>
                <w:szCs w:val="21"/>
                <w:highlight w:val="none"/>
                <w:u w:val="none"/>
                <w:lang w:val="en-US" w:eastAsia="zh-CN"/>
              </w:rPr>
              <w:t>。</w:t>
            </w:r>
          </w:p>
          <w:p w14:paraId="2BB3669D">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sz w:val="21"/>
                <w:szCs w:val="21"/>
                <w:highlight w:val="none"/>
                <w:u w:val="none"/>
                <w:lang w:val="en-US" w:eastAsia="zh-CN"/>
              </w:rPr>
              <w:t>2.评标委员会认为投标人的投标报价明显低于其他通过符合性审查投标人的投标报价，有可能影响产品质量或者不能诚信履约的，应当要求其在评标现场合理的时间内提供书面说明，必要时提交相关证明材料；投标人不能证明其投标报价合理性的，评标委员会应当将其作为无效投标处理。</w:t>
            </w:r>
          </w:p>
        </w:tc>
      </w:tr>
      <w:tr w14:paraId="6BC22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764" w:type="dxa"/>
            <w:gridSpan w:val="2"/>
            <w:shd w:val="clear" w:color="auto" w:fill="auto"/>
            <w:noWrap w:val="0"/>
            <w:vAlign w:val="center"/>
          </w:tcPr>
          <w:p w14:paraId="11F924EF">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bCs/>
                <w:color w:val="auto"/>
                <w:sz w:val="21"/>
                <w:szCs w:val="21"/>
                <w:highlight w:val="none"/>
                <w:lang w:eastAsia="zh-CN"/>
              </w:rPr>
              <w:t>▲进口产品</w:t>
            </w:r>
            <w:r>
              <w:rPr>
                <w:rFonts w:hint="eastAsia" w:ascii="宋体" w:hAnsi="宋体" w:eastAsia="宋体" w:cs="宋体"/>
                <w:b/>
                <w:bCs/>
                <w:color w:val="auto"/>
                <w:sz w:val="21"/>
                <w:szCs w:val="21"/>
                <w:highlight w:val="none"/>
                <w:lang w:val="en-US" w:eastAsia="zh-CN"/>
              </w:rPr>
              <w:t>说明</w:t>
            </w:r>
          </w:p>
        </w:tc>
        <w:tc>
          <w:tcPr>
            <w:tcW w:w="7601" w:type="dxa"/>
            <w:gridSpan w:val="2"/>
            <w:shd w:val="clear" w:color="auto" w:fill="auto"/>
            <w:noWrap w:val="0"/>
            <w:vAlign w:val="center"/>
          </w:tcPr>
          <w:p w14:paraId="5D211B9B">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rPr>
              <w:sym w:font="Wingdings 2" w:char="00A3"/>
            </w:r>
            <w:r>
              <w:rPr>
                <w:rFonts w:hint="eastAsia" w:ascii="宋体" w:hAnsi="宋体" w:eastAsia="宋体" w:cs="宋体"/>
                <w:color w:val="auto"/>
                <w:sz w:val="21"/>
                <w:szCs w:val="21"/>
                <w:highlight w:val="none"/>
              </w:rPr>
              <w:t>本</w:t>
            </w:r>
            <w:r>
              <w:rPr>
                <w:rFonts w:hint="eastAsia" w:ascii="宋体" w:hAnsi="宋体" w:eastAsia="宋体" w:cs="宋体"/>
                <w:color w:val="auto"/>
                <w:sz w:val="21"/>
                <w:szCs w:val="21"/>
                <w:highlight w:val="none"/>
                <w:lang w:val="en-US" w:eastAsia="zh-CN"/>
              </w:rPr>
              <w:t>标项产品已按规定办妥进口产品采购审核手续，投标产品可选用进口产品；但如选用进口产品时必须为全套原装进口全新产品（即通过中国海关报关验放进入中国境内且产自关境外的产品），同时投标人必须负责办理进口产品所有相关手续并承担所有费用。优先采购向我国企业转让技术、与我国企业签订消化吸收再创新方案的投标人的进口产品。除此以外，</w:t>
            </w:r>
            <w:r>
              <w:rPr>
                <w:rFonts w:hint="eastAsia" w:ascii="宋体" w:hAnsi="宋体" w:eastAsia="宋体" w:cs="宋体"/>
                <w:b/>
                <w:bCs/>
                <w:color w:val="auto"/>
                <w:sz w:val="21"/>
                <w:szCs w:val="21"/>
                <w:highlight w:val="none"/>
                <w:lang w:val="en-US" w:eastAsia="zh-CN"/>
              </w:rPr>
              <w:t>其他货物不接受进口产品参与投标，否则作无效标处理。</w:t>
            </w:r>
          </w:p>
          <w:p w14:paraId="70F0AE2D">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sym w:font="Wingdings 2" w:char="0052"/>
            </w:r>
            <w:r>
              <w:rPr>
                <w:rFonts w:hint="eastAsia" w:ascii="宋体" w:hAnsi="宋体" w:eastAsia="宋体" w:cs="宋体"/>
                <w:color w:val="auto"/>
                <w:sz w:val="21"/>
                <w:szCs w:val="21"/>
                <w:highlight w:val="none"/>
                <w:lang w:val="en-US" w:eastAsia="zh-CN"/>
              </w:rPr>
              <w:t>本标项货物不接受进口产品（即通过中国海关报关验放进入中国境内且产自关境外的产品）参与投标，如有进口产品参与投标的作无效标处理。</w:t>
            </w:r>
          </w:p>
        </w:tc>
      </w:tr>
      <w:tr w14:paraId="79EF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764" w:type="dxa"/>
            <w:gridSpan w:val="2"/>
            <w:noWrap w:val="0"/>
            <w:vAlign w:val="center"/>
          </w:tcPr>
          <w:p w14:paraId="538DEC59">
            <w:pPr>
              <w:keepNext w:val="0"/>
              <w:keepLines w:val="0"/>
              <w:pageBreakBefore w:val="0"/>
              <w:kinsoku/>
              <w:wordWrap/>
              <w:overflowPunct/>
              <w:topLinePunct w:val="0"/>
              <w:autoSpaceDE/>
              <w:autoSpaceDN/>
              <w:bidi w:val="0"/>
              <w:adjustRightInd/>
              <w:snapToGrid/>
              <w:spacing w:line="400" w:lineRule="exact"/>
              <w:ind w:left="0" w:leftChars="0"/>
              <w:jc w:val="center"/>
              <w:textAlignment w:val="auto"/>
              <w:outlineLvl w:val="9"/>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lang w:eastAsia="zh-CN"/>
              </w:rPr>
              <w:t>▲核心产品</w:t>
            </w:r>
          </w:p>
        </w:tc>
        <w:tc>
          <w:tcPr>
            <w:tcW w:w="7601" w:type="dxa"/>
            <w:gridSpan w:val="2"/>
            <w:noWrap w:val="0"/>
            <w:vAlign w:val="center"/>
          </w:tcPr>
          <w:p w14:paraId="01F1F852">
            <w:pPr>
              <w:keepNext w:val="0"/>
              <w:keepLines w:val="0"/>
              <w:pageBreakBefore w:val="0"/>
              <w:kinsoku/>
              <w:wordWrap/>
              <w:overflowPunct/>
              <w:topLinePunct w:val="0"/>
              <w:autoSpaceDE/>
              <w:autoSpaceDN/>
              <w:bidi w:val="0"/>
              <w:adjustRightInd/>
              <w:snapToGrid/>
              <w:spacing w:line="400" w:lineRule="exact"/>
              <w:ind w:left="0" w:leftChars="0"/>
              <w:textAlignment w:val="auto"/>
              <w:outlineLvl w:val="9"/>
              <w:rPr>
                <w:rFonts w:hint="eastAsia" w:ascii="宋体" w:hAnsi="宋体" w:eastAsia="宋体" w:cs="宋体"/>
                <w:b/>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新能源大型洗扫车，核心产品提供相同品牌产品且通过资格审查、符合性审查的不同投标人参加同一合同项下投标的，按一家投标人计算，评审后得分最高的同品牌投标人获得中标人推荐资格；评审得分相同的，由招标人或者招标人委托评标委员会按照招标文件规定的方式确定一个投标人获得中标人推荐资格。</w:t>
            </w:r>
          </w:p>
        </w:tc>
      </w:tr>
    </w:tbl>
    <w:p w14:paraId="2B4F06B0">
      <w:pPr>
        <w:outlineLvl w:val="9"/>
        <w:rPr>
          <w:rFonts w:hint="eastAsia" w:ascii="宋体" w:hAnsi="宋体" w:eastAsia="宋体" w:cs="宋体"/>
          <w:b/>
          <w:color w:val="auto"/>
          <w:szCs w:val="21"/>
          <w:highlight w:val="none"/>
          <w:lang w:val="en-US" w:eastAsia="zh-CN"/>
        </w:rPr>
      </w:pPr>
    </w:p>
    <w:p w14:paraId="327E545F">
      <w:pPr>
        <w:rPr>
          <w:rFonts w:hint="eastAsia" w:ascii="宋体" w:hAnsi="宋体" w:eastAsia="宋体" w:cs="宋体"/>
          <w:b/>
          <w:color w:val="auto"/>
          <w:sz w:val="36"/>
          <w:szCs w:val="36"/>
          <w:highlight w:val="none"/>
          <w:lang w:val="en-US" w:eastAsia="zh-CN"/>
        </w:rPr>
      </w:pPr>
      <w:r>
        <w:rPr>
          <w:rFonts w:hint="eastAsia" w:ascii="宋体" w:hAnsi="宋体" w:eastAsia="宋体" w:cs="宋体"/>
          <w:b/>
          <w:color w:val="auto"/>
          <w:szCs w:val="21"/>
          <w:highlight w:val="none"/>
          <w:lang w:val="en-US" w:eastAsia="zh-CN"/>
        </w:rPr>
        <w:br w:type="page"/>
      </w:r>
    </w:p>
    <w:p w14:paraId="244E7C81">
      <w:pPr>
        <w:jc w:val="center"/>
        <w:outlineLvl w:val="0"/>
        <w:rPr>
          <w:rFonts w:hint="eastAsia" w:ascii="宋体" w:hAnsi="宋体" w:eastAsia="宋体" w:cs="宋体"/>
          <w:b/>
          <w:color w:val="auto"/>
          <w:sz w:val="36"/>
          <w:szCs w:val="36"/>
          <w:highlight w:val="none"/>
        </w:rPr>
      </w:pPr>
      <w:bookmarkStart w:id="48" w:name="_Toc3491"/>
      <w:r>
        <w:rPr>
          <w:rFonts w:hint="eastAsia" w:ascii="宋体" w:hAnsi="宋体" w:eastAsia="宋体" w:cs="宋体"/>
          <w:b/>
          <w:color w:val="auto"/>
          <w:sz w:val="36"/>
          <w:szCs w:val="36"/>
          <w:highlight w:val="none"/>
        </w:rPr>
        <w:t xml:space="preserve">第四部分  </w:t>
      </w:r>
      <w:bookmarkStart w:id="49" w:name="_Toc184314444"/>
      <w:bookmarkEnd w:id="49"/>
      <w:bookmarkStart w:id="50" w:name="_Toc184313307"/>
      <w:bookmarkEnd w:id="50"/>
      <w:bookmarkStart w:id="51" w:name="_Toc184313255"/>
      <w:bookmarkEnd w:id="51"/>
      <w:bookmarkStart w:id="52" w:name="_Toc184312070"/>
      <w:bookmarkEnd w:id="52"/>
      <w:bookmarkStart w:id="53" w:name="_Toc184314426"/>
      <w:bookmarkEnd w:id="53"/>
      <w:bookmarkStart w:id="54" w:name="_Toc184313259"/>
      <w:bookmarkEnd w:id="54"/>
      <w:bookmarkStart w:id="55" w:name="_Toc184312115"/>
      <w:bookmarkEnd w:id="55"/>
      <w:bookmarkStart w:id="56" w:name="_Toc184314451"/>
      <w:bookmarkEnd w:id="56"/>
      <w:bookmarkStart w:id="57" w:name="_Toc184308076"/>
      <w:bookmarkEnd w:id="57"/>
      <w:bookmarkStart w:id="58" w:name="_Toc184308049"/>
      <w:bookmarkEnd w:id="58"/>
      <w:bookmarkStart w:id="59" w:name="_Toc184308036"/>
      <w:bookmarkEnd w:id="59"/>
      <w:bookmarkStart w:id="60" w:name="_Toc184310310"/>
      <w:bookmarkEnd w:id="60"/>
      <w:bookmarkStart w:id="61" w:name="_Toc184312083"/>
      <w:bookmarkEnd w:id="61"/>
      <w:bookmarkStart w:id="62" w:name="_Toc184308065"/>
      <w:bookmarkEnd w:id="62"/>
      <w:bookmarkStart w:id="63" w:name="_Toc184308059"/>
      <w:bookmarkEnd w:id="63"/>
      <w:bookmarkStart w:id="64" w:name="_Toc184310324"/>
      <w:bookmarkEnd w:id="64"/>
      <w:bookmarkStart w:id="65" w:name="_Toc184314423"/>
      <w:bookmarkEnd w:id="65"/>
      <w:bookmarkStart w:id="66" w:name="_Toc184308043"/>
      <w:bookmarkEnd w:id="66"/>
      <w:bookmarkStart w:id="67" w:name="_Toc184310328"/>
      <w:bookmarkEnd w:id="67"/>
      <w:bookmarkStart w:id="68" w:name="_Toc184314472"/>
      <w:bookmarkEnd w:id="68"/>
      <w:bookmarkStart w:id="69" w:name="_Toc184314429"/>
      <w:bookmarkEnd w:id="69"/>
      <w:bookmarkStart w:id="70" w:name="_Toc184308054"/>
      <w:bookmarkEnd w:id="70"/>
      <w:bookmarkStart w:id="71" w:name="_Toc184314439"/>
      <w:bookmarkEnd w:id="71"/>
      <w:bookmarkStart w:id="72" w:name="_Toc184312078"/>
      <w:bookmarkEnd w:id="72"/>
      <w:bookmarkStart w:id="73" w:name="_Toc184313286"/>
      <w:bookmarkEnd w:id="73"/>
      <w:bookmarkStart w:id="74" w:name="_Toc184314421"/>
      <w:bookmarkEnd w:id="74"/>
      <w:bookmarkStart w:id="75" w:name="_Toc184313292"/>
      <w:bookmarkEnd w:id="75"/>
      <w:bookmarkStart w:id="76" w:name="_Toc184308069"/>
      <w:bookmarkEnd w:id="76"/>
      <w:bookmarkStart w:id="77" w:name="_Toc184310322"/>
      <w:bookmarkEnd w:id="77"/>
      <w:bookmarkStart w:id="78" w:name="_Toc184310296"/>
      <w:bookmarkEnd w:id="78"/>
      <w:bookmarkStart w:id="79" w:name="_Toc184310292"/>
      <w:bookmarkEnd w:id="79"/>
      <w:bookmarkStart w:id="80" w:name="_Toc184314460"/>
      <w:bookmarkEnd w:id="80"/>
      <w:bookmarkStart w:id="81" w:name="_Toc184308079"/>
      <w:bookmarkEnd w:id="81"/>
      <w:bookmarkStart w:id="82" w:name="_Toc184313261"/>
      <w:bookmarkEnd w:id="82"/>
      <w:bookmarkStart w:id="83" w:name="_Toc184314448"/>
      <w:bookmarkEnd w:id="83"/>
      <w:bookmarkStart w:id="84" w:name="_Toc184313301"/>
      <w:bookmarkEnd w:id="84"/>
      <w:bookmarkStart w:id="85" w:name="_Toc184312082"/>
      <w:bookmarkEnd w:id="85"/>
      <w:bookmarkStart w:id="86" w:name="_Toc184314438"/>
      <w:bookmarkEnd w:id="86"/>
      <w:bookmarkStart w:id="87" w:name="_Toc184308052"/>
      <w:bookmarkEnd w:id="87"/>
      <w:bookmarkStart w:id="88" w:name="_Toc184313302"/>
      <w:bookmarkEnd w:id="88"/>
      <w:bookmarkStart w:id="89" w:name="_Toc184313295"/>
      <w:bookmarkEnd w:id="89"/>
      <w:bookmarkStart w:id="90" w:name="_Toc184314445"/>
      <w:bookmarkEnd w:id="90"/>
      <w:bookmarkStart w:id="91" w:name="_Toc184313244"/>
      <w:bookmarkEnd w:id="91"/>
      <w:bookmarkStart w:id="92" w:name="_Toc184310343"/>
      <w:bookmarkEnd w:id="92"/>
      <w:bookmarkStart w:id="93" w:name="_Toc184313308"/>
      <w:bookmarkEnd w:id="93"/>
      <w:bookmarkStart w:id="94" w:name="_Toc184310277"/>
      <w:bookmarkEnd w:id="94"/>
      <w:bookmarkStart w:id="95" w:name="_Toc184314432"/>
      <w:bookmarkEnd w:id="95"/>
      <w:bookmarkStart w:id="96" w:name="_Toc184313262"/>
      <w:bookmarkEnd w:id="96"/>
      <w:bookmarkStart w:id="97" w:name="_Toc184312120"/>
      <w:bookmarkEnd w:id="97"/>
      <w:bookmarkStart w:id="98" w:name="_Toc184312136"/>
      <w:bookmarkEnd w:id="98"/>
      <w:bookmarkStart w:id="99" w:name="_Toc184312125"/>
      <w:bookmarkEnd w:id="99"/>
      <w:bookmarkStart w:id="100" w:name="_Toc184313289"/>
      <w:bookmarkEnd w:id="100"/>
      <w:bookmarkStart w:id="101" w:name="_Toc184308046"/>
      <w:bookmarkEnd w:id="101"/>
      <w:bookmarkStart w:id="102" w:name="_Toc184312099"/>
      <w:bookmarkEnd w:id="102"/>
      <w:bookmarkStart w:id="103" w:name="_Toc184313265"/>
      <w:bookmarkEnd w:id="103"/>
      <w:bookmarkStart w:id="104" w:name="_Toc184314442"/>
      <w:bookmarkEnd w:id="104"/>
      <w:bookmarkStart w:id="105" w:name="_Toc184314462"/>
      <w:bookmarkEnd w:id="105"/>
      <w:bookmarkStart w:id="106" w:name="_Toc184310337"/>
      <w:bookmarkEnd w:id="106"/>
      <w:bookmarkStart w:id="107" w:name="_Toc184308057"/>
      <w:bookmarkEnd w:id="107"/>
      <w:bookmarkStart w:id="108" w:name="_Toc184308084"/>
      <w:bookmarkEnd w:id="108"/>
      <w:bookmarkStart w:id="109" w:name="_Toc184313258"/>
      <w:bookmarkEnd w:id="109"/>
      <w:bookmarkStart w:id="110" w:name="_Toc184314449"/>
      <w:bookmarkEnd w:id="110"/>
      <w:bookmarkStart w:id="111" w:name="_Toc184312071"/>
      <w:bookmarkEnd w:id="111"/>
      <w:bookmarkStart w:id="112" w:name="_Toc184312121"/>
      <w:bookmarkEnd w:id="112"/>
      <w:bookmarkStart w:id="113" w:name="_Toc184314443"/>
      <w:bookmarkEnd w:id="113"/>
      <w:bookmarkStart w:id="114" w:name="_Toc184312112"/>
      <w:bookmarkEnd w:id="114"/>
      <w:bookmarkStart w:id="115" w:name="_Toc184314480"/>
      <w:bookmarkEnd w:id="115"/>
      <w:bookmarkStart w:id="116" w:name="_Toc184313275"/>
      <w:bookmarkEnd w:id="116"/>
      <w:bookmarkStart w:id="117" w:name="_Toc184314415"/>
      <w:bookmarkEnd w:id="117"/>
      <w:bookmarkStart w:id="118" w:name="_Toc184314412"/>
      <w:bookmarkEnd w:id="118"/>
      <w:bookmarkStart w:id="119" w:name="_Toc184308048"/>
      <w:bookmarkEnd w:id="119"/>
      <w:bookmarkStart w:id="120" w:name="_Toc184310312"/>
      <w:bookmarkEnd w:id="120"/>
      <w:bookmarkStart w:id="121" w:name="_Toc184312116"/>
      <w:bookmarkEnd w:id="121"/>
      <w:bookmarkStart w:id="122" w:name="_Toc184308061"/>
      <w:bookmarkEnd w:id="122"/>
      <w:bookmarkStart w:id="123" w:name="_Toc184310279"/>
      <w:bookmarkEnd w:id="123"/>
      <w:bookmarkStart w:id="124" w:name="_Toc184314420"/>
      <w:bookmarkEnd w:id="124"/>
      <w:bookmarkStart w:id="125" w:name="_Toc184308090"/>
      <w:bookmarkEnd w:id="125"/>
      <w:bookmarkStart w:id="126" w:name="_Toc184308064"/>
      <w:bookmarkEnd w:id="126"/>
      <w:bookmarkStart w:id="127" w:name="_Toc184308107"/>
      <w:bookmarkEnd w:id="127"/>
      <w:bookmarkStart w:id="128" w:name="_Toc184312075"/>
      <w:bookmarkEnd w:id="128"/>
      <w:bookmarkStart w:id="129" w:name="_Toc184313288"/>
      <w:bookmarkEnd w:id="129"/>
      <w:bookmarkStart w:id="130" w:name="_Toc184312106"/>
      <w:bookmarkEnd w:id="130"/>
      <w:bookmarkStart w:id="131" w:name="_Toc184312069"/>
      <w:bookmarkEnd w:id="131"/>
      <w:bookmarkStart w:id="132" w:name="_Toc184310309"/>
      <w:bookmarkEnd w:id="132"/>
      <w:bookmarkStart w:id="133" w:name="_Toc184310289"/>
      <w:bookmarkEnd w:id="133"/>
      <w:bookmarkStart w:id="134" w:name="_Toc184312139"/>
      <w:bookmarkEnd w:id="134"/>
      <w:bookmarkStart w:id="135" w:name="_Toc184313276"/>
      <w:bookmarkEnd w:id="135"/>
      <w:bookmarkStart w:id="136" w:name="_Toc184312102"/>
      <w:bookmarkEnd w:id="136"/>
      <w:bookmarkStart w:id="137" w:name="_Toc184314469"/>
      <w:bookmarkEnd w:id="137"/>
      <w:bookmarkStart w:id="138" w:name="_Toc184314476"/>
      <w:bookmarkEnd w:id="138"/>
      <w:bookmarkStart w:id="139" w:name="_Toc184314453"/>
      <w:bookmarkEnd w:id="139"/>
      <w:bookmarkStart w:id="140" w:name="_Toc184308088"/>
      <w:bookmarkEnd w:id="140"/>
      <w:bookmarkStart w:id="141" w:name="_Toc184310314"/>
      <w:bookmarkEnd w:id="141"/>
      <w:bookmarkStart w:id="142" w:name="_Toc184314470"/>
      <w:bookmarkEnd w:id="142"/>
      <w:bookmarkStart w:id="143" w:name="_Toc184310320"/>
      <w:bookmarkEnd w:id="143"/>
      <w:bookmarkStart w:id="144" w:name="_Toc184313254"/>
      <w:bookmarkEnd w:id="144"/>
      <w:bookmarkStart w:id="145" w:name="_Toc184314478"/>
      <w:bookmarkEnd w:id="145"/>
      <w:bookmarkStart w:id="146" w:name="_Toc184312114"/>
      <w:bookmarkEnd w:id="146"/>
      <w:bookmarkStart w:id="147" w:name="_Toc184314440"/>
      <w:bookmarkEnd w:id="147"/>
      <w:bookmarkStart w:id="148" w:name="_Toc184308055"/>
      <w:bookmarkEnd w:id="148"/>
      <w:bookmarkStart w:id="149" w:name="_Toc184313280"/>
      <w:bookmarkEnd w:id="149"/>
      <w:bookmarkStart w:id="150" w:name="_Toc184310344"/>
      <w:bookmarkEnd w:id="150"/>
      <w:bookmarkStart w:id="151" w:name="_Toc184312103"/>
      <w:bookmarkEnd w:id="151"/>
      <w:bookmarkStart w:id="152" w:name="_Toc184313306"/>
      <w:bookmarkEnd w:id="152"/>
      <w:bookmarkStart w:id="153" w:name="_Toc184310336"/>
      <w:bookmarkEnd w:id="153"/>
      <w:bookmarkStart w:id="154" w:name="_Toc184313247"/>
      <w:bookmarkEnd w:id="154"/>
      <w:bookmarkStart w:id="155" w:name="_Toc184310298"/>
      <w:bookmarkEnd w:id="155"/>
      <w:bookmarkStart w:id="156" w:name="_Toc184312134"/>
      <w:bookmarkEnd w:id="156"/>
      <w:bookmarkStart w:id="157" w:name="_Toc184314411"/>
      <w:bookmarkEnd w:id="157"/>
      <w:bookmarkStart w:id="158" w:name="_Toc184312104"/>
      <w:bookmarkEnd w:id="158"/>
      <w:bookmarkStart w:id="159" w:name="_Toc184310323"/>
      <w:bookmarkEnd w:id="159"/>
      <w:bookmarkStart w:id="160" w:name="_Toc184308062"/>
      <w:bookmarkEnd w:id="160"/>
      <w:bookmarkStart w:id="161" w:name="_Toc184308050"/>
      <w:bookmarkEnd w:id="161"/>
      <w:bookmarkStart w:id="162" w:name="_Toc184308082"/>
      <w:bookmarkEnd w:id="162"/>
      <w:bookmarkStart w:id="163" w:name="_Toc184313298"/>
      <w:bookmarkEnd w:id="163"/>
      <w:bookmarkStart w:id="164" w:name="_Toc184308040"/>
      <w:bookmarkEnd w:id="164"/>
      <w:bookmarkStart w:id="165" w:name="_Toc184312092"/>
      <w:bookmarkEnd w:id="165"/>
      <w:bookmarkStart w:id="166" w:name="_Toc184308099"/>
      <w:bookmarkEnd w:id="166"/>
      <w:bookmarkStart w:id="167" w:name="_Toc184310302"/>
      <w:bookmarkEnd w:id="167"/>
      <w:bookmarkStart w:id="168" w:name="_Toc184313299"/>
      <w:bookmarkEnd w:id="168"/>
      <w:bookmarkStart w:id="169" w:name="_Toc184310278"/>
      <w:bookmarkEnd w:id="169"/>
      <w:bookmarkStart w:id="170" w:name="_Toc184313273"/>
      <w:bookmarkEnd w:id="170"/>
      <w:bookmarkStart w:id="171" w:name="_Toc184314433"/>
      <w:bookmarkEnd w:id="171"/>
      <w:bookmarkStart w:id="172" w:name="_Toc184308100"/>
      <w:bookmarkEnd w:id="172"/>
      <w:bookmarkStart w:id="173" w:name="_Toc184313279"/>
      <w:bookmarkEnd w:id="173"/>
      <w:bookmarkStart w:id="174" w:name="_Toc184312093"/>
      <w:bookmarkEnd w:id="174"/>
      <w:bookmarkStart w:id="175" w:name="_Toc184310294"/>
      <w:bookmarkEnd w:id="175"/>
      <w:bookmarkStart w:id="176" w:name="_Toc184308098"/>
      <w:bookmarkEnd w:id="176"/>
      <w:bookmarkStart w:id="177" w:name="_Toc184313251"/>
      <w:bookmarkEnd w:id="177"/>
      <w:bookmarkStart w:id="178" w:name="_Toc184310338"/>
      <w:bookmarkEnd w:id="178"/>
      <w:bookmarkStart w:id="179" w:name="_Toc184312113"/>
      <w:bookmarkEnd w:id="179"/>
      <w:bookmarkStart w:id="180" w:name="_Toc184308038"/>
      <w:bookmarkEnd w:id="180"/>
      <w:bookmarkStart w:id="181" w:name="_Toc184310329"/>
      <w:bookmarkEnd w:id="181"/>
      <w:bookmarkStart w:id="182" w:name="_Toc184314430"/>
      <w:bookmarkEnd w:id="182"/>
      <w:bookmarkStart w:id="183" w:name="_Toc184313263"/>
      <w:bookmarkEnd w:id="183"/>
      <w:bookmarkStart w:id="184" w:name="_Toc184312100"/>
      <w:bookmarkEnd w:id="184"/>
      <w:bookmarkStart w:id="185" w:name="_Toc184308081"/>
      <w:bookmarkEnd w:id="185"/>
      <w:bookmarkStart w:id="186" w:name="_Toc184308085"/>
      <w:bookmarkEnd w:id="186"/>
      <w:bookmarkStart w:id="187" w:name="_Toc184313269"/>
      <w:bookmarkEnd w:id="187"/>
      <w:bookmarkStart w:id="188" w:name="_Toc184312137"/>
      <w:bookmarkEnd w:id="188"/>
      <w:bookmarkStart w:id="189" w:name="_Toc184310321"/>
      <w:bookmarkEnd w:id="189"/>
      <w:bookmarkStart w:id="190" w:name="_Toc184312072"/>
      <w:bookmarkEnd w:id="190"/>
      <w:bookmarkStart w:id="191" w:name="_Toc184313242"/>
      <w:bookmarkEnd w:id="191"/>
      <w:bookmarkStart w:id="192" w:name="_Toc184313309"/>
      <w:bookmarkEnd w:id="192"/>
      <w:bookmarkStart w:id="193" w:name="_Toc184314431"/>
      <w:bookmarkEnd w:id="193"/>
      <w:bookmarkStart w:id="194" w:name="_Toc184308102"/>
      <w:bookmarkEnd w:id="194"/>
      <w:bookmarkStart w:id="195" w:name="_Toc184313252"/>
      <w:bookmarkEnd w:id="195"/>
      <w:bookmarkStart w:id="196" w:name="_Toc184313281"/>
      <w:bookmarkEnd w:id="196"/>
      <w:bookmarkStart w:id="197" w:name="_Toc184314458"/>
      <w:bookmarkEnd w:id="197"/>
      <w:bookmarkStart w:id="198" w:name="_Toc184313290"/>
      <w:bookmarkEnd w:id="198"/>
      <w:bookmarkStart w:id="199" w:name="_Toc184310281"/>
      <w:bookmarkEnd w:id="199"/>
      <w:bookmarkStart w:id="200" w:name="_Toc184310299"/>
      <w:bookmarkEnd w:id="200"/>
      <w:bookmarkStart w:id="201" w:name="_Toc184310317"/>
      <w:bookmarkEnd w:id="201"/>
      <w:bookmarkStart w:id="202" w:name="_Toc184310318"/>
      <w:bookmarkEnd w:id="202"/>
      <w:bookmarkStart w:id="203" w:name="_Toc184312130"/>
      <w:bookmarkEnd w:id="203"/>
      <w:bookmarkStart w:id="204" w:name="_Toc184310303"/>
      <w:bookmarkEnd w:id="204"/>
      <w:bookmarkStart w:id="205" w:name="_Toc184310327"/>
      <w:bookmarkEnd w:id="205"/>
      <w:bookmarkStart w:id="206" w:name="_Toc184313291"/>
      <w:bookmarkEnd w:id="206"/>
      <w:bookmarkStart w:id="207" w:name="_Toc184312097"/>
      <w:bookmarkEnd w:id="207"/>
      <w:bookmarkStart w:id="208" w:name="_Toc184314475"/>
      <w:bookmarkEnd w:id="208"/>
      <w:bookmarkStart w:id="209" w:name="_Toc184314463"/>
      <w:bookmarkEnd w:id="209"/>
      <w:bookmarkStart w:id="210" w:name="_Toc184314414"/>
      <w:bookmarkEnd w:id="210"/>
      <w:bookmarkStart w:id="211" w:name="_Toc184310288"/>
      <w:bookmarkEnd w:id="211"/>
      <w:bookmarkStart w:id="212" w:name="_Toc184313238"/>
      <w:bookmarkEnd w:id="212"/>
      <w:bookmarkStart w:id="213" w:name="_Toc184312119"/>
      <w:bookmarkEnd w:id="213"/>
      <w:bookmarkStart w:id="214" w:name="_Toc184308051"/>
      <w:bookmarkEnd w:id="214"/>
      <w:bookmarkStart w:id="215" w:name="_Toc184313287"/>
      <w:bookmarkEnd w:id="215"/>
      <w:bookmarkStart w:id="216" w:name="_Toc184314419"/>
      <w:bookmarkEnd w:id="216"/>
      <w:bookmarkStart w:id="217" w:name="_Toc184312076"/>
      <w:bookmarkEnd w:id="217"/>
      <w:bookmarkStart w:id="218" w:name="_Toc184308092"/>
      <w:bookmarkEnd w:id="218"/>
      <w:bookmarkStart w:id="219" w:name="_Toc184313278"/>
      <w:bookmarkEnd w:id="219"/>
      <w:bookmarkStart w:id="220" w:name="_Toc184312133"/>
      <w:bookmarkEnd w:id="220"/>
      <w:bookmarkStart w:id="221" w:name="_Toc184310297"/>
      <w:bookmarkEnd w:id="221"/>
      <w:bookmarkStart w:id="222" w:name="_Toc184314452"/>
      <w:bookmarkEnd w:id="222"/>
      <w:bookmarkStart w:id="223" w:name="_Toc184312086"/>
      <w:bookmarkEnd w:id="223"/>
      <w:bookmarkStart w:id="224" w:name="_Toc184314410"/>
      <w:bookmarkEnd w:id="224"/>
      <w:bookmarkStart w:id="225" w:name="_Toc184312094"/>
      <w:bookmarkEnd w:id="225"/>
      <w:bookmarkStart w:id="226" w:name="_Toc184310342"/>
      <w:bookmarkEnd w:id="226"/>
      <w:bookmarkStart w:id="227" w:name="_Toc184314447"/>
      <w:bookmarkEnd w:id="227"/>
      <w:bookmarkStart w:id="228" w:name="_Toc184312127"/>
      <w:bookmarkEnd w:id="228"/>
      <w:bookmarkStart w:id="229" w:name="_Toc184308037"/>
      <w:bookmarkEnd w:id="229"/>
      <w:bookmarkStart w:id="230" w:name="_Toc184312107"/>
      <w:bookmarkEnd w:id="230"/>
      <w:bookmarkStart w:id="231" w:name="_Toc184310284"/>
      <w:bookmarkEnd w:id="231"/>
      <w:bookmarkStart w:id="232" w:name="_Toc184313253"/>
      <w:bookmarkEnd w:id="232"/>
      <w:bookmarkStart w:id="233" w:name="_Toc184308053"/>
      <w:bookmarkEnd w:id="233"/>
      <w:bookmarkStart w:id="234" w:name="_Toc184314466"/>
      <w:bookmarkEnd w:id="234"/>
      <w:bookmarkStart w:id="235" w:name="_Toc184313248"/>
      <w:bookmarkEnd w:id="235"/>
      <w:bookmarkStart w:id="236" w:name="_Toc184310311"/>
      <w:bookmarkEnd w:id="236"/>
      <w:bookmarkStart w:id="237" w:name="_Toc184312124"/>
      <w:bookmarkEnd w:id="237"/>
      <w:bookmarkStart w:id="238" w:name="_Toc184314413"/>
      <w:bookmarkEnd w:id="238"/>
      <w:bookmarkStart w:id="239" w:name="_Toc184312110"/>
      <w:bookmarkEnd w:id="239"/>
      <w:bookmarkStart w:id="240" w:name="_Toc184312131"/>
      <w:bookmarkEnd w:id="240"/>
      <w:bookmarkStart w:id="241" w:name="_Toc184312118"/>
      <w:bookmarkEnd w:id="241"/>
      <w:bookmarkStart w:id="242" w:name="_Toc184310282"/>
      <w:bookmarkEnd w:id="242"/>
      <w:bookmarkStart w:id="243" w:name="_Toc184313257"/>
      <w:bookmarkEnd w:id="243"/>
      <w:bookmarkStart w:id="244" w:name="_Toc184308096"/>
      <w:bookmarkEnd w:id="244"/>
      <w:bookmarkStart w:id="245" w:name="_Toc184308074"/>
      <w:bookmarkEnd w:id="245"/>
      <w:bookmarkStart w:id="246" w:name="_Toc184313268"/>
      <w:bookmarkEnd w:id="246"/>
      <w:bookmarkStart w:id="247" w:name="_Toc184312091"/>
      <w:bookmarkEnd w:id="247"/>
      <w:bookmarkStart w:id="248" w:name="_Toc184310307"/>
      <w:bookmarkEnd w:id="248"/>
      <w:bookmarkStart w:id="249" w:name="_Toc184308089"/>
      <w:bookmarkEnd w:id="249"/>
      <w:bookmarkStart w:id="250" w:name="_Toc184314471"/>
      <w:bookmarkEnd w:id="250"/>
      <w:bookmarkStart w:id="251" w:name="_Toc184313245"/>
      <w:bookmarkEnd w:id="251"/>
      <w:bookmarkStart w:id="252" w:name="_Toc184308047"/>
      <w:bookmarkEnd w:id="252"/>
      <w:bookmarkStart w:id="253" w:name="_Toc184313271"/>
      <w:bookmarkEnd w:id="253"/>
      <w:bookmarkStart w:id="254" w:name="_Toc184313305"/>
      <w:bookmarkEnd w:id="254"/>
      <w:bookmarkStart w:id="255" w:name="_Toc184308068"/>
      <w:bookmarkEnd w:id="255"/>
      <w:bookmarkStart w:id="256" w:name="_Toc184310313"/>
      <w:bookmarkEnd w:id="256"/>
      <w:bookmarkStart w:id="257" w:name="_Toc184314424"/>
      <w:bookmarkEnd w:id="257"/>
      <w:bookmarkStart w:id="258" w:name="_Toc184312080"/>
      <w:bookmarkEnd w:id="258"/>
      <w:bookmarkStart w:id="259" w:name="_Toc184313264"/>
      <w:bookmarkEnd w:id="259"/>
      <w:bookmarkStart w:id="260" w:name="_Toc184313270"/>
      <w:bookmarkEnd w:id="260"/>
      <w:bookmarkStart w:id="261" w:name="_Toc184308080"/>
      <w:bookmarkEnd w:id="261"/>
      <w:bookmarkStart w:id="262" w:name="_Toc184314459"/>
      <w:bookmarkEnd w:id="262"/>
      <w:bookmarkStart w:id="263" w:name="_Toc184314474"/>
      <w:bookmarkEnd w:id="263"/>
      <w:bookmarkStart w:id="264" w:name="_Toc184310295"/>
      <w:bookmarkEnd w:id="264"/>
      <w:bookmarkStart w:id="265" w:name="_Toc184313243"/>
      <w:bookmarkEnd w:id="265"/>
      <w:bookmarkStart w:id="266" w:name="_Toc184314482"/>
      <w:bookmarkEnd w:id="266"/>
      <w:bookmarkStart w:id="267" w:name="_Toc184310341"/>
      <w:bookmarkEnd w:id="267"/>
      <w:bookmarkStart w:id="268" w:name="_Toc184308093"/>
      <w:bookmarkEnd w:id="268"/>
      <w:bookmarkStart w:id="269" w:name="_Toc184310340"/>
      <w:bookmarkEnd w:id="269"/>
      <w:bookmarkStart w:id="270" w:name="_Toc184312084"/>
      <w:bookmarkEnd w:id="270"/>
      <w:bookmarkStart w:id="271" w:name="_Toc184308083"/>
      <w:bookmarkEnd w:id="271"/>
      <w:bookmarkStart w:id="272" w:name="_Toc184310305"/>
      <w:bookmarkEnd w:id="272"/>
      <w:bookmarkStart w:id="273" w:name="_Toc184312089"/>
      <w:bookmarkEnd w:id="273"/>
      <w:bookmarkStart w:id="274" w:name="_Toc184310308"/>
      <w:bookmarkEnd w:id="274"/>
      <w:bookmarkStart w:id="275" w:name="_Toc184314468"/>
      <w:bookmarkEnd w:id="275"/>
      <w:bookmarkStart w:id="276" w:name="_Toc184312096"/>
      <w:bookmarkEnd w:id="276"/>
      <w:bookmarkStart w:id="277" w:name="_Toc184308067"/>
      <w:bookmarkEnd w:id="277"/>
      <w:bookmarkStart w:id="278" w:name="_Toc184308075"/>
      <w:bookmarkEnd w:id="278"/>
      <w:bookmarkStart w:id="279" w:name="_Toc184313284"/>
      <w:bookmarkEnd w:id="279"/>
      <w:bookmarkStart w:id="280" w:name="_Toc184310293"/>
      <w:bookmarkEnd w:id="280"/>
      <w:bookmarkStart w:id="281" w:name="_Toc184308105"/>
      <w:bookmarkEnd w:id="281"/>
      <w:bookmarkStart w:id="282" w:name="_Toc184312111"/>
      <w:bookmarkEnd w:id="282"/>
      <w:bookmarkStart w:id="283" w:name="_Toc184313304"/>
      <w:bookmarkEnd w:id="283"/>
      <w:bookmarkStart w:id="284" w:name="_Toc184314464"/>
      <w:bookmarkEnd w:id="284"/>
      <w:bookmarkStart w:id="285" w:name="_Toc184310300"/>
      <w:bookmarkEnd w:id="285"/>
      <w:bookmarkStart w:id="286" w:name="_Toc184310333"/>
      <w:bookmarkEnd w:id="286"/>
      <w:bookmarkStart w:id="287" w:name="_Toc184308077"/>
      <w:bookmarkEnd w:id="287"/>
      <w:bookmarkStart w:id="288" w:name="_Toc184310291"/>
      <w:bookmarkEnd w:id="288"/>
      <w:bookmarkStart w:id="289" w:name="_Toc184312138"/>
      <w:bookmarkEnd w:id="289"/>
      <w:bookmarkStart w:id="290" w:name="_Toc184313293"/>
      <w:bookmarkEnd w:id="290"/>
      <w:bookmarkStart w:id="291" w:name="_Toc184313250"/>
      <w:bookmarkEnd w:id="291"/>
      <w:bookmarkStart w:id="292" w:name="_Toc184308078"/>
      <w:bookmarkEnd w:id="292"/>
      <w:bookmarkStart w:id="293" w:name="_Toc184312108"/>
      <w:bookmarkEnd w:id="293"/>
      <w:bookmarkStart w:id="294" w:name="_Toc184313240"/>
      <w:bookmarkEnd w:id="294"/>
      <w:bookmarkStart w:id="295" w:name="_Toc184312101"/>
      <w:bookmarkEnd w:id="295"/>
      <w:bookmarkStart w:id="296" w:name="_Toc184308044"/>
      <w:bookmarkEnd w:id="296"/>
      <w:bookmarkStart w:id="297" w:name="_Toc184308041"/>
      <w:bookmarkEnd w:id="297"/>
      <w:bookmarkStart w:id="298" w:name="_Toc184314473"/>
      <w:bookmarkEnd w:id="298"/>
      <w:bookmarkStart w:id="299" w:name="_Toc184308104"/>
      <w:bookmarkEnd w:id="299"/>
      <w:bookmarkStart w:id="300" w:name="_Toc184310316"/>
      <w:bookmarkEnd w:id="300"/>
      <w:bookmarkStart w:id="301" w:name="_Toc184312085"/>
      <w:bookmarkEnd w:id="301"/>
      <w:bookmarkStart w:id="302" w:name="_Toc184310319"/>
      <w:bookmarkEnd w:id="302"/>
      <w:bookmarkStart w:id="303" w:name="_Toc184312105"/>
      <w:bookmarkEnd w:id="303"/>
      <w:bookmarkStart w:id="304" w:name="_Toc184314428"/>
      <w:bookmarkEnd w:id="304"/>
      <w:bookmarkStart w:id="305" w:name="_Toc184313256"/>
      <w:bookmarkEnd w:id="305"/>
      <w:bookmarkStart w:id="306" w:name="_Toc184312109"/>
      <w:bookmarkEnd w:id="306"/>
      <w:bookmarkStart w:id="307" w:name="_Toc184313296"/>
      <w:bookmarkEnd w:id="307"/>
      <w:bookmarkStart w:id="308" w:name="_Toc184314416"/>
      <w:bookmarkEnd w:id="308"/>
      <w:bookmarkStart w:id="309" w:name="_Toc184312087"/>
      <w:bookmarkEnd w:id="309"/>
      <w:bookmarkStart w:id="310" w:name="_Toc184308070"/>
      <w:bookmarkEnd w:id="310"/>
      <w:bookmarkStart w:id="311" w:name="_Toc184310273"/>
      <w:bookmarkEnd w:id="311"/>
      <w:bookmarkStart w:id="312" w:name="_Toc184310334"/>
      <w:bookmarkEnd w:id="312"/>
      <w:bookmarkStart w:id="313" w:name="_Toc184313285"/>
      <w:bookmarkEnd w:id="313"/>
      <w:bookmarkStart w:id="314" w:name="_Toc184314417"/>
      <w:bookmarkEnd w:id="314"/>
      <w:bookmarkStart w:id="315" w:name="_Toc184314467"/>
      <w:bookmarkEnd w:id="315"/>
      <w:bookmarkStart w:id="316" w:name="_Toc184308086"/>
      <w:bookmarkEnd w:id="316"/>
      <w:bookmarkStart w:id="317" w:name="_Toc184312098"/>
      <w:bookmarkEnd w:id="317"/>
      <w:bookmarkStart w:id="318" w:name="_Toc184314481"/>
      <w:bookmarkEnd w:id="318"/>
      <w:bookmarkStart w:id="319" w:name="_Toc184314477"/>
      <w:bookmarkEnd w:id="319"/>
      <w:bookmarkStart w:id="320" w:name="_Toc184314479"/>
      <w:bookmarkEnd w:id="320"/>
      <w:bookmarkStart w:id="321" w:name="_Toc184308091"/>
      <w:bookmarkEnd w:id="321"/>
      <w:bookmarkStart w:id="322" w:name="_Toc184313283"/>
      <w:bookmarkEnd w:id="322"/>
      <w:bookmarkStart w:id="323" w:name="_Toc184308060"/>
      <w:bookmarkEnd w:id="323"/>
      <w:bookmarkStart w:id="324" w:name="_Toc184314465"/>
      <w:bookmarkEnd w:id="324"/>
      <w:bookmarkStart w:id="325" w:name="_Toc184308087"/>
      <w:bookmarkEnd w:id="325"/>
      <w:bookmarkStart w:id="326" w:name="_Toc184308063"/>
      <w:bookmarkEnd w:id="326"/>
      <w:bookmarkStart w:id="327" w:name="_Toc184313260"/>
      <w:bookmarkEnd w:id="327"/>
      <w:bookmarkStart w:id="328" w:name="_Toc184312123"/>
      <w:bookmarkEnd w:id="328"/>
      <w:bookmarkStart w:id="329" w:name="_Toc184312128"/>
      <w:bookmarkEnd w:id="329"/>
      <w:bookmarkStart w:id="330" w:name="_Toc184313239"/>
      <w:bookmarkEnd w:id="330"/>
      <w:bookmarkStart w:id="331" w:name="_Toc184313272"/>
      <w:bookmarkEnd w:id="331"/>
      <w:bookmarkStart w:id="332" w:name="_Toc184312088"/>
      <w:bookmarkEnd w:id="332"/>
      <w:bookmarkStart w:id="333" w:name="_Toc184313267"/>
      <w:bookmarkEnd w:id="333"/>
      <w:bookmarkStart w:id="334" w:name="_Toc184310331"/>
      <w:bookmarkEnd w:id="334"/>
      <w:bookmarkStart w:id="335" w:name="_Toc184314446"/>
      <w:bookmarkEnd w:id="335"/>
      <w:bookmarkStart w:id="336" w:name="_Toc184312129"/>
      <w:bookmarkEnd w:id="336"/>
      <w:bookmarkStart w:id="337" w:name="_Toc184310315"/>
      <w:bookmarkEnd w:id="337"/>
      <w:bookmarkStart w:id="338" w:name="_Toc184312067"/>
      <w:bookmarkEnd w:id="338"/>
      <w:bookmarkStart w:id="339" w:name="_Toc184314441"/>
      <w:bookmarkEnd w:id="339"/>
      <w:bookmarkStart w:id="340" w:name="_Toc184308045"/>
      <w:bookmarkEnd w:id="340"/>
      <w:bookmarkStart w:id="341" w:name="_Toc184314456"/>
      <w:bookmarkEnd w:id="341"/>
      <w:bookmarkStart w:id="342" w:name="_Toc184308071"/>
      <w:bookmarkEnd w:id="342"/>
      <w:bookmarkStart w:id="343" w:name="_Toc184314455"/>
      <w:bookmarkEnd w:id="343"/>
      <w:bookmarkStart w:id="344" w:name="_Toc184312074"/>
      <w:bookmarkEnd w:id="344"/>
      <w:bookmarkStart w:id="345" w:name="_Toc184313294"/>
      <w:bookmarkEnd w:id="345"/>
      <w:bookmarkStart w:id="346" w:name="_Toc184308106"/>
      <w:bookmarkEnd w:id="346"/>
      <w:bookmarkStart w:id="347" w:name="_Toc184308039"/>
      <w:bookmarkEnd w:id="347"/>
      <w:bookmarkStart w:id="348" w:name="_Toc184314461"/>
      <w:bookmarkEnd w:id="348"/>
      <w:bookmarkStart w:id="349" w:name="_Toc184314427"/>
      <w:bookmarkEnd w:id="349"/>
      <w:bookmarkStart w:id="350" w:name="_Toc184310325"/>
      <w:bookmarkEnd w:id="350"/>
      <w:bookmarkStart w:id="351" w:name="_Toc184310326"/>
      <w:bookmarkEnd w:id="351"/>
      <w:bookmarkStart w:id="352" w:name="_Toc184313274"/>
      <w:bookmarkEnd w:id="352"/>
      <w:bookmarkStart w:id="353" w:name="_Toc184310330"/>
      <w:bookmarkEnd w:id="353"/>
      <w:bookmarkStart w:id="354" w:name="_Toc184313246"/>
      <w:bookmarkEnd w:id="354"/>
      <w:bookmarkStart w:id="355" w:name="_Toc184310280"/>
      <w:bookmarkEnd w:id="355"/>
      <w:bookmarkStart w:id="356" w:name="_Toc184310276"/>
      <w:bookmarkEnd w:id="356"/>
      <w:bookmarkStart w:id="357" w:name="_Toc184310283"/>
      <w:bookmarkEnd w:id="357"/>
      <w:bookmarkStart w:id="358" w:name="_Toc184312132"/>
      <w:bookmarkEnd w:id="358"/>
      <w:bookmarkStart w:id="359" w:name="_Toc184313277"/>
      <w:bookmarkEnd w:id="359"/>
      <w:bookmarkStart w:id="360" w:name="_Toc184310301"/>
      <w:bookmarkEnd w:id="360"/>
      <w:bookmarkStart w:id="361" w:name="_Toc184310290"/>
      <w:bookmarkEnd w:id="361"/>
      <w:bookmarkStart w:id="362" w:name="_Toc184313266"/>
      <w:bookmarkEnd w:id="362"/>
      <w:bookmarkStart w:id="363" w:name="_Toc184312079"/>
      <w:bookmarkEnd w:id="363"/>
      <w:bookmarkStart w:id="364" w:name="_Toc184308073"/>
      <w:bookmarkEnd w:id="364"/>
      <w:bookmarkStart w:id="365" w:name="_Toc184314437"/>
      <w:bookmarkEnd w:id="365"/>
      <w:bookmarkStart w:id="366" w:name="_Toc184308101"/>
      <w:bookmarkEnd w:id="366"/>
      <w:bookmarkStart w:id="367" w:name="_Toc184308058"/>
      <w:bookmarkEnd w:id="367"/>
      <w:bookmarkStart w:id="368" w:name="_Toc184310335"/>
      <w:bookmarkEnd w:id="368"/>
      <w:bookmarkStart w:id="369" w:name="_Toc184312117"/>
      <w:bookmarkEnd w:id="369"/>
      <w:bookmarkStart w:id="370" w:name="_Toc184314425"/>
      <w:bookmarkEnd w:id="370"/>
      <w:bookmarkStart w:id="371" w:name="_Toc184310304"/>
      <w:bookmarkEnd w:id="371"/>
      <w:bookmarkStart w:id="372" w:name="_Toc184313282"/>
      <w:bookmarkEnd w:id="372"/>
      <w:bookmarkStart w:id="373" w:name="_Toc184314422"/>
      <w:bookmarkEnd w:id="373"/>
      <w:bookmarkStart w:id="374" w:name="_Toc184314435"/>
      <w:bookmarkEnd w:id="374"/>
      <w:bookmarkStart w:id="375" w:name="_Toc184310274"/>
      <w:bookmarkEnd w:id="375"/>
      <w:bookmarkStart w:id="376" w:name="_Toc184308095"/>
      <w:bookmarkEnd w:id="376"/>
      <w:bookmarkStart w:id="377" w:name="_Toc184314436"/>
      <w:bookmarkEnd w:id="377"/>
      <w:bookmarkStart w:id="378" w:name="_Toc184312135"/>
      <w:bookmarkEnd w:id="378"/>
      <w:bookmarkStart w:id="379" w:name="_Toc184308097"/>
      <w:bookmarkEnd w:id="379"/>
      <w:bookmarkStart w:id="380" w:name="_Toc184312077"/>
      <w:bookmarkEnd w:id="380"/>
      <w:bookmarkStart w:id="381" w:name="_Toc184312073"/>
      <w:bookmarkEnd w:id="381"/>
      <w:bookmarkStart w:id="382" w:name="_Toc184308056"/>
      <w:bookmarkEnd w:id="382"/>
      <w:bookmarkStart w:id="383" w:name="_Toc184313241"/>
      <w:bookmarkEnd w:id="383"/>
      <w:bookmarkStart w:id="384" w:name="_Toc184314454"/>
      <w:bookmarkEnd w:id="384"/>
      <w:bookmarkStart w:id="385" w:name="_Toc184310332"/>
      <w:bookmarkEnd w:id="385"/>
      <w:bookmarkStart w:id="386" w:name="_Toc184310275"/>
      <w:bookmarkEnd w:id="386"/>
      <w:bookmarkStart w:id="387" w:name="_Toc184310286"/>
      <w:bookmarkEnd w:id="387"/>
      <w:bookmarkStart w:id="388" w:name="_Toc184314457"/>
      <w:bookmarkEnd w:id="388"/>
      <w:bookmarkStart w:id="389" w:name="_Toc184312126"/>
      <w:bookmarkEnd w:id="389"/>
      <w:bookmarkStart w:id="390" w:name="_Toc184314450"/>
      <w:bookmarkEnd w:id="390"/>
      <w:bookmarkStart w:id="391" w:name="_Toc184308108"/>
      <w:bookmarkEnd w:id="391"/>
      <w:bookmarkStart w:id="392" w:name="_Toc184310339"/>
      <w:bookmarkEnd w:id="392"/>
      <w:bookmarkStart w:id="393" w:name="_Toc184308103"/>
      <w:bookmarkEnd w:id="393"/>
      <w:bookmarkStart w:id="394" w:name="_Toc184312095"/>
      <w:bookmarkEnd w:id="394"/>
      <w:bookmarkStart w:id="395" w:name="_Toc184310285"/>
      <w:bookmarkEnd w:id="395"/>
      <w:bookmarkStart w:id="396" w:name="_Toc184308042"/>
      <w:bookmarkEnd w:id="396"/>
      <w:bookmarkStart w:id="397" w:name="_Toc184313310"/>
      <w:bookmarkEnd w:id="397"/>
      <w:bookmarkStart w:id="398" w:name="_Toc184312068"/>
      <w:bookmarkEnd w:id="398"/>
      <w:bookmarkStart w:id="399" w:name="_Toc184313303"/>
      <w:bookmarkEnd w:id="399"/>
      <w:bookmarkStart w:id="400" w:name="_Toc184310272"/>
      <w:bookmarkEnd w:id="400"/>
      <w:bookmarkStart w:id="401" w:name="_Toc184312090"/>
      <w:bookmarkEnd w:id="401"/>
      <w:bookmarkStart w:id="402" w:name="_Toc184313300"/>
      <w:bookmarkEnd w:id="402"/>
      <w:bookmarkStart w:id="403" w:name="_Toc184314418"/>
      <w:bookmarkEnd w:id="403"/>
      <w:bookmarkStart w:id="404" w:name="_Toc184312081"/>
      <w:bookmarkEnd w:id="404"/>
      <w:bookmarkStart w:id="405" w:name="_Toc184310287"/>
      <w:bookmarkEnd w:id="405"/>
      <w:bookmarkStart w:id="406" w:name="_Toc184313249"/>
      <w:bookmarkEnd w:id="406"/>
      <w:bookmarkStart w:id="407" w:name="_Toc184308094"/>
      <w:bookmarkEnd w:id="407"/>
      <w:bookmarkStart w:id="408" w:name="_Toc184314434"/>
      <w:bookmarkEnd w:id="408"/>
      <w:bookmarkStart w:id="409" w:name="_Toc184310306"/>
      <w:bookmarkEnd w:id="409"/>
      <w:bookmarkStart w:id="410" w:name="_Toc184313297"/>
      <w:bookmarkEnd w:id="410"/>
      <w:bookmarkStart w:id="411" w:name="_Toc184312122"/>
      <w:bookmarkEnd w:id="411"/>
      <w:bookmarkStart w:id="412" w:name="_Toc184308072"/>
      <w:bookmarkEnd w:id="412"/>
      <w:bookmarkStart w:id="413" w:name="_Toc184308066"/>
      <w:bookmarkEnd w:id="413"/>
      <w:r>
        <w:rPr>
          <w:rFonts w:hint="eastAsia" w:ascii="宋体" w:hAnsi="宋体" w:eastAsia="宋体" w:cs="宋体"/>
          <w:b/>
          <w:color w:val="auto"/>
          <w:sz w:val="36"/>
          <w:szCs w:val="36"/>
          <w:highlight w:val="none"/>
        </w:rPr>
        <w:t>评标办法</w:t>
      </w:r>
      <w:bookmarkEnd w:id="47"/>
      <w:bookmarkEnd w:id="48"/>
    </w:p>
    <w:p w14:paraId="70FA9729">
      <w:pPr>
        <w:snapToGrid w:val="0"/>
        <w:spacing w:line="360" w:lineRule="auto"/>
        <w:jc w:val="center"/>
        <w:outlineLvl w:val="9"/>
        <w:rPr>
          <w:rFonts w:hint="eastAsia" w:ascii="宋体" w:hAnsi="宋体" w:eastAsia="宋体" w:cs="宋体"/>
          <w:b/>
          <w:color w:val="auto"/>
          <w:sz w:val="32"/>
          <w:szCs w:val="20"/>
          <w:highlight w:val="none"/>
        </w:rPr>
      </w:pPr>
      <w:r>
        <w:rPr>
          <w:rFonts w:hint="eastAsia" w:ascii="宋体" w:hAnsi="宋体" w:eastAsia="宋体" w:cs="宋体"/>
          <w:b/>
          <w:color w:val="auto"/>
          <w:sz w:val="32"/>
          <w:szCs w:val="20"/>
          <w:highlight w:val="none"/>
        </w:rPr>
        <w:t>评标办法前附表</w:t>
      </w:r>
    </w:p>
    <w:tbl>
      <w:tblPr>
        <w:tblStyle w:val="6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
        <w:gridCol w:w="1073"/>
        <w:gridCol w:w="4699"/>
        <w:gridCol w:w="845"/>
        <w:gridCol w:w="1105"/>
      </w:tblGrid>
      <w:tr w14:paraId="3DFAD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0602CD21">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5772" w:type="dxa"/>
            <w:gridSpan w:val="2"/>
            <w:vAlign w:val="center"/>
          </w:tcPr>
          <w:p w14:paraId="1244992A">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评标标准</w:t>
            </w:r>
          </w:p>
        </w:tc>
        <w:tc>
          <w:tcPr>
            <w:tcW w:w="845" w:type="dxa"/>
            <w:vAlign w:val="center"/>
          </w:tcPr>
          <w:p w14:paraId="50DE95C0">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权重</w:t>
            </w:r>
          </w:p>
        </w:tc>
        <w:tc>
          <w:tcPr>
            <w:tcW w:w="1105" w:type="dxa"/>
            <w:vAlign w:val="center"/>
          </w:tcPr>
          <w:p w14:paraId="49D76A3F">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主观分/客观分属性</w:t>
            </w:r>
          </w:p>
        </w:tc>
      </w:tr>
      <w:tr w14:paraId="7A60D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89" w:type="dxa"/>
            <w:vAlign w:val="center"/>
          </w:tcPr>
          <w:p w14:paraId="11DEF1F0">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w:t>
            </w:r>
          </w:p>
        </w:tc>
        <w:tc>
          <w:tcPr>
            <w:tcW w:w="5772" w:type="dxa"/>
            <w:gridSpan w:val="2"/>
            <w:vAlign w:val="center"/>
          </w:tcPr>
          <w:p w14:paraId="026F2AB0">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价格分</w:t>
            </w:r>
          </w:p>
        </w:tc>
        <w:tc>
          <w:tcPr>
            <w:tcW w:w="1950" w:type="dxa"/>
            <w:gridSpan w:val="2"/>
            <w:vAlign w:val="center"/>
          </w:tcPr>
          <w:p w14:paraId="649DD666">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30分</w:t>
            </w:r>
          </w:p>
        </w:tc>
      </w:tr>
      <w:tr w14:paraId="437F1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3B386B97">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.1</w:t>
            </w:r>
          </w:p>
        </w:tc>
        <w:tc>
          <w:tcPr>
            <w:tcW w:w="5772" w:type="dxa"/>
            <w:gridSpan w:val="2"/>
            <w:vAlign w:val="center"/>
          </w:tcPr>
          <w:p w14:paraId="46C17E9C">
            <w:pPr>
              <w:pStyle w:val="42"/>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投标报价（30分）</w:t>
            </w:r>
          </w:p>
          <w:p w14:paraId="5540CB05">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（1）评标报价为投标人的投标报价进行政策性扣除后的价格，评标报价只是作为评标时使用。最终中标人的中标金额等于投标报价。</w:t>
            </w:r>
          </w:p>
          <w:p w14:paraId="4B5596C3">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（2）按照《政府采购促进中小企业发展管理办法》（财库〔2020〕46号）</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广西壮族自治区财政厅关于进一步发挥政府采购政策功能促进企业发展的通知</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（桂财采〔2022〕31 号）</w:t>
            </w:r>
            <w:r>
              <w:rPr>
                <w:rFonts w:hint="eastAsia" w:ascii="宋体" w:hAnsi="宋体" w:eastAsia="宋体" w:cs="宋体"/>
                <w:b w:val="0"/>
                <w:bCs/>
                <w:color w:val="auto"/>
                <w:sz w:val="21"/>
                <w:szCs w:val="21"/>
                <w:highlight w:val="none"/>
              </w:rPr>
              <w:t>的规定，在其投标文件中提供《中小企业声明函》，且其提供的货物全部由符合政策要求的小型、微型企业制造，即货物由小型、微型企业生产且使用该小型、微型企业商号或者注册商标，对其投标价格给予</w:t>
            </w:r>
            <w:r>
              <w:rPr>
                <w:rFonts w:hint="eastAsia" w:ascii="宋体"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rPr>
              <w:t>0%的扣除。</w:t>
            </w:r>
          </w:p>
          <w:p w14:paraId="1550455F">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54135AA9">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5A48B5D5">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（5）政策性扣除计算方法。</w:t>
            </w:r>
          </w:p>
          <w:p w14:paraId="5FB9FC56">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outlineLvl w:val="9"/>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 xml:space="preserve">投标人被评定为监狱企业或者残疾人福利性单位或者其提供的货物全部由符合政策要求的小型、微型企业制造，即货物由小型、微型企业生产且使用该小型、微型企业商号或者注册商标的，该投标人的投标报价给予 </w:t>
            </w:r>
            <w:r>
              <w:rPr>
                <w:rFonts w:hint="eastAsia" w:ascii="宋体" w:hAnsi="宋体" w:eastAsia="宋体" w:cs="宋体"/>
                <w:b w:val="0"/>
                <w:bCs/>
                <w:color w:val="auto"/>
                <w:sz w:val="21"/>
                <w:szCs w:val="21"/>
                <w:highlight w:val="none"/>
                <w:lang w:val="en-US" w:eastAsia="zh-CN"/>
              </w:rPr>
              <w:t>20</w:t>
            </w:r>
            <w:r>
              <w:rPr>
                <w:rFonts w:hint="eastAsia" w:ascii="宋体" w:hAnsi="宋体" w:eastAsia="宋体" w:cs="宋体"/>
                <w:b w:val="0"/>
                <w:bCs/>
                <w:color w:val="auto"/>
                <w:sz w:val="21"/>
                <w:szCs w:val="21"/>
                <w:highlight w:val="none"/>
              </w:rPr>
              <w:t>% 的扣除，扣除后的价格为评标报价，即评标报价=投标报价×（1-</w:t>
            </w:r>
            <w:r>
              <w:rPr>
                <w:rFonts w:hint="eastAsia" w:ascii="宋体" w:hAnsi="宋体" w:eastAsia="宋体" w:cs="宋体"/>
                <w:b w:val="0"/>
                <w:bCs/>
                <w:color w:val="auto"/>
                <w:sz w:val="21"/>
                <w:szCs w:val="21"/>
                <w:highlight w:val="none"/>
                <w:lang w:val="en-US" w:eastAsia="zh-CN"/>
              </w:rPr>
              <w:t>20</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eastAsia="zh-CN"/>
              </w:rPr>
              <w:t>。</w:t>
            </w:r>
          </w:p>
          <w:p w14:paraId="4731E47D">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outlineLvl w:val="9"/>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除上述情况外，评标价＝投标报价。</w:t>
            </w:r>
          </w:p>
          <w:p w14:paraId="711CDD76">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（6）满足招标文件要求且评标报价最低的评标报价为评标基准价，基准价得分为30分。</w:t>
            </w:r>
          </w:p>
          <w:p w14:paraId="002FD1D2">
            <w:pPr>
              <w:keepNext w:val="0"/>
              <w:keepLines w:val="0"/>
              <w:pageBreakBefore w:val="0"/>
              <w:widowControl w:val="0"/>
              <w:kinsoku/>
              <w:wordWrap/>
              <w:overflowPunct/>
              <w:topLinePunct w:val="0"/>
              <w:autoSpaceDE/>
              <w:autoSpaceDN/>
              <w:bidi w:val="0"/>
              <w:snapToGrid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b w:val="0"/>
                <w:bCs/>
                <w:color w:val="auto"/>
                <w:sz w:val="21"/>
                <w:szCs w:val="21"/>
                <w:highlight w:val="none"/>
              </w:rPr>
              <w:t>（7）某投标人价格分 =（评标基准价÷某投标人评标报价）×30分。</w:t>
            </w:r>
          </w:p>
        </w:tc>
        <w:tc>
          <w:tcPr>
            <w:tcW w:w="845" w:type="dxa"/>
            <w:vAlign w:val="center"/>
          </w:tcPr>
          <w:p w14:paraId="076A35C6">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30</w:t>
            </w:r>
          </w:p>
        </w:tc>
        <w:tc>
          <w:tcPr>
            <w:tcW w:w="1105" w:type="dxa"/>
            <w:vAlign w:val="center"/>
          </w:tcPr>
          <w:p w14:paraId="5161B241">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客观分</w:t>
            </w:r>
          </w:p>
        </w:tc>
      </w:tr>
      <w:tr w14:paraId="446B3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89" w:type="dxa"/>
            <w:vAlign w:val="center"/>
          </w:tcPr>
          <w:p w14:paraId="063E645A">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w:t>
            </w:r>
          </w:p>
        </w:tc>
        <w:tc>
          <w:tcPr>
            <w:tcW w:w="5772" w:type="dxa"/>
            <w:gridSpan w:val="2"/>
            <w:vAlign w:val="center"/>
          </w:tcPr>
          <w:p w14:paraId="34437949">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技术分</w:t>
            </w:r>
          </w:p>
        </w:tc>
        <w:tc>
          <w:tcPr>
            <w:tcW w:w="1950" w:type="dxa"/>
            <w:gridSpan w:val="2"/>
            <w:vAlign w:val="center"/>
          </w:tcPr>
          <w:p w14:paraId="2270E991">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70分</w:t>
            </w:r>
          </w:p>
        </w:tc>
      </w:tr>
      <w:tr w14:paraId="77B3C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5750403D">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w:t>
            </w:r>
          </w:p>
        </w:tc>
        <w:tc>
          <w:tcPr>
            <w:tcW w:w="5772" w:type="dxa"/>
            <w:gridSpan w:val="2"/>
            <w:shd w:val="clear" w:color="auto" w:fill="auto"/>
            <w:vAlign w:val="center"/>
          </w:tcPr>
          <w:p w14:paraId="3DCE2057">
            <w:pPr>
              <w:keepNext w:val="0"/>
              <w:keepLines w:val="0"/>
              <w:pageBreakBefore w:val="0"/>
              <w:widowControl w:val="0"/>
              <w:kinsoku/>
              <w:wordWrap/>
              <w:overflowPunct/>
              <w:topLinePunct w:val="0"/>
              <w:autoSpaceDE/>
              <w:autoSpaceDN/>
              <w:bidi w:val="0"/>
              <w:adjustRightInd/>
              <w:snapToGrid/>
              <w:spacing w:line="370" w:lineRule="exact"/>
              <w:jc w:val="both"/>
              <w:textAlignment w:val="auto"/>
              <w:outlineLvl w:val="9"/>
              <w:rPr>
                <w:rFonts w:hint="eastAsia" w:ascii="宋体" w:hAnsi="宋体" w:eastAsia="宋体" w:cs="宋体"/>
                <w:b w:val="0"/>
                <w:bCs/>
                <w:color w:val="auto"/>
                <w:sz w:val="21"/>
                <w:szCs w:val="21"/>
                <w:highlight w:val="none"/>
                <w:lang w:val="en-US" w:eastAsia="zh-CN"/>
              </w:rPr>
            </w:pPr>
            <w:r>
              <w:rPr>
                <w:rFonts w:hint="eastAsia" w:ascii="宋体" w:hAnsi="宋体" w:eastAsia="宋体" w:cs="宋体"/>
                <w:b/>
                <w:bCs/>
                <w:color w:val="auto"/>
                <w:sz w:val="21"/>
                <w:szCs w:val="21"/>
                <w:highlight w:val="none"/>
              </w:rPr>
              <w:t>设备性能</w:t>
            </w:r>
            <w:r>
              <w:rPr>
                <w:rFonts w:hint="eastAsia" w:ascii="宋体" w:hAnsi="宋体" w:eastAsia="宋体" w:cs="宋体"/>
                <w:b/>
                <w:bCs/>
                <w:color w:val="auto"/>
                <w:sz w:val="21"/>
                <w:szCs w:val="21"/>
                <w:highlight w:val="none"/>
                <w:lang w:val="en-US" w:eastAsia="zh-CN"/>
              </w:rPr>
              <w:t>分</w:t>
            </w:r>
          </w:p>
          <w:p w14:paraId="12151FCE">
            <w:pPr>
              <w:keepNext w:val="0"/>
              <w:keepLines w:val="0"/>
              <w:pageBreakBefore w:val="0"/>
              <w:widowControl w:val="0"/>
              <w:kinsoku/>
              <w:wordWrap/>
              <w:overflowPunct/>
              <w:topLinePunct w:val="0"/>
              <w:autoSpaceDE/>
              <w:autoSpaceDN/>
              <w:bidi w:val="0"/>
              <w:adjustRightInd/>
              <w:snapToGrid/>
              <w:spacing w:line="370" w:lineRule="exact"/>
              <w:ind w:firstLine="420" w:firstLineChars="200"/>
              <w:jc w:val="both"/>
              <w:textAlignment w:val="auto"/>
              <w:outlineLvl w:val="9"/>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重要技术参数、性能、配置（指采购项目需求标注“◆”的技术参数及配置）每有提供一项重要技术参数、性能、配置响应或优于招标文件要求的相关证明材料（相关证明材料可以是权威第三方机构检测报告或产品彩页或所投设备生产厂家出具的技术说明等能体现具体参数的证明材料复印件并加盖投标人公章）得1分，满分16分。</w:t>
            </w:r>
          </w:p>
          <w:p w14:paraId="108934AF">
            <w:pPr>
              <w:keepNext w:val="0"/>
              <w:keepLines w:val="0"/>
              <w:pageBreakBefore w:val="0"/>
              <w:widowControl w:val="0"/>
              <w:kinsoku/>
              <w:wordWrap/>
              <w:overflowPunct/>
              <w:topLinePunct w:val="0"/>
              <w:autoSpaceDE/>
              <w:autoSpaceDN/>
              <w:bidi w:val="0"/>
              <w:adjustRightInd/>
              <w:spacing w:line="37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val="0"/>
                <w:color w:val="auto"/>
                <w:sz w:val="21"/>
                <w:szCs w:val="21"/>
                <w:highlight w:val="none"/>
                <w:lang w:val="en-US" w:eastAsia="zh-CN"/>
              </w:rPr>
              <w:t>说明：</w:t>
            </w:r>
            <w:r>
              <w:rPr>
                <w:rFonts w:hint="eastAsia" w:ascii="宋体" w:hAnsi="宋体" w:eastAsia="宋体" w:cs="宋体"/>
                <w:b/>
                <w:bCs w:val="0"/>
                <w:color w:val="auto"/>
                <w:sz w:val="21"/>
                <w:szCs w:val="21"/>
                <w:highlight w:val="none"/>
              </w:rPr>
              <w:t>非实质性参数（指采购项目需求未标注“▲”的技术参数及配置）负偏离超过</w:t>
            </w:r>
            <w:r>
              <w:rPr>
                <w:rFonts w:hint="eastAsia" w:ascii="宋体" w:hAnsi="宋体" w:eastAsia="宋体" w:cs="宋体"/>
                <w:b/>
                <w:bCs w:val="0"/>
                <w:color w:val="auto"/>
                <w:sz w:val="21"/>
                <w:szCs w:val="21"/>
                <w:highlight w:val="none"/>
                <w:lang w:val="en-US" w:eastAsia="zh-CN"/>
              </w:rPr>
              <w:t>招标</w:t>
            </w:r>
            <w:r>
              <w:rPr>
                <w:rFonts w:hint="eastAsia" w:ascii="宋体" w:hAnsi="宋体" w:eastAsia="宋体" w:cs="宋体"/>
                <w:b/>
                <w:bCs w:val="0"/>
                <w:color w:val="auto"/>
                <w:sz w:val="21"/>
                <w:szCs w:val="21"/>
                <w:highlight w:val="none"/>
              </w:rPr>
              <w:t>文件规定的允许偏离的项数</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u w:val="single"/>
                <w:lang w:val="en-US" w:eastAsia="zh-CN"/>
              </w:rPr>
              <w:t xml:space="preserve"> 8 </w:t>
            </w:r>
            <w:r>
              <w:rPr>
                <w:rFonts w:hint="eastAsia" w:ascii="宋体" w:hAnsi="宋体" w:eastAsia="宋体" w:cs="宋体"/>
                <w:b/>
                <w:bCs w:val="0"/>
                <w:color w:val="auto"/>
                <w:sz w:val="21"/>
                <w:szCs w:val="21"/>
                <w:highlight w:val="none"/>
              </w:rPr>
              <w:t>项的</w:t>
            </w:r>
            <w:r>
              <w:rPr>
                <w:rFonts w:hint="eastAsia" w:ascii="宋体" w:hAnsi="宋体" w:eastAsia="宋体" w:cs="宋体"/>
                <w:b/>
                <w:bCs w:val="0"/>
                <w:color w:val="auto"/>
                <w:sz w:val="21"/>
                <w:szCs w:val="21"/>
                <w:highlight w:val="none"/>
                <w:lang w:val="en-US" w:eastAsia="zh-CN"/>
              </w:rPr>
              <w:t>投标</w:t>
            </w:r>
            <w:r>
              <w:rPr>
                <w:rFonts w:hint="eastAsia" w:ascii="宋体" w:hAnsi="宋体" w:eastAsia="宋体" w:cs="宋体"/>
                <w:b/>
                <w:bCs w:val="0"/>
                <w:color w:val="auto"/>
                <w:sz w:val="21"/>
                <w:szCs w:val="21"/>
                <w:highlight w:val="none"/>
              </w:rPr>
              <w:t>无效。</w:t>
            </w:r>
          </w:p>
        </w:tc>
        <w:tc>
          <w:tcPr>
            <w:tcW w:w="845" w:type="dxa"/>
            <w:shd w:val="clear" w:color="auto" w:fill="auto"/>
            <w:vAlign w:val="center"/>
          </w:tcPr>
          <w:p w14:paraId="6DE96C40">
            <w:pPr>
              <w:keepNext w:val="0"/>
              <w:keepLines w:val="0"/>
              <w:pageBreakBefore w:val="0"/>
              <w:widowControl w:val="0"/>
              <w:kinsoku/>
              <w:wordWrap/>
              <w:overflowPunct/>
              <w:topLinePunct w:val="0"/>
              <w:autoSpaceDE/>
              <w:autoSpaceDN/>
              <w:bidi w:val="0"/>
              <w:adjustRightInd/>
              <w:snapToGrid w:val="0"/>
              <w:spacing w:line="37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16分</w:t>
            </w:r>
          </w:p>
        </w:tc>
        <w:tc>
          <w:tcPr>
            <w:tcW w:w="1105" w:type="dxa"/>
            <w:shd w:val="clear" w:color="auto" w:fill="auto"/>
            <w:vAlign w:val="center"/>
          </w:tcPr>
          <w:p w14:paraId="050945C2">
            <w:pPr>
              <w:keepNext w:val="0"/>
              <w:keepLines w:val="0"/>
              <w:pageBreakBefore w:val="0"/>
              <w:widowControl w:val="0"/>
              <w:kinsoku/>
              <w:wordWrap/>
              <w:overflowPunct/>
              <w:topLinePunct w:val="0"/>
              <w:autoSpaceDE/>
              <w:autoSpaceDN/>
              <w:bidi w:val="0"/>
              <w:adjustRightInd/>
              <w:snapToGrid w:val="0"/>
              <w:spacing w:line="37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客观分</w:t>
            </w:r>
          </w:p>
        </w:tc>
      </w:tr>
      <w:tr w14:paraId="7DDEC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1336A7E3">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w:t>
            </w:r>
          </w:p>
        </w:tc>
        <w:tc>
          <w:tcPr>
            <w:tcW w:w="5772" w:type="dxa"/>
            <w:gridSpan w:val="2"/>
            <w:shd w:val="clear" w:color="auto" w:fill="auto"/>
            <w:vAlign w:val="center"/>
          </w:tcPr>
          <w:p w14:paraId="1D3EF064">
            <w:pPr>
              <w:keepNext w:val="0"/>
              <w:keepLines w:val="0"/>
              <w:pageBreakBefore w:val="0"/>
              <w:widowControl w:val="0"/>
              <w:kinsoku/>
              <w:wordWrap/>
              <w:overflowPunct/>
              <w:topLinePunct w:val="0"/>
              <w:autoSpaceDE/>
              <w:autoSpaceDN/>
              <w:bidi w:val="0"/>
              <w:adjustRightInd/>
              <w:spacing w:line="370" w:lineRule="exact"/>
              <w:jc w:val="both"/>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项目实施方案</w:t>
            </w:r>
          </w:p>
          <w:p w14:paraId="041E73CA">
            <w:pPr>
              <w:keepNext w:val="0"/>
              <w:keepLines w:val="0"/>
              <w:pageBreakBefore w:val="0"/>
              <w:widowControl w:val="0"/>
              <w:kinsoku/>
              <w:wordWrap/>
              <w:overflowPunct/>
              <w:topLinePunct w:val="0"/>
              <w:autoSpaceDE/>
              <w:autoSpaceDN/>
              <w:bidi w:val="0"/>
              <w:adjustRightInd/>
              <w:spacing w:line="37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rPr>
              <w:t>一档</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0分</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lang w:val="en-US" w:eastAsia="zh-CN"/>
              </w:rPr>
              <w:t>投标文件未提供项目实施方案不得分。</w:t>
            </w:r>
          </w:p>
          <w:p w14:paraId="644D4B81">
            <w:pPr>
              <w:keepNext w:val="0"/>
              <w:keepLines w:val="0"/>
              <w:pageBreakBefore w:val="0"/>
              <w:widowControl w:val="0"/>
              <w:kinsoku/>
              <w:wordWrap/>
              <w:overflowPunct/>
              <w:topLinePunct w:val="0"/>
              <w:autoSpaceDE/>
              <w:autoSpaceDN/>
              <w:bidi w:val="0"/>
              <w:adjustRightInd/>
              <w:snapToGrid/>
              <w:spacing w:line="370" w:lineRule="exact"/>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rPr>
              <w:t>档（</w:t>
            </w:r>
            <w:r>
              <w:rPr>
                <w:rFonts w:hint="eastAsia" w:ascii="宋体" w:hAnsi="宋体" w:eastAsia="宋体" w:cs="宋体"/>
                <w:b/>
                <w:bCs/>
                <w:color w:val="auto"/>
                <w:sz w:val="21"/>
                <w:szCs w:val="21"/>
                <w:highlight w:val="none"/>
                <w:lang w:val="en-US" w:eastAsia="zh-CN"/>
              </w:rPr>
              <w:t>2.5</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lang w:val="en-US" w:eastAsia="zh-CN"/>
              </w:rPr>
              <w:t>提供项目实施方案，方案内容</w:t>
            </w:r>
            <w:r>
              <w:rPr>
                <w:rFonts w:hint="eastAsia" w:ascii="宋体" w:hAnsi="宋体" w:eastAsia="宋体" w:cs="宋体"/>
                <w:b w:val="0"/>
                <w:bCs w:val="0"/>
                <w:color w:val="auto"/>
                <w:sz w:val="21"/>
                <w:szCs w:val="21"/>
                <w:highlight w:val="none"/>
                <w:lang w:val="en-US" w:eastAsia="zh-CN"/>
              </w:rPr>
              <w:t>具有</w:t>
            </w:r>
            <w:r>
              <w:rPr>
                <w:rFonts w:hint="eastAsia" w:ascii="宋体" w:hAnsi="宋体" w:eastAsia="宋体" w:cs="宋体"/>
                <w:color w:val="auto"/>
                <w:sz w:val="21"/>
                <w:szCs w:val="21"/>
                <w:highlight w:val="none"/>
                <w:lang w:val="en-US" w:eastAsia="zh-CN"/>
              </w:rPr>
              <w:t>产品保管措施、产品包装措施，</w:t>
            </w:r>
            <w:r>
              <w:rPr>
                <w:rFonts w:hint="eastAsia" w:ascii="宋体" w:hAnsi="宋体" w:eastAsia="宋体" w:cs="宋体"/>
                <w:color w:val="auto"/>
                <w:sz w:val="21"/>
                <w:szCs w:val="21"/>
                <w:highlight w:val="none"/>
              </w:rPr>
              <w:t>有</w:t>
            </w:r>
            <w:r>
              <w:rPr>
                <w:rFonts w:hint="eastAsia" w:ascii="宋体" w:hAnsi="宋体" w:eastAsia="宋体" w:cs="宋体"/>
                <w:color w:val="auto"/>
                <w:sz w:val="21"/>
                <w:szCs w:val="21"/>
                <w:highlight w:val="none"/>
                <w:lang w:val="en-US" w:eastAsia="zh-CN"/>
              </w:rPr>
              <w:t>产品</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出厂</w:t>
            </w:r>
            <w:r>
              <w:rPr>
                <w:rFonts w:hint="eastAsia" w:ascii="宋体" w:hAnsi="宋体" w:eastAsia="宋体" w:cs="宋体"/>
                <w:color w:val="auto"/>
                <w:sz w:val="21"/>
                <w:szCs w:val="21"/>
                <w:highlight w:val="none"/>
              </w:rPr>
              <w:t>、配送、安装的</w:t>
            </w:r>
            <w:r>
              <w:rPr>
                <w:rFonts w:hint="eastAsia" w:ascii="宋体" w:hAnsi="宋体" w:eastAsia="宋体" w:cs="宋体"/>
                <w:color w:val="auto"/>
                <w:sz w:val="21"/>
                <w:szCs w:val="21"/>
                <w:highlight w:val="none"/>
                <w:lang w:val="en-US" w:eastAsia="zh-CN"/>
              </w:rPr>
              <w:t>计划安排</w:t>
            </w:r>
            <w:r>
              <w:rPr>
                <w:rFonts w:hint="eastAsia" w:ascii="宋体" w:hAnsi="宋体" w:eastAsia="宋体" w:cs="宋体"/>
                <w:color w:val="auto"/>
                <w:sz w:val="21"/>
                <w:szCs w:val="21"/>
                <w:highlight w:val="none"/>
                <w:lang w:eastAsia="zh-CN"/>
              </w:rPr>
              <w:t>。</w:t>
            </w:r>
          </w:p>
          <w:p w14:paraId="73DFAA4F">
            <w:pPr>
              <w:keepNext w:val="0"/>
              <w:keepLines w:val="0"/>
              <w:pageBreakBefore w:val="0"/>
              <w:widowControl w:val="0"/>
              <w:kinsoku/>
              <w:wordWrap/>
              <w:overflowPunct/>
              <w:topLinePunct w:val="0"/>
              <w:autoSpaceDE/>
              <w:autoSpaceDN/>
              <w:bidi w:val="0"/>
              <w:adjustRightInd/>
              <w:snapToGrid/>
              <w:spacing w:line="370" w:lineRule="exact"/>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档（</w:t>
            </w: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lang w:val="en-US" w:eastAsia="zh-CN"/>
              </w:rPr>
              <w:t>提供项目实施方案，方案内容</w:t>
            </w:r>
            <w:r>
              <w:rPr>
                <w:rFonts w:hint="eastAsia" w:ascii="宋体" w:hAnsi="宋体" w:eastAsia="宋体" w:cs="宋体"/>
                <w:b w:val="0"/>
                <w:bCs w:val="0"/>
                <w:color w:val="auto"/>
                <w:sz w:val="21"/>
                <w:szCs w:val="21"/>
                <w:highlight w:val="none"/>
                <w:lang w:val="en-US" w:eastAsia="zh-CN"/>
              </w:rPr>
              <w:t>具有</w:t>
            </w:r>
            <w:r>
              <w:rPr>
                <w:rFonts w:hint="eastAsia" w:ascii="宋体" w:hAnsi="宋体" w:eastAsia="宋体" w:cs="宋体"/>
                <w:color w:val="auto"/>
                <w:sz w:val="21"/>
                <w:szCs w:val="21"/>
                <w:highlight w:val="none"/>
                <w:lang w:val="en-US" w:eastAsia="zh-CN"/>
              </w:rPr>
              <w:t>产品保管措施、产品包装措施、产品运输安排措施，</w:t>
            </w:r>
            <w:r>
              <w:rPr>
                <w:rFonts w:hint="eastAsia" w:ascii="宋体" w:hAnsi="宋体" w:eastAsia="宋体" w:cs="宋体"/>
                <w:color w:val="auto"/>
                <w:sz w:val="21"/>
                <w:szCs w:val="21"/>
                <w:highlight w:val="none"/>
              </w:rPr>
              <w:t>有</w:t>
            </w:r>
            <w:r>
              <w:rPr>
                <w:rFonts w:hint="eastAsia" w:ascii="宋体" w:hAnsi="宋体" w:eastAsia="宋体" w:cs="宋体"/>
                <w:color w:val="auto"/>
                <w:sz w:val="21"/>
                <w:szCs w:val="21"/>
                <w:highlight w:val="none"/>
                <w:lang w:val="en-US" w:eastAsia="zh-CN"/>
              </w:rPr>
              <w:t>产品</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出厂、</w:t>
            </w:r>
            <w:r>
              <w:rPr>
                <w:rFonts w:hint="eastAsia" w:ascii="宋体" w:hAnsi="宋体" w:eastAsia="宋体" w:cs="宋体"/>
                <w:color w:val="auto"/>
                <w:sz w:val="21"/>
                <w:szCs w:val="21"/>
                <w:highlight w:val="none"/>
              </w:rPr>
              <w:t>配送、安装的</w:t>
            </w:r>
            <w:r>
              <w:rPr>
                <w:rFonts w:hint="eastAsia" w:ascii="宋体" w:hAnsi="宋体" w:eastAsia="宋体" w:cs="宋体"/>
                <w:color w:val="auto"/>
                <w:sz w:val="21"/>
                <w:szCs w:val="21"/>
                <w:highlight w:val="none"/>
                <w:lang w:val="en-US" w:eastAsia="zh-CN"/>
              </w:rPr>
              <w:t>计划安排、说明及各阶段的时间规划</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有工作进度及控制方案</w:t>
            </w:r>
            <w:r>
              <w:rPr>
                <w:rFonts w:hint="eastAsia" w:ascii="宋体" w:hAnsi="宋体" w:eastAsia="宋体" w:cs="宋体"/>
                <w:color w:val="auto"/>
                <w:sz w:val="21"/>
                <w:szCs w:val="21"/>
                <w:highlight w:val="none"/>
              </w:rPr>
              <w:t>。</w:t>
            </w:r>
          </w:p>
          <w:p w14:paraId="46870420">
            <w:pPr>
              <w:keepNext w:val="0"/>
              <w:keepLines w:val="0"/>
              <w:pageBreakBefore w:val="0"/>
              <w:widowControl w:val="0"/>
              <w:kinsoku/>
              <w:wordWrap/>
              <w:overflowPunct/>
              <w:topLinePunct w:val="0"/>
              <w:autoSpaceDE/>
              <w:autoSpaceDN/>
              <w:bidi w:val="0"/>
              <w:adjustRightInd/>
              <w:snapToGrid/>
              <w:spacing w:line="370" w:lineRule="exact"/>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rPr>
              <w:t>档（</w:t>
            </w:r>
            <w:r>
              <w:rPr>
                <w:rFonts w:hint="eastAsia" w:ascii="宋体" w:hAnsi="宋体" w:eastAsia="宋体" w:cs="宋体"/>
                <w:b/>
                <w:bCs/>
                <w:color w:val="auto"/>
                <w:sz w:val="21"/>
                <w:szCs w:val="21"/>
                <w:highlight w:val="none"/>
                <w:lang w:val="en-US" w:eastAsia="zh-CN"/>
              </w:rPr>
              <w:t>7.5</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lang w:val="en-US" w:eastAsia="zh-CN"/>
              </w:rPr>
              <w:t>提供项目实施方案，方案内容</w:t>
            </w:r>
            <w:r>
              <w:rPr>
                <w:rFonts w:hint="eastAsia" w:ascii="宋体" w:hAnsi="宋体" w:eastAsia="宋体" w:cs="宋体"/>
                <w:b w:val="0"/>
                <w:bCs w:val="0"/>
                <w:color w:val="auto"/>
                <w:sz w:val="21"/>
                <w:szCs w:val="21"/>
                <w:highlight w:val="none"/>
                <w:lang w:val="en-US" w:eastAsia="zh-CN"/>
              </w:rPr>
              <w:t>具有</w:t>
            </w:r>
            <w:r>
              <w:rPr>
                <w:rFonts w:hint="eastAsia" w:ascii="宋体" w:hAnsi="宋体" w:eastAsia="宋体" w:cs="宋体"/>
                <w:color w:val="auto"/>
                <w:sz w:val="21"/>
                <w:szCs w:val="21"/>
                <w:highlight w:val="none"/>
                <w:lang w:val="en-US" w:eastAsia="zh-CN"/>
              </w:rPr>
              <w:t>产品保管措施、产品包装措施、产品运输安排措施、产品运输过程中保护措施，</w:t>
            </w:r>
            <w:r>
              <w:rPr>
                <w:rFonts w:hint="eastAsia" w:ascii="宋体" w:hAnsi="宋体" w:eastAsia="宋体" w:cs="宋体"/>
                <w:color w:val="auto"/>
                <w:sz w:val="21"/>
                <w:szCs w:val="21"/>
                <w:highlight w:val="none"/>
              </w:rPr>
              <w:t>有</w:t>
            </w:r>
            <w:r>
              <w:rPr>
                <w:rFonts w:hint="eastAsia" w:ascii="宋体" w:hAnsi="宋体" w:eastAsia="宋体" w:cs="宋体"/>
                <w:color w:val="auto"/>
                <w:sz w:val="21"/>
                <w:szCs w:val="21"/>
                <w:highlight w:val="none"/>
                <w:lang w:val="en-US" w:eastAsia="zh-CN"/>
              </w:rPr>
              <w:t>产品</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出厂、</w:t>
            </w:r>
            <w:r>
              <w:rPr>
                <w:rFonts w:hint="eastAsia" w:ascii="宋体" w:hAnsi="宋体" w:eastAsia="宋体" w:cs="宋体"/>
                <w:color w:val="auto"/>
                <w:sz w:val="21"/>
                <w:szCs w:val="21"/>
                <w:highlight w:val="none"/>
              </w:rPr>
              <w:t>配送、安装的</w:t>
            </w:r>
            <w:r>
              <w:rPr>
                <w:rFonts w:hint="eastAsia" w:ascii="宋体" w:hAnsi="宋体" w:eastAsia="宋体" w:cs="宋体"/>
                <w:color w:val="auto"/>
                <w:sz w:val="21"/>
                <w:szCs w:val="21"/>
                <w:highlight w:val="none"/>
                <w:lang w:val="en-US" w:eastAsia="zh-CN"/>
              </w:rPr>
              <w:t>计划安排、说明，有</w:t>
            </w:r>
            <w:r>
              <w:rPr>
                <w:rFonts w:hint="eastAsia" w:ascii="宋体" w:hAnsi="宋体" w:eastAsia="宋体" w:cs="宋体"/>
                <w:color w:val="auto"/>
                <w:sz w:val="21"/>
                <w:szCs w:val="21"/>
                <w:highlight w:val="none"/>
              </w:rPr>
              <w:t>实施各个阶段工作安排和进度计划</w:t>
            </w:r>
            <w:r>
              <w:rPr>
                <w:rFonts w:hint="eastAsia" w:ascii="宋体" w:hAnsi="宋体" w:eastAsia="宋体" w:cs="宋体"/>
                <w:color w:val="auto"/>
                <w:sz w:val="21"/>
                <w:szCs w:val="21"/>
                <w:highlight w:val="none"/>
                <w:lang w:val="en-US" w:eastAsia="zh-CN"/>
              </w:rPr>
              <w:t>及控制方案</w:t>
            </w:r>
            <w:r>
              <w:rPr>
                <w:rFonts w:hint="eastAsia" w:ascii="宋体" w:hAnsi="宋体" w:eastAsia="宋体" w:cs="宋体"/>
                <w:color w:val="auto"/>
                <w:sz w:val="21"/>
                <w:szCs w:val="21"/>
                <w:highlight w:val="none"/>
              </w:rPr>
              <w:t>，有实施组织方案形成</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项目管理计划文档，有项目管理组织机构图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有</w:t>
            </w:r>
            <w:r>
              <w:rPr>
                <w:rFonts w:hint="eastAsia" w:ascii="宋体" w:hAnsi="宋体" w:eastAsia="宋体" w:cs="宋体"/>
                <w:color w:val="auto"/>
                <w:sz w:val="21"/>
                <w:szCs w:val="21"/>
                <w:highlight w:val="none"/>
              </w:rPr>
              <w:t>实施进度</w:t>
            </w:r>
            <w:r>
              <w:rPr>
                <w:rFonts w:hint="eastAsia" w:ascii="宋体" w:hAnsi="宋体" w:eastAsia="宋体" w:cs="宋体"/>
                <w:color w:val="auto"/>
                <w:sz w:val="21"/>
                <w:szCs w:val="21"/>
                <w:highlight w:val="none"/>
                <w:lang w:val="en-US" w:eastAsia="zh-CN"/>
              </w:rPr>
              <w:t>说明,</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lang w:val="en-US" w:eastAsia="zh-CN"/>
              </w:rPr>
              <w:t>产品</w:t>
            </w:r>
            <w:r>
              <w:rPr>
                <w:rFonts w:hint="eastAsia" w:ascii="宋体" w:hAnsi="宋体" w:eastAsia="宋体" w:cs="宋体"/>
                <w:color w:val="auto"/>
                <w:sz w:val="21"/>
                <w:szCs w:val="21"/>
                <w:highlight w:val="none"/>
              </w:rPr>
              <w:t>的配送、安装有</w:t>
            </w:r>
            <w:r>
              <w:rPr>
                <w:rFonts w:hint="eastAsia" w:ascii="宋体" w:hAnsi="宋体" w:eastAsia="宋体" w:cs="宋体"/>
                <w:color w:val="auto"/>
                <w:sz w:val="21"/>
                <w:szCs w:val="21"/>
                <w:highlight w:val="none"/>
                <w:lang w:val="en-US" w:eastAsia="zh-CN"/>
              </w:rPr>
              <w:t>相应</w:t>
            </w:r>
            <w:r>
              <w:rPr>
                <w:rFonts w:hint="eastAsia" w:ascii="宋体" w:hAnsi="宋体" w:eastAsia="宋体" w:cs="宋体"/>
                <w:color w:val="auto"/>
                <w:sz w:val="21"/>
                <w:szCs w:val="21"/>
                <w:highlight w:val="none"/>
              </w:rPr>
              <w:t>的方案说明。</w:t>
            </w:r>
          </w:p>
          <w:p w14:paraId="779A0EB1">
            <w:pPr>
              <w:keepNext w:val="0"/>
              <w:keepLines w:val="0"/>
              <w:pageBreakBefore w:val="0"/>
              <w:widowControl w:val="0"/>
              <w:kinsoku/>
              <w:wordWrap/>
              <w:overflowPunct/>
              <w:topLinePunct w:val="0"/>
              <w:autoSpaceDE/>
              <w:autoSpaceDN/>
              <w:bidi w:val="0"/>
              <w:adjustRightInd/>
              <w:spacing w:line="370" w:lineRule="exact"/>
              <w:jc w:val="both"/>
              <w:textAlignment w:val="auto"/>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rPr>
              <w:t>档（</w:t>
            </w:r>
            <w:r>
              <w:rPr>
                <w:rFonts w:hint="eastAsia" w:ascii="宋体" w:hAnsi="宋体" w:eastAsia="宋体" w:cs="宋体"/>
                <w:b/>
                <w:bCs/>
                <w:color w:val="auto"/>
                <w:sz w:val="21"/>
                <w:szCs w:val="21"/>
                <w:highlight w:val="none"/>
                <w:lang w:val="en-US" w:eastAsia="zh-CN"/>
              </w:rPr>
              <w:t>10</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lang w:val="en-US" w:eastAsia="zh-CN"/>
              </w:rPr>
              <w:t>提供项目实施方案，方案内容</w:t>
            </w:r>
            <w:r>
              <w:rPr>
                <w:rFonts w:hint="eastAsia" w:ascii="宋体" w:hAnsi="宋体" w:eastAsia="宋体" w:cs="宋体"/>
                <w:b w:val="0"/>
                <w:bCs w:val="0"/>
                <w:color w:val="auto"/>
                <w:sz w:val="21"/>
                <w:szCs w:val="21"/>
                <w:highlight w:val="none"/>
                <w:lang w:val="en-US" w:eastAsia="zh-CN"/>
              </w:rPr>
              <w:t>具有</w:t>
            </w:r>
            <w:r>
              <w:rPr>
                <w:rFonts w:hint="eastAsia" w:ascii="宋体" w:hAnsi="宋体" w:eastAsia="宋体" w:cs="宋体"/>
                <w:color w:val="auto"/>
                <w:sz w:val="21"/>
                <w:szCs w:val="21"/>
                <w:highlight w:val="none"/>
                <w:lang w:val="en-US" w:eastAsia="zh-CN"/>
              </w:rPr>
              <w:t>产品保管措施、产品包装措施、产品运输安排措施、产品运输过程中保护措施，</w:t>
            </w:r>
            <w:r>
              <w:rPr>
                <w:rFonts w:hint="eastAsia" w:ascii="宋体" w:hAnsi="宋体" w:eastAsia="宋体" w:cs="宋体"/>
                <w:color w:val="auto"/>
                <w:sz w:val="21"/>
                <w:szCs w:val="21"/>
                <w:highlight w:val="none"/>
              </w:rPr>
              <w:t>有</w:t>
            </w:r>
            <w:r>
              <w:rPr>
                <w:rFonts w:hint="eastAsia" w:ascii="宋体" w:hAnsi="宋体" w:eastAsia="宋体" w:cs="宋体"/>
                <w:color w:val="auto"/>
                <w:sz w:val="21"/>
                <w:szCs w:val="21"/>
                <w:highlight w:val="none"/>
                <w:lang w:val="en-US" w:eastAsia="zh-CN"/>
              </w:rPr>
              <w:t>产品</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出厂、</w:t>
            </w:r>
            <w:r>
              <w:rPr>
                <w:rFonts w:hint="eastAsia" w:ascii="宋体" w:hAnsi="宋体" w:eastAsia="宋体" w:cs="宋体"/>
                <w:color w:val="auto"/>
                <w:sz w:val="21"/>
                <w:szCs w:val="21"/>
                <w:highlight w:val="none"/>
              </w:rPr>
              <w:t>配送、安装的</w:t>
            </w:r>
            <w:r>
              <w:rPr>
                <w:rFonts w:hint="eastAsia" w:ascii="宋体" w:hAnsi="宋体" w:eastAsia="宋体" w:cs="宋体"/>
                <w:color w:val="auto"/>
                <w:sz w:val="21"/>
                <w:szCs w:val="21"/>
                <w:highlight w:val="none"/>
                <w:lang w:val="en-US" w:eastAsia="zh-CN"/>
              </w:rPr>
              <w:t>计划安排、说明，有</w:t>
            </w:r>
            <w:r>
              <w:rPr>
                <w:rFonts w:hint="eastAsia" w:ascii="宋体" w:hAnsi="宋体" w:eastAsia="宋体" w:cs="宋体"/>
                <w:color w:val="auto"/>
                <w:sz w:val="21"/>
                <w:szCs w:val="21"/>
                <w:highlight w:val="none"/>
              </w:rPr>
              <w:t>实施各个阶段工作安排和进度计划</w:t>
            </w:r>
            <w:r>
              <w:rPr>
                <w:rFonts w:hint="eastAsia" w:ascii="宋体" w:hAnsi="宋体" w:eastAsia="宋体" w:cs="宋体"/>
                <w:color w:val="auto"/>
                <w:sz w:val="21"/>
                <w:szCs w:val="21"/>
                <w:highlight w:val="none"/>
                <w:lang w:val="en-US" w:eastAsia="zh-CN"/>
              </w:rPr>
              <w:t>及控制方案</w:t>
            </w:r>
            <w:r>
              <w:rPr>
                <w:rFonts w:hint="eastAsia" w:ascii="宋体" w:hAnsi="宋体" w:eastAsia="宋体" w:cs="宋体"/>
                <w:color w:val="auto"/>
                <w:sz w:val="21"/>
                <w:szCs w:val="21"/>
                <w:highlight w:val="none"/>
              </w:rPr>
              <w:t>，有实施组织方案形成</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项目管理计划文档，有项目管理组织机构图</w:t>
            </w:r>
            <w:r>
              <w:rPr>
                <w:rFonts w:hint="eastAsia" w:ascii="宋体" w:hAnsi="宋体" w:eastAsia="宋体" w:cs="宋体"/>
                <w:color w:val="auto"/>
                <w:sz w:val="21"/>
                <w:szCs w:val="21"/>
                <w:highlight w:val="none"/>
                <w:lang w:val="en-US" w:eastAsia="zh-CN"/>
              </w:rPr>
              <w:t>、项目管理框架、技术管理构架</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有</w:t>
            </w:r>
            <w:r>
              <w:rPr>
                <w:rFonts w:hint="eastAsia" w:ascii="宋体" w:hAnsi="宋体" w:eastAsia="宋体" w:cs="宋体"/>
                <w:color w:val="auto"/>
                <w:sz w:val="21"/>
                <w:szCs w:val="21"/>
                <w:highlight w:val="none"/>
              </w:rPr>
              <w:t>对本项目的风险预见</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rPr>
              <w:t>风险应对措施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有实施进度说明，</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lang w:val="en-US" w:eastAsia="zh-CN"/>
              </w:rPr>
              <w:t>产品</w:t>
            </w:r>
            <w:r>
              <w:rPr>
                <w:rFonts w:hint="eastAsia" w:ascii="宋体" w:hAnsi="宋体" w:eastAsia="宋体" w:cs="宋体"/>
                <w:color w:val="auto"/>
                <w:sz w:val="21"/>
                <w:szCs w:val="21"/>
                <w:highlight w:val="none"/>
              </w:rPr>
              <w:t>的安装、验收的各阶段有方案说明。</w:t>
            </w:r>
          </w:p>
        </w:tc>
        <w:tc>
          <w:tcPr>
            <w:tcW w:w="845" w:type="dxa"/>
            <w:shd w:val="clear" w:color="auto" w:fill="auto"/>
            <w:vAlign w:val="center"/>
          </w:tcPr>
          <w:p w14:paraId="680B5C90">
            <w:pPr>
              <w:keepNext w:val="0"/>
              <w:keepLines w:val="0"/>
              <w:pageBreakBefore w:val="0"/>
              <w:widowControl w:val="0"/>
              <w:kinsoku/>
              <w:wordWrap/>
              <w:overflowPunct/>
              <w:topLinePunct w:val="0"/>
              <w:autoSpaceDE/>
              <w:autoSpaceDN/>
              <w:bidi w:val="0"/>
              <w:adjustRightInd/>
              <w:snapToGrid w:val="0"/>
              <w:spacing w:line="37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10分</w:t>
            </w:r>
          </w:p>
        </w:tc>
        <w:tc>
          <w:tcPr>
            <w:tcW w:w="1105" w:type="dxa"/>
            <w:shd w:val="clear" w:color="auto" w:fill="auto"/>
            <w:vAlign w:val="center"/>
          </w:tcPr>
          <w:p w14:paraId="110459E9">
            <w:pPr>
              <w:keepNext w:val="0"/>
              <w:keepLines w:val="0"/>
              <w:pageBreakBefore w:val="0"/>
              <w:widowControl w:val="0"/>
              <w:kinsoku/>
              <w:wordWrap/>
              <w:overflowPunct/>
              <w:topLinePunct w:val="0"/>
              <w:autoSpaceDE/>
              <w:autoSpaceDN/>
              <w:bidi w:val="0"/>
              <w:adjustRightInd/>
              <w:snapToGrid w:val="0"/>
              <w:spacing w:line="37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主观分</w:t>
            </w:r>
          </w:p>
        </w:tc>
      </w:tr>
      <w:tr w14:paraId="68571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6BEC8F46">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w:t>
            </w:r>
          </w:p>
        </w:tc>
        <w:tc>
          <w:tcPr>
            <w:tcW w:w="5772" w:type="dxa"/>
            <w:gridSpan w:val="2"/>
            <w:shd w:val="clear" w:color="auto" w:fill="auto"/>
            <w:vAlign w:val="center"/>
          </w:tcPr>
          <w:p w14:paraId="41658DA6">
            <w:pPr>
              <w:keepNext w:val="0"/>
              <w:keepLines w:val="0"/>
              <w:pageBreakBefore w:val="0"/>
              <w:widowControl w:val="0"/>
              <w:kinsoku/>
              <w:wordWrap/>
              <w:overflowPunct/>
              <w:topLinePunct w:val="0"/>
              <w:autoSpaceDE/>
              <w:autoSpaceDN/>
              <w:bidi w:val="0"/>
              <w:adjustRightInd/>
              <w:spacing w:line="370" w:lineRule="exact"/>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质量控制措施方案</w:t>
            </w:r>
          </w:p>
          <w:p w14:paraId="41B2958F">
            <w:pPr>
              <w:keepNext w:val="0"/>
              <w:keepLines w:val="0"/>
              <w:pageBreakBefore w:val="0"/>
              <w:widowControl/>
              <w:kinsoku/>
              <w:wordWrap/>
              <w:overflowPunct/>
              <w:topLinePunct w:val="0"/>
              <w:autoSpaceDE/>
              <w:autoSpaceDN/>
              <w:bidi w:val="0"/>
              <w:adjustRightInd/>
              <w:spacing w:line="37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rPr>
              <w:t>一档（</w:t>
            </w:r>
            <w:r>
              <w:rPr>
                <w:rFonts w:hint="eastAsia" w:ascii="宋体" w:hAnsi="宋体" w:eastAsia="宋体" w:cs="宋体"/>
                <w:b/>
                <w:bCs/>
                <w:color w:val="auto"/>
                <w:sz w:val="21"/>
                <w:szCs w:val="21"/>
                <w:highlight w:val="none"/>
                <w:lang w:val="en-US" w:eastAsia="zh-CN"/>
              </w:rPr>
              <w:t>0</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lang w:val="en-US" w:eastAsia="zh-CN"/>
              </w:rPr>
              <w:t>未提供</w:t>
            </w:r>
            <w:r>
              <w:rPr>
                <w:rFonts w:hint="eastAsia" w:ascii="宋体" w:hAnsi="宋体" w:eastAsia="宋体" w:cs="宋体"/>
                <w:bCs/>
                <w:color w:val="auto"/>
                <w:sz w:val="21"/>
                <w:szCs w:val="21"/>
                <w:highlight w:val="none"/>
              </w:rPr>
              <w:t>质量控制措施</w:t>
            </w:r>
            <w:r>
              <w:rPr>
                <w:rFonts w:hint="eastAsia" w:ascii="宋体" w:hAnsi="宋体" w:eastAsia="宋体" w:cs="宋体"/>
                <w:bCs/>
                <w:color w:val="auto"/>
                <w:sz w:val="21"/>
                <w:szCs w:val="21"/>
                <w:highlight w:val="none"/>
                <w:lang w:val="en-US" w:eastAsia="zh-CN"/>
              </w:rPr>
              <w:t>方案不得分。</w:t>
            </w:r>
          </w:p>
          <w:p w14:paraId="28DEF013">
            <w:pPr>
              <w:keepNext w:val="0"/>
              <w:keepLines w:val="0"/>
              <w:pageBreakBefore w:val="0"/>
              <w:widowControl/>
              <w:kinsoku/>
              <w:wordWrap/>
              <w:overflowPunct/>
              <w:topLinePunct w:val="0"/>
              <w:autoSpaceDE/>
              <w:autoSpaceDN/>
              <w:bidi w:val="0"/>
              <w:adjustRightInd/>
              <w:spacing w:line="370" w:lineRule="exac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rPr>
              <w:t>档（</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lang w:val="en-US" w:eastAsia="zh-CN"/>
              </w:rPr>
              <w:t>提供</w:t>
            </w:r>
            <w:r>
              <w:rPr>
                <w:rFonts w:hint="eastAsia" w:ascii="宋体" w:hAnsi="宋体" w:eastAsia="宋体" w:cs="宋体"/>
                <w:color w:val="auto"/>
                <w:sz w:val="21"/>
                <w:szCs w:val="21"/>
                <w:highlight w:val="none"/>
              </w:rPr>
              <w:t>质量</w:t>
            </w:r>
            <w:r>
              <w:rPr>
                <w:rFonts w:hint="eastAsia" w:ascii="宋体" w:hAnsi="宋体" w:eastAsia="宋体" w:cs="宋体"/>
                <w:color w:val="auto"/>
                <w:sz w:val="21"/>
                <w:szCs w:val="21"/>
                <w:highlight w:val="none"/>
                <w:lang w:val="en-US" w:eastAsia="zh-CN"/>
              </w:rPr>
              <w:t>控制</w:t>
            </w:r>
            <w:r>
              <w:rPr>
                <w:rFonts w:hint="eastAsia" w:ascii="宋体" w:hAnsi="宋体" w:eastAsia="宋体" w:cs="宋体"/>
                <w:color w:val="auto"/>
                <w:sz w:val="21"/>
                <w:szCs w:val="21"/>
                <w:highlight w:val="none"/>
              </w:rPr>
              <w:t>方案，有质量保障措施说明，设置有相关</w:t>
            </w:r>
            <w:r>
              <w:rPr>
                <w:rFonts w:hint="eastAsia" w:ascii="宋体" w:hAnsi="宋体" w:eastAsia="宋体" w:cs="宋体"/>
                <w:color w:val="auto"/>
                <w:sz w:val="21"/>
                <w:szCs w:val="21"/>
                <w:highlight w:val="none"/>
                <w:lang w:val="en-US" w:eastAsia="zh-CN"/>
              </w:rPr>
              <w:t>质量控制</w:t>
            </w:r>
            <w:r>
              <w:rPr>
                <w:rFonts w:hint="eastAsia" w:ascii="宋体" w:hAnsi="宋体" w:eastAsia="宋体" w:cs="宋体"/>
                <w:color w:val="auto"/>
                <w:sz w:val="21"/>
                <w:szCs w:val="21"/>
                <w:highlight w:val="none"/>
              </w:rPr>
              <w:t>岗位及人员。</w:t>
            </w:r>
          </w:p>
          <w:p w14:paraId="0E7EDBF1">
            <w:pPr>
              <w:keepNext w:val="0"/>
              <w:keepLines w:val="0"/>
              <w:pageBreakBefore w:val="0"/>
              <w:widowControl/>
              <w:kinsoku/>
              <w:wordWrap/>
              <w:overflowPunct/>
              <w:topLinePunct w:val="0"/>
              <w:autoSpaceDE/>
              <w:autoSpaceDN/>
              <w:bidi w:val="0"/>
              <w:adjustRightInd/>
              <w:spacing w:line="370" w:lineRule="exac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档（</w:t>
            </w:r>
            <w:r>
              <w:rPr>
                <w:rFonts w:hint="eastAsia" w:ascii="宋体" w:hAnsi="宋体" w:eastAsia="宋体" w:cs="宋体"/>
                <w:b/>
                <w:bCs/>
                <w:color w:val="auto"/>
                <w:sz w:val="21"/>
                <w:szCs w:val="21"/>
                <w:highlight w:val="none"/>
                <w:lang w:val="en-US" w:eastAsia="zh-CN"/>
              </w:rPr>
              <w:t>7</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lang w:val="en-US" w:eastAsia="zh-CN"/>
              </w:rPr>
              <w:t>提供</w:t>
            </w:r>
            <w:r>
              <w:rPr>
                <w:rFonts w:hint="eastAsia" w:ascii="宋体" w:hAnsi="宋体" w:eastAsia="宋体" w:cs="宋体"/>
                <w:color w:val="auto"/>
                <w:sz w:val="21"/>
                <w:szCs w:val="21"/>
                <w:highlight w:val="none"/>
              </w:rPr>
              <w:t>质量</w:t>
            </w:r>
            <w:r>
              <w:rPr>
                <w:rFonts w:hint="eastAsia" w:ascii="宋体" w:hAnsi="宋体" w:eastAsia="宋体" w:cs="宋体"/>
                <w:color w:val="auto"/>
                <w:sz w:val="21"/>
                <w:szCs w:val="21"/>
                <w:highlight w:val="none"/>
                <w:lang w:val="en-US" w:eastAsia="zh-CN"/>
              </w:rPr>
              <w:t>控制</w:t>
            </w:r>
            <w:r>
              <w:rPr>
                <w:rFonts w:hint="eastAsia" w:ascii="宋体" w:hAnsi="宋体" w:eastAsia="宋体" w:cs="宋体"/>
                <w:color w:val="auto"/>
                <w:sz w:val="21"/>
                <w:szCs w:val="21"/>
                <w:highlight w:val="none"/>
              </w:rPr>
              <w:t>方案，有质量保障措施说明，设置有相关</w:t>
            </w:r>
            <w:r>
              <w:rPr>
                <w:rFonts w:hint="eastAsia" w:ascii="宋体" w:hAnsi="宋体" w:eastAsia="宋体" w:cs="宋体"/>
                <w:color w:val="auto"/>
                <w:sz w:val="21"/>
                <w:szCs w:val="21"/>
                <w:highlight w:val="none"/>
                <w:lang w:val="en-US" w:eastAsia="zh-CN"/>
              </w:rPr>
              <w:t>质量控制</w:t>
            </w:r>
            <w:r>
              <w:rPr>
                <w:rFonts w:hint="eastAsia" w:ascii="宋体" w:hAnsi="宋体" w:eastAsia="宋体" w:cs="宋体"/>
                <w:color w:val="auto"/>
                <w:sz w:val="21"/>
                <w:szCs w:val="21"/>
                <w:highlight w:val="none"/>
              </w:rPr>
              <w:t>岗位及人员</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具有</w:t>
            </w:r>
            <w:r>
              <w:rPr>
                <w:rFonts w:hint="eastAsia" w:ascii="宋体" w:hAnsi="宋体" w:eastAsia="宋体" w:cs="宋体"/>
                <w:color w:val="auto"/>
                <w:sz w:val="21"/>
                <w:szCs w:val="21"/>
                <w:highlight w:val="none"/>
              </w:rPr>
              <w:t>材料、产品检测检验措施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质量保障措施说明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具有</w:t>
            </w:r>
            <w:r>
              <w:rPr>
                <w:rFonts w:hint="eastAsia" w:ascii="宋体" w:hAnsi="宋体" w:eastAsia="宋体" w:cs="宋体"/>
                <w:color w:val="auto"/>
                <w:sz w:val="21"/>
                <w:szCs w:val="21"/>
                <w:highlight w:val="none"/>
              </w:rPr>
              <w:t>内部质检方案。</w:t>
            </w:r>
          </w:p>
          <w:p w14:paraId="04B1B1F5">
            <w:pPr>
              <w:keepNext w:val="0"/>
              <w:keepLines w:val="0"/>
              <w:pageBreakBefore w:val="0"/>
              <w:kinsoku/>
              <w:wordWrap/>
              <w:overflowPunct/>
              <w:topLinePunct w:val="0"/>
              <w:autoSpaceDE/>
              <w:autoSpaceDN/>
              <w:bidi w:val="0"/>
              <w:adjustRightInd/>
              <w:spacing w:line="370" w:lineRule="exac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rPr>
              <w:t>档（</w:t>
            </w:r>
            <w:r>
              <w:rPr>
                <w:rFonts w:hint="eastAsia" w:ascii="宋体" w:hAnsi="宋体" w:eastAsia="宋体" w:cs="宋体"/>
                <w:b/>
                <w:bCs/>
                <w:color w:val="auto"/>
                <w:sz w:val="21"/>
                <w:szCs w:val="21"/>
                <w:highlight w:val="none"/>
                <w:lang w:val="en-US" w:eastAsia="zh-CN"/>
              </w:rPr>
              <w:t>11</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lang w:val="en-US" w:eastAsia="zh-CN"/>
              </w:rPr>
              <w:t>提供</w:t>
            </w:r>
            <w:r>
              <w:rPr>
                <w:rFonts w:hint="eastAsia" w:ascii="宋体" w:hAnsi="宋体" w:eastAsia="宋体" w:cs="宋体"/>
                <w:color w:val="auto"/>
                <w:sz w:val="21"/>
                <w:szCs w:val="21"/>
                <w:highlight w:val="none"/>
              </w:rPr>
              <w:t>质量</w:t>
            </w:r>
            <w:r>
              <w:rPr>
                <w:rFonts w:hint="eastAsia" w:ascii="宋体" w:hAnsi="宋体" w:eastAsia="宋体" w:cs="宋体"/>
                <w:color w:val="auto"/>
                <w:sz w:val="21"/>
                <w:szCs w:val="21"/>
                <w:highlight w:val="none"/>
                <w:lang w:val="en-US" w:eastAsia="zh-CN"/>
              </w:rPr>
              <w:t>控制</w:t>
            </w:r>
            <w:r>
              <w:rPr>
                <w:rFonts w:hint="eastAsia" w:ascii="宋体" w:hAnsi="宋体" w:eastAsia="宋体" w:cs="宋体"/>
                <w:color w:val="auto"/>
                <w:sz w:val="21"/>
                <w:szCs w:val="21"/>
                <w:highlight w:val="none"/>
              </w:rPr>
              <w:t>方案，有质量保障措施说明，设置有相关</w:t>
            </w:r>
            <w:r>
              <w:rPr>
                <w:rFonts w:hint="eastAsia" w:ascii="宋体" w:hAnsi="宋体" w:eastAsia="宋体" w:cs="宋体"/>
                <w:color w:val="auto"/>
                <w:sz w:val="21"/>
                <w:szCs w:val="21"/>
                <w:highlight w:val="none"/>
                <w:lang w:val="en-US" w:eastAsia="zh-CN"/>
              </w:rPr>
              <w:t>质量控制</w:t>
            </w:r>
            <w:r>
              <w:rPr>
                <w:rFonts w:hint="eastAsia" w:ascii="宋体" w:hAnsi="宋体" w:eastAsia="宋体" w:cs="宋体"/>
                <w:color w:val="auto"/>
                <w:sz w:val="21"/>
                <w:szCs w:val="21"/>
                <w:highlight w:val="none"/>
              </w:rPr>
              <w:t>岗位及人员</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具有</w:t>
            </w:r>
            <w:r>
              <w:rPr>
                <w:rFonts w:hint="eastAsia" w:ascii="宋体" w:hAnsi="宋体" w:eastAsia="宋体" w:cs="宋体"/>
                <w:color w:val="auto"/>
                <w:sz w:val="21"/>
                <w:szCs w:val="21"/>
                <w:highlight w:val="none"/>
              </w:rPr>
              <w:t>材料、产品检测检验措施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质量保障措施说明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具有</w:t>
            </w:r>
            <w:r>
              <w:rPr>
                <w:rFonts w:hint="eastAsia" w:ascii="宋体" w:hAnsi="宋体" w:eastAsia="宋体" w:cs="宋体"/>
                <w:color w:val="auto"/>
                <w:sz w:val="21"/>
                <w:szCs w:val="21"/>
                <w:highlight w:val="none"/>
              </w:rPr>
              <w:t>内部质检方案、检验标准及方法，配合抽检方案及其他能够提升技术保障</w:t>
            </w:r>
            <w:r>
              <w:rPr>
                <w:rFonts w:hint="eastAsia" w:ascii="宋体" w:hAnsi="宋体" w:eastAsia="宋体" w:cs="宋体"/>
                <w:color w:val="auto"/>
                <w:sz w:val="21"/>
                <w:szCs w:val="21"/>
                <w:highlight w:val="none"/>
                <w:lang w:val="en-US" w:eastAsia="zh-CN"/>
              </w:rPr>
              <w:t>质量</w:t>
            </w:r>
            <w:r>
              <w:rPr>
                <w:rFonts w:hint="eastAsia" w:ascii="宋体" w:hAnsi="宋体" w:eastAsia="宋体" w:cs="宋体"/>
                <w:color w:val="auto"/>
                <w:sz w:val="21"/>
                <w:szCs w:val="21"/>
                <w:highlight w:val="none"/>
              </w:rPr>
              <w:t>水平的措施方案。</w:t>
            </w:r>
          </w:p>
          <w:p w14:paraId="221B7861">
            <w:pPr>
              <w:keepNext w:val="0"/>
              <w:keepLines w:val="0"/>
              <w:pageBreakBefore w:val="0"/>
              <w:kinsoku/>
              <w:wordWrap/>
              <w:overflowPunct/>
              <w:topLinePunct w:val="0"/>
              <w:autoSpaceDE/>
              <w:autoSpaceDN/>
              <w:bidi w:val="0"/>
              <w:adjustRightInd/>
              <w:spacing w:line="370" w:lineRule="exac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rPr>
              <w:t>档（</w:t>
            </w:r>
            <w:r>
              <w:rPr>
                <w:rFonts w:hint="eastAsia" w:ascii="宋体" w:hAnsi="宋体" w:eastAsia="宋体" w:cs="宋体"/>
                <w:b/>
                <w:bCs/>
                <w:color w:val="auto"/>
                <w:sz w:val="21"/>
                <w:szCs w:val="21"/>
                <w:highlight w:val="none"/>
                <w:lang w:val="en-US" w:eastAsia="zh-CN"/>
              </w:rPr>
              <w:t>14</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lang w:val="en-US" w:eastAsia="zh-CN"/>
              </w:rPr>
              <w:t>提供</w:t>
            </w:r>
            <w:r>
              <w:rPr>
                <w:rFonts w:hint="eastAsia" w:ascii="宋体" w:hAnsi="宋体" w:eastAsia="宋体" w:cs="宋体"/>
                <w:color w:val="auto"/>
                <w:sz w:val="21"/>
                <w:szCs w:val="21"/>
                <w:highlight w:val="none"/>
              </w:rPr>
              <w:t>质量</w:t>
            </w:r>
            <w:r>
              <w:rPr>
                <w:rFonts w:hint="eastAsia" w:ascii="宋体" w:hAnsi="宋体" w:eastAsia="宋体" w:cs="宋体"/>
                <w:color w:val="auto"/>
                <w:sz w:val="21"/>
                <w:szCs w:val="21"/>
                <w:highlight w:val="none"/>
                <w:lang w:val="en-US" w:eastAsia="zh-CN"/>
              </w:rPr>
              <w:t>控制</w:t>
            </w:r>
            <w:r>
              <w:rPr>
                <w:rFonts w:hint="eastAsia" w:ascii="宋体" w:hAnsi="宋体" w:eastAsia="宋体" w:cs="宋体"/>
                <w:color w:val="auto"/>
                <w:sz w:val="21"/>
                <w:szCs w:val="21"/>
                <w:highlight w:val="none"/>
              </w:rPr>
              <w:t>方案，有质量保障措施说明，设置有相关</w:t>
            </w:r>
            <w:r>
              <w:rPr>
                <w:rFonts w:hint="eastAsia" w:ascii="宋体" w:hAnsi="宋体" w:eastAsia="宋体" w:cs="宋体"/>
                <w:color w:val="auto"/>
                <w:sz w:val="21"/>
                <w:szCs w:val="21"/>
                <w:highlight w:val="none"/>
                <w:lang w:val="en-US" w:eastAsia="zh-CN"/>
              </w:rPr>
              <w:t>质量控制</w:t>
            </w:r>
            <w:r>
              <w:rPr>
                <w:rFonts w:hint="eastAsia" w:ascii="宋体" w:hAnsi="宋体" w:eastAsia="宋体" w:cs="宋体"/>
                <w:color w:val="auto"/>
                <w:sz w:val="21"/>
                <w:szCs w:val="21"/>
                <w:highlight w:val="none"/>
              </w:rPr>
              <w:t>岗位及人员</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具有</w:t>
            </w:r>
            <w:r>
              <w:rPr>
                <w:rFonts w:hint="eastAsia" w:ascii="宋体" w:hAnsi="宋体" w:eastAsia="宋体" w:cs="宋体"/>
                <w:color w:val="auto"/>
                <w:sz w:val="21"/>
                <w:szCs w:val="21"/>
                <w:highlight w:val="none"/>
              </w:rPr>
              <w:t>材料、产品检测检验措施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质量保障措施说明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具有</w:t>
            </w:r>
            <w:r>
              <w:rPr>
                <w:rFonts w:hint="eastAsia" w:ascii="宋体" w:hAnsi="宋体" w:eastAsia="宋体" w:cs="宋体"/>
                <w:color w:val="auto"/>
                <w:sz w:val="21"/>
                <w:szCs w:val="21"/>
                <w:highlight w:val="none"/>
              </w:rPr>
              <w:t>内部质检方案、检验标准及方法，配合抽检方案及其他能够提升技术保障</w:t>
            </w:r>
            <w:r>
              <w:rPr>
                <w:rFonts w:hint="eastAsia" w:ascii="宋体" w:hAnsi="宋体" w:eastAsia="宋体" w:cs="宋体"/>
                <w:color w:val="auto"/>
                <w:sz w:val="21"/>
                <w:szCs w:val="21"/>
                <w:highlight w:val="none"/>
                <w:lang w:val="en-US" w:eastAsia="zh-CN"/>
              </w:rPr>
              <w:t>质量</w:t>
            </w:r>
            <w:r>
              <w:rPr>
                <w:rFonts w:hint="eastAsia" w:ascii="宋体" w:hAnsi="宋体" w:eastAsia="宋体" w:cs="宋体"/>
                <w:color w:val="auto"/>
                <w:sz w:val="21"/>
                <w:szCs w:val="21"/>
                <w:highlight w:val="none"/>
              </w:rPr>
              <w:t>水平的措施方案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具有产品各制作工序把控，</w:t>
            </w:r>
            <w:r>
              <w:rPr>
                <w:rFonts w:hint="eastAsia" w:ascii="宋体" w:hAnsi="宋体" w:eastAsia="宋体" w:cs="宋体"/>
                <w:color w:val="auto"/>
                <w:sz w:val="21"/>
                <w:szCs w:val="21"/>
                <w:highlight w:val="none"/>
                <w:lang w:eastAsia="zh-CN"/>
              </w:rPr>
              <w:t>有针对本项目建立的检查及监督机制，能说明各级别检查及监督机制的主要职责及检查程序，针</w:t>
            </w:r>
            <w:r>
              <w:rPr>
                <w:rFonts w:hint="eastAsia" w:ascii="宋体" w:hAnsi="宋体" w:eastAsia="宋体" w:cs="宋体"/>
                <w:color w:val="auto"/>
                <w:sz w:val="21"/>
                <w:szCs w:val="21"/>
                <w:highlight w:val="none"/>
              </w:rPr>
              <w:t>对突发事件有</w:t>
            </w:r>
            <w:r>
              <w:rPr>
                <w:rFonts w:hint="eastAsia" w:ascii="宋体" w:hAnsi="宋体" w:eastAsia="宋体" w:cs="宋体"/>
                <w:color w:val="auto"/>
                <w:sz w:val="21"/>
                <w:szCs w:val="21"/>
                <w:highlight w:val="none"/>
                <w:lang w:val="en-US" w:eastAsia="zh-CN"/>
              </w:rPr>
              <w:t>应急人员</w:t>
            </w:r>
            <w:r>
              <w:rPr>
                <w:rFonts w:hint="eastAsia" w:ascii="宋体" w:hAnsi="宋体" w:eastAsia="宋体" w:cs="宋体"/>
                <w:color w:val="auto"/>
                <w:sz w:val="21"/>
                <w:szCs w:val="21"/>
                <w:highlight w:val="none"/>
              </w:rPr>
              <w:t>和</w:t>
            </w:r>
            <w:r>
              <w:rPr>
                <w:rFonts w:hint="eastAsia" w:ascii="宋体" w:hAnsi="宋体" w:eastAsia="宋体" w:cs="宋体"/>
                <w:color w:val="auto"/>
                <w:sz w:val="21"/>
                <w:szCs w:val="21"/>
                <w:highlight w:val="none"/>
                <w:lang w:val="en-US" w:eastAsia="zh-CN"/>
              </w:rPr>
              <w:t>应急</w:t>
            </w:r>
            <w:r>
              <w:rPr>
                <w:rFonts w:hint="eastAsia" w:ascii="宋体" w:hAnsi="宋体" w:eastAsia="宋体" w:cs="宋体"/>
                <w:color w:val="auto"/>
                <w:sz w:val="21"/>
                <w:szCs w:val="21"/>
                <w:highlight w:val="none"/>
              </w:rPr>
              <w:t>解决方案，并根据项目情况提出建议（如</w:t>
            </w:r>
            <w:r>
              <w:rPr>
                <w:rFonts w:hint="eastAsia" w:ascii="宋体" w:hAnsi="宋体" w:eastAsia="宋体" w:cs="宋体"/>
                <w:color w:val="auto"/>
                <w:sz w:val="21"/>
                <w:szCs w:val="21"/>
                <w:highlight w:val="none"/>
                <w:lang w:val="en-US" w:eastAsia="zh-CN"/>
              </w:rPr>
              <w:t>产品</w:t>
            </w:r>
            <w:r>
              <w:rPr>
                <w:rFonts w:hint="eastAsia" w:ascii="宋体" w:hAnsi="宋体" w:eastAsia="宋体" w:cs="宋体"/>
                <w:color w:val="auto"/>
                <w:sz w:val="21"/>
                <w:szCs w:val="21"/>
                <w:highlight w:val="none"/>
              </w:rPr>
              <w:t>的后期</w:t>
            </w:r>
            <w:r>
              <w:rPr>
                <w:rFonts w:hint="eastAsia" w:ascii="宋体" w:hAnsi="宋体" w:eastAsia="宋体" w:cs="宋体"/>
                <w:color w:val="auto"/>
                <w:sz w:val="21"/>
                <w:szCs w:val="21"/>
                <w:highlight w:val="none"/>
                <w:lang w:val="en-US" w:eastAsia="zh-CN"/>
              </w:rPr>
              <w:t>质量</w:t>
            </w:r>
            <w:r>
              <w:rPr>
                <w:rFonts w:hint="eastAsia" w:ascii="宋体" w:hAnsi="宋体" w:eastAsia="宋体" w:cs="宋体"/>
                <w:color w:val="auto"/>
                <w:sz w:val="21"/>
                <w:szCs w:val="21"/>
                <w:highlight w:val="none"/>
              </w:rPr>
              <w:t>维护）。</w:t>
            </w:r>
          </w:p>
        </w:tc>
        <w:tc>
          <w:tcPr>
            <w:tcW w:w="845" w:type="dxa"/>
            <w:shd w:val="clear" w:color="auto" w:fill="auto"/>
            <w:vAlign w:val="center"/>
          </w:tcPr>
          <w:p w14:paraId="6E51ED28">
            <w:pPr>
              <w:keepNext w:val="0"/>
              <w:keepLines w:val="0"/>
              <w:pageBreakBefore w:val="0"/>
              <w:widowControl w:val="0"/>
              <w:kinsoku/>
              <w:wordWrap/>
              <w:overflowPunct/>
              <w:topLinePunct w:val="0"/>
              <w:autoSpaceDE/>
              <w:autoSpaceDN/>
              <w:bidi w:val="0"/>
              <w:adjustRightInd/>
              <w:snapToGrid w:val="0"/>
              <w:spacing w:line="37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14分</w:t>
            </w:r>
          </w:p>
        </w:tc>
        <w:tc>
          <w:tcPr>
            <w:tcW w:w="1105" w:type="dxa"/>
            <w:shd w:val="clear" w:color="auto" w:fill="auto"/>
            <w:vAlign w:val="center"/>
          </w:tcPr>
          <w:p w14:paraId="6D2C444C">
            <w:pPr>
              <w:keepNext w:val="0"/>
              <w:keepLines w:val="0"/>
              <w:pageBreakBefore w:val="0"/>
              <w:widowControl w:val="0"/>
              <w:kinsoku/>
              <w:wordWrap/>
              <w:overflowPunct/>
              <w:topLinePunct w:val="0"/>
              <w:autoSpaceDE/>
              <w:autoSpaceDN/>
              <w:bidi w:val="0"/>
              <w:adjustRightInd/>
              <w:snapToGrid w:val="0"/>
              <w:spacing w:line="37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主观分</w:t>
            </w:r>
          </w:p>
        </w:tc>
      </w:tr>
      <w:tr w14:paraId="3A7D8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27DFE845">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w:t>
            </w:r>
          </w:p>
        </w:tc>
        <w:tc>
          <w:tcPr>
            <w:tcW w:w="5772" w:type="dxa"/>
            <w:gridSpan w:val="2"/>
            <w:shd w:val="clear" w:color="auto" w:fill="auto"/>
            <w:vAlign w:val="center"/>
          </w:tcPr>
          <w:p w14:paraId="1C1FD712">
            <w:pPr>
              <w:keepNext w:val="0"/>
              <w:keepLines w:val="0"/>
              <w:pageBreakBefore w:val="0"/>
              <w:widowControl w:val="0"/>
              <w:kinsoku/>
              <w:wordWrap/>
              <w:overflowPunct/>
              <w:topLinePunct w:val="0"/>
              <w:autoSpaceDE/>
              <w:autoSpaceDN/>
              <w:bidi w:val="0"/>
              <w:adjustRightInd/>
              <w:spacing w:line="370" w:lineRule="exact"/>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设备操作、使用及维护培训方案</w:t>
            </w:r>
          </w:p>
          <w:p w14:paraId="74D2B5E2">
            <w:pPr>
              <w:keepNext w:val="0"/>
              <w:keepLines w:val="0"/>
              <w:pageBreakBefore w:val="0"/>
              <w:widowControl w:val="0"/>
              <w:kinsoku/>
              <w:wordWrap/>
              <w:overflowPunct/>
              <w:topLinePunct w:val="0"/>
              <w:autoSpaceDE/>
              <w:autoSpaceDN/>
              <w:bidi w:val="0"/>
              <w:adjustRightInd/>
              <w:snapToGrid/>
              <w:spacing w:line="37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一档</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0分</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lang w:val="en-US" w:eastAsia="zh-CN"/>
              </w:rPr>
              <w:t>投标文件中</w:t>
            </w:r>
            <w:r>
              <w:rPr>
                <w:rFonts w:hint="eastAsia" w:ascii="宋体" w:hAnsi="宋体" w:eastAsia="宋体" w:cs="宋体"/>
                <w:color w:val="auto"/>
                <w:sz w:val="21"/>
                <w:szCs w:val="21"/>
                <w:highlight w:val="none"/>
              </w:rPr>
              <w:t>未提供</w:t>
            </w:r>
            <w:r>
              <w:rPr>
                <w:rFonts w:hint="eastAsia" w:ascii="宋体" w:hAnsi="宋体" w:eastAsia="宋体" w:cs="宋体"/>
                <w:color w:val="auto"/>
                <w:sz w:val="21"/>
                <w:szCs w:val="21"/>
                <w:highlight w:val="none"/>
                <w:lang w:val="en-US" w:eastAsia="zh-CN"/>
              </w:rPr>
              <w:t>设备操作、使用及维护培训方案</w:t>
            </w:r>
            <w:r>
              <w:rPr>
                <w:rFonts w:hint="eastAsia" w:ascii="宋体" w:hAnsi="宋体" w:eastAsia="宋体" w:cs="宋体"/>
                <w:color w:val="auto"/>
                <w:sz w:val="21"/>
                <w:szCs w:val="21"/>
                <w:highlight w:val="none"/>
              </w:rPr>
              <w:t>不得分。</w:t>
            </w:r>
          </w:p>
          <w:p w14:paraId="45C851A7">
            <w:pPr>
              <w:keepNext w:val="0"/>
              <w:keepLines w:val="0"/>
              <w:pageBreakBefore w:val="0"/>
              <w:widowControl w:val="0"/>
              <w:kinsoku/>
              <w:wordWrap/>
              <w:overflowPunct/>
              <w:topLinePunct w:val="0"/>
              <w:autoSpaceDE/>
              <w:autoSpaceDN/>
              <w:bidi w:val="0"/>
              <w:adjustRightInd/>
              <w:snapToGrid/>
              <w:spacing w:line="37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rPr>
              <w:t>档（</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val="en-US" w:eastAsia="zh-CN"/>
              </w:rPr>
              <w:t>设备操作、使用及维护培训方案，方案内容具有设备操作、使用及维护</w:t>
            </w:r>
            <w:r>
              <w:rPr>
                <w:rFonts w:hint="eastAsia" w:ascii="宋体" w:hAnsi="宋体" w:eastAsia="宋体" w:cs="宋体"/>
                <w:color w:val="auto"/>
                <w:sz w:val="21"/>
                <w:szCs w:val="21"/>
                <w:highlight w:val="none"/>
              </w:rPr>
              <w:t>培训</w:t>
            </w:r>
            <w:r>
              <w:rPr>
                <w:rFonts w:hint="eastAsia" w:ascii="宋体" w:hAnsi="宋体" w:eastAsia="宋体" w:cs="宋体"/>
                <w:color w:val="auto"/>
                <w:sz w:val="21"/>
                <w:szCs w:val="21"/>
                <w:highlight w:val="none"/>
                <w:lang w:val="en-US" w:eastAsia="zh-CN"/>
              </w:rPr>
              <w:t>计划</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包含</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文件要求的</w:t>
            </w:r>
            <w:r>
              <w:rPr>
                <w:rFonts w:hint="eastAsia" w:ascii="宋体" w:hAnsi="宋体" w:eastAsia="宋体" w:cs="宋体"/>
                <w:color w:val="auto"/>
                <w:sz w:val="21"/>
                <w:szCs w:val="21"/>
                <w:highlight w:val="none"/>
                <w:lang w:val="en-US" w:eastAsia="zh-CN"/>
              </w:rPr>
              <w:t>设备使用</w:t>
            </w:r>
            <w:r>
              <w:rPr>
                <w:rFonts w:hint="eastAsia" w:ascii="宋体" w:hAnsi="宋体" w:eastAsia="宋体" w:cs="宋体"/>
                <w:color w:val="auto"/>
                <w:sz w:val="21"/>
                <w:szCs w:val="21"/>
                <w:highlight w:val="none"/>
              </w:rPr>
              <w:t>培训内容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提供专业技术人员对采购人进行培训，产品交付使用时对采购人进行1次设备操作、使用及维护培训，验收合格后对采购人进行2次设备操作、使用及维护培训，每次培训时长不低于20分钟，培训内容有设备标准操作方法、设备使用注意事项</w:t>
            </w:r>
            <w:r>
              <w:rPr>
                <w:rFonts w:hint="eastAsia" w:ascii="宋体" w:hAnsi="宋体" w:eastAsia="宋体" w:cs="宋体"/>
                <w:color w:val="auto"/>
                <w:sz w:val="21"/>
                <w:szCs w:val="21"/>
                <w:highlight w:val="none"/>
              </w:rPr>
              <w:t>。</w:t>
            </w:r>
          </w:p>
          <w:p w14:paraId="6A6AC59D">
            <w:pPr>
              <w:keepNext w:val="0"/>
              <w:keepLines w:val="0"/>
              <w:pageBreakBefore w:val="0"/>
              <w:widowControl w:val="0"/>
              <w:kinsoku/>
              <w:wordWrap/>
              <w:overflowPunct/>
              <w:topLinePunct w:val="0"/>
              <w:autoSpaceDE/>
              <w:autoSpaceDN/>
              <w:bidi w:val="0"/>
              <w:adjustRightInd/>
              <w:snapToGrid/>
              <w:spacing w:line="37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档（</w:t>
            </w:r>
            <w:r>
              <w:rPr>
                <w:rFonts w:hint="eastAsia" w:ascii="宋体" w:hAnsi="宋体" w:eastAsia="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val="en-US" w:eastAsia="zh-CN"/>
              </w:rPr>
              <w:t>设备操作、使用及维护培训方案，方案内容</w:t>
            </w:r>
            <w:r>
              <w:rPr>
                <w:rFonts w:hint="eastAsia" w:ascii="宋体" w:hAnsi="宋体" w:eastAsia="宋体" w:cs="宋体"/>
                <w:color w:val="auto"/>
                <w:sz w:val="21"/>
                <w:szCs w:val="21"/>
                <w:highlight w:val="none"/>
              </w:rPr>
              <w:t>具有设备操作、使用及维护培训计划，包含招标文件要求的设备使用培训内容，提供专业技术人员对</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进行培训，产品交付使用时对</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进行至少1次设备操作、使用及维护培训，验收合格后对</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进行至少3次设备操作、使用及维护培训，每次培训时长不低于20分钟，培训内容有设备标准操作方法、设备使用注意事项、设备基础维护知识。</w:t>
            </w:r>
          </w:p>
          <w:p w14:paraId="77BD514E">
            <w:pPr>
              <w:keepNext w:val="0"/>
              <w:keepLines w:val="0"/>
              <w:pageBreakBefore w:val="0"/>
              <w:widowControl w:val="0"/>
              <w:kinsoku/>
              <w:wordWrap/>
              <w:overflowPunct/>
              <w:topLinePunct w:val="0"/>
              <w:autoSpaceDE/>
              <w:autoSpaceDN/>
              <w:bidi w:val="0"/>
              <w:adjustRightInd/>
              <w:snapToGrid/>
              <w:spacing w:line="37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rPr>
              <w:t>档（</w:t>
            </w:r>
            <w:r>
              <w:rPr>
                <w:rFonts w:hint="eastAsia" w:ascii="宋体" w:hAnsi="宋体" w:eastAsia="宋体" w:cs="宋体"/>
                <w:b/>
                <w:bCs/>
                <w:color w:val="auto"/>
                <w:sz w:val="21"/>
                <w:szCs w:val="21"/>
                <w:highlight w:val="none"/>
                <w:lang w:val="en-US" w:eastAsia="zh-CN"/>
              </w:rPr>
              <w:t>9</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val="en-US" w:eastAsia="zh-CN"/>
              </w:rPr>
              <w:t>设备操作、使用及维护培训方案，方案内容具有设备操作、使用及维护</w:t>
            </w:r>
            <w:r>
              <w:rPr>
                <w:rFonts w:hint="eastAsia" w:ascii="宋体" w:hAnsi="宋体" w:eastAsia="宋体" w:cs="宋体"/>
                <w:color w:val="auto"/>
                <w:sz w:val="21"/>
                <w:szCs w:val="21"/>
                <w:highlight w:val="none"/>
              </w:rPr>
              <w:t>培训计划</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包含</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文件要求的</w:t>
            </w:r>
            <w:r>
              <w:rPr>
                <w:rFonts w:hint="eastAsia" w:ascii="宋体" w:hAnsi="宋体" w:eastAsia="宋体" w:cs="宋体"/>
                <w:color w:val="auto"/>
                <w:sz w:val="21"/>
                <w:szCs w:val="21"/>
                <w:highlight w:val="none"/>
                <w:lang w:val="en-US" w:eastAsia="zh-CN"/>
              </w:rPr>
              <w:t>设备使用</w:t>
            </w:r>
            <w:r>
              <w:rPr>
                <w:rFonts w:hint="eastAsia" w:ascii="宋体" w:hAnsi="宋体" w:eastAsia="宋体" w:cs="宋体"/>
                <w:color w:val="auto"/>
                <w:sz w:val="21"/>
                <w:szCs w:val="21"/>
                <w:highlight w:val="none"/>
              </w:rPr>
              <w:t>培训内容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提供专业技术人员对采购人进行培训，产品交付使用时对采购人进行至少1次设备操作、使用及维护培训，验收合格后对采购人进行至少3次设备操作、使用及维护培训，每次培训时长不低于25分钟，培训内容有设备标准操作方法、设备使用注意事项、设备基础维护知识、设备一般故障处理方法、设备重大故障处理方法、设备维护保养细则</w:t>
            </w:r>
            <w:r>
              <w:rPr>
                <w:rFonts w:hint="eastAsia" w:ascii="宋体" w:hAnsi="宋体" w:eastAsia="宋体" w:cs="宋体"/>
                <w:color w:val="auto"/>
                <w:sz w:val="21"/>
                <w:szCs w:val="21"/>
                <w:highlight w:val="none"/>
              </w:rPr>
              <w:t>。</w:t>
            </w:r>
          </w:p>
          <w:p w14:paraId="655DE00F">
            <w:pPr>
              <w:keepNext w:val="0"/>
              <w:keepLines w:val="0"/>
              <w:pageBreakBefore w:val="0"/>
              <w:widowControl w:val="0"/>
              <w:kinsoku/>
              <w:wordWrap/>
              <w:overflowPunct/>
              <w:topLinePunct w:val="0"/>
              <w:autoSpaceDE/>
              <w:autoSpaceDN/>
              <w:bidi w:val="0"/>
              <w:adjustRightInd/>
              <w:snapToGrid/>
              <w:spacing w:line="370" w:lineRule="exact"/>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五档（12分）：</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val="en-US" w:eastAsia="zh-CN"/>
              </w:rPr>
              <w:t>设备操作、使用及维护培训方案，方案内容具有设备操作、使用及维护</w:t>
            </w:r>
            <w:r>
              <w:rPr>
                <w:rFonts w:hint="eastAsia" w:ascii="宋体" w:hAnsi="宋体" w:eastAsia="宋体" w:cs="宋体"/>
                <w:color w:val="auto"/>
                <w:sz w:val="21"/>
                <w:szCs w:val="21"/>
                <w:highlight w:val="none"/>
              </w:rPr>
              <w:t>培训计划</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包含招标</w:t>
            </w:r>
            <w:r>
              <w:rPr>
                <w:rFonts w:hint="eastAsia" w:ascii="宋体" w:hAnsi="宋体" w:eastAsia="宋体" w:cs="宋体"/>
                <w:color w:val="auto"/>
                <w:sz w:val="21"/>
                <w:szCs w:val="21"/>
                <w:highlight w:val="none"/>
              </w:rPr>
              <w:t>文件要求的</w:t>
            </w:r>
            <w:r>
              <w:rPr>
                <w:rFonts w:hint="eastAsia" w:ascii="宋体" w:hAnsi="宋体" w:eastAsia="宋体" w:cs="宋体"/>
                <w:color w:val="auto"/>
                <w:sz w:val="21"/>
                <w:szCs w:val="21"/>
                <w:highlight w:val="none"/>
                <w:lang w:val="en-US" w:eastAsia="zh-CN"/>
              </w:rPr>
              <w:t>设备使用</w:t>
            </w:r>
            <w:r>
              <w:rPr>
                <w:rFonts w:hint="eastAsia" w:ascii="宋体" w:hAnsi="宋体" w:eastAsia="宋体" w:cs="宋体"/>
                <w:color w:val="auto"/>
                <w:sz w:val="21"/>
                <w:szCs w:val="21"/>
                <w:highlight w:val="none"/>
              </w:rPr>
              <w:t>培训内容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提供专业技术人员对采购人进行培训，产品交付使用时对采购人进行至少1次设备操作、使用及维护培训，验收合格后对采购人进行至少4次设备操作、使用及维护培训，每次培训时长不低于30分钟，培训内容有设备标准操作方法、设备使用注意事项、设备基础维护知识、设备一般故障处理方法、设备重大故障处理方法、设备维护保养细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设备使用</w:t>
            </w:r>
            <w:r>
              <w:rPr>
                <w:rFonts w:hint="eastAsia" w:ascii="宋体" w:hAnsi="宋体" w:eastAsia="宋体" w:cs="宋体"/>
                <w:color w:val="auto"/>
                <w:sz w:val="21"/>
                <w:szCs w:val="21"/>
                <w:highlight w:val="none"/>
              </w:rPr>
              <w:t>技术指导。</w:t>
            </w:r>
          </w:p>
        </w:tc>
        <w:tc>
          <w:tcPr>
            <w:tcW w:w="845" w:type="dxa"/>
            <w:shd w:val="clear" w:color="auto" w:fill="auto"/>
            <w:vAlign w:val="center"/>
          </w:tcPr>
          <w:p w14:paraId="36FFBAEC">
            <w:pPr>
              <w:keepNext w:val="0"/>
              <w:keepLines w:val="0"/>
              <w:pageBreakBefore w:val="0"/>
              <w:widowControl w:val="0"/>
              <w:kinsoku/>
              <w:wordWrap/>
              <w:overflowPunct/>
              <w:topLinePunct w:val="0"/>
              <w:autoSpaceDE/>
              <w:autoSpaceDN/>
              <w:bidi w:val="0"/>
              <w:adjustRightInd/>
              <w:spacing w:line="37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12</w:t>
            </w:r>
          </w:p>
        </w:tc>
        <w:tc>
          <w:tcPr>
            <w:tcW w:w="1105" w:type="dxa"/>
            <w:shd w:val="clear" w:color="auto" w:fill="auto"/>
            <w:vAlign w:val="center"/>
          </w:tcPr>
          <w:p w14:paraId="6C6C1C59">
            <w:pPr>
              <w:keepNext w:val="0"/>
              <w:keepLines w:val="0"/>
              <w:pageBreakBefore w:val="0"/>
              <w:widowControl w:val="0"/>
              <w:kinsoku/>
              <w:wordWrap/>
              <w:overflowPunct/>
              <w:topLinePunct w:val="0"/>
              <w:autoSpaceDE/>
              <w:autoSpaceDN/>
              <w:bidi w:val="0"/>
              <w:adjustRightInd/>
              <w:snapToGrid w:val="0"/>
              <w:spacing w:line="37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主观分</w:t>
            </w:r>
          </w:p>
        </w:tc>
      </w:tr>
      <w:tr w14:paraId="40F85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366E0C17">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w:t>
            </w:r>
          </w:p>
        </w:tc>
        <w:tc>
          <w:tcPr>
            <w:tcW w:w="5772" w:type="dxa"/>
            <w:gridSpan w:val="2"/>
            <w:shd w:val="clear" w:color="auto" w:fill="auto"/>
            <w:vAlign w:val="center"/>
          </w:tcPr>
          <w:p w14:paraId="2A0F05E2">
            <w:pPr>
              <w:keepNext w:val="0"/>
              <w:keepLines w:val="0"/>
              <w:pageBreakBefore w:val="0"/>
              <w:widowControl w:val="0"/>
              <w:kinsoku/>
              <w:wordWrap/>
              <w:overflowPunct/>
              <w:topLinePunct w:val="0"/>
              <w:autoSpaceDE/>
              <w:autoSpaceDN/>
              <w:bidi w:val="0"/>
              <w:adjustRightInd/>
              <w:spacing w:line="370" w:lineRule="exact"/>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售后服务方案</w:t>
            </w:r>
          </w:p>
          <w:p w14:paraId="42BA19DF">
            <w:pPr>
              <w:keepNext w:val="0"/>
              <w:keepLines w:val="0"/>
              <w:pageBreakBefore w:val="0"/>
              <w:widowControl w:val="0"/>
              <w:kinsoku/>
              <w:wordWrap/>
              <w:overflowPunct/>
              <w:topLinePunct w:val="0"/>
              <w:autoSpaceDE/>
              <w:autoSpaceDN/>
              <w:bidi w:val="0"/>
              <w:adjustRightInd/>
              <w:snapToGrid/>
              <w:spacing w:line="370" w:lineRule="exact"/>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一档（5分）：</w:t>
            </w:r>
            <w:r>
              <w:rPr>
                <w:rFonts w:hint="eastAsia" w:ascii="宋体" w:hAnsi="宋体" w:eastAsia="宋体" w:cs="宋体"/>
                <w:color w:val="auto"/>
                <w:sz w:val="21"/>
                <w:szCs w:val="21"/>
                <w:highlight w:val="none"/>
                <w:lang w:val="en-US" w:eastAsia="zh-CN"/>
              </w:rPr>
              <w:t>按招标文件质保期和售后技术服务要求进行保修，质保期内接到故障通知，投标人在24小时内响应，应在三个工作日内到达仪器现场；一般问题应在48小时内修复。</w:t>
            </w:r>
          </w:p>
          <w:p w14:paraId="2A08538B">
            <w:pPr>
              <w:keepNext w:val="0"/>
              <w:keepLines w:val="0"/>
              <w:pageBreakBefore w:val="0"/>
              <w:widowControl w:val="0"/>
              <w:kinsoku/>
              <w:wordWrap/>
              <w:overflowPunct/>
              <w:topLinePunct w:val="0"/>
              <w:autoSpaceDE/>
              <w:autoSpaceDN/>
              <w:bidi w:val="0"/>
              <w:adjustRightInd/>
              <w:snapToGrid/>
              <w:spacing w:line="370" w:lineRule="exact"/>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b/>
                <w:bCs/>
                <w:color w:val="auto"/>
                <w:sz w:val="21"/>
                <w:szCs w:val="21"/>
                <w:highlight w:val="none"/>
                <w:lang w:val="en-US" w:eastAsia="zh-CN"/>
              </w:rPr>
              <w:t>二档（10分）：</w:t>
            </w:r>
            <w:r>
              <w:rPr>
                <w:rFonts w:hint="eastAsia" w:ascii="宋体" w:hAnsi="宋体" w:eastAsia="宋体" w:cs="宋体"/>
                <w:color w:val="auto"/>
                <w:sz w:val="21"/>
                <w:szCs w:val="21"/>
                <w:highlight w:val="none"/>
                <w:lang w:val="en-US" w:eastAsia="zh-CN"/>
              </w:rPr>
              <w:t>按招标文件质保期和售后技术服务要求进行保修。质保期内提供1年不少于3次巡检，接到故障通知</w:t>
            </w: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u w:val="none"/>
                <w:lang w:val="en-US" w:eastAsia="zh-CN"/>
              </w:rPr>
              <w:t>在6小时内响应，应在两个工作日内到达仪器现场；一般问题应在36小时内解决。</w:t>
            </w:r>
            <w:r>
              <w:rPr>
                <w:rFonts w:hint="eastAsia" w:ascii="宋体" w:hAnsi="宋体" w:eastAsia="宋体" w:cs="宋体"/>
                <w:color w:val="auto"/>
                <w:sz w:val="21"/>
                <w:szCs w:val="21"/>
                <w:highlight w:val="none"/>
              </w:rPr>
              <w:t>提供服务流程（包括故障处理、上门维护、紧急维护、重要服务、电话维护、主动巡检），提供应急预案。</w:t>
            </w:r>
          </w:p>
          <w:p w14:paraId="694CA476">
            <w:pPr>
              <w:keepNext w:val="0"/>
              <w:keepLines w:val="0"/>
              <w:pageBreakBefore w:val="0"/>
              <w:widowControl w:val="0"/>
              <w:kinsoku/>
              <w:wordWrap/>
              <w:overflowPunct/>
              <w:topLinePunct w:val="0"/>
              <w:autoSpaceDE/>
              <w:autoSpaceDN/>
              <w:bidi w:val="0"/>
              <w:adjustRightInd/>
              <w:snapToGrid/>
              <w:spacing w:line="370" w:lineRule="exact"/>
              <w:jc w:val="left"/>
              <w:textAlignment w:val="auto"/>
              <w:outlineLvl w:val="9"/>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三档（</w:t>
            </w:r>
            <w:r>
              <w:rPr>
                <w:rFonts w:hint="eastAsia" w:ascii="宋体" w:hAnsi="宋体" w:eastAsia="宋体" w:cs="宋体"/>
                <w:b/>
                <w:bCs/>
                <w:color w:val="auto"/>
                <w:sz w:val="21"/>
                <w:szCs w:val="21"/>
                <w:highlight w:val="none"/>
                <w:lang w:val="en-US" w:eastAsia="zh-CN"/>
              </w:rPr>
              <w:t>15</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按招标文件质保期和</w:t>
            </w:r>
            <w:r>
              <w:rPr>
                <w:rFonts w:hint="eastAsia" w:ascii="宋体" w:hAnsi="宋体" w:eastAsia="宋体" w:cs="宋体"/>
                <w:color w:val="auto"/>
                <w:sz w:val="21"/>
                <w:szCs w:val="21"/>
                <w:highlight w:val="none"/>
                <w:lang w:val="en-US" w:eastAsia="zh-CN"/>
              </w:rPr>
              <w:t>售后</w:t>
            </w:r>
            <w:r>
              <w:rPr>
                <w:rFonts w:hint="eastAsia" w:ascii="宋体" w:hAnsi="宋体" w:eastAsia="宋体" w:cs="宋体"/>
                <w:color w:val="auto"/>
                <w:sz w:val="21"/>
                <w:szCs w:val="21"/>
                <w:highlight w:val="none"/>
              </w:rPr>
              <w:t>技术服务要求进行保修。具有保修期满后维修零配件优惠，</w:t>
            </w:r>
            <w:r>
              <w:rPr>
                <w:rFonts w:hint="eastAsia" w:ascii="宋体" w:hAnsi="宋体" w:eastAsia="宋体" w:cs="宋体"/>
                <w:color w:val="auto"/>
                <w:sz w:val="21"/>
                <w:szCs w:val="21"/>
                <w:highlight w:val="none"/>
                <w:lang w:val="en-US" w:eastAsia="zh-CN"/>
              </w:rPr>
              <w:t>质保期内提供每年不少于4次巡检，</w:t>
            </w:r>
            <w:r>
              <w:rPr>
                <w:rFonts w:hint="eastAsia" w:ascii="宋体" w:hAnsi="宋体" w:eastAsia="宋体" w:cs="宋体"/>
                <w:color w:val="auto"/>
                <w:sz w:val="21"/>
                <w:szCs w:val="21"/>
                <w:highlight w:val="none"/>
              </w:rPr>
              <w:t>接到故障通知，投标人</w:t>
            </w:r>
            <w:r>
              <w:rPr>
                <w:rFonts w:hint="eastAsia" w:ascii="宋体" w:hAnsi="宋体" w:eastAsia="宋体" w:cs="宋体"/>
                <w:color w:val="auto"/>
                <w:sz w:val="21"/>
                <w:szCs w:val="21"/>
                <w:highlight w:val="none"/>
                <w:lang w:val="en-US" w:eastAsia="zh-CN"/>
              </w:rPr>
              <w:t>在1小时内响应，应在一个工作日内到达现场；一般问题应在24小时内解决。</w:t>
            </w:r>
            <w:r>
              <w:rPr>
                <w:rFonts w:hint="eastAsia" w:ascii="宋体" w:hAnsi="宋体" w:eastAsia="宋体" w:cs="宋体"/>
                <w:color w:val="auto"/>
                <w:sz w:val="21"/>
                <w:szCs w:val="21"/>
                <w:highlight w:val="none"/>
              </w:rPr>
              <w:t>包含</w:t>
            </w:r>
            <w:r>
              <w:rPr>
                <w:rFonts w:hint="eastAsia" w:ascii="宋体" w:hAnsi="宋体" w:eastAsia="宋体" w:cs="宋体"/>
                <w:color w:val="auto"/>
                <w:sz w:val="21"/>
                <w:szCs w:val="21"/>
                <w:highlight w:val="none"/>
                <w:lang w:val="en-US" w:eastAsia="zh-CN"/>
              </w:rPr>
              <w:t>售后</w:t>
            </w:r>
            <w:r>
              <w:rPr>
                <w:rFonts w:hint="eastAsia" w:ascii="宋体" w:hAnsi="宋体" w:eastAsia="宋体" w:cs="宋体"/>
                <w:color w:val="auto"/>
                <w:sz w:val="21"/>
                <w:szCs w:val="21"/>
                <w:highlight w:val="none"/>
              </w:rPr>
              <w:t>、响应时间、服务承诺等，满足项目需求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提供服务流程（包括故障处理、上门维护、紧急维护、重要服务、电话维护、主动</w:t>
            </w:r>
            <w:r>
              <w:rPr>
                <w:rFonts w:hint="eastAsia" w:ascii="宋体" w:hAnsi="宋体" w:eastAsia="宋体" w:cs="宋体"/>
                <w:color w:val="auto"/>
                <w:sz w:val="21"/>
                <w:szCs w:val="21"/>
                <w:highlight w:val="none"/>
                <w:lang w:val="en-US" w:eastAsia="zh-CN"/>
              </w:rPr>
              <w:t>定期</w:t>
            </w:r>
            <w:r>
              <w:rPr>
                <w:rFonts w:hint="eastAsia" w:ascii="宋体" w:hAnsi="宋体" w:eastAsia="宋体" w:cs="宋体"/>
                <w:color w:val="auto"/>
                <w:sz w:val="21"/>
                <w:szCs w:val="21"/>
                <w:highlight w:val="none"/>
              </w:rPr>
              <w:t>巡检</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备品备件、零部件、主要设备的更换，以及项目定期清洗、维护）</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具有</w:t>
            </w:r>
            <w:r>
              <w:rPr>
                <w:rFonts w:hint="eastAsia" w:ascii="宋体" w:hAnsi="宋体" w:eastAsia="宋体" w:cs="宋体"/>
                <w:color w:val="auto"/>
                <w:sz w:val="21"/>
                <w:szCs w:val="21"/>
                <w:highlight w:val="none"/>
              </w:rPr>
              <w:t>产品的售后服务</w:t>
            </w:r>
            <w:r>
              <w:rPr>
                <w:rFonts w:hint="eastAsia" w:ascii="宋体" w:hAnsi="宋体" w:cs="宋体"/>
                <w:color w:val="auto"/>
                <w:sz w:val="21"/>
                <w:szCs w:val="21"/>
                <w:highlight w:val="none"/>
                <w:lang w:val="en-US" w:eastAsia="zh-CN"/>
              </w:rPr>
              <w:t>网点</w:t>
            </w:r>
            <w:r>
              <w:rPr>
                <w:rFonts w:hint="eastAsia" w:ascii="宋体" w:hAnsi="宋体" w:eastAsia="宋体" w:cs="宋体"/>
                <w:color w:val="auto"/>
                <w:sz w:val="21"/>
                <w:szCs w:val="21"/>
                <w:highlight w:val="none"/>
              </w:rPr>
              <w:t>，提供应急预案，整体方案</w:t>
            </w:r>
            <w:r>
              <w:rPr>
                <w:rFonts w:hint="eastAsia" w:ascii="宋体" w:hAnsi="宋体" w:eastAsia="宋体" w:cs="宋体"/>
                <w:color w:val="auto"/>
                <w:sz w:val="21"/>
                <w:szCs w:val="21"/>
                <w:highlight w:val="none"/>
                <w:lang w:val="en-US" w:eastAsia="zh-CN"/>
              </w:rPr>
              <w:t>满足</w:t>
            </w:r>
            <w:r>
              <w:rPr>
                <w:rFonts w:hint="eastAsia" w:ascii="宋体" w:hAnsi="宋体" w:eastAsia="宋体" w:cs="宋体"/>
                <w:color w:val="auto"/>
                <w:sz w:val="21"/>
                <w:szCs w:val="21"/>
                <w:highlight w:val="none"/>
              </w:rPr>
              <w:t>用户需求。</w:t>
            </w:r>
          </w:p>
        </w:tc>
        <w:tc>
          <w:tcPr>
            <w:tcW w:w="845" w:type="dxa"/>
            <w:shd w:val="clear" w:color="auto" w:fill="auto"/>
            <w:vAlign w:val="center"/>
          </w:tcPr>
          <w:p w14:paraId="7E8A8F78">
            <w:pPr>
              <w:keepNext w:val="0"/>
              <w:keepLines w:val="0"/>
              <w:pageBreakBefore w:val="0"/>
              <w:widowControl w:val="0"/>
              <w:kinsoku/>
              <w:wordWrap/>
              <w:overflowPunct/>
              <w:topLinePunct w:val="0"/>
              <w:autoSpaceDE/>
              <w:autoSpaceDN/>
              <w:bidi w:val="0"/>
              <w:adjustRightInd/>
              <w:spacing w:line="37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15分</w:t>
            </w:r>
          </w:p>
        </w:tc>
        <w:tc>
          <w:tcPr>
            <w:tcW w:w="1105" w:type="dxa"/>
            <w:shd w:val="clear" w:color="auto" w:fill="auto"/>
            <w:vAlign w:val="center"/>
          </w:tcPr>
          <w:p w14:paraId="5F7382D9">
            <w:pPr>
              <w:keepNext w:val="0"/>
              <w:keepLines w:val="0"/>
              <w:pageBreakBefore w:val="0"/>
              <w:widowControl w:val="0"/>
              <w:kinsoku/>
              <w:wordWrap/>
              <w:overflowPunct/>
              <w:topLinePunct w:val="0"/>
              <w:autoSpaceDE/>
              <w:autoSpaceDN/>
              <w:bidi w:val="0"/>
              <w:adjustRightInd/>
              <w:snapToGrid w:val="0"/>
              <w:spacing w:line="37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主观分</w:t>
            </w:r>
          </w:p>
        </w:tc>
      </w:tr>
      <w:tr w14:paraId="681F1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889" w:type="dxa"/>
            <w:vMerge w:val="restart"/>
            <w:shd w:val="clear" w:color="auto" w:fill="auto"/>
            <w:vAlign w:val="center"/>
          </w:tcPr>
          <w:p w14:paraId="3647889F">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lang w:val="en-US" w:eastAsia="zh-CN"/>
              </w:rPr>
              <w:t>2.6</w:t>
            </w:r>
          </w:p>
        </w:tc>
        <w:tc>
          <w:tcPr>
            <w:tcW w:w="1073" w:type="dxa"/>
            <w:vMerge w:val="restart"/>
            <w:shd w:val="clear" w:color="auto" w:fill="auto"/>
            <w:vAlign w:val="center"/>
          </w:tcPr>
          <w:p w14:paraId="6559CD1F">
            <w:pPr>
              <w:keepNext w:val="0"/>
              <w:keepLines w:val="0"/>
              <w:pageBreakBefore w:val="0"/>
              <w:widowControl w:val="0"/>
              <w:kinsoku/>
              <w:wordWrap/>
              <w:overflowPunct/>
              <w:topLinePunct w:val="0"/>
              <w:autoSpaceDE/>
              <w:autoSpaceDN/>
              <w:bidi w:val="0"/>
              <w:adjustRightInd/>
              <w:spacing w:line="370" w:lineRule="exact"/>
              <w:jc w:val="center"/>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信誉分</w:t>
            </w:r>
          </w:p>
          <w:p w14:paraId="6206F7CD">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kern w:val="2"/>
                <w:sz w:val="21"/>
                <w:szCs w:val="21"/>
                <w:highlight w:val="none"/>
                <w:vertAlign w:val="baseline"/>
                <w:lang w:val="en-US" w:eastAsia="zh-CN" w:bidi="ar-SA"/>
              </w:rPr>
            </w:pPr>
          </w:p>
        </w:tc>
        <w:tc>
          <w:tcPr>
            <w:tcW w:w="4699" w:type="dxa"/>
            <w:shd w:val="clear" w:color="auto" w:fill="auto"/>
            <w:vAlign w:val="center"/>
          </w:tcPr>
          <w:p w14:paraId="35FD530F">
            <w:pPr>
              <w:keepNext w:val="0"/>
              <w:keepLines w:val="0"/>
              <w:pageBreakBefore w:val="0"/>
              <w:widowControl w:val="0"/>
              <w:kinsoku/>
              <w:wordWrap/>
              <w:overflowPunct/>
              <w:topLinePunct w:val="0"/>
              <w:autoSpaceDE/>
              <w:autoSpaceDN/>
              <w:bidi w:val="0"/>
              <w:adjustRightInd/>
              <w:spacing w:line="370" w:lineRule="exact"/>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投标人或</w:t>
            </w:r>
            <w:r>
              <w:rPr>
                <w:rFonts w:hint="eastAsia" w:ascii="宋体" w:hAnsi="宋体" w:eastAsia="宋体" w:cs="宋体"/>
                <w:color w:val="auto"/>
                <w:kern w:val="0"/>
                <w:sz w:val="21"/>
                <w:szCs w:val="21"/>
                <w:highlight w:val="none"/>
                <w:lang w:val="en-US" w:eastAsia="zh-CN"/>
              </w:rPr>
              <w:t>所投</w:t>
            </w:r>
            <w:r>
              <w:rPr>
                <w:rFonts w:hint="eastAsia" w:ascii="宋体" w:hAnsi="宋体" w:eastAsia="宋体" w:cs="宋体"/>
                <w:color w:val="auto"/>
                <w:kern w:val="0"/>
                <w:sz w:val="21"/>
                <w:szCs w:val="21"/>
                <w:highlight w:val="none"/>
              </w:rPr>
              <w:t>产品制造商具有</w:t>
            </w:r>
            <w:r>
              <w:rPr>
                <w:rFonts w:hint="eastAsia" w:ascii="宋体" w:hAnsi="宋体" w:eastAsia="宋体" w:cs="宋体"/>
                <w:color w:val="auto"/>
                <w:kern w:val="0"/>
                <w:sz w:val="21"/>
                <w:szCs w:val="21"/>
                <w:highlight w:val="none"/>
                <w:lang w:val="en-US" w:eastAsia="zh-CN"/>
              </w:rPr>
              <w:t>有效的</w:t>
            </w:r>
            <w:r>
              <w:rPr>
                <w:rFonts w:hint="eastAsia" w:ascii="宋体" w:hAnsi="宋体" w:eastAsia="宋体" w:cs="宋体"/>
                <w:color w:val="auto"/>
                <w:kern w:val="0"/>
                <w:sz w:val="21"/>
                <w:szCs w:val="21"/>
                <w:highlight w:val="none"/>
              </w:rPr>
              <w:t>ISO质量管理体系</w:t>
            </w:r>
            <w:r>
              <w:rPr>
                <w:rFonts w:hint="eastAsia" w:ascii="宋体" w:hAnsi="宋体" w:eastAsia="宋体" w:cs="宋体"/>
                <w:color w:val="auto"/>
                <w:kern w:val="0"/>
                <w:sz w:val="21"/>
                <w:szCs w:val="21"/>
                <w:highlight w:val="none"/>
                <w:lang w:val="en-US" w:eastAsia="zh-CN"/>
              </w:rPr>
              <w:t>认证证书得1</w:t>
            </w:r>
            <w:r>
              <w:rPr>
                <w:rFonts w:hint="eastAsia" w:ascii="宋体" w:hAnsi="宋体" w:eastAsia="宋体" w:cs="宋体"/>
                <w:color w:val="auto"/>
                <w:kern w:val="0"/>
                <w:sz w:val="21"/>
                <w:szCs w:val="21"/>
                <w:highlight w:val="none"/>
              </w:rPr>
              <w:t>分</w:t>
            </w:r>
            <w:r>
              <w:rPr>
                <w:rFonts w:hint="eastAsia" w:ascii="宋体" w:hAnsi="宋体" w:eastAsia="宋体" w:cs="宋体"/>
                <w:b/>
                <w:bCs/>
                <w:color w:val="auto"/>
                <w:kern w:val="0"/>
                <w:sz w:val="21"/>
                <w:szCs w:val="21"/>
                <w:highlight w:val="none"/>
              </w:rPr>
              <w:t>（</w:t>
            </w:r>
            <w:r>
              <w:rPr>
                <w:rFonts w:hint="eastAsia" w:ascii="宋体" w:hAnsi="宋体" w:eastAsia="宋体" w:cs="宋体"/>
                <w:b/>
                <w:bCs/>
                <w:color w:val="auto"/>
                <w:sz w:val="21"/>
                <w:szCs w:val="21"/>
                <w:highlight w:val="none"/>
                <w:lang w:val="en-US" w:eastAsia="zh-CN"/>
              </w:rPr>
              <w:t>需提供有效证书复印件加盖投标人电子公章</w:t>
            </w:r>
            <w:r>
              <w:rPr>
                <w:rFonts w:hint="eastAsia" w:ascii="宋体" w:hAnsi="宋体" w:eastAsia="宋体" w:cs="宋体"/>
                <w:b/>
                <w:bCs/>
                <w:color w:val="auto"/>
                <w:kern w:val="0"/>
                <w:sz w:val="21"/>
                <w:szCs w:val="21"/>
                <w:highlight w:val="none"/>
              </w:rPr>
              <w:t>）</w:t>
            </w:r>
            <w:r>
              <w:rPr>
                <w:rFonts w:hint="eastAsia" w:ascii="宋体" w:hAnsi="宋体" w:eastAsia="宋体" w:cs="宋体"/>
                <w:color w:val="auto"/>
                <w:kern w:val="0"/>
                <w:sz w:val="21"/>
                <w:szCs w:val="21"/>
                <w:highlight w:val="none"/>
              </w:rPr>
              <w:t>。</w:t>
            </w:r>
          </w:p>
        </w:tc>
        <w:tc>
          <w:tcPr>
            <w:tcW w:w="845" w:type="dxa"/>
            <w:shd w:val="clear" w:color="auto" w:fill="auto"/>
            <w:vAlign w:val="center"/>
          </w:tcPr>
          <w:p w14:paraId="3576E883">
            <w:pPr>
              <w:keepNext w:val="0"/>
              <w:keepLines w:val="0"/>
              <w:pageBreakBefore w:val="0"/>
              <w:widowControl w:val="0"/>
              <w:kinsoku/>
              <w:wordWrap/>
              <w:overflowPunct/>
              <w:topLinePunct w:val="0"/>
              <w:autoSpaceDE/>
              <w:autoSpaceDN/>
              <w:bidi w:val="0"/>
              <w:adjustRightInd/>
              <w:spacing w:line="37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w:t>
            </w:r>
          </w:p>
        </w:tc>
        <w:tc>
          <w:tcPr>
            <w:tcW w:w="1105" w:type="dxa"/>
            <w:shd w:val="clear" w:color="auto" w:fill="auto"/>
            <w:vAlign w:val="center"/>
          </w:tcPr>
          <w:p w14:paraId="022F9D79">
            <w:pPr>
              <w:keepNext w:val="0"/>
              <w:keepLines w:val="0"/>
              <w:pageBreakBefore w:val="0"/>
              <w:widowControl w:val="0"/>
              <w:kinsoku/>
              <w:wordWrap/>
              <w:overflowPunct/>
              <w:topLinePunct w:val="0"/>
              <w:autoSpaceDE/>
              <w:autoSpaceDN/>
              <w:bidi w:val="0"/>
              <w:adjustRightInd/>
              <w:spacing w:line="37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客观分</w:t>
            </w:r>
          </w:p>
        </w:tc>
      </w:tr>
      <w:tr w14:paraId="53D9A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89" w:type="dxa"/>
            <w:vMerge w:val="continue"/>
            <w:shd w:val="clear" w:color="auto" w:fill="auto"/>
            <w:vAlign w:val="center"/>
          </w:tcPr>
          <w:p w14:paraId="22BF9D67">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vertAlign w:val="baseline"/>
                <w:lang w:val="en-US" w:eastAsia="zh-CN"/>
              </w:rPr>
            </w:pPr>
          </w:p>
        </w:tc>
        <w:tc>
          <w:tcPr>
            <w:tcW w:w="1073" w:type="dxa"/>
            <w:vMerge w:val="continue"/>
            <w:shd w:val="clear" w:color="auto" w:fill="auto"/>
            <w:vAlign w:val="center"/>
          </w:tcPr>
          <w:p w14:paraId="2D1476D3">
            <w:pPr>
              <w:keepNext w:val="0"/>
              <w:keepLines w:val="0"/>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color w:val="auto"/>
                <w:kern w:val="0"/>
                <w:sz w:val="21"/>
                <w:szCs w:val="21"/>
                <w:highlight w:val="none"/>
              </w:rPr>
            </w:pPr>
          </w:p>
        </w:tc>
        <w:tc>
          <w:tcPr>
            <w:tcW w:w="4699" w:type="dxa"/>
            <w:shd w:val="clear" w:color="auto" w:fill="auto"/>
            <w:vAlign w:val="center"/>
          </w:tcPr>
          <w:p w14:paraId="465D8943">
            <w:pPr>
              <w:keepNext w:val="0"/>
              <w:keepLines w:val="0"/>
              <w:pageBreakBefore w:val="0"/>
              <w:widowControl w:val="0"/>
              <w:kinsoku/>
              <w:wordWrap/>
              <w:overflowPunct/>
              <w:topLinePunct w:val="0"/>
              <w:autoSpaceDE/>
              <w:autoSpaceDN/>
              <w:bidi w:val="0"/>
              <w:adjustRightInd/>
              <w:spacing w:line="370" w:lineRule="exact"/>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投标人或</w:t>
            </w:r>
            <w:r>
              <w:rPr>
                <w:rFonts w:hint="eastAsia" w:ascii="宋体" w:hAnsi="宋体" w:eastAsia="宋体" w:cs="宋体"/>
                <w:color w:val="auto"/>
                <w:kern w:val="0"/>
                <w:sz w:val="21"/>
                <w:szCs w:val="21"/>
                <w:highlight w:val="none"/>
                <w:lang w:val="en-US" w:eastAsia="zh-CN"/>
              </w:rPr>
              <w:t>所投</w:t>
            </w:r>
            <w:r>
              <w:rPr>
                <w:rFonts w:hint="eastAsia" w:ascii="宋体" w:hAnsi="宋体" w:eastAsia="宋体" w:cs="宋体"/>
                <w:color w:val="auto"/>
                <w:kern w:val="0"/>
                <w:sz w:val="21"/>
                <w:szCs w:val="21"/>
                <w:highlight w:val="none"/>
              </w:rPr>
              <w:t>产品制造商具有</w:t>
            </w:r>
            <w:r>
              <w:rPr>
                <w:rFonts w:hint="eastAsia" w:ascii="宋体" w:hAnsi="宋体" w:eastAsia="宋体" w:cs="宋体"/>
                <w:color w:val="auto"/>
                <w:kern w:val="0"/>
                <w:sz w:val="21"/>
                <w:szCs w:val="21"/>
                <w:highlight w:val="none"/>
                <w:lang w:val="en-US" w:eastAsia="zh-CN"/>
              </w:rPr>
              <w:t>有效的</w:t>
            </w:r>
            <w:r>
              <w:rPr>
                <w:rFonts w:hint="eastAsia" w:ascii="宋体" w:hAnsi="宋体" w:eastAsia="宋体" w:cs="宋体"/>
                <w:color w:val="auto"/>
                <w:kern w:val="0"/>
                <w:sz w:val="21"/>
                <w:szCs w:val="21"/>
                <w:highlight w:val="none"/>
              </w:rPr>
              <w:t>ISO环境管理体系</w:t>
            </w:r>
            <w:r>
              <w:rPr>
                <w:rFonts w:hint="eastAsia" w:ascii="宋体" w:hAnsi="宋体" w:eastAsia="宋体" w:cs="宋体"/>
                <w:color w:val="auto"/>
                <w:kern w:val="0"/>
                <w:sz w:val="21"/>
                <w:szCs w:val="21"/>
                <w:highlight w:val="none"/>
                <w:lang w:val="en-US" w:eastAsia="zh-CN"/>
              </w:rPr>
              <w:t>认证证书得1</w:t>
            </w:r>
            <w:r>
              <w:rPr>
                <w:rFonts w:hint="eastAsia" w:ascii="宋体" w:hAnsi="宋体" w:eastAsia="宋体" w:cs="宋体"/>
                <w:color w:val="auto"/>
                <w:kern w:val="0"/>
                <w:sz w:val="21"/>
                <w:szCs w:val="21"/>
                <w:highlight w:val="none"/>
              </w:rPr>
              <w:t>分</w:t>
            </w:r>
            <w:r>
              <w:rPr>
                <w:rFonts w:hint="eastAsia" w:ascii="宋体" w:hAnsi="宋体" w:eastAsia="宋体" w:cs="宋体"/>
                <w:b/>
                <w:bCs/>
                <w:color w:val="auto"/>
                <w:kern w:val="0"/>
                <w:sz w:val="21"/>
                <w:szCs w:val="21"/>
                <w:highlight w:val="none"/>
              </w:rPr>
              <w:t>（</w:t>
            </w:r>
            <w:r>
              <w:rPr>
                <w:rFonts w:hint="eastAsia" w:ascii="宋体" w:hAnsi="宋体" w:eastAsia="宋体" w:cs="宋体"/>
                <w:b/>
                <w:bCs/>
                <w:color w:val="auto"/>
                <w:sz w:val="21"/>
                <w:szCs w:val="21"/>
                <w:highlight w:val="none"/>
                <w:lang w:val="en-US" w:eastAsia="zh-CN"/>
              </w:rPr>
              <w:t>需提供有效证书复印件加盖投标人电子公章</w:t>
            </w:r>
            <w:r>
              <w:rPr>
                <w:rFonts w:hint="eastAsia" w:ascii="宋体" w:hAnsi="宋体" w:eastAsia="宋体" w:cs="宋体"/>
                <w:b/>
                <w:bCs/>
                <w:color w:val="auto"/>
                <w:kern w:val="0"/>
                <w:sz w:val="21"/>
                <w:szCs w:val="21"/>
                <w:highlight w:val="none"/>
              </w:rPr>
              <w:t>）</w:t>
            </w:r>
            <w:r>
              <w:rPr>
                <w:rFonts w:hint="eastAsia" w:ascii="宋体" w:hAnsi="宋体" w:eastAsia="宋体" w:cs="宋体"/>
                <w:color w:val="auto"/>
                <w:kern w:val="0"/>
                <w:sz w:val="21"/>
                <w:szCs w:val="21"/>
                <w:highlight w:val="none"/>
              </w:rPr>
              <w:t>。</w:t>
            </w:r>
          </w:p>
        </w:tc>
        <w:tc>
          <w:tcPr>
            <w:tcW w:w="845" w:type="dxa"/>
            <w:shd w:val="clear" w:color="auto" w:fill="auto"/>
            <w:vAlign w:val="center"/>
          </w:tcPr>
          <w:p w14:paraId="2EB2AF13">
            <w:pPr>
              <w:keepNext w:val="0"/>
              <w:keepLines w:val="0"/>
              <w:pageBreakBefore w:val="0"/>
              <w:widowControl w:val="0"/>
              <w:kinsoku/>
              <w:wordWrap/>
              <w:overflowPunct/>
              <w:topLinePunct w:val="0"/>
              <w:autoSpaceDE/>
              <w:autoSpaceDN/>
              <w:bidi w:val="0"/>
              <w:adjustRightInd/>
              <w:spacing w:line="37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w:t>
            </w:r>
          </w:p>
        </w:tc>
        <w:tc>
          <w:tcPr>
            <w:tcW w:w="1105" w:type="dxa"/>
            <w:shd w:val="clear" w:color="auto" w:fill="auto"/>
            <w:vAlign w:val="center"/>
          </w:tcPr>
          <w:p w14:paraId="01172F6C">
            <w:pPr>
              <w:keepNext w:val="0"/>
              <w:keepLines w:val="0"/>
              <w:pageBreakBefore w:val="0"/>
              <w:widowControl w:val="0"/>
              <w:kinsoku/>
              <w:wordWrap/>
              <w:overflowPunct/>
              <w:topLinePunct w:val="0"/>
              <w:autoSpaceDE/>
              <w:autoSpaceDN/>
              <w:bidi w:val="0"/>
              <w:adjustRightInd/>
              <w:spacing w:line="37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客观分</w:t>
            </w:r>
          </w:p>
        </w:tc>
      </w:tr>
      <w:tr w14:paraId="03A65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89" w:type="dxa"/>
            <w:vMerge w:val="continue"/>
            <w:shd w:val="clear" w:color="auto" w:fill="auto"/>
            <w:vAlign w:val="center"/>
          </w:tcPr>
          <w:p w14:paraId="742784E9">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vertAlign w:val="baseline"/>
                <w:lang w:val="en-US" w:eastAsia="zh-CN"/>
              </w:rPr>
            </w:pPr>
          </w:p>
        </w:tc>
        <w:tc>
          <w:tcPr>
            <w:tcW w:w="1073" w:type="dxa"/>
            <w:vMerge w:val="continue"/>
            <w:shd w:val="clear" w:color="auto" w:fill="auto"/>
            <w:vAlign w:val="center"/>
          </w:tcPr>
          <w:p w14:paraId="1548067C">
            <w:pPr>
              <w:keepNext w:val="0"/>
              <w:keepLines w:val="0"/>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color w:val="auto"/>
                <w:kern w:val="0"/>
                <w:sz w:val="21"/>
                <w:szCs w:val="21"/>
                <w:highlight w:val="none"/>
              </w:rPr>
            </w:pPr>
          </w:p>
        </w:tc>
        <w:tc>
          <w:tcPr>
            <w:tcW w:w="4699" w:type="dxa"/>
            <w:shd w:val="clear" w:color="auto" w:fill="auto"/>
            <w:vAlign w:val="center"/>
          </w:tcPr>
          <w:p w14:paraId="5F3978C0">
            <w:pPr>
              <w:keepNext w:val="0"/>
              <w:keepLines w:val="0"/>
              <w:pageBreakBefore w:val="0"/>
              <w:widowControl w:val="0"/>
              <w:kinsoku/>
              <w:wordWrap/>
              <w:overflowPunct/>
              <w:topLinePunct w:val="0"/>
              <w:autoSpaceDE/>
              <w:autoSpaceDN/>
              <w:bidi w:val="0"/>
              <w:adjustRightInd/>
              <w:spacing w:line="370" w:lineRule="exact"/>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投标人或</w:t>
            </w:r>
            <w:r>
              <w:rPr>
                <w:rFonts w:hint="eastAsia" w:ascii="宋体" w:hAnsi="宋体" w:eastAsia="宋体" w:cs="宋体"/>
                <w:color w:val="auto"/>
                <w:kern w:val="0"/>
                <w:sz w:val="21"/>
                <w:szCs w:val="21"/>
                <w:highlight w:val="none"/>
                <w:lang w:val="en-US" w:eastAsia="zh-CN"/>
              </w:rPr>
              <w:t>所投</w:t>
            </w:r>
            <w:r>
              <w:rPr>
                <w:rFonts w:hint="eastAsia" w:ascii="宋体" w:hAnsi="宋体" w:eastAsia="宋体" w:cs="宋体"/>
                <w:color w:val="auto"/>
                <w:kern w:val="0"/>
                <w:sz w:val="21"/>
                <w:szCs w:val="21"/>
                <w:highlight w:val="none"/>
              </w:rPr>
              <w:t>产品制造商具有</w:t>
            </w:r>
            <w:r>
              <w:rPr>
                <w:rFonts w:hint="eastAsia" w:ascii="宋体" w:hAnsi="宋体" w:eastAsia="宋体" w:cs="宋体"/>
                <w:color w:val="auto"/>
                <w:kern w:val="0"/>
                <w:sz w:val="21"/>
                <w:szCs w:val="21"/>
                <w:highlight w:val="none"/>
                <w:lang w:val="en-US" w:eastAsia="zh-CN"/>
              </w:rPr>
              <w:t>有效的</w:t>
            </w:r>
            <w:r>
              <w:rPr>
                <w:rFonts w:hint="eastAsia" w:ascii="宋体" w:hAnsi="宋体" w:eastAsia="宋体" w:cs="宋体"/>
                <w:color w:val="auto"/>
                <w:kern w:val="0"/>
                <w:sz w:val="21"/>
                <w:szCs w:val="21"/>
                <w:highlight w:val="none"/>
              </w:rPr>
              <w:t>ISO职业健康安全管理体系</w:t>
            </w:r>
            <w:r>
              <w:rPr>
                <w:rFonts w:hint="eastAsia" w:ascii="宋体" w:hAnsi="宋体" w:eastAsia="宋体" w:cs="宋体"/>
                <w:color w:val="auto"/>
                <w:kern w:val="0"/>
                <w:sz w:val="21"/>
                <w:szCs w:val="21"/>
                <w:highlight w:val="none"/>
                <w:lang w:val="en-US" w:eastAsia="zh-CN"/>
              </w:rPr>
              <w:t>认证证书得1</w:t>
            </w:r>
            <w:r>
              <w:rPr>
                <w:rFonts w:hint="eastAsia" w:ascii="宋体" w:hAnsi="宋体" w:eastAsia="宋体" w:cs="宋体"/>
                <w:color w:val="auto"/>
                <w:kern w:val="0"/>
                <w:sz w:val="21"/>
                <w:szCs w:val="21"/>
                <w:highlight w:val="none"/>
              </w:rPr>
              <w:t>分</w:t>
            </w:r>
            <w:r>
              <w:rPr>
                <w:rFonts w:hint="eastAsia" w:ascii="宋体" w:hAnsi="宋体" w:eastAsia="宋体" w:cs="宋体"/>
                <w:b/>
                <w:bCs/>
                <w:color w:val="auto"/>
                <w:kern w:val="0"/>
                <w:sz w:val="21"/>
                <w:szCs w:val="21"/>
                <w:highlight w:val="none"/>
              </w:rPr>
              <w:t>（</w:t>
            </w:r>
            <w:r>
              <w:rPr>
                <w:rFonts w:hint="eastAsia" w:ascii="宋体" w:hAnsi="宋体" w:eastAsia="宋体" w:cs="宋体"/>
                <w:b/>
                <w:bCs/>
                <w:color w:val="auto"/>
                <w:sz w:val="21"/>
                <w:szCs w:val="21"/>
                <w:highlight w:val="none"/>
                <w:lang w:val="en-US" w:eastAsia="zh-CN"/>
              </w:rPr>
              <w:t>需提供有效证书复印件加盖投标人电子公章</w:t>
            </w:r>
            <w:r>
              <w:rPr>
                <w:rFonts w:hint="eastAsia" w:ascii="宋体" w:hAnsi="宋体" w:eastAsia="宋体" w:cs="宋体"/>
                <w:b/>
                <w:bCs/>
                <w:color w:val="auto"/>
                <w:kern w:val="0"/>
                <w:sz w:val="21"/>
                <w:szCs w:val="21"/>
                <w:highlight w:val="none"/>
              </w:rPr>
              <w:t>）</w:t>
            </w:r>
            <w:r>
              <w:rPr>
                <w:rFonts w:hint="eastAsia" w:ascii="宋体" w:hAnsi="宋体" w:eastAsia="宋体" w:cs="宋体"/>
                <w:color w:val="auto"/>
                <w:kern w:val="0"/>
                <w:sz w:val="21"/>
                <w:szCs w:val="21"/>
                <w:highlight w:val="none"/>
              </w:rPr>
              <w:t>。</w:t>
            </w:r>
          </w:p>
        </w:tc>
        <w:tc>
          <w:tcPr>
            <w:tcW w:w="845" w:type="dxa"/>
            <w:shd w:val="clear" w:color="auto" w:fill="auto"/>
            <w:vAlign w:val="center"/>
          </w:tcPr>
          <w:p w14:paraId="69072A82">
            <w:pPr>
              <w:keepNext w:val="0"/>
              <w:keepLines w:val="0"/>
              <w:pageBreakBefore w:val="0"/>
              <w:widowControl w:val="0"/>
              <w:kinsoku/>
              <w:wordWrap/>
              <w:overflowPunct/>
              <w:topLinePunct w:val="0"/>
              <w:autoSpaceDE/>
              <w:autoSpaceDN/>
              <w:bidi w:val="0"/>
              <w:adjustRightInd/>
              <w:spacing w:line="37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w:t>
            </w:r>
          </w:p>
        </w:tc>
        <w:tc>
          <w:tcPr>
            <w:tcW w:w="1105" w:type="dxa"/>
            <w:shd w:val="clear" w:color="auto" w:fill="auto"/>
            <w:vAlign w:val="center"/>
          </w:tcPr>
          <w:p w14:paraId="31BDA23B">
            <w:pPr>
              <w:keepNext w:val="0"/>
              <w:keepLines w:val="0"/>
              <w:pageBreakBefore w:val="0"/>
              <w:widowControl w:val="0"/>
              <w:kinsoku/>
              <w:wordWrap/>
              <w:overflowPunct/>
              <w:topLinePunct w:val="0"/>
              <w:autoSpaceDE/>
              <w:autoSpaceDN/>
              <w:bidi w:val="0"/>
              <w:adjustRightInd/>
              <w:spacing w:line="37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客观分</w:t>
            </w:r>
          </w:p>
        </w:tc>
      </w:tr>
    </w:tbl>
    <w:p w14:paraId="1B9DD0B5">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 </w:t>
      </w:r>
      <w:r>
        <w:rPr>
          <w:rFonts w:hint="eastAsia" w:ascii="宋体" w:hAnsi="宋体" w:eastAsia="宋体" w:cs="宋体"/>
          <w:bCs/>
          <w:color w:val="auto"/>
          <w:sz w:val="21"/>
          <w:szCs w:val="21"/>
          <w:highlight w:val="none"/>
        </w:rPr>
        <w:t>*</w:t>
      </w:r>
      <w:r>
        <w:rPr>
          <w:rFonts w:hint="eastAsia" w:ascii="宋体" w:hAnsi="宋体" w:eastAsia="宋体" w:cs="宋体"/>
          <w:b/>
          <w:color w:val="auto"/>
          <w:sz w:val="21"/>
          <w:szCs w:val="21"/>
          <w:highlight w:val="none"/>
        </w:rPr>
        <w:t>备注：</w:t>
      </w:r>
      <w:r>
        <w:rPr>
          <w:rFonts w:hint="eastAsia" w:ascii="宋体" w:hAnsi="宋体" w:eastAsia="宋体" w:cs="宋体"/>
          <w:color w:val="auto"/>
          <w:sz w:val="21"/>
          <w:szCs w:val="21"/>
          <w:highlight w:val="none"/>
        </w:rPr>
        <w:t>投标人编制投标文件（商务技术文件部分）时，建议按此目录（序号和内容）提供评标标准相应的商务技术资料。</w:t>
      </w:r>
    </w:p>
    <w:p w14:paraId="75BA5541">
      <w:pPr>
        <w:rPr>
          <w:rFonts w:hint="eastAsia" w:ascii="宋体" w:hAnsi="宋体" w:eastAsia="宋体" w:cs="宋体"/>
          <w:b/>
          <w:color w:val="auto"/>
          <w:sz w:val="32"/>
          <w:highlight w:val="none"/>
        </w:rPr>
      </w:pPr>
      <w:r>
        <w:rPr>
          <w:rFonts w:hint="eastAsia" w:ascii="宋体" w:hAnsi="宋体" w:eastAsia="宋体" w:cs="宋体"/>
          <w:b/>
          <w:color w:val="auto"/>
          <w:sz w:val="32"/>
          <w:highlight w:val="none"/>
        </w:rPr>
        <w:br w:type="page"/>
      </w:r>
    </w:p>
    <w:p w14:paraId="6B7FCA47">
      <w:pPr>
        <w:adjustRightInd/>
        <w:spacing w:line="360" w:lineRule="auto"/>
        <w:outlineLvl w:val="1"/>
        <w:rPr>
          <w:rFonts w:hint="eastAsia" w:ascii="宋体" w:hAnsi="宋体" w:eastAsia="宋体" w:cs="宋体"/>
          <w:b/>
          <w:color w:val="auto"/>
          <w:sz w:val="32"/>
          <w:highlight w:val="none"/>
        </w:rPr>
      </w:pPr>
      <w:r>
        <w:rPr>
          <w:rFonts w:hint="eastAsia" w:ascii="宋体" w:hAnsi="宋体" w:eastAsia="宋体" w:cs="宋体"/>
          <w:b/>
          <w:color w:val="auto"/>
          <w:sz w:val="32"/>
          <w:highlight w:val="none"/>
        </w:rPr>
        <w:t>一、评标方法</w:t>
      </w:r>
    </w:p>
    <w:p w14:paraId="53E98727">
      <w:pPr>
        <w:adjustRightInd/>
        <w:spacing w:line="360" w:lineRule="auto"/>
        <w:ind w:firstLine="422" w:firstLineChars="200"/>
        <w:rPr>
          <w:rFonts w:hint="eastAsia" w:ascii="宋体" w:hAnsi="宋体" w:eastAsia="宋体" w:cs="宋体"/>
          <w:b/>
          <w:color w:val="auto"/>
          <w:kern w:val="0"/>
          <w:sz w:val="21"/>
          <w:szCs w:val="21"/>
          <w:highlight w:val="none"/>
          <w:lang w:eastAsia="zh-CN"/>
        </w:rPr>
      </w:pPr>
      <w:r>
        <w:rPr>
          <w:rFonts w:hint="eastAsia" w:ascii="宋体" w:hAnsi="宋体" w:eastAsia="宋体" w:cs="宋体"/>
          <w:b/>
          <w:color w:val="auto"/>
          <w:kern w:val="0"/>
          <w:sz w:val="21"/>
          <w:szCs w:val="21"/>
          <w:highlight w:val="none"/>
        </w:rPr>
        <w:t>1.本项目采用的评标方法</w:t>
      </w:r>
      <w:r>
        <w:rPr>
          <w:rFonts w:hint="eastAsia" w:ascii="宋体" w:hAnsi="宋体" w:cs="宋体"/>
          <w:b/>
          <w:color w:val="auto"/>
          <w:kern w:val="0"/>
          <w:sz w:val="21"/>
          <w:szCs w:val="21"/>
          <w:highlight w:val="none"/>
          <w:lang w:eastAsia="zh-CN"/>
        </w:rPr>
        <w:t>：</w:t>
      </w:r>
    </w:p>
    <w:p w14:paraId="6092B5AD">
      <w:pPr>
        <w:adjustRightInd/>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sym w:font="Wingdings" w:char="F0FE"/>
      </w:r>
      <w:r>
        <w:rPr>
          <w:rFonts w:hint="eastAsia" w:ascii="宋体" w:hAnsi="宋体" w:eastAsia="宋体" w:cs="宋体"/>
          <w:color w:val="auto"/>
          <w:kern w:val="0"/>
          <w:sz w:val="21"/>
          <w:szCs w:val="21"/>
          <w:highlight w:val="none"/>
        </w:rPr>
        <w:t>A</w:t>
      </w:r>
      <w:r>
        <w:rPr>
          <w:rFonts w:hint="eastAsia" w:ascii="宋体" w:hAnsi="宋体" w:eastAsia="宋体" w:cs="宋体"/>
          <w:b/>
          <w:color w:val="auto"/>
          <w:kern w:val="0"/>
          <w:sz w:val="21"/>
          <w:szCs w:val="21"/>
          <w:highlight w:val="none"/>
        </w:rPr>
        <w:t>综合评分法</w:t>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rPr>
        <w:t>综合评分法，是指投标文件满足招标文件全部实质性要求，且按照评审因素的量化指标评审得分最高的投标人为中标候选人的评标方法。</w:t>
      </w:r>
    </w:p>
    <w:p w14:paraId="7C273980">
      <w:pPr>
        <w:adjustRightInd/>
        <w:spacing w:line="360" w:lineRule="auto"/>
        <w:ind w:firstLine="420" w:firstLineChars="200"/>
        <w:rPr>
          <w:rFonts w:hint="eastAsia" w:ascii="宋体" w:hAnsi="宋体" w:eastAsia="宋体" w:cs="宋体"/>
          <w:b/>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B最低评标价法</w:t>
      </w:r>
      <w:r>
        <w:rPr>
          <w:rFonts w:hint="eastAsia" w:ascii="宋体" w:hAnsi="宋体" w:eastAsia="宋体" w:cs="宋体"/>
          <w:b/>
          <w:color w:val="auto"/>
          <w:kern w:val="0"/>
          <w:sz w:val="21"/>
          <w:szCs w:val="21"/>
          <w:highlight w:val="none"/>
        </w:rPr>
        <w:t>。</w:t>
      </w:r>
      <w:r>
        <w:rPr>
          <w:rFonts w:hint="eastAsia" w:ascii="宋体" w:hAnsi="宋体" w:eastAsia="宋体" w:cs="宋体"/>
          <w:color w:val="auto"/>
          <w:kern w:val="0"/>
          <w:sz w:val="21"/>
          <w:szCs w:val="21"/>
          <w:highlight w:val="none"/>
        </w:rPr>
        <w:t>最低评标价法，是指投标文件满足招标文件全部实质性要求，且投标报价最低的投标人为中标候选人的评标方法。</w:t>
      </w:r>
    </w:p>
    <w:p w14:paraId="36CD5995">
      <w:pPr>
        <w:adjustRightInd/>
        <w:spacing w:line="360" w:lineRule="auto"/>
        <w:outlineLvl w:val="1"/>
        <w:rPr>
          <w:rFonts w:hint="eastAsia" w:ascii="宋体" w:hAnsi="宋体" w:eastAsia="宋体" w:cs="宋体"/>
          <w:color w:val="auto"/>
          <w:kern w:val="0"/>
          <w:sz w:val="24"/>
          <w:highlight w:val="none"/>
        </w:rPr>
      </w:pPr>
      <w:r>
        <w:rPr>
          <w:rFonts w:hint="eastAsia" w:ascii="宋体" w:hAnsi="宋体" w:eastAsia="宋体" w:cs="宋体"/>
          <w:b/>
          <w:color w:val="auto"/>
          <w:sz w:val="32"/>
          <w:highlight w:val="none"/>
        </w:rPr>
        <w:t>二、评标标准</w:t>
      </w:r>
    </w:p>
    <w:p w14:paraId="510D0CA0">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w:t>
      </w:r>
      <w:r>
        <w:rPr>
          <w:rFonts w:hint="eastAsia" w:ascii="宋体" w:hAnsi="宋体" w:eastAsia="宋体" w:cs="宋体"/>
          <w:color w:val="auto"/>
          <w:sz w:val="21"/>
          <w:szCs w:val="21"/>
          <w:highlight w:val="none"/>
        </w:rPr>
        <w:t xml:space="preserve"> </w:t>
      </w:r>
      <w:r>
        <w:rPr>
          <w:rFonts w:hint="eastAsia" w:ascii="宋体" w:hAnsi="宋体" w:eastAsia="宋体" w:cs="宋体"/>
          <w:b/>
          <w:color w:val="auto"/>
          <w:sz w:val="21"/>
          <w:szCs w:val="21"/>
          <w:highlight w:val="none"/>
        </w:rPr>
        <w:t>评标标准：</w:t>
      </w:r>
      <w:r>
        <w:rPr>
          <w:rFonts w:hint="eastAsia" w:ascii="宋体" w:hAnsi="宋体" w:eastAsia="宋体" w:cs="宋体"/>
          <w:color w:val="auto"/>
          <w:sz w:val="21"/>
          <w:szCs w:val="21"/>
          <w:highlight w:val="none"/>
        </w:rPr>
        <w:t>采用综合评分法的，评标标准</w:t>
      </w:r>
      <w:r>
        <w:rPr>
          <w:rFonts w:hint="eastAsia" w:ascii="宋体" w:hAnsi="宋体" w:eastAsia="宋体" w:cs="宋体"/>
          <w:color w:val="auto"/>
          <w:kern w:val="0"/>
          <w:sz w:val="21"/>
          <w:szCs w:val="21"/>
          <w:highlight w:val="none"/>
        </w:rPr>
        <w:t>见评标办法前附表。采用最低评标价法评标时，除了算术修正和落实政府采购政策需进行的价格扣除外，不能对投标人的投标价格进行任何调整。</w:t>
      </w:r>
    </w:p>
    <w:p w14:paraId="135523B6">
      <w:pPr>
        <w:spacing w:line="360" w:lineRule="auto"/>
        <w:outlineLvl w:val="1"/>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三、评标程序</w:t>
      </w:r>
    </w:p>
    <w:p w14:paraId="05504C6A">
      <w:pPr>
        <w:spacing w:line="360" w:lineRule="auto"/>
        <w:ind w:firstLine="413" w:firstLineChars="196"/>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1"/>
          <w:szCs w:val="21"/>
          <w:highlight w:val="none"/>
        </w:rPr>
        <w:t>3.1符合性审查。</w:t>
      </w:r>
      <w:r>
        <w:rPr>
          <w:rFonts w:hint="eastAsia" w:ascii="宋体" w:hAnsi="宋体" w:eastAsia="宋体" w:cs="宋体"/>
          <w:color w:val="auto"/>
          <w:kern w:val="0"/>
          <w:sz w:val="21"/>
          <w:szCs w:val="21"/>
          <w:highlight w:val="none"/>
        </w:rPr>
        <w:t>评标委员会应当对符合资格的投标人的投标文件进行符合性审查，以确定其是否满足招标文件的实质性要求。不满足招标文件的实质性要求的，投标无效。</w:t>
      </w:r>
    </w:p>
    <w:p w14:paraId="49A2FC8F">
      <w:pPr>
        <w:spacing w:line="360" w:lineRule="auto"/>
        <w:ind w:firstLine="413" w:firstLineChars="196"/>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1"/>
          <w:szCs w:val="21"/>
          <w:highlight w:val="none"/>
        </w:rPr>
        <w:t>3.2 比较与评价。</w:t>
      </w:r>
      <w:r>
        <w:rPr>
          <w:rFonts w:hint="eastAsia" w:ascii="宋体" w:hAnsi="宋体" w:eastAsia="宋体" w:cs="宋体"/>
          <w:color w:val="auto"/>
          <w:kern w:val="0"/>
          <w:sz w:val="21"/>
          <w:szCs w:val="21"/>
          <w:highlight w:val="none"/>
        </w:rPr>
        <w:t>评标委员会应当按照招标文件中规定的评标方法和标准，对符合性审查合格的投标文件进行商务和技术评估，综合比较与评价。</w:t>
      </w:r>
    </w:p>
    <w:p w14:paraId="657340B4">
      <w:pPr>
        <w:spacing w:line="360" w:lineRule="auto"/>
        <w:ind w:firstLine="413" w:firstLineChars="196"/>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1"/>
          <w:szCs w:val="21"/>
          <w:highlight w:val="none"/>
        </w:rPr>
        <w:t>3.3汇总商务技术得分。</w:t>
      </w:r>
      <w:r>
        <w:rPr>
          <w:rFonts w:hint="eastAsia" w:ascii="宋体" w:hAnsi="宋体" w:eastAsia="宋体" w:cs="宋体"/>
          <w:color w:val="auto"/>
          <w:kern w:val="0"/>
          <w:sz w:val="21"/>
          <w:szCs w:val="21"/>
          <w:highlight w:val="none"/>
        </w:rPr>
        <w:t>采用综合评分法时，评标委员会各成员应当独立对每个投标人的商务和技术文件进行评价，并汇总商务技术得分情况。</w:t>
      </w:r>
    </w:p>
    <w:p w14:paraId="424B7506">
      <w:pPr>
        <w:spacing w:line="360" w:lineRule="auto"/>
        <w:ind w:firstLine="413" w:firstLineChars="196"/>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3.4报价评审。</w:t>
      </w:r>
    </w:p>
    <w:p w14:paraId="605C33F1">
      <w:pPr>
        <w:pStyle w:val="130"/>
        <w:spacing w:before="0"/>
        <w:ind w:firstLine="445" w:firstLineChars="212"/>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3.4.1投标文件报价出现前后不一致的，按照下列规定修正：</w:t>
      </w:r>
    </w:p>
    <w:p w14:paraId="35822D71">
      <w:pPr>
        <w:pStyle w:val="130"/>
        <w:spacing w:before="0"/>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3.4.1.1投标文件中开标一览表(报价表)内容与投标文件中相应内容不一致的，以开标一览表(报价表)为准;</w:t>
      </w:r>
    </w:p>
    <w:p w14:paraId="1721FB62">
      <w:pPr>
        <w:pStyle w:val="130"/>
        <w:spacing w:before="0"/>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3.4.1.2大写金额和小写金额不一致的，以大写金额为准;</w:t>
      </w:r>
    </w:p>
    <w:p w14:paraId="48015456">
      <w:pPr>
        <w:pStyle w:val="130"/>
        <w:spacing w:before="0"/>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3.4.1.3单价金额小数点或者百分比有明显错位的，以开标一览表的总价为准，并修改单价;</w:t>
      </w:r>
    </w:p>
    <w:p w14:paraId="3BAC9861">
      <w:pPr>
        <w:pStyle w:val="130"/>
        <w:spacing w:before="0"/>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3.4.1.4总价金额与按单价汇总金额不一致的，以单价金额计算结果为准。</w:t>
      </w:r>
    </w:p>
    <w:p w14:paraId="48BB83A4">
      <w:pPr>
        <w:pStyle w:val="130"/>
        <w:spacing w:before="0"/>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3.4.1.5同时出现两种以上不一致的，按照3.4.1规定的顺序修正。修正后的报价按照财政部第87号令 《政府采购货物和服务招标投标管理办法》第五十一条第二款的规定经投标人确认后产生约束力。</w:t>
      </w:r>
    </w:p>
    <w:p w14:paraId="58C5A0EC">
      <w:pPr>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3.4.2投标文件出现不是唯一的、有选择性投标报价的，投标无效。</w:t>
      </w:r>
    </w:p>
    <w:p w14:paraId="276BDD36">
      <w:pPr>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3.4.3投标报价超过招标文件中规定的预算金额或者最高限价的，投标无效。</w:t>
      </w:r>
    </w:p>
    <w:p w14:paraId="544E0A0D">
      <w:pPr>
        <w:pStyle w:val="130"/>
        <w:spacing w:before="0"/>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3.4.4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14:paraId="2F4EC133">
      <w:pPr>
        <w:snapToGrid w:val="0"/>
        <w:spacing w:line="360" w:lineRule="auto"/>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3.4.4.1</w:t>
      </w:r>
      <w:r>
        <w:rPr>
          <w:rFonts w:hint="eastAsia" w:ascii="宋体" w:hAnsi="宋体" w:eastAsia="宋体" w:cs="宋体"/>
          <w:b/>
          <w:bCs/>
          <w:color w:val="auto"/>
          <w:kern w:val="0"/>
          <w:sz w:val="21"/>
          <w:szCs w:val="21"/>
          <w:highlight w:val="none"/>
          <w:lang w:val="en-US" w:eastAsia="zh-CN" w:bidi="ar-SA"/>
        </w:rPr>
        <w:t>政府采购评审中出现下列情形之一的，评审委员会应当启动异常低价投标（响应）审查程序</w:t>
      </w:r>
      <w:r>
        <w:rPr>
          <w:rFonts w:hint="eastAsia" w:ascii="宋体" w:hAnsi="宋体" w:eastAsia="宋体" w:cs="宋体"/>
          <w:color w:val="auto"/>
          <w:kern w:val="0"/>
          <w:sz w:val="21"/>
          <w:szCs w:val="21"/>
          <w:highlight w:val="none"/>
          <w:lang w:val="en-US" w:eastAsia="zh-CN" w:bidi="ar-SA"/>
        </w:rPr>
        <w:t xml:space="preserve">: </w:t>
      </w:r>
    </w:p>
    <w:p w14:paraId="525A33C4">
      <w:pPr>
        <w:snapToGrid w:val="0"/>
        <w:spacing w:line="360" w:lineRule="auto"/>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（1）投标（响应）报价低于全部通过符合性审查供应商投标（响应）报价平均值 50%的，即投标（响应）报价&lt;全部通过符合性审查供应商投标（响应）报价平均值×50%； </w:t>
      </w:r>
    </w:p>
    <w:p w14:paraId="69EB4A17">
      <w:pPr>
        <w:snapToGrid w:val="0"/>
        <w:spacing w:line="360" w:lineRule="auto"/>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（2）投标（响应）报价低于通过符合性审查且报价次低供应商投标（响应）报价 50%的，即投标（响应）报价&lt;通过符合性审查且报价次低供应商投标（响应）报价×50%； </w:t>
      </w:r>
    </w:p>
    <w:p w14:paraId="27CF02AE">
      <w:pPr>
        <w:snapToGrid w:val="0"/>
        <w:spacing w:line="360" w:lineRule="auto"/>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（3）投标（响应）报价低于采购项目最高限价 45%的，即投标（响应）报价&lt;采购项目最高限价×45%； </w:t>
      </w:r>
    </w:p>
    <w:p w14:paraId="35FE64CE">
      <w:pPr>
        <w:snapToGrid w:val="0"/>
        <w:spacing w:line="360" w:lineRule="auto"/>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（4）其他评审委员会认为供应商报价过低，有可能影响产品质量或者不能诚信履约的情形。 </w:t>
      </w:r>
    </w:p>
    <w:p w14:paraId="36EB09B5">
      <w:pPr>
        <w:snapToGrid w:val="0"/>
        <w:spacing w:line="360" w:lineRule="auto"/>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3.4.4.2审查工作流程。评审委员会严格按照评审现场说明、综合评估研判和出具处理结果三个步骤开展审查流程。 </w:t>
      </w:r>
    </w:p>
    <w:p w14:paraId="1625A4D2">
      <w:pPr>
        <w:snapToGrid w:val="0"/>
        <w:spacing w:line="360" w:lineRule="auto"/>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1）评审现场说明。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 </w:t>
      </w:r>
    </w:p>
    <w:p w14:paraId="7A9192C6">
      <w:pPr>
        <w:snapToGrid w:val="0"/>
        <w:spacing w:line="360" w:lineRule="auto"/>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（2）综合评估研判。评审委员会应当结合同类产品在主要电商平台的价格、该行业当地薪资水平等情况，依据专业经验对报价合理性进行判断。对异常低价存在争议的，应当按照少数服从多数的原则作出结论。 </w:t>
      </w:r>
    </w:p>
    <w:p w14:paraId="5519A1C7">
      <w:pPr>
        <w:pStyle w:val="130"/>
        <w:spacing w:before="0"/>
        <w:ind w:firstLine="48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出具处理结果。如果投标（响应）供应商不提供书面说明、证明材料，或者提供的书面说明、证明材料不能证明其报价合理性的，应当将其作为无效投标（响应）处理。审查相关情况应当在评审报告中记录。</w:t>
      </w:r>
    </w:p>
    <w:p w14:paraId="477C8702">
      <w:pPr>
        <w:pStyle w:val="130"/>
        <w:spacing w:before="0"/>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3.4.5对于未预留份额专门面向中小企业采购的政府采购项目，以及预留份额政府采购项目中的非预留部分标项，对小型和微型企业的投标报价给予20%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报价给予6%的扣除，用扣除后的价格参加评审。组成联合体或者接受分包的小微企业与联合体内其他企业、分包企业之间存在直接控股、管理关系的，不享受价格扣除优惠政策。</w:t>
      </w:r>
    </w:p>
    <w:p w14:paraId="65C7AA9B">
      <w:pPr>
        <w:spacing w:line="360" w:lineRule="auto"/>
        <w:ind w:firstLine="422" w:firstLineChars="200"/>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3.5排序与推荐。</w:t>
      </w:r>
    </w:p>
    <w:p w14:paraId="24598B5F">
      <w:pPr>
        <w:spacing w:line="360" w:lineRule="auto"/>
        <w:ind w:firstLine="422" w:firstLineChars="200"/>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1"/>
          <w:szCs w:val="21"/>
          <w:highlight w:val="none"/>
        </w:rPr>
        <w:t>3.5.1</w:t>
      </w:r>
      <w:r>
        <w:rPr>
          <w:rFonts w:hint="eastAsia" w:ascii="宋体" w:hAnsi="宋体" w:eastAsia="宋体" w:cs="宋体"/>
          <w:color w:val="auto"/>
          <w:kern w:val="0"/>
          <w:sz w:val="21"/>
          <w:szCs w:val="21"/>
          <w:highlight w:val="none"/>
        </w:rPr>
        <w:t>采用综合评分法的，评标结果按评审后得分由高到低顺序排列。得分相同的，按投标报价由低到高顺序排列。得分相同且投标报价相同的，按技术指标优劣顺序排列。投标文件满足招标文件全部实质性要求，且按照评审因素的量化指标评审得分最高的投标人为排名第一的中标候选人。</w:t>
      </w:r>
    </w:p>
    <w:p w14:paraId="41F1D966">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31CB8C51">
      <w:pPr>
        <w:pStyle w:val="8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3.5.2采用最低评标价法的，评标结果按投标报价由低到高顺序排列。评标价相同时，由评标委员会根据投标文件中技术、服务、合同条款及其它实质性要求等情况，按照择优选择的原则，集体讨论确定排序，并按确定排序由优到劣的原则推荐中标候选人。投标文件满足招标文件全部实质性要求且投标报价最低的投标人为排名第一的中标候选人。</w:t>
      </w:r>
    </w:p>
    <w:p w14:paraId="744FA726">
      <w:pPr>
        <w:pStyle w:val="8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多家投标人提供相同品牌产品（单一产品采购项目中的该产品或者非单一产品采购项目的核心产品）且通过资格审查、符合性审查的不同投标人参加同一合同项下投标的，按一家投标人计算，评审后报价最低的同品牌投标人获得中标人推荐资格；报价相同的，由采购人或者采购人委托评标委员会按照招标文件规定的方式确定一个投标人获得中标人推荐资格，招标文件未规定的采取随机抽取方式确定，其他同品牌投标人不作为中标候选人。</w:t>
      </w:r>
    </w:p>
    <w:p w14:paraId="77FCB9B3">
      <w:pPr>
        <w:spacing w:line="360" w:lineRule="auto"/>
        <w:ind w:firstLine="413" w:firstLineChars="196"/>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1"/>
          <w:szCs w:val="21"/>
          <w:highlight w:val="none"/>
        </w:rPr>
        <w:t>3.6编写评标报告。</w:t>
      </w:r>
      <w:r>
        <w:rPr>
          <w:rFonts w:hint="eastAsia" w:ascii="宋体" w:hAnsi="宋体" w:eastAsia="宋体" w:cs="宋体"/>
          <w:color w:val="auto"/>
          <w:kern w:val="0"/>
          <w:sz w:val="21"/>
          <w:szCs w:val="21"/>
          <w:highlight w:val="none"/>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32F5CD1B">
      <w:pPr>
        <w:widowControl/>
        <w:shd w:val="clear" w:color="auto" w:fill="FFFFFF"/>
        <w:adjustRightInd/>
        <w:spacing w:line="360" w:lineRule="auto"/>
        <w:jc w:val="left"/>
        <w:outlineLvl w:val="1"/>
        <w:rPr>
          <w:rFonts w:hint="eastAsia" w:ascii="宋体" w:hAnsi="宋体" w:eastAsia="宋体" w:cs="宋体"/>
          <w:b/>
          <w:color w:val="auto"/>
          <w:sz w:val="32"/>
          <w:highlight w:val="none"/>
        </w:rPr>
      </w:pPr>
      <w:r>
        <w:rPr>
          <w:rFonts w:hint="eastAsia" w:ascii="宋体" w:hAnsi="宋体" w:eastAsia="宋体" w:cs="宋体"/>
          <w:b/>
          <w:color w:val="auto"/>
          <w:sz w:val="32"/>
          <w:highlight w:val="none"/>
        </w:rPr>
        <w:t>四、评标中的其他事项</w:t>
      </w:r>
    </w:p>
    <w:p w14:paraId="66B7C93B">
      <w:pPr>
        <w:pStyle w:val="130"/>
        <w:spacing w:before="0"/>
        <w:ind w:firstLine="413" w:firstLineChars="196"/>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1"/>
          <w:szCs w:val="21"/>
          <w:highlight w:val="none"/>
        </w:rPr>
        <w:t>4.1投标人澄清、说明或者补正。</w:t>
      </w:r>
      <w:r>
        <w:rPr>
          <w:rFonts w:hint="eastAsia" w:ascii="宋体" w:hAnsi="宋体" w:eastAsia="宋体" w:cs="宋体"/>
          <w:color w:val="auto"/>
          <w:kern w:val="0"/>
          <w:sz w:val="21"/>
          <w:szCs w:val="21"/>
          <w:highlight w:val="none"/>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5E4E62A1">
      <w:pPr>
        <w:pStyle w:val="21"/>
        <w:spacing w:line="360" w:lineRule="auto"/>
        <w:ind w:left="954" w:leftChars="226" w:hanging="479" w:firstLineChars="0"/>
        <w:rPr>
          <w:rFonts w:hint="eastAsia" w:ascii="宋体" w:hAnsi="宋体" w:eastAsia="宋体" w:cs="宋体"/>
          <w:color w:val="auto"/>
          <w:sz w:val="21"/>
          <w:szCs w:val="21"/>
          <w:highlight w:val="none"/>
        </w:rPr>
      </w:pPr>
      <w:r>
        <w:rPr>
          <w:rFonts w:hint="eastAsia" w:ascii="宋体" w:hAnsi="宋体" w:eastAsia="宋体" w:cs="宋体"/>
          <w:b/>
          <w:color w:val="auto"/>
          <w:kern w:val="0"/>
          <w:sz w:val="21"/>
          <w:szCs w:val="21"/>
          <w:highlight w:val="none"/>
        </w:rPr>
        <w:t>4.2投标无效。</w:t>
      </w:r>
      <w:r>
        <w:rPr>
          <w:rFonts w:hint="eastAsia" w:ascii="宋体" w:hAnsi="宋体" w:eastAsia="宋体" w:cs="宋体"/>
          <w:color w:val="auto"/>
          <w:sz w:val="21"/>
          <w:szCs w:val="21"/>
          <w:highlight w:val="none"/>
        </w:rPr>
        <w:t>有下列情形之一的，投标无效：</w:t>
      </w:r>
    </w:p>
    <w:p w14:paraId="2A6630A5">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4.2.1投标人不具备招标文件中规定的资格要求的（投标人未提供有效的资格文件的，视为投标人不具备招标文件中规定的资格要求）；</w:t>
      </w:r>
    </w:p>
    <w:p w14:paraId="7C2B3834">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4.2.2投标文件未按照招标文件要求签署、盖章的；</w:t>
      </w:r>
    </w:p>
    <w:p w14:paraId="13BDA0CD">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4.2.3采购人拟采购的产品属于政府强制采购的节能产品品目清单范围的，投标人相应的投标产品未获得国家确定的认证机构出具的、处于有效期之内的节能产品认证证书的；</w:t>
      </w:r>
    </w:p>
    <w:p w14:paraId="586151EC">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4.2.4投标文件含有采购人不能接受的附加条件的；</w:t>
      </w:r>
    </w:p>
    <w:p w14:paraId="42CA187A">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4.2.5投标文件中承诺的投标有效期少于招标文件中载明的投标有效期的；</w:t>
      </w:r>
    </w:p>
    <w:p w14:paraId="7179FCC6">
      <w:pPr>
        <w:snapToGrid w:val="0"/>
        <w:spacing w:line="360" w:lineRule="auto"/>
        <w:ind w:firstLine="105" w:firstLineChars="5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4.2.6投标文件出现不是唯一的、有选择性投标报价的;</w:t>
      </w:r>
    </w:p>
    <w:p w14:paraId="16BE0967">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4.2.7投标报价超过招标文件中规定的预算金额或者最高限价的;</w:t>
      </w:r>
    </w:p>
    <w:p w14:paraId="194AF194">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4.2.8报价明显低于其他通过符合性审查投标人的报价，有可能影响产品质量或者不能诚信履约的，未能按要求提供书面说明或者提交相关证明材料，不能证明其报价合理性的;</w:t>
      </w:r>
    </w:p>
    <w:p w14:paraId="249FAE03">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4.2.9投标人对根据修正原则修正后的报价不确认的；</w:t>
      </w:r>
    </w:p>
    <w:p w14:paraId="711AF816">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4.2.10投标人提供虚假材料投标的；</w:t>
      </w:r>
    </w:p>
    <w:p w14:paraId="54444931">
      <w:pPr>
        <w:spacing w:line="360" w:lineRule="auto"/>
        <w:ind w:firstLine="210" w:firstLineChars="1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4.2.11投标人有恶意串通、妨碍其他投标人的竞争行为、损害采购人或者其他投标人的合法权益情形的；</w:t>
      </w:r>
    </w:p>
    <w:p w14:paraId="68F31CE1">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4.2.12投标人仅提交备份投标文件，未在电子交易平台传输递交投标文件的，投标无效；</w:t>
      </w:r>
    </w:p>
    <w:p w14:paraId="042E1DD2">
      <w:pPr>
        <w:pStyle w:val="84"/>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4.2.13 投标文件不满足招标文件的其它实质性要求的；</w:t>
      </w:r>
    </w:p>
    <w:p w14:paraId="28725EA9">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4.2.14法律、法规、规章（适用本市的）及省级以上规范性文件（适用本市的）规定的其他无效情形。</w:t>
      </w:r>
    </w:p>
    <w:p w14:paraId="2A1F7D03">
      <w:pPr>
        <w:pStyle w:val="21"/>
        <w:snapToGrid w:val="0"/>
        <w:spacing w:line="360" w:lineRule="auto"/>
        <w:ind w:firstLine="413" w:firstLineChars="196"/>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5.废标。</w:t>
      </w:r>
      <w:r>
        <w:rPr>
          <w:rFonts w:hint="eastAsia" w:ascii="宋体" w:hAnsi="宋体" w:eastAsia="宋体" w:cs="宋体"/>
          <w:color w:val="auto"/>
          <w:sz w:val="21"/>
          <w:szCs w:val="21"/>
          <w:highlight w:val="none"/>
        </w:rPr>
        <w:t>根据《中华人民共和国政府采购法》第三十六条之规定，在采购中，出现下列情形之一的，应予废标：</w:t>
      </w:r>
    </w:p>
    <w:p w14:paraId="5A4E8F45">
      <w:pPr>
        <w:pStyle w:val="21"/>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5.1符合专业条件的</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或者对招标文件作实质响应的</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不足3家的；</w:t>
      </w:r>
    </w:p>
    <w:p w14:paraId="5EC54535">
      <w:pPr>
        <w:pStyle w:val="21"/>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5.2出现影响采购公正的违法、违规行为的；</w:t>
      </w:r>
    </w:p>
    <w:p w14:paraId="309AF7AA">
      <w:pPr>
        <w:pStyle w:val="21"/>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5.3投标人的报价均超过了采购预算，采购人不能支付的；</w:t>
      </w:r>
    </w:p>
    <w:p w14:paraId="3BF35727">
      <w:pPr>
        <w:pStyle w:val="21"/>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5.4因重大变故，采购任务取消的。</w:t>
      </w:r>
    </w:p>
    <w:p w14:paraId="5D876678">
      <w:pPr>
        <w:pStyle w:val="21"/>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废标后，采购代理机构应当将废标理由通知所有投标人。</w:t>
      </w:r>
    </w:p>
    <w:p w14:paraId="365DAA25">
      <w:pPr>
        <w:pStyle w:val="21"/>
        <w:snapToGrid w:val="0"/>
        <w:spacing w:line="360" w:lineRule="auto"/>
        <w:ind w:firstLine="482"/>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6.修改招标文件，重新组织采购活动。</w:t>
      </w:r>
      <w:r>
        <w:rPr>
          <w:rFonts w:hint="eastAsia" w:ascii="宋体" w:hAnsi="宋体" w:eastAsia="宋体" w:cs="宋体"/>
          <w:color w:val="auto"/>
          <w:sz w:val="21"/>
          <w:szCs w:val="21"/>
          <w:highlight w:val="none"/>
        </w:rPr>
        <w:t>评标委员会发现招标文件存在歧义、重大缺陷导致评标工作无法进行，或者招标文件内容违反国家有关强制性规定的，将停止评标工作，并与采购人、采购代理机构沟通并作书面记录。采购人、采购代理机构确认后，将修改招标文件，重新组织采购活动。</w:t>
      </w:r>
    </w:p>
    <w:p w14:paraId="1DD3BAB2">
      <w:pPr>
        <w:pStyle w:val="21"/>
        <w:snapToGrid w:val="0"/>
        <w:spacing w:line="360" w:lineRule="auto"/>
        <w:ind w:firstLine="482"/>
        <w:rPr>
          <w:rFonts w:hint="eastAsia" w:ascii="宋体" w:hAnsi="宋体" w:eastAsia="宋体" w:cs="宋体"/>
          <w:color w:val="auto"/>
          <w:sz w:val="21"/>
          <w:szCs w:val="21"/>
          <w:highlight w:val="none"/>
        </w:rPr>
      </w:pPr>
      <w:r>
        <w:rPr>
          <w:rFonts w:hint="eastAsia" w:ascii="宋体" w:hAnsi="宋体" w:eastAsia="宋体" w:cs="宋体"/>
          <w:b/>
          <w:color w:val="auto"/>
          <w:kern w:val="0"/>
          <w:sz w:val="21"/>
          <w:szCs w:val="21"/>
          <w:highlight w:val="none"/>
        </w:rPr>
        <w:t>7.重新开展采购。</w:t>
      </w:r>
      <w:r>
        <w:rPr>
          <w:rFonts w:hint="eastAsia" w:ascii="宋体" w:hAnsi="宋体" w:eastAsia="宋体" w:cs="宋体"/>
          <w:color w:val="auto"/>
          <w:sz w:val="21"/>
          <w:szCs w:val="21"/>
          <w:highlight w:val="none"/>
        </w:rPr>
        <w:t>有政府采购法第七十一条、第七十二条规定的违法行为之一，影响或者可能影响中标结果的，依照下列规定处理：</w:t>
      </w:r>
    </w:p>
    <w:p w14:paraId="3C21ED1E">
      <w:pPr>
        <w:pStyle w:val="21"/>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7.1未确定中标</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的，终止本次政府采购活动，重新开展政府采购活动。</w:t>
      </w:r>
    </w:p>
    <w:p w14:paraId="7052887F">
      <w:pPr>
        <w:pStyle w:val="21"/>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7.2已确定中标</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但尚未签订政府采购合同的，中标结果无效，从合格的中标候选人中另行确定中标</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；没有合格的中标候选人的，重新开展政府采购活动。</w:t>
      </w:r>
    </w:p>
    <w:p w14:paraId="484C3784">
      <w:pPr>
        <w:pStyle w:val="21"/>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7.3政府采购合同已签订但尚未履行的，撤销合同，从合格的中标候选人中另行确定中标</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；没有合格的中标候选人的，重新开展政府采购活动。</w:t>
      </w:r>
    </w:p>
    <w:p w14:paraId="22F829B3">
      <w:pPr>
        <w:pStyle w:val="21"/>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7.4政府采购合同已经履行，给采购人、</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造成损失的，由责任人承担赔偿责任。</w:t>
      </w:r>
    </w:p>
    <w:p w14:paraId="7F86AB11">
      <w:pPr>
        <w:pStyle w:val="21"/>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7.5政府采购当事人有其他违反政府采购法或者政府采购法实施条例等法律法规规定的行为，经改正后仍然影响或者可能影响中标结果或者依法被认定为中标无效的，依照7.1-7.4规定处理。</w:t>
      </w:r>
    </w:p>
    <w:p w14:paraId="40BA667F">
      <w:pPr>
        <w:pStyle w:val="84"/>
        <w:ind w:firstLine="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五、评审过程的保密与录像</w:t>
      </w:r>
    </w:p>
    <w:p w14:paraId="3074AF98">
      <w:pPr>
        <w:widowControl/>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8.1.保密。</w:t>
      </w:r>
      <w:r>
        <w:rPr>
          <w:rFonts w:hint="eastAsia" w:ascii="宋体" w:hAnsi="宋体" w:eastAsia="宋体" w:cs="宋体"/>
          <w:color w:val="auto"/>
          <w:sz w:val="21"/>
          <w:szCs w:val="21"/>
          <w:highlight w:val="none"/>
        </w:rPr>
        <w:t>评审活动在严格保密的情况下进行。评审过程中凡是与投标文件评审和比较、中标</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推荐等评审有关的情况，以及涉及国家秘密和商业秘密等信息，评标委员会成员、采购人和采购代理机构工作人员、相关监督人员等与评审有关的人员应当予以保密。</w:t>
      </w:r>
    </w:p>
    <w:p w14:paraId="6C66A0F0">
      <w:pPr>
        <w:pStyle w:val="21"/>
        <w:snapToGrid w:val="0"/>
        <w:spacing w:line="360" w:lineRule="auto"/>
        <w:ind w:firstLine="482"/>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8.2.录音录像。</w:t>
      </w:r>
      <w:r>
        <w:rPr>
          <w:rFonts w:hint="eastAsia" w:ascii="宋体" w:hAnsi="宋体" w:eastAsia="宋体" w:cs="宋体"/>
          <w:color w:val="auto"/>
          <w:sz w:val="21"/>
          <w:szCs w:val="21"/>
          <w:highlight w:val="none"/>
        </w:rPr>
        <w:t>采购代理机构对评审工作现场进行全过程录音录像，录音录像资料作为采购项目文件随其他文件一并存档。</w:t>
      </w:r>
    </w:p>
    <w:bookmarkEnd w:id="43"/>
    <w:p w14:paraId="72AC9883">
      <w:pPr>
        <w:spacing w:line="360" w:lineRule="auto"/>
        <w:ind w:left="720" w:leftChars="343" w:firstLine="1084" w:firstLineChars="300"/>
        <w:rPr>
          <w:rFonts w:hint="eastAsia" w:ascii="宋体" w:hAnsi="宋体" w:eastAsia="宋体" w:cs="宋体"/>
          <w:b/>
          <w:color w:val="auto"/>
          <w:sz w:val="36"/>
          <w:szCs w:val="36"/>
          <w:highlight w:val="none"/>
        </w:rPr>
      </w:pPr>
      <w:bookmarkStart w:id="414" w:name="第五部分"/>
      <w:bookmarkStart w:id="415" w:name="_Toc86217003"/>
      <w:r>
        <w:rPr>
          <w:rFonts w:hint="eastAsia" w:ascii="宋体" w:hAnsi="宋体" w:eastAsia="宋体" w:cs="宋体"/>
          <w:b/>
          <w:color w:val="auto"/>
          <w:sz w:val="36"/>
          <w:szCs w:val="36"/>
          <w:highlight w:val="none"/>
        </w:rPr>
        <w:t xml:space="preserve"> </w:t>
      </w:r>
    </w:p>
    <w:p w14:paraId="6A8561B4">
      <w:pPr>
        <w:pStyle w:val="84"/>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67796B00">
      <w:pPr>
        <w:pStyle w:val="84"/>
        <w:rPr>
          <w:rFonts w:hint="eastAsia" w:ascii="宋体" w:hAnsi="宋体" w:eastAsia="宋体" w:cs="宋体"/>
          <w:color w:val="auto"/>
          <w:highlight w:val="none"/>
        </w:rPr>
      </w:pPr>
    </w:p>
    <w:p w14:paraId="0B79C4D7">
      <w:pPr>
        <w:spacing w:line="360" w:lineRule="auto"/>
        <w:jc w:val="center"/>
        <w:outlineLvl w:val="0"/>
        <w:rPr>
          <w:rFonts w:hint="eastAsia" w:ascii="宋体" w:hAnsi="宋体" w:eastAsia="宋体" w:cs="宋体"/>
          <w:b/>
          <w:color w:val="auto"/>
          <w:sz w:val="36"/>
          <w:szCs w:val="36"/>
          <w:highlight w:val="none"/>
        </w:rPr>
      </w:pPr>
      <w:bookmarkStart w:id="416" w:name="_Toc176185125"/>
      <w:bookmarkStart w:id="417" w:name="_Toc4803"/>
      <w:r>
        <w:rPr>
          <w:rFonts w:hint="eastAsia" w:ascii="宋体" w:hAnsi="宋体" w:eastAsia="宋体" w:cs="宋体"/>
          <w:b/>
          <w:color w:val="auto"/>
          <w:sz w:val="36"/>
          <w:szCs w:val="36"/>
          <w:highlight w:val="none"/>
        </w:rPr>
        <w:t>第五部分  拟签订的合同文本</w:t>
      </w:r>
      <w:bookmarkEnd w:id="416"/>
      <w:bookmarkEnd w:id="417"/>
    </w:p>
    <w:p w14:paraId="08928307">
      <w:pPr>
        <w:adjustRightInd/>
        <w:spacing w:line="600" w:lineRule="exact"/>
        <w:ind w:firstLine="1044"/>
        <w:rPr>
          <w:rFonts w:hint="eastAsia" w:ascii="宋体" w:hAnsi="宋体" w:eastAsia="宋体" w:cs="宋体"/>
          <w:b/>
          <w:color w:val="auto"/>
          <w:kern w:val="0"/>
          <w:sz w:val="52"/>
          <w:szCs w:val="52"/>
          <w:highlight w:val="none"/>
        </w:rPr>
      </w:pPr>
    </w:p>
    <w:p w14:paraId="0C7C30F3">
      <w:pPr>
        <w:adjustRightInd/>
        <w:jc w:val="center"/>
        <w:rPr>
          <w:rFonts w:hint="eastAsia" w:ascii="宋体" w:hAnsi="宋体" w:eastAsia="宋体" w:cs="宋体"/>
          <w:b/>
          <w:bCs/>
          <w:color w:val="auto"/>
          <w:spacing w:val="-20"/>
          <w:kern w:val="44"/>
          <w:sz w:val="48"/>
          <w:szCs w:val="48"/>
          <w:highlight w:val="none"/>
        </w:rPr>
      </w:pPr>
      <w:bookmarkStart w:id="418" w:name="_Toc3995"/>
    </w:p>
    <w:p w14:paraId="21DA0086">
      <w:pPr>
        <w:adjustRightInd/>
        <w:jc w:val="center"/>
        <w:rPr>
          <w:rFonts w:hint="eastAsia" w:ascii="宋体" w:hAnsi="宋体" w:eastAsia="宋体" w:cs="宋体"/>
          <w:b/>
          <w:bCs/>
          <w:color w:val="auto"/>
          <w:spacing w:val="-20"/>
          <w:kern w:val="44"/>
          <w:sz w:val="48"/>
          <w:szCs w:val="48"/>
          <w:highlight w:val="none"/>
        </w:rPr>
      </w:pPr>
    </w:p>
    <w:p w14:paraId="495E9C82">
      <w:pPr>
        <w:adjustRightInd/>
        <w:jc w:val="center"/>
        <w:rPr>
          <w:rFonts w:hint="eastAsia" w:ascii="宋体" w:hAnsi="宋体" w:eastAsia="宋体" w:cs="宋体"/>
          <w:b/>
          <w:bCs/>
          <w:color w:val="auto"/>
          <w:spacing w:val="-20"/>
          <w:kern w:val="44"/>
          <w:sz w:val="48"/>
          <w:szCs w:val="48"/>
          <w:highlight w:val="none"/>
        </w:rPr>
      </w:pPr>
    </w:p>
    <w:p w14:paraId="72BAF410">
      <w:pPr>
        <w:adjustRightInd/>
        <w:jc w:val="center"/>
        <w:rPr>
          <w:rFonts w:hint="eastAsia" w:ascii="宋体" w:hAnsi="宋体" w:eastAsia="宋体" w:cs="宋体"/>
          <w:b/>
          <w:bCs/>
          <w:color w:val="auto"/>
          <w:spacing w:val="-20"/>
          <w:kern w:val="44"/>
          <w:sz w:val="48"/>
          <w:szCs w:val="48"/>
          <w:highlight w:val="none"/>
        </w:rPr>
      </w:pPr>
    </w:p>
    <w:p w14:paraId="2C1CD3CF">
      <w:pPr>
        <w:adjustRightInd/>
        <w:jc w:val="center"/>
        <w:rPr>
          <w:rFonts w:hint="eastAsia" w:ascii="宋体" w:hAnsi="宋体" w:eastAsia="宋体" w:cs="宋体"/>
          <w:b/>
          <w:bCs/>
          <w:color w:val="auto"/>
          <w:spacing w:val="-20"/>
          <w:kern w:val="44"/>
          <w:sz w:val="48"/>
          <w:szCs w:val="48"/>
          <w:highlight w:val="none"/>
        </w:rPr>
      </w:pPr>
    </w:p>
    <w:p w14:paraId="6B14FA1F">
      <w:pPr>
        <w:adjustRightInd/>
        <w:jc w:val="center"/>
        <w:rPr>
          <w:rFonts w:hint="eastAsia" w:ascii="宋体" w:hAnsi="宋体" w:eastAsia="宋体" w:cs="宋体"/>
          <w:b/>
          <w:bCs/>
          <w:color w:val="auto"/>
          <w:spacing w:val="-20"/>
          <w:kern w:val="44"/>
          <w:sz w:val="48"/>
          <w:szCs w:val="48"/>
          <w:highlight w:val="none"/>
        </w:rPr>
      </w:pPr>
      <w:r>
        <w:rPr>
          <w:rFonts w:hint="eastAsia" w:ascii="宋体" w:hAnsi="宋体" w:eastAsia="宋体" w:cs="宋体"/>
          <w:b/>
          <w:bCs/>
          <w:color w:val="auto"/>
          <w:spacing w:val="-20"/>
          <w:kern w:val="44"/>
          <w:sz w:val="48"/>
          <w:szCs w:val="48"/>
          <w:highlight w:val="none"/>
        </w:rPr>
        <w:t>政府采购货物买卖合同</w:t>
      </w:r>
    </w:p>
    <w:p w14:paraId="3B1CA4E0">
      <w:pPr>
        <w:adjustRightInd/>
        <w:jc w:val="center"/>
        <w:rPr>
          <w:rFonts w:hint="eastAsia" w:ascii="宋体" w:hAnsi="宋体" w:eastAsia="宋体" w:cs="宋体"/>
          <w:b/>
          <w:bCs/>
          <w:color w:val="auto"/>
          <w:spacing w:val="-20"/>
          <w:kern w:val="44"/>
          <w:sz w:val="48"/>
          <w:szCs w:val="48"/>
          <w:highlight w:val="none"/>
        </w:rPr>
      </w:pPr>
    </w:p>
    <w:p w14:paraId="3F61F893">
      <w:pPr>
        <w:adjustRightInd/>
        <w:rPr>
          <w:rFonts w:hint="eastAsia" w:ascii="宋体" w:hAnsi="宋体" w:eastAsia="宋体" w:cs="宋体"/>
          <w:b/>
          <w:bCs/>
          <w:color w:val="auto"/>
          <w:spacing w:val="-20"/>
          <w:kern w:val="44"/>
          <w:sz w:val="40"/>
          <w:szCs w:val="40"/>
          <w:highlight w:val="none"/>
        </w:rPr>
      </w:pPr>
    </w:p>
    <w:p w14:paraId="1293C82D">
      <w:pPr>
        <w:adjustRightInd/>
        <w:rPr>
          <w:rFonts w:hint="eastAsia" w:ascii="宋体" w:hAnsi="宋体" w:eastAsia="宋体" w:cs="宋体"/>
          <w:b/>
          <w:bCs/>
          <w:color w:val="auto"/>
          <w:spacing w:val="-20"/>
          <w:kern w:val="44"/>
          <w:sz w:val="40"/>
          <w:szCs w:val="40"/>
          <w:highlight w:val="none"/>
        </w:rPr>
      </w:pPr>
    </w:p>
    <w:p w14:paraId="6FE62519">
      <w:pPr>
        <w:adjustRightInd/>
        <w:rPr>
          <w:rFonts w:hint="eastAsia" w:ascii="宋体" w:hAnsi="宋体" w:eastAsia="宋体" w:cs="宋体"/>
          <w:b/>
          <w:bCs/>
          <w:color w:val="auto"/>
          <w:spacing w:val="-20"/>
          <w:kern w:val="44"/>
          <w:sz w:val="40"/>
          <w:szCs w:val="40"/>
          <w:highlight w:val="none"/>
        </w:rPr>
      </w:pPr>
    </w:p>
    <w:p w14:paraId="1871D519">
      <w:pPr>
        <w:adjustRightInd/>
        <w:spacing w:line="360" w:lineRule="auto"/>
        <w:rPr>
          <w:rFonts w:hint="eastAsia" w:ascii="宋体" w:hAnsi="宋体" w:eastAsia="宋体" w:cs="宋体"/>
          <w:color w:val="auto"/>
          <w:sz w:val="32"/>
          <w:szCs w:val="32"/>
          <w:highlight w:val="none"/>
        </w:rPr>
      </w:pPr>
      <w:r>
        <w:rPr>
          <w:rFonts w:hint="eastAsia" w:ascii="宋体" w:hAnsi="宋体" w:eastAsia="宋体" w:cs="宋体"/>
          <w:color w:val="auto"/>
          <w:kern w:val="0"/>
          <w:sz w:val="32"/>
          <w:szCs w:val="32"/>
          <w:highlight w:val="none"/>
        </w:rPr>
        <w:t>项目名称：</w:t>
      </w:r>
      <w:r>
        <w:rPr>
          <w:rFonts w:hint="eastAsia" w:ascii="宋体" w:hAnsi="宋体" w:eastAsia="宋体" w:cs="宋体"/>
          <w:color w:val="auto"/>
          <w:sz w:val="32"/>
          <w:szCs w:val="32"/>
          <w:highlight w:val="none"/>
          <w:u w:val="single"/>
        </w:rPr>
        <w:t xml:space="preserve"> </w:t>
      </w:r>
      <w:r>
        <w:rPr>
          <w:rFonts w:hint="eastAsia" w:ascii="宋体" w:hAnsi="宋体" w:cs="宋体"/>
          <w:color w:val="auto"/>
          <w:sz w:val="32"/>
          <w:szCs w:val="32"/>
          <w:highlight w:val="none"/>
          <w:u w:val="single"/>
          <w:lang w:eastAsia="zh-CN"/>
        </w:rPr>
        <w:t>北海市海城区环卫设备更换项目2标（环卫作业车辆）</w:t>
      </w:r>
      <w:r>
        <w:rPr>
          <w:rFonts w:hint="eastAsia" w:ascii="宋体" w:hAnsi="宋体" w:eastAsia="宋体" w:cs="宋体"/>
          <w:color w:val="auto"/>
          <w:sz w:val="32"/>
          <w:szCs w:val="32"/>
          <w:highlight w:val="none"/>
          <w:u w:val="single"/>
        </w:rPr>
        <w:t xml:space="preserve">  </w:t>
      </w:r>
    </w:p>
    <w:p w14:paraId="13D04A4D">
      <w:pPr>
        <w:adjustRightInd/>
        <w:spacing w:line="360" w:lineRule="auto"/>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合同编号：</w:t>
      </w:r>
      <w:r>
        <w:rPr>
          <w:rFonts w:hint="eastAsia" w:ascii="宋体" w:hAnsi="宋体" w:eastAsia="宋体" w:cs="宋体"/>
          <w:color w:val="auto"/>
          <w:sz w:val="32"/>
          <w:szCs w:val="32"/>
          <w:highlight w:val="none"/>
          <w:u w:val="single"/>
        </w:rPr>
        <w:t xml:space="preserve">         </w:t>
      </w:r>
      <w:r>
        <w:rPr>
          <w:rFonts w:hint="eastAsia" w:ascii="宋体" w:hAnsi="宋体" w:cs="宋体"/>
          <w:color w:val="auto"/>
          <w:sz w:val="32"/>
          <w:szCs w:val="32"/>
          <w:highlight w:val="none"/>
          <w:u w:val="single"/>
          <w:lang w:val="en-US" w:eastAsia="zh-CN"/>
        </w:rPr>
        <w:t xml:space="preserve">                  </w:t>
      </w:r>
      <w:r>
        <w:rPr>
          <w:rFonts w:hint="eastAsia" w:ascii="宋体" w:hAnsi="宋体" w:eastAsia="宋体" w:cs="宋体"/>
          <w:color w:val="auto"/>
          <w:sz w:val="32"/>
          <w:szCs w:val="32"/>
          <w:highlight w:val="none"/>
          <w:u w:val="single"/>
        </w:rPr>
        <w:t xml:space="preserve">                    </w:t>
      </w:r>
    </w:p>
    <w:p w14:paraId="278368D0">
      <w:pPr>
        <w:adjustRightInd/>
        <w:spacing w:line="36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甲    方：</w:t>
      </w:r>
      <w:r>
        <w:rPr>
          <w:rFonts w:hint="eastAsia" w:ascii="宋体" w:hAnsi="宋体" w:eastAsia="宋体" w:cs="宋体"/>
          <w:color w:val="auto"/>
          <w:sz w:val="32"/>
          <w:szCs w:val="32"/>
          <w:highlight w:val="none"/>
          <w:u w:val="single"/>
        </w:rPr>
        <w:t xml:space="preserve">      </w:t>
      </w:r>
      <w:r>
        <w:rPr>
          <w:rFonts w:hint="eastAsia" w:ascii="宋体" w:hAnsi="宋体" w:cs="宋体"/>
          <w:color w:val="auto"/>
          <w:sz w:val="32"/>
          <w:szCs w:val="32"/>
          <w:highlight w:val="none"/>
          <w:u w:val="single"/>
          <w:lang w:val="en-US" w:eastAsia="zh-CN"/>
        </w:rPr>
        <w:t xml:space="preserve">  </w:t>
      </w:r>
      <w:r>
        <w:rPr>
          <w:rFonts w:hint="eastAsia" w:ascii="宋体" w:hAnsi="宋体" w:cs="宋体"/>
          <w:color w:val="auto"/>
          <w:sz w:val="32"/>
          <w:szCs w:val="32"/>
          <w:highlight w:val="none"/>
          <w:u w:val="single"/>
          <w:lang w:eastAsia="zh-CN"/>
        </w:rPr>
        <w:t xml:space="preserve">北海市海城区市政管理和交通运输局 </w:t>
      </w:r>
      <w:r>
        <w:rPr>
          <w:rFonts w:hint="eastAsia" w:ascii="宋体" w:hAnsi="宋体" w:eastAsia="宋体" w:cs="宋体"/>
          <w:color w:val="auto"/>
          <w:sz w:val="32"/>
          <w:szCs w:val="32"/>
          <w:highlight w:val="none"/>
          <w:u w:val="single"/>
          <w:lang w:val="en-US" w:eastAsia="zh-CN"/>
        </w:rPr>
        <w:t xml:space="preserve"> </w:t>
      </w:r>
      <w:r>
        <w:rPr>
          <w:rFonts w:hint="eastAsia" w:ascii="宋体" w:hAnsi="宋体" w:eastAsia="宋体" w:cs="宋体"/>
          <w:color w:val="auto"/>
          <w:sz w:val="32"/>
          <w:szCs w:val="32"/>
          <w:highlight w:val="none"/>
          <w:u w:val="single"/>
        </w:rPr>
        <w:t xml:space="preserve">    </w:t>
      </w:r>
    </w:p>
    <w:p w14:paraId="3C8F00EB">
      <w:pPr>
        <w:adjustRightInd/>
        <w:spacing w:line="360" w:lineRule="auto"/>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乙    方：</w:t>
      </w:r>
      <w:r>
        <w:rPr>
          <w:rFonts w:hint="eastAsia" w:ascii="宋体" w:hAnsi="宋体" w:eastAsia="宋体" w:cs="宋体"/>
          <w:color w:val="auto"/>
          <w:sz w:val="32"/>
          <w:szCs w:val="32"/>
          <w:highlight w:val="none"/>
          <w:u w:val="single"/>
        </w:rPr>
        <w:t xml:space="preserve">                       </w:t>
      </w:r>
      <w:r>
        <w:rPr>
          <w:rFonts w:hint="eastAsia" w:ascii="宋体" w:hAnsi="宋体" w:cs="宋体"/>
          <w:color w:val="auto"/>
          <w:sz w:val="32"/>
          <w:szCs w:val="32"/>
          <w:highlight w:val="none"/>
          <w:u w:val="single"/>
          <w:lang w:val="en-US" w:eastAsia="zh-CN"/>
        </w:rPr>
        <w:t xml:space="preserve">                 </w:t>
      </w:r>
      <w:r>
        <w:rPr>
          <w:rFonts w:hint="eastAsia" w:ascii="宋体" w:hAnsi="宋体" w:eastAsia="宋体" w:cs="宋体"/>
          <w:color w:val="auto"/>
          <w:sz w:val="32"/>
          <w:szCs w:val="32"/>
          <w:highlight w:val="none"/>
          <w:u w:val="single"/>
        </w:rPr>
        <w:t xml:space="preserve">      </w:t>
      </w:r>
    </w:p>
    <w:p w14:paraId="70E7B467">
      <w:pPr>
        <w:adjustRightInd/>
        <w:spacing w:line="36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签订时间：</w:t>
      </w:r>
      <w:r>
        <w:rPr>
          <w:rFonts w:hint="eastAsia" w:ascii="宋体" w:hAnsi="宋体" w:eastAsia="宋体" w:cs="宋体"/>
          <w:color w:val="auto"/>
          <w:sz w:val="32"/>
          <w:szCs w:val="32"/>
          <w:highlight w:val="none"/>
          <w:u w:val="single"/>
        </w:rPr>
        <w:t xml:space="preserve">  </w:t>
      </w:r>
      <w:r>
        <w:rPr>
          <w:rFonts w:hint="eastAsia" w:ascii="宋体" w:hAnsi="宋体" w:cs="宋体"/>
          <w:color w:val="auto"/>
          <w:sz w:val="32"/>
          <w:szCs w:val="32"/>
          <w:highlight w:val="none"/>
          <w:u w:val="single"/>
          <w:lang w:val="en-US" w:eastAsia="zh-CN"/>
        </w:rPr>
        <w:t xml:space="preserve">         </w:t>
      </w: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u w:val="single"/>
          <w:lang w:val="en-US" w:eastAsia="zh-CN"/>
        </w:rPr>
        <w:t>20    年     月     日</w:t>
      </w:r>
      <w:r>
        <w:rPr>
          <w:rFonts w:hint="eastAsia" w:ascii="宋体" w:hAnsi="宋体" w:eastAsia="宋体" w:cs="宋体"/>
          <w:color w:val="auto"/>
          <w:sz w:val="32"/>
          <w:szCs w:val="32"/>
          <w:highlight w:val="none"/>
          <w:u w:val="single"/>
        </w:rPr>
        <w:t xml:space="preserve">  </w:t>
      </w:r>
      <w:r>
        <w:rPr>
          <w:rFonts w:hint="eastAsia" w:ascii="宋体" w:hAnsi="宋体" w:cs="宋体"/>
          <w:color w:val="auto"/>
          <w:sz w:val="32"/>
          <w:szCs w:val="32"/>
          <w:highlight w:val="none"/>
          <w:u w:val="single"/>
          <w:lang w:val="en-US" w:eastAsia="zh-CN"/>
        </w:rPr>
        <w:t xml:space="preserve">         </w:t>
      </w: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u w:val="none"/>
        </w:rPr>
        <w:t xml:space="preserve">                  </w:t>
      </w:r>
      <w:r>
        <w:rPr>
          <w:rFonts w:hint="eastAsia" w:ascii="宋体" w:hAnsi="宋体" w:eastAsia="宋体" w:cs="宋体"/>
          <w:color w:val="auto"/>
          <w:sz w:val="32"/>
          <w:szCs w:val="32"/>
          <w:highlight w:val="none"/>
          <w:u w:val="single"/>
        </w:rPr>
        <w:t xml:space="preserve">    </w:t>
      </w:r>
    </w:p>
    <w:p w14:paraId="76CD88A7">
      <w:pPr>
        <w:adjustRightInd/>
        <w:rPr>
          <w:rFonts w:hint="eastAsia" w:ascii="宋体" w:hAnsi="宋体" w:eastAsia="宋体" w:cs="宋体"/>
          <w:color w:val="auto"/>
          <w:highlight w:val="none"/>
        </w:rPr>
      </w:pPr>
    </w:p>
    <w:p w14:paraId="1697F154">
      <w:pPr>
        <w:adjustRightInd/>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44"/>
          <w:szCs w:val="44"/>
          <w:highlight w:val="none"/>
        </w:rPr>
        <w:br w:type="page"/>
      </w:r>
      <w:bookmarkEnd w:id="418"/>
      <w:bookmarkStart w:id="419" w:name="_Toc22209"/>
      <w:r>
        <w:rPr>
          <w:rFonts w:hint="eastAsia" w:ascii="宋体" w:hAnsi="宋体" w:eastAsia="宋体" w:cs="宋体"/>
          <w:color w:val="auto"/>
          <w:sz w:val="21"/>
          <w:szCs w:val="21"/>
          <w:highlight w:val="none"/>
        </w:rPr>
        <w:t>第一节 政府采购合同协议书</w:t>
      </w:r>
      <w:bookmarkEnd w:id="419"/>
    </w:p>
    <w:p w14:paraId="5D32AC94">
      <w:pPr>
        <w:pStyle w:val="84"/>
        <w:outlineLvl w:val="9"/>
        <w:rPr>
          <w:rFonts w:hint="eastAsia" w:ascii="宋体" w:hAnsi="宋体" w:eastAsia="宋体" w:cs="宋体"/>
          <w:color w:val="auto"/>
          <w:sz w:val="21"/>
          <w:szCs w:val="21"/>
          <w:highlight w:val="none"/>
        </w:rPr>
      </w:pPr>
    </w:p>
    <w:p w14:paraId="3C5CFAC7">
      <w:pPr>
        <w:pStyle w:val="84"/>
        <w:ind w:firstLine="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甲方（全称）：</w:t>
      </w:r>
      <w:r>
        <w:rPr>
          <w:rFonts w:hint="eastAsia" w:ascii="宋体" w:hAnsi="宋体" w:eastAsia="宋体" w:cs="宋体"/>
          <w:color w:val="auto"/>
          <w:sz w:val="21"/>
          <w:szCs w:val="21"/>
          <w:highlight w:val="none"/>
          <w:u w:val="single"/>
        </w:rPr>
        <w:t xml:space="preserve"> </w:t>
      </w:r>
      <w:r>
        <w:rPr>
          <w:rFonts w:hint="eastAsia" w:cs="宋体"/>
          <w:color w:val="auto"/>
          <w:sz w:val="21"/>
          <w:szCs w:val="21"/>
          <w:highlight w:val="none"/>
          <w:u w:val="single"/>
          <w:lang w:eastAsia="zh-CN"/>
        </w:rPr>
        <w:t xml:space="preserve">北海市海城区市政管理和交通运输局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（采购人）</w:t>
      </w:r>
    </w:p>
    <w:p w14:paraId="1B35263E">
      <w:pPr>
        <w:pStyle w:val="84"/>
        <w:ind w:firstLine="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w:t>
      </w:r>
    </w:p>
    <w:p w14:paraId="479BD828">
      <w:pPr>
        <w:adjustRightInd/>
        <w:spacing w:line="400" w:lineRule="exact"/>
        <w:outlineLvl w:val="9"/>
        <w:rPr>
          <w:rFonts w:hint="eastAsia" w:ascii="宋体" w:hAnsi="宋体" w:eastAsia="宋体" w:cs="宋体"/>
          <w:color w:val="auto"/>
          <w:sz w:val="21"/>
          <w:szCs w:val="21"/>
          <w:highlight w:val="none"/>
        </w:rPr>
      </w:pPr>
    </w:p>
    <w:p w14:paraId="7E42AAFB">
      <w:pPr>
        <w:pStyle w:val="84"/>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21DC14F4">
      <w:pPr>
        <w:pStyle w:val="84"/>
        <w:ind w:firstLine="0"/>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1.项目信息</w:t>
      </w:r>
    </w:p>
    <w:p w14:paraId="1DA7ACE3">
      <w:pPr>
        <w:pStyle w:val="84"/>
        <w:ind w:firstLine="420" w:firstLineChars="200"/>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（1）采购项目名称：</w:t>
      </w:r>
      <w:r>
        <w:rPr>
          <w:rFonts w:hint="eastAsia" w:ascii="宋体" w:hAnsi="宋体" w:eastAsia="宋体" w:cs="宋体"/>
          <w:color w:val="auto"/>
          <w:sz w:val="21"/>
          <w:szCs w:val="21"/>
          <w:highlight w:val="none"/>
          <w:u w:val="single"/>
        </w:rPr>
        <w:t xml:space="preserve">  </w:t>
      </w:r>
      <w:r>
        <w:rPr>
          <w:rFonts w:hint="eastAsia" w:cs="宋体"/>
          <w:color w:val="auto"/>
          <w:sz w:val="21"/>
          <w:szCs w:val="21"/>
          <w:highlight w:val="none"/>
          <w:u w:val="single"/>
          <w:lang w:eastAsia="zh-CN"/>
        </w:rPr>
        <w:t>北海市海城区环卫设备更换项目2标（环卫作业车辆）</w:t>
      </w:r>
      <w:r>
        <w:rPr>
          <w:rFonts w:hint="eastAsia" w:ascii="宋体" w:hAnsi="宋体" w:eastAsia="宋体" w:cs="宋体"/>
          <w:color w:val="auto"/>
          <w:sz w:val="21"/>
          <w:szCs w:val="21"/>
          <w:highlight w:val="none"/>
          <w:u w:val="single"/>
        </w:rPr>
        <w:t xml:space="preserve">  </w:t>
      </w:r>
    </w:p>
    <w:p w14:paraId="6F19117D">
      <w:pPr>
        <w:pStyle w:val="84"/>
        <w:ind w:firstLine="945" w:firstLineChars="45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采购项目编号：</w:t>
      </w:r>
      <w:r>
        <w:rPr>
          <w:rFonts w:hint="eastAsia" w:ascii="宋体" w:hAnsi="宋体" w:eastAsia="宋体" w:cs="宋体"/>
          <w:color w:val="auto"/>
          <w:sz w:val="21"/>
          <w:szCs w:val="21"/>
          <w:highlight w:val="none"/>
          <w:u w:val="single"/>
        </w:rPr>
        <w:t xml:space="preserve"> </w:t>
      </w:r>
      <w:r>
        <w:rPr>
          <w:rFonts w:hint="eastAsia" w:cs="宋体"/>
          <w:color w:val="auto"/>
          <w:sz w:val="21"/>
          <w:szCs w:val="21"/>
          <w:highlight w:val="none"/>
          <w:u w:val="single"/>
          <w:lang w:eastAsia="zh-CN"/>
        </w:rPr>
        <w:t>BHZC2025-G1-020046-GXKL</w:t>
      </w:r>
      <w:r>
        <w:rPr>
          <w:rFonts w:hint="eastAsia" w:ascii="宋体" w:hAnsi="宋体" w:eastAsia="宋体" w:cs="宋体"/>
          <w:color w:val="auto"/>
          <w:sz w:val="21"/>
          <w:szCs w:val="21"/>
          <w:highlight w:val="none"/>
          <w:u w:val="single"/>
        </w:rPr>
        <w:t xml:space="preserve">  </w:t>
      </w:r>
    </w:p>
    <w:p w14:paraId="58617AE1">
      <w:pPr>
        <w:pStyle w:val="84"/>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（2）采购计划编号：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09579149">
      <w:pPr>
        <w:pStyle w:val="84"/>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（3）项目内容：</w:t>
      </w:r>
    </w:p>
    <w:p w14:paraId="72866C2A">
      <w:pPr>
        <w:pStyle w:val="84"/>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采购标的及数量（台/套</w:t>
      </w:r>
      <w:r>
        <w:rPr>
          <w:rFonts w:hint="eastAsia" w:ascii="宋体" w:hAnsi="宋体" w:eastAsia="宋体" w:cs="宋体"/>
          <w:color w:val="auto"/>
          <w:sz w:val="21"/>
          <w:szCs w:val="21"/>
          <w:highlight w:val="none"/>
          <w:lang w:val="en"/>
        </w:rPr>
        <w:t>/个/架/组等</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2017F44F">
      <w:pPr>
        <w:pStyle w:val="84"/>
        <w:ind w:firstLine="420" w:firstLineChars="200"/>
        <w:outlineLvl w:val="9"/>
        <w:rPr>
          <w:rFonts w:hint="eastAsia" w:ascii="宋体" w:hAnsi="宋体" w:eastAsia="宋体" w:cs="宋体"/>
          <w:color w:val="auto"/>
          <w:sz w:val="21"/>
          <w:szCs w:val="21"/>
          <w:highlight w:val="none"/>
          <w:lang w:val="en"/>
        </w:rPr>
      </w:pPr>
      <w:r>
        <w:rPr>
          <w:rFonts w:hint="eastAsia" w:ascii="宋体" w:hAnsi="宋体" w:eastAsia="宋体" w:cs="宋体"/>
          <w:color w:val="auto"/>
          <w:sz w:val="21"/>
          <w:szCs w:val="21"/>
          <w:highlight w:val="none"/>
        </w:rPr>
        <w:t xml:space="preserve">     品牌：</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lang w:val="en"/>
        </w:rPr>
        <w:t xml:space="preserve">     </w:t>
      </w:r>
      <w:r>
        <w:rPr>
          <w:rFonts w:hint="eastAsia" w:ascii="宋体" w:hAnsi="宋体" w:eastAsia="宋体" w:cs="宋体"/>
          <w:color w:val="auto"/>
          <w:sz w:val="21"/>
          <w:szCs w:val="21"/>
          <w:highlight w:val="none"/>
        </w:rPr>
        <w:t>规格型号：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
        </w:rPr>
        <w:t xml:space="preserve">   </w:t>
      </w:r>
    </w:p>
    <w:p w14:paraId="09F53469">
      <w:pPr>
        <w:pStyle w:val="84"/>
        <w:ind w:firstLine="420" w:firstLineChars="200"/>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采购标的的技术要求、商务要求具体见附件。</w:t>
      </w:r>
    </w:p>
    <w:p w14:paraId="7431435A">
      <w:pPr>
        <w:pStyle w:val="84"/>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
        </w:rPr>
        <w:t>4</w:t>
      </w:r>
      <w:r>
        <w:rPr>
          <w:rFonts w:hint="eastAsia" w:ascii="宋体" w:hAnsi="宋体" w:eastAsia="宋体" w:cs="宋体"/>
          <w:color w:val="auto"/>
          <w:sz w:val="21"/>
          <w:szCs w:val="21"/>
          <w:highlight w:val="none"/>
        </w:rPr>
        <w:t>）政府采购组织形式：</w:t>
      </w: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rPr>
        <w:t xml:space="preserve">政府集中采购  </w:t>
      </w:r>
      <w:r>
        <w:rPr>
          <w:rFonts w:hint="eastAsia" w:ascii="宋体" w:hAnsi="宋体" w:eastAsia="宋体" w:cs="宋体"/>
          <w:color w:val="auto"/>
          <w:sz w:val="21"/>
          <w:szCs w:val="21"/>
          <w:highlight w:val="none"/>
        </w:rPr>
        <w:sym w:font="Wingdings" w:char="F0A8"/>
      </w:r>
      <w:r>
        <w:rPr>
          <w:rFonts w:hint="eastAsia" w:ascii="宋体" w:hAnsi="宋体" w:eastAsia="宋体" w:cs="宋体"/>
          <w:color w:val="auto"/>
          <w:sz w:val="21"/>
          <w:szCs w:val="21"/>
          <w:highlight w:val="none"/>
        </w:rPr>
        <w:t xml:space="preserve">部门集中采购  </w:t>
      </w:r>
      <w:r>
        <w:rPr>
          <w:rFonts w:hint="eastAsia" w:ascii="宋体" w:hAnsi="宋体" w:eastAsia="宋体" w:cs="宋体"/>
          <w:color w:val="auto"/>
          <w:sz w:val="21"/>
          <w:szCs w:val="21"/>
          <w:highlight w:val="none"/>
        </w:rPr>
        <w:sym w:font="Wingdings" w:char="00FE"/>
      </w:r>
      <w:r>
        <w:rPr>
          <w:rFonts w:hint="eastAsia" w:ascii="宋体" w:hAnsi="宋体" w:eastAsia="宋体" w:cs="宋体"/>
          <w:color w:val="auto"/>
          <w:sz w:val="21"/>
          <w:szCs w:val="21"/>
          <w:highlight w:val="none"/>
        </w:rPr>
        <w:t>分散采购</w:t>
      </w:r>
    </w:p>
    <w:p w14:paraId="18FDB6F4">
      <w:pPr>
        <w:pStyle w:val="84"/>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
        </w:rPr>
        <w:t>5</w:t>
      </w:r>
      <w:r>
        <w:rPr>
          <w:rFonts w:hint="eastAsia" w:ascii="宋体" w:hAnsi="宋体" w:eastAsia="宋体" w:cs="宋体"/>
          <w:color w:val="auto"/>
          <w:sz w:val="21"/>
          <w:szCs w:val="21"/>
          <w:highlight w:val="none"/>
        </w:rPr>
        <w:t>）政府采购方式：</w:t>
      </w:r>
      <w:r>
        <w:rPr>
          <w:rFonts w:hint="eastAsia" w:ascii="宋体" w:hAnsi="宋体" w:eastAsia="宋体" w:cs="宋体"/>
          <w:color w:val="auto"/>
          <w:sz w:val="21"/>
          <w:szCs w:val="21"/>
          <w:highlight w:val="none"/>
        </w:rPr>
        <w:sym w:font="Wingdings" w:char="00FE"/>
      </w:r>
      <w:r>
        <w:rPr>
          <w:rFonts w:hint="eastAsia" w:ascii="宋体" w:hAnsi="宋体" w:eastAsia="宋体" w:cs="宋体"/>
          <w:color w:val="auto"/>
          <w:sz w:val="21"/>
          <w:szCs w:val="21"/>
          <w:highlight w:val="none"/>
        </w:rPr>
        <w:t xml:space="preserve">公开招标 </w:t>
      </w:r>
      <w:r>
        <w:rPr>
          <w:rFonts w:hint="eastAsia" w:ascii="宋体" w:hAnsi="宋体" w:eastAsia="宋体" w:cs="宋体"/>
          <w:color w:val="auto"/>
          <w:sz w:val="21"/>
          <w:szCs w:val="21"/>
          <w:highlight w:val="none"/>
        </w:rPr>
        <w:sym w:font="Wingdings" w:char="F0A8"/>
      </w:r>
      <w:r>
        <w:rPr>
          <w:rFonts w:hint="eastAsia" w:ascii="宋体" w:hAnsi="宋体" w:eastAsia="宋体" w:cs="宋体"/>
          <w:color w:val="auto"/>
          <w:sz w:val="21"/>
          <w:szCs w:val="21"/>
          <w:highlight w:val="none"/>
        </w:rPr>
        <w:t xml:space="preserve">邀请招标 </w:t>
      </w:r>
      <w:r>
        <w:rPr>
          <w:rFonts w:hint="eastAsia" w:ascii="宋体" w:hAnsi="宋体" w:eastAsia="宋体" w:cs="宋体"/>
          <w:color w:val="auto"/>
          <w:sz w:val="21"/>
          <w:szCs w:val="21"/>
          <w:highlight w:val="none"/>
        </w:rPr>
        <w:sym w:font="Wingdings" w:char="F0A8"/>
      </w:r>
      <w:r>
        <w:rPr>
          <w:rFonts w:hint="eastAsia" w:ascii="宋体" w:hAnsi="宋体" w:eastAsia="宋体" w:cs="宋体"/>
          <w:color w:val="auto"/>
          <w:sz w:val="21"/>
          <w:szCs w:val="21"/>
          <w:highlight w:val="none"/>
        </w:rPr>
        <w:t xml:space="preserve">竞争性谈判 </w:t>
      </w:r>
      <w:r>
        <w:rPr>
          <w:rFonts w:hint="eastAsia" w:ascii="宋体" w:hAnsi="宋体" w:eastAsia="宋体" w:cs="宋体"/>
          <w:color w:val="auto"/>
          <w:sz w:val="21"/>
          <w:szCs w:val="21"/>
          <w:highlight w:val="none"/>
        </w:rPr>
        <w:sym w:font="Wingdings" w:char="F0A8"/>
      </w:r>
      <w:r>
        <w:rPr>
          <w:rFonts w:hint="eastAsia" w:ascii="宋体" w:hAnsi="宋体" w:eastAsia="宋体" w:cs="宋体"/>
          <w:color w:val="auto"/>
          <w:sz w:val="21"/>
          <w:szCs w:val="21"/>
          <w:highlight w:val="none"/>
        </w:rPr>
        <w:t>竞争性磋商</w:t>
      </w:r>
    </w:p>
    <w:p w14:paraId="4D6C4E09">
      <w:pPr>
        <w:pStyle w:val="84"/>
        <w:ind w:firstLine="420" w:firstLineChars="200"/>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rPr>
        <w:sym w:font="Wingdings" w:char="F0A8"/>
      </w:r>
      <w:r>
        <w:rPr>
          <w:rFonts w:hint="eastAsia" w:ascii="宋体" w:hAnsi="宋体" w:eastAsia="宋体" w:cs="宋体"/>
          <w:color w:val="auto"/>
          <w:sz w:val="21"/>
          <w:szCs w:val="21"/>
          <w:highlight w:val="none"/>
        </w:rPr>
        <w:t xml:space="preserve">询价 </w:t>
      </w:r>
      <w:r>
        <w:rPr>
          <w:rFonts w:hint="eastAsia" w:ascii="宋体" w:hAnsi="宋体" w:eastAsia="宋体" w:cs="宋体"/>
          <w:color w:val="auto"/>
          <w:sz w:val="21"/>
          <w:szCs w:val="21"/>
          <w:highlight w:val="none"/>
        </w:rPr>
        <w:sym w:font="Wingdings" w:char="F0A8"/>
      </w:r>
      <w:r>
        <w:rPr>
          <w:rFonts w:hint="eastAsia" w:ascii="宋体" w:hAnsi="宋体" w:eastAsia="宋体" w:cs="宋体"/>
          <w:color w:val="auto"/>
          <w:sz w:val="21"/>
          <w:szCs w:val="21"/>
          <w:highlight w:val="none"/>
        </w:rPr>
        <w:t xml:space="preserve">单一来源 </w:t>
      </w:r>
      <w:r>
        <w:rPr>
          <w:rFonts w:hint="eastAsia" w:ascii="宋体" w:hAnsi="宋体" w:eastAsia="宋体" w:cs="宋体"/>
          <w:color w:val="auto"/>
          <w:sz w:val="21"/>
          <w:szCs w:val="21"/>
          <w:highlight w:val="none"/>
        </w:rPr>
        <w:sym w:font="Wingdings" w:char="F0A8"/>
      </w:r>
      <w:r>
        <w:rPr>
          <w:rFonts w:hint="eastAsia" w:ascii="宋体" w:hAnsi="宋体" w:eastAsia="宋体" w:cs="宋体"/>
          <w:color w:val="auto"/>
          <w:sz w:val="21"/>
          <w:szCs w:val="21"/>
          <w:highlight w:val="none"/>
        </w:rPr>
        <w:t xml:space="preserve">框架协议 </w:t>
      </w:r>
      <w:r>
        <w:rPr>
          <w:rFonts w:hint="eastAsia" w:ascii="宋体" w:hAnsi="宋体" w:eastAsia="宋体" w:cs="宋体"/>
          <w:color w:val="auto"/>
          <w:sz w:val="21"/>
          <w:szCs w:val="21"/>
          <w:highlight w:val="none"/>
        </w:rPr>
        <w:sym w:font="Wingdings" w:char="F0A8"/>
      </w:r>
      <w:r>
        <w:rPr>
          <w:rFonts w:hint="eastAsia" w:ascii="宋体" w:hAnsi="宋体" w:eastAsia="宋体" w:cs="宋体"/>
          <w:color w:val="auto"/>
          <w:sz w:val="21"/>
          <w:szCs w:val="21"/>
          <w:highlight w:val="none"/>
        </w:rPr>
        <w:t>其他：</w:t>
      </w:r>
      <w:r>
        <w:rPr>
          <w:rFonts w:hint="eastAsia" w:ascii="宋体" w:hAnsi="宋体" w:eastAsia="宋体" w:cs="宋体"/>
          <w:color w:val="auto"/>
          <w:sz w:val="21"/>
          <w:szCs w:val="21"/>
          <w:highlight w:val="none"/>
          <w:u w:val="single"/>
        </w:rPr>
        <w:t xml:space="preserve">          </w:t>
      </w:r>
    </w:p>
    <w:p w14:paraId="541AD803">
      <w:pPr>
        <w:pStyle w:val="84"/>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
        </w:rPr>
        <w:t>6</w:t>
      </w:r>
      <w:r>
        <w:rPr>
          <w:rFonts w:hint="eastAsia" w:ascii="宋体" w:hAnsi="宋体" w:eastAsia="宋体" w:cs="宋体"/>
          <w:color w:val="auto"/>
          <w:sz w:val="21"/>
          <w:szCs w:val="21"/>
          <w:highlight w:val="none"/>
        </w:rPr>
        <w:t>）中标（成交）采购标的制造商是否为中小企业：</w:t>
      </w:r>
      <w:r>
        <w:rPr>
          <w:rFonts w:hint="eastAsia" w:ascii="宋体" w:hAnsi="宋体" w:eastAsia="宋体" w:cs="宋体"/>
          <w:color w:val="auto"/>
          <w:sz w:val="21"/>
          <w:szCs w:val="21"/>
          <w:highlight w:val="none"/>
        </w:rPr>
        <w:sym w:font="Wingdings" w:char="F0A8"/>
      </w:r>
      <w:r>
        <w:rPr>
          <w:rFonts w:hint="eastAsia" w:ascii="宋体" w:hAnsi="宋体" w:eastAsia="宋体" w:cs="宋体"/>
          <w:color w:val="auto"/>
          <w:sz w:val="21"/>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rPr>
        <w:t>否</w:t>
      </w:r>
    </w:p>
    <w:p w14:paraId="6C0ABB0F">
      <w:pPr>
        <w:pStyle w:val="84"/>
        <w:ind w:firstLine="420" w:firstLineChars="200"/>
        <w:outlineLvl w:val="9"/>
        <w:rPr>
          <w:rFonts w:hint="eastAsia" w:ascii="宋体" w:hAnsi="宋体" w:eastAsia="宋体" w:cs="宋体"/>
          <w:iCs/>
          <w:color w:val="auto"/>
          <w:sz w:val="21"/>
          <w:szCs w:val="21"/>
          <w:highlight w:val="none"/>
        </w:rPr>
      </w:pPr>
      <w:r>
        <w:rPr>
          <w:rFonts w:hint="eastAsia" w:ascii="宋体" w:hAnsi="宋体" w:eastAsia="宋体" w:cs="宋体"/>
          <w:color w:val="auto"/>
          <w:sz w:val="21"/>
          <w:szCs w:val="21"/>
          <w:highlight w:val="none"/>
        </w:rPr>
        <w:t>本合同是否为专门面向中小企业的采购合同（中小企业预留合同）：</w:t>
      </w:r>
      <w:r>
        <w:rPr>
          <w:rFonts w:hint="eastAsia" w:ascii="宋体" w:hAnsi="宋体" w:eastAsia="宋体" w:cs="宋体"/>
          <w:iCs/>
          <w:color w:val="auto"/>
          <w:sz w:val="21"/>
          <w:szCs w:val="21"/>
          <w:highlight w:val="none"/>
        </w:rPr>
        <w:sym w:font="Wingdings" w:char="F0A8"/>
      </w:r>
      <w:r>
        <w:rPr>
          <w:rFonts w:hint="eastAsia" w:ascii="宋体" w:hAnsi="宋体" w:eastAsia="宋体" w:cs="宋体"/>
          <w:iCs/>
          <w:color w:val="auto"/>
          <w:sz w:val="21"/>
          <w:szCs w:val="21"/>
          <w:highlight w:val="none"/>
        </w:rPr>
        <w:t xml:space="preserve">是    </w:t>
      </w:r>
      <w:r>
        <w:rPr>
          <w:rFonts w:hint="eastAsia" w:ascii="宋体" w:hAnsi="宋体" w:eastAsia="宋体" w:cs="宋体"/>
          <w:iCs/>
          <w:color w:val="auto"/>
          <w:sz w:val="21"/>
          <w:szCs w:val="21"/>
          <w:highlight w:val="none"/>
        </w:rPr>
        <w:sym w:font="Wingdings" w:char="00FE"/>
      </w:r>
      <w:r>
        <w:rPr>
          <w:rFonts w:hint="eastAsia" w:ascii="宋体" w:hAnsi="宋体" w:eastAsia="宋体" w:cs="宋体"/>
          <w:iCs/>
          <w:color w:val="auto"/>
          <w:sz w:val="21"/>
          <w:szCs w:val="21"/>
          <w:highlight w:val="none"/>
        </w:rPr>
        <w:t>否</w:t>
      </w:r>
    </w:p>
    <w:p w14:paraId="137718C9">
      <w:pPr>
        <w:pStyle w:val="84"/>
        <w:ind w:firstLine="420" w:firstLineChars="200"/>
        <w:outlineLvl w:val="9"/>
        <w:rPr>
          <w:rFonts w:hint="eastAsia" w:ascii="宋体" w:hAnsi="宋体" w:eastAsia="宋体" w:cs="宋体"/>
          <w:iCs/>
          <w:color w:val="auto"/>
          <w:sz w:val="21"/>
          <w:szCs w:val="21"/>
          <w:highlight w:val="none"/>
        </w:rPr>
      </w:pPr>
      <w:r>
        <w:rPr>
          <w:rFonts w:hint="eastAsia" w:ascii="宋体" w:hAnsi="宋体" w:eastAsia="宋体" w:cs="宋体"/>
          <w:color w:val="auto"/>
          <w:sz w:val="21"/>
          <w:szCs w:val="21"/>
          <w:highlight w:val="none"/>
        </w:rPr>
        <w:t>若本项目不专门面向中小企业采购，是否给予小微企业评审优惠：</w:t>
      </w:r>
      <w:r>
        <w:rPr>
          <w:rFonts w:hint="eastAsia" w:ascii="宋体" w:hAnsi="宋体" w:eastAsia="宋体" w:cs="宋体"/>
          <w:iCs/>
          <w:color w:val="auto"/>
          <w:sz w:val="21"/>
          <w:szCs w:val="21"/>
          <w:highlight w:val="none"/>
        </w:rPr>
        <w:sym w:font="Wingdings" w:char="00FE"/>
      </w:r>
      <w:r>
        <w:rPr>
          <w:rFonts w:hint="eastAsia" w:ascii="宋体" w:hAnsi="宋体" w:eastAsia="宋体" w:cs="宋体"/>
          <w:iCs/>
          <w:color w:val="auto"/>
          <w:sz w:val="21"/>
          <w:szCs w:val="21"/>
          <w:highlight w:val="none"/>
        </w:rPr>
        <w:t xml:space="preserve">是   </w:t>
      </w:r>
      <w:r>
        <w:rPr>
          <w:rFonts w:hint="eastAsia" w:ascii="宋体" w:hAnsi="宋体" w:eastAsia="宋体" w:cs="宋体"/>
          <w:iCs/>
          <w:color w:val="auto"/>
          <w:sz w:val="21"/>
          <w:szCs w:val="21"/>
          <w:highlight w:val="none"/>
        </w:rPr>
        <w:sym w:font="Wingdings" w:char="F0A8"/>
      </w:r>
      <w:r>
        <w:rPr>
          <w:rFonts w:hint="eastAsia" w:ascii="宋体" w:hAnsi="宋体" w:eastAsia="宋体" w:cs="宋体"/>
          <w:iCs/>
          <w:color w:val="auto"/>
          <w:sz w:val="21"/>
          <w:szCs w:val="21"/>
          <w:highlight w:val="none"/>
        </w:rPr>
        <w:t>否</w:t>
      </w:r>
    </w:p>
    <w:p w14:paraId="60FB3696">
      <w:pPr>
        <w:pStyle w:val="84"/>
        <w:ind w:firstLine="420" w:firstLineChars="200"/>
        <w:outlineLvl w:val="9"/>
        <w:rPr>
          <w:rFonts w:hint="eastAsia" w:ascii="宋体" w:hAnsi="宋体" w:eastAsia="宋体" w:cs="宋体"/>
          <w:iCs/>
          <w:color w:val="auto"/>
          <w:sz w:val="21"/>
          <w:szCs w:val="21"/>
          <w:highlight w:val="none"/>
        </w:rPr>
      </w:pPr>
      <w:r>
        <w:rPr>
          <w:rFonts w:hint="eastAsia" w:ascii="宋体" w:hAnsi="宋体" w:eastAsia="宋体" w:cs="宋体"/>
          <w:color w:val="auto"/>
          <w:sz w:val="21"/>
          <w:szCs w:val="21"/>
          <w:highlight w:val="none"/>
        </w:rPr>
        <w:t>中标（成交）采购标的制造商是否为残疾人福利性单位：</w:t>
      </w:r>
      <w:r>
        <w:rPr>
          <w:rFonts w:hint="eastAsia" w:ascii="宋体" w:hAnsi="宋体" w:eastAsia="宋体" w:cs="宋体"/>
          <w:iCs/>
          <w:color w:val="auto"/>
          <w:sz w:val="21"/>
          <w:szCs w:val="21"/>
          <w:highlight w:val="none"/>
        </w:rPr>
        <w:sym w:font="Wingdings" w:char="F0A8"/>
      </w:r>
      <w:r>
        <w:rPr>
          <w:rFonts w:hint="eastAsia" w:ascii="宋体" w:hAnsi="宋体" w:eastAsia="宋体" w:cs="宋体"/>
          <w:iCs/>
          <w:color w:val="auto"/>
          <w:sz w:val="21"/>
          <w:szCs w:val="21"/>
          <w:highlight w:val="none"/>
        </w:rPr>
        <w:t xml:space="preserve">是   </w:t>
      </w:r>
      <w:r>
        <w:rPr>
          <w:rFonts w:hint="eastAsia" w:ascii="宋体" w:hAnsi="宋体" w:eastAsia="宋体" w:cs="宋体"/>
          <w:iCs/>
          <w:color w:val="auto"/>
          <w:sz w:val="21"/>
          <w:szCs w:val="21"/>
          <w:highlight w:val="none"/>
        </w:rPr>
        <w:sym w:font="Wingdings" w:char="F0A8"/>
      </w:r>
      <w:r>
        <w:rPr>
          <w:rFonts w:hint="eastAsia" w:ascii="宋体" w:hAnsi="宋体" w:eastAsia="宋体" w:cs="宋体"/>
          <w:iCs/>
          <w:color w:val="auto"/>
          <w:sz w:val="21"/>
          <w:szCs w:val="21"/>
          <w:highlight w:val="none"/>
        </w:rPr>
        <w:t>否</w:t>
      </w:r>
    </w:p>
    <w:p w14:paraId="43E7220A">
      <w:pPr>
        <w:pStyle w:val="84"/>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中标（成交）采购标的制造商是否为监狱企业：</w:t>
      </w:r>
      <w:r>
        <w:rPr>
          <w:rFonts w:hint="eastAsia" w:ascii="宋体" w:hAnsi="宋体" w:eastAsia="宋体" w:cs="宋体"/>
          <w:iCs/>
          <w:color w:val="auto"/>
          <w:sz w:val="21"/>
          <w:szCs w:val="21"/>
          <w:highlight w:val="none"/>
        </w:rPr>
        <w:sym w:font="Wingdings" w:char="F0A8"/>
      </w:r>
      <w:r>
        <w:rPr>
          <w:rFonts w:hint="eastAsia" w:ascii="宋体" w:hAnsi="宋体" w:eastAsia="宋体" w:cs="宋体"/>
          <w:iCs/>
          <w:color w:val="auto"/>
          <w:sz w:val="21"/>
          <w:szCs w:val="21"/>
          <w:highlight w:val="none"/>
        </w:rPr>
        <w:t xml:space="preserve">是       </w:t>
      </w:r>
      <w:r>
        <w:rPr>
          <w:rFonts w:hint="eastAsia" w:ascii="宋体" w:hAnsi="宋体" w:eastAsia="宋体" w:cs="宋体"/>
          <w:iCs/>
          <w:color w:val="auto"/>
          <w:sz w:val="21"/>
          <w:szCs w:val="21"/>
          <w:highlight w:val="none"/>
        </w:rPr>
        <w:sym w:font="Wingdings" w:char="F0A8"/>
      </w:r>
      <w:r>
        <w:rPr>
          <w:rFonts w:hint="eastAsia" w:ascii="宋体" w:hAnsi="宋体" w:eastAsia="宋体" w:cs="宋体"/>
          <w:iCs/>
          <w:color w:val="auto"/>
          <w:sz w:val="21"/>
          <w:szCs w:val="21"/>
          <w:highlight w:val="none"/>
        </w:rPr>
        <w:t>否</w:t>
      </w:r>
    </w:p>
    <w:p w14:paraId="5456E51F">
      <w:pPr>
        <w:pStyle w:val="84"/>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
        </w:rPr>
        <w:t>7</w:t>
      </w:r>
      <w:r>
        <w:rPr>
          <w:rFonts w:hint="eastAsia" w:ascii="宋体" w:hAnsi="宋体" w:eastAsia="宋体" w:cs="宋体"/>
          <w:color w:val="auto"/>
          <w:sz w:val="21"/>
          <w:szCs w:val="21"/>
          <w:highlight w:val="none"/>
        </w:rPr>
        <w:t>）合同是否分包：</w:t>
      </w:r>
      <w:r>
        <w:rPr>
          <w:rFonts w:hint="eastAsia" w:ascii="宋体" w:hAnsi="宋体" w:eastAsia="宋体" w:cs="宋体"/>
          <w:iCs/>
          <w:color w:val="auto"/>
          <w:sz w:val="21"/>
          <w:szCs w:val="21"/>
          <w:highlight w:val="none"/>
        </w:rPr>
        <w:sym w:font="Wingdings" w:char="F0A8"/>
      </w:r>
      <w:r>
        <w:rPr>
          <w:rFonts w:hint="eastAsia" w:ascii="宋体" w:hAnsi="宋体" w:eastAsia="宋体" w:cs="宋体"/>
          <w:iCs/>
          <w:color w:val="auto"/>
          <w:sz w:val="21"/>
          <w:szCs w:val="21"/>
          <w:highlight w:val="none"/>
        </w:rPr>
        <w:t xml:space="preserve">是       </w:t>
      </w:r>
      <w:r>
        <w:rPr>
          <w:rFonts w:hint="eastAsia" w:ascii="宋体" w:hAnsi="宋体" w:eastAsia="宋体" w:cs="宋体"/>
          <w:iCs/>
          <w:color w:val="auto"/>
          <w:sz w:val="21"/>
          <w:szCs w:val="21"/>
          <w:highlight w:val="none"/>
        </w:rPr>
        <w:sym w:font="Wingdings" w:char="00FE"/>
      </w:r>
      <w:r>
        <w:rPr>
          <w:rFonts w:hint="eastAsia" w:ascii="宋体" w:hAnsi="宋体" w:eastAsia="宋体" w:cs="宋体"/>
          <w:iCs/>
          <w:color w:val="auto"/>
          <w:sz w:val="21"/>
          <w:szCs w:val="21"/>
          <w:highlight w:val="none"/>
        </w:rPr>
        <w:t>否</w:t>
      </w:r>
    </w:p>
    <w:p w14:paraId="1E582ABA">
      <w:pPr>
        <w:pStyle w:val="84"/>
        <w:ind w:firstLine="420" w:firstLineChars="200"/>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分包主要内容：</w:t>
      </w:r>
      <w:r>
        <w:rPr>
          <w:rFonts w:hint="eastAsia" w:ascii="宋体" w:hAnsi="宋体" w:eastAsia="宋体" w:cs="宋体"/>
          <w:color w:val="auto"/>
          <w:sz w:val="21"/>
          <w:szCs w:val="21"/>
          <w:highlight w:val="none"/>
          <w:u w:val="single"/>
        </w:rPr>
        <w:t xml:space="preserve">                                            </w:t>
      </w:r>
    </w:p>
    <w:p w14:paraId="009513E6">
      <w:pPr>
        <w:pStyle w:val="84"/>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分包</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/制造商名称（如</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和制造商不同，请分别填写）：</w:t>
      </w:r>
    </w:p>
    <w:p w14:paraId="5E3CE083">
      <w:pPr>
        <w:pStyle w:val="84"/>
        <w:ind w:firstLine="420" w:firstLineChars="200"/>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p>
    <w:p w14:paraId="59A6D267">
      <w:pPr>
        <w:pStyle w:val="84"/>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分包</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/制造商类型（如果</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和制造商不同，只填写制造商类型）：</w:t>
      </w:r>
    </w:p>
    <w:p w14:paraId="51F1468C">
      <w:pPr>
        <w:pStyle w:val="84"/>
        <w:ind w:firstLine="420" w:firstLineChars="200"/>
        <w:outlineLvl w:val="9"/>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rPr>
        <w:sym w:font="Wingdings" w:char="F0A8"/>
      </w:r>
      <w:r>
        <w:rPr>
          <w:rFonts w:hint="eastAsia" w:ascii="宋体" w:hAnsi="宋体" w:eastAsia="宋体" w:cs="宋体"/>
          <w:iCs/>
          <w:color w:val="auto"/>
          <w:sz w:val="21"/>
          <w:szCs w:val="21"/>
          <w:highlight w:val="none"/>
        </w:rPr>
        <w:t xml:space="preserve">大型企业  </w:t>
      </w:r>
      <w:r>
        <w:rPr>
          <w:rFonts w:hint="eastAsia" w:ascii="宋体" w:hAnsi="宋体" w:eastAsia="宋体" w:cs="宋体"/>
          <w:iCs/>
          <w:color w:val="auto"/>
          <w:sz w:val="21"/>
          <w:szCs w:val="21"/>
          <w:highlight w:val="none"/>
        </w:rPr>
        <w:sym w:font="Wingdings" w:char="F0A8"/>
      </w:r>
      <w:r>
        <w:rPr>
          <w:rFonts w:hint="eastAsia" w:ascii="宋体" w:hAnsi="宋体" w:eastAsia="宋体" w:cs="宋体"/>
          <w:iCs/>
          <w:color w:val="auto"/>
          <w:sz w:val="21"/>
          <w:szCs w:val="21"/>
          <w:highlight w:val="none"/>
        </w:rPr>
        <w:t xml:space="preserve">中型企业  </w:t>
      </w:r>
      <w:r>
        <w:rPr>
          <w:rFonts w:hint="eastAsia" w:ascii="宋体" w:hAnsi="宋体" w:eastAsia="宋体" w:cs="宋体"/>
          <w:iCs/>
          <w:color w:val="auto"/>
          <w:sz w:val="21"/>
          <w:szCs w:val="21"/>
          <w:highlight w:val="none"/>
        </w:rPr>
        <w:sym w:font="Wingdings" w:char="F0A8"/>
      </w:r>
      <w:r>
        <w:rPr>
          <w:rFonts w:hint="eastAsia" w:ascii="宋体" w:hAnsi="宋体" w:eastAsia="宋体" w:cs="宋体"/>
          <w:iCs/>
          <w:color w:val="auto"/>
          <w:sz w:val="21"/>
          <w:szCs w:val="21"/>
          <w:highlight w:val="none"/>
        </w:rPr>
        <w:t xml:space="preserve">小微型企业  </w:t>
      </w:r>
    </w:p>
    <w:p w14:paraId="4E677D47">
      <w:pPr>
        <w:pStyle w:val="84"/>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iCs/>
          <w:color w:val="auto"/>
          <w:sz w:val="21"/>
          <w:szCs w:val="21"/>
          <w:highlight w:val="none"/>
        </w:rPr>
        <w:sym w:font="Wingdings" w:char="F0A8"/>
      </w:r>
      <w:r>
        <w:rPr>
          <w:rFonts w:hint="eastAsia" w:ascii="宋体" w:hAnsi="宋体" w:eastAsia="宋体" w:cs="宋体"/>
          <w:iCs/>
          <w:color w:val="auto"/>
          <w:sz w:val="21"/>
          <w:szCs w:val="21"/>
          <w:highlight w:val="none"/>
        </w:rPr>
        <w:t xml:space="preserve">残疾人福利性单位 </w:t>
      </w:r>
      <w:r>
        <w:rPr>
          <w:rFonts w:hint="eastAsia" w:ascii="宋体" w:hAnsi="宋体" w:eastAsia="宋体" w:cs="宋体"/>
          <w:iCs/>
          <w:color w:val="auto"/>
          <w:sz w:val="21"/>
          <w:szCs w:val="21"/>
          <w:highlight w:val="none"/>
        </w:rPr>
        <w:sym w:font="Wingdings" w:char="F0A8"/>
      </w:r>
      <w:r>
        <w:rPr>
          <w:rFonts w:hint="eastAsia" w:ascii="宋体" w:hAnsi="宋体" w:eastAsia="宋体" w:cs="宋体"/>
          <w:iCs/>
          <w:color w:val="auto"/>
          <w:sz w:val="21"/>
          <w:szCs w:val="21"/>
          <w:highlight w:val="none"/>
        </w:rPr>
        <w:t xml:space="preserve">监狱企业 </w:t>
      </w:r>
      <w:r>
        <w:rPr>
          <w:rFonts w:hint="eastAsia" w:ascii="宋体" w:hAnsi="宋体" w:eastAsia="宋体" w:cs="宋体"/>
          <w:iCs/>
          <w:color w:val="auto"/>
          <w:sz w:val="21"/>
          <w:szCs w:val="21"/>
          <w:highlight w:val="none"/>
        </w:rPr>
        <w:sym w:font="Wingdings" w:char="F0A8"/>
      </w:r>
      <w:r>
        <w:rPr>
          <w:rFonts w:hint="eastAsia" w:ascii="宋体" w:hAnsi="宋体" w:eastAsia="宋体" w:cs="宋体"/>
          <w:iCs/>
          <w:color w:val="auto"/>
          <w:sz w:val="21"/>
          <w:szCs w:val="21"/>
          <w:highlight w:val="none"/>
        </w:rPr>
        <w:t>其他</w:t>
      </w:r>
    </w:p>
    <w:p w14:paraId="68C31FCC">
      <w:pPr>
        <w:pStyle w:val="84"/>
        <w:ind w:firstLine="420" w:firstLineChars="200"/>
        <w:outlineLvl w:val="9"/>
        <w:rPr>
          <w:rFonts w:hint="eastAsia" w:ascii="宋体" w:hAnsi="宋体" w:eastAsia="宋体" w:cs="宋体"/>
          <w:iCs/>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
        </w:rPr>
        <w:t>8</w:t>
      </w:r>
      <w:r>
        <w:rPr>
          <w:rFonts w:hint="eastAsia" w:ascii="宋体" w:hAnsi="宋体" w:eastAsia="宋体" w:cs="宋体"/>
          <w:color w:val="auto"/>
          <w:sz w:val="21"/>
          <w:szCs w:val="21"/>
          <w:highlight w:val="none"/>
        </w:rPr>
        <w:t>）中标（成交）</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是否为外商投资企业：</w:t>
      </w:r>
      <w:r>
        <w:rPr>
          <w:rFonts w:hint="eastAsia" w:ascii="宋体" w:hAnsi="宋体" w:eastAsia="宋体" w:cs="宋体"/>
          <w:iCs/>
          <w:color w:val="auto"/>
          <w:sz w:val="21"/>
          <w:szCs w:val="21"/>
          <w:highlight w:val="none"/>
        </w:rPr>
        <w:sym w:font="Wingdings" w:char="F0A8"/>
      </w:r>
      <w:r>
        <w:rPr>
          <w:rFonts w:hint="eastAsia" w:ascii="宋体" w:hAnsi="宋体" w:eastAsia="宋体" w:cs="宋体"/>
          <w:iCs/>
          <w:color w:val="auto"/>
          <w:sz w:val="21"/>
          <w:szCs w:val="21"/>
          <w:highlight w:val="none"/>
        </w:rPr>
        <w:t xml:space="preserve">是       </w:t>
      </w:r>
      <w:r>
        <w:rPr>
          <w:rFonts w:hint="eastAsia" w:ascii="宋体" w:hAnsi="宋体" w:eastAsia="宋体" w:cs="宋体"/>
          <w:iCs/>
          <w:color w:val="auto"/>
          <w:sz w:val="21"/>
          <w:szCs w:val="21"/>
          <w:highlight w:val="none"/>
        </w:rPr>
        <w:sym w:font="Wingdings" w:char="F0A8"/>
      </w:r>
      <w:r>
        <w:rPr>
          <w:rFonts w:hint="eastAsia" w:ascii="宋体" w:hAnsi="宋体" w:eastAsia="宋体" w:cs="宋体"/>
          <w:iCs/>
          <w:color w:val="auto"/>
          <w:sz w:val="21"/>
          <w:szCs w:val="21"/>
          <w:highlight w:val="none"/>
        </w:rPr>
        <w:t>否</w:t>
      </w:r>
    </w:p>
    <w:p w14:paraId="07895307">
      <w:pPr>
        <w:pStyle w:val="84"/>
        <w:ind w:firstLine="420" w:firstLineChars="200"/>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外商投资企业类型：</w:t>
      </w:r>
      <w:r>
        <w:rPr>
          <w:rFonts w:hint="eastAsia" w:ascii="宋体" w:hAnsi="宋体" w:eastAsia="宋体" w:cs="宋体"/>
          <w:iCs/>
          <w:color w:val="auto"/>
          <w:sz w:val="21"/>
          <w:szCs w:val="21"/>
          <w:highlight w:val="none"/>
        </w:rPr>
        <w:sym w:font="Wingdings" w:char="F0A8"/>
      </w:r>
      <w:r>
        <w:rPr>
          <w:rFonts w:hint="eastAsia" w:ascii="宋体" w:hAnsi="宋体" w:eastAsia="宋体" w:cs="宋体"/>
          <w:color w:val="auto"/>
          <w:sz w:val="21"/>
          <w:szCs w:val="21"/>
          <w:highlight w:val="none"/>
        </w:rPr>
        <w:t xml:space="preserve">全部由外国投资者投资  </w:t>
      </w:r>
      <w:r>
        <w:rPr>
          <w:rFonts w:hint="eastAsia" w:ascii="宋体" w:hAnsi="宋体" w:eastAsia="宋体" w:cs="宋体"/>
          <w:iCs/>
          <w:color w:val="auto"/>
          <w:sz w:val="21"/>
          <w:szCs w:val="21"/>
          <w:highlight w:val="none"/>
        </w:rPr>
        <w:sym w:font="Wingdings" w:char="F0A8"/>
      </w:r>
      <w:r>
        <w:rPr>
          <w:rFonts w:hint="eastAsia" w:ascii="宋体" w:hAnsi="宋体" w:eastAsia="宋体" w:cs="宋体"/>
          <w:iCs/>
          <w:color w:val="auto"/>
          <w:sz w:val="21"/>
          <w:szCs w:val="21"/>
          <w:highlight w:val="none"/>
        </w:rPr>
        <w:t>部分由外国投资者投资</w:t>
      </w:r>
    </w:p>
    <w:p w14:paraId="6775D8EF">
      <w:pPr>
        <w:pStyle w:val="84"/>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
        </w:rPr>
        <w:t>9</w:t>
      </w:r>
      <w:r>
        <w:rPr>
          <w:rFonts w:hint="eastAsia" w:ascii="宋体" w:hAnsi="宋体" w:eastAsia="宋体" w:cs="宋体"/>
          <w:color w:val="auto"/>
          <w:sz w:val="21"/>
          <w:szCs w:val="21"/>
          <w:highlight w:val="none"/>
        </w:rPr>
        <w:t>）是否涉及进口产品：</w:t>
      </w:r>
    </w:p>
    <w:p w14:paraId="3E0FC3CF">
      <w:pPr>
        <w:pStyle w:val="84"/>
        <w:ind w:firstLine="420" w:firstLineChars="200"/>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sym w:font="Wingdings" w:char="F0A8"/>
      </w:r>
      <w:r>
        <w:rPr>
          <w:rFonts w:hint="eastAsia" w:ascii="宋体" w:hAnsi="宋体" w:eastAsia="宋体" w:cs="宋体"/>
          <w:color w:val="auto"/>
          <w:sz w:val="21"/>
          <w:szCs w:val="21"/>
          <w:highlight w:val="none"/>
        </w:rPr>
        <w:t>是，《政府采购品目分类目录》底级品目名称：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金额：</w:t>
      </w:r>
      <w:r>
        <w:rPr>
          <w:rFonts w:hint="eastAsia" w:ascii="宋体" w:hAnsi="宋体" w:eastAsia="宋体" w:cs="宋体"/>
          <w:color w:val="auto"/>
          <w:sz w:val="21"/>
          <w:szCs w:val="21"/>
          <w:highlight w:val="none"/>
          <w:u w:val="single"/>
        </w:rPr>
        <w:t xml:space="preserve">        </w:t>
      </w:r>
    </w:p>
    <w:p w14:paraId="37BC7F6E">
      <w:pPr>
        <w:pStyle w:val="84"/>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国别：</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品牌：</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规格型号：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6559D3B2">
      <w:pPr>
        <w:pStyle w:val="84"/>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w:char="00FE"/>
      </w:r>
      <w:r>
        <w:rPr>
          <w:rFonts w:hint="eastAsia" w:ascii="宋体" w:hAnsi="宋体" w:eastAsia="宋体" w:cs="宋体"/>
          <w:color w:val="auto"/>
          <w:sz w:val="21"/>
          <w:szCs w:val="21"/>
          <w:highlight w:val="none"/>
        </w:rPr>
        <w:t>否</w:t>
      </w:r>
    </w:p>
    <w:p w14:paraId="75C495DF">
      <w:pPr>
        <w:pStyle w:val="84"/>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
        </w:rPr>
        <w:t>0</w:t>
      </w:r>
      <w:r>
        <w:rPr>
          <w:rFonts w:hint="eastAsia" w:ascii="宋体" w:hAnsi="宋体" w:eastAsia="宋体" w:cs="宋体"/>
          <w:color w:val="auto"/>
          <w:sz w:val="21"/>
          <w:szCs w:val="21"/>
          <w:highlight w:val="none"/>
        </w:rPr>
        <w:t>）是否涉及节能产品：</w:t>
      </w:r>
    </w:p>
    <w:p w14:paraId="4FDF6E3B">
      <w:pPr>
        <w:pStyle w:val="84"/>
        <w:ind w:firstLine="420" w:firstLineChars="200"/>
        <w:outlineLvl w:val="9"/>
        <w:rPr>
          <w:rFonts w:hint="eastAsia" w:ascii="宋体" w:hAnsi="宋体" w:eastAsia="宋体" w:cs="宋体"/>
          <w:iCs/>
          <w:color w:val="auto"/>
          <w:sz w:val="21"/>
          <w:szCs w:val="21"/>
          <w:highlight w:val="none"/>
        </w:rPr>
      </w:pPr>
      <w:r>
        <w:rPr>
          <w:rFonts w:hint="eastAsia" w:ascii="宋体" w:hAnsi="宋体" w:eastAsia="宋体" w:cs="宋体"/>
          <w:color w:val="auto"/>
          <w:sz w:val="21"/>
          <w:szCs w:val="21"/>
          <w:highlight w:val="none"/>
        </w:rPr>
        <w:sym w:font="Wingdings" w:char="F0A8"/>
      </w:r>
      <w:r>
        <w:rPr>
          <w:rFonts w:hint="eastAsia" w:ascii="宋体" w:hAnsi="宋体" w:eastAsia="宋体" w:cs="宋体"/>
          <w:color w:val="auto"/>
          <w:sz w:val="21"/>
          <w:szCs w:val="21"/>
          <w:highlight w:val="none"/>
        </w:rPr>
        <w:t>是，《节能产品政府采购品目清单》的底级品目名称：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iCs/>
          <w:color w:val="auto"/>
          <w:sz w:val="21"/>
          <w:szCs w:val="21"/>
          <w:highlight w:val="none"/>
        </w:rPr>
        <w:t xml:space="preserve">     </w:t>
      </w:r>
    </w:p>
    <w:p w14:paraId="1AEEF9B5">
      <w:pPr>
        <w:pStyle w:val="84"/>
        <w:ind w:left="360" w:firstLine="420" w:firstLineChars="200"/>
        <w:outlineLvl w:val="9"/>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rPr>
        <w:sym w:font="Wingdings" w:char="F0A8"/>
      </w:r>
      <w:r>
        <w:rPr>
          <w:rFonts w:hint="eastAsia" w:ascii="宋体" w:hAnsi="宋体" w:eastAsia="宋体" w:cs="宋体"/>
          <w:iCs/>
          <w:color w:val="auto"/>
          <w:sz w:val="21"/>
          <w:szCs w:val="21"/>
          <w:highlight w:val="none"/>
        </w:rPr>
        <w:t xml:space="preserve">强制采购       </w:t>
      </w:r>
      <w:r>
        <w:rPr>
          <w:rFonts w:hint="eastAsia" w:ascii="宋体" w:hAnsi="宋体" w:eastAsia="宋体" w:cs="宋体"/>
          <w:iCs/>
          <w:color w:val="auto"/>
          <w:sz w:val="21"/>
          <w:szCs w:val="21"/>
          <w:highlight w:val="none"/>
        </w:rPr>
        <w:sym w:font="Wingdings" w:char="F0A8"/>
      </w:r>
      <w:r>
        <w:rPr>
          <w:rFonts w:hint="eastAsia" w:ascii="宋体" w:hAnsi="宋体" w:eastAsia="宋体" w:cs="宋体"/>
          <w:iCs/>
          <w:color w:val="auto"/>
          <w:sz w:val="21"/>
          <w:szCs w:val="21"/>
          <w:highlight w:val="none"/>
        </w:rPr>
        <w:t xml:space="preserve">优先采购    </w:t>
      </w:r>
    </w:p>
    <w:p w14:paraId="677088D7">
      <w:pPr>
        <w:pStyle w:val="84"/>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w:char="00FE"/>
      </w:r>
      <w:r>
        <w:rPr>
          <w:rFonts w:hint="eastAsia" w:ascii="宋体" w:hAnsi="宋体" w:eastAsia="宋体" w:cs="宋体"/>
          <w:color w:val="auto"/>
          <w:sz w:val="21"/>
          <w:szCs w:val="21"/>
          <w:highlight w:val="none"/>
        </w:rPr>
        <w:t>否</w:t>
      </w:r>
    </w:p>
    <w:p w14:paraId="451B20FE">
      <w:pPr>
        <w:pStyle w:val="84"/>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是否涉及环境标志产品：</w:t>
      </w:r>
    </w:p>
    <w:p w14:paraId="3A7065D5">
      <w:pPr>
        <w:pStyle w:val="84"/>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w:char="F0A8"/>
      </w:r>
      <w:r>
        <w:rPr>
          <w:rFonts w:hint="eastAsia" w:ascii="宋体" w:hAnsi="宋体" w:eastAsia="宋体" w:cs="宋体"/>
          <w:color w:val="auto"/>
          <w:sz w:val="21"/>
          <w:szCs w:val="21"/>
          <w:highlight w:val="none"/>
        </w:rPr>
        <w:t>是，《环境标志产品政府采购品目清单》的底级品目名称：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iCs/>
          <w:color w:val="auto"/>
          <w:sz w:val="21"/>
          <w:szCs w:val="21"/>
          <w:highlight w:val="none"/>
        </w:rPr>
        <w:t xml:space="preserve"> </w:t>
      </w:r>
    </w:p>
    <w:p w14:paraId="6D6C7E55">
      <w:pPr>
        <w:pStyle w:val="84"/>
        <w:ind w:left="360" w:firstLine="420" w:firstLineChars="200"/>
        <w:outlineLvl w:val="9"/>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rPr>
        <w:sym w:font="Wingdings" w:char="F0A8"/>
      </w:r>
      <w:r>
        <w:rPr>
          <w:rFonts w:hint="eastAsia" w:ascii="宋体" w:hAnsi="宋体" w:eastAsia="宋体" w:cs="宋体"/>
          <w:iCs/>
          <w:color w:val="auto"/>
          <w:sz w:val="21"/>
          <w:szCs w:val="21"/>
          <w:highlight w:val="none"/>
        </w:rPr>
        <w:t xml:space="preserve">强制采购       </w:t>
      </w:r>
      <w:r>
        <w:rPr>
          <w:rFonts w:hint="eastAsia" w:ascii="宋体" w:hAnsi="宋体" w:eastAsia="宋体" w:cs="宋体"/>
          <w:iCs/>
          <w:color w:val="auto"/>
          <w:sz w:val="21"/>
          <w:szCs w:val="21"/>
          <w:highlight w:val="none"/>
        </w:rPr>
        <w:sym w:font="Wingdings" w:char="F0A8"/>
      </w:r>
      <w:r>
        <w:rPr>
          <w:rFonts w:hint="eastAsia" w:ascii="宋体" w:hAnsi="宋体" w:eastAsia="宋体" w:cs="宋体"/>
          <w:iCs/>
          <w:color w:val="auto"/>
          <w:sz w:val="21"/>
          <w:szCs w:val="21"/>
          <w:highlight w:val="none"/>
        </w:rPr>
        <w:t xml:space="preserve">优先采购    </w:t>
      </w:r>
    </w:p>
    <w:p w14:paraId="329DD7BC">
      <w:pPr>
        <w:pStyle w:val="84"/>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w:char="00FE"/>
      </w:r>
      <w:r>
        <w:rPr>
          <w:rFonts w:hint="eastAsia" w:ascii="宋体" w:hAnsi="宋体" w:eastAsia="宋体" w:cs="宋体"/>
          <w:color w:val="auto"/>
          <w:sz w:val="21"/>
          <w:szCs w:val="21"/>
          <w:highlight w:val="none"/>
        </w:rPr>
        <w:t>否</w:t>
      </w:r>
    </w:p>
    <w:p w14:paraId="13DADD2E">
      <w:pPr>
        <w:pStyle w:val="84"/>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是否涉及绿色产品： </w:t>
      </w:r>
    </w:p>
    <w:p w14:paraId="55CC36A8">
      <w:pPr>
        <w:pStyle w:val="84"/>
        <w:ind w:firstLine="420" w:firstLineChars="200"/>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sym w:font="Wingdings" w:char="F0A8"/>
      </w:r>
      <w:r>
        <w:rPr>
          <w:rFonts w:hint="eastAsia" w:ascii="宋体" w:hAnsi="宋体" w:eastAsia="宋体" w:cs="宋体"/>
          <w:color w:val="auto"/>
          <w:sz w:val="21"/>
          <w:szCs w:val="21"/>
          <w:highlight w:val="none"/>
        </w:rPr>
        <w:t>是，绿色产品政府采购相关政策确定的底级品目名称：</w:t>
      </w:r>
      <w:r>
        <w:rPr>
          <w:rFonts w:hint="eastAsia" w:ascii="宋体" w:hAnsi="宋体" w:eastAsia="宋体" w:cs="宋体"/>
          <w:color w:val="auto"/>
          <w:sz w:val="21"/>
          <w:szCs w:val="21"/>
          <w:highlight w:val="none"/>
          <w:u w:val="single"/>
        </w:rPr>
        <w:t xml:space="preserve">         </w:t>
      </w:r>
    </w:p>
    <w:p w14:paraId="2673A68E">
      <w:pPr>
        <w:pStyle w:val="84"/>
        <w:ind w:left="360" w:firstLine="420" w:firstLineChars="200"/>
        <w:outlineLvl w:val="9"/>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rPr>
        <w:sym w:font="Wingdings" w:char="F0A8"/>
      </w:r>
      <w:r>
        <w:rPr>
          <w:rFonts w:hint="eastAsia" w:ascii="宋体" w:hAnsi="宋体" w:eastAsia="宋体" w:cs="宋体"/>
          <w:iCs/>
          <w:color w:val="auto"/>
          <w:sz w:val="21"/>
          <w:szCs w:val="21"/>
          <w:highlight w:val="none"/>
        </w:rPr>
        <w:t xml:space="preserve">强制采购       </w:t>
      </w:r>
      <w:r>
        <w:rPr>
          <w:rFonts w:hint="eastAsia" w:ascii="宋体" w:hAnsi="宋体" w:eastAsia="宋体" w:cs="宋体"/>
          <w:iCs/>
          <w:color w:val="auto"/>
          <w:sz w:val="21"/>
          <w:szCs w:val="21"/>
          <w:highlight w:val="none"/>
        </w:rPr>
        <w:sym w:font="Wingdings" w:char="F0A8"/>
      </w:r>
      <w:r>
        <w:rPr>
          <w:rFonts w:hint="eastAsia" w:ascii="宋体" w:hAnsi="宋体" w:eastAsia="宋体" w:cs="宋体"/>
          <w:iCs/>
          <w:color w:val="auto"/>
          <w:sz w:val="21"/>
          <w:szCs w:val="21"/>
          <w:highlight w:val="none"/>
        </w:rPr>
        <w:t xml:space="preserve">优先采购    </w:t>
      </w:r>
    </w:p>
    <w:p w14:paraId="08B80433">
      <w:pPr>
        <w:pStyle w:val="84"/>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w:char="00FE"/>
      </w:r>
      <w:r>
        <w:rPr>
          <w:rFonts w:hint="eastAsia" w:ascii="宋体" w:hAnsi="宋体" w:eastAsia="宋体" w:cs="宋体"/>
          <w:color w:val="auto"/>
          <w:sz w:val="21"/>
          <w:szCs w:val="21"/>
          <w:highlight w:val="none"/>
        </w:rPr>
        <w:t>否</w:t>
      </w:r>
    </w:p>
    <w:p w14:paraId="54AF51AC">
      <w:pPr>
        <w:pStyle w:val="84"/>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
        </w:rPr>
        <w:t>1</w:t>
      </w:r>
      <w:r>
        <w:rPr>
          <w:rFonts w:hint="eastAsia" w:ascii="宋体" w:hAnsi="宋体" w:eastAsia="宋体" w:cs="宋体"/>
          <w:color w:val="auto"/>
          <w:sz w:val="21"/>
          <w:szCs w:val="21"/>
          <w:highlight w:val="none"/>
        </w:rPr>
        <w:t>）涉及商品包装和快递包装的，是否参考《商品包装政府采购需求标准（试行）》、《快递包装政府采购需求标准（试行）》明确产品及相关快递服务的具体包装要求：</w:t>
      </w:r>
    </w:p>
    <w:p w14:paraId="1B262C59">
      <w:pPr>
        <w:pStyle w:val="84"/>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w:char="F0A8"/>
      </w:r>
      <w:r>
        <w:rPr>
          <w:rFonts w:hint="eastAsia" w:ascii="宋体" w:hAnsi="宋体" w:eastAsia="宋体" w:cs="宋体"/>
          <w:color w:val="auto"/>
          <w:sz w:val="21"/>
          <w:szCs w:val="21"/>
          <w:highlight w:val="none"/>
        </w:rPr>
        <w:t xml:space="preserve">是       </w:t>
      </w:r>
      <w:r>
        <w:rPr>
          <w:rFonts w:hint="eastAsia" w:ascii="宋体" w:hAnsi="宋体" w:eastAsia="宋体" w:cs="宋体"/>
          <w:color w:val="auto"/>
          <w:sz w:val="21"/>
          <w:szCs w:val="21"/>
          <w:highlight w:val="none"/>
        </w:rPr>
        <w:sym w:font="Wingdings" w:char="00FE"/>
      </w:r>
      <w:r>
        <w:rPr>
          <w:rFonts w:hint="eastAsia" w:ascii="宋体" w:hAnsi="宋体" w:eastAsia="宋体" w:cs="宋体"/>
          <w:color w:val="auto"/>
          <w:sz w:val="21"/>
          <w:szCs w:val="21"/>
          <w:highlight w:val="none"/>
        </w:rPr>
        <w:t xml:space="preserve">否      </w:t>
      </w:r>
      <w:r>
        <w:rPr>
          <w:rFonts w:hint="eastAsia" w:ascii="宋体" w:hAnsi="宋体" w:eastAsia="宋体" w:cs="宋体"/>
          <w:color w:val="auto"/>
          <w:sz w:val="21"/>
          <w:szCs w:val="21"/>
          <w:highlight w:val="none"/>
        </w:rPr>
        <w:sym w:font="Wingdings" w:char="F0A8"/>
      </w:r>
      <w:r>
        <w:rPr>
          <w:rFonts w:hint="eastAsia" w:ascii="宋体" w:hAnsi="宋体" w:eastAsia="宋体" w:cs="宋体"/>
          <w:color w:val="auto"/>
          <w:sz w:val="21"/>
          <w:szCs w:val="21"/>
          <w:highlight w:val="none"/>
        </w:rPr>
        <w:t>不涉及</w:t>
      </w:r>
    </w:p>
    <w:p w14:paraId="56E4748D">
      <w:pPr>
        <w:pStyle w:val="84"/>
        <w:ind w:firstLineChars="200"/>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2.合同金额</w:t>
      </w:r>
    </w:p>
    <w:p w14:paraId="625522B3">
      <w:pPr>
        <w:pStyle w:val="84"/>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（1）合同金额小写：</w:t>
      </w:r>
      <w:r>
        <w:rPr>
          <w:rFonts w:hint="eastAsia" w:ascii="宋体" w:hAnsi="宋体" w:eastAsia="宋体" w:cs="宋体"/>
          <w:color w:val="auto"/>
          <w:sz w:val="21"/>
          <w:szCs w:val="21"/>
          <w:highlight w:val="none"/>
          <w:u w:val="single"/>
        </w:rPr>
        <w:t xml:space="preserve">                           </w:t>
      </w:r>
    </w:p>
    <w:p w14:paraId="131106B4">
      <w:pPr>
        <w:pStyle w:val="84"/>
        <w:ind w:firstLine="420" w:firstLineChars="200"/>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大写：</w:t>
      </w:r>
      <w:r>
        <w:rPr>
          <w:rFonts w:hint="eastAsia" w:ascii="宋体" w:hAnsi="宋体" w:eastAsia="宋体" w:cs="宋体"/>
          <w:color w:val="auto"/>
          <w:sz w:val="21"/>
          <w:szCs w:val="21"/>
          <w:highlight w:val="none"/>
          <w:u w:val="single"/>
        </w:rPr>
        <w:t xml:space="preserve">                           </w:t>
      </w:r>
    </w:p>
    <w:p w14:paraId="58A3BEF1">
      <w:pPr>
        <w:pStyle w:val="84"/>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分包金额（如有）小写：</w:t>
      </w:r>
      <w:r>
        <w:rPr>
          <w:rFonts w:hint="eastAsia" w:ascii="宋体" w:hAnsi="宋体" w:eastAsia="宋体" w:cs="宋体"/>
          <w:color w:val="auto"/>
          <w:sz w:val="21"/>
          <w:szCs w:val="21"/>
          <w:highlight w:val="none"/>
          <w:u w:val="single"/>
        </w:rPr>
        <w:t xml:space="preserve">                   </w:t>
      </w:r>
    </w:p>
    <w:p w14:paraId="4A84DA6F">
      <w:pPr>
        <w:pStyle w:val="84"/>
        <w:ind w:firstLine="420" w:firstLineChars="200"/>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大写：</w:t>
      </w:r>
      <w:r>
        <w:rPr>
          <w:rFonts w:hint="eastAsia" w:ascii="宋体" w:hAnsi="宋体" w:eastAsia="宋体" w:cs="宋体"/>
          <w:color w:val="auto"/>
          <w:sz w:val="21"/>
          <w:szCs w:val="21"/>
          <w:highlight w:val="none"/>
          <w:u w:val="single"/>
        </w:rPr>
        <w:t xml:space="preserve">                   </w:t>
      </w:r>
    </w:p>
    <w:p w14:paraId="63822192">
      <w:pPr>
        <w:pStyle w:val="84"/>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（注：固定单价合同应填写单价和最高限价）</w:t>
      </w:r>
    </w:p>
    <w:p w14:paraId="6FADA548">
      <w:pPr>
        <w:pStyle w:val="84"/>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（2）合同定价方式（采用组合定价方式的，可以勾选多项）：</w:t>
      </w:r>
    </w:p>
    <w:p w14:paraId="0E5C2A19">
      <w:pPr>
        <w:pStyle w:val="84"/>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iCs/>
          <w:color w:val="auto"/>
          <w:sz w:val="21"/>
          <w:szCs w:val="21"/>
          <w:highlight w:val="none"/>
        </w:rPr>
        <w:sym w:font="Wingdings" w:char="F0A8"/>
      </w:r>
      <w:r>
        <w:rPr>
          <w:rFonts w:hint="eastAsia" w:ascii="宋体" w:hAnsi="宋体" w:eastAsia="宋体" w:cs="宋体"/>
          <w:iCs/>
          <w:color w:val="auto"/>
          <w:sz w:val="21"/>
          <w:szCs w:val="21"/>
          <w:highlight w:val="none"/>
        </w:rPr>
        <w:t xml:space="preserve">固定总价 </w:t>
      </w:r>
      <w:r>
        <w:rPr>
          <w:rFonts w:hint="eastAsia" w:ascii="宋体" w:hAnsi="宋体" w:eastAsia="宋体" w:cs="宋体"/>
          <w:iCs/>
          <w:color w:val="auto"/>
          <w:sz w:val="21"/>
          <w:szCs w:val="21"/>
          <w:highlight w:val="none"/>
        </w:rPr>
        <w:sym w:font="Wingdings" w:char="F0FE"/>
      </w:r>
      <w:r>
        <w:rPr>
          <w:rFonts w:hint="eastAsia" w:ascii="宋体" w:hAnsi="宋体" w:eastAsia="宋体" w:cs="宋体"/>
          <w:iCs/>
          <w:color w:val="auto"/>
          <w:sz w:val="21"/>
          <w:szCs w:val="21"/>
          <w:highlight w:val="none"/>
        </w:rPr>
        <w:t xml:space="preserve">固定单价 </w:t>
      </w:r>
      <w:r>
        <w:rPr>
          <w:rFonts w:hint="eastAsia" w:ascii="宋体" w:hAnsi="宋体" w:eastAsia="宋体" w:cs="宋体"/>
          <w:iCs/>
          <w:color w:val="auto"/>
          <w:sz w:val="21"/>
          <w:szCs w:val="21"/>
          <w:highlight w:val="none"/>
        </w:rPr>
        <w:sym w:font="Wingdings" w:char="F0A8"/>
      </w:r>
      <w:r>
        <w:rPr>
          <w:rFonts w:hint="eastAsia" w:ascii="宋体" w:hAnsi="宋体" w:eastAsia="宋体" w:cs="宋体"/>
          <w:iCs/>
          <w:color w:val="auto"/>
          <w:sz w:val="21"/>
          <w:szCs w:val="21"/>
          <w:highlight w:val="none"/>
        </w:rPr>
        <w:t xml:space="preserve">固定费率 </w:t>
      </w:r>
      <w:r>
        <w:rPr>
          <w:rFonts w:hint="eastAsia" w:ascii="宋体" w:hAnsi="宋体" w:eastAsia="宋体" w:cs="宋体"/>
          <w:iCs/>
          <w:color w:val="auto"/>
          <w:sz w:val="21"/>
          <w:szCs w:val="21"/>
          <w:highlight w:val="none"/>
        </w:rPr>
        <w:sym w:font="Wingdings" w:char="F0A8"/>
      </w:r>
      <w:r>
        <w:rPr>
          <w:rFonts w:hint="eastAsia" w:ascii="宋体" w:hAnsi="宋体" w:eastAsia="宋体" w:cs="宋体"/>
          <w:iCs/>
          <w:color w:val="auto"/>
          <w:sz w:val="21"/>
          <w:szCs w:val="21"/>
          <w:highlight w:val="none"/>
        </w:rPr>
        <w:t xml:space="preserve">成本补偿 </w:t>
      </w:r>
      <w:r>
        <w:rPr>
          <w:rFonts w:hint="eastAsia" w:ascii="宋体" w:hAnsi="宋体" w:eastAsia="宋体" w:cs="宋体"/>
          <w:iCs/>
          <w:color w:val="auto"/>
          <w:sz w:val="21"/>
          <w:szCs w:val="21"/>
          <w:highlight w:val="none"/>
        </w:rPr>
        <w:sym w:font="Wingdings" w:char="F0A8"/>
      </w:r>
      <w:r>
        <w:rPr>
          <w:rFonts w:hint="eastAsia" w:ascii="宋体" w:hAnsi="宋体" w:eastAsia="宋体" w:cs="宋体"/>
          <w:iCs/>
          <w:color w:val="auto"/>
          <w:sz w:val="21"/>
          <w:szCs w:val="21"/>
          <w:highlight w:val="none"/>
        </w:rPr>
        <w:t xml:space="preserve">绩效激励 </w:t>
      </w:r>
      <w:r>
        <w:rPr>
          <w:rFonts w:hint="eastAsia" w:ascii="宋体" w:hAnsi="宋体" w:eastAsia="宋体" w:cs="宋体"/>
          <w:iCs/>
          <w:color w:val="auto"/>
          <w:sz w:val="21"/>
          <w:szCs w:val="21"/>
          <w:highlight w:val="none"/>
        </w:rPr>
        <w:sym w:font="Wingdings" w:char="F0A8"/>
      </w:r>
      <w:r>
        <w:rPr>
          <w:rFonts w:hint="eastAsia" w:ascii="宋体" w:hAnsi="宋体" w:eastAsia="宋体" w:cs="宋体"/>
          <w:iCs/>
          <w:color w:val="auto"/>
          <w:sz w:val="21"/>
          <w:szCs w:val="21"/>
          <w:highlight w:val="none"/>
        </w:rPr>
        <w:t>其他</w:t>
      </w:r>
      <w:r>
        <w:rPr>
          <w:rFonts w:hint="eastAsia" w:ascii="宋体" w:hAnsi="宋体" w:eastAsia="宋体" w:cs="宋体"/>
          <w:color w:val="auto"/>
          <w:sz w:val="21"/>
          <w:szCs w:val="21"/>
          <w:highlight w:val="none"/>
          <w:u w:val="single"/>
        </w:rPr>
        <w:t xml:space="preserve">       </w:t>
      </w:r>
    </w:p>
    <w:p w14:paraId="6C1FDB64">
      <w:pPr>
        <w:pStyle w:val="84"/>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（3）付款方式（按项目实际勾选填写）：</w:t>
      </w:r>
    </w:p>
    <w:p w14:paraId="1F9C2A85">
      <w:pPr>
        <w:pStyle w:val="84"/>
        <w:ind w:firstLine="420" w:firstLineChars="200"/>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sym w:font="Wingdings" w:char="F0A8"/>
      </w:r>
      <w:r>
        <w:rPr>
          <w:rFonts w:hint="eastAsia" w:ascii="宋体" w:hAnsi="宋体" w:eastAsia="宋体" w:cs="宋体"/>
          <w:color w:val="auto"/>
          <w:sz w:val="21"/>
          <w:szCs w:val="21"/>
          <w:highlight w:val="none"/>
        </w:rPr>
        <w:t>全额付款：</w:t>
      </w:r>
      <w:r>
        <w:rPr>
          <w:rFonts w:hint="eastAsia" w:ascii="宋体" w:hAnsi="宋体" w:eastAsia="宋体" w:cs="宋体"/>
          <w:color w:val="auto"/>
          <w:sz w:val="21"/>
          <w:szCs w:val="21"/>
          <w:highlight w:val="none"/>
          <w:u w:val="single"/>
        </w:rPr>
        <w:t xml:space="preserve">     （应明确一次性支付合同款项的条件）                    </w:t>
      </w:r>
    </w:p>
    <w:p w14:paraId="5DE0C1FE">
      <w:pPr>
        <w:pStyle w:val="84"/>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w:char="00FE"/>
      </w:r>
      <w:r>
        <w:rPr>
          <w:rFonts w:hint="eastAsia" w:ascii="宋体" w:hAnsi="宋体" w:eastAsia="宋体" w:cs="宋体"/>
          <w:color w:val="auto"/>
          <w:sz w:val="21"/>
          <w:szCs w:val="21"/>
          <w:highlight w:val="none"/>
        </w:rPr>
        <w:t>分期付款：</w:t>
      </w:r>
      <w:r>
        <w:rPr>
          <w:rFonts w:hint="eastAsia" w:ascii="宋体" w:hAnsi="宋体" w:eastAsia="宋体" w:cs="宋体"/>
          <w:color w:val="auto"/>
          <w:sz w:val="21"/>
          <w:szCs w:val="21"/>
          <w:highlight w:val="none"/>
          <w:u w:val="single"/>
        </w:rPr>
        <w:t xml:space="preserve"> 合同签订后10个工作日内甲方向乙方支付合同金额的30%，剩余合同金额的70%待全部货物验收合格后30天内支付（全部货物验收合格后，甲方付款前，乙方应向甲方开具等额有效的增值税发票。甲方未收到发票的，有权不予以支付相应款项直至乙方提供合格发票，并不承担延迟付款责任，发票认证通过是付款的必要前提之一）</w:t>
      </w:r>
      <w:r>
        <w:rPr>
          <w:rFonts w:hint="eastAsia" w:ascii="宋体" w:hAnsi="宋体" w:eastAsia="宋体" w:cs="宋体"/>
          <w:color w:val="auto"/>
          <w:sz w:val="21"/>
          <w:szCs w:val="21"/>
          <w:highlight w:val="none"/>
        </w:rPr>
        <w:t>，其中涉及预付款的：</w:t>
      </w:r>
      <w:r>
        <w:rPr>
          <w:rFonts w:hint="eastAsia" w:ascii="宋体" w:hAnsi="宋体" w:eastAsia="宋体" w:cs="宋体"/>
          <w:color w:val="auto"/>
          <w:sz w:val="21"/>
          <w:szCs w:val="21"/>
          <w:highlight w:val="none"/>
          <w:u w:val="single"/>
        </w:rPr>
        <w:t xml:space="preserve"> 同签订后10个工作日内甲方向乙方支付合同金额的30% </w:t>
      </w:r>
    </w:p>
    <w:p w14:paraId="4FC05FCE">
      <w:pPr>
        <w:pStyle w:val="84"/>
        <w:ind w:firstLine="420" w:firstLineChars="200"/>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sym w:font="Wingdings" w:char="F0A8"/>
      </w:r>
      <w:r>
        <w:rPr>
          <w:rFonts w:hint="eastAsia" w:ascii="宋体" w:hAnsi="宋体" w:eastAsia="宋体" w:cs="宋体"/>
          <w:color w:val="auto"/>
          <w:sz w:val="21"/>
          <w:szCs w:val="21"/>
          <w:highlight w:val="none"/>
        </w:rPr>
        <w:t>成本补偿：</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p>
    <w:p w14:paraId="2E3F8788">
      <w:pPr>
        <w:pStyle w:val="84"/>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w:char="F0A8"/>
      </w:r>
      <w:r>
        <w:rPr>
          <w:rFonts w:hint="eastAsia" w:ascii="宋体" w:hAnsi="宋体" w:eastAsia="宋体" w:cs="宋体"/>
          <w:color w:val="auto"/>
          <w:sz w:val="21"/>
          <w:szCs w:val="21"/>
          <w:highlight w:val="none"/>
        </w:rPr>
        <w:t>绩效激励：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3137DCBF">
      <w:pPr>
        <w:pStyle w:val="84"/>
        <w:ind w:firstLineChars="200"/>
        <w:outlineLvl w:val="9"/>
        <w:rPr>
          <w:rFonts w:hint="eastAsia" w:ascii="宋体" w:hAnsi="宋体" w:eastAsia="宋体" w:cs="宋体"/>
          <w:b/>
          <w:color w:val="auto"/>
          <w:sz w:val="21"/>
          <w:szCs w:val="21"/>
          <w:highlight w:val="none"/>
          <w:u w:val="single"/>
        </w:rPr>
      </w:pPr>
      <w:r>
        <w:rPr>
          <w:rFonts w:hint="eastAsia" w:ascii="宋体" w:hAnsi="宋体" w:eastAsia="宋体" w:cs="宋体"/>
          <w:b/>
          <w:color w:val="auto"/>
          <w:sz w:val="21"/>
          <w:szCs w:val="21"/>
          <w:highlight w:val="none"/>
        </w:rPr>
        <w:t>3.合同履行</w:t>
      </w:r>
    </w:p>
    <w:p w14:paraId="07FE3E4C">
      <w:pPr>
        <w:pStyle w:val="84"/>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（1）起始日期：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日，完成日期：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586AF1D0">
      <w:pPr>
        <w:pStyle w:val="84"/>
        <w:ind w:firstLine="420" w:firstLineChars="200"/>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（2）履约地点</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u w:val="single"/>
        </w:rPr>
        <w:t xml:space="preserve"> 北海市</w:t>
      </w:r>
      <w:r>
        <w:rPr>
          <w:rFonts w:hint="eastAsia" w:cs="宋体"/>
          <w:color w:val="auto"/>
          <w:sz w:val="21"/>
          <w:szCs w:val="21"/>
          <w:highlight w:val="none"/>
          <w:u w:val="single"/>
          <w:lang w:val="en-US" w:eastAsia="zh-CN"/>
        </w:rPr>
        <w:t>甲方</w:t>
      </w:r>
      <w:r>
        <w:rPr>
          <w:rFonts w:hint="eastAsia" w:ascii="宋体" w:hAnsi="宋体" w:eastAsia="宋体" w:cs="宋体"/>
          <w:color w:val="auto"/>
          <w:sz w:val="21"/>
          <w:szCs w:val="21"/>
          <w:highlight w:val="none"/>
          <w:u w:val="single"/>
        </w:rPr>
        <w:t xml:space="preserve">指定地点 </w:t>
      </w:r>
    </w:p>
    <w:p w14:paraId="32804C35">
      <w:pPr>
        <w:pStyle w:val="84"/>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（3）履约担保：</w:t>
      </w:r>
      <w:r>
        <w:rPr>
          <w:rFonts w:hint="eastAsia" w:ascii="宋体" w:hAnsi="宋体" w:eastAsia="宋体" w:cs="宋体"/>
          <w:color w:val="auto"/>
          <w:sz w:val="21"/>
          <w:szCs w:val="21"/>
          <w:highlight w:val="none"/>
        </w:rPr>
        <w:t>是否收取履约保证金：</w:t>
      </w:r>
      <w:r>
        <w:rPr>
          <w:rFonts w:hint="eastAsia" w:ascii="宋体" w:hAnsi="宋体" w:eastAsia="宋体" w:cs="宋体"/>
          <w:color w:val="auto"/>
          <w:sz w:val="21"/>
          <w:szCs w:val="21"/>
          <w:highlight w:val="none"/>
        </w:rPr>
        <w:sym w:font="Wingdings" w:char="F0A8"/>
      </w:r>
      <w:r>
        <w:rPr>
          <w:rFonts w:hint="eastAsia" w:ascii="宋体" w:hAnsi="宋体" w:eastAsia="宋体" w:cs="宋体"/>
          <w:color w:val="auto"/>
          <w:sz w:val="21"/>
          <w:szCs w:val="21"/>
          <w:highlight w:val="none"/>
        </w:rPr>
        <w:t xml:space="preserve">是    </w:t>
      </w:r>
      <w:r>
        <w:rPr>
          <w:rFonts w:hint="eastAsia" w:ascii="宋体" w:hAnsi="宋体" w:eastAsia="宋体" w:cs="宋体"/>
          <w:color w:val="auto"/>
          <w:sz w:val="21"/>
          <w:szCs w:val="21"/>
          <w:highlight w:val="none"/>
        </w:rPr>
        <w:sym w:font="Wingdings" w:char="00FE"/>
      </w:r>
      <w:r>
        <w:rPr>
          <w:rFonts w:hint="eastAsia" w:ascii="宋体" w:hAnsi="宋体" w:eastAsia="宋体" w:cs="宋体"/>
          <w:color w:val="auto"/>
          <w:sz w:val="21"/>
          <w:szCs w:val="21"/>
          <w:highlight w:val="none"/>
        </w:rPr>
        <w:t>否</w:t>
      </w:r>
    </w:p>
    <w:p w14:paraId="420AC096">
      <w:pPr>
        <w:pStyle w:val="84"/>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收取履约保证金形式：</w:t>
      </w:r>
      <w:r>
        <w:rPr>
          <w:rFonts w:hint="eastAsia" w:ascii="宋体" w:hAnsi="宋体" w:eastAsia="宋体" w:cs="宋体"/>
          <w:bCs/>
          <w:color w:val="auto"/>
          <w:sz w:val="21"/>
          <w:szCs w:val="21"/>
          <w:highlight w:val="none"/>
          <w:u w:val="single"/>
        </w:rPr>
        <w:t xml:space="preserve">                            </w:t>
      </w:r>
    </w:p>
    <w:p w14:paraId="1C9EE82A">
      <w:pPr>
        <w:pStyle w:val="84"/>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收取履约保证金金额：</w:t>
      </w:r>
      <w:r>
        <w:rPr>
          <w:rFonts w:hint="eastAsia" w:ascii="宋体" w:hAnsi="宋体" w:eastAsia="宋体" w:cs="宋体"/>
          <w:bCs/>
          <w:color w:val="auto"/>
          <w:sz w:val="21"/>
          <w:szCs w:val="21"/>
          <w:highlight w:val="none"/>
          <w:u w:val="single"/>
        </w:rPr>
        <w:t xml:space="preserve">                            </w:t>
      </w:r>
    </w:p>
    <w:p w14:paraId="702C6D08">
      <w:pPr>
        <w:pStyle w:val="84"/>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履约担保期限：</w:t>
      </w:r>
      <w:r>
        <w:rPr>
          <w:rFonts w:hint="eastAsia" w:ascii="宋体" w:hAnsi="宋体" w:eastAsia="宋体" w:cs="宋体"/>
          <w:bCs/>
          <w:color w:val="auto"/>
          <w:sz w:val="21"/>
          <w:szCs w:val="21"/>
          <w:highlight w:val="none"/>
          <w:u w:val="single"/>
        </w:rPr>
        <w:t xml:space="preserve">                                  </w:t>
      </w:r>
    </w:p>
    <w:p w14:paraId="0D7A7BEC">
      <w:pPr>
        <w:pStyle w:val="84"/>
        <w:ind w:firstLine="420" w:firstLineChars="200"/>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（4）分期履行要求：</w:t>
      </w:r>
      <w:r>
        <w:rPr>
          <w:rFonts w:hint="eastAsia" w:ascii="宋体" w:hAnsi="宋体" w:eastAsia="宋体" w:cs="宋体"/>
          <w:bCs/>
          <w:color w:val="auto"/>
          <w:sz w:val="21"/>
          <w:szCs w:val="21"/>
          <w:highlight w:val="none"/>
          <w:u w:val="single"/>
        </w:rPr>
        <w:t xml:space="preserve">                                                        </w:t>
      </w:r>
    </w:p>
    <w:p w14:paraId="17E6A1A5">
      <w:pPr>
        <w:pStyle w:val="84"/>
        <w:ind w:firstLine="420" w:firstLineChars="200"/>
        <w:outlineLvl w:val="9"/>
        <w:rPr>
          <w:rFonts w:hint="eastAsia" w:ascii="宋体" w:hAnsi="宋体" w:eastAsia="宋体" w:cs="宋体"/>
          <w:color w:val="auto"/>
          <w:sz w:val="21"/>
          <w:szCs w:val="21"/>
          <w:highlight w:val="none"/>
          <w:u w:val="single"/>
        </w:rPr>
      </w:pPr>
      <w:r>
        <w:rPr>
          <w:rFonts w:hint="eastAsia" w:ascii="宋体" w:hAnsi="宋体" w:eastAsia="宋体" w:cs="宋体"/>
          <w:bCs/>
          <w:color w:val="auto"/>
          <w:sz w:val="21"/>
          <w:szCs w:val="21"/>
          <w:highlight w:val="none"/>
        </w:rPr>
        <w:t>（5）风险处置措施和替代方案：</w:t>
      </w:r>
      <w:r>
        <w:rPr>
          <w:rFonts w:hint="eastAsia" w:ascii="宋体" w:hAnsi="宋体" w:eastAsia="宋体" w:cs="宋体"/>
          <w:color w:val="auto"/>
          <w:sz w:val="21"/>
          <w:szCs w:val="21"/>
          <w:highlight w:val="none"/>
          <w:u w:val="single"/>
        </w:rPr>
        <w:t xml:space="preserve">                                                               </w:t>
      </w:r>
    </w:p>
    <w:p w14:paraId="31CA6029">
      <w:pPr>
        <w:pStyle w:val="84"/>
        <w:ind w:firstLineChars="200"/>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4.合同验收</w:t>
      </w:r>
    </w:p>
    <w:p w14:paraId="3C7C964E">
      <w:pPr>
        <w:pStyle w:val="84"/>
        <w:ind w:firstLine="420" w:firstLineChars="200"/>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验收组织方式：</w:t>
      </w:r>
      <w:r>
        <w:rPr>
          <w:rFonts w:hint="eastAsia" w:ascii="宋体" w:hAnsi="宋体" w:eastAsia="宋体" w:cs="宋体"/>
          <w:color w:val="auto"/>
          <w:sz w:val="21"/>
          <w:szCs w:val="21"/>
          <w:highlight w:val="none"/>
        </w:rPr>
        <w:sym w:font="Wingdings" w:char="00FE"/>
      </w:r>
      <w:r>
        <w:rPr>
          <w:rFonts w:hint="eastAsia" w:ascii="宋体" w:hAnsi="宋体" w:eastAsia="宋体" w:cs="宋体"/>
          <w:bCs/>
          <w:color w:val="auto"/>
          <w:sz w:val="21"/>
          <w:szCs w:val="21"/>
          <w:highlight w:val="none"/>
        </w:rPr>
        <w:t xml:space="preserve">自行组织 </w:t>
      </w:r>
      <w:r>
        <w:rPr>
          <w:rFonts w:hint="eastAsia" w:ascii="宋体" w:hAnsi="宋体" w:eastAsia="宋体" w:cs="宋体"/>
          <w:color w:val="auto"/>
          <w:sz w:val="21"/>
          <w:szCs w:val="21"/>
          <w:highlight w:val="none"/>
        </w:rPr>
        <w:sym w:font="Wingdings" w:char="F0A8"/>
      </w:r>
      <w:r>
        <w:rPr>
          <w:rFonts w:hint="eastAsia" w:ascii="宋体" w:hAnsi="宋体" w:eastAsia="宋体" w:cs="宋体"/>
          <w:bCs/>
          <w:color w:val="auto"/>
          <w:sz w:val="21"/>
          <w:szCs w:val="21"/>
          <w:highlight w:val="none"/>
        </w:rPr>
        <w:t>委托第三方组织</w:t>
      </w:r>
    </w:p>
    <w:p w14:paraId="56F26DEE">
      <w:pPr>
        <w:pStyle w:val="84"/>
        <w:ind w:firstLine="420" w:firstLineChars="200"/>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验收主体：</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甲方</w:t>
      </w:r>
      <w:r>
        <w:rPr>
          <w:rFonts w:hint="eastAsia" w:ascii="宋体" w:hAnsi="宋体" w:eastAsia="宋体" w:cs="宋体"/>
          <w:bCs/>
          <w:color w:val="auto"/>
          <w:sz w:val="21"/>
          <w:szCs w:val="21"/>
          <w:highlight w:val="none"/>
          <w:u w:val="single"/>
        </w:rPr>
        <w:t xml:space="preserve"> </w:t>
      </w:r>
    </w:p>
    <w:p w14:paraId="2AA5D8C3">
      <w:pPr>
        <w:pStyle w:val="84"/>
        <w:ind w:firstLine="420" w:firstLineChars="200"/>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是否邀请本项目的其他</w:t>
      </w:r>
      <w:r>
        <w:rPr>
          <w:rFonts w:hint="eastAsia" w:ascii="宋体" w:hAnsi="宋体" w:eastAsia="宋体" w:cs="宋体"/>
          <w:bCs/>
          <w:color w:val="auto"/>
          <w:sz w:val="21"/>
          <w:szCs w:val="21"/>
          <w:highlight w:val="none"/>
          <w:lang w:eastAsia="zh-CN"/>
        </w:rPr>
        <w:t>投标人</w:t>
      </w:r>
      <w:r>
        <w:rPr>
          <w:rFonts w:hint="eastAsia" w:ascii="宋体" w:hAnsi="宋体" w:eastAsia="宋体" w:cs="宋体"/>
          <w:bCs/>
          <w:color w:val="auto"/>
          <w:sz w:val="21"/>
          <w:szCs w:val="21"/>
          <w:highlight w:val="none"/>
        </w:rPr>
        <w:t>参加验收：</w:t>
      </w:r>
      <w:r>
        <w:rPr>
          <w:rFonts w:hint="eastAsia" w:ascii="宋体" w:hAnsi="宋体" w:eastAsia="宋体" w:cs="宋体"/>
          <w:color w:val="auto"/>
          <w:sz w:val="21"/>
          <w:szCs w:val="21"/>
          <w:highlight w:val="none"/>
        </w:rPr>
        <w:sym w:font="Wingdings" w:char="F0A8"/>
      </w:r>
      <w:r>
        <w:rPr>
          <w:rFonts w:hint="eastAsia" w:ascii="宋体" w:hAnsi="宋体" w:eastAsia="宋体" w:cs="宋体"/>
          <w:bCs/>
          <w:color w:val="auto"/>
          <w:sz w:val="21"/>
          <w:szCs w:val="21"/>
          <w:highlight w:val="none"/>
        </w:rPr>
        <w:t xml:space="preserve">是  </w:t>
      </w:r>
      <w:r>
        <w:rPr>
          <w:rFonts w:hint="eastAsia" w:ascii="宋体" w:hAnsi="宋体" w:eastAsia="宋体" w:cs="宋体"/>
          <w:color w:val="auto"/>
          <w:sz w:val="21"/>
          <w:szCs w:val="21"/>
          <w:highlight w:val="none"/>
        </w:rPr>
        <w:sym w:font="Wingdings" w:char="00FE"/>
      </w:r>
      <w:r>
        <w:rPr>
          <w:rFonts w:hint="eastAsia" w:ascii="宋体" w:hAnsi="宋体" w:eastAsia="宋体" w:cs="宋体"/>
          <w:bCs/>
          <w:color w:val="auto"/>
          <w:sz w:val="21"/>
          <w:szCs w:val="21"/>
          <w:highlight w:val="none"/>
        </w:rPr>
        <w:t>否</w:t>
      </w:r>
    </w:p>
    <w:p w14:paraId="4B897B64">
      <w:pPr>
        <w:pStyle w:val="84"/>
        <w:ind w:firstLine="420" w:firstLineChars="200"/>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是否邀请专家参加验收：</w:t>
      </w:r>
      <w:r>
        <w:rPr>
          <w:rFonts w:hint="eastAsia" w:ascii="宋体" w:hAnsi="宋体" w:eastAsia="宋体" w:cs="宋体"/>
          <w:color w:val="auto"/>
          <w:sz w:val="21"/>
          <w:szCs w:val="21"/>
          <w:highlight w:val="none"/>
        </w:rPr>
        <w:sym w:font="Wingdings" w:char="F0A8"/>
      </w:r>
      <w:r>
        <w:rPr>
          <w:rFonts w:hint="eastAsia" w:ascii="宋体" w:hAnsi="宋体" w:eastAsia="宋体" w:cs="宋体"/>
          <w:bCs/>
          <w:color w:val="auto"/>
          <w:sz w:val="21"/>
          <w:szCs w:val="21"/>
          <w:highlight w:val="none"/>
        </w:rPr>
        <w:t xml:space="preserve">是  </w:t>
      </w:r>
      <w:r>
        <w:rPr>
          <w:rFonts w:hint="eastAsia" w:ascii="宋体" w:hAnsi="宋体" w:eastAsia="宋体" w:cs="宋体"/>
          <w:color w:val="auto"/>
          <w:sz w:val="21"/>
          <w:szCs w:val="21"/>
          <w:highlight w:val="none"/>
        </w:rPr>
        <w:sym w:font="Wingdings" w:char="00FE"/>
      </w:r>
      <w:r>
        <w:rPr>
          <w:rFonts w:hint="eastAsia" w:ascii="宋体" w:hAnsi="宋体" w:eastAsia="宋体" w:cs="宋体"/>
          <w:bCs/>
          <w:color w:val="auto"/>
          <w:sz w:val="21"/>
          <w:szCs w:val="21"/>
          <w:highlight w:val="none"/>
        </w:rPr>
        <w:t>否</w:t>
      </w:r>
    </w:p>
    <w:p w14:paraId="4394E01E">
      <w:pPr>
        <w:pStyle w:val="84"/>
        <w:ind w:firstLine="420" w:firstLineChars="200"/>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是否邀请服务对象参加验收：</w:t>
      </w:r>
      <w:r>
        <w:rPr>
          <w:rFonts w:hint="eastAsia" w:ascii="宋体" w:hAnsi="宋体" w:eastAsia="宋体" w:cs="宋体"/>
          <w:color w:val="auto"/>
          <w:sz w:val="21"/>
          <w:szCs w:val="21"/>
          <w:highlight w:val="none"/>
        </w:rPr>
        <w:sym w:font="Wingdings" w:char="F0A8"/>
      </w:r>
      <w:r>
        <w:rPr>
          <w:rFonts w:hint="eastAsia" w:ascii="宋体" w:hAnsi="宋体" w:eastAsia="宋体" w:cs="宋体"/>
          <w:bCs/>
          <w:color w:val="auto"/>
          <w:sz w:val="21"/>
          <w:szCs w:val="21"/>
          <w:highlight w:val="none"/>
        </w:rPr>
        <w:t xml:space="preserve">是  </w:t>
      </w:r>
      <w:r>
        <w:rPr>
          <w:rFonts w:hint="eastAsia" w:ascii="宋体" w:hAnsi="宋体" w:eastAsia="宋体" w:cs="宋体"/>
          <w:color w:val="auto"/>
          <w:sz w:val="21"/>
          <w:szCs w:val="21"/>
          <w:highlight w:val="none"/>
        </w:rPr>
        <w:sym w:font="Wingdings" w:char="00FE"/>
      </w:r>
      <w:r>
        <w:rPr>
          <w:rFonts w:hint="eastAsia" w:ascii="宋体" w:hAnsi="宋体" w:eastAsia="宋体" w:cs="宋体"/>
          <w:bCs/>
          <w:color w:val="auto"/>
          <w:sz w:val="21"/>
          <w:szCs w:val="21"/>
          <w:highlight w:val="none"/>
        </w:rPr>
        <w:t>否</w:t>
      </w:r>
    </w:p>
    <w:p w14:paraId="1B096CF8">
      <w:pPr>
        <w:pStyle w:val="84"/>
        <w:ind w:firstLine="420" w:firstLineChars="200"/>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是否邀请第三方检测机构参加验收：</w:t>
      </w:r>
      <w:r>
        <w:rPr>
          <w:rFonts w:hint="eastAsia" w:ascii="宋体" w:hAnsi="宋体" w:eastAsia="宋体" w:cs="宋体"/>
          <w:color w:val="auto"/>
          <w:sz w:val="21"/>
          <w:szCs w:val="21"/>
          <w:highlight w:val="none"/>
        </w:rPr>
        <w:sym w:font="Wingdings" w:char="F0A8"/>
      </w:r>
      <w:r>
        <w:rPr>
          <w:rFonts w:hint="eastAsia" w:ascii="宋体" w:hAnsi="宋体" w:eastAsia="宋体" w:cs="宋体"/>
          <w:bCs/>
          <w:color w:val="auto"/>
          <w:sz w:val="21"/>
          <w:szCs w:val="21"/>
          <w:highlight w:val="none"/>
        </w:rPr>
        <w:t xml:space="preserve">是  </w:t>
      </w:r>
      <w:r>
        <w:rPr>
          <w:rFonts w:hint="eastAsia" w:ascii="宋体" w:hAnsi="宋体" w:eastAsia="宋体" w:cs="宋体"/>
          <w:color w:val="auto"/>
          <w:sz w:val="21"/>
          <w:szCs w:val="21"/>
          <w:highlight w:val="none"/>
        </w:rPr>
        <w:sym w:font="Wingdings" w:char="00FE"/>
      </w:r>
      <w:r>
        <w:rPr>
          <w:rFonts w:hint="eastAsia" w:ascii="宋体" w:hAnsi="宋体" w:eastAsia="宋体" w:cs="宋体"/>
          <w:bCs/>
          <w:color w:val="auto"/>
          <w:sz w:val="21"/>
          <w:szCs w:val="21"/>
          <w:highlight w:val="none"/>
        </w:rPr>
        <w:t>否</w:t>
      </w:r>
    </w:p>
    <w:p w14:paraId="7A8DE992">
      <w:pPr>
        <w:pStyle w:val="84"/>
        <w:ind w:firstLine="420" w:firstLineChars="200"/>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是否进行抽查检测：</w:t>
      </w:r>
      <w:r>
        <w:rPr>
          <w:rFonts w:hint="eastAsia" w:ascii="宋体" w:hAnsi="宋体" w:eastAsia="宋体" w:cs="宋体"/>
          <w:color w:val="auto"/>
          <w:sz w:val="21"/>
          <w:szCs w:val="21"/>
          <w:highlight w:val="none"/>
        </w:rPr>
        <w:sym w:font="Wingdings" w:char="F0A8"/>
      </w:r>
      <w:r>
        <w:rPr>
          <w:rFonts w:hint="eastAsia" w:ascii="宋体" w:hAnsi="宋体" w:eastAsia="宋体" w:cs="宋体"/>
          <w:bCs/>
          <w:color w:val="auto"/>
          <w:sz w:val="21"/>
          <w:szCs w:val="21"/>
          <w:highlight w:val="none"/>
        </w:rPr>
        <w:t>是，抽查比例：</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 xml:space="preserve"> </w:t>
      </w:r>
      <w:r>
        <w:rPr>
          <w:rFonts w:hint="eastAsia" w:ascii="宋体" w:hAnsi="宋体" w:eastAsia="宋体" w:cs="宋体"/>
          <w:color w:val="auto"/>
          <w:sz w:val="21"/>
          <w:szCs w:val="21"/>
          <w:highlight w:val="none"/>
        </w:rPr>
        <w:sym w:font="Wingdings" w:char="00FE"/>
      </w:r>
      <w:r>
        <w:rPr>
          <w:rFonts w:hint="eastAsia" w:ascii="宋体" w:hAnsi="宋体" w:eastAsia="宋体" w:cs="宋体"/>
          <w:bCs/>
          <w:color w:val="auto"/>
          <w:sz w:val="21"/>
          <w:szCs w:val="21"/>
          <w:highlight w:val="none"/>
        </w:rPr>
        <w:t>否</w:t>
      </w:r>
    </w:p>
    <w:p w14:paraId="450118AD">
      <w:pPr>
        <w:pStyle w:val="84"/>
        <w:ind w:firstLine="420" w:firstLineChars="200"/>
        <w:outlineLvl w:val="9"/>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是否存在破坏性检测：</w:t>
      </w:r>
      <w:r>
        <w:rPr>
          <w:rFonts w:hint="eastAsia" w:ascii="宋体" w:hAnsi="宋体" w:eastAsia="宋体" w:cs="宋体"/>
          <w:color w:val="auto"/>
          <w:sz w:val="21"/>
          <w:szCs w:val="21"/>
          <w:highlight w:val="none"/>
        </w:rPr>
        <w:sym w:font="Wingdings" w:char="F0A8"/>
      </w:r>
      <w:r>
        <w:rPr>
          <w:rFonts w:hint="eastAsia" w:ascii="宋体" w:hAnsi="宋体" w:eastAsia="宋体" w:cs="宋体"/>
          <w:bCs/>
          <w:color w:val="auto"/>
          <w:sz w:val="21"/>
          <w:szCs w:val="21"/>
          <w:highlight w:val="none"/>
        </w:rPr>
        <w:t>是，</w:t>
      </w:r>
      <w:r>
        <w:rPr>
          <w:rFonts w:hint="eastAsia" w:ascii="宋体" w:hAnsi="宋体" w:eastAsia="宋体" w:cs="宋体"/>
          <w:bCs/>
          <w:color w:val="auto"/>
          <w:sz w:val="21"/>
          <w:szCs w:val="21"/>
          <w:highlight w:val="none"/>
          <w:u w:val="single"/>
        </w:rPr>
        <w:t>（应明确对被破坏的检测产品的处理方式）</w:t>
      </w:r>
    </w:p>
    <w:p w14:paraId="07159BDF">
      <w:pPr>
        <w:pStyle w:val="84"/>
        <w:ind w:firstLine="420" w:firstLineChars="200"/>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                    </w:t>
      </w:r>
      <w:r>
        <w:rPr>
          <w:rFonts w:hint="eastAsia" w:ascii="宋体" w:hAnsi="宋体" w:eastAsia="宋体" w:cs="宋体"/>
          <w:color w:val="auto"/>
          <w:sz w:val="21"/>
          <w:szCs w:val="21"/>
          <w:highlight w:val="none"/>
        </w:rPr>
        <w:sym w:font="Wingdings" w:char="00FE"/>
      </w:r>
      <w:r>
        <w:rPr>
          <w:rFonts w:hint="eastAsia" w:ascii="宋体" w:hAnsi="宋体" w:eastAsia="宋体" w:cs="宋体"/>
          <w:bCs/>
          <w:color w:val="auto"/>
          <w:sz w:val="21"/>
          <w:szCs w:val="21"/>
          <w:highlight w:val="none"/>
        </w:rPr>
        <w:t>否</w:t>
      </w:r>
    </w:p>
    <w:p w14:paraId="06651568">
      <w:pPr>
        <w:pStyle w:val="84"/>
        <w:ind w:firstLine="420" w:firstLineChars="200"/>
        <w:outlineLvl w:val="9"/>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验收组织的其他事项：</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无</w:t>
      </w:r>
      <w:r>
        <w:rPr>
          <w:rFonts w:hint="eastAsia" w:ascii="宋体" w:hAnsi="宋体" w:eastAsia="宋体" w:cs="宋体"/>
          <w:bCs/>
          <w:color w:val="auto"/>
          <w:sz w:val="21"/>
          <w:szCs w:val="21"/>
          <w:highlight w:val="none"/>
          <w:u w:val="single"/>
        </w:rPr>
        <w:t xml:space="preserve">       </w:t>
      </w:r>
    </w:p>
    <w:p w14:paraId="71F9AA90">
      <w:pPr>
        <w:pStyle w:val="84"/>
        <w:ind w:firstLine="420" w:firstLineChars="200"/>
        <w:outlineLvl w:val="9"/>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（2）履约验收时间：</w:t>
      </w:r>
      <w:r>
        <w:rPr>
          <w:rFonts w:hint="eastAsia" w:ascii="宋体" w:hAnsi="宋体" w:eastAsia="宋体" w:cs="宋体"/>
          <w:bCs/>
          <w:color w:val="auto"/>
          <w:sz w:val="21"/>
          <w:szCs w:val="21"/>
          <w:highlight w:val="none"/>
          <w:u w:val="single"/>
        </w:rPr>
        <w:t>（计划于何时验收/</w:t>
      </w:r>
      <w:r>
        <w:rPr>
          <w:rFonts w:hint="eastAsia" w:ascii="宋体" w:hAnsi="宋体" w:eastAsia="宋体" w:cs="宋体"/>
          <w:bCs/>
          <w:color w:val="auto"/>
          <w:sz w:val="21"/>
          <w:szCs w:val="21"/>
          <w:highlight w:val="none"/>
          <w:u w:val="single"/>
          <w:lang w:eastAsia="zh-CN"/>
        </w:rPr>
        <w:t>投标人</w:t>
      </w:r>
      <w:r>
        <w:rPr>
          <w:rFonts w:hint="eastAsia" w:ascii="宋体" w:hAnsi="宋体" w:eastAsia="宋体" w:cs="宋体"/>
          <w:bCs/>
          <w:color w:val="auto"/>
          <w:sz w:val="21"/>
          <w:szCs w:val="21"/>
          <w:highlight w:val="none"/>
          <w:u w:val="single"/>
        </w:rPr>
        <w:t>提出验收申请之日起</w:t>
      </w:r>
      <w:r>
        <w:rPr>
          <w:rFonts w:hint="eastAsia" w:ascii="宋体" w:hAnsi="宋体" w:eastAsia="宋体" w:cs="宋体"/>
          <w:bCs/>
          <w:color w:val="auto"/>
          <w:sz w:val="21"/>
          <w:szCs w:val="21"/>
          <w:highlight w:val="none"/>
          <w:u w:val="single"/>
          <w:lang w:val="en-US" w:eastAsia="zh-CN"/>
        </w:rPr>
        <w:t>5个工作</w:t>
      </w:r>
      <w:r>
        <w:rPr>
          <w:rFonts w:hint="eastAsia" w:ascii="宋体" w:hAnsi="宋体" w:eastAsia="宋体" w:cs="宋体"/>
          <w:bCs/>
          <w:color w:val="auto"/>
          <w:sz w:val="21"/>
          <w:szCs w:val="21"/>
          <w:highlight w:val="none"/>
          <w:u w:val="single"/>
        </w:rPr>
        <w:t xml:space="preserve">日内组织验收） </w:t>
      </w:r>
    </w:p>
    <w:p w14:paraId="42355841">
      <w:pPr>
        <w:pStyle w:val="84"/>
        <w:ind w:firstLine="420" w:firstLineChars="200"/>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（3）履约验收方式：</w:t>
      </w:r>
      <w:r>
        <w:rPr>
          <w:rFonts w:hint="eastAsia" w:ascii="宋体" w:hAnsi="宋体" w:eastAsia="宋体" w:cs="宋体"/>
          <w:color w:val="auto"/>
          <w:sz w:val="21"/>
          <w:szCs w:val="21"/>
          <w:highlight w:val="none"/>
        </w:rPr>
        <w:sym w:font="Wingdings" w:char="F0A8"/>
      </w:r>
      <w:r>
        <w:rPr>
          <w:rFonts w:hint="eastAsia" w:ascii="宋体" w:hAnsi="宋体" w:eastAsia="宋体" w:cs="宋体"/>
          <w:bCs/>
          <w:color w:val="auto"/>
          <w:sz w:val="21"/>
          <w:szCs w:val="21"/>
          <w:highlight w:val="none"/>
        </w:rPr>
        <w:t xml:space="preserve">一次性验收         </w:t>
      </w:r>
    </w:p>
    <w:p w14:paraId="228D4A1F">
      <w:pPr>
        <w:pStyle w:val="84"/>
        <w:ind w:firstLine="420" w:firstLineChars="200"/>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                   </w:t>
      </w:r>
      <w:r>
        <w:rPr>
          <w:rFonts w:hint="eastAsia" w:ascii="宋体" w:hAnsi="宋体" w:eastAsia="宋体" w:cs="宋体"/>
          <w:color w:val="auto"/>
          <w:sz w:val="21"/>
          <w:szCs w:val="21"/>
          <w:highlight w:val="none"/>
        </w:rPr>
        <w:sym w:font="Wingdings" w:char="F0A8"/>
      </w:r>
      <w:r>
        <w:rPr>
          <w:rFonts w:hint="eastAsia" w:ascii="宋体" w:hAnsi="宋体" w:eastAsia="宋体" w:cs="宋体"/>
          <w:bCs/>
          <w:color w:val="auto"/>
          <w:sz w:val="21"/>
          <w:szCs w:val="21"/>
          <w:highlight w:val="none"/>
        </w:rPr>
        <w:t>分期/分项验收：</w:t>
      </w:r>
      <w:r>
        <w:rPr>
          <w:rFonts w:hint="eastAsia" w:ascii="宋体" w:hAnsi="宋体" w:eastAsia="宋体" w:cs="宋体"/>
          <w:bCs/>
          <w:color w:val="auto"/>
          <w:sz w:val="21"/>
          <w:szCs w:val="21"/>
          <w:highlight w:val="none"/>
          <w:u w:val="single"/>
        </w:rPr>
        <w:t xml:space="preserve"> （应明确分期</w:t>
      </w:r>
      <w:r>
        <w:rPr>
          <w:rFonts w:hint="eastAsia" w:ascii="宋体" w:hAnsi="宋体" w:eastAsia="宋体" w:cs="宋体"/>
          <w:bCs/>
          <w:color w:val="auto"/>
          <w:sz w:val="21"/>
          <w:szCs w:val="21"/>
          <w:highlight w:val="none"/>
          <w:u w:val="single"/>
          <w:lang w:val="en"/>
        </w:rPr>
        <w:t>/分项验收的工作安排</w:t>
      </w:r>
      <w:r>
        <w:rPr>
          <w:rFonts w:hint="eastAsia" w:ascii="宋体" w:hAnsi="宋体" w:eastAsia="宋体" w:cs="宋体"/>
          <w:bCs/>
          <w:color w:val="auto"/>
          <w:sz w:val="21"/>
          <w:szCs w:val="21"/>
          <w:highlight w:val="none"/>
          <w:u w:val="single"/>
        </w:rPr>
        <w:t xml:space="preserve">）  </w:t>
      </w:r>
    </w:p>
    <w:p w14:paraId="3F17AF70">
      <w:pPr>
        <w:pStyle w:val="84"/>
        <w:ind w:firstLine="420" w:firstLineChars="200"/>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（4）履约验收程序：</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先进行名称、数量、品牌、型号的初步验收，在对设备的技术性能进行验收。</w:t>
      </w:r>
      <w:r>
        <w:rPr>
          <w:rFonts w:hint="eastAsia" w:ascii="宋体" w:hAnsi="宋体" w:eastAsia="宋体" w:cs="宋体"/>
          <w:bCs/>
          <w:color w:val="auto"/>
          <w:sz w:val="21"/>
          <w:szCs w:val="21"/>
          <w:highlight w:val="none"/>
          <w:u w:val="single"/>
        </w:rPr>
        <w:t xml:space="preserve">  </w:t>
      </w:r>
    </w:p>
    <w:p w14:paraId="6F883B8C">
      <w:pPr>
        <w:pStyle w:val="84"/>
        <w:ind w:firstLine="420" w:firstLineChars="200"/>
        <w:outlineLvl w:val="9"/>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（5）履约验收的内容：</w:t>
      </w:r>
      <w:r>
        <w:rPr>
          <w:rFonts w:hint="eastAsia" w:ascii="宋体" w:hAnsi="宋体" w:eastAsia="宋体" w:cs="宋体"/>
          <w:bCs/>
          <w:color w:val="auto"/>
          <w:sz w:val="21"/>
          <w:szCs w:val="21"/>
          <w:highlight w:val="none"/>
          <w:u w:val="single"/>
        </w:rPr>
        <w:t xml:space="preserve"> （应当包括每一项技术和商务要求的履约情况，特别是落实政府采购扶持中小企业，支持绿色发展和乡村振兴等政策情况）                                      </w:t>
      </w:r>
    </w:p>
    <w:p w14:paraId="35ED5377">
      <w:pPr>
        <w:pStyle w:val="84"/>
        <w:ind w:firstLine="420" w:firstLineChars="200"/>
        <w:outlineLvl w:val="9"/>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（6）履约验收标准：</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产品合格，符合采购需求及投标文件承诺。</w:t>
      </w:r>
      <w:r>
        <w:rPr>
          <w:rFonts w:hint="eastAsia" w:ascii="宋体" w:hAnsi="宋体" w:eastAsia="宋体" w:cs="宋体"/>
          <w:bCs/>
          <w:color w:val="auto"/>
          <w:sz w:val="21"/>
          <w:szCs w:val="21"/>
          <w:highlight w:val="none"/>
          <w:u w:val="single"/>
        </w:rPr>
        <w:t xml:space="preserve">   </w:t>
      </w:r>
    </w:p>
    <w:p w14:paraId="4B5319CB">
      <w:pPr>
        <w:pStyle w:val="84"/>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（7）是否以采购活动中</w:t>
      </w:r>
      <w:r>
        <w:rPr>
          <w:rFonts w:hint="eastAsia" w:ascii="宋体" w:hAnsi="宋体" w:eastAsia="宋体" w:cs="宋体"/>
          <w:bCs/>
          <w:color w:val="auto"/>
          <w:sz w:val="21"/>
          <w:szCs w:val="21"/>
          <w:highlight w:val="none"/>
          <w:lang w:eastAsia="zh-CN"/>
        </w:rPr>
        <w:t>投标人</w:t>
      </w:r>
      <w:r>
        <w:rPr>
          <w:rFonts w:hint="eastAsia" w:ascii="宋体" w:hAnsi="宋体" w:eastAsia="宋体" w:cs="宋体"/>
          <w:bCs/>
          <w:color w:val="auto"/>
          <w:sz w:val="21"/>
          <w:szCs w:val="21"/>
          <w:highlight w:val="none"/>
        </w:rPr>
        <w:t>提供的样品作为参考：</w:t>
      </w:r>
      <w:r>
        <w:rPr>
          <w:rFonts w:hint="eastAsia" w:ascii="宋体" w:hAnsi="宋体" w:eastAsia="宋体" w:cs="宋体"/>
          <w:color w:val="auto"/>
          <w:sz w:val="21"/>
          <w:szCs w:val="21"/>
          <w:highlight w:val="none"/>
        </w:rPr>
        <w:sym w:font="Wingdings" w:char="F0A8"/>
      </w:r>
      <w:r>
        <w:rPr>
          <w:rFonts w:hint="eastAsia" w:ascii="宋体" w:hAnsi="宋体" w:eastAsia="宋体" w:cs="宋体"/>
          <w:bCs/>
          <w:color w:val="auto"/>
          <w:sz w:val="21"/>
          <w:szCs w:val="21"/>
          <w:highlight w:val="none"/>
        </w:rPr>
        <w:t xml:space="preserve">是  </w:t>
      </w:r>
      <w:r>
        <w:rPr>
          <w:rFonts w:hint="eastAsia" w:ascii="宋体" w:hAnsi="宋体" w:eastAsia="宋体" w:cs="宋体"/>
          <w:color w:val="auto"/>
          <w:sz w:val="21"/>
          <w:szCs w:val="21"/>
          <w:highlight w:val="none"/>
        </w:rPr>
        <w:sym w:font="Wingdings" w:char="00FE"/>
      </w:r>
      <w:r>
        <w:rPr>
          <w:rFonts w:hint="eastAsia" w:ascii="宋体" w:hAnsi="宋体" w:eastAsia="宋体" w:cs="宋体"/>
          <w:bCs/>
          <w:color w:val="auto"/>
          <w:sz w:val="21"/>
          <w:szCs w:val="21"/>
          <w:highlight w:val="none"/>
        </w:rPr>
        <w:t>否</w:t>
      </w:r>
    </w:p>
    <w:p w14:paraId="68B43168">
      <w:pPr>
        <w:pStyle w:val="84"/>
        <w:ind w:firstLine="420" w:firstLineChars="200"/>
        <w:outlineLvl w:val="9"/>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（8）履约验收其他事项：</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无</w:t>
      </w:r>
      <w:r>
        <w:rPr>
          <w:rFonts w:hint="eastAsia" w:ascii="宋体" w:hAnsi="宋体" w:eastAsia="宋体" w:cs="宋体"/>
          <w:bCs/>
          <w:color w:val="auto"/>
          <w:sz w:val="21"/>
          <w:szCs w:val="21"/>
          <w:highlight w:val="none"/>
          <w:u w:val="single"/>
        </w:rPr>
        <w:t xml:space="preserve">       </w:t>
      </w:r>
    </w:p>
    <w:p w14:paraId="370792FA">
      <w:pPr>
        <w:pStyle w:val="84"/>
        <w:ind w:firstLineChars="200"/>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5.组成合同的文件</w:t>
      </w:r>
    </w:p>
    <w:p w14:paraId="0E85B771">
      <w:pPr>
        <w:pStyle w:val="84"/>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本协议书与下列文件一起构成合同文件，如下述文件之间有任何抵触、矛盾或歧义，应按以下顺序解释：</w:t>
      </w:r>
    </w:p>
    <w:p w14:paraId="6489A36D">
      <w:pPr>
        <w:pStyle w:val="84"/>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（1）政府采购合同协议书及其变更、补充协议</w:t>
      </w:r>
    </w:p>
    <w:p w14:paraId="603B651B">
      <w:pPr>
        <w:pStyle w:val="84"/>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（2）政府采购合同专用条款</w:t>
      </w:r>
    </w:p>
    <w:p w14:paraId="31BCA5E3">
      <w:pPr>
        <w:pStyle w:val="84"/>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（3）政府采购合同通用条款</w:t>
      </w:r>
    </w:p>
    <w:p w14:paraId="07A73EF3">
      <w:pPr>
        <w:pStyle w:val="84"/>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（4）中标（成交）通知书</w:t>
      </w:r>
    </w:p>
    <w:p w14:paraId="30B66FBD">
      <w:pPr>
        <w:pStyle w:val="84"/>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（5）投标（响应）文件</w:t>
      </w:r>
    </w:p>
    <w:p w14:paraId="6FC0A5F7">
      <w:pPr>
        <w:pStyle w:val="84"/>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（6）采购文件</w:t>
      </w:r>
    </w:p>
    <w:p w14:paraId="6248C92A">
      <w:pPr>
        <w:pStyle w:val="84"/>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（7）有关技术文件，图纸</w:t>
      </w:r>
    </w:p>
    <w:p w14:paraId="4F41A1CC">
      <w:pPr>
        <w:pStyle w:val="84"/>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（8）国家法律、行政法规和规章制度规定或合同约定的作为合同组成部分的其他文件</w:t>
      </w:r>
    </w:p>
    <w:p w14:paraId="34E32D5C">
      <w:pPr>
        <w:pStyle w:val="84"/>
        <w:ind w:firstLineChars="200"/>
        <w:outlineLvl w:val="9"/>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rPr>
        <w:t>6.</w:t>
      </w:r>
      <w:r>
        <w:rPr>
          <w:rFonts w:hint="eastAsia" w:cs="宋体"/>
          <w:b/>
          <w:color w:val="auto"/>
          <w:sz w:val="21"/>
          <w:szCs w:val="21"/>
          <w:highlight w:val="none"/>
          <w:lang w:val="en-US" w:eastAsia="zh-CN"/>
        </w:rPr>
        <w:t>售后技术服务要求</w:t>
      </w:r>
    </w:p>
    <w:p w14:paraId="10387F44">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cs="宋体"/>
          <w:color w:val="auto"/>
          <w:sz w:val="21"/>
          <w:szCs w:val="21"/>
          <w:highlight w:val="none"/>
          <w:u w:val="none"/>
          <w:lang w:val="en-US" w:eastAsia="zh-CN"/>
        </w:rPr>
        <w:t>（1）</w:t>
      </w:r>
      <w:r>
        <w:rPr>
          <w:rFonts w:hint="eastAsia" w:ascii="宋体" w:hAnsi="宋体" w:eastAsia="宋体" w:cs="宋体"/>
          <w:color w:val="auto"/>
          <w:sz w:val="21"/>
          <w:szCs w:val="21"/>
          <w:highlight w:val="none"/>
          <w:u w:val="none"/>
          <w:lang w:val="en-US" w:eastAsia="zh-CN"/>
        </w:rPr>
        <w:t>免费送货上门、免费为用户安装、调试仪器；售后服务人员现场免费培训操作人员到能熟练操作（保证使用人员正常操作产品的各种功能；提供培训时长、内容等说明）。</w:t>
      </w:r>
    </w:p>
    <w:p w14:paraId="29F76CCE">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cs="宋体"/>
          <w:color w:val="auto"/>
          <w:sz w:val="21"/>
          <w:szCs w:val="21"/>
          <w:highlight w:val="none"/>
          <w:u w:val="none"/>
          <w:lang w:val="en-US" w:eastAsia="zh-CN"/>
        </w:rPr>
        <w:t>（2）</w:t>
      </w:r>
      <w:r>
        <w:rPr>
          <w:rFonts w:hint="eastAsia" w:ascii="宋体" w:hAnsi="宋体" w:eastAsia="宋体" w:cs="宋体"/>
          <w:color w:val="auto"/>
          <w:sz w:val="21"/>
          <w:szCs w:val="21"/>
          <w:highlight w:val="none"/>
          <w:u w:val="none"/>
          <w:lang w:val="en-US" w:eastAsia="zh-CN"/>
        </w:rPr>
        <w:t>售后服务：项目在安装调试过程中，</w:t>
      </w:r>
      <w:r>
        <w:rPr>
          <w:rFonts w:hint="eastAsia" w:ascii="宋体" w:hAnsi="宋体" w:cs="宋体"/>
          <w:color w:val="auto"/>
          <w:sz w:val="21"/>
          <w:szCs w:val="21"/>
          <w:highlight w:val="none"/>
          <w:u w:val="none"/>
          <w:lang w:val="en-US" w:eastAsia="zh-CN"/>
        </w:rPr>
        <w:t>乙方</w:t>
      </w:r>
      <w:r>
        <w:rPr>
          <w:rFonts w:hint="eastAsia" w:ascii="宋体" w:hAnsi="宋体" w:eastAsia="宋体" w:cs="宋体"/>
          <w:color w:val="auto"/>
          <w:sz w:val="21"/>
          <w:szCs w:val="21"/>
          <w:highlight w:val="none"/>
          <w:u w:val="none"/>
          <w:lang w:val="en-US" w:eastAsia="zh-CN"/>
        </w:rPr>
        <w:t>应派专业技术人员对施工进行同步指导，并负责全套机组的调试运行，达到验收要求。负责派合格的工程师到现场进行设备安装、调试，达到正常运作要求，保证设备正常使用。在保质期内，设备出现问题或采购人有服务需求的，</w:t>
      </w:r>
      <w:r>
        <w:rPr>
          <w:rFonts w:hint="eastAsia" w:ascii="宋体" w:hAnsi="宋体" w:cs="宋体"/>
          <w:color w:val="auto"/>
          <w:sz w:val="21"/>
          <w:szCs w:val="21"/>
          <w:highlight w:val="none"/>
          <w:u w:val="none"/>
          <w:lang w:val="en-US" w:eastAsia="zh-CN"/>
        </w:rPr>
        <w:t>乙方</w:t>
      </w:r>
      <w:r>
        <w:rPr>
          <w:rFonts w:hint="eastAsia" w:ascii="宋体" w:hAnsi="宋体" w:eastAsia="宋体" w:cs="宋体"/>
          <w:color w:val="auto"/>
          <w:sz w:val="21"/>
          <w:szCs w:val="21"/>
          <w:highlight w:val="none"/>
          <w:u w:val="none"/>
          <w:lang w:val="en-US" w:eastAsia="zh-CN"/>
        </w:rPr>
        <w:t>应在24小时内响应，应在三个工作日内到达仪器现场；一般问题应在48小时内解决。质保期内免费提供维护和保养服务并提供技术援助电话和售后服务电话，维修、换货中所有产生的一切费用由</w:t>
      </w:r>
      <w:r>
        <w:rPr>
          <w:rFonts w:hint="eastAsia" w:ascii="宋体" w:hAnsi="宋体" w:cs="宋体"/>
          <w:color w:val="auto"/>
          <w:sz w:val="21"/>
          <w:szCs w:val="21"/>
          <w:highlight w:val="none"/>
          <w:u w:val="none"/>
          <w:lang w:val="en-US" w:eastAsia="zh-CN"/>
        </w:rPr>
        <w:t>乙方</w:t>
      </w:r>
      <w:r>
        <w:rPr>
          <w:rFonts w:hint="eastAsia" w:ascii="宋体" w:hAnsi="宋体" w:eastAsia="宋体" w:cs="宋体"/>
          <w:color w:val="auto"/>
          <w:sz w:val="21"/>
          <w:szCs w:val="21"/>
          <w:highlight w:val="none"/>
          <w:u w:val="none"/>
          <w:lang w:val="en-US" w:eastAsia="zh-CN"/>
        </w:rPr>
        <w:t>承担。质保期外要求终身维护，零配件只收取成本费。</w:t>
      </w:r>
    </w:p>
    <w:p w14:paraId="6E542DD1">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cs="宋体"/>
          <w:color w:val="auto"/>
          <w:sz w:val="21"/>
          <w:szCs w:val="21"/>
          <w:highlight w:val="none"/>
          <w:u w:val="none"/>
          <w:lang w:val="en-US" w:eastAsia="zh-CN"/>
        </w:rPr>
        <w:t>（3）</w:t>
      </w:r>
      <w:r>
        <w:rPr>
          <w:rFonts w:hint="eastAsia" w:ascii="宋体" w:hAnsi="宋体" w:eastAsia="宋体" w:cs="宋体"/>
          <w:color w:val="auto"/>
          <w:sz w:val="21"/>
          <w:szCs w:val="21"/>
          <w:highlight w:val="none"/>
          <w:u w:val="none"/>
          <w:lang w:val="en-US" w:eastAsia="zh-CN"/>
        </w:rPr>
        <w:t>承诺提供保修服务须原厂保修。</w:t>
      </w:r>
    </w:p>
    <w:p w14:paraId="37082B65">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cs="宋体"/>
          <w:color w:val="auto"/>
          <w:sz w:val="21"/>
          <w:szCs w:val="21"/>
          <w:highlight w:val="none"/>
          <w:u w:val="none"/>
          <w:lang w:val="en-US" w:eastAsia="zh-CN"/>
        </w:rPr>
        <w:t>（4）乙方</w:t>
      </w:r>
      <w:r>
        <w:rPr>
          <w:rFonts w:hint="eastAsia" w:ascii="宋体" w:hAnsi="宋体" w:eastAsia="宋体" w:cs="宋体"/>
          <w:color w:val="auto"/>
          <w:sz w:val="21"/>
          <w:szCs w:val="21"/>
          <w:highlight w:val="none"/>
          <w:u w:val="none"/>
          <w:lang w:val="en-US" w:eastAsia="zh-CN"/>
        </w:rPr>
        <w:t>提供24小时365天免费维修服务热线支持。每半年至少提供一次维护保养，并提供保养报告单；定期的维护保养服务包括：设备的安全检查、设备质量检查、设备清洁保养、性能测试及校准、 运行状态检查等。质保期内需更换的损耗品由</w:t>
      </w:r>
      <w:r>
        <w:rPr>
          <w:rFonts w:hint="eastAsia" w:ascii="宋体" w:hAnsi="宋体" w:cs="宋体"/>
          <w:color w:val="auto"/>
          <w:sz w:val="21"/>
          <w:szCs w:val="21"/>
          <w:highlight w:val="none"/>
          <w:u w:val="none"/>
          <w:lang w:val="en-US" w:eastAsia="zh-CN"/>
        </w:rPr>
        <w:t>乙方</w:t>
      </w:r>
      <w:r>
        <w:rPr>
          <w:rFonts w:hint="eastAsia" w:ascii="宋体" w:hAnsi="宋体" w:eastAsia="宋体" w:cs="宋体"/>
          <w:color w:val="auto"/>
          <w:sz w:val="21"/>
          <w:szCs w:val="21"/>
          <w:highlight w:val="none"/>
          <w:u w:val="none"/>
          <w:lang w:val="en-US" w:eastAsia="zh-CN"/>
        </w:rPr>
        <w:t>免费提供。</w:t>
      </w:r>
    </w:p>
    <w:p w14:paraId="3A487584">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cs="宋体"/>
          <w:color w:val="auto"/>
          <w:sz w:val="21"/>
          <w:szCs w:val="21"/>
          <w:highlight w:val="none"/>
          <w:u w:val="none"/>
          <w:lang w:val="en-US" w:eastAsia="zh-CN"/>
        </w:rPr>
        <w:t>（5）</w:t>
      </w:r>
      <w:r>
        <w:rPr>
          <w:rFonts w:hint="eastAsia" w:ascii="宋体" w:hAnsi="宋体" w:eastAsia="宋体" w:cs="宋体"/>
          <w:color w:val="auto"/>
          <w:sz w:val="21"/>
          <w:szCs w:val="21"/>
          <w:highlight w:val="none"/>
          <w:u w:val="none"/>
          <w:lang w:val="en-US" w:eastAsia="zh-CN"/>
        </w:rPr>
        <w:t>提供操作手册、维护手册、维修手册、备件清单、零部件等维护维修必需的材料和信息。</w:t>
      </w:r>
    </w:p>
    <w:p w14:paraId="74F4E90A">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cs="宋体"/>
          <w:color w:val="auto"/>
          <w:sz w:val="21"/>
          <w:szCs w:val="21"/>
          <w:highlight w:val="none"/>
          <w:u w:val="none"/>
          <w:lang w:val="en-US" w:eastAsia="zh-CN"/>
        </w:rPr>
        <w:t>（6）</w:t>
      </w:r>
      <w:r>
        <w:rPr>
          <w:rFonts w:hint="eastAsia" w:ascii="宋体" w:hAnsi="宋体" w:eastAsia="宋体" w:cs="宋体"/>
          <w:color w:val="auto"/>
          <w:sz w:val="21"/>
          <w:szCs w:val="21"/>
          <w:highlight w:val="none"/>
          <w:u w:val="none"/>
          <w:lang w:val="en-US" w:eastAsia="zh-CN"/>
        </w:rPr>
        <w:t>售后服务承诺书中根据采购人的实际情况对质量保证及售后服务方案做出详细服务承诺、提供详细的保养计划。</w:t>
      </w:r>
    </w:p>
    <w:p w14:paraId="2971DC32">
      <w:pPr>
        <w:ind w:firstLine="420" w:firstLineChars="200"/>
        <w:rPr>
          <w:color w:val="auto"/>
          <w:highlight w:val="none"/>
        </w:rPr>
      </w:pPr>
      <w:r>
        <w:rPr>
          <w:rFonts w:hint="eastAsia" w:ascii="宋体" w:hAnsi="宋体" w:cs="宋体"/>
          <w:color w:val="auto"/>
          <w:sz w:val="21"/>
          <w:szCs w:val="21"/>
          <w:highlight w:val="none"/>
          <w:u w:val="none"/>
          <w:lang w:val="en-US" w:eastAsia="zh-CN"/>
        </w:rPr>
        <w:t>（7）</w:t>
      </w:r>
      <w:r>
        <w:rPr>
          <w:rFonts w:hint="eastAsia" w:ascii="宋体" w:hAnsi="宋体" w:eastAsia="宋体" w:cs="宋体"/>
          <w:color w:val="auto"/>
          <w:sz w:val="21"/>
          <w:szCs w:val="21"/>
          <w:highlight w:val="none"/>
          <w:u w:val="none"/>
          <w:lang w:val="en-US" w:eastAsia="zh-CN"/>
        </w:rPr>
        <w:t>在保质期满后，</w:t>
      </w:r>
      <w:r>
        <w:rPr>
          <w:rFonts w:hint="eastAsia" w:ascii="宋体" w:hAnsi="宋体" w:cs="宋体"/>
          <w:color w:val="auto"/>
          <w:sz w:val="21"/>
          <w:szCs w:val="21"/>
          <w:highlight w:val="none"/>
          <w:u w:val="none"/>
          <w:lang w:val="en-US" w:eastAsia="zh-CN"/>
        </w:rPr>
        <w:t>乙方</w:t>
      </w:r>
      <w:r>
        <w:rPr>
          <w:rFonts w:hint="eastAsia" w:ascii="宋体" w:hAnsi="宋体" w:eastAsia="宋体" w:cs="宋体"/>
          <w:color w:val="auto"/>
          <w:sz w:val="21"/>
          <w:szCs w:val="21"/>
          <w:highlight w:val="none"/>
          <w:u w:val="none"/>
          <w:lang w:val="en-US" w:eastAsia="zh-CN"/>
        </w:rPr>
        <w:t>应提供备件和维修服务。</w:t>
      </w:r>
    </w:p>
    <w:p w14:paraId="7FC76B9E">
      <w:pPr>
        <w:pStyle w:val="84"/>
        <w:ind w:firstLineChars="200"/>
        <w:outlineLvl w:val="9"/>
        <w:rPr>
          <w:rFonts w:hint="eastAsia" w:ascii="宋体" w:hAnsi="宋体" w:eastAsia="宋体" w:cs="宋体"/>
          <w:b/>
          <w:color w:val="auto"/>
          <w:sz w:val="21"/>
          <w:szCs w:val="21"/>
          <w:highlight w:val="none"/>
        </w:rPr>
      </w:pPr>
      <w:r>
        <w:rPr>
          <w:rFonts w:hint="eastAsia" w:cs="宋体"/>
          <w:b/>
          <w:color w:val="auto"/>
          <w:sz w:val="21"/>
          <w:szCs w:val="21"/>
          <w:highlight w:val="none"/>
          <w:lang w:val="en-US" w:eastAsia="zh-CN"/>
        </w:rPr>
        <w:t>7.</w:t>
      </w:r>
      <w:r>
        <w:rPr>
          <w:rFonts w:hint="eastAsia" w:ascii="宋体" w:hAnsi="宋体" w:eastAsia="宋体" w:cs="宋体"/>
          <w:b/>
          <w:color w:val="auto"/>
          <w:sz w:val="21"/>
          <w:szCs w:val="21"/>
          <w:highlight w:val="none"/>
        </w:rPr>
        <w:t>合同生效</w:t>
      </w:r>
    </w:p>
    <w:p w14:paraId="6B299F08">
      <w:pPr>
        <w:pStyle w:val="84"/>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本合同自</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甲乙双方合同签订之日起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生效。</w:t>
      </w:r>
    </w:p>
    <w:p w14:paraId="52B604FE">
      <w:pPr>
        <w:pStyle w:val="84"/>
        <w:ind w:firstLineChars="200"/>
        <w:outlineLvl w:val="9"/>
        <w:rPr>
          <w:rFonts w:hint="eastAsia" w:ascii="宋体" w:hAnsi="宋体" w:eastAsia="宋体" w:cs="宋体"/>
          <w:b/>
          <w:color w:val="auto"/>
          <w:sz w:val="21"/>
          <w:szCs w:val="21"/>
          <w:highlight w:val="none"/>
        </w:rPr>
      </w:pPr>
      <w:r>
        <w:rPr>
          <w:rFonts w:hint="eastAsia" w:cs="宋体"/>
          <w:b/>
          <w:color w:val="auto"/>
          <w:sz w:val="21"/>
          <w:szCs w:val="21"/>
          <w:highlight w:val="none"/>
          <w:lang w:val="en-US" w:eastAsia="zh-CN"/>
        </w:rPr>
        <w:t>8</w:t>
      </w:r>
      <w:r>
        <w:rPr>
          <w:rFonts w:hint="eastAsia" w:ascii="宋体" w:hAnsi="宋体" w:eastAsia="宋体" w:cs="宋体"/>
          <w:b/>
          <w:color w:val="auto"/>
          <w:sz w:val="21"/>
          <w:szCs w:val="21"/>
          <w:highlight w:val="none"/>
        </w:rPr>
        <w:t>.合同份数</w:t>
      </w:r>
    </w:p>
    <w:p w14:paraId="54C35266">
      <w:pPr>
        <w:pStyle w:val="84"/>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本合同一式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份，甲方执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份，乙方执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w:t>
      </w:r>
      <w:r>
        <w:rPr>
          <w:rFonts w:hint="eastAsia" w:ascii="宋体" w:hAnsi="宋体" w:eastAsia="宋体" w:cs="宋体"/>
          <w:color w:val="auto"/>
          <w:sz w:val="21"/>
          <w:szCs w:val="21"/>
          <w:highlight w:val="none"/>
          <w:lang w:val="en-US" w:eastAsia="zh-CN"/>
        </w:rPr>
        <w:t>代理机构壹份，</w:t>
      </w:r>
      <w:r>
        <w:rPr>
          <w:rFonts w:hint="eastAsia" w:ascii="宋体" w:hAnsi="宋体" w:eastAsia="宋体" w:cs="宋体"/>
          <w:color w:val="auto"/>
          <w:sz w:val="21"/>
          <w:szCs w:val="21"/>
          <w:highlight w:val="none"/>
        </w:rPr>
        <w:t>均具有同等法律效力。</w:t>
      </w:r>
    </w:p>
    <w:p w14:paraId="287EE00A">
      <w:pPr>
        <w:pStyle w:val="84"/>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合同订立时间：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7CA13065">
      <w:pPr>
        <w:pStyle w:val="84"/>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合同订立地点：</w:t>
      </w:r>
      <w:r>
        <w:rPr>
          <w:rFonts w:hint="eastAsia" w:ascii="宋体" w:hAnsi="宋体" w:eastAsia="宋体" w:cs="宋体"/>
          <w:color w:val="auto"/>
          <w:sz w:val="21"/>
          <w:szCs w:val="21"/>
          <w:highlight w:val="none"/>
          <w:u w:val="single"/>
        </w:rPr>
        <w:t xml:space="preserve">                           </w:t>
      </w:r>
    </w:p>
    <w:p w14:paraId="791202B4">
      <w:pPr>
        <w:pStyle w:val="84"/>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附件：具体标的及其技术要求和商务要求、联合协议、分包意向协议等。</w:t>
      </w:r>
    </w:p>
    <w:p w14:paraId="2FB898D6">
      <w:pPr>
        <w:pStyle w:val="84"/>
        <w:outlineLvl w:val="9"/>
        <w:rPr>
          <w:rFonts w:hint="eastAsia" w:ascii="宋体" w:hAnsi="宋体" w:eastAsia="宋体" w:cs="宋体"/>
          <w:color w:val="auto"/>
          <w:highlight w:val="none"/>
        </w:rPr>
      </w:pPr>
    </w:p>
    <w:tbl>
      <w:tblPr>
        <w:tblStyle w:val="64"/>
        <w:tblW w:w="4926"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59"/>
        <w:gridCol w:w="2628"/>
        <w:gridCol w:w="2156"/>
        <w:gridCol w:w="2306"/>
      </w:tblGrid>
      <w:tr w14:paraId="7C4CD78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top w:val="single" w:color="auto" w:sz="4" w:space="0"/>
              <w:left w:val="single" w:color="auto" w:sz="4" w:space="0"/>
              <w:bottom w:val="single" w:color="auto" w:sz="2" w:space="0"/>
              <w:right w:val="single" w:color="auto" w:sz="2" w:space="0"/>
            </w:tcBorders>
            <w:vAlign w:val="center"/>
          </w:tcPr>
          <w:p w14:paraId="794928ED">
            <w:pPr>
              <w:pStyle w:val="84"/>
              <w:ind w:left="0" w:leftChars="0" w:firstLine="0" w:firstLineChars="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甲方（采购人、受采购人委托签订合同的单位或采购文件约定的合同甲方）</w:t>
            </w:r>
          </w:p>
        </w:tc>
        <w:tc>
          <w:tcPr>
            <w:tcW w:w="2437" w:type="pct"/>
            <w:gridSpan w:val="2"/>
            <w:tcBorders>
              <w:top w:val="single" w:color="auto" w:sz="4" w:space="0"/>
              <w:left w:val="single" w:color="auto" w:sz="2" w:space="0"/>
              <w:bottom w:val="single" w:color="auto" w:sz="2" w:space="0"/>
              <w:right w:val="single" w:color="auto" w:sz="4" w:space="0"/>
            </w:tcBorders>
            <w:vAlign w:val="center"/>
          </w:tcPr>
          <w:p w14:paraId="04135FCC">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w:t>
            </w:r>
          </w:p>
        </w:tc>
      </w:tr>
      <w:tr w14:paraId="7DAF5EC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left w:val="single" w:color="auto" w:sz="4" w:space="0"/>
              <w:bottom w:val="single" w:color="auto" w:sz="2" w:space="0"/>
              <w:right w:val="single" w:color="auto" w:sz="2" w:space="0"/>
            </w:tcBorders>
            <w:vAlign w:val="center"/>
          </w:tcPr>
          <w:p w14:paraId="07FE7908">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6B7E04DE">
            <w:pPr>
              <w:snapToGrid w:val="0"/>
              <w:spacing w:line="360" w:lineRule="auto"/>
              <w:jc w:val="center"/>
              <w:outlineLvl w:val="9"/>
              <w:rPr>
                <w:rFonts w:hint="eastAsia" w:ascii="宋体" w:hAnsi="宋体" w:eastAsia="宋体" w:cs="宋体"/>
                <w:color w:val="auto"/>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D7049A8">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单位名称（公章或合同章）</w:t>
            </w:r>
          </w:p>
        </w:tc>
        <w:tc>
          <w:tcPr>
            <w:tcW w:w="1259" w:type="pct"/>
            <w:tcBorders>
              <w:top w:val="single" w:color="auto" w:sz="2" w:space="0"/>
              <w:left w:val="single" w:color="auto" w:sz="2" w:space="0"/>
              <w:bottom w:val="single" w:color="auto" w:sz="2" w:space="0"/>
              <w:right w:val="single" w:color="auto" w:sz="4" w:space="0"/>
            </w:tcBorders>
            <w:vAlign w:val="center"/>
          </w:tcPr>
          <w:p w14:paraId="5A742A05">
            <w:pPr>
              <w:snapToGrid w:val="0"/>
              <w:spacing w:line="360" w:lineRule="auto"/>
              <w:jc w:val="center"/>
              <w:outlineLvl w:val="9"/>
              <w:rPr>
                <w:rFonts w:hint="eastAsia" w:ascii="宋体" w:hAnsi="宋体" w:eastAsia="宋体" w:cs="宋体"/>
                <w:color w:val="auto"/>
                <w:spacing w:val="20"/>
                <w:sz w:val="21"/>
                <w:szCs w:val="21"/>
                <w:highlight w:val="none"/>
              </w:rPr>
            </w:pPr>
          </w:p>
        </w:tc>
      </w:tr>
      <w:tr w14:paraId="0AC47DD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left w:val="single" w:color="auto" w:sz="4" w:space="0"/>
              <w:bottom w:val="single" w:color="auto" w:sz="2" w:space="0"/>
              <w:right w:val="single" w:color="auto" w:sz="2" w:space="0"/>
            </w:tcBorders>
            <w:vAlign w:val="center"/>
          </w:tcPr>
          <w:p w14:paraId="4A0AB132">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p w14:paraId="16223B71">
            <w:pPr>
              <w:snapToGrid w:val="0"/>
              <w:spacing w:line="360" w:lineRule="auto"/>
              <w:ind w:firstLine="100" w:firstLineChars="48"/>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或其委托代理人（签章）</w:t>
            </w:r>
          </w:p>
        </w:tc>
        <w:tc>
          <w:tcPr>
            <w:tcW w:w="1436" w:type="pct"/>
            <w:vMerge w:val="restart"/>
            <w:tcBorders>
              <w:top w:val="single" w:color="auto" w:sz="2" w:space="0"/>
              <w:left w:val="single" w:color="auto" w:sz="2" w:space="0"/>
              <w:bottom w:val="single" w:color="auto" w:sz="2" w:space="0"/>
              <w:right w:val="single" w:color="auto" w:sz="2" w:space="0"/>
            </w:tcBorders>
            <w:vAlign w:val="center"/>
          </w:tcPr>
          <w:p w14:paraId="506B1DD8">
            <w:pPr>
              <w:snapToGrid w:val="0"/>
              <w:spacing w:line="360" w:lineRule="auto"/>
              <w:jc w:val="center"/>
              <w:outlineLvl w:val="9"/>
              <w:rPr>
                <w:rFonts w:hint="eastAsia" w:ascii="宋体" w:hAnsi="宋体" w:eastAsia="宋体" w:cs="宋体"/>
                <w:color w:val="auto"/>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D77E238">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p w14:paraId="13E585F1">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或其委托代理人（签章）</w:t>
            </w:r>
          </w:p>
        </w:tc>
        <w:tc>
          <w:tcPr>
            <w:tcW w:w="1259" w:type="pct"/>
            <w:tcBorders>
              <w:top w:val="single" w:color="auto" w:sz="2" w:space="0"/>
              <w:left w:val="single" w:color="auto" w:sz="2" w:space="0"/>
              <w:bottom w:val="single" w:color="auto" w:sz="2" w:space="0"/>
              <w:right w:val="single" w:color="auto" w:sz="4" w:space="0"/>
            </w:tcBorders>
            <w:vAlign w:val="center"/>
          </w:tcPr>
          <w:p w14:paraId="43F93167">
            <w:pPr>
              <w:snapToGrid w:val="0"/>
              <w:spacing w:line="360" w:lineRule="auto"/>
              <w:jc w:val="center"/>
              <w:outlineLvl w:val="9"/>
              <w:rPr>
                <w:rFonts w:hint="eastAsia" w:ascii="宋体" w:hAnsi="宋体" w:eastAsia="宋体" w:cs="宋体"/>
                <w:color w:val="auto"/>
                <w:sz w:val="21"/>
                <w:szCs w:val="21"/>
                <w:highlight w:val="none"/>
              </w:rPr>
            </w:pPr>
          </w:p>
        </w:tc>
      </w:tr>
      <w:tr w14:paraId="0488D8F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0" w:type="auto"/>
            <w:vMerge w:val="continue"/>
            <w:tcBorders>
              <w:top w:val="single" w:color="auto" w:sz="2" w:space="0"/>
              <w:left w:val="single" w:color="auto" w:sz="4" w:space="0"/>
              <w:bottom w:val="single" w:color="auto" w:sz="2" w:space="0"/>
              <w:right w:val="single" w:color="auto" w:sz="2" w:space="0"/>
            </w:tcBorders>
            <w:vAlign w:val="center"/>
          </w:tcPr>
          <w:p w14:paraId="08EB5EDD">
            <w:pPr>
              <w:widowControl/>
              <w:adjustRightInd/>
              <w:spacing w:line="360" w:lineRule="auto"/>
              <w:jc w:val="left"/>
              <w:outlineLvl w:val="9"/>
              <w:rPr>
                <w:rFonts w:hint="eastAsia" w:ascii="宋体" w:hAnsi="宋体" w:eastAsia="宋体" w:cs="宋体"/>
                <w:color w:val="auto"/>
                <w:sz w:val="21"/>
                <w:szCs w:val="21"/>
                <w:highlight w:val="none"/>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14:paraId="00E7A0B4">
            <w:pPr>
              <w:widowControl/>
              <w:adjustRightInd/>
              <w:spacing w:line="360" w:lineRule="auto"/>
              <w:jc w:val="left"/>
              <w:outlineLvl w:val="9"/>
              <w:rPr>
                <w:rFonts w:hint="eastAsia" w:ascii="宋体" w:hAnsi="宋体" w:eastAsia="宋体" w:cs="宋体"/>
                <w:color w:val="auto"/>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D0BE952">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拥有者性别</w:t>
            </w:r>
          </w:p>
        </w:tc>
        <w:tc>
          <w:tcPr>
            <w:tcW w:w="1259" w:type="pct"/>
            <w:tcBorders>
              <w:top w:val="single" w:color="auto" w:sz="2" w:space="0"/>
              <w:left w:val="single" w:color="auto" w:sz="2" w:space="0"/>
              <w:bottom w:val="single" w:color="auto" w:sz="2" w:space="0"/>
              <w:right w:val="single" w:color="auto" w:sz="4" w:space="0"/>
            </w:tcBorders>
            <w:vAlign w:val="center"/>
          </w:tcPr>
          <w:p w14:paraId="3A327753">
            <w:pPr>
              <w:snapToGrid w:val="0"/>
              <w:spacing w:line="360" w:lineRule="auto"/>
              <w:jc w:val="center"/>
              <w:outlineLvl w:val="9"/>
              <w:rPr>
                <w:rFonts w:hint="eastAsia" w:ascii="宋体" w:hAnsi="宋体" w:eastAsia="宋体" w:cs="宋体"/>
                <w:color w:val="auto"/>
                <w:spacing w:val="20"/>
                <w:sz w:val="21"/>
                <w:szCs w:val="21"/>
                <w:highlight w:val="none"/>
              </w:rPr>
            </w:pPr>
          </w:p>
        </w:tc>
      </w:tr>
      <w:tr w14:paraId="0E28B3D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6DCC1A10">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40CEC5C4">
            <w:pPr>
              <w:snapToGrid w:val="0"/>
              <w:spacing w:line="360" w:lineRule="auto"/>
              <w:jc w:val="center"/>
              <w:outlineLvl w:val="9"/>
              <w:rPr>
                <w:rFonts w:hint="eastAsia" w:ascii="宋体" w:hAnsi="宋体" w:eastAsia="宋体" w:cs="宋体"/>
                <w:color w:val="auto"/>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6AF76A0">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住  所</w:t>
            </w:r>
          </w:p>
        </w:tc>
        <w:tc>
          <w:tcPr>
            <w:tcW w:w="1259" w:type="pct"/>
            <w:tcBorders>
              <w:top w:val="single" w:color="auto" w:sz="2" w:space="0"/>
              <w:left w:val="single" w:color="auto" w:sz="2" w:space="0"/>
              <w:bottom w:val="single" w:color="auto" w:sz="2" w:space="0"/>
              <w:right w:val="single" w:color="auto" w:sz="4" w:space="0"/>
            </w:tcBorders>
            <w:vAlign w:val="center"/>
          </w:tcPr>
          <w:p w14:paraId="6B66255E">
            <w:pPr>
              <w:snapToGrid w:val="0"/>
              <w:spacing w:line="360" w:lineRule="auto"/>
              <w:jc w:val="center"/>
              <w:outlineLvl w:val="9"/>
              <w:rPr>
                <w:rFonts w:hint="eastAsia" w:ascii="宋体" w:hAnsi="宋体" w:eastAsia="宋体" w:cs="宋体"/>
                <w:color w:val="auto"/>
                <w:spacing w:val="20"/>
                <w:sz w:val="21"/>
                <w:szCs w:val="21"/>
                <w:highlight w:val="none"/>
              </w:rPr>
            </w:pPr>
          </w:p>
        </w:tc>
      </w:tr>
      <w:tr w14:paraId="40B64F6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57756151">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440C8A77">
            <w:pPr>
              <w:snapToGrid w:val="0"/>
              <w:spacing w:line="360" w:lineRule="auto"/>
              <w:jc w:val="center"/>
              <w:outlineLvl w:val="9"/>
              <w:rPr>
                <w:rFonts w:hint="eastAsia" w:ascii="宋体" w:hAnsi="宋体" w:eastAsia="宋体" w:cs="宋体"/>
                <w:color w:val="auto"/>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81D3E09">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 系 人</w:t>
            </w:r>
          </w:p>
        </w:tc>
        <w:tc>
          <w:tcPr>
            <w:tcW w:w="1259" w:type="pct"/>
            <w:tcBorders>
              <w:top w:val="single" w:color="auto" w:sz="2" w:space="0"/>
              <w:left w:val="single" w:color="auto" w:sz="2" w:space="0"/>
              <w:bottom w:val="single" w:color="auto" w:sz="2" w:space="0"/>
              <w:right w:val="single" w:color="auto" w:sz="4" w:space="0"/>
            </w:tcBorders>
            <w:vAlign w:val="center"/>
          </w:tcPr>
          <w:p w14:paraId="73181098">
            <w:pPr>
              <w:snapToGrid w:val="0"/>
              <w:spacing w:line="360" w:lineRule="auto"/>
              <w:jc w:val="center"/>
              <w:outlineLvl w:val="9"/>
              <w:rPr>
                <w:rFonts w:hint="eastAsia" w:ascii="宋体" w:hAnsi="宋体" w:eastAsia="宋体" w:cs="宋体"/>
                <w:color w:val="auto"/>
                <w:spacing w:val="20"/>
                <w:sz w:val="21"/>
                <w:szCs w:val="21"/>
                <w:highlight w:val="none"/>
              </w:rPr>
            </w:pPr>
          </w:p>
        </w:tc>
      </w:tr>
      <w:tr w14:paraId="5767E73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4D6964B6">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33138153">
            <w:pPr>
              <w:snapToGrid w:val="0"/>
              <w:spacing w:line="360" w:lineRule="auto"/>
              <w:jc w:val="center"/>
              <w:outlineLvl w:val="9"/>
              <w:rPr>
                <w:rFonts w:hint="eastAsia" w:ascii="宋体" w:hAnsi="宋体" w:eastAsia="宋体" w:cs="宋体"/>
                <w:color w:val="auto"/>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47CEF02">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tc>
        <w:tc>
          <w:tcPr>
            <w:tcW w:w="1259" w:type="pct"/>
            <w:tcBorders>
              <w:top w:val="single" w:color="auto" w:sz="2" w:space="0"/>
              <w:left w:val="single" w:color="auto" w:sz="2" w:space="0"/>
              <w:bottom w:val="single" w:color="auto" w:sz="2" w:space="0"/>
              <w:right w:val="single" w:color="auto" w:sz="4" w:space="0"/>
            </w:tcBorders>
            <w:vAlign w:val="center"/>
          </w:tcPr>
          <w:p w14:paraId="2BDFD4F8">
            <w:pPr>
              <w:snapToGrid w:val="0"/>
              <w:spacing w:line="360" w:lineRule="auto"/>
              <w:jc w:val="center"/>
              <w:outlineLvl w:val="9"/>
              <w:rPr>
                <w:rFonts w:hint="eastAsia" w:ascii="宋体" w:hAnsi="宋体" w:eastAsia="宋体" w:cs="宋体"/>
                <w:color w:val="auto"/>
                <w:spacing w:val="20"/>
                <w:sz w:val="21"/>
                <w:szCs w:val="21"/>
                <w:highlight w:val="none"/>
              </w:rPr>
            </w:pPr>
          </w:p>
        </w:tc>
      </w:tr>
      <w:tr w14:paraId="52B391B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46F1FCCB">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2C1DAD84">
            <w:pPr>
              <w:snapToGrid w:val="0"/>
              <w:spacing w:line="360" w:lineRule="auto"/>
              <w:jc w:val="center"/>
              <w:outlineLvl w:val="9"/>
              <w:rPr>
                <w:rFonts w:hint="eastAsia" w:ascii="宋体" w:hAnsi="宋体" w:eastAsia="宋体" w:cs="宋体"/>
                <w:color w:val="auto"/>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AD5C759">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p>
        </w:tc>
        <w:tc>
          <w:tcPr>
            <w:tcW w:w="1259" w:type="pct"/>
            <w:tcBorders>
              <w:top w:val="single" w:color="auto" w:sz="2" w:space="0"/>
              <w:left w:val="single" w:color="auto" w:sz="2" w:space="0"/>
              <w:bottom w:val="single" w:color="auto" w:sz="2" w:space="0"/>
              <w:right w:val="single" w:color="auto" w:sz="4" w:space="0"/>
            </w:tcBorders>
            <w:vAlign w:val="center"/>
          </w:tcPr>
          <w:p w14:paraId="137AC5D6">
            <w:pPr>
              <w:snapToGrid w:val="0"/>
              <w:spacing w:line="360" w:lineRule="auto"/>
              <w:jc w:val="center"/>
              <w:outlineLvl w:val="9"/>
              <w:rPr>
                <w:rFonts w:hint="eastAsia" w:ascii="宋体" w:hAnsi="宋体" w:eastAsia="宋体" w:cs="宋体"/>
                <w:color w:val="auto"/>
                <w:spacing w:val="20"/>
                <w:sz w:val="21"/>
                <w:szCs w:val="21"/>
                <w:highlight w:val="none"/>
              </w:rPr>
            </w:pPr>
          </w:p>
        </w:tc>
      </w:tr>
      <w:tr w14:paraId="3F7A20E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520DA0A3">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29BF3950">
            <w:pPr>
              <w:snapToGrid w:val="0"/>
              <w:spacing w:line="360" w:lineRule="auto"/>
              <w:jc w:val="center"/>
              <w:outlineLvl w:val="9"/>
              <w:rPr>
                <w:rFonts w:hint="eastAsia" w:ascii="宋体" w:hAnsi="宋体" w:eastAsia="宋体" w:cs="宋体"/>
                <w:color w:val="auto"/>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D72E4A0">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p>
        </w:tc>
        <w:tc>
          <w:tcPr>
            <w:tcW w:w="1259" w:type="pct"/>
            <w:tcBorders>
              <w:top w:val="single" w:color="auto" w:sz="2" w:space="0"/>
              <w:left w:val="single" w:color="auto" w:sz="2" w:space="0"/>
              <w:bottom w:val="single" w:color="auto" w:sz="2" w:space="0"/>
              <w:right w:val="single" w:color="auto" w:sz="4" w:space="0"/>
            </w:tcBorders>
            <w:vAlign w:val="center"/>
          </w:tcPr>
          <w:p w14:paraId="0A5F9233">
            <w:pPr>
              <w:snapToGrid w:val="0"/>
              <w:spacing w:line="360" w:lineRule="auto"/>
              <w:jc w:val="center"/>
              <w:outlineLvl w:val="9"/>
              <w:rPr>
                <w:rFonts w:hint="eastAsia" w:ascii="宋体" w:hAnsi="宋体" w:eastAsia="宋体" w:cs="宋体"/>
                <w:color w:val="auto"/>
                <w:spacing w:val="20"/>
                <w:sz w:val="21"/>
                <w:szCs w:val="21"/>
                <w:highlight w:val="none"/>
              </w:rPr>
            </w:pPr>
          </w:p>
        </w:tc>
      </w:tr>
      <w:tr w14:paraId="13BB111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2832DF40">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17D195AB">
            <w:pPr>
              <w:snapToGrid w:val="0"/>
              <w:spacing w:line="360" w:lineRule="auto"/>
              <w:jc w:val="center"/>
              <w:outlineLvl w:val="9"/>
              <w:rPr>
                <w:rFonts w:hint="eastAsia" w:ascii="宋体" w:hAnsi="宋体" w:eastAsia="宋体" w:cs="宋体"/>
                <w:color w:val="auto"/>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A274680">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电子邮箱</w:t>
            </w:r>
          </w:p>
        </w:tc>
        <w:tc>
          <w:tcPr>
            <w:tcW w:w="1259" w:type="pct"/>
            <w:tcBorders>
              <w:top w:val="single" w:color="auto" w:sz="2" w:space="0"/>
              <w:left w:val="single" w:color="auto" w:sz="2" w:space="0"/>
              <w:bottom w:val="single" w:color="auto" w:sz="2" w:space="0"/>
              <w:right w:val="single" w:color="auto" w:sz="4" w:space="0"/>
            </w:tcBorders>
            <w:vAlign w:val="center"/>
          </w:tcPr>
          <w:p w14:paraId="3CAE2A6E">
            <w:pPr>
              <w:snapToGrid w:val="0"/>
              <w:spacing w:line="360" w:lineRule="auto"/>
              <w:jc w:val="center"/>
              <w:outlineLvl w:val="9"/>
              <w:rPr>
                <w:rFonts w:hint="eastAsia" w:ascii="宋体" w:hAnsi="宋体" w:eastAsia="宋体" w:cs="宋体"/>
                <w:color w:val="auto"/>
                <w:spacing w:val="20"/>
                <w:sz w:val="21"/>
                <w:szCs w:val="21"/>
                <w:highlight w:val="none"/>
              </w:rPr>
            </w:pPr>
          </w:p>
        </w:tc>
      </w:tr>
      <w:tr w14:paraId="19E976B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38BBDE5C">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7F95F1C9">
            <w:pPr>
              <w:snapToGrid w:val="0"/>
              <w:spacing w:line="360" w:lineRule="auto"/>
              <w:jc w:val="center"/>
              <w:outlineLvl w:val="9"/>
              <w:rPr>
                <w:rFonts w:hint="eastAsia" w:ascii="宋体" w:hAnsi="宋体" w:eastAsia="宋体" w:cs="宋体"/>
                <w:color w:val="auto"/>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F9759EE">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统一社会信用代码</w:t>
            </w:r>
          </w:p>
        </w:tc>
        <w:tc>
          <w:tcPr>
            <w:tcW w:w="1259" w:type="pct"/>
            <w:tcBorders>
              <w:top w:val="single" w:color="auto" w:sz="2" w:space="0"/>
              <w:left w:val="single" w:color="auto" w:sz="2" w:space="0"/>
              <w:bottom w:val="single" w:color="auto" w:sz="2" w:space="0"/>
              <w:right w:val="single" w:color="auto" w:sz="4" w:space="0"/>
            </w:tcBorders>
            <w:vAlign w:val="center"/>
          </w:tcPr>
          <w:p w14:paraId="048A0772">
            <w:pPr>
              <w:snapToGrid w:val="0"/>
              <w:spacing w:line="360" w:lineRule="auto"/>
              <w:jc w:val="center"/>
              <w:outlineLvl w:val="9"/>
              <w:rPr>
                <w:rFonts w:hint="eastAsia" w:ascii="宋体" w:hAnsi="宋体" w:eastAsia="宋体" w:cs="宋体"/>
                <w:color w:val="auto"/>
                <w:spacing w:val="20"/>
                <w:sz w:val="21"/>
                <w:szCs w:val="21"/>
                <w:highlight w:val="none"/>
              </w:rPr>
            </w:pPr>
          </w:p>
        </w:tc>
      </w:tr>
      <w:tr w14:paraId="5A5B405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04E2D344">
            <w:pPr>
              <w:snapToGrid w:val="0"/>
              <w:spacing w:line="360" w:lineRule="auto"/>
              <w:jc w:val="center"/>
              <w:outlineLvl w:val="9"/>
              <w:rPr>
                <w:rFonts w:hint="eastAsia" w:ascii="宋体" w:hAnsi="宋体" w:eastAsia="宋体" w:cs="宋体"/>
                <w:color w:val="auto"/>
                <w:sz w:val="21"/>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3BF06593">
            <w:pPr>
              <w:snapToGrid w:val="0"/>
              <w:spacing w:line="360" w:lineRule="auto"/>
              <w:jc w:val="center"/>
              <w:outlineLvl w:val="9"/>
              <w:rPr>
                <w:rFonts w:hint="eastAsia" w:ascii="宋体" w:hAnsi="宋体" w:eastAsia="宋体" w:cs="宋体"/>
                <w:color w:val="auto"/>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2565881">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开户名称</w:t>
            </w:r>
          </w:p>
        </w:tc>
        <w:tc>
          <w:tcPr>
            <w:tcW w:w="1259" w:type="pct"/>
            <w:tcBorders>
              <w:top w:val="single" w:color="auto" w:sz="2" w:space="0"/>
              <w:left w:val="single" w:color="auto" w:sz="2" w:space="0"/>
              <w:bottom w:val="single" w:color="auto" w:sz="2" w:space="0"/>
              <w:right w:val="single" w:color="auto" w:sz="4" w:space="0"/>
            </w:tcBorders>
            <w:vAlign w:val="center"/>
          </w:tcPr>
          <w:p w14:paraId="288B2890">
            <w:pPr>
              <w:snapToGrid w:val="0"/>
              <w:spacing w:line="360" w:lineRule="auto"/>
              <w:jc w:val="center"/>
              <w:outlineLvl w:val="9"/>
              <w:rPr>
                <w:rFonts w:hint="eastAsia" w:ascii="宋体" w:hAnsi="宋体" w:eastAsia="宋体" w:cs="宋体"/>
                <w:color w:val="auto"/>
                <w:spacing w:val="20"/>
                <w:sz w:val="21"/>
                <w:szCs w:val="21"/>
                <w:highlight w:val="none"/>
              </w:rPr>
            </w:pPr>
          </w:p>
        </w:tc>
      </w:tr>
      <w:tr w14:paraId="577B245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5F6226A8">
            <w:pPr>
              <w:snapToGrid w:val="0"/>
              <w:spacing w:line="360" w:lineRule="auto"/>
              <w:jc w:val="center"/>
              <w:outlineLvl w:val="9"/>
              <w:rPr>
                <w:rFonts w:hint="eastAsia" w:ascii="宋体" w:hAnsi="宋体" w:eastAsia="宋体" w:cs="宋体"/>
                <w:color w:val="auto"/>
                <w:sz w:val="21"/>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4B81D7F0">
            <w:pPr>
              <w:snapToGrid w:val="0"/>
              <w:spacing w:line="360" w:lineRule="auto"/>
              <w:jc w:val="center"/>
              <w:outlineLvl w:val="9"/>
              <w:rPr>
                <w:rFonts w:hint="eastAsia" w:ascii="宋体" w:hAnsi="宋体" w:eastAsia="宋体" w:cs="宋体"/>
                <w:color w:val="auto"/>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BD9C33F">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tc>
        <w:tc>
          <w:tcPr>
            <w:tcW w:w="1259" w:type="pct"/>
            <w:tcBorders>
              <w:top w:val="single" w:color="auto" w:sz="2" w:space="0"/>
              <w:left w:val="single" w:color="auto" w:sz="2" w:space="0"/>
              <w:bottom w:val="single" w:color="auto" w:sz="2" w:space="0"/>
              <w:right w:val="single" w:color="auto" w:sz="4" w:space="0"/>
            </w:tcBorders>
            <w:vAlign w:val="center"/>
          </w:tcPr>
          <w:p w14:paraId="14F96292">
            <w:pPr>
              <w:snapToGrid w:val="0"/>
              <w:spacing w:line="360" w:lineRule="auto"/>
              <w:jc w:val="center"/>
              <w:outlineLvl w:val="9"/>
              <w:rPr>
                <w:rFonts w:hint="eastAsia" w:ascii="宋体" w:hAnsi="宋体" w:eastAsia="宋体" w:cs="宋体"/>
                <w:color w:val="auto"/>
                <w:spacing w:val="20"/>
                <w:sz w:val="21"/>
                <w:szCs w:val="21"/>
                <w:highlight w:val="none"/>
              </w:rPr>
            </w:pPr>
          </w:p>
        </w:tc>
      </w:tr>
      <w:tr w14:paraId="73A5B98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757AEF5E">
            <w:pPr>
              <w:snapToGrid w:val="0"/>
              <w:spacing w:line="360" w:lineRule="auto"/>
              <w:jc w:val="center"/>
              <w:outlineLvl w:val="9"/>
              <w:rPr>
                <w:rFonts w:hint="eastAsia" w:ascii="宋体" w:hAnsi="宋体" w:eastAsia="宋体" w:cs="宋体"/>
                <w:color w:val="auto"/>
                <w:sz w:val="21"/>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60EC7311">
            <w:pPr>
              <w:snapToGrid w:val="0"/>
              <w:spacing w:line="360" w:lineRule="auto"/>
              <w:jc w:val="center"/>
              <w:outlineLvl w:val="9"/>
              <w:rPr>
                <w:rFonts w:hint="eastAsia" w:ascii="宋体" w:hAnsi="宋体" w:eastAsia="宋体" w:cs="宋体"/>
                <w:color w:val="auto"/>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310F222">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银行账号</w:t>
            </w:r>
          </w:p>
        </w:tc>
        <w:tc>
          <w:tcPr>
            <w:tcW w:w="1259" w:type="pct"/>
            <w:tcBorders>
              <w:top w:val="single" w:color="auto" w:sz="2" w:space="0"/>
              <w:left w:val="single" w:color="auto" w:sz="2" w:space="0"/>
              <w:bottom w:val="single" w:color="auto" w:sz="2" w:space="0"/>
              <w:right w:val="single" w:color="auto" w:sz="4" w:space="0"/>
            </w:tcBorders>
            <w:vAlign w:val="center"/>
          </w:tcPr>
          <w:p w14:paraId="11294C66">
            <w:pPr>
              <w:snapToGrid w:val="0"/>
              <w:spacing w:line="360" w:lineRule="auto"/>
              <w:jc w:val="center"/>
              <w:outlineLvl w:val="9"/>
              <w:rPr>
                <w:rFonts w:hint="eastAsia" w:ascii="宋体" w:hAnsi="宋体" w:eastAsia="宋体" w:cs="宋体"/>
                <w:color w:val="auto"/>
                <w:spacing w:val="20"/>
                <w:sz w:val="21"/>
                <w:szCs w:val="21"/>
                <w:highlight w:val="none"/>
              </w:rPr>
            </w:pPr>
          </w:p>
        </w:tc>
      </w:tr>
      <w:tr w14:paraId="6B03F6C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left w:val="single" w:color="auto" w:sz="4" w:space="0"/>
              <w:bottom w:val="single" w:color="auto" w:sz="4" w:space="0"/>
              <w:right w:val="single" w:color="auto" w:sz="4" w:space="0"/>
            </w:tcBorders>
            <w:vAlign w:val="center"/>
          </w:tcPr>
          <w:p w14:paraId="202AF0C9">
            <w:pPr>
              <w:snapToGrid w:val="0"/>
              <w:spacing w:line="360" w:lineRule="auto"/>
              <w:jc w:val="left"/>
              <w:outlineLvl w:val="9"/>
              <w:rPr>
                <w:rFonts w:hint="eastAsia" w:ascii="宋体" w:hAnsi="宋体" w:eastAsia="宋体" w:cs="宋体"/>
                <w:color w:val="auto"/>
                <w:spacing w:val="20"/>
                <w:sz w:val="21"/>
                <w:szCs w:val="21"/>
                <w:highlight w:val="none"/>
              </w:rPr>
            </w:pPr>
            <w:r>
              <w:rPr>
                <w:rFonts w:hint="eastAsia" w:ascii="宋体" w:hAnsi="宋体" w:eastAsia="宋体" w:cs="宋体"/>
                <w:color w:val="auto"/>
                <w:sz w:val="21"/>
                <w:szCs w:val="21"/>
                <w:highlight w:val="none"/>
              </w:rPr>
              <w:t>注：涉及联合体或其他合同主体的信息应按上表格式加列。</w:t>
            </w:r>
          </w:p>
        </w:tc>
      </w:tr>
    </w:tbl>
    <w:p w14:paraId="211A323B">
      <w:pPr>
        <w:keepNext/>
        <w:keepLines/>
        <w:snapToGrid w:val="0"/>
        <w:spacing w:before="120" w:beforeLines="50" w:line="360" w:lineRule="auto"/>
        <w:jc w:val="center"/>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Cs w:val="21"/>
          <w:highlight w:val="none"/>
          <w:u w:val="single"/>
        </w:rPr>
        <w:br w:type="page"/>
      </w:r>
      <w:bookmarkStart w:id="420" w:name="_Toc27624"/>
      <w:r>
        <w:rPr>
          <w:rFonts w:hint="eastAsia" w:ascii="宋体" w:hAnsi="宋体" w:eastAsia="宋体" w:cs="宋体"/>
          <w:color w:val="auto"/>
          <w:sz w:val="21"/>
          <w:szCs w:val="21"/>
          <w:highlight w:val="none"/>
        </w:rPr>
        <w:t>第二节 政府采购合同通用条款</w:t>
      </w:r>
      <w:bookmarkEnd w:id="420"/>
    </w:p>
    <w:p w14:paraId="2A6FA610">
      <w:pPr>
        <w:tabs>
          <w:tab w:val="left" w:pos="8820"/>
          <w:tab w:val="left" w:pos="9345"/>
          <w:tab w:val="left" w:pos="9765"/>
        </w:tabs>
        <w:snapToGrid w:val="0"/>
        <w:spacing w:line="360" w:lineRule="auto"/>
        <w:jc w:val="left"/>
        <w:outlineLvl w:val="9"/>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 xml:space="preserve">1. </w:t>
      </w:r>
      <w:r>
        <w:rPr>
          <w:rFonts w:hint="eastAsia" w:ascii="宋体" w:hAnsi="宋体" w:eastAsia="宋体" w:cs="宋体"/>
          <w:b/>
          <w:bCs/>
          <w:color w:val="auto"/>
          <w:sz w:val="21"/>
          <w:szCs w:val="21"/>
          <w:highlight w:val="none"/>
        </w:rPr>
        <w:t>定义</w:t>
      </w:r>
    </w:p>
    <w:p w14:paraId="61C4FB26">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1.1合同当事人</w:t>
      </w:r>
    </w:p>
    <w:p w14:paraId="696B3433">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（1）采购人（以下称甲方）是指使用财政性资金，通过政府采购方式向</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购买货物及其相关服务的国家机关、事业单位、团体组织。</w:t>
      </w:r>
    </w:p>
    <w:p w14:paraId="3DCAF6EA">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（以下称乙方）是指参加政府采购活动并且中标（成交），向采购人提供合同约定的货物及其相关服务的法人、非法人组织或者自然人。</w:t>
      </w:r>
    </w:p>
    <w:p w14:paraId="01ED4BFB">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（3）其他合同主体是指除采购人和</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以外，</w:t>
      </w:r>
      <w:r>
        <w:rPr>
          <w:rFonts w:hint="eastAsia" w:ascii="宋体" w:hAnsi="宋体" w:eastAsia="宋体" w:cs="宋体"/>
          <w:bCs/>
          <w:color w:val="auto"/>
          <w:sz w:val="21"/>
          <w:szCs w:val="21"/>
          <w:highlight w:val="none"/>
        </w:rPr>
        <w:t>依法参与合同缔结或履行，享有权利、承担义务的合同当事人</w:t>
      </w:r>
      <w:r>
        <w:rPr>
          <w:rFonts w:hint="eastAsia" w:ascii="宋体" w:hAnsi="宋体" w:eastAsia="宋体" w:cs="宋体"/>
          <w:color w:val="auto"/>
          <w:sz w:val="21"/>
          <w:szCs w:val="21"/>
          <w:highlight w:val="none"/>
        </w:rPr>
        <w:t>。</w:t>
      </w:r>
    </w:p>
    <w:p w14:paraId="53958DEC">
      <w:pPr>
        <w:tabs>
          <w:tab w:val="left" w:pos="570"/>
          <w:tab w:val="left" w:pos="9240"/>
          <w:tab w:val="left" w:pos="9555"/>
        </w:tabs>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1.2本合同下列术语应解释为：</w:t>
      </w:r>
    </w:p>
    <w:p w14:paraId="6E3509FF">
      <w:pPr>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（1）“合同”系指</w:t>
      </w:r>
      <w:r>
        <w:rPr>
          <w:rFonts w:hint="eastAsia" w:ascii="宋体" w:hAnsi="宋体" w:eastAsia="宋体" w:cs="宋体"/>
          <w:bCs/>
          <w:color w:val="auto"/>
          <w:sz w:val="21"/>
          <w:szCs w:val="21"/>
          <w:highlight w:val="none"/>
        </w:rPr>
        <w:t>合同当事人意思表示达成一致的任何协议，包括签署的</w:t>
      </w:r>
      <w:r>
        <w:rPr>
          <w:rFonts w:hint="eastAsia" w:ascii="宋体" w:hAnsi="宋体" w:eastAsia="宋体" w:cs="宋体"/>
          <w:color w:val="auto"/>
          <w:sz w:val="21"/>
          <w:szCs w:val="21"/>
          <w:highlight w:val="none"/>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444675E2">
      <w:pPr>
        <w:tabs>
          <w:tab w:val="left" w:pos="570"/>
          <w:tab w:val="left" w:pos="9240"/>
          <w:tab w:val="left" w:pos="9555"/>
        </w:tabs>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（2）“合同价款”系指根据本合同规定乙方在全面履行合同义务后甲方应支付给乙方的价款。</w:t>
      </w:r>
    </w:p>
    <w:p w14:paraId="4E856FEF">
      <w:pPr>
        <w:tabs>
          <w:tab w:val="left" w:pos="570"/>
          <w:tab w:val="left" w:pos="9240"/>
          <w:tab w:val="left" w:pos="9555"/>
        </w:tabs>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（3）“货物”系指乙方根据本合同规定须向甲方提供的各种形态和种类的物品，包括原材料、设备、产品（包括软件）及相关的其备品备件、工具、手册及</w:t>
      </w:r>
      <w:r>
        <w:rPr>
          <w:rFonts w:hint="eastAsia" w:ascii="宋体" w:hAnsi="宋体" w:eastAsia="宋体" w:cs="宋体"/>
          <w:color w:val="auto"/>
          <w:sz w:val="21"/>
          <w:szCs w:val="21"/>
          <w:highlight w:val="none"/>
          <w:lang w:val="en"/>
        </w:rPr>
        <w:t>其他</w:t>
      </w:r>
      <w:r>
        <w:rPr>
          <w:rFonts w:hint="eastAsia" w:ascii="宋体" w:hAnsi="宋体" w:eastAsia="宋体" w:cs="宋体"/>
          <w:color w:val="auto"/>
          <w:sz w:val="21"/>
          <w:szCs w:val="21"/>
          <w:highlight w:val="none"/>
        </w:rPr>
        <w:t>技术资料和材料等。</w:t>
      </w:r>
    </w:p>
    <w:p w14:paraId="5E51090E">
      <w:pPr>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（4）“相关服务”系指根据合同规定，乙方应提供的与货物有关的技术、管理和</w:t>
      </w:r>
      <w:r>
        <w:rPr>
          <w:rFonts w:hint="eastAsia" w:ascii="宋体" w:hAnsi="宋体" w:eastAsia="宋体" w:cs="宋体"/>
          <w:color w:val="auto"/>
          <w:sz w:val="21"/>
          <w:szCs w:val="21"/>
          <w:highlight w:val="none"/>
          <w:lang w:val="en"/>
        </w:rPr>
        <w:t>其他</w:t>
      </w:r>
      <w:r>
        <w:rPr>
          <w:rFonts w:hint="eastAsia" w:ascii="宋体" w:hAnsi="宋体" w:eastAsia="宋体" w:cs="宋体"/>
          <w:color w:val="auto"/>
          <w:sz w:val="21"/>
          <w:szCs w:val="21"/>
          <w:highlight w:val="none"/>
        </w:rPr>
        <w:t>服务，包括但不限于：管理和质量保证、运输、保险、检验、现场准备、安装、集成、调试、培训、维修、废弃处置、技术支持等以及合同中规定乙方应承担的</w:t>
      </w:r>
      <w:r>
        <w:rPr>
          <w:rFonts w:hint="eastAsia" w:ascii="宋体" w:hAnsi="宋体" w:eastAsia="宋体" w:cs="宋体"/>
          <w:color w:val="auto"/>
          <w:sz w:val="21"/>
          <w:szCs w:val="21"/>
          <w:highlight w:val="none"/>
          <w:lang w:val="en"/>
        </w:rPr>
        <w:t>其他</w:t>
      </w:r>
      <w:r>
        <w:rPr>
          <w:rFonts w:hint="eastAsia" w:ascii="宋体" w:hAnsi="宋体" w:eastAsia="宋体" w:cs="宋体"/>
          <w:color w:val="auto"/>
          <w:sz w:val="21"/>
          <w:szCs w:val="21"/>
          <w:highlight w:val="none"/>
        </w:rPr>
        <w:t>义务。</w:t>
      </w:r>
    </w:p>
    <w:p w14:paraId="5B541975">
      <w:pPr>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（5）“分包”系指中标（成交）</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按采购文件、投标（响应）文件的规定，根据分包意向协议，将中标（成交）项目中的部分履约内容，分给具有相应资质条件的</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履行合同的行为。</w:t>
      </w:r>
    </w:p>
    <w:p w14:paraId="34200B48">
      <w:pPr>
        <w:tabs>
          <w:tab w:val="left" w:pos="570"/>
          <w:tab w:val="left" w:pos="9240"/>
          <w:tab w:val="left" w:pos="9555"/>
        </w:tabs>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（6）“联合体”系指由两个以上的自然人、法人或者非法人组织组成，以一个</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w:t>
      </w:r>
    </w:p>
    <w:p w14:paraId="5B764C3F">
      <w:pPr>
        <w:tabs>
          <w:tab w:val="left" w:pos="570"/>
          <w:tab w:val="left" w:pos="9240"/>
          <w:tab w:val="left" w:pos="9555"/>
        </w:tabs>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（7）其他术语解释，见【</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w:t>
      </w:r>
    </w:p>
    <w:p w14:paraId="482AD3A1">
      <w:pPr>
        <w:tabs>
          <w:tab w:val="left" w:pos="8820"/>
          <w:tab w:val="left" w:pos="9345"/>
          <w:tab w:val="left" w:pos="9765"/>
        </w:tabs>
        <w:snapToGrid w:val="0"/>
        <w:spacing w:line="360" w:lineRule="auto"/>
        <w:jc w:val="left"/>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 合同标的及金额</w:t>
      </w:r>
    </w:p>
    <w:p w14:paraId="729AEBC6">
      <w:pPr>
        <w:autoSpaceDE w:val="0"/>
        <w:autoSpaceDN w:val="0"/>
        <w:snapToGrid w:val="0"/>
        <w:spacing w:line="360" w:lineRule="auto"/>
        <w:ind w:firstLine="420" w:firstLineChars="200"/>
        <w:jc w:val="left"/>
        <w:outlineLvl w:val="9"/>
        <w:rPr>
          <w:rFonts w:hint="eastAsia" w:ascii="宋体" w:hAnsi="宋体" w:eastAsia="宋体" w:cs="宋体"/>
          <w:b/>
          <w:bCs/>
          <w:i/>
          <w:iCs/>
          <w:color w:val="auto"/>
          <w:sz w:val="21"/>
          <w:szCs w:val="21"/>
          <w:highlight w:val="none"/>
        </w:rPr>
      </w:pPr>
      <w:r>
        <w:rPr>
          <w:rFonts w:hint="eastAsia" w:ascii="宋体" w:hAnsi="宋体" w:eastAsia="宋体" w:cs="宋体"/>
          <w:color w:val="auto"/>
          <w:sz w:val="21"/>
          <w:szCs w:val="21"/>
          <w:highlight w:val="none"/>
        </w:rPr>
        <w:t>2.1 合同标的及金额应与中标（成交）结果一致。乙方为履行本合同而发生的所有费用均应包含在合同价款中，甲方不再另行支付</w:t>
      </w:r>
      <w:r>
        <w:rPr>
          <w:rFonts w:hint="eastAsia" w:ascii="宋体" w:hAnsi="宋体" w:eastAsia="宋体" w:cs="宋体"/>
          <w:color w:val="auto"/>
          <w:sz w:val="21"/>
          <w:szCs w:val="21"/>
          <w:highlight w:val="none"/>
          <w:lang w:val="en"/>
        </w:rPr>
        <w:t>其他</w:t>
      </w:r>
      <w:r>
        <w:rPr>
          <w:rFonts w:hint="eastAsia" w:ascii="宋体" w:hAnsi="宋体" w:eastAsia="宋体" w:cs="宋体"/>
          <w:color w:val="auto"/>
          <w:sz w:val="21"/>
          <w:szCs w:val="21"/>
          <w:highlight w:val="none"/>
        </w:rPr>
        <w:t>任何费用。</w:t>
      </w:r>
    </w:p>
    <w:p w14:paraId="19FD3520">
      <w:pPr>
        <w:snapToGrid w:val="0"/>
        <w:spacing w:line="360" w:lineRule="auto"/>
        <w:jc w:val="left"/>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 履行合同的时间、地点和方式</w:t>
      </w:r>
    </w:p>
    <w:p w14:paraId="2C6E9282">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 乙方应当在约定的时间、地点，按照约定方式履行合同。</w:t>
      </w:r>
    </w:p>
    <w:p w14:paraId="0A365DE4">
      <w:pPr>
        <w:autoSpaceDE w:val="0"/>
        <w:autoSpaceDN w:val="0"/>
        <w:snapToGrid w:val="0"/>
        <w:spacing w:line="360" w:lineRule="auto"/>
        <w:jc w:val="left"/>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 甲方的权利和义务</w:t>
      </w:r>
    </w:p>
    <w:p w14:paraId="6A79C935">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 签署合同后，甲方应确定项目负责人（或项目联系人），负责与本合同有关的事务。甲方有权对乙方的履约行为进行检查，并及时确认乙方提交的事项。甲方应当配合乙方完成相关项目实施工作。</w:t>
      </w:r>
    </w:p>
    <w:p w14:paraId="3A7FE313">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 甲方有权要求乙方按时提交各阶段有关安排计划，并有权定期核对乙方提供货物数量、规格、质量等内容。甲方有权督促乙方工作并要求乙方更换不符合要求的货物。</w:t>
      </w:r>
    </w:p>
    <w:p w14:paraId="370B2462">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 甲方有权要求乙方对缺陷部分予以修复，并按合同约定享有货物保修及其他合同约定的权利。</w:t>
      </w:r>
    </w:p>
    <w:p w14:paraId="6CD343D0">
      <w:pPr>
        <w:adjustRightInd/>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 甲方应当按照合同约定及时对交付的货物进行验收，未在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约定的期限内对乙方履约提出任何异议或者向乙方作出任何说明的，视为验收通过。</w:t>
      </w:r>
    </w:p>
    <w:p w14:paraId="25EB11D6">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 甲方应当根据合同约定及时向乙方支付合同价款，不得以内部人员变更、履行内部付款流程等为由，拒绝或迟延支付。</w:t>
      </w:r>
    </w:p>
    <w:p w14:paraId="5AF4926B">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4.6 国家法律法规规定及</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约定应由甲方承担的其他义务和责任。</w:t>
      </w:r>
    </w:p>
    <w:p w14:paraId="0688F83D">
      <w:pPr>
        <w:autoSpaceDE w:val="0"/>
        <w:autoSpaceDN w:val="0"/>
        <w:snapToGrid w:val="0"/>
        <w:spacing w:line="360" w:lineRule="auto"/>
        <w:jc w:val="left"/>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5. 乙方的权利和义务</w:t>
      </w:r>
    </w:p>
    <w:p w14:paraId="21C08496">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 签署合同后，乙方应确定项目负责人（或项目联系人），负责与本合同有关的事务。</w:t>
      </w:r>
    </w:p>
    <w:p w14:paraId="450079F2">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0BE6AE96">
      <w:pPr>
        <w:adjustRightInd/>
        <w:spacing w:line="360" w:lineRule="auto"/>
        <w:ind w:firstLine="369" w:firstLineChars="176"/>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5.3乙方有权根据合同约定向甲方收取合同价款。</w:t>
      </w:r>
    </w:p>
    <w:p w14:paraId="529A8CE4">
      <w:pPr>
        <w:adjustRightInd/>
        <w:spacing w:line="360" w:lineRule="auto"/>
        <w:ind w:firstLine="369" w:firstLineChars="176"/>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5.4国家法律法规规定及</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约定应由乙方承担的其他义务和责任。</w:t>
      </w:r>
    </w:p>
    <w:p w14:paraId="6DF7E694">
      <w:pPr>
        <w:autoSpaceDE w:val="0"/>
        <w:autoSpaceDN w:val="0"/>
        <w:snapToGrid w:val="0"/>
        <w:spacing w:line="360" w:lineRule="auto"/>
        <w:jc w:val="left"/>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6.合同履行</w:t>
      </w:r>
    </w:p>
    <w:p w14:paraId="3C07B23E">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 甲乙双方应当按照</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约定顺序履行合同义务；如果没有先后顺序的，应当同时履行。</w:t>
      </w:r>
    </w:p>
    <w:p w14:paraId="33BA4F90">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 甲乙双方按照合同约定顺序履行合同义务时，应当先履行一方未履行的，后履行一方有权拒绝其履行请求。先履行一方履行不符合约定的，后履行一方有权拒绝其相应的履行请求。</w:t>
      </w:r>
    </w:p>
    <w:p w14:paraId="0AEC9DDD">
      <w:pPr>
        <w:snapToGrid w:val="0"/>
        <w:spacing w:line="360" w:lineRule="auto"/>
        <w:jc w:val="left"/>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7. 货物包装、运输、保险和交付要求</w:t>
      </w:r>
    </w:p>
    <w:p w14:paraId="25063894">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 本合同</w:t>
      </w:r>
      <w:r>
        <w:rPr>
          <w:rFonts w:hint="eastAsia" w:ascii="宋体" w:hAnsi="宋体" w:eastAsia="宋体" w:cs="宋体"/>
          <w:bCs/>
          <w:color w:val="auto"/>
          <w:sz w:val="21"/>
          <w:szCs w:val="21"/>
          <w:highlight w:val="none"/>
        </w:rPr>
        <w:t>涉及商品包装、快递包装的，</w:t>
      </w:r>
      <w:r>
        <w:rPr>
          <w:rFonts w:hint="eastAsia" w:ascii="宋体" w:hAnsi="宋体" w:eastAsia="宋体" w:cs="宋体"/>
          <w:color w:val="auto"/>
          <w:sz w:val="21"/>
          <w:szCs w:val="21"/>
          <w:highlight w:val="none"/>
        </w:rPr>
        <w:t>除</w:t>
      </w:r>
      <w:r>
        <w:rPr>
          <w:rFonts w:hint="eastAsia" w:ascii="宋体" w:hAnsi="宋体" w:eastAsia="宋体" w:cs="宋体"/>
          <w:b/>
          <w:color w:val="auto"/>
          <w:sz w:val="21"/>
          <w:szCs w:val="21"/>
          <w:highlight w:val="none"/>
        </w:rPr>
        <w:t>【政府采购合同专用条款】</w:t>
      </w:r>
      <w:r>
        <w:rPr>
          <w:rFonts w:hint="eastAsia" w:ascii="宋体" w:hAnsi="宋体" w:eastAsia="宋体" w:cs="宋体"/>
          <w:bCs/>
          <w:color w:val="auto"/>
          <w:sz w:val="21"/>
          <w:szCs w:val="21"/>
          <w:highlight w:val="none"/>
        </w:rPr>
        <w:t>另有约定外，</w:t>
      </w:r>
      <w:r>
        <w:rPr>
          <w:rFonts w:hint="eastAsia" w:ascii="宋体" w:hAnsi="宋体" w:eastAsia="宋体" w:cs="宋体"/>
          <w:color w:val="auto"/>
          <w:sz w:val="21"/>
          <w:szCs w:val="21"/>
          <w:highlight w:val="none"/>
        </w:rPr>
        <w:t>包装应适应远距离运输、防潮、防震、防锈和防野蛮装卸等要求，确保货物安全无损地运抵</w:t>
      </w:r>
      <w:r>
        <w:rPr>
          <w:rFonts w:hint="eastAsia" w:ascii="宋体" w:hAnsi="宋体" w:eastAsia="宋体" w:cs="宋体"/>
          <w:b/>
          <w:color w:val="auto"/>
          <w:sz w:val="21"/>
          <w:szCs w:val="21"/>
          <w:highlight w:val="none"/>
        </w:rPr>
        <w:t>【政府采购合同专用条款】</w:t>
      </w:r>
      <w:r>
        <w:rPr>
          <w:rFonts w:hint="eastAsia" w:ascii="宋体" w:hAnsi="宋体" w:eastAsia="宋体" w:cs="宋体"/>
          <w:bCs/>
          <w:color w:val="auto"/>
          <w:sz w:val="21"/>
          <w:szCs w:val="21"/>
          <w:highlight w:val="none"/>
        </w:rPr>
        <w:t>约定的</w:t>
      </w:r>
      <w:r>
        <w:rPr>
          <w:rFonts w:hint="eastAsia" w:ascii="宋体" w:hAnsi="宋体" w:eastAsia="宋体" w:cs="宋体"/>
          <w:color w:val="auto"/>
          <w:sz w:val="21"/>
          <w:szCs w:val="21"/>
          <w:highlight w:val="none"/>
        </w:rPr>
        <w:t>指定现场。</w:t>
      </w:r>
    </w:p>
    <w:p w14:paraId="431031F5">
      <w:pPr>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 除</w:t>
      </w:r>
      <w:r>
        <w:rPr>
          <w:rFonts w:hint="eastAsia" w:ascii="宋体" w:hAnsi="宋体" w:eastAsia="宋体" w:cs="宋体"/>
          <w:b/>
          <w:color w:val="auto"/>
          <w:sz w:val="21"/>
          <w:szCs w:val="21"/>
          <w:highlight w:val="none"/>
        </w:rPr>
        <w:t>【政府采购合同专用条款】</w:t>
      </w:r>
      <w:r>
        <w:rPr>
          <w:rFonts w:hint="eastAsia" w:ascii="宋体" w:hAnsi="宋体" w:eastAsia="宋体" w:cs="宋体"/>
          <w:bCs/>
          <w:color w:val="auto"/>
          <w:sz w:val="21"/>
          <w:szCs w:val="21"/>
          <w:highlight w:val="none"/>
        </w:rPr>
        <w:t>另有约定外，</w:t>
      </w:r>
      <w:r>
        <w:rPr>
          <w:rFonts w:hint="eastAsia" w:ascii="宋体" w:hAnsi="宋体" w:eastAsia="宋体" w:cs="宋体"/>
          <w:color w:val="auto"/>
          <w:sz w:val="21"/>
          <w:szCs w:val="21"/>
          <w:highlight w:val="none"/>
        </w:rPr>
        <w:t>乙方负责办理将货物运抵本合同规定的交货地点，并装卸、交付至甲方的一切运输事项，相关费用应包含在合同价款中。</w:t>
      </w:r>
    </w:p>
    <w:p w14:paraId="2BFADF1D">
      <w:pPr>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 货物保险要求按</w:t>
      </w:r>
      <w:r>
        <w:rPr>
          <w:rFonts w:hint="eastAsia" w:ascii="宋体" w:hAnsi="宋体" w:eastAsia="宋体" w:cs="宋体"/>
          <w:b/>
          <w:color w:val="auto"/>
          <w:sz w:val="21"/>
          <w:szCs w:val="21"/>
          <w:highlight w:val="none"/>
        </w:rPr>
        <w:t>【政府采购合同专用条款】</w:t>
      </w:r>
      <w:r>
        <w:rPr>
          <w:rFonts w:hint="eastAsia" w:ascii="宋体" w:hAnsi="宋体" w:eastAsia="宋体" w:cs="宋体"/>
          <w:bCs/>
          <w:color w:val="auto"/>
          <w:sz w:val="21"/>
          <w:szCs w:val="21"/>
          <w:highlight w:val="none"/>
        </w:rPr>
        <w:t>规定执行</w:t>
      </w:r>
      <w:r>
        <w:rPr>
          <w:rFonts w:hint="eastAsia" w:ascii="宋体" w:hAnsi="宋体" w:eastAsia="宋体" w:cs="宋体"/>
          <w:color w:val="auto"/>
          <w:sz w:val="21"/>
          <w:szCs w:val="21"/>
          <w:highlight w:val="none"/>
        </w:rPr>
        <w:t>。</w:t>
      </w:r>
    </w:p>
    <w:p w14:paraId="0E3EF0D0">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25A10CD8">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7.5 乙方在运输到达之前应提前通知甲方，并提示货物运输装卸的注意事项，甲方配合乙方做好货物的接收工作。</w:t>
      </w:r>
    </w:p>
    <w:p w14:paraId="319E365E">
      <w:pPr>
        <w:widowControl/>
        <w:autoSpaceDE w:val="0"/>
        <w:autoSpaceDN w:val="0"/>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7.6 如因包装、运输问题导致货物损毁、丢失或者品质下降，甲方有权要求降价、换货、拒收部分或整批货物，由此产生的费用和损失，均由乙方承担。</w:t>
      </w:r>
    </w:p>
    <w:p w14:paraId="58C81708">
      <w:pPr>
        <w:snapToGrid w:val="0"/>
        <w:spacing w:line="360" w:lineRule="auto"/>
        <w:jc w:val="left"/>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8. 质量标准和保证</w:t>
      </w:r>
    </w:p>
    <w:p w14:paraId="1155C8D3">
      <w:pPr>
        <w:snapToGrid w:val="0"/>
        <w:spacing w:line="360" w:lineRule="auto"/>
        <w:ind w:firstLine="420" w:firstLineChars="200"/>
        <w:jc w:val="left"/>
        <w:outlineLvl w:val="9"/>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8.1 质量标准</w:t>
      </w:r>
    </w:p>
    <w:p w14:paraId="42D50ACE">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1F407447">
      <w:pPr>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（2）采用中华人民共和国法定计量单位。</w:t>
      </w:r>
    </w:p>
    <w:p w14:paraId="26C9AC16">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（3）乙方所提供的货物应符合国家有关安全、环保、卫生的规定。</w:t>
      </w:r>
    </w:p>
    <w:p w14:paraId="4DE3D360">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（4）乙方应向甲方提交所提供货物的技术文件，包括相应的中文技术文件，如：产品目录、图纸、操作手册、使用说明、维护手册或服务指南等。上述文件应包装好随货物一同发运。</w:t>
      </w:r>
    </w:p>
    <w:p w14:paraId="6461AE71">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8.2 保证</w:t>
      </w:r>
    </w:p>
    <w:p w14:paraId="15B48E47">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宋体" w:hAnsi="宋体" w:eastAsia="宋体" w:cs="宋体"/>
          <w:b/>
          <w:color w:val="auto"/>
          <w:sz w:val="21"/>
          <w:szCs w:val="21"/>
          <w:highlight w:val="none"/>
        </w:rPr>
        <w:t>【政府采购合同专用条款】</w:t>
      </w:r>
      <w:r>
        <w:rPr>
          <w:rFonts w:hint="eastAsia" w:ascii="宋体" w:hAnsi="宋体" w:eastAsia="宋体" w:cs="宋体"/>
          <w:color w:val="auto"/>
          <w:sz w:val="21"/>
          <w:szCs w:val="21"/>
          <w:highlight w:val="none"/>
        </w:rPr>
        <w:t>规定或乙方书面承诺（两者以较长的为准）的质量保证期内，本保证保持有效。</w:t>
      </w:r>
    </w:p>
    <w:p w14:paraId="2C941863">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（2）在质量保证期内所发现的缺陷，甲方应尽快以书面形式通知乙方。</w:t>
      </w:r>
    </w:p>
    <w:p w14:paraId="334A667C">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（3）乙方收到通知后，应在</w:t>
      </w:r>
      <w:r>
        <w:rPr>
          <w:rFonts w:hint="eastAsia" w:ascii="宋体" w:hAnsi="宋体" w:eastAsia="宋体" w:cs="宋体"/>
          <w:b/>
          <w:color w:val="auto"/>
          <w:sz w:val="21"/>
          <w:szCs w:val="21"/>
          <w:highlight w:val="none"/>
        </w:rPr>
        <w:t>【政府采购合同专用条款】</w:t>
      </w:r>
      <w:r>
        <w:rPr>
          <w:rFonts w:hint="eastAsia" w:ascii="宋体" w:hAnsi="宋体" w:eastAsia="宋体" w:cs="宋体"/>
          <w:color w:val="auto"/>
          <w:sz w:val="21"/>
          <w:szCs w:val="21"/>
          <w:highlight w:val="none"/>
        </w:rPr>
        <w:t>规定的响应时间内以合理的速度免费维修或更换有缺陷的货物或部件。</w:t>
      </w:r>
    </w:p>
    <w:p w14:paraId="214ECD40">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486127FE">
      <w:pPr>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（5）乙方在约定的时间内未能弥补缺陷，甲方可采取必要的补救措施，但其风险和费用将由乙方承担，甲方根据合同约定对乙方行使的其他权利不受影响。</w:t>
      </w:r>
    </w:p>
    <w:p w14:paraId="463038C7">
      <w:pPr>
        <w:snapToGrid w:val="0"/>
        <w:spacing w:line="360" w:lineRule="auto"/>
        <w:jc w:val="left"/>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9. 权利瑕疵担保</w:t>
      </w:r>
    </w:p>
    <w:p w14:paraId="037B8BCD">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 乙方保证对其出售的货物享有合法的权利。</w:t>
      </w:r>
    </w:p>
    <w:p w14:paraId="5CCDC806">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9.2 乙方保证在交付的货物上不存在抵押权等担保物权。</w:t>
      </w:r>
    </w:p>
    <w:p w14:paraId="630F99EF">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9.3 如甲方使用上述货物构成对第三人侵权的，则由乙方承担全部责任。</w:t>
      </w:r>
    </w:p>
    <w:p w14:paraId="218561BB">
      <w:pPr>
        <w:autoSpaceDE w:val="0"/>
        <w:autoSpaceDN w:val="0"/>
        <w:snapToGrid w:val="0"/>
        <w:spacing w:line="360" w:lineRule="auto"/>
        <w:jc w:val="left"/>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10. 知识产权保护</w:t>
      </w:r>
    </w:p>
    <w:p w14:paraId="2F1195D6">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 乙方对其所销售的货物应当享有知识产权或经权利人合法授权，保证没有侵犯任何第三人的知识产权等权利。</w:t>
      </w:r>
      <w:bookmarkStart w:id="421" w:name="_Hlk163047038"/>
      <w:r>
        <w:rPr>
          <w:rFonts w:hint="eastAsia" w:ascii="宋体" w:hAnsi="宋体" w:eastAsia="宋体" w:cs="宋体"/>
          <w:color w:val="auto"/>
          <w:sz w:val="21"/>
          <w:szCs w:val="21"/>
          <w:highlight w:val="none"/>
        </w:rPr>
        <w:t>因违反前述约定对第三人构成侵权的，应当由乙方向第三人承担法律责任；甲方依法向第三人赔偿后，有权向乙方追偿。甲方有其他损失的，乙方应当赔偿</w:t>
      </w:r>
      <w:bookmarkEnd w:id="421"/>
      <w:r>
        <w:rPr>
          <w:rFonts w:hint="eastAsia" w:ascii="宋体" w:hAnsi="宋体" w:eastAsia="宋体" w:cs="宋体"/>
          <w:color w:val="auto"/>
          <w:sz w:val="21"/>
          <w:szCs w:val="21"/>
          <w:highlight w:val="none"/>
        </w:rPr>
        <w:t>。</w:t>
      </w:r>
    </w:p>
    <w:p w14:paraId="53D59D12">
      <w:pPr>
        <w:autoSpaceDE w:val="0"/>
        <w:autoSpaceDN w:val="0"/>
        <w:snapToGrid w:val="0"/>
        <w:spacing w:line="360" w:lineRule="auto"/>
        <w:jc w:val="left"/>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11. 保密义务</w:t>
      </w:r>
    </w:p>
    <w:p w14:paraId="248593D6">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中约定。</w:t>
      </w:r>
    </w:p>
    <w:p w14:paraId="66181124">
      <w:pPr>
        <w:autoSpaceDE w:val="0"/>
        <w:autoSpaceDN w:val="0"/>
        <w:snapToGrid w:val="0"/>
        <w:spacing w:line="360" w:lineRule="auto"/>
        <w:jc w:val="left"/>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12. 合同价款支付</w:t>
      </w:r>
    </w:p>
    <w:p w14:paraId="5F398F53">
      <w:pPr>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 合同价款支付按照国库集中支付制度及财政管理相关规定执行。</w:t>
      </w:r>
    </w:p>
    <w:p w14:paraId="00F124DA">
      <w:pPr>
        <w:keepNext/>
        <w:keepLines/>
        <w:adjustRightInd/>
        <w:spacing w:line="360" w:lineRule="auto"/>
        <w:ind w:firstLine="420" w:firstLineChars="200"/>
        <w:outlineLvl w:val="9"/>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12.2 对于满足合同约定支付条件的，甲方原则上应当自收到发票后5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】中约定。</w:t>
      </w:r>
    </w:p>
    <w:p w14:paraId="38BC52F2">
      <w:pPr>
        <w:adjustRightInd/>
        <w:spacing w:line="360" w:lineRule="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13. 履约保证金</w:t>
      </w:r>
    </w:p>
    <w:p w14:paraId="77A283A5">
      <w:pPr>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 乙方应当以支票、汇票、本票或者金融机构、担保机构出具的保函等非现金形式提交。</w:t>
      </w:r>
    </w:p>
    <w:p w14:paraId="4EF8E5CA">
      <w:pPr>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 如果乙方出现</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约定情形的，履约保证金不予退还；如果乙方未能按合同约定全面履行义务，甲方有权从履约保证金中取得补偿或赔偿，且不影响甲方要求乙方承担合同约定的超过履约保证金的违约责任的权利。</w:t>
      </w:r>
    </w:p>
    <w:p w14:paraId="6622D962">
      <w:pPr>
        <w:adjustRightInd/>
        <w:spacing w:line="360" w:lineRule="auto"/>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13.3 甲方在项目通过验收后按照</w:t>
      </w:r>
      <w:r>
        <w:rPr>
          <w:rFonts w:hint="eastAsia" w:ascii="宋体" w:hAnsi="宋体" w:eastAsia="宋体" w:cs="宋体"/>
          <w:b/>
          <w:color w:val="auto"/>
          <w:sz w:val="21"/>
          <w:szCs w:val="21"/>
          <w:highlight w:val="none"/>
        </w:rPr>
        <w:t>【政府采购合同专用条款】</w:t>
      </w:r>
      <w:r>
        <w:rPr>
          <w:rFonts w:hint="eastAsia" w:ascii="宋体" w:hAnsi="宋体" w:eastAsia="宋体" w:cs="宋体"/>
          <w:color w:val="auto"/>
          <w:sz w:val="21"/>
          <w:szCs w:val="21"/>
          <w:highlight w:val="none"/>
        </w:rPr>
        <w:t>规定的时间内将履约保证金退还乙方；逾期退还的，乙方可要求甲方支付违约金，违约金按照</w:t>
      </w:r>
      <w:r>
        <w:rPr>
          <w:rFonts w:hint="eastAsia" w:ascii="宋体" w:hAnsi="宋体" w:eastAsia="宋体" w:cs="宋体"/>
          <w:b/>
          <w:color w:val="auto"/>
          <w:sz w:val="21"/>
          <w:szCs w:val="21"/>
          <w:highlight w:val="none"/>
        </w:rPr>
        <w:t>【政府采购合同专用条款】</w:t>
      </w:r>
      <w:r>
        <w:rPr>
          <w:rFonts w:hint="eastAsia" w:ascii="宋体" w:hAnsi="宋体" w:eastAsia="宋体" w:cs="宋体"/>
          <w:color w:val="auto"/>
          <w:sz w:val="21"/>
          <w:szCs w:val="21"/>
          <w:highlight w:val="none"/>
        </w:rPr>
        <w:t>规定支付。</w:t>
      </w:r>
    </w:p>
    <w:p w14:paraId="6178337A">
      <w:pPr>
        <w:autoSpaceDE w:val="0"/>
        <w:autoSpaceDN w:val="0"/>
        <w:snapToGrid w:val="0"/>
        <w:spacing w:line="360" w:lineRule="auto"/>
        <w:jc w:val="left"/>
        <w:outlineLvl w:val="9"/>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 xml:space="preserve">14. </w:t>
      </w:r>
      <w:r>
        <w:rPr>
          <w:rFonts w:hint="eastAsia" w:ascii="宋体" w:hAnsi="宋体" w:eastAsia="宋体" w:cs="宋体"/>
          <w:b/>
          <w:color w:val="auto"/>
          <w:sz w:val="21"/>
          <w:szCs w:val="21"/>
          <w:highlight w:val="none"/>
        </w:rPr>
        <w:t>售后服务</w:t>
      </w:r>
    </w:p>
    <w:p w14:paraId="5766B6BF">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 除项目不涉及或采购活动中明确约定无须承担外，乙方还应提供下列服务：</w:t>
      </w:r>
    </w:p>
    <w:p w14:paraId="4DDB4A5D">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（1）货物的现场移动、安装、调试、启动监督及技术支持；</w:t>
      </w:r>
    </w:p>
    <w:p w14:paraId="5804E449">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（2）提供货物组装和维修所需的专用工具和辅助材料；</w:t>
      </w:r>
    </w:p>
    <w:p w14:paraId="3D68829C">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约定的期限内对所有的货物实施运行监督、维修，但前提条件是该服务并不能免除乙方在质量保证期内所承担的义务；</w:t>
      </w:r>
    </w:p>
    <w:p w14:paraId="52E6D6C7">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（4）在制造商所在地或指定现场就货物的安装、启动、运营、维护、废弃处置等对甲方操作人员进行培训；</w:t>
      </w:r>
    </w:p>
    <w:p w14:paraId="071E39BA">
      <w:pPr>
        <w:widowControl/>
        <w:autoSpaceDE w:val="0"/>
        <w:autoSpaceDN w:val="0"/>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（5）依照法律、行政法规的规定或者按照</w:t>
      </w:r>
      <w:r>
        <w:rPr>
          <w:rFonts w:hint="eastAsia" w:ascii="宋体" w:hAnsi="宋体" w:eastAsia="宋体" w:cs="宋体"/>
          <w:b/>
          <w:bCs/>
          <w:color w:val="auto"/>
          <w:kern w:val="0"/>
          <w:sz w:val="21"/>
          <w:szCs w:val="21"/>
          <w:highlight w:val="none"/>
        </w:rPr>
        <w:t>【政府采购合同专用条款】</w:t>
      </w:r>
      <w:r>
        <w:rPr>
          <w:rFonts w:hint="eastAsia" w:ascii="宋体" w:hAnsi="宋体" w:eastAsia="宋体" w:cs="宋体"/>
          <w:color w:val="auto"/>
          <w:kern w:val="0"/>
          <w:sz w:val="21"/>
          <w:szCs w:val="21"/>
          <w:highlight w:val="none"/>
        </w:rPr>
        <w:t>约定，货物在有效使用年限届满后应予回收的，乙方负有自行或者委托第三人对货物予以回收的义务；</w:t>
      </w:r>
    </w:p>
    <w:p w14:paraId="297E6FD4">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b/>
          <w:color w:val="auto"/>
          <w:sz w:val="21"/>
          <w:szCs w:val="21"/>
          <w:highlight w:val="none"/>
        </w:rPr>
        <w:t>【政府采购合同专用条款】</w:t>
      </w:r>
      <w:r>
        <w:rPr>
          <w:rFonts w:hint="eastAsia" w:ascii="宋体" w:hAnsi="宋体" w:eastAsia="宋体" w:cs="宋体"/>
          <w:color w:val="auto"/>
          <w:sz w:val="21"/>
          <w:szCs w:val="21"/>
          <w:highlight w:val="none"/>
        </w:rPr>
        <w:t>规定由乙方提供的其他服务。</w:t>
      </w:r>
    </w:p>
    <w:p w14:paraId="1F67B668">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 乙方提供的售后服务的费用已包含在合同价款中，甲方不再另行支付。</w:t>
      </w:r>
    </w:p>
    <w:p w14:paraId="3A77C9A7">
      <w:pPr>
        <w:snapToGrid w:val="0"/>
        <w:spacing w:line="360" w:lineRule="auto"/>
        <w:jc w:val="left"/>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15. 违约责任</w:t>
      </w:r>
    </w:p>
    <w:p w14:paraId="4369A12C">
      <w:pPr>
        <w:snapToGrid w:val="0"/>
        <w:spacing w:line="360" w:lineRule="auto"/>
        <w:ind w:firstLine="420" w:firstLineChars="200"/>
        <w:jc w:val="left"/>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15.1质量瑕疵的违约责任</w:t>
      </w:r>
    </w:p>
    <w:p w14:paraId="75AE22AC">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乙方提供的产品不符合合同约定的质量标准或存在产品质量缺陷，甲方有权要求乙方根据</w:t>
      </w:r>
      <w:r>
        <w:rPr>
          <w:rFonts w:hint="eastAsia" w:ascii="宋体" w:hAnsi="宋体" w:eastAsia="宋体" w:cs="宋体"/>
          <w:b/>
          <w:color w:val="auto"/>
          <w:sz w:val="21"/>
          <w:szCs w:val="21"/>
          <w:highlight w:val="none"/>
        </w:rPr>
        <w:t>【政府采购合同专用条款】</w:t>
      </w:r>
      <w:r>
        <w:rPr>
          <w:rFonts w:hint="eastAsia" w:ascii="宋体" w:hAnsi="宋体" w:eastAsia="宋体" w:cs="宋体"/>
          <w:bCs/>
          <w:color w:val="auto"/>
          <w:sz w:val="21"/>
          <w:szCs w:val="21"/>
          <w:highlight w:val="none"/>
        </w:rPr>
        <w:t>要求</w:t>
      </w:r>
      <w:r>
        <w:rPr>
          <w:rFonts w:hint="eastAsia" w:ascii="宋体" w:hAnsi="宋体" w:eastAsia="宋体" w:cs="宋体"/>
          <w:color w:val="auto"/>
          <w:sz w:val="21"/>
          <w:szCs w:val="21"/>
          <w:highlight w:val="none"/>
        </w:rPr>
        <w:t>及时修理、重作、更换，并承担由此给甲方造成的损失。</w:t>
      </w:r>
    </w:p>
    <w:p w14:paraId="2B6073BA">
      <w:pPr>
        <w:autoSpaceDE w:val="0"/>
        <w:autoSpaceDN w:val="0"/>
        <w:snapToGrid w:val="0"/>
        <w:spacing w:line="360" w:lineRule="auto"/>
        <w:ind w:firstLine="420" w:firstLineChars="200"/>
        <w:jc w:val="left"/>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15.2 迟延交货的违约责任</w:t>
      </w:r>
    </w:p>
    <w:p w14:paraId="5DF7B1F2">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7F26D84C">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（2）如果乙方没有按照合同规定的时间交货和提供相关服务，甲方有权从货款中扣除误期赔偿费而不影响合同项下的其他补救方法，赔偿费按</w:t>
      </w:r>
      <w:r>
        <w:rPr>
          <w:rFonts w:hint="eastAsia" w:ascii="宋体" w:hAnsi="宋体" w:eastAsia="宋体" w:cs="宋体"/>
          <w:b/>
          <w:color w:val="auto"/>
          <w:sz w:val="21"/>
          <w:szCs w:val="21"/>
          <w:highlight w:val="none"/>
        </w:rPr>
        <w:t>【政府采购合同专用条款】</w:t>
      </w:r>
      <w:r>
        <w:rPr>
          <w:rFonts w:hint="eastAsia" w:ascii="宋体" w:hAnsi="宋体" w:eastAsia="宋体" w:cs="宋体"/>
          <w:color w:val="auto"/>
          <w:sz w:val="21"/>
          <w:szCs w:val="21"/>
          <w:highlight w:val="none"/>
        </w:rPr>
        <w:t>规定执行。如果涉及公共利益，且赔偿金额无法弥补公共利益损失，甲方可要求继续履行或者采取其他补救措施。</w:t>
      </w:r>
    </w:p>
    <w:p w14:paraId="651ECB4B">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15.3 迟延支付的违约责任</w:t>
      </w:r>
    </w:p>
    <w:p w14:paraId="29BA3DD2">
      <w:pPr>
        <w:autoSpaceDE w:val="0"/>
        <w:autoSpaceDN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甲方存在迟延支付乙方合同款项的，应当承担</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规定的逾期付款利息。</w:t>
      </w:r>
    </w:p>
    <w:p w14:paraId="138F9983">
      <w:pPr>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15.4其他违约责任根据项目实际需要按</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规定执行。</w:t>
      </w:r>
    </w:p>
    <w:p w14:paraId="37D45E07">
      <w:pPr>
        <w:snapToGrid w:val="0"/>
        <w:spacing w:line="360" w:lineRule="auto"/>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16. 合同变更、中止与终止</w:t>
      </w:r>
    </w:p>
    <w:p w14:paraId="43743FA1">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16.1合同的变更</w:t>
      </w:r>
    </w:p>
    <w:p w14:paraId="0E04FC84">
      <w:pPr>
        <w:autoSpaceDE w:val="0"/>
        <w:autoSpaceDN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政府采购合同履行中，在不改变合同其他条款的前提下，甲方可以在合同价款10%的范围内追加与合同标的相同的货物，并就此与乙方协商一致后签订补充协议。</w:t>
      </w:r>
    </w:p>
    <w:p w14:paraId="1674F7BE">
      <w:pPr>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16.2合同的中止</w:t>
      </w:r>
    </w:p>
    <w:p w14:paraId="52544920">
      <w:pPr>
        <w:autoSpaceDE w:val="0"/>
        <w:autoSpaceDN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（1）合同履行过程中因</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就采购文件、采购过程或结果提起投诉的，甲方认为有必要的，可以中止合同的履行。</w:t>
      </w:r>
    </w:p>
    <w:p w14:paraId="4A7CCD06">
      <w:pPr>
        <w:autoSpaceDE w:val="0"/>
        <w:autoSpaceDN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529C60CB">
      <w:pPr>
        <w:widowControl/>
        <w:autoSpaceDE w:val="0"/>
        <w:autoSpaceDN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（3）乙方分立、合并或者变更住所的，应当及时以书面形式告知甲方。乙方没有及时告知甲方，致使合同履行发生困难的，甲方可以中止合同履行并要求乙方承担由此给甲方造成的损失。</w:t>
      </w:r>
    </w:p>
    <w:p w14:paraId="0FF1A85A">
      <w:pPr>
        <w:adjustRightInd/>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（4）甲方不得以行政区划调整、政府换届、机构或者职能调整以及相关责任人更替为由中止合同。</w:t>
      </w:r>
    </w:p>
    <w:p w14:paraId="2FEA6FFC">
      <w:pPr>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16.3合同的终止</w:t>
      </w:r>
    </w:p>
    <w:p w14:paraId="68CB53BA">
      <w:pPr>
        <w:autoSpaceDE w:val="0"/>
        <w:autoSpaceDN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（1）合同因有效期限届满而终止；</w:t>
      </w:r>
    </w:p>
    <w:p w14:paraId="0E3EAA77">
      <w:pPr>
        <w:adjustRightInd/>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（2）乙方未按合同约定履行，构成根本性违约的，甲方有权终止合同，并追究乙方的违约责任。</w:t>
      </w:r>
    </w:p>
    <w:p w14:paraId="22C9C17C">
      <w:pPr>
        <w:widowControl/>
        <w:autoSpaceDE w:val="0"/>
        <w:autoSpaceDN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16.4 </w:t>
      </w:r>
      <w:r>
        <w:rPr>
          <w:rFonts w:hint="eastAsia" w:ascii="宋体" w:hAnsi="宋体" w:eastAsia="宋体" w:cs="宋体"/>
          <w:color w:val="auto"/>
          <w:sz w:val="21"/>
          <w:szCs w:val="21"/>
          <w:highlight w:val="none"/>
        </w:rPr>
        <w:t>涉及国家利益、社会公共利益的情形</w:t>
      </w:r>
    </w:p>
    <w:p w14:paraId="41AC8FF6">
      <w:pPr>
        <w:widowControl/>
        <w:autoSpaceDE w:val="0"/>
        <w:autoSpaceDN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政府采购合同继续履行将损害国家利益和社会公共利益的，双方当事人应当变更、中止或者终止合同。有过错的一方应当承担赔偿责任，双方都有过错的，各自承担相应的责任。</w:t>
      </w:r>
    </w:p>
    <w:p w14:paraId="0F6F0D18">
      <w:pPr>
        <w:autoSpaceDE w:val="0"/>
        <w:autoSpaceDN w:val="0"/>
        <w:snapToGrid w:val="0"/>
        <w:spacing w:line="360" w:lineRule="auto"/>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17. 合同分包</w:t>
      </w:r>
    </w:p>
    <w:p w14:paraId="79A35BA0">
      <w:pPr>
        <w:autoSpaceDE w:val="0"/>
        <w:autoSpaceDN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17.1 乙方不得将合同转包给其他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。涉及合同分包的，乙方应根据采购文件和投标（响应）文件规定进行合同分包。</w:t>
      </w:r>
    </w:p>
    <w:p w14:paraId="29462A5F">
      <w:pPr>
        <w:autoSpaceDE w:val="0"/>
        <w:autoSpaceDN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17.2 乙方执行政府采购政策向中小企业依法分包的，乙方应当按采购文件和投标（响应）文件签订分包意向协议，分包意向协议属于本合同组成部分。</w:t>
      </w:r>
    </w:p>
    <w:p w14:paraId="7AB6B522">
      <w:pPr>
        <w:autoSpaceDE w:val="0"/>
        <w:autoSpaceDN w:val="0"/>
        <w:snapToGrid w:val="0"/>
        <w:spacing w:line="360" w:lineRule="auto"/>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18. 不可抗力</w:t>
      </w:r>
    </w:p>
    <w:p w14:paraId="11278A8D">
      <w:pPr>
        <w:autoSpaceDE w:val="0"/>
        <w:autoSpaceDN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18.1 不可抗力是指合同双方不能预见、不能避免且不能克服的客观情况。</w:t>
      </w:r>
    </w:p>
    <w:p w14:paraId="342DD7FB">
      <w:pPr>
        <w:autoSpaceDE w:val="0"/>
        <w:autoSpaceDN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18.2 任何一方对由于不可抗力造成的部分或全部不能履行合同不承担违约责任。但迟延履行后发生不可抗力的，不能免除责任。</w:t>
      </w:r>
    </w:p>
    <w:p w14:paraId="6A9B9AF9">
      <w:pPr>
        <w:autoSpaceDE w:val="0"/>
        <w:autoSpaceDN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5AA260E8">
      <w:pPr>
        <w:autoSpaceDE w:val="0"/>
        <w:autoSpaceDN w:val="0"/>
        <w:snapToGrid w:val="0"/>
        <w:spacing w:line="360" w:lineRule="auto"/>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19. 解决争议的方法</w:t>
      </w:r>
    </w:p>
    <w:p w14:paraId="6FA5CBEA">
      <w:pPr>
        <w:widowControl/>
        <w:autoSpaceDE w:val="0"/>
        <w:autoSpaceDN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09561717">
      <w:pPr>
        <w:widowControl/>
        <w:autoSpaceDE w:val="0"/>
        <w:autoSpaceDN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19.2 选择仲裁的，应在</w:t>
      </w:r>
      <w:r>
        <w:rPr>
          <w:rFonts w:hint="eastAsia" w:ascii="宋体" w:hAnsi="宋体" w:eastAsia="宋体" w:cs="宋体"/>
          <w:b/>
          <w:bCs/>
          <w:color w:val="auto"/>
          <w:kern w:val="0"/>
          <w:sz w:val="21"/>
          <w:szCs w:val="21"/>
          <w:highlight w:val="none"/>
        </w:rPr>
        <w:t>【政府采购合同专用条款】</w:t>
      </w:r>
      <w:r>
        <w:rPr>
          <w:rFonts w:hint="eastAsia" w:ascii="宋体" w:hAnsi="宋体" w:eastAsia="宋体" w:cs="宋体"/>
          <w:color w:val="auto"/>
          <w:kern w:val="0"/>
          <w:sz w:val="21"/>
          <w:szCs w:val="21"/>
          <w:highlight w:val="none"/>
        </w:rPr>
        <w:t>中明确仲裁机构及仲裁地；通过诉讼方式解决的，可以在</w:t>
      </w:r>
      <w:r>
        <w:rPr>
          <w:rFonts w:hint="eastAsia" w:ascii="宋体" w:hAnsi="宋体" w:eastAsia="宋体" w:cs="宋体"/>
          <w:b/>
          <w:bCs/>
          <w:color w:val="auto"/>
          <w:kern w:val="0"/>
          <w:sz w:val="21"/>
          <w:szCs w:val="21"/>
          <w:highlight w:val="none"/>
        </w:rPr>
        <w:t>【政府采购合同专用条款】</w:t>
      </w:r>
      <w:r>
        <w:rPr>
          <w:rFonts w:hint="eastAsia" w:ascii="宋体" w:hAnsi="宋体" w:eastAsia="宋体" w:cs="宋体"/>
          <w:color w:val="auto"/>
          <w:kern w:val="0"/>
          <w:sz w:val="21"/>
          <w:szCs w:val="21"/>
          <w:highlight w:val="none"/>
        </w:rPr>
        <w:t>中进一步约定选择与争议有实际联系的地点的人民法院管辖，但管辖法院的约定不得违反级别管辖和专属管辖的规定。</w:t>
      </w:r>
    </w:p>
    <w:p w14:paraId="35EE20A8">
      <w:pPr>
        <w:widowControl/>
        <w:autoSpaceDE w:val="0"/>
        <w:autoSpaceDN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19.3 如甲乙双方有争议的事项不影响合同其他部分的履行，在争议解决期间，合同其他部分应当继续履行。</w:t>
      </w:r>
    </w:p>
    <w:p w14:paraId="2205CEC7">
      <w:pPr>
        <w:autoSpaceDE w:val="0"/>
        <w:autoSpaceDN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20. 政府采购政策</w:t>
      </w:r>
    </w:p>
    <w:p w14:paraId="790FC8C0">
      <w:pPr>
        <w:autoSpaceDE w:val="0"/>
        <w:autoSpaceDN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20.1 </w:t>
      </w:r>
      <w:r>
        <w:rPr>
          <w:rFonts w:hint="eastAsia" w:ascii="宋体" w:hAnsi="宋体" w:eastAsia="宋体" w:cs="宋体"/>
          <w:color w:val="auto"/>
          <w:sz w:val="21"/>
          <w:szCs w:val="21"/>
          <w:highlight w:val="none"/>
          <w:lang w:val="en-GB"/>
        </w:rPr>
        <w:t>本合同应当按照规定执行政府采购政策。</w:t>
      </w:r>
    </w:p>
    <w:p w14:paraId="60D1F24A">
      <w:pPr>
        <w:autoSpaceDE w:val="0"/>
        <w:autoSpaceDN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20.2 本合同依法执行政府采购政策的方式和内容，属于合同履约验收的范围。甲乙双方</w:t>
      </w:r>
      <w:r>
        <w:rPr>
          <w:rFonts w:hint="eastAsia" w:ascii="宋体" w:hAnsi="宋体" w:eastAsia="宋体" w:cs="宋体"/>
          <w:color w:val="auto"/>
          <w:sz w:val="21"/>
          <w:szCs w:val="21"/>
          <w:highlight w:val="none"/>
          <w:lang w:val="en-GB"/>
        </w:rPr>
        <w:t>未按规定要求执行政府采购政策造成损失的</w:t>
      </w:r>
      <w:r>
        <w:rPr>
          <w:rFonts w:hint="eastAsia" w:ascii="宋体" w:hAnsi="宋体" w:eastAsia="宋体" w:cs="宋体"/>
          <w:color w:val="auto"/>
          <w:sz w:val="21"/>
          <w:szCs w:val="21"/>
          <w:highlight w:val="none"/>
        </w:rPr>
        <w:t>，有过错的一方应当承担赔偿责任，双方都有过错的，各自承担相应的责任。</w:t>
      </w:r>
    </w:p>
    <w:p w14:paraId="72537DED">
      <w:pPr>
        <w:adjustRightIn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7D0A3086">
      <w:pPr>
        <w:autoSpaceDE w:val="0"/>
        <w:autoSpaceDN w:val="0"/>
        <w:snapToGrid w:val="0"/>
        <w:spacing w:line="36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21. 法律适用</w:t>
      </w:r>
    </w:p>
    <w:p w14:paraId="4587E8FF">
      <w:pPr>
        <w:widowControl/>
        <w:autoSpaceDE w:val="0"/>
        <w:autoSpaceDN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21.1 本合同的订立、生效、解释、履行及与本合同有关的争议解决，均适用法律、行政法规。</w:t>
      </w:r>
    </w:p>
    <w:p w14:paraId="35D4E9DC">
      <w:pPr>
        <w:widowControl/>
        <w:autoSpaceDE w:val="0"/>
        <w:autoSpaceDN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21.2 本合同条款与法律、行政法规的强制性规定不一致的，双方当事人应按照法律、行政法规的强制性规定修改本合同的相关条款。</w:t>
      </w:r>
    </w:p>
    <w:p w14:paraId="03EC98E3">
      <w:pPr>
        <w:autoSpaceDE w:val="0"/>
        <w:autoSpaceDN w:val="0"/>
        <w:snapToGrid w:val="0"/>
        <w:spacing w:line="36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22. 通知</w:t>
      </w:r>
    </w:p>
    <w:p w14:paraId="0007D8B9">
      <w:pPr>
        <w:widowControl/>
        <w:autoSpaceDE w:val="0"/>
        <w:autoSpaceDN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22.1 本合同任何一方向对方发出的通知、信件、数据电文等，应当发送至本合同第一部分《政府采购合同协议书》所约定的通讯地址、联系人、联系电话或电子邮箱。</w:t>
      </w:r>
    </w:p>
    <w:p w14:paraId="4359CD06">
      <w:pPr>
        <w:widowControl/>
        <w:autoSpaceDE w:val="0"/>
        <w:autoSpaceDN w:val="0"/>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22.2 一方当事人变更名称、住所、联系人、联系电话或电子邮箱等信息的，应当在变更后3日内及时书面通知对方，对方实际收到变更通知前的送达仍为有效送达。</w:t>
      </w:r>
    </w:p>
    <w:p w14:paraId="4A69508B">
      <w:pPr>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22.3本合同一方给另一方的通知均应采用书面形式，传真或快递送到本合同中规定的对方的地址和办理签收手续。</w:t>
      </w:r>
    </w:p>
    <w:p w14:paraId="729662EA">
      <w:pPr>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22.4通知以送达之日或通知书中规定的生效之日起生效，两者中以较迟之日为准。</w:t>
      </w:r>
    </w:p>
    <w:p w14:paraId="73A07E4A">
      <w:pPr>
        <w:autoSpaceDE w:val="0"/>
        <w:autoSpaceDN w:val="0"/>
        <w:snapToGrid w:val="0"/>
        <w:spacing w:line="36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23. 合同未尽事项</w:t>
      </w:r>
    </w:p>
    <w:p w14:paraId="22759DD5">
      <w:pPr>
        <w:snapToGrid w:val="0"/>
        <w:spacing w:line="36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23.1合同未尽事项见</w:t>
      </w:r>
      <w:r>
        <w:rPr>
          <w:rFonts w:hint="eastAsia" w:ascii="宋体" w:hAnsi="宋体" w:eastAsia="宋体" w:cs="宋体"/>
          <w:b/>
          <w:color w:val="auto"/>
          <w:sz w:val="21"/>
          <w:szCs w:val="21"/>
          <w:highlight w:val="none"/>
        </w:rPr>
        <w:t>【政府采购合同专用条款】</w:t>
      </w:r>
      <w:r>
        <w:rPr>
          <w:rFonts w:hint="eastAsia" w:ascii="宋体" w:hAnsi="宋体" w:eastAsia="宋体" w:cs="宋体"/>
          <w:bCs/>
          <w:color w:val="auto"/>
          <w:sz w:val="21"/>
          <w:szCs w:val="21"/>
          <w:highlight w:val="none"/>
        </w:rPr>
        <w:t>。</w:t>
      </w:r>
    </w:p>
    <w:p w14:paraId="4D9DE3AF">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 xml:space="preserve">    23.2 合同附件与合同正文具有同等的法律效力。</w:t>
      </w:r>
      <w:bookmarkStart w:id="422" w:name="_Toc20313"/>
      <w:r>
        <w:rPr>
          <w:rFonts w:hint="eastAsia" w:ascii="宋体" w:hAnsi="宋体" w:eastAsia="宋体" w:cs="宋体"/>
          <w:color w:val="auto"/>
          <w:sz w:val="21"/>
          <w:szCs w:val="21"/>
          <w:highlight w:val="none"/>
        </w:rPr>
        <w:br w:type="page"/>
      </w:r>
    </w:p>
    <w:p w14:paraId="13EE0F7F">
      <w:pPr>
        <w:keepNext/>
        <w:keepLines/>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第三节 政府采购合同专用条款</w:t>
      </w:r>
      <w:bookmarkEnd w:id="422"/>
    </w:p>
    <w:tbl>
      <w:tblPr>
        <w:tblStyle w:val="64"/>
        <w:tblW w:w="8520"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1"/>
      </w:tblGrid>
      <w:tr w14:paraId="40CA3B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double" w:color="auto" w:sz="4" w:space="0"/>
              <w:left w:val="double" w:color="auto" w:sz="4" w:space="0"/>
              <w:bottom w:val="single" w:color="auto" w:sz="6" w:space="0"/>
              <w:right w:val="single" w:color="auto" w:sz="6" w:space="0"/>
            </w:tcBorders>
            <w:vAlign w:val="center"/>
          </w:tcPr>
          <w:p w14:paraId="6FED1A71">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24712B8A">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第1.2（6）项</w:t>
            </w:r>
          </w:p>
        </w:tc>
        <w:tc>
          <w:tcPr>
            <w:tcW w:w="1742" w:type="dxa"/>
            <w:tcBorders>
              <w:top w:val="double" w:color="auto" w:sz="4" w:space="0"/>
              <w:left w:val="single" w:color="auto" w:sz="6" w:space="0"/>
              <w:bottom w:val="single" w:color="auto" w:sz="6" w:space="0"/>
              <w:right w:val="single" w:color="auto" w:sz="6" w:space="0"/>
            </w:tcBorders>
            <w:vAlign w:val="center"/>
          </w:tcPr>
          <w:p w14:paraId="7F13039E">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联合体具体要求</w:t>
            </w:r>
          </w:p>
        </w:tc>
        <w:tc>
          <w:tcPr>
            <w:tcW w:w="5171" w:type="dxa"/>
            <w:tcBorders>
              <w:top w:val="double" w:color="auto" w:sz="4" w:space="0"/>
              <w:left w:val="single" w:color="auto" w:sz="6" w:space="0"/>
              <w:bottom w:val="single" w:color="auto" w:sz="6" w:space="0"/>
              <w:right w:val="double" w:color="auto" w:sz="4" w:space="0"/>
            </w:tcBorders>
            <w:vAlign w:val="center"/>
          </w:tcPr>
          <w:p w14:paraId="50A18916">
            <w:pPr>
              <w:snapToGrid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无</w:t>
            </w:r>
          </w:p>
        </w:tc>
      </w:tr>
      <w:tr w14:paraId="32F928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tcBorders>
              <w:top w:val="single" w:color="auto" w:sz="6" w:space="0"/>
              <w:left w:val="double" w:color="auto" w:sz="4" w:space="0"/>
              <w:bottom w:val="single" w:color="auto" w:sz="6" w:space="0"/>
              <w:right w:val="single" w:color="auto" w:sz="6" w:space="0"/>
            </w:tcBorders>
            <w:vAlign w:val="center"/>
          </w:tcPr>
          <w:p w14:paraId="177F29F6">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1511833E">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第1.2（7）项</w:t>
            </w:r>
          </w:p>
        </w:tc>
        <w:tc>
          <w:tcPr>
            <w:tcW w:w="1742" w:type="dxa"/>
            <w:tcBorders>
              <w:top w:val="single" w:color="auto" w:sz="6" w:space="0"/>
              <w:left w:val="single" w:color="auto" w:sz="6" w:space="0"/>
              <w:bottom w:val="single" w:color="auto" w:sz="6" w:space="0"/>
              <w:right w:val="single" w:color="auto" w:sz="6" w:space="0"/>
            </w:tcBorders>
            <w:vAlign w:val="center"/>
          </w:tcPr>
          <w:p w14:paraId="77400674">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其他术语解释</w:t>
            </w:r>
          </w:p>
        </w:tc>
        <w:tc>
          <w:tcPr>
            <w:tcW w:w="5171" w:type="dxa"/>
            <w:tcBorders>
              <w:top w:val="single" w:color="auto" w:sz="6" w:space="0"/>
              <w:left w:val="single" w:color="auto" w:sz="6" w:space="0"/>
              <w:bottom w:val="single" w:color="auto" w:sz="6" w:space="0"/>
              <w:right w:val="double" w:color="auto" w:sz="4" w:space="0"/>
            </w:tcBorders>
            <w:vAlign w:val="center"/>
          </w:tcPr>
          <w:p w14:paraId="3EA60999">
            <w:pPr>
              <w:snapToGrid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无</w:t>
            </w:r>
          </w:p>
        </w:tc>
      </w:tr>
      <w:tr w14:paraId="19E066B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54FE5C8E">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21EB2B89">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第4.4款</w:t>
            </w:r>
          </w:p>
        </w:tc>
        <w:tc>
          <w:tcPr>
            <w:tcW w:w="1742" w:type="dxa"/>
            <w:tcBorders>
              <w:top w:val="single" w:color="auto" w:sz="6" w:space="0"/>
              <w:left w:val="single" w:color="auto" w:sz="6" w:space="0"/>
              <w:bottom w:val="single" w:color="auto" w:sz="6" w:space="0"/>
              <w:right w:val="single" w:color="auto" w:sz="6" w:space="0"/>
            </w:tcBorders>
            <w:vAlign w:val="center"/>
          </w:tcPr>
          <w:p w14:paraId="65F2A082">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履约验收中甲方提出异议或作出说明的期限</w:t>
            </w:r>
          </w:p>
        </w:tc>
        <w:tc>
          <w:tcPr>
            <w:tcW w:w="5171" w:type="dxa"/>
            <w:tcBorders>
              <w:top w:val="single" w:color="auto" w:sz="6" w:space="0"/>
              <w:left w:val="single" w:color="auto" w:sz="6" w:space="0"/>
              <w:bottom w:val="single" w:color="auto" w:sz="6" w:space="0"/>
              <w:right w:val="double" w:color="auto" w:sz="4" w:space="0"/>
            </w:tcBorders>
            <w:vAlign w:val="center"/>
          </w:tcPr>
          <w:p w14:paraId="1390803B">
            <w:pPr>
              <w:snapToGrid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自知道或应当知道之日起5个工作日内</w:t>
            </w:r>
          </w:p>
        </w:tc>
      </w:tr>
      <w:tr w14:paraId="2390909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4E1B1572">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4B0105DF">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第4.6款</w:t>
            </w:r>
          </w:p>
        </w:tc>
        <w:tc>
          <w:tcPr>
            <w:tcW w:w="1742" w:type="dxa"/>
            <w:tcBorders>
              <w:top w:val="single" w:color="auto" w:sz="6" w:space="0"/>
              <w:left w:val="single" w:color="auto" w:sz="6" w:space="0"/>
              <w:bottom w:val="single" w:color="auto" w:sz="6" w:space="0"/>
              <w:right w:val="single" w:color="auto" w:sz="6" w:space="0"/>
            </w:tcBorders>
            <w:vAlign w:val="center"/>
          </w:tcPr>
          <w:p w14:paraId="5AAE2292">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约定甲方承担的其他义务和责任</w:t>
            </w:r>
          </w:p>
        </w:tc>
        <w:tc>
          <w:tcPr>
            <w:tcW w:w="5171" w:type="dxa"/>
            <w:tcBorders>
              <w:top w:val="single" w:color="auto" w:sz="6" w:space="0"/>
              <w:left w:val="single" w:color="auto" w:sz="6" w:space="0"/>
              <w:bottom w:val="single" w:color="auto" w:sz="6" w:space="0"/>
              <w:right w:val="double" w:color="auto" w:sz="4" w:space="0"/>
            </w:tcBorders>
            <w:vAlign w:val="center"/>
          </w:tcPr>
          <w:p w14:paraId="07E47A4A">
            <w:pPr>
              <w:snapToGrid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无</w:t>
            </w:r>
          </w:p>
        </w:tc>
      </w:tr>
      <w:tr w14:paraId="005E0A4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5761E84D">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43BFA891">
            <w:pPr>
              <w:adjustRightInd/>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第5.4款</w:t>
            </w:r>
          </w:p>
        </w:tc>
        <w:tc>
          <w:tcPr>
            <w:tcW w:w="1742" w:type="dxa"/>
            <w:tcBorders>
              <w:top w:val="single" w:color="auto" w:sz="6" w:space="0"/>
              <w:left w:val="single" w:color="auto" w:sz="6" w:space="0"/>
              <w:bottom w:val="single" w:color="auto" w:sz="6" w:space="0"/>
              <w:right w:val="single" w:color="auto" w:sz="6" w:space="0"/>
            </w:tcBorders>
            <w:vAlign w:val="center"/>
          </w:tcPr>
          <w:p w14:paraId="4B9D4B1E">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约定乙方承担的其他义务和责任</w:t>
            </w:r>
          </w:p>
        </w:tc>
        <w:tc>
          <w:tcPr>
            <w:tcW w:w="5171" w:type="dxa"/>
            <w:tcBorders>
              <w:top w:val="single" w:color="auto" w:sz="6" w:space="0"/>
              <w:left w:val="single" w:color="auto" w:sz="6" w:space="0"/>
              <w:bottom w:val="single" w:color="auto" w:sz="6" w:space="0"/>
              <w:right w:val="double" w:color="auto" w:sz="4" w:space="0"/>
            </w:tcBorders>
            <w:shd w:val="clear" w:color="auto" w:fill="auto"/>
            <w:vAlign w:val="center"/>
          </w:tcPr>
          <w:p w14:paraId="7AAD3145">
            <w:pPr>
              <w:snapToGrid w:val="0"/>
              <w:spacing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乙方应将所提供货物的装箱清单、用户手册、原厂保修卡、随机资料、工具和备品、备件等交付给甲方，如有缺失应及时补齐，否则视为逾期交货。</w:t>
            </w:r>
          </w:p>
        </w:tc>
      </w:tr>
      <w:tr w14:paraId="6B5D1FD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06FC328B">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52E098AE">
            <w:pPr>
              <w:adjustRightInd/>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第6.1款</w:t>
            </w:r>
          </w:p>
        </w:tc>
        <w:tc>
          <w:tcPr>
            <w:tcW w:w="1742" w:type="dxa"/>
            <w:tcBorders>
              <w:top w:val="single" w:color="auto" w:sz="6" w:space="0"/>
              <w:left w:val="single" w:color="auto" w:sz="6" w:space="0"/>
              <w:bottom w:val="single" w:color="auto" w:sz="6" w:space="0"/>
              <w:right w:val="single" w:color="auto" w:sz="6" w:space="0"/>
            </w:tcBorders>
            <w:vAlign w:val="center"/>
          </w:tcPr>
          <w:p w14:paraId="13A6BF7B">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履行合同义务的顺序</w:t>
            </w:r>
          </w:p>
        </w:tc>
        <w:tc>
          <w:tcPr>
            <w:tcW w:w="5171" w:type="dxa"/>
            <w:tcBorders>
              <w:top w:val="single" w:color="auto" w:sz="6" w:space="0"/>
              <w:left w:val="single" w:color="auto" w:sz="6" w:space="0"/>
              <w:bottom w:val="single" w:color="auto" w:sz="6" w:space="0"/>
              <w:right w:val="double" w:color="auto" w:sz="4" w:space="0"/>
            </w:tcBorders>
            <w:vAlign w:val="center"/>
          </w:tcPr>
          <w:p w14:paraId="5F77F00C">
            <w:pPr>
              <w:snapToGrid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甲方先履行</w:t>
            </w:r>
          </w:p>
        </w:tc>
      </w:tr>
      <w:tr w14:paraId="237E9A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tcBorders>
              <w:top w:val="single" w:color="auto" w:sz="6" w:space="0"/>
              <w:left w:val="double" w:color="auto" w:sz="4" w:space="0"/>
              <w:bottom w:val="single" w:color="auto" w:sz="6" w:space="0"/>
              <w:right w:val="single" w:color="auto" w:sz="6" w:space="0"/>
            </w:tcBorders>
            <w:vAlign w:val="center"/>
          </w:tcPr>
          <w:p w14:paraId="3945BD46">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4FC123A6">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第7.1款</w:t>
            </w:r>
          </w:p>
        </w:tc>
        <w:tc>
          <w:tcPr>
            <w:tcW w:w="1742" w:type="dxa"/>
            <w:tcBorders>
              <w:top w:val="single" w:color="auto" w:sz="6" w:space="0"/>
              <w:left w:val="single" w:color="auto" w:sz="6" w:space="0"/>
              <w:bottom w:val="single" w:color="auto" w:sz="6" w:space="0"/>
              <w:right w:val="single" w:color="auto" w:sz="6" w:space="0"/>
            </w:tcBorders>
            <w:vAlign w:val="center"/>
          </w:tcPr>
          <w:p w14:paraId="3C61EC1F">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包装特殊要求</w:t>
            </w:r>
          </w:p>
        </w:tc>
        <w:tc>
          <w:tcPr>
            <w:tcW w:w="5171" w:type="dxa"/>
            <w:tcBorders>
              <w:top w:val="single" w:color="auto" w:sz="6" w:space="0"/>
              <w:left w:val="single" w:color="auto" w:sz="6" w:space="0"/>
              <w:bottom w:val="single" w:color="auto" w:sz="6" w:space="0"/>
              <w:right w:val="double" w:color="auto" w:sz="4" w:space="0"/>
            </w:tcBorders>
            <w:vAlign w:val="center"/>
          </w:tcPr>
          <w:p w14:paraId="4D1C3DDE">
            <w:pPr>
              <w:adjustRightInd/>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无</w:t>
            </w:r>
          </w:p>
        </w:tc>
      </w:tr>
      <w:tr w14:paraId="70CD694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tcBorders>
              <w:top w:val="single" w:color="auto" w:sz="6" w:space="0"/>
              <w:left w:val="double" w:color="auto" w:sz="4" w:space="0"/>
              <w:bottom w:val="single" w:color="auto" w:sz="6" w:space="0"/>
              <w:right w:val="single" w:color="auto" w:sz="6" w:space="0"/>
            </w:tcBorders>
            <w:vAlign w:val="center"/>
          </w:tcPr>
          <w:p w14:paraId="131FBC40">
            <w:pPr>
              <w:widowControl/>
              <w:adjustRightInd/>
              <w:spacing w:line="360" w:lineRule="auto"/>
              <w:jc w:val="left"/>
              <w:rPr>
                <w:rFonts w:hint="eastAsia" w:ascii="宋体" w:hAnsi="宋体" w:eastAsia="宋体" w:cs="宋体"/>
                <w:color w:val="auto"/>
                <w:sz w:val="21"/>
                <w:szCs w:val="21"/>
                <w:highlight w:val="none"/>
              </w:rPr>
            </w:pPr>
          </w:p>
        </w:tc>
        <w:tc>
          <w:tcPr>
            <w:tcW w:w="1742" w:type="dxa"/>
            <w:tcBorders>
              <w:top w:val="single" w:color="auto" w:sz="6" w:space="0"/>
              <w:left w:val="single" w:color="auto" w:sz="6" w:space="0"/>
              <w:bottom w:val="single" w:color="auto" w:sz="6" w:space="0"/>
              <w:right w:val="single" w:color="auto" w:sz="6" w:space="0"/>
            </w:tcBorders>
            <w:vAlign w:val="center"/>
          </w:tcPr>
          <w:p w14:paraId="0DA8EE0B">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指定现场</w:t>
            </w:r>
          </w:p>
        </w:tc>
        <w:tc>
          <w:tcPr>
            <w:tcW w:w="5171" w:type="dxa"/>
            <w:tcBorders>
              <w:top w:val="single" w:color="auto" w:sz="6" w:space="0"/>
              <w:left w:val="single" w:color="auto" w:sz="6" w:space="0"/>
              <w:bottom w:val="single" w:color="auto" w:sz="6" w:space="0"/>
              <w:right w:val="double" w:color="auto" w:sz="4" w:space="0"/>
            </w:tcBorders>
            <w:vAlign w:val="center"/>
          </w:tcPr>
          <w:p w14:paraId="30EB6A51">
            <w:pPr>
              <w:adjustRightInd/>
              <w:spacing w:line="360" w:lineRule="auto"/>
              <w:rPr>
                <w:rFonts w:hint="eastAsia" w:ascii="宋体" w:hAnsi="宋体" w:eastAsia="宋体" w:cs="宋体"/>
                <w:color w:val="auto"/>
                <w:sz w:val="21"/>
                <w:szCs w:val="21"/>
                <w:highlight w:val="none"/>
                <w:lang w:val="en-US" w:eastAsia="zh-CN"/>
              </w:rPr>
            </w:pPr>
          </w:p>
        </w:tc>
      </w:tr>
      <w:tr w14:paraId="4AA265F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tcBorders>
              <w:top w:val="single" w:color="auto" w:sz="6" w:space="0"/>
              <w:left w:val="double" w:color="auto" w:sz="4" w:space="0"/>
              <w:bottom w:val="single" w:color="auto" w:sz="6" w:space="0"/>
              <w:right w:val="single" w:color="auto" w:sz="6" w:space="0"/>
            </w:tcBorders>
            <w:vAlign w:val="center"/>
          </w:tcPr>
          <w:p w14:paraId="5C0BAD39">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3F554AC8">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第7.2款</w:t>
            </w:r>
          </w:p>
        </w:tc>
        <w:tc>
          <w:tcPr>
            <w:tcW w:w="1742" w:type="dxa"/>
            <w:tcBorders>
              <w:top w:val="single" w:color="auto" w:sz="6" w:space="0"/>
              <w:left w:val="single" w:color="auto" w:sz="6" w:space="0"/>
              <w:bottom w:val="single" w:color="auto" w:sz="6" w:space="0"/>
              <w:right w:val="single" w:color="auto" w:sz="6" w:space="0"/>
            </w:tcBorders>
            <w:vAlign w:val="center"/>
          </w:tcPr>
          <w:p w14:paraId="18A66E69">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运输特殊要求</w:t>
            </w:r>
          </w:p>
        </w:tc>
        <w:tc>
          <w:tcPr>
            <w:tcW w:w="5171" w:type="dxa"/>
            <w:tcBorders>
              <w:top w:val="single" w:color="auto" w:sz="6" w:space="0"/>
              <w:left w:val="single" w:color="auto" w:sz="6" w:space="0"/>
              <w:bottom w:val="single" w:color="auto" w:sz="6" w:space="0"/>
              <w:right w:val="double" w:color="auto" w:sz="4" w:space="0"/>
            </w:tcBorders>
            <w:vAlign w:val="center"/>
          </w:tcPr>
          <w:p w14:paraId="393F2275">
            <w:pPr>
              <w:adjustRightInd/>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无</w:t>
            </w:r>
          </w:p>
        </w:tc>
      </w:tr>
      <w:tr w14:paraId="07A412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tcBorders>
              <w:top w:val="single" w:color="auto" w:sz="6" w:space="0"/>
              <w:left w:val="double" w:color="auto" w:sz="4" w:space="0"/>
              <w:bottom w:val="single" w:color="auto" w:sz="6" w:space="0"/>
              <w:right w:val="single" w:color="auto" w:sz="6" w:space="0"/>
            </w:tcBorders>
            <w:vAlign w:val="center"/>
          </w:tcPr>
          <w:p w14:paraId="24090EBE">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5D48D50B">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第7.3款</w:t>
            </w:r>
          </w:p>
        </w:tc>
        <w:tc>
          <w:tcPr>
            <w:tcW w:w="1742" w:type="dxa"/>
            <w:tcBorders>
              <w:top w:val="single" w:color="auto" w:sz="6" w:space="0"/>
              <w:left w:val="single" w:color="auto" w:sz="6" w:space="0"/>
              <w:bottom w:val="single" w:color="auto" w:sz="6" w:space="0"/>
              <w:right w:val="single" w:color="auto" w:sz="6" w:space="0"/>
            </w:tcBorders>
            <w:vAlign w:val="center"/>
          </w:tcPr>
          <w:p w14:paraId="1C3CD863">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保险要求</w:t>
            </w:r>
          </w:p>
        </w:tc>
        <w:tc>
          <w:tcPr>
            <w:tcW w:w="5171" w:type="dxa"/>
            <w:tcBorders>
              <w:top w:val="single" w:color="auto" w:sz="6" w:space="0"/>
              <w:left w:val="single" w:color="auto" w:sz="6" w:space="0"/>
              <w:bottom w:val="single" w:color="auto" w:sz="6" w:space="0"/>
              <w:right w:val="double" w:color="auto" w:sz="4" w:space="0"/>
            </w:tcBorders>
            <w:vAlign w:val="center"/>
          </w:tcPr>
          <w:p w14:paraId="2081138C">
            <w:pPr>
              <w:adjustRightInd/>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无</w:t>
            </w:r>
          </w:p>
        </w:tc>
      </w:tr>
      <w:tr w14:paraId="53341E4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221E83D5">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3A1B7440">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第8.2（1）项</w:t>
            </w:r>
          </w:p>
        </w:tc>
        <w:tc>
          <w:tcPr>
            <w:tcW w:w="1742" w:type="dxa"/>
            <w:tcBorders>
              <w:top w:val="single" w:color="auto" w:sz="6" w:space="0"/>
              <w:left w:val="single" w:color="auto" w:sz="6" w:space="0"/>
              <w:bottom w:val="single" w:color="auto" w:sz="6" w:space="0"/>
              <w:right w:val="single" w:color="auto" w:sz="6" w:space="0"/>
            </w:tcBorders>
            <w:vAlign w:val="center"/>
          </w:tcPr>
          <w:p w14:paraId="73A80DBC">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质量保证期</w:t>
            </w:r>
          </w:p>
        </w:tc>
        <w:tc>
          <w:tcPr>
            <w:tcW w:w="5171" w:type="dxa"/>
            <w:tcBorders>
              <w:top w:val="single" w:color="auto" w:sz="6" w:space="0"/>
              <w:left w:val="single" w:color="auto" w:sz="6" w:space="0"/>
              <w:bottom w:val="single" w:color="auto" w:sz="6" w:space="0"/>
              <w:right w:val="double" w:color="auto" w:sz="4" w:space="0"/>
            </w:tcBorders>
            <w:vAlign w:val="center"/>
          </w:tcPr>
          <w:p w14:paraId="7B451470">
            <w:pPr>
              <w:autoSpaceDE w:val="0"/>
              <w:autoSpaceDN w:val="0"/>
              <w:snapToGrid w:val="0"/>
              <w:spacing w:line="360" w:lineRule="auto"/>
              <w:ind w:firstLine="420" w:firstLineChars="200"/>
              <w:jc w:val="left"/>
              <w:rPr>
                <w:rFonts w:hint="eastAsia" w:ascii="宋体" w:hAnsi="宋体" w:eastAsia="宋体" w:cs="宋体"/>
                <w:color w:val="auto"/>
                <w:sz w:val="21"/>
                <w:szCs w:val="21"/>
                <w:highlight w:val="none"/>
              </w:rPr>
            </w:pPr>
          </w:p>
        </w:tc>
      </w:tr>
      <w:tr w14:paraId="06EEEB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6F46D913">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43EE6F44">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第8.2（3）项</w:t>
            </w:r>
          </w:p>
        </w:tc>
        <w:tc>
          <w:tcPr>
            <w:tcW w:w="1742" w:type="dxa"/>
            <w:tcBorders>
              <w:top w:val="single" w:color="auto" w:sz="6" w:space="0"/>
              <w:left w:val="single" w:color="auto" w:sz="6" w:space="0"/>
              <w:bottom w:val="single" w:color="auto" w:sz="6" w:space="0"/>
              <w:right w:val="single" w:color="auto" w:sz="6" w:space="0"/>
            </w:tcBorders>
            <w:vAlign w:val="center"/>
          </w:tcPr>
          <w:p w14:paraId="3BD71011">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货物质量缺陷</w:t>
            </w:r>
          </w:p>
          <w:p w14:paraId="457B360F">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响应时间</w:t>
            </w:r>
          </w:p>
        </w:tc>
        <w:tc>
          <w:tcPr>
            <w:tcW w:w="5171" w:type="dxa"/>
            <w:tcBorders>
              <w:top w:val="single" w:color="auto" w:sz="6" w:space="0"/>
              <w:left w:val="single" w:color="auto" w:sz="6" w:space="0"/>
              <w:bottom w:val="single" w:color="auto" w:sz="6" w:space="0"/>
              <w:right w:val="double" w:color="auto" w:sz="4" w:space="0"/>
            </w:tcBorders>
            <w:vAlign w:val="center"/>
          </w:tcPr>
          <w:p w14:paraId="1F2FB237">
            <w:pPr>
              <w:snapToGrid w:val="0"/>
              <w:spacing w:line="360" w:lineRule="auto"/>
              <w:jc w:val="left"/>
              <w:rPr>
                <w:rFonts w:hint="eastAsia" w:ascii="宋体" w:hAnsi="宋体" w:eastAsia="宋体" w:cs="宋体"/>
                <w:color w:val="auto"/>
                <w:sz w:val="21"/>
                <w:szCs w:val="21"/>
                <w:highlight w:val="none"/>
              </w:rPr>
            </w:pPr>
          </w:p>
        </w:tc>
      </w:tr>
      <w:tr w14:paraId="6D586A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6144D499">
            <w:pPr>
              <w:adjustRightInd/>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169C307E">
            <w:pPr>
              <w:widowControl/>
              <w:autoSpaceDE w:val="0"/>
              <w:autoSpaceDN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第11.1款</w:t>
            </w:r>
          </w:p>
        </w:tc>
        <w:tc>
          <w:tcPr>
            <w:tcW w:w="1742" w:type="dxa"/>
            <w:tcBorders>
              <w:top w:val="single" w:color="auto" w:sz="6" w:space="0"/>
              <w:left w:val="single" w:color="auto" w:sz="6" w:space="0"/>
              <w:bottom w:val="single" w:color="auto" w:sz="6" w:space="0"/>
              <w:right w:val="single" w:color="auto" w:sz="6" w:space="0"/>
            </w:tcBorders>
            <w:vAlign w:val="center"/>
          </w:tcPr>
          <w:p w14:paraId="1F259513">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其他应当保密的信息</w:t>
            </w:r>
          </w:p>
        </w:tc>
        <w:tc>
          <w:tcPr>
            <w:tcW w:w="5171" w:type="dxa"/>
            <w:tcBorders>
              <w:top w:val="single" w:color="auto" w:sz="6" w:space="0"/>
              <w:left w:val="single" w:color="auto" w:sz="6" w:space="0"/>
              <w:bottom w:val="single" w:color="auto" w:sz="6" w:space="0"/>
              <w:right w:val="double" w:color="auto" w:sz="4" w:space="0"/>
            </w:tcBorders>
            <w:vAlign w:val="center"/>
          </w:tcPr>
          <w:p w14:paraId="4F0FCFB1">
            <w:pPr>
              <w:snapToGrid w:val="0"/>
              <w:spacing w:line="360" w:lineRule="auto"/>
              <w:jc w:val="left"/>
              <w:rPr>
                <w:rFonts w:hint="eastAsia" w:ascii="宋体" w:hAnsi="宋体" w:eastAsia="宋体" w:cs="宋体"/>
                <w:color w:val="auto"/>
                <w:sz w:val="21"/>
                <w:szCs w:val="21"/>
                <w:highlight w:val="none"/>
              </w:rPr>
            </w:pPr>
          </w:p>
        </w:tc>
      </w:tr>
      <w:tr w14:paraId="01DB6F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tcBorders>
              <w:top w:val="single" w:color="auto" w:sz="6" w:space="0"/>
              <w:left w:val="double" w:color="auto" w:sz="4" w:space="0"/>
              <w:bottom w:val="single" w:color="auto" w:sz="6" w:space="0"/>
              <w:right w:val="single" w:color="auto" w:sz="6" w:space="0"/>
            </w:tcBorders>
            <w:vAlign w:val="center"/>
          </w:tcPr>
          <w:p w14:paraId="202CD5F9">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3924BD27">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第12.2款</w:t>
            </w:r>
          </w:p>
        </w:tc>
        <w:tc>
          <w:tcPr>
            <w:tcW w:w="1742" w:type="dxa"/>
            <w:tcBorders>
              <w:top w:val="single" w:color="auto" w:sz="6" w:space="0"/>
              <w:left w:val="single" w:color="auto" w:sz="6" w:space="0"/>
              <w:bottom w:val="single" w:color="auto" w:sz="6" w:space="0"/>
              <w:right w:val="single" w:color="auto" w:sz="6" w:space="0"/>
            </w:tcBorders>
            <w:vAlign w:val="center"/>
          </w:tcPr>
          <w:p w14:paraId="7021A1BC">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合同价款支付时间</w:t>
            </w:r>
          </w:p>
        </w:tc>
        <w:tc>
          <w:tcPr>
            <w:tcW w:w="5171" w:type="dxa"/>
            <w:tcBorders>
              <w:top w:val="single" w:color="auto" w:sz="6" w:space="0"/>
              <w:left w:val="single" w:color="auto" w:sz="6" w:space="0"/>
              <w:bottom w:val="single" w:color="auto" w:sz="6" w:space="0"/>
              <w:right w:val="double" w:color="auto" w:sz="4" w:space="0"/>
            </w:tcBorders>
            <w:vAlign w:val="center"/>
          </w:tcPr>
          <w:p w14:paraId="541A2D2F">
            <w:pPr>
              <w:snapToGrid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按协议书约定</w:t>
            </w:r>
          </w:p>
        </w:tc>
      </w:tr>
      <w:tr w14:paraId="5E713F3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tcBorders>
              <w:top w:val="single" w:color="auto" w:sz="6" w:space="0"/>
              <w:left w:val="double" w:color="auto" w:sz="4" w:space="0"/>
              <w:bottom w:val="single" w:color="auto" w:sz="6" w:space="0"/>
              <w:right w:val="single" w:color="auto" w:sz="6" w:space="0"/>
            </w:tcBorders>
            <w:vAlign w:val="center"/>
          </w:tcPr>
          <w:p w14:paraId="51D4A16A">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689F00FD">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第13.2款</w:t>
            </w:r>
          </w:p>
        </w:tc>
        <w:tc>
          <w:tcPr>
            <w:tcW w:w="1742" w:type="dxa"/>
            <w:tcBorders>
              <w:top w:val="single" w:color="auto" w:sz="6" w:space="0"/>
              <w:left w:val="single" w:color="auto" w:sz="6" w:space="0"/>
              <w:bottom w:val="single" w:color="auto" w:sz="6" w:space="0"/>
              <w:right w:val="single" w:color="auto" w:sz="6" w:space="0"/>
            </w:tcBorders>
            <w:vAlign w:val="center"/>
          </w:tcPr>
          <w:p w14:paraId="34181648">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履约保证金不予退还的情形</w:t>
            </w:r>
          </w:p>
        </w:tc>
        <w:tc>
          <w:tcPr>
            <w:tcW w:w="5171" w:type="dxa"/>
            <w:tcBorders>
              <w:top w:val="single" w:color="auto" w:sz="6" w:space="0"/>
              <w:left w:val="single" w:color="auto" w:sz="6" w:space="0"/>
              <w:bottom w:val="single" w:color="auto" w:sz="6" w:space="0"/>
              <w:right w:val="double" w:color="auto" w:sz="4" w:space="0"/>
            </w:tcBorders>
            <w:vAlign w:val="center"/>
          </w:tcPr>
          <w:p w14:paraId="7FF10BFC">
            <w:pPr>
              <w:snapToGrid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r>
      <w:tr w14:paraId="2A036A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58E82C93">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7AAD543B">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第13.3款</w:t>
            </w:r>
          </w:p>
        </w:tc>
        <w:tc>
          <w:tcPr>
            <w:tcW w:w="1742" w:type="dxa"/>
            <w:tcBorders>
              <w:top w:val="single" w:color="auto" w:sz="6" w:space="0"/>
              <w:left w:val="single" w:color="auto" w:sz="6" w:space="0"/>
              <w:bottom w:val="single" w:color="auto" w:sz="6" w:space="0"/>
              <w:right w:val="single" w:color="auto" w:sz="6" w:space="0"/>
            </w:tcBorders>
            <w:vAlign w:val="center"/>
          </w:tcPr>
          <w:p w14:paraId="0969A267">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履约保证金退还时间及逾期退还的违约金</w:t>
            </w:r>
          </w:p>
        </w:tc>
        <w:tc>
          <w:tcPr>
            <w:tcW w:w="5171" w:type="dxa"/>
            <w:tcBorders>
              <w:top w:val="single" w:color="auto" w:sz="6" w:space="0"/>
              <w:left w:val="single" w:color="auto" w:sz="6" w:space="0"/>
              <w:bottom w:val="single" w:color="auto" w:sz="6" w:space="0"/>
              <w:right w:val="double" w:color="auto" w:sz="4" w:space="0"/>
            </w:tcBorders>
            <w:vAlign w:val="center"/>
          </w:tcPr>
          <w:p w14:paraId="47D7DD62">
            <w:pPr>
              <w:snapToGrid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r>
      <w:tr w14:paraId="6EDF07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tcBorders>
              <w:top w:val="single" w:color="auto" w:sz="6" w:space="0"/>
              <w:left w:val="double" w:color="auto" w:sz="4" w:space="0"/>
              <w:bottom w:val="single" w:color="auto" w:sz="6" w:space="0"/>
              <w:right w:val="single" w:color="auto" w:sz="6" w:space="0"/>
            </w:tcBorders>
            <w:vAlign w:val="center"/>
          </w:tcPr>
          <w:p w14:paraId="5413573D">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12D1E6F6">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第14.1（3）项</w:t>
            </w:r>
          </w:p>
        </w:tc>
        <w:tc>
          <w:tcPr>
            <w:tcW w:w="1742" w:type="dxa"/>
            <w:tcBorders>
              <w:top w:val="single" w:color="auto" w:sz="6" w:space="0"/>
              <w:left w:val="single" w:color="auto" w:sz="6" w:space="0"/>
              <w:bottom w:val="single" w:color="auto" w:sz="6" w:space="0"/>
              <w:right w:val="single" w:color="auto" w:sz="6" w:space="0"/>
            </w:tcBorders>
            <w:vAlign w:val="center"/>
          </w:tcPr>
          <w:p w14:paraId="43E83122">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运行监督、维修期限</w:t>
            </w:r>
          </w:p>
        </w:tc>
        <w:tc>
          <w:tcPr>
            <w:tcW w:w="5171" w:type="dxa"/>
            <w:tcBorders>
              <w:top w:val="single" w:color="auto" w:sz="6" w:space="0"/>
              <w:left w:val="single" w:color="auto" w:sz="6" w:space="0"/>
              <w:bottom w:val="single" w:color="auto" w:sz="6" w:space="0"/>
              <w:right w:val="double" w:color="auto" w:sz="4" w:space="0"/>
            </w:tcBorders>
            <w:vAlign w:val="center"/>
          </w:tcPr>
          <w:p w14:paraId="3B56988E">
            <w:pPr>
              <w:snapToGrid w:val="0"/>
              <w:spacing w:line="360" w:lineRule="auto"/>
              <w:jc w:val="left"/>
              <w:rPr>
                <w:rFonts w:hint="eastAsia" w:ascii="宋体" w:hAnsi="宋体" w:eastAsia="宋体" w:cs="宋体"/>
                <w:color w:val="auto"/>
                <w:sz w:val="21"/>
                <w:szCs w:val="21"/>
                <w:highlight w:val="none"/>
              </w:rPr>
            </w:pPr>
          </w:p>
        </w:tc>
      </w:tr>
      <w:tr w14:paraId="26C9D6D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tcBorders>
              <w:top w:val="single" w:color="auto" w:sz="6" w:space="0"/>
              <w:left w:val="double" w:color="auto" w:sz="4" w:space="0"/>
              <w:bottom w:val="single" w:color="auto" w:sz="6" w:space="0"/>
              <w:right w:val="single" w:color="auto" w:sz="6" w:space="0"/>
            </w:tcBorders>
            <w:vAlign w:val="center"/>
          </w:tcPr>
          <w:p w14:paraId="6D78D0AE">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45B9DA8C">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第14.1（5）项</w:t>
            </w:r>
          </w:p>
        </w:tc>
        <w:tc>
          <w:tcPr>
            <w:tcW w:w="1742" w:type="dxa"/>
            <w:tcBorders>
              <w:top w:val="single" w:color="auto" w:sz="6" w:space="0"/>
              <w:left w:val="single" w:color="auto" w:sz="6" w:space="0"/>
              <w:bottom w:val="single" w:color="auto" w:sz="6" w:space="0"/>
              <w:right w:val="single" w:color="auto" w:sz="6" w:space="0"/>
            </w:tcBorders>
            <w:vAlign w:val="center"/>
          </w:tcPr>
          <w:p w14:paraId="4BCEBAB7">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货物回收的约定</w:t>
            </w:r>
          </w:p>
        </w:tc>
        <w:tc>
          <w:tcPr>
            <w:tcW w:w="5171" w:type="dxa"/>
            <w:tcBorders>
              <w:top w:val="single" w:color="auto" w:sz="6" w:space="0"/>
              <w:left w:val="single" w:color="auto" w:sz="6" w:space="0"/>
              <w:bottom w:val="single" w:color="auto" w:sz="6" w:space="0"/>
              <w:right w:val="double" w:color="auto" w:sz="4" w:space="0"/>
            </w:tcBorders>
            <w:vAlign w:val="center"/>
          </w:tcPr>
          <w:p w14:paraId="6E5EF2A0">
            <w:pPr>
              <w:snapToGrid w:val="0"/>
              <w:spacing w:line="360" w:lineRule="auto"/>
              <w:jc w:val="left"/>
              <w:rPr>
                <w:rFonts w:hint="eastAsia" w:ascii="宋体" w:hAnsi="宋体" w:eastAsia="宋体" w:cs="宋体"/>
                <w:color w:val="auto"/>
                <w:sz w:val="21"/>
                <w:szCs w:val="21"/>
                <w:highlight w:val="none"/>
              </w:rPr>
            </w:pPr>
          </w:p>
        </w:tc>
      </w:tr>
      <w:tr w14:paraId="13BDD3A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14660310">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0F900B21">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第14.1（6）项</w:t>
            </w:r>
          </w:p>
        </w:tc>
        <w:tc>
          <w:tcPr>
            <w:tcW w:w="1742" w:type="dxa"/>
            <w:tcBorders>
              <w:top w:val="single" w:color="auto" w:sz="6" w:space="0"/>
              <w:left w:val="single" w:color="auto" w:sz="6" w:space="0"/>
              <w:bottom w:val="single" w:color="auto" w:sz="6" w:space="0"/>
              <w:right w:val="single" w:color="auto" w:sz="6" w:space="0"/>
            </w:tcBorders>
            <w:vAlign w:val="center"/>
          </w:tcPr>
          <w:p w14:paraId="7FA4E759">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乙方提供的其他服务</w:t>
            </w:r>
          </w:p>
        </w:tc>
        <w:tc>
          <w:tcPr>
            <w:tcW w:w="5171" w:type="dxa"/>
            <w:tcBorders>
              <w:top w:val="single" w:color="auto" w:sz="6" w:space="0"/>
              <w:left w:val="single" w:color="auto" w:sz="6" w:space="0"/>
              <w:bottom w:val="single" w:color="auto" w:sz="6" w:space="0"/>
              <w:right w:val="double" w:color="auto" w:sz="4" w:space="0"/>
            </w:tcBorders>
            <w:vAlign w:val="center"/>
          </w:tcPr>
          <w:p w14:paraId="2B188B4A">
            <w:pPr>
              <w:pStyle w:val="35"/>
              <w:adjustRightInd w:val="0"/>
              <w:snapToGrid w:val="0"/>
              <w:spacing w:line="400" w:lineRule="exact"/>
              <w:ind w:firstLine="420" w:firstLineChars="200"/>
              <w:rPr>
                <w:rFonts w:hint="eastAsia" w:ascii="宋体" w:hAnsi="宋体" w:eastAsia="宋体" w:cs="宋体"/>
                <w:color w:val="auto"/>
                <w:sz w:val="21"/>
                <w:szCs w:val="21"/>
                <w:highlight w:val="none"/>
              </w:rPr>
            </w:pPr>
          </w:p>
        </w:tc>
      </w:tr>
      <w:tr w14:paraId="55CA5A3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164CBE76">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1532F7CA">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第15.1款</w:t>
            </w:r>
          </w:p>
        </w:tc>
        <w:tc>
          <w:tcPr>
            <w:tcW w:w="1742" w:type="dxa"/>
            <w:tcBorders>
              <w:top w:val="single" w:color="auto" w:sz="6" w:space="0"/>
              <w:left w:val="single" w:color="auto" w:sz="6" w:space="0"/>
              <w:bottom w:val="single" w:color="auto" w:sz="6" w:space="0"/>
              <w:right w:val="single" w:color="auto" w:sz="6" w:space="0"/>
            </w:tcBorders>
            <w:vAlign w:val="center"/>
          </w:tcPr>
          <w:p w14:paraId="50B7ECC8">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修理、重作、更换相关具体规定</w:t>
            </w:r>
          </w:p>
        </w:tc>
        <w:tc>
          <w:tcPr>
            <w:tcW w:w="5171" w:type="dxa"/>
            <w:tcBorders>
              <w:top w:val="single" w:color="auto" w:sz="6" w:space="0"/>
              <w:left w:val="single" w:color="auto" w:sz="6" w:space="0"/>
              <w:bottom w:val="single" w:color="auto" w:sz="6" w:space="0"/>
              <w:right w:val="double" w:color="auto" w:sz="4" w:space="0"/>
            </w:tcBorders>
            <w:vAlign w:val="center"/>
          </w:tcPr>
          <w:p w14:paraId="6E0DDB4C">
            <w:pPr>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应按招标文件规定的货物性能、技术要求、质量标准向甲方提供未经使用的全新产品。乙方提供货物的质量保证期按交货验收合格之日起计（期限见《招标项目采购需求》的要求）。在保证期内因货物本身的质量问题发生故障，乙方应负责免费修理和更换零部件。对达不到技术要求者，根据实际情况，经双方协商，可按以下办法处理：</w:t>
            </w:r>
          </w:p>
          <w:p w14:paraId="2A57034D">
            <w:pPr>
              <w:pStyle w:val="35"/>
              <w:adjustRightInd w:val="0"/>
              <w:snapToGrid w:val="0"/>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（1）更换：由乙方承担所发生的全部费用。</w:t>
            </w:r>
          </w:p>
          <w:p w14:paraId="41AF5A65">
            <w:pPr>
              <w:pStyle w:val="35"/>
              <w:adjustRightInd w:val="0"/>
              <w:snapToGrid w:val="0"/>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（2）贬值处理：由甲乙双方合议定价。</w:t>
            </w:r>
          </w:p>
          <w:p w14:paraId="4DE8293F">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highlight w:val="none"/>
              </w:rPr>
              <w:t>（3）退货处理：乙方应退还甲方支付的合同款，同时应承担该货物的直接费用（运输、保险、检验、货款利息及银行手续费等）。</w:t>
            </w:r>
          </w:p>
        </w:tc>
      </w:tr>
      <w:tr w14:paraId="77A19F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53EFAB10">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24ED13C7">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第15.2（2）项</w:t>
            </w:r>
          </w:p>
        </w:tc>
        <w:tc>
          <w:tcPr>
            <w:tcW w:w="1742" w:type="dxa"/>
            <w:tcBorders>
              <w:top w:val="single" w:color="auto" w:sz="6" w:space="0"/>
              <w:left w:val="single" w:color="auto" w:sz="6" w:space="0"/>
              <w:bottom w:val="single" w:color="auto" w:sz="6" w:space="0"/>
              <w:right w:val="single" w:color="auto" w:sz="6" w:space="0"/>
            </w:tcBorders>
            <w:vAlign w:val="center"/>
          </w:tcPr>
          <w:p w14:paraId="02A84571">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迟延交货赔偿费</w:t>
            </w:r>
          </w:p>
        </w:tc>
        <w:tc>
          <w:tcPr>
            <w:tcW w:w="5171" w:type="dxa"/>
            <w:tcBorders>
              <w:top w:val="single" w:color="auto" w:sz="6" w:space="0"/>
              <w:left w:val="single" w:color="auto" w:sz="6" w:space="0"/>
              <w:bottom w:val="single" w:color="auto" w:sz="6" w:space="0"/>
              <w:right w:val="double" w:color="auto" w:sz="4" w:space="0"/>
            </w:tcBorders>
            <w:vAlign w:val="center"/>
          </w:tcPr>
          <w:p w14:paraId="5433B9D2">
            <w:pPr>
              <w:snapToGrid w:val="0"/>
              <w:spacing w:line="360" w:lineRule="auto"/>
              <w:jc w:val="left"/>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Cs w:val="21"/>
                <w:highlight w:val="none"/>
              </w:rPr>
              <w:t>甲方无故延期接收货物、乙方逾期交货的，每天向对方偿付违约货款额3‰违约金，但违约金累计不得超过违约货款额</w:t>
            </w:r>
            <w:r>
              <w:rPr>
                <w:rFonts w:hint="eastAsia" w:ascii="宋体" w:hAnsi="宋体" w:eastAsia="宋体" w:cs="宋体"/>
                <w:color w:val="auto"/>
                <w:szCs w:val="21"/>
                <w:highlight w:val="none"/>
                <w:u w:val="single"/>
              </w:rPr>
              <w:t>5%</w:t>
            </w:r>
            <w:r>
              <w:rPr>
                <w:rFonts w:hint="eastAsia" w:ascii="宋体" w:hAnsi="宋体" w:eastAsia="宋体" w:cs="宋体"/>
                <w:color w:val="auto"/>
                <w:szCs w:val="21"/>
                <w:highlight w:val="none"/>
              </w:rPr>
              <w:t>，超过</w:t>
            </w:r>
            <w:r>
              <w:rPr>
                <w:rFonts w:hint="eastAsia" w:ascii="宋体" w:hAnsi="宋体" w:eastAsia="宋体" w:cs="宋体"/>
                <w:color w:val="auto"/>
                <w:szCs w:val="21"/>
                <w:highlight w:val="none"/>
                <w:u w:val="single"/>
              </w:rPr>
              <w:t xml:space="preserve"> 30 </w:t>
            </w:r>
            <w:r>
              <w:rPr>
                <w:rFonts w:hint="eastAsia" w:ascii="宋体" w:hAnsi="宋体" w:eastAsia="宋体" w:cs="宋体"/>
                <w:color w:val="auto"/>
                <w:szCs w:val="21"/>
                <w:highlight w:val="none"/>
              </w:rPr>
              <w:t>天对方有权解除合同，违约方承担因此给对方造成经济损失；甲方延期付货款的，乙方有权每日向甲方索赔延期货款额</w:t>
            </w:r>
            <w:r>
              <w:rPr>
                <w:rFonts w:hint="eastAsia" w:ascii="宋体" w:hAnsi="宋体" w:eastAsia="宋体" w:cs="宋体"/>
                <w:color w:val="auto"/>
                <w:szCs w:val="21"/>
                <w:highlight w:val="none"/>
                <w:u w:val="single"/>
              </w:rPr>
              <w:t xml:space="preserve">3‰ </w:t>
            </w:r>
            <w:r>
              <w:rPr>
                <w:rFonts w:hint="eastAsia" w:ascii="宋体" w:hAnsi="宋体" w:eastAsia="宋体" w:cs="宋体"/>
                <w:color w:val="auto"/>
                <w:szCs w:val="21"/>
                <w:highlight w:val="none"/>
              </w:rPr>
              <w:t>滞纳金，但滞纳金累计不得超过延期货款额</w:t>
            </w:r>
            <w:r>
              <w:rPr>
                <w:rFonts w:hint="eastAsia" w:ascii="宋体" w:hAnsi="宋体" w:eastAsia="宋体" w:cs="宋体"/>
                <w:color w:val="auto"/>
                <w:szCs w:val="21"/>
                <w:highlight w:val="none"/>
                <w:u w:val="single"/>
              </w:rPr>
              <w:t>5%</w:t>
            </w:r>
            <w:r>
              <w:rPr>
                <w:rFonts w:hint="eastAsia" w:ascii="宋体" w:hAnsi="宋体" w:eastAsia="宋体" w:cs="宋体"/>
                <w:color w:val="auto"/>
                <w:szCs w:val="21"/>
                <w:highlight w:val="none"/>
              </w:rPr>
              <w:t>。</w:t>
            </w:r>
          </w:p>
        </w:tc>
      </w:tr>
      <w:tr w14:paraId="0B724E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3EB32955">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57F62788">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第15.3款</w:t>
            </w:r>
          </w:p>
        </w:tc>
        <w:tc>
          <w:tcPr>
            <w:tcW w:w="1742" w:type="dxa"/>
            <w:tcBorders>
              <w:top w:val="single" w:color="auto" w:sz="6" w:space="0"/>
              <w:left w:val="single" w:color="auto" w:sz="6" w:space="0"/>
              <w:bottom w:val="single" w:color="auto" w:sz="6" w:space="0"/>
              <w:right w:val="single" w:color="auto" w:sz="6" w:space="0"/>
            </w:tcBorders>
            <w:vAlign w:val="center"/>
          </w:tcPr>
          <w:p w14:paraId="6C109D69">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逾期付款利息</w:t>
            </w:r>
          </w:p>
        </w:tc>
        <w:tc>
          <w:tcPr>
            <w:tcW w:w="5171" w:type="dxa"/>
            <w:tcBorders>
              <w:top w:val="single" w:color="auto" w:sz="6" w:space="0"/>
              <w:left w:val="single" w:color="auto" w:sz="6" w:space="0"/>
              <w:bottom w:val="single" w:color="auto" w:sz="6" w:space="0"/>
              <w:right w:val="double" w:color="auto" w:sz="4" w:space="0"/>
            </w:tcBorders>
            <w:vAlign w:val="center"/>
          </w:tcPr>
          <w:p w14:paraId="2453E47B">
            <w:pPr>
              <w:snapToGrid w:val="0"/>
              <w:spacing w:line="360" w:lineRule="auto"/>
              <w:jc w:val="left"/>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u w:val="single"/>
                <w:lang w:val="en-US" w:eastAsia="zh-CN"/>
              </w:rPr>
              <w:t>按银行孳息</w:t>
            </w:r>
          </w:p>
        </w:tc>
      </w:tr>
      <w:tr w14:paraId="40DAAAF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top w:val="single" w:color="auto" w:sz="6" w:space="0"/>
              <w:left w:val="double" w:color="auto" w:sz="4" w:space="0"/>
              <w:bottom w:val="single" w:color="auto" w:sz="2" w:space="0"/>
              <w:right w:val="single" w:color="auto" w:sz="2" w:space="0"/>
            </w:tcBorders>
            <w:vAlign w:val="center"/>
          </w:tcPr>
          <w:p w14:paraId="5481A87F">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5C96D5AF">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第15.4款</w:t>
            </w:r>
          </w:p>
        </w:tc>
        <w:tc>
          <w:tcPr>
            <w:tcW w:w="1742" w:type="dxa"/>
            <w:tcBorders>
              <w:top w:val="single" w:color="auto" w:sz="6" w:space="0"/>
              <w:left w:val="single" w:color="auto" w:sz="2" w:space="0"/>
              <w:bottom w:val="single" w:color="auto" w:sz="2" w:space="0"/>
              <w:right w:val="single" w:color="auto" w:sz="2" w:space="0"/>
            </w:tcBorders>
            <w:vAlign w:val="center"/>
          </w:tcPr>
          <w:p w14:paraId="70BF0DED">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其他违约责任</w:t>
            </w:r>
          </w:p>
        </w:tc>
        <w:tc>
          <w:tcPr>
            <w:tcW w:w="5171" w:type="dxa"/>
            <w:tcBorders>
              <w:top w:val="single" w:color="auto" w:sz="6" w:space="0"/>
              <w:left w:val="single" w:color="auto" w:sz="2" w:space="0"/>
              <w:bottom w:val="single" w:color="auto" w:sz="2" w:space="0"/>
              <w:right w:val="double" w:color="auto" w:sz="4" w:space="0"/>
            </w:tcBorders>
            <w:vAlign w:val="center"/>
          </w:tcPr>
          <w:p w14:paraId="329AA184">
            <w:pPr>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乙方提供的货物如侵犯了第三方合法权益而引发的任何纠纷或诉讼，均由乙方负责交涉并承担全部责任。</w:t>
            </w:r>
          </w:p>
          <w:p w14:paraId="45374BE9">
            <w:pPr>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.因包装、运输引起的货物损坏，按质量不合格处罚。</w:t>
            </w:r>
          </w:p>
          <w:p w14:paraId="3B2FFB71">
            <w:pPr>
              <w:adjustRightInd w:val="0"/>
              <w:snapToGrid w:val="0"/>
              <w:spacing w:line="4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3.乙方未按本合同和投标文件中规定的服务承诺提供售后服务的，乙方应按本合同总金额 5%向甲方支付违约金。</w:t>
            </w:r>
          </w:p>
          <w:p w14:paraId="49E234CB">
            <w:pPr>
              <w:adjustRightInd w:val="0"/>
              <w:snapToGrid w:val="0"/>
              <w:spacing w:line="4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4.乙方提供的货物在质量保证期内，因设计、工艺或材料的缺陷和其它质量原因造成的问题，由乙方负责，费用从设备尾款中扣除，不足另补。</w:t>
            </w:r>
          </w:p>
          <w:p w14:paraId="63B0BE85">
            <w:pPr>
              <w:adjustRightInd w:val="0"/>
              <w:snapToGrid w:val="0"/>
              <w:spacing w:line="4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5.其它违约行为按违约货款额5% 收取违约金并赔偿经济损失。</w:t>
            </w:r>
          </w:p>
          <w:p w14:paraId="277E3B26">
            <w:pPr>
              <w:adjustRightInd w:val="0"/>
              <w:snapToGrid w:val="0"/>
              <w:spacing w:line="40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Cs w:val="21"/>
                <w:highlight w:val="none"/>
                <w:lang w:val="en-US" w:eastAsia="zh-CN"/>
              </w:rPr>
              <w:t>6.甲方为维护权益向乙方追偿的一切费用（包括但不限于律师费、诉讼费、保全费、担保费、交通费、差旅费、鉴定费等等）均由乙方承担。</w:t>
            </w:r>
          </w:p>
        </w:tc>
      </w:tr>
      <w:tr w14:paraId="636DB2A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left w:val="double" w:color="auto" w:sz="4" w:space="0"/>
              <w:bottom w:val="single" w:color="auto" w:sz="6" w:space="0"/>
              <w:right w:val="single" w:color="auto" w:sz="2" w:space="0"/>
            </w:tcBorders>
            <w:vAlign w:val="center"/>
          </w:tcPr>
          <w:p w14:paraId="1600D904">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4F451E14">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第19.2款</w:t>
            </w:r>
          </w:p>
        </w:tc>
        <w:tc>
          <w:tcPr>
            <w:tcW w:w="1742" w:type="dxa"/>
            <w:tcBorders>
              <w:top w:val="single" w:color="auto" w:sz="2" w:space="0"/>
              <w:left w:val="single" w:color="auto" w:sz="2" w:space="0"/>
              <w:bottom w:val="single" w:color="auto" w:sz="6" w:space="0"/>
              <w:right w:val="single" w:color="auto" w:sz="2" w:space="0"/>
            </w:tcBorders>
            <w:vAlign w:val="center"/>
          </w:tcPr>
          <w:p w14:paraId="0F9EE11A">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解决争议的方法</w:t>
            </w:r>
          </w:p>
        </w:tc>
        <w:tc>
          <w:tcPr>
            <w:tcW w:w="5171" w:type="dxa"/>
            <w:tcBorders>
              <w:top w:val="single" w:color="auto" w:sz="2" w:space="0"/>
              <w:left w:val="single" w:color="auto" w:sz="2" w:space="0"/>
              <w:bottom w:val="single" w:color="auto" w:sz="6" w:space="0"/>
              <w:right w:val="double" w:color="auto" w:sz="4" w:space="0"/>
            </w:tcBorders>
            <w:vAlign w:val="center"/>
          </w:tcPr>
          <w:p w14:paraId="0803D66A">
            <w:pPr>
              <w:autoSpaceDE w:val="0"/>
              <w:autoSpaceDN w:val="0"/>
              <w:snapToGrid w:val="0"/>
              <w:spacing w:line="360" w:lineRule="auto"/>
              <w:jc w:val="left"/>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rPr>
              <w:t>因本合同及合同有关事项发生的争议，按下列第</w:t>
            </w:r>
            <w:r>
              <w:rPr>
                <w:rFonts w:hint="eastAsia" w:ascii="宋体" w:hAnsi="宋体" w:eastAsia="宋体" w:cs="宋体"/>
                <w:iCs/>
                <w:color w:val="auto"/>
                <w:sz w:val="21"/>
                <w:szCs w:val="21"/>
                <w:highlight w:val="none"/>
                <w:u w:val="single"/>
              </w:rPr>
              <w:t xml:space="preserve"> </w:t>
            </w:r>
            <w:r>
              <w:rPr>
                <w:rFonts w:hint="eastAsia" w:ascii="宋体" w:hAnsi="宋体" w:eastAsia="宋体" w:cs="宋体"/>
                <w:iCs/>
                <w:color w:val="auto"/>
                <w:sz w:val="21"/>
                <w:szCs w:val="21"/>
                <w:highlight w:val="none"/>
                <w:u w:val="single"/>
                <w:lang w:eastAsia="zh-CN"/>
              </w:rPr>
              <w:t>（</w:t>
            </w:r>
            <w:r>
              <w:rPr>
                <w:rFonts w:hint="eastAsia" w:ascii="宋体" w:hAnsi="宋体" w:eastAsia="宋体" w:cs="宋体"/>
                <w:iCs/>
                <w:color w:val="auto"/>
                <w:sz w:val="21"/>
                <w:szCs w:val="21"/>
                <w:highlight w:val="none"/>
                <w:u w:val="single"/>
                <w:lang w:val="en-US" w:eastAsia="zh-CN"/>
              </w:rPr>
              <w:t>2</w:t>
            </w:r>
            <w:r>
              <w:rPr>
                <w:rFonts w:hint="eastAsia" w:ascii="宋体" w:hAnsi="宋体" w:eastAsia="宋体" w:cs="宋体"/>
                <w:iCs/>
                <w:color w:val="auto"/>
                <w:sz w:val="21"/>
                <w:szCs w:val="21"/>
                <w:highlight w:val="none"/>
                <w:u w:val="single"/>
                <w:lang w:eastAsia="zh-CN"/>
              </w:rPr>
              <w:t>）</w:t>
            </w:r>
            <w:r>
              <w:rPr>
                <w:rFonts w:hint="eastAsia" w:ascii="宋体" w:hAnsi="宋体" w:eastAsia="宋体" w:cs="宋体"/>
                <w:iCs/>
                <w:color w:val="auto"/>
                <w:sz w:val="21"/>
                <w:szCs w:val="21"/>
                <w:highlight w:val="none"/>
                <w:u w:val="single"/>
              </w:rPr>
              <w:t xml:space="preserve">  </w:t>
            </w:r>
            <w:r>
              <w:rPr>
                <w:rFonts w:hint="eastAsia" w:ascii="宋体" w:hAnsi="宋体" w:eastAsia="宋体" w:cs="宋体"/>
                <w:iCs/>
                <w:color w:val="auto"/>
                <w:sz w:val="21"/>
                <w:szCs w:val="21"/>
                <w:highlight w:val="none"/>
              </w:rPr>
              <w:t>种方式解决：</w:t>
            </w:r>
          </w:p>
          <w:p w14:paraId="1147692F">
            <w:pPr>
              <w:autoSpaceDE w:val="0"/>
              <w:autoSpaceDN w:val="0"/>
              <w:snapToGrid w:val="0"/>
              <w:spacing w:line="360" w:lineRule="auto"/>
              <w:jc w:val="left"/>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rPr>
              <w:t>（1）向</w:t>
            </w:r>
            <w:r>
              <w:rPr>
                <w:rFonts w:hint="eastAsia" w:ascii="宋体" w:hAnsi="宋体" w:eastAsia="宋体" w:cs="宋体"/>
                <w:iCs/>
                <w:color w:val="auto"/>
                <w:sz w:val="21"/>
                <w:szCs w:val="21"/>
                <w:highlight w:val="none"/>
                <w:u w:val="single"/>
              </w:rPr>
              <w:t xml:space="preserve">                    </w:t>
            </w:r>
            <w:r>
              <w:rPr>
                <w:rFonts w:hint="eastAsia" w:ascii="宋体" w:hAnsi="宋体" w:eastAsia="宋体" w:cs="宋体"/>
                <w:iCs/>
                <w:color w:val="auto"/>
                <w:sz w:val="21"/>
                <w:szCs w:val="21"/>
                <w:highlight w:val="none"/>
              </w:rPr>
              <w:t>仲裁委员会申请仲裁，仲裁地点为</w:t>
            </w:r>
            <w:r>
              <w:rPr>
                <w:rFonts w:hint="eastAsia" w:ascii="宋体" w:hAnsi="宋体" w:eastAsia="宋体" w:cs="宋体"/>
                <w:iCs/>
                <w:color w:val="auto"/>
                <w:sz w:val="21"/>
                <w:szCs w:val="21"/>
                <w:highlight w:val="none"/>
                <w:u w:val="single"/>
              </w:rPr>
              <w:t xml:space="preserve">           </w:t>
            </w:r>
            <w:r>
              <w:rPr>
                <w:rFonts w:hint="eastAsia" w:ascii="宋体" w:hAnsi="宋体" w:eastAsia="宋体" w:cs="宋体"/>
                <w:iCs/>
                <w:color w:val="auto"/>
                <w:sz w:val="21"/>
                <w:szCs w:val="21"/>
                <w:highlight w:val="none"/>
              </w:rPr>
              <w:t>；</w:t>
            </w:r>
          </w:p>
          <w:p w14:paraId="32FE3EBD">
            <w:pPr>
              <w:snapToGrid w:val="0"/>
              <w:spacing w:line="360" w:lineRule="auto"/>
              <w:jc w:val="left"/>
              <w:rPr>
                <w:rFonts w:hint="eastAsia" w:ascii="宋体" w:hAnsi="宋体" w:eastAsia="宋体" w:cs="宋体"/>
                <w:color w:val="auto"/>
                <w:sz w:val="21"/>
                <w:szCs w:val="21"/>
                <w:highlight w:val="none"/>
                <w:u w:val="single"/>
              </w:rPr>
            </w:pPr>
            <w:r>
              <w:rPr>
                <w:rFonts w:hint="eastAsia" w:ascii="宋体" w:hAnsi="宋体" w:eastAsia="宋体" w:cs="宋体"/>
                <w:iCs/>
                <w:color w:val="auto"/>
                <w:sz w:val="21"/>
                <w:szCs w:val="21"/>
                <w:highlight w:val="none"/>
              </w:rPr>
              <w:t>（2）向</w:t>
            </w:r>
            <w:r>
              <w:rPr>
                <w:rFonts w:hint="eastAsia" w:ascii="宋体" w:hAnsi="宋体" w:eastAsia="宋体" w:cs="宋体"/>
                <w:iCs/>
                <w:color w:val="auto"/>
                <w:sz w:val="21"/>
                <w:szCs w:val="21"/>
                <w:highlight w:val="none"/>
                <w:u w:val="single"/>
              </w:rPr>
              <w:t xml:space="preserve">  </w:t>
            </w:r>
            <w:r>
              <w:rPr>
                <w:rFonts w:hint="eastAsia" w:ascii="宋体" w:hAnsi="宋体" w:eastAsia="宋体" w:cs="宋体"/>
                <w:iCs/>
                <w:color w:val="auto"/>
                <w:sz w:val="21"/>
                <w:szCs w:val="21"/>
                <w:highlight w:val="none"/>
                <w:u w:val="single"/>
                <w:lang w:val="en-US" w:eastAsia="zh-CN"/>
              </w:rPr>
              <w:t>甲方所在地</w:t>
            </w:r>
            <w:r>
              <w:rPr>
                <w:rFonts w:hint="eastAsia" w:ascii="宋体" w:hAnsi="宋体" w:eastAsia="宋体" w:cs="宋体"/>
                <w:iCs/>
                <w:color w:val="auto"/>
                <w:sz w:val="21"/>
                <w:szCs w:val="21"/>
                <w:highlight w:val="none"/>
                <w:u w:val="single"/>
              </w:rPr>
              <w:t xml:space="preserve">  </w:t>
            </w:r>
            <w:r>
              <w:rPr>
                <w:rFonts w:hint="eastAsia" w:ascii="宋体" w:hAnsi="宋体" w:eastAsia="宋体" w:cs="宋体"/>
                <w:iCs/>
                <w:color w:val="auto"/>
                <w:sz w:val="21"/>
                <w:szCs w:val="21"/>
                <w:highlight w:val="none"/>
              </w:rPr>
              <w:t>人民法院起诉。</w:t>
            </w:r>
          </w:p>
        </w:tc>
      </w:tr>
      <w:tr w14:paraId="3AB8E2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tcBorders>
              <w:top w:val="single" w:color="auto" w:sz="6" w:space="0"/>
              <w:left w:val="double" w:color="auto" w:sz="4" w:space="0"/>
              <w:bottom w:val="double" w:color="auto" w:sz="4" w:space="0"/>
              <w:right w:val="single" w:color="auto" w:sz="6" w:space="0"/>
            </w:tcBorders>
            <w:vAlign w:val="center"/>
          </w:tcPr>
          <w:p w14:paraId="125EB97C">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48F3C330">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第23.1款</w:t>
            </w:r>
          </w:p>
        </w:tc>
        <w:tc>
          <w:tcPr>
            <w:tcW w:w="1742" w:type="dxa"/>
            <w:tcBorders>
              <w:top w:val="single" w:color="auto" w:sz="6" w:space="0"/>
              <w:left w:val="single" w:color="auto" w:sz="6" w:space="0"/>
              <w:bottom w:val="double" w:color="auto" w:sz="4" w:space="0"/>
              <w:right w:val="single" w:color="auto" w:sz="6" w:space="0"/>
            </w:tcBorders>
            <w:vAlign w:val="center"/>
          </w:tcPr>
          <w:p w14:paraId="604C3E84">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其他专用条款</w:t>
            </w:r>
          </w:p>
        </w:tc>
        <w:tc>
          <w:tcPr>
            <w:tcW w:w="5171" w:type="dxa"/>
            <w:tcBorders>
              <w:top w:val="single" w:color="auto" w:sz="6" w:space="0"/>
              <w:left w:val="single" w:color="auto" w:sz="6" w:space="0"/>
              <w:bottom w:val="double" w:color="auto" w:sz="4" w:space="0"/>
              <w:right w:val="double" w:color="auto" w:sz="4" w:space="0"/>
            </w:tcBorders>
            <w:vAlign w:val="center"/>
          </w:tcPr>
          <w:p w14:paraId="3BAE058F">
            <w:pPr>
              <w:snapToGrid w:val="0"/>
              <w:spacing w:line="360" w:lineRule="auto"/>
              <w:jc w:val="left"/>
              <w:rPr>
                <w:rFonts w:hint="eastAsia" w:ascii="宋体" w:hAnsi="宋体" w:eastAsia="宋体" w:cs="宋体"/>
                <w:color w:val="auto"/>
                <w:sz w:val="21"/>
                <w:szCs w:val="21"/>
                <w:highlight w:val="none"/>
              </w:rPr>
            </w:pPr>
          </w:p>
        </w:tc>
      </w:tr>
    </w:tbl>
    <w:p w14:paraId="2BE5365F">
      <w:pPr>
        <w:adjustRightInd/>
        <w:rPr>
          <w:rFonts w:hint="eastAsia" w:ascii="宋体" w:hAnsi="宋体" w:eastAsia="宋体" w:cs="宋体"/>
          <w:color w:val="auto"/>
          <w:highlight w:val="none"/>
        </w:rPr>
      </w:pPr>
    </w:p>
    <w:p w14:paraId="1FC2714F">
      <w:pPr>
        <w:adjustRightInd/>
        <w:rPr>
          <w:rFonts w:hint="eastAsia" w:ascii="宋体" w:hAnsi="宋体" w:eastAsia="宋体" w:cs="宋体"/>
          <w:color w:val="auto"/>
          <w:highlight w:val="none"/>
        </w:rPr>
      </w:pPr>
    </w:p>
    <w:p w14:paraId="09DC32D4">
      <w:pPr>
        <w:spacing w:line="360" w:lineRule="auto"/>
        <w:ind w:left="-420" w:leftChars="-200" w:right="-420" w:rightChars="-200"/>
        <w:rPr>
          <w:rFonts w:hint="eastAsia" w:ascii="宋体" w:hAnsi="宋体" w:eastAsia="宋体" w:cs="宋体"/>
          <w:color w:val="auto"/>
          <w:sz w:val="24"/>
          <w:highlight w:val="none"/>
        </w:rPr>
      </w:pPr>
    </w:p>
    <w:p w14:paraId="5EFEC04A">
      <w:pPr>
        <w:tabs>
          <w:tab w:val="left" w:pos="432"/>
        </w:tabs>
        <w:outlineLvl w:val="9"/>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3EACFE6">
      <w:pPr>
        <w:rPr>
          <w:rFonts w:hint="eastAsia" w:ascii="宋体" w:hAnsi="宋体" w:eastAsia="宋体" w:cs="宋体"/>
          <w:color w:val="auto"/>
          <w:highlight w:val="none"/>
        </w:rPr>
      </w:pPr>
    </w:p>
    <w:p w14:paraId="2F8D162C">
      <w:pPr>
        <w:spacing w:line="360" w:lineRule="auto"/>
        <w:ind w:left="720" w:firstLine="723" w:firstLineChars="200"/>
        <w:outlineLvl w:val="0"/>
        <w:rPr>
          <w:rFonts w:hint="eastAsia" w:ascii="宋体" w:hAnsi="宋体" w:eastAsia="宋体" w:cs="宋体"/>
          <w:b/>
          <w:color w:val="auto"/>
          <w:sz w:val="36"/>
          <w:szCs w:val="20"/>
          <w:highlight w:val="none"/>
        </w:rPr>
      </w:pPr>
      <w:bookmarkStart w:id="423" w:name="_Toc176185126"/>
      <w:bookmarkStart w:id="424" w:name="_Toc25421"/>
      <w:r>
        <w:rPr>
          <w:rFonts w:hint="eastAsia" w:ascii="宋体" w:hAnsi="宋体" w:eastAsia="宋体" w:cs="宋体"/>
          <w:b/>
          <w:color w:val="auto"/>
          <w:sz w:val="36"/>
          <w:szCs w:val="20"/>
          <w:highlight w:val="none"/>
        </w:rPr>
        <w:t>第六部分</w:t>
      </w:r>
      <w:bookmarkEnd w:id="414"/>
      <w:r>
        <w:rPr>
          <w:rFonts w:hint="eastAsia" w:ascii="宋体" w:hAnsi="宋体" w:eastAsia="宋体" w:cs="宋体"/>
          <w:b/>
          <w:color w:val="auto"/>
          <w:sz w:val="36"/>
          <w:szCs w:val="20"/>
          <w:highlight w:val="none"/>
        </w:rPr>
        <w:t xml:space="preserve"> </w:t>
      </w:r>
      <w:bookmarkEnd w:id="415"/>
      <w:r>
        <w:rPr>
          <w:rFonts w:hint="eastAsia" w:ascii="宋体" w:hAnsi="宋体" w:eastAsia="宋体" w:cs="宋体"/>
          <w:b/>
          <w:color w:val="auto"/>
          <w:sz w:val="36"/>
          <w:szCs w:val="20"/>
          <w:highlight w:val="none"/>
        </w:rPr>
        <w:t xml:space="preserve"> 应提交的有关格式范例</w:t>
      </w:r>
      <w:bookmarkEnd w:id="423"/>
      <w:bookmarkEnd w:id="424"/>
    </w:p>
    <w:p w14:paraId="1CC988AE">
      <w:pPr>
        <w:pStyle w:val="84"/>
        <w:rPr>
          <w:rFonts w:hint="eastAsia" w:ascii="宋体" w:hAnsi="宋体" w:eastAsia="宋体" w:cs="宋体"/>
          <w:color w:val="auto"/>
          <w:highlight w:val="none"/>
        </w:rPr>
      </w:pPr>
    </w:p>
    <w:p w14:paraId="05090981">
      <w:pPr>
        <w:spacing w:line="360" w:lineRule="auto"/>
        <w:jc w:val="center"/>
        <w:outlineLvl w:val="1"/>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资格文件部分</w:t>
      </w:r>
    </w:p>
    <w:p w14:paraId="78D48B46">
      <w:pPr>
        <w:spacing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目录</w:t>
      </w:r>
    </w:p>
    <w:p w14:paraId="59B11328">
      <w:pPr>
        <w:pStyle w:val="84"/>
        <w:rPr>
          <w:rFonts w:hint="eastAsia" w:ascii="宋体" w:hAnsi="宋体" w:eastAsia="宋体" w:cs="宋体"/>
          <w:color w:val="auto"/>
          <w:highlight w:val="none"/>
        </w:rPr>
      </w:pPr>
    </w:p>
    <w:p w14:paraId="7CEE6FCE">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（1）符合参加政府采购活动应当具备的一般条件的承诺函……………（页码）</w:t>
      </w:r>
    </w:p>
    <w:p w14:paraId="288D3650">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）本项目的特定资格要求………………………………………………（页码）</w:t>
      </w:r>
    </w:p>
    <w:p w14:paraId="40DA3181">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投标人直接控股股东及出资信息表</w:t>
      </w:r>
      <w:r>
        <w:rPr>
          <w:rFonts w:hint="eastAsia" w:ascii="宋体" w:hAnsi="宋体" w:eastAsia="宋体" w:cs="宋体"/>
          <w:color w:val="auto"/>
          <w:sz w:val="24"/>
          <w:highlight w:val="none"/>
        </w:rPr>
        <w:t>…………………………………（页码）</w:t>
      </w:r>
    </w:p>
    <w:p w14:paraId="0C7106C3">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投标人直接管理关系信息表</w:t>
      </w:r>
      <w:r>
        <w:rPr>
          <w:rFonts w:hint="eastAsia" w:ascii="宋体" w:hAnsi="宋体" w:eastAsia="宋体" w:cs="宋体"/>
          <w:color w:val="auto"/>
          <w:sz w:val="24"/>
          <w:highlight w:val="none"/>
        </w:rPr>
        <w:t>…………………………………………（页码）</w:t>
      </w:r>
    </w:p>
    <w:p w14:paraId="680028D7">
      <w:pPr>
        <w:snapToGrid w:val="0"/>
        <w:spacing w:line="360" w:lineRule="auto"/>
        <w:ind w:firstLine="480" w:firstLineChars="200"/>
        <w:rPr>
          <w:rFonts w:hint="eastAsia" w:ascii="宋体" w:hAnsi="宋体" w:eastAsia="宋体" w:cs="宋体"/>
          <w:color w:val="auto"/>
          <w:sz w:val="24"/>
          <w:highlight w:val="none"/>
        </w:rPr>
      </w:pPr>
    </w:p>
    <w:p w14:paraId="2E8B77A5">
      <w:pPr>
        <w:spacing w:line="360" w:lineRule="auto"/>
        <w:ind w:firstLine="480" w:firstLineChars="200"/>
        <w:rPr>
          <w:rFonts w:hint="eastAsia" w:ascii="宋体" w:hAnsi="宋体" w:eastAsia="宋体" w:cs="宋体"/>
          <w:color w:val="auto"/>
          <w:sz w:val="24"/>
          <w:highlight w:val="none"/>
        </w:rPr>
      </w:pPr>
    </w:p>
    <w:p w14:paraId="3EE4510A">
      <w:pPr>
        <w:snapToGrid w:val="0"/>
        <w:spacing w:line="360" w:lineRule="auto"/>
        <w:ind w:right="48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br w:type="page"/>
      </w:r>
    </w:p>
    <w:p w14:paraId="385FA9F9">
      <w:pPr>
        <w:snapToGrid w:val="0"/>
        <w:spacing w:line="360" w:lineRule="auto"/>
        <w:ind w:right="480"/>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 xml:space="preserve">  一、 符合参加政府采购活动应当具备的一般条件的承诺函</w:t>
      </w:r>
    </w:p>
    <w:p w14:paraId="24067188">
      <w:pPr>
        <w:snapToGrid w:val="0"/>
        <w:spacing w:line="360" w:lineRule="auto"/>
        <w:ind w:right="480"/>
        <w:jc w:val="center"/>
        <w:rPr>
          <w:rFonts w:hint="eastAsia" w:ascii="宋体" w:hAnsi="宋体" w:eastAsia="宋体" w:cs="宋体"/>
          <w:color w:val="auto"/>
          <w:sz w:val="24"/>
          <w:highlight w:val="none"/>
        </w:rPr>
      </w:pPr>
    </w:p>
    <w:p w14:paraId="31938BB8">
      <w:pPr>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北海市政府采购</w:t>
      </w:r>
      <w:r>
        <w:rPr>
          <w:rFonts w:hint="eastAsia" w:ascii="宋体" w:hAnsi="宋体" w:eastAsia="宋体" w:cs="宋体"/>
          <w:b/>
          <w:color w:val="auto"/>
          <w:sz w:val="21"/>
          <w:szCs w:val="21"/>
          <w:highlight w:val="none"/>
          <w:lang w:eastAsia="zh-CN"/>
        </w:rPr>
        <w:t>投标人</w:t>
      </w:r>
      <w:r>
        <w:rPr>
          <w:rFonts w:hint="eastAsia" w:ascii="宋体" w:hAnsi="宋体" w:eastAsia="宋体" w:cs="宋体"/>
          <w:b/>
          <w:color w:val="auto"/>
          <w:sz w:val="21"/>
          <w:szCs w:val="21"/>
          <w:highlight w:val="none"/>
        </w:rPr>
        <w:t>信用承诺函（格式）</w:t>
      </w:r>
    </w:p>
    <w:p w14:paraId="4CF14700">
      <w:pPr>
        <w:snapToGrid w:val="0"/>
        <w:spacing w:line="360" w:lineRule="auto"/>
        <w:rPr>
          <w:rFonts w:hint="eastAsia" w:ascii="宋体" w:hAnsi="宋体" w:eastAsia="宋体" w:cs="宋体"/>
          <w:color w:val="auto"/>
          <w:sz w:val="21"/>
          <w:szCs w:val="21"/>
          <w:highlight w:val="none"/>
        </w:rPr>
      </w:pPr>
    </w:p>
    <w:p w14:paraId="118829BF">
      <w:pPr>
        <w:snapToGrid w:val="0"/>
        <w:spacing w:line="360" w:lineRule="auto"/>
        <w:ind w:right="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（采购人）、（采购代理机构） ：</w:t>
      </w:r>
    </w:p>
    <w:p w14:paraId="4C630FED">
      <w:pPr>
        <w:snapToGrid w:val="0"/>
        <w:spacing w:line="360" w:lineRule="auto"/>
        <w:ind w:right="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名称：</w:t>
      </w:r>
    </w:p>
    <w:p w14:paraId="6C6565A8">
      <w:pPr>
        <w:snapToGrid w:val="0"/>
        <w:spacing w:line="360" w:lineRule="auto"/>
        <w:ind w:right="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统一社会信用代码：</w:t>
      </w:r>
    </w:p>
    <w:p w14:paraId="1D63DFCD">
      <w:pPr>
        <w:snapToGrid w:val="0"/>
        <w:spacing w:line="360" w:lineRule="auto"/>
        <w:ind w:right="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地址：</w:t>
      </w:r>
    </w:p>
    <w:p w14:paraId="3AA27E93">
      <w:pPr>
        <w:snapToGrid w:val="0"/>
        <w:spacing w:line="360" w:lineRule="auto"/>
        <w:ind w:right="482"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46D55FF9">
      <w:pPr>
        <w:snapToGrid w:val="0"/>
        <w:spacing w:line="360" w:lineRule="auto"/>
        <w:ind w:right="482"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1.我单位具有符合采购文件资格要求独立承担民事责任的能力。</w:t>
      </w:r>
    </w:p>
    <w:p w14:paraId="675D2A8B">
      <w:pPr>
        <w:snapToGrid w:val="0"/>
        <w:spacing w:line="360" w:lineRule="auto"/>
        <w:ind w:right="482"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2.我单位具有符合采购文件资格要求的财务状况报告。</w:t>
      </w:r>
    </w:p>
    <w:p w14:paraId="24E4DCF1">
      <w:pPr>
        <w:snapToGrid w:val="0"/>
        <w:spacing w:line="360" w:lineRule="auto"/>
        <w:ind w:right="482"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3.我单位具有符合采购文件资格要求的依法缴纳税收和社会保障记录的良好记录。</w:t>
      </w:r>
    </w:p>
    <w:p w14:paraId="47E2B373">
      <w:pPr>
        <w:snapToGrid w:val="0"/>
        <w:spacing w:line="360" w:lineRule="auto"/>
        <w:ind w:right="482"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4.我单位具有符合采购文件资格要求履行合同所必需的设备和专业技术能力。</w:t>
      </w:r>
    </w:p>
    <w:p w14:paraId="65F3A335">
      <w:pPr>
        <w:snapToGrid w:val="0"/>
        <w:spacing w:line="360" w:lineRule="auto"/>
        <w:ind w:right="482"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5.参加政府采购活动前三年内，在经营活动中没有重大违法记录。</w:t>
      </w:r>
    </w:p>
    <w:p w14:paraId="47653159">
      <w:pPr>
        <w:snapToGrid w:val="0"/>
        <w:spacing w:line="360" w:lineRule="auto"/>
        <w:ind w:right="482"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若我单位承诺不实，自愿承担提供虚假材料谋取中标、成交的法律责任。</w:t>
      </w:r>
    </w:p>
    <w:p w14:paraId="1C28BC5A">
      <w:pPr>
        <w:snapToGrid w:val="0"/>
        <w:spacing w:line="360" w:lineRule="auto"/>
        <w:ind w:right="480"/>
        <w:rPr>
          <w:rFonts w:hint="eastAsia" w:ascii="宋体" w:hAnsi="宋体" w:eastAsia="宋体" w:cs="宋体"/>
          <w:color w:val="auto"/>
          <w:sz w:val="21"/>
          <w:szCs w:val="21"/>
          <w:highlight w:val="none"/>
        </w:rPr>
      </w:pPr>
    </w:p>
    <w:p w14:paraId="5515130E">
      <w:pPr>
        <w:spacing w:line="360" w:lineRule="auto"/>
        <w:ind w:firstLine="3150" w:firstLineChars="15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w:t>
      </w:r>
      <w:r>
        <w:rPr>
          <w:rFonts w:hint="eastAsia" w:ascii="宋体" w:hAnsi="宋体" w:eastAsia="宋体" w:cs="宋体"/>
          <w:color w:val="auto"/>
          <w:sz w:val="21"/>
          <w:szCs w:val="21"/>
          <w:highlight w:val="none"/>
          <w:lang w:val="en-US" w:eastAsia="zh-CN"/>
        </w:rPr>
        <w:t>电子</w:t>
      </w:r>
      <w:r>
        <w:rPr>
          <w:rFonts w:hint="eastAsia" w:ascii="宋体" w:hAnsi="宋体" w:eastAsia="宋体" w:cs="宋体"/>
          <w:color w:val="auto"/>
          <w:sz w:val="21"/>
          <w:szCs w:val="21"/>
          <w:highlight w:val="none"/>
        </w:rPr>
        <w:t>公章）：</w:t>
      </w:r>
    </w:p>
    <w:p w14:paraId="1D3AA133">
      <w:pPr>
        <w:spacing w:line="360" w:lineRule="auto"/>
        <w:ind w:firstLine="3150" w:firstLineChars="15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法定代表人（负责人）或委托代理人(签名)：                          </w:t>
      </w:r>
    </w:p>
    <w:p w14:paraId="172A215B">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日期：  年   月   日</w:t>
      </w:r>
    </w:p>
    <w:p w14:paraId="0FDC3623">
      <w:pPr>
        <w:snapToGrid w:val="0"/>
        <w:spacing w:line="360" w:lineRule="auto"/>
        <w:ind w:right="480"/>
        <w:rPr>
          <w:rFonts w:hint="eastAsia" w:ascii="宋体" w:hAnsi="宋体" w:eastAsia="宋体" w:cs="宋体"/>
          <w:color w:val="auto"/>
          <w:sz w:val="24"/>
          <w:highlight w:val="none"/>
        </w:rPr>
      </w:pPr>
    </w:p>
    <w:p w14:paraId="1750626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w:t>
      </w:r>
      <w:r>
        <w:rPr>
          <w:rFonts w:hint="eastAsia" w:ascii="宋体" w:hAnsi="宋体" w:eastAsia="宋体" w:cs="宋体"/>
          <w:color w:val="auto"/>
          <w:szCs w:val="21"/>
          <w:highlight w:val="none"/>
          <w:lang w:val="en-US" w:eastAsia="zh-CN"/>
        </w:rPr>
        <w:t>投标人</w:t>
      </w:r>
      <w:r>
        <w:rPr>
          <w:rFonts w:hint="eastAsia" w:ascii="宋体" w:hAnsi="宋体" w:eastAsia="宋体" w:cs="宋体"/>
          <w:color w:val="auto"/>
          <w:szCs w:val="21"/>
          <w:highlight w:val="none"/>
        </w:rPr>
        <w:t>须在投标（响应）文件中按此模板提供承诺函 ，未提供视为未实质性响应招标（采购）文件要求，按无效投标（响应）处理。</w:t>
      </w:r>
    </w:p>
    <w:p w14:paraId="76AB2F0B">
      <w:pPr>
        <w:spacing w:line="420" w:lineRule="exact"/>
        <w:ind w:firstLine="420" w:firstLineChars="200"/>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投标人</w:t>
      </w:r>
      <w:r>
        <w:rPr>
          <w:rFonts w:hint="eastAsia" w:ascii="宋体" w:hAnsi="宋体" w:eastAsia="宋体" w:cs="宋体"/>
          <w:color w:val="auto"/>
          <w:szCs w:val="21"/>
          <w:highlight w:val="none"/>
        </w:rPr>
        <w:t>的法定代表人（其他组织的为负责人）或者授权代表的签名或盖章应真实、有效，如授权代表签名或盖章的，应提供“法定代表人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负责人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授权书”</w:t>
      </w:r>
      <w:r>
        <w:rPr>
          <w:rFonts w:hint="eastAsia" w:ascii="宋体" w:hAnsi="宋体" w:eastAsia="宋体" w:cs="宋体"/>
          <w:color w:val="auto"/>
          <w:szCs w:val="21"/>
          <w:highlight w:val="none"/>
          <w:lang w:eastAsia="zh-CN"/>
        </w:rPr>
        <w:t>。</w:t>
      </w:r>
    </w:p>
    <w:p w14:paraId="0EAA6E1D">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1CA196F6">
      <w:pPr>
        <w:adjustRightInd w:val="0"/>
        <w:snapToGrid w:val="0"/>
        <w:spacing w:line="360" w:lineRule="auto"/>
        <w:jc w:val="left"/>
        <w:rPr>
          <w:rFonts w:hint="eastAsia"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lang w:val="en-US" w:eastAsia="zh-CN"/>
        </w:rPr>
        <w:t>法定代表人（负责人）授权委托书（信用承诺函由授权代表签名或盖章时，必须提供）</w:t>
      </w:r>
    </w:p>
    <w:p w14:paraId="308F72C5">
      <w:pPr>
        <w:pStyle w:val="5"/>
        <w:rPr>
          <w:rFonts w:hint="eastAsia" w:ascii="宋体" w:hAnsi="宋体" w:eastAsia="宋体" w:cs="宋体"/>
          <w:color w:val="auto"/>
          <w:highlight w:val="none"/>
          <w:lang w:val="en-US" w:eastAsia="zh-CN"/>
        </w:rPr>
      </w:pPr>
    </w:p>
    <w:p w14:paraId="1CDA578B">
      <w:pPr>
        <w:adjustRightInd w:val="0"/>
        <w:snapToGrid w:val="0"/>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法定代表人</w:t>
      </w:r>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lang w:val="en-US" w:eastAsia="zh-CN"/>
        </w:rPr>
        <w:t>负责人</w:t>
      </w:r>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rPr>
        <w:t>授权委托书</w:t>
      </w:r>
    </w:p>
    <w:p w14:paraId="783267C9">
      <w:pPr>
        <w:tabs>
          <w:tab w:val="left" w:pos="4620"/>
        </w:tabs>
        <w:snapToGrid w:val="0"/>
        <w:spacing w:beforeLines="50" w:after="50" w:line="360" w:lineRule="auto"/>
        <w:outlineLvl w:val="9"/>
        <w:rPr>
          <w:rFonts w:hint="eastAsia" w:ascii="宋体" w:hAnsi="宋体" w:eastAsia="宋体" w:cs="宋体"/>
          <w:b/>
          <w:bCs/>
          <w:color w:val="auto"/>
          <w:szCs w:val="21"/>
          <w:highlight w:val="none"/>
        </w:rPr>
      </w:pPr>
      <w:r>
        <w:rPr>
          <w:rFonts w:hint="eastAsia" w:ascii="宋体" w:hAnsi="宋体" w:eastAsia="宋体" w:cs="宋体"/>
          <w:bCs/>
          <w:color w:val="auto"/>
          <w:szCs w:val="21"/>
          <w:highlight w:val="none"/>
        </w:rPr>
        <w:t>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（采购代理机构名称）：</w:t>
      </w:r>
    </w:p>
    <w:p w14:paraId="36B6A180">
      <w:pPr>
        <w:tabs>
          <w:tab w:val="left" w:pos="4620"/>
        </w:tabs>
        <w:snapToGrid w:val="0"/>
        <w:spacing w:beforeLines="50" w:after="50" w:line="360" w:lineRule="auto"/>
        <w:ind w:firstLine="630" w:firstLineChars="3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（投标人名称）的法定代表人，现授权委托本单位在职职工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（姓名）以我方的名义参加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）的投标活动，并代表我方全权办理针对上述项目的投标、开标、评标、签约等具体事务和签署相关文件。</w:t>
      </w:r>
    </w:p>
    <w:p w14:paraId="4CA7393D">
      <w:pPr>
        <w:snapToGrid w:val="0"/>
        <w:spacing w:beforeLines="50" w:after="50"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我方对被授权人的签名事项负全部责任。</w:t>
      </w:r>
    </w:p>
    <w:p w14:paraId="12E23AE4">
      <w:pPr>
        <w:snapToGrid w:val="0"/>
        <w:spacing w:beforeLines="50" w:after="50" w:line="360" w:lineRule="auto"/>
        <w:ind w:firstLine="48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在撤销授权的书面通知以前，本授权书一直有效。</w:t>
      </w:r>
      <w:r>
        <w:rPr>
          <w:rFonts w:hint="eastAsia" w:ascii="宋体" w:hAnsi="宋体" w:eastAsia="宋体" w:cs="宋体"/>
          <w:color w:val="auto"/>
          <w:szCs w:val="21"/>
          <w:highlight w:val="none"/>
        </w:rPr>
        <w:t>被授权人在授权书有效期内签署的所有文件不因授权的撤销而失效。</w:t>
      </w:r>
    </w:p>
    <w:p w14:paraId="40FAC735">
      <w:pPr>
        <w:snapToGrid w:val="0"/>
        <w:spacing w:beforeLines="50" w:after="50" w:line="360" w:lineRule="auto"/>
        <w:ind w:firstLine="48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被授权人无转委托权，特此委托。</w:t>
      </w:r>
    </w:p>
    <w:p w14:paraId="555ACFB4">
      <w:pPr>
        <w:snapToGrid w:val="0"/>
        <w:outlineLvl w:val="9"/>
        <w:rPr>
          <w:rFonts w:hint="eastAsia" w:ascii="宋体" w:hAnsi="宋体" w:eastAsia="宋体" w:cs="宋体"/>
          <w:color w:val="auto"/>
          <w:szCs w:val="21"/>
          <w:highlight w:val="none"/>
        </w:rPr>
      </w:pPr>
    </w:p>
    <w:p w14:paraId="3AF36CAC">
      <w:pPr>
        <w:snapToGrid w:val="0"/>
        <w:spacing w:beforeLines="50" w:after="50" w:line="360" w:lineRule="auto"/>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被授权人签名：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法定代表人签名：</w:t>
      </w:r>
      <w:r>
        <w:rPr>
          <w:rFonts w:hint="eastAsia" w:ascii="宋体" w:hAnsi="宋体" w:eastAsia="宋体" w:cs="宋体"/>
          <w:color w:val="auto"/>
          <w:szCs w:val="21"/>
          <w:highlight w:val="none"/>
          <w:u w:val="single"/>
        </w:rPr>
        <w:t xml:space="preserve">              </w:t>
      </w:r>
    </w:p>
    <w:p w14:paraId="53485F29">
      <w:pPr>
        <w:snapToGrid w:val="0"/>
        <w:spacing w:beforeLines="50" w:after="50"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所在部门职务：</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职  务：</w:t>
      </w:r>
      <w:r>
        <w:rPr>
          <w:rFonts w:hint="eastAsia" w:ascii="宋体" w:hAnsi="宋体" w:eastAsia="宋体" w:cs="宋体"/>
          <w:color w:val="auto"/>
          <w:szCs w:val="21"/>
          <w:highlight w:val="none"/>
          <w:u w:val="single"/>
        </w:rPr>
        <w:t xml:space="preserve">              </w:t>
      </w:r>
    </w:p>
    <w:p w14:paraId="1D7202AB">
      <w:pPr>
        <w:snapToGrid w:val="0"/>
        <w:spacing w:beforeLines="50" w:after="50"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被授权人身份证号码：</w:t>
      </w:r>
      <w:r>
        <w:rPr>
          <w:rFonts w:hint="eastAsia" w:ascii="宋体" w:hAnsi="宋体" w:eastAsia="宋体" w:cs="宋体"/>
          <w:color w:val="auto"/>
          <w:szCs w:val="21"/>
          <w:highlight w:val="none"/>
          <w:u w:val="single"/>
        </w:rPr>
        <w:t xml:space="preserve">                             </w:t>
      </w:r>
    </w:p>
    <w:p w14:paraId="13D66E72">
      <w:pPr>
        <w:snapToGrid w:val="0"/>
        <w:spacing w:beforeLines="50" w:afterAutospacing="0" w:line="360" w:lineRule="auto"/>
        <w:outlineLvl w:val="9"/>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电子公章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lang w:val="en-US" w:eastAsia="zh-CN"/>
        </w:rPr>
        <w:t xml:space="preserve">                   </w:t>
      </w:r>
    </w:p>
    <w:p w14:paraId="5CAE9E09">
      <w:pPr>
        <w:snapToGrid w:val="0"/>
        <w:spacing w:before="315" w:beforeLines="100" w:beforeAutospacing="0" w:after="50" w:line="360" w:lineRule="auto"/>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附：1、被授权人的身份证正面及反面复印件</w:t>
      </w:r>
    </w:p>
    <w:p w14:paraId="4DCEDD25">
      <w:pPr>
        <w:snapToGrid w:val="0"/>
        <w:spacing w:beforeLines="50" w:after="50" w:line="360" w:lineRule="auto"/>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2、法人或者其他组织的具有营业执照或者事业单位法人证书或者执业许可证复印件                     </w:t>
      </w:r>
    </w:p>
    <w:p w14:paraId="108AA658">
      <w:pPr>
        <w:pStyle w:val="5"/>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                      </w:t>
      </w:r>
    </w:p>
    <w:p w14:paraId="57A099F4">
      <w:pPr>
        <w:pStyle w:val="5"/>
        <w:jc w:val="cente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snapToGrid/>
          <w:color w:val="auto"/>
          <w:kern w:val="2"/>
          <w:sz w:val="21"/>
          <w:szCs w:val="21"/>
          <w:highlight w:val="none"/>
          <w:lang w:val="en-US" w:eastAsia="zh-CN" w:bidi="ar-SA"/>
        </w:rPr>
        <w:t xml:space="preserve">    年    月    日</w:t>
      </w:r>
    </w:p>
    <w:p w14:paraId="37A1B308">
      <w:pPr>
        <w:pStyle w:val="29"/>
        <w:rPr>
          <w:rFonts w:hint="eastAsia" w:ascii="宋体" w:hAnsi="宋体" w:eastAsia="宋体" w:cs="宋体"/>
          <w:color w:val="auto"/>
          <w:highlight w:val="none"/>
        </w:rPr>
      </w:pPr>
    </w:p>
    <w:tbl>
      <w:tblPr>
        <w:tblStyle w:val="64"/>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7"/>
      </w:tblGrid>
      <w:tr w14:paraId="1F39D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trPr>
        <w:tc>
          <w:tcPr>
            <w:tcW w:w="8657" w:type="dxa"/>
            <w:noWrap w:val="0"/>
            <w:vAlign w:val="top"/>
          </w:tcPr>
          <w:p w14:paraId="60A0321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粘贴被授权人的正面及反面身份证复印件</w:t>
            </w:r>
          </w:p>
          <w:p w14:paraId="7A9086B3">
            <w:pPr>
              <w:spacing w:line="360" w:lineRule="auto"/>
              <w:rPr>
                <w:rFonts w:hint="eastAsia" w:ascii="宋体" w:hAnsi="宋体" w:eastAsia="宋体" w:cs="宋体"/>
                <w:color w:val="auto"/>
                <w:szCs w:val="21"/>
                <w:highlight w:val="none"/>
              </w:rPr>
            </w:pPr>
          </w:p>
          <w:p w14:paraId="0DC88A21">
            <w:pPr>
              <w:spacing w:line="360" w:lineRule="auto"/>
              <w:rPr>
                <w:rFonts w:hint="eastAsia" w:ascii="宋体" w:hAnsi="宋体" w:eastAsia="宋体" w:cs="宋体"/>
                <w:color w:val="auto"/>
                <w:szCs w:val="21"/>
                <w:highlight w:val="none"/>
              </w:rPr>
            </w:pPr>
          </w:p>
          <w:p w14:paraId="59D2688B">
            <w:pPr>
              <w:spacing w:line="360" w:lineRule="auto"/>
              <w:rPr>
                <w:rFonts w:hint="eastAsia" w:ascii="宋体" w:hAnsi="宋体" w:eastAsia="宋体" w:cs="宋体"/>
                <w:color w:val="auto"/>
                <w:szCs w:val="21"/>
                <w:highlight w:val="none"/>
              </w:rPr>
            </w:pPr>
          </w:p>
          <w:p w14:paraId="70F78AFE">
            <w:pPr>
              <w:spacing w:line="360" w:lineRule="auto"/>
              <w:rPr>
                <w:rFonts w:hint="eastAsia" w:ascii="宋体" w:hAnsi="宋体" w:eastAsia="宋体" w:cs="宋体"/>
                <w:color w:val="auto"/>
                <w:szCs w:val="21"/>
                <w:highlight w:val="none"/>
              </w:rPr>
            </w:pPr>
          </w:p>
          <w:p w14:paraId="6A420A91">
            <w:pPr>
              <w:spacing w:line="360" w:lineRule="auto"/>
              <w:rPr>
                <w:rFonts w:hint="eastAsia" w:ascii="宋体" w:hAnsi="宋体" w:eastAsia="宋体" w:cs="宋体"/>
                <w:color w:val="auto"/>
                <w:szCs w:val="21"/>
                <w:highlight w:val="none"/>
              </w:rPr>
            </w:pPr>
          </w:p>
        </w:tc>
      </w:tr>
    </w:tbl>
    <w:p w14:paraId="664AC606">
      <w:pPr>
        <w:pStyle w:val="63"/>
        <w:rPr>
          <w:rFonts w:hint="eastAsia" w:ascii="宋体" w:hAnsi="宋体" w:eastAsia="宋体" w:cs="宋体"/>
          <w:color w:val="auto"/>
          <w:highlight w:val="none"/>
        </w:rPr>
      </w:pPr>
    </w:p>
    <w:p w14:paraId="66A8E230">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F2F56B0">
      <w:pPr>
        <w:widowControl/>
        <w:spacing w:line="360" w:lineRule="auto"/>
        <w:ind w:left="150"/>
        <w:jc w:val="both"/>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lang w:val="en-US" w:eastAsia="zh-CN"/>
        </w:rPr>
        <w:t>二</w:t>
      </w:r>
      <w:r>
        <w:rPr>
          <w:rFonts w:hint="eastAsia" w:ascii="宋体" w:hAnsi="宋体" w:eastAsia="宋体" w:cs="宋体"/>
          <w:b/>
          <w:color w:val="auto"/>
          <w:kern w:val="0"/>
          <w:sz w:val="32"/>
          <w:szCs w:val="32"/>
          <w:highlight w:val="none"/>
        </w:rPr>
        <w:t>、本项目的特定资格要求</w:t>
      </w:r>
    </w:p>
    <w:p w14:paraId="00EB7220">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（根据招标公告本项目的特定资格要求提供相应的材料；未要求的，无需提供）</w:t>
      </w:r>
    </w:p>
    <w:p w14:paraId="05957484">
      <w:pPr>
        <w:rPr>
          <w:rFonts w:hint="eastAsia" w:ascii="宋体" w:hAnsi="宋体" w:eastAsia="宋体" w:cs="宋体"/>
          <w:color w:val="auto"/>
          <w:highlight w:val="none"/>
        </w:rPr>
      </w:pPr>
    </w:p>
    <w:p w14:paraId="31A45EBE">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506FAFDF">
      <w:pPr>
        <w:widowControl/>
        <w:spacing w:line="360" w:lineRule="auto"/>
        <w:ind w:left="150"/>
        <w:jc w:val="both"/>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三、投标人直接控股股东及出资信息表</w:t>
      </w:r>
    </w:p>
    <w:p w14:paraId="24D35238">
      <w:pPr>
        <w:rPr>
          <w:rFonts w:hint="eastAsia" w:ascii="宋体" w:hAnsi="宋体" w:eastAsia="宋体" w:cs="宋体"/>
          <w:color w:val="auto"/>
          <w:highlight w:val="none"/>
        </w:rPr>
      </w:pPr>
    </w:p>
    <w:p w14:paraId="5CFA4C43">
      <w:pPr>
        <w:bidi w:val="0"/>
        <w:rPr>
          <w:rFonts w:hint="eastAsia" w:ascii="宋体" w:hAnsi="宋体" w:eastAsia="宋体" w:cs="宋体"/>
          <w:color w:val="auto"/>
          <w:highlight w:val="none"/>
        </w:rPr>
      </w:pPr>
    </w:p>
    <w:p w14:paraId="45D51FFF">
      <w:pPr>
        <w:keepNext w:val="0"/>
        <w:keepLines w:val="0"/>
        <w:pageBreakBefore w:val="0"/>
        <w:kinsoku/>
        <w:wordWrap/>
        <w:overflowPunct/>
        <w:topLinePunct w:val="0"/>
        <w:autoSpaceDE/>
        <w:autoSpaceDN/>
        <w:bidi w:val="0"/>
        <w:adjustRightInd/>
        <w:spacing w:line="400" w:lineRule="exact"/>
        <w:jc w:val="center"/>
        <w:textAlignment w:val="auto"/>
        <w:outlineLvl w:val="9"/>
        <w:rPr>
          <w:rFonts w:hint="eastAsia" w:ascii="宋体" w:hAnsi="宋体" w:eastAsia="宋体" w:cs="宋体"/>
          <w:color w:val="auto"/>
          <w:highlight w:val="none"/>
        </w:rPr>
      </w:pPr>
      <w:r>
        <w:rPr>
          <w:rFonts w:hint="eastAsia" w:ascii="宋体" w:hAnsi="宋体" w:eastAsia="宋体" w:cs="宋体"/>
          <w:b/>
          <w:bCs/>
          <w:color w:val="auto"/>
          <w:sz w:val="30"/>
          <w:szCs w:val="30"/>
          <w:highlight w:val="none"/>
        </w:rPr>
        <w:t>投标人直接</w:t>
      </w:r>
      <w:r>
        <w:rPr>
          <w:rFonts w:hint="eastAsia" w:ascii="宋体" w:hAnsi="宋体" w:eastAsia="宋体" w:cs="宋体"/>
          <w:b/>
          <w:bCs/>
          <w:color w:val="auto"/>
          <w:sz w:val="30"/>
          <w:szCs w:val="30"/>
          <w:highlight w:val="none"/>
          <w:lang w:val="en-US" w:eastAsia="zh-CN"/>
        </w:rPr>
        <w:t>控股</w:t>
      </w:r>
      <w:r>
        <w:rPr>
          <w:rFonts w:hint="eastAsia" w:ascii="宋体" w:hAnsi="宋体" w:eastAsia="宋体" w:cs="宋体"/>
          <w:b/>
          <w:bCs/>
          <w:color w:val="auto"/>
          <w:sz w:val="30"/>
          <w:szCs w:val="30"/>
          <w:highlight w:val="none"/>
        </w:rPr>
        <w:t>股东及出资信息表（格式）</w:t>
      </w:r>
    </w:p>
    <w:tbl>
      <w:tblPr>
        <w:tblStyle w:val="64"/>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2256"/>
        <w:gridCol w:w="1257"/>
        <w:gridCol w:w="3712"/>
        <w:gridCol w:w="815"/>
      </w:tblGrid>
      <w:tr w14:paraId="28A93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noWrap w:val="0"/>
            <w:vAlign w:val="top"/>
          </w:tcPr>
          <w:p w14:paraId="7639047D">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
                <w:bCs/>
                <w:color w:val="auto"/>
                <w:spacing w:val="10"/>
                <w:kern w:val="0"/>
                <w:szCs w:val="21"/>
                <w:highlight w:val="none"/>
              </w:rPr>
            </w:pPr>
            <w:r>
              <w:rPr>
                <w:rFonts w:hint="eastAsia" w:ascii="宋体" w:hAnsi="宋体" w:eastAsia="宋体" w:cs="宋体"/>
                <w:b/>
                <w:bCs/>
                <w:color w:val="auto"/>
                <w:spacing w:val="10"/>
                <w:kern w:val="0"/>
                <w:szCs w:val="21"/>
                <w:highlight w:val="none"/>
              </w:rPr>
              <w:t>序号</w:t>
            </w:r>
          </w:p>
        </w:tc>
        <w:tc>
          <w:tcPr>
            <w:tcW w:w="2256" w:type="dxa"/>
            <w:noWrap w:val="0"/>
            <w:vAlign w:val="top"/>
          </w:tcPr>
          <w:p w14:paraId="487BA0FF">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
                <w:bCs/>
                <w:color w:val="auto"/>
                <w:spacing w:val="10"/>
                <w:kern w:val="0"/>
                <w:szCs w:val="21"/>
                <w:highlight w:val="none"/>
              </w:rPr>
            </w:pPr>
            <w:r>
              <w:rPr>
                <w:rFonts w:hint="eastAsia" w:ascii="宋体" w:hAnsi="宋体" w:eastAsia="宋体" w:cs="宋体"/>
                <w:b/>
                <w:bCs/>
                <w:color w:val="auto"/>
                <w:spacing w:val="10"/>
                <w:kern w:val="0"/>
                <w:szCs w:val="21"/>
                <w:highlight w:val="none"/>
                <w:lang w:val="en-US" w:eastAsia="zh-CN"/>
              </w:rPr>
              <w:t>直接控股</w:t>
            </w:r>
            <w:r>
              <w:rPr>
                <w:rFonts w:hint="eastAsia" w:ascii="宋体" w:hAnsi="宋体" w:eastAsia="宋体" w:cs="宋体"/>
                <w:b/>
                <w:bCs/>
                <w:color w:val="auto"/>
                <w:spacing w:val="10"/>
                <w:kern w:val="0"/>
                <w:szCs w:val="21"/>
                <w:highlight w:val="none"/>
              </w:rPr>
              <w:t>股东名称</w:t>
            </w:r>
          </w:p>
        </w:tc>
        <w:tc>
          <w:tcPr>
            <w:tcW w:w="1257" w:type="dxa"/>
            <w:noWrap w:val="0"/>
            <w:vAlign w:val="top"/>
          </w:tcPr>
          <w:p w14:paraId="2CA0D27B">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出资比例</w:t>
            </w:r>
          </w:p>
        </w:tc>
        <w:tc>
          <w:tcPr>
            <w:tcW w:w="3712" w:type="dxa"/>
            <w:noWrap w:val="0"/>
            <w:vAlign w:val="top"/>
          </w:tcPr>
          <w:p w14:paraId="30F7ECB0">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
                <w:bCs/>
                <w:color w:val="auto"/>
                <w:spacing w:val="10"/>
                <w:kern w:val="0"/>
                <w:szCs w:val="21"/>
                <w:highlight w:val="none"/>
              </w:rPr>
            </w:pPr>
            <w:r>
              <w:rPr>
                <w:rFonts w:hint="eastAsia" w:ascii="宋体" w:hAnsi="宋体" w:eastAsia="宋体" w:cs="宋体"/>
                <w:b/>
                <w:bCs/>
                <w:color w:val="auto"/>
                <w:spacing w:val="10"/>
                <w:kern w:val="0"/>
                <w:szCs w:val="21"/>
                <w:highlight w:val="none"/>
              </w:rPr>
              <w:t>身份证号码（或</w:t>
            </w:r>
            <w:r>
              <w:rPr>
                <w:rFonts w:hint="eastAsia" w:ascii="宋体" w:hAnsi="宋体" w:eastAsia="宋体" w:cs="宋体"/>
                <w:b/>
                <w:bCs/>
                <w:color w:val="auto"/>
                <w:spacing w:val="10"/>
                <w:kern w:val="0"/>
                <w:szCs w:val="21"/>
                <w:highlight w:val="none"/>
                <w:lang w:val="en-US" w:eastAsia="zh-CN"/>
              </w:rPr>
              <w:t>统一社会信用代码</w:t>
            </w:r>
            <w:r>
              <w:rPr>
                <w:rFonts w:hint="eastAsia" w:ascii="宋体" w:hAnsi="宋体" w:eastAsia="宋体" w:cs="宋体"/>
                <w:b/>
                <w:bCs/>
                <w:color w:val="auto"/>
                <w:spacing w:val="10"/>
                <w:kern w:val="0"/>
                <w:szCs w:val="21"/>
                <w:highlight w:val="none"/>
              </w:rPr>
              <w:t>）</w:t>
            </w:r>
          </w:p>
        </w:tc>
        <w:tc>
          <w:tcPr>
            <w:tcW w:w="815" w:type="dxa"/>
            <w:noWrap w:val="0"/>
            <w:vAlign w:val="top"/>
          </w:tcPr>
          <w:p w14:paraId="68F7E903">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备注</w:t>
            </w:r>
          </w:p>
        </w:tc>
      </w:tr>
      <w:tr w14:paraId="1D2ED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noWrap w:val="0"/>
            <w:vAlign w:val="top"/>
          </w:tcPr>
          <w:p w14:paraId="708BB9E0">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Cs/>
                <w:color w:val="auto"/>
                <w:spacing w:val="10"/>
                <w:kern w:val="0"/>
                <w:szCs w:val="21"/>
                <w:highlight w:val="none"/>
              </w:rPr>
            </w:pPr>
            <w:r>
              <w:rPr>
                <w:rFonts w:hint="eastAsia" w:ascii="宋体" w:hAnsi="宋体" w:eastAsia="宋体" w:cs="宋体"/>
                <w:bCs/>
                <w:color w:val="auto"/>
                <w:spacing w:val="10"/>
                <w:kern w:val="0"/>
                <w:szCs w:val="21"/>
                <w:highlight w:val="none"/>
              </w:rPr>
              <w:t>1</w:t>
            </w:r>
          </w:p>
        </w:tc>
        <w:tc>
          <w:tcPr>
            <w:tcW w:w="2256" w:type="dxa"/>
            <w:noWrap w:val="0"/>
            <w:vAlign w:val="top"/>
          </w:tcPr>
          <w:p w14:paraId="115255C2">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1257" w:type="dxa"/>
            <w:noWrap w:val="0"/>
            <w:vAlign w:val="top"/>
          </w:tcPr>
          <w:p w14:paraId="0EE4E909">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3712" w:type="dxa"/>
            <w:noWrap w:val="0"/>
            <w:vAlign w:val="top"/>
          </w:tcPr>
          <w:p w14:paraId="7E8215C5">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815" w:type="dxa"/>
            <w:noWrap w:val="0"/>
            <w:vAlign w:val="top"/>
          </w:tcPr>
          <w:p w14:paraId="13FE290B">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r>
      <w:tr w14:paraId="6DF93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noWrap w:val="0"/>
            <w:vAlign w:val="top"/>
          </w:tcPr>
          <w:p w14:paraId="24B0DC40">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Cs/>
                <w:color w:val="auto"/>
                <w:spacing w:val="10"/>
                <w:kern w:val="0"/>
                <w:szCs w:val="21"/>
                <w:highlight w:val="none"/>
              </w:rPr>
            </w:pPr>
            <w:r>
              <w:rPr>
                <w:rFonts w:hint="eastAsia" w:ascii="宋体" w:hAnsi="宋体" w:eastAsia="宋体" w:cs="宋体"/>
                <w:bCs/>
                <w:color w:val="auto"/>
                <w:spacing w:val="10"/>
                <w:kern w:val="0"/>
                <w:szCs w:val="21"/>
                <w:highlight w:val="none"/>
              </w:rPr>
              <w:t>2</w:t>
            </w:r>
          </w:p>
        </w:tc>
        <w:tc>
          <w:tcPr>
            <w:tcW w:w="2256" w:type="dxa"/>
            <w:noWrap w:val="0"/>
            <w:vAlign w:val="top"/>
          </w:tcPr>
          <w:p w14:paraId="7C9AC374">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1257" w:type="dxa"/>
            <w:noWrap w:val="0"/>
            <w:vAlign w:val="top"/>
          </w:tcPr>
          <w:p w14:paraId="572E2ACD">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3712" w:type="dxa"/>
            <w:noWrap w:val="0"/>
            <w:vAlign w:val="top"/>
          </w:tcPr>
          <w:p w14:paraId="11539A74">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815" w:type="dxa"/>
            <w:noWrap w:val="0"/>
            <w:vAlign w:val="top"/>
          </w:tcPr>
          <w:p w14:paraId="22B5A6E1">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r>
      <w:tr w14:paraId="78EE1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noWrap w:val="0"/>
            <w:vAlign w:val="top"/>
          </w:tcPr>
          <w:p w14:paraId="7168D150">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Cs/>
                <w:color w:val="auto"/>
                <w:spacing w:val="10"/>
                <w:kern w:val="0"/>
                <w:szCs w:val="21"/>
                <w:highlight w:val="none"/>
                <w:lang w:val="en-US" w:eastAsia="zh-CN"/>
              </w:rPr>
            </w:pPr>
            <w:r>
              <w:rPr>
                <w:rFonts w:hint="eastAsia" w:ascii="宋体" w:hAnsi="宋体" w:eastAsia="宋体" w:cs="宋体"/>
                <w:bCs/>
                <w:color w:val="auto"/>
                <w:spacing w:val="10"/>
                <w:kern w:val="0"/>
                <w:szCs w:val="21"/>
                <w:highlight w:val="none"/>
                <w:lang w:val="en-US" w:eastAsia="zh-CN"/>
              </w:rPr>
              <w:t>3</w:t>
            </w:r>
          </w:p>
        </w:tc>
        <w:tc>
          <w:tcPr>
            <w:tcW w:w="2256" w:type="dxa"/>
            <w:noWrap w:val="0"/>
            <w:vAlign w:val="top"/>
          </w:tcPr>
          <w:p w14:paraId="06D03025">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1257" w:type="dxa"/>
            <w:noWrap w:val="0"/>
            <w:vAlign w:val="top"/>
          </w:tcPr>
          <w:p w14:paraId="765054D9">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3712" w:type="dxa"/>
            <w:noWrap w:val="0"/>
            <w:vAlign w:val="top"/>
          </w:tcPr>
          <w:p w14:paraId="76DBD8A1">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815" w:type="dxa"/>
            <w:noWrap w:val="0"/>
            <w:vAlign w:val="top"/>
          </w:tcPr>
          <w:p w14:paraId="24EBD188">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r>
      <w:tr w14:paraId="15BDC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noWrap w:val="0"/>
            <w:vAlign w:val="top"/>
          </w:tcPr>
          <w:p w14:paraId="0A3DA79F">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Cs/>
                <w:color w:val="auto"/>
                <w:spacing w:val="10"/>
                <w:kern w:val="0"/>
                <w:szCs w:val="21"/>
                <w:highlight w:val="none"/>
                <w:lang w:val="en-US" w:eastAsia="zh-CN"/>
              </w:rPr>
            </w:pPr>
            <w:r>
              <w:rPr>
                <w:rFonts w:hint="eastAsia" w:ascii="宋体" w:hAnsi="宋体" w:eastAsia="宋体" w:cs="宋体"/>
                <w:bCs/>
                <w:color w:val="auto"/>
                <w:spacing w:val="10"/>
                <w:kern w:val="0"/>
                <w:szCs w:val="21"/>
                <w:highlight w:val="none"/>
                <w:lang w:val="en-US" w:eastAsia="zh-CN"/>
              </w:rPr>
              <w:t>.....</w:t>
            </w:r>
          </w:p>
        </w:tc>
        <w:tc>
          <w:tcPr>
            <w:tcW w:w="2256" w:type="dxa"/>
            <w:noWrap w:val="0"/>
            <w:vAlign w:val="top"/>
          </w:tcPr>
          <w:p w14:paraId="4864D6B8">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1257" w:type="dxa"/>
            <w:noWrap w:val="0"/>
            <w:vAlign w:val="top"/>
          </w:tcPr>
          <w:p w14:paraId="3CEB3F8E">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3712" w:type="dxa"/>
            <w:noWrap w:val="0"/>
            <w:vAlign w:val="top"/>
          </w:tcPr>
          <w:p w14:paraId="75DCBA9F">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815" w:type="dxa"/>
            <w:noWrap w:val="0"/>
            <w:vAlign w:val="top"/>
          </w:tcPr>
          <w:p w14:paraId="2085636F">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r>
    </w:tbl>
    <w:p w14:paraId="513E269E">
      <w:pPr>
        <w:keepNext w:val="0"/>
        <w:keepLines w:val="0"/>
        <w:pageBreakBefore w:val="0"/>
        <w:widowControl w:val="0"/>
        <w:kinsoku/>
        <w:overflowPunct/>
        <w:topLinePunct w:val="0"/>
        <w:autoSpaceDE/>
        <w:autoSpaceDN/>
        <w:bidi w:val="0"/>
        <w:adjustRightInd/>
        <w:snapToGrid w:val="0"/>
        <w:spacing w:line="400" w:lineRule="exact"/>
        <w:textAlignment w:val="auto"/>
        <w:outlineLvl w:val="9"/>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说明：</w:t>
      </w:r>
    </w:p>
    <w:p w14:paraId="1A05C778">
      <w:pPr>
        <w:keepNext w:val="0"/>
        <w:keepLines w:val="0"/>
        <w:pageBreakBefore w:val="0"/>
        <w:widowControl w:val="0"/>
        <w:kinsoku/>
        <w:overflowPunct/>
        <w:topLinePunct w:val="0"/>
        <w:autoSpaceDE/>
        <w:autoSpaceDN/>
        <w:bidi w:val="0"/>
        <w:adjustRightInd/>
        <w:snapToGrid w:val="0"/>
        <w:spacing w:line="400" w:lineRule="exact"/>
        <w:ind w:firstLine="420" w:firstLineChars="200"/>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en-US" w:eastAsia="zh-CN"/>
        </w:rPr>
        <w:t>.直接控股股东：是指其出资额占有限责任公司总资本百分之五十以上或者其持有的股份占股份有限公司股份总额百分之五十以上的股东；出资额或持有股份的比例虽然不足百分之五十，但依其出资额或者持有的股份所享有的表决权已足以对股东、股东大会的决议产生重大影响的股东。</w:t>
      </w:r>
    </w:p>
    <w:p w14:paraId="39564A62">
      <w:pPr>
        <w:keepNext w:val="0"/>
        <w:keepLines w:val="0"/>
        <w:pageBreakBefore w:val="0"/>
        <w:widowControl w:val="0"/>
        <w:kinsoku/>
        <w:overflowPunct/>
        <w:topLinePunct w:val="0"/>
        <w:autoSpaceDE/>
        <w:autoSpaceDN/>
        <w:bidi w:val="0"/>
        <w:adjustRightInd/>
        <w:snapToGrid w:val="0"/>
        <w:spacing w:line="400" w:lineRule="exact"/>
        <w:ind w:firstLine="420" w:firstLineChars="200"/>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2.本表所指的控股关系仅限于直接控股关系，不包括间接的控股关系。公司实际控制人与公司之间的关系不属于本表所指的直接控股关系。</w:t>
      </w:r>
    </w:p>
    <w:p w14:paraId="7FA6CC01">
      <w:pPr>
        <w:keepNext w:val="0"/>
        <w:keepLines w:val="0"/>
        <w:pageBreakBefore w:val="0"/>
        <w:widowControl w:val="0"/>
        <w:kinsoku/>
        <w:overflowPunct/>
        <w:topLinePunct w:val="0"/>
        <w:autoSpaceDE/>
        <w:autoSpaceDN/>
        <w:bidi w:val="0"/>
        <w:adjustRightInd/>
        <w:snapToGrid w:val="0"/>
        <w:spacing w:line="400" w:lineRule="exact"/>
        <w:ind w:firstLine="420" w:firstLineChars="200"/>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3.各股东名称必须与《国家企业信用信息公示系统》（网址：http</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//www.gsxt.gov.cn/index.html）</w:t>
      </w:r>
      <w:r>
        <w:rPr>
          <w:rFonts w:hint="eastAsia" w:ascii="宋体" w:hAnsi="宋体" w:eastAsia="宋体" w:cs="宋体"/>
          <w:b w:val="0"/>
          <w:bCs w:val="0"/>
          <w:color w:val="auto"/>
          <w:sz w:val="21"/>
          <w:szCs w:val="21"/>
          <w:highlight w:val="none"/>
          <w:lang w:val="en-US" w:eastAsia="zh-CN"/>
        </w:rPr>
        <w:fldChar w:fldCharType="begin"/>
      </w:r>
      <w:r>
        <w:rPr>
          <w:rFonts w:hint="eastAsia" w:ascii="宋体" w:hAnsi="宋体" w:eastAsia="宋体" w:cs="宋体"/>
          <w:b w:val="0"/>
          <w:bCs w:val="0"/>
          <w:color w:val="auto"/>
          <w:sz w:val="21"/>
          <w:szCs w:val="21"/>
          <w:highlight w:val="none"/>
          <w:lang w:val="en-US" w:eastAsia="zh-CN"/>
        </w:rPr>
        <w:instrText xml:space="preserve"> HYPERLINK "http://www.gsxt.gov.cn/index.html）\“股东及出资信息\”的信息相符，否则竞标文件作无效处理。" </w:instrText>
      </w:r>
      <w:r>
        <w:rPr>
          <w:rFonts w:hint="eastAsia" w:ascii="宋体" w:hAnsi="宋体" w:eastAsia="宋体" w:cs="宋体"/>
          <w:b w:val="0"/>
          <w:bCs w:val="0"/>
          <w:color w:val="auto"/>
          <w:sz w:val="21"/>
          <w:szCs w:val="21"/>
          <w:highlight w:val="none"/>
          <w:lang w:val="en-US" w:eastAsia="zh-CN"/>
        </w:rPr>
        <w:fldChar w:fldCharType="separate"/>
      </w:r>
      <w:r>
        <w:rPr>
          <w:rFonts w:hint="eastAsia" w:ascii="宋体" w:hAnsi="宋体" w:eastAsia="宋体" w:cs="宋体"/>
          <w:b w:val="0"/>
          <w:bCs w:val="0"/>
          <w:color w:val="auto"/>
          <w:sz w:val="21"/>
          <w:szCs w:val="21"/>
          <w:highlight w:val="none"/>
          <w:lang w:val="en-US" w:eastAsia="zh-CN"/>
        </w:rPr>
        <w:t>“股东及出资信息”的信息相符，否则投标文件作无效处理。</w:t>
      </w:r>
      <w:r>
        <w:rPr>
          <w:rFonts w:hint="eastAsia" w:ascii="宋体" w:hAnsi="宋体" w:eastAsia="宋体" w:cs="宋体"/>
          <w:b w:val="0"/>
          <w:bCs w:val="0"/>
          <w:color w:val="auto"/>
          <w:sz w:val="21"/>
          <w:szCs w:val="21"/>
          <w:highlight w:val="none"/>
          <w:lang w:val="en-US" w:eastAsia="zh-CN"/>
        </w:rPr>
        <w:fldChar w:fldCharType="end"/>
      </w:r>
    </w:p>
    <w:p w14:paraId="3B42B03C">
      <w:pPr>
        <w:keepNext w:val="0"/>
        <w:keepLines w:val="0"/>
        <w:pageBreakBefore w:val="0"/>
        <w:widowControl w:val="0"/>
        <w:kinsoku/>
        <w:overflowPunct/>
        <w:topLinePunct w:val="0"/>
        <w:autoSpaceDE/>
        <w:autoSpaceDN/>
        <w:bidi w:val="0"/>
        <w:adjustRightInd/>
        <w:snapToGrid w:val="0"/>
        <w:spacing w:line="400" w:lineRule="exact"/>
        <w:ind w:firstLine="420" w:firstLineChars="200"/>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4.投标人</w:t>
      </w:r>
      <w:r>
        <w:rPr>
          <w:rFonts w:hint="eastAsia" w:ascii="宋体" w:hAnsi="宋体" w:eastAsia="宋体" w:cs="宋体"/>
          <w:b w:val="0"/>
          <w:bCs w:val="0"/>
          <w:color w:val="auto"/>
          <w:sz w:val="21"/>
          <w:szCs w:val="21"/>
          <w:highlight w:val="none"/>
        </w:rPr>
        <w:t>如为事业单位、其他团体组织、个人的，不需要提供本表。</w:t>
      </w:r>
    </w:p>
    <w:p w14:paraId="6581E4A7">
      <w:pPr>
        <w:keepNext w:val="0"/>
        <w:keepLines w:val="0"/>
        <w:pageBreakBefore w:val="0"/>
        <w:widowControl w:val="0"/>
        <w:kinsoku/>
        <w:overflowPunct/>
        <w:topLinePunct w:val="0"/>
        <w:autoSpaceDE/>
        <w:autoSpaceDN/>
        <w:bidi w:val="0"/>
        <w:adjustRightInd/>
        <w:snapToGrid w:val="0"/>
        <w:spacing w:line="400" w:lineRule="exact"/>
        <w:ind w:firstLine="420" w:firstLineChars="200"/>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5.投标人</w:t>
      </w:r>
      <w:r>
        <w:rPr>
          <w:rFonts w:hint="eastAsia" w:ascii="宋体" w:hAnsi="宋体" w:eastAsia="宋体" w:cs="宋体"/>
          <w:b w:val="0"/>
          <w:bCs w:val="0"/>
          <w:color w:val="auto"/>
          <w:sz w:val="21"/>
          <w:szCs w:val="21"/>
          <w:highlight w:val="none"/>
        </w:rPr>
        <w:t>不存在直接控股股东的，则填“无”。</w:t>
      </w:r>
    </w:p>
    <w:p w14:paraId="27928B59">
      <w:pPr>
        <w:jc w:val="right"/>
        <w:outlineLvl w:val="9"/>
        <w:rPr>
          <w:rFonts w:hint="eastAsia" w:ascii="宋体" w:hAnsi="宋体" w:eastAsia="宋体" w:cs="宋体"/>
          <w:b/>
          <w:bCs/>
          <w:color w:val="auto"/>
          <w:sz w:val="21"/>
          <w:szCs w:val="21"/>
          <w:highlight w:val="none"/>
          <w:lang w:val="en-US" w:eastAsia="zh-CN"/>
        </w:rPr>
      </w:pPr>
    </w:p>
    <w:p w14:paraId="7B9719C1">
      <w:pPr>
        <w:jc w:val="right"/>
        <w:outlineLvl w:val="9"/>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投标人名称</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电子公章</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eastAsia="zh-CN"/>
        </w:rPr>
        <w:t>：</w:t>
      </w:r>
    </w:p>
    <w:p w14:paraId="0B57BD6D">
      <w:pP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br w:type="page"/>
      </w:r>
    </w:p>
    <w:p w14:paraId="4A981978">
      <w:pPr>
        <w:bidi w:val="0"/>
        <w:jc w:val="both"/>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val="en-US" w:eastAsia="zh-CN"/>
        </w:rPr>
        <w:t>四、投标人直接管理关系信息表</w:t>
      </w:r>
    </w:p>
    <w:p w14:paraId="41FEDA96">
      <w:pPr>
        <w:keepNext w:val="0"/>
        <w:keepLines w:val="0"/>
        <w:pageBreakBefore w:val="0"/>
        <w:kinsoku/>
        <w:wordWrap/>
        <w:overflowPunct/>
        <w:topLinePunct w:val="0"/>
        <w:autoSpaceDE/>
        <w:autoSpaceDN/>
        <w:bidi w:val="0"/>
        <w:adjustRightInd/>
        <w:spacing w:before="159" w:beforeLines="50" w:beforeAutospacing="0" w:line="400" w:lineRule="exact"/>
        <w:jc w:val="center"/>
        <w:textAlignment w:val="auto"/>
        <w:outlineLvl w:val="9"/>
        <w:rPr>
          <w:rFonts w:hint="eastAsia" w:ascii="宋体" w:hAnsi="宋体" w:eastAsia="宋体" w:cs="宋体"/>
          <w:b/>
          <w:bCs/>
          <w:color w:val="auto"/>
          <w:sz w:val="30"/>
          <w:szCs w:val="30"/>
          <w:highlight w:val="none"/>
        </w:rPr>
      </w:pPr>
    </w:p>
    <w:p w14:paraId="189DDFDF">
      <w:pPr>
        <w:keepNext w:val="0"/>
        <w:keepLines w:val="0"/>
        <w:pageBreakBefore w:val="0"/>
        <w:kinsoku/>
        <w:wordWrap/>
        <w:overflowPunct/>
        <w:topLinePunct w:val="0"/>
        <w:autoSpaceDE/>
        <w:autoSpaceDN/>
        <w:bidi w:val="0"/>
        <w:adjustRightInd/>
        <w:spacing w:before="159" w:beforeLines="50" w:beforeAutospacing="0" w:line="400" w:lineRule="exact"/>
        <w:jc w:val="center"/>
        <w:textAlignment w:val="auto"/>
        <w:outlineLvl w:val="9"/>
        <w:rPr>
          <w:rFonts w:hint="eastAsia" w:ascii="宋体" w:hAnsi="宋体" w:eastAsia="宋体" w:cs="宋体"/>
          <w:color w:val="auto"/>
          <w:highlight w:val="none"/>
        </w:rPr>
      </w:pPr>
      <w:r>
        <w:rPr>
          <w:rFonts w:hint="eastAsia" w:ascii="宋体" w:hAnsi="宋体" w:eastAsia="宋体" w:cs="宋体"/>
          <w:b/>
          <w:bCs/>
          <w:color w:val="auto"/>
          <w:sz w:val="30"/>
          <w:szCs w:val="30"/>
          <w:highlight w:val="none"/>
        </w:rPr>
        <w:t>投标人</w:t>
      </w:r>
      <w:r>
        <w:rPr>
          <w:rFonts w:hint="eastAsia" w:ascii="宋体" w:hAnsi="宋体" w:eastAsia="宋体" w:cs="宋体"/>
          <w:b/>
          <w:bCs/>
          <w:color w:val="auto"/>
          <w:sz w:val="30"/>
          <w:szCs w:val="30"/>
          <w:highlight w:val="none"/>
          <w:lang w:val="en-US" w:eastAsia="zh-CN"/>
        </w:rPr>
        <w:t>直接管理关系</w:t>
      </w:r>
      <w:r>
        <w:rPr>
          <w:rFonts w:hint="eastAsia" w:ascii="宋体" w:hAnsi="宋体" w:eastAsia="宋体" w:cs="宋体"/>
          <w:b/>
          <w:bCs/>
          <w:color w:val="auto"/>
          <w:sz w:val="30"/>
          <w:szCs w:val="30"/>
          <w:highlight w:val="none"/>
        </w:rPr>
        <w:t>信息表（格式）</w:t>
      </w:r>
    </w:p>
    <w:tbl>
      <w:tblPr>
        <w:tblStyle w:val="64"/>
        <w:tblW w:w="86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3077"/>
        <w:gridCol w:w="2805"/>
        <w:gridCol w:w="1648"/>
      </w:tblGrid>
      <w:tr w14:paraId="3F897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noWrap w:val="0"/>
            <w:vAlign w:val="top"/>
          </w:tcPr>
          <w:p w14:paraId="20E8BF70">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
                <w:bCs/>
                <w:color w:val="auto"/>
                <w:spacing w:val="10"/>
                <w:kern w:val="0"/>
                <w:szCs w:val="21"/>
                <w:highlight w:val="none"/>
              </w:rPr>
            </w:pPr>
            <w:r>
              <w:rPr>
                <w:rFonts w:hint="eastAsia" w:ascii="宋体" w:hAnsi="宋体" w:eastAsia="宋体" w:cs="宋体"/>
                <w:b/>
                <w:bCs/>
                <w:color w:val="auto"/>
                <w:spacing w:val="10"/>
                <w:kern w:val="0"/>
                <w:szCs w:val="21"/>
                <w:highlight w:val="none"/>
              </w:rPr>
              <w:t>序号</w:t>
            </w:r>
          </w:p>
        </w:tc>
        <w:tc>
          <w:tcPr>
            <w:tcW w:w="3077" w:type="dxa"/>
            <w:noWrap w:val="0"/>
            <w:vAlign w:val="top"/>
          </w:tcPr>
          <w:p w14:paraId="239B80CE">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
                <w:bCs/>
                <w:color w:val="auto"/>
                <w:spacing w:val="10"/>
                <w:kern w:val="0"/>
                <w:szCs w:val="21"/>
                <w:highlight w:val="none"/>
                <w:lang w:val="en-US" w:eastAsia="zh-CN"/>
              </w:rPr>
            </w:pPr>
            <w:r>
              <w:rPr>
                <w:rFonts w:hint="eastAsia" w:ascii="宋体" w:hAnsi="宋体" w:eastAsia="宋体" w:cs="宋体"/>
                <w:b/>
                <w:bCs/>
                <w:color w:val="auto"/>
                <w:spacing w:val="10"/>
                <w:kern w:val="0"/>
                <w:szCs w:val="21"/>
                <w:highlight w:val="none"/>
                <w:lang w:val="en-US" w:eastAsia="zh-CN"/>
              </w:rPr>
              <w:t>直接管理关系单位名称</w:t>
            </w:r>
          </w:p>
        </w:tc>
        <w:tc>
          <w:tcPr>
            <w:tcW w:w="2805" w:type="dxa"/>
            <w:noWrap w:val="0"/>
            <w:vAlign w:val="top"/>
          </w:tcPr>
          <w:p w14:paraId="03034038">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
                <w:bCs/>
                <w:color w:val="auto"/>
                <w:spacing w:val="10"/>
                <w:kern w:val="0"/>
                <w:szCs w:val="21"/>
                <w:highlight w:val="none"/>
              </w:rPr>
            </w:pPr>
            <w:r>
              <w:rPr>
                <w:rFonts w:hint="eastAsia" w:ascii="宋体" w:hAnsi="宋体" w:eastAsia="宋体" w:cs="宋体"/>
                <w:b/>
                <w:bCs/>
                <w:color w:val="auto"/>
                <w:spacing w:val="10"/>
                <w:kern w:val="0"/>
                <w:szCs w:val="21"/>
                <w:highlight w:val="none"/>
                <w:lang w:val="en-US" w:eastAsia="zh-CN"/>
              </w:rPr>
              <w:t>统一社会信用代码</w:t>
            </w:r>
          </w:p>
        </w:tc>
        <w:tc>
          <w:tcPr>
            <w:tcW w:w="1648" w:type="dxa"/>
            <w:noWrap w:val="0"/>
            <w:vAlign w:val="top"/>
          </w:tcPr>
          <w:p w14:paraId="477769C7">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备注</w:t>
            </w:r>
          </w:p>
        </w:tc>
      </w:tr>
      <w:tr w14:paraId="78B06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noWrap w:val="0"/>
            <w:vAlign w:val="top"/>
          </w:tcPr>
          <w:p w14:paraId="73197461">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Cs/>
                <w:color w:val="auto"/>
                <w:spacing w:val="10"/>
                <w:kern w:val="0"/>
                <w:szCs w:val="21"/>
                <w:highlight w:val="none"/>
              </w:rPr>
            </w:pPr>
            <w:r>
              <w:rPr>
                <w:rFonts w:hint="eastAsia" w:ascii="宋体" w:hAnsi="宋体" w:eastAsia="宋体" w:cs="宋体"/>
                <w:bCs/>
                <w:color w:val="auto"/>
                <w:spacing w:val="10"/>
                <w:kern w:val="0"/>
                <w:szCs w:val="21"/>
                <w:highlight w:val="none"/>
              </w:rPr>
              <w:t>1</w:t>
            </w:r>
          </w:p>
        </w:tc>
        <w:tc>
          <w:tcPr>
            <w:tcW w:w="3077" w:type="dxa"/>
            <w:noWrap w:val="0"/>
            <w:vAlign w:val="top"/>
          </w:tcPr>
          <w:p w14:paraId="03A9FCB7">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2805" w:type="dxa"/>
            <w:noWrap w:val="0"/>
            <w:vAlign w:val="top"/>
          </w:tcPr>
          <w:p w14:paraId="17CECEED">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1648" w:type="dxa"/>
            <w:noWrap w:val="0"/>
            <w:vAlign w:val="top"/>
          </w:tcPr>
          <w:p w14:paraId="733E55B3">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r>
      <w:tr w14:paraId="0B7D0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noWrap w:val="0"/>
            <w:vAlign w:val="top"/>
          </w:tcPr>
          <w:p w14:paraId="1BBB446E">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Cs/>
                <w:color w:val="auto"/>
                <w:spacing w:val="10"/>
                <w:kern w:val="0"/>
                <w:szCs w:val="21"/>
                <w:highlight w:val="none"/>
              </w:rPr>
            </w:pPr>
            <w:r>
              <w:rPr>
                <w:rFonts w:hint="eastAsia" w:ascii="宋体" w:hAnsi="宋体" w:eastAsia="宋体" w:cs="宋体"/>
                <w:bCs/>
                <w:color w:val="auto"/>
                <w:spacing w:val="10"/>
                <w:kern w:val="0"/>
                <w:szCs w:val="21"/>
                <w:highlight w:val="none"/>
              </w:rPr>
              <w:t>2</w:t>
            </w:r>
          </w:p>
        </w:tc>
        <w:tc>
          <w:tcPr>
            <w:tcW w:w="3077" w:type="dxa"/>
            <w:noWrap w:val="0"/>
            <w:vAlign w:val="top"/>
          </w:tcPr>
          <w:p w14:paraId="26D97BA3">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2805" w:type="dxa"/>
            <w:noWrap w:val="0"/>
            <w:vAlign w:val="top"/>
          </w:tcPr>
          <w:p w14:paraId="301239AD">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1648" w:type="dxa"/>
            <w:noWrap w:val="0"/>
            <w:vAlign w:val="top"/>
          </w:tcPr>
          <w:p w14:paraId="718F5A52">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r>
      <w:tr w14:paraId="4625E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noWrap w:val="0"/>
            <w:vAlign w:val="top"/>
          </w:tcPr>
          <w:p w14:paraId="7DED9D58">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Cs/>
                <w:color w:val="auto"/>
                <w:spacing w:val="10"/>
                <w:kern w:val="0"/>
                <w:szCs w:val="21"/>
                <w:highlight w:val="none"/>
                <w:lang w:val="en-US" w:eastAsia="zh-CN"/>
              </w:rPr>
            </w:pPr>
            <w:r>
              <w:rPr>
                <w:rFonts w:hint="eastAsia" w:ascii="宋体" w:hAnsi="宋体" w:eastAsia="宋体" w:cs="宋体"/>
                <w:bCs/>
                <w:color w:val="auto"/>
                <w:spacing w:val="10"/>
                <w:kern w:val="0"/>
                <w:szCs w:val="21"/>
                <w:highlight w:val="none"/>
                <w:lang w:val="en-US" w:eastAsia="zh-CN"/>
              </w:rPr>
              <w:t>.....</w:t>
            </w:r>
          </w:p>
        </w:tc>
        <w:tc>
          <w:tcPr>
            <w:tcW w:w="3077" w:type="dxa"/>
            <w:noWrap w:val="0"/>
            <w:vAlign w:val="top"/>
          </w:tcPr>
          <w:p w14:paraId="06D4F348">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2805" w:type="dxa"/>
            <w:noWrap w:val="0"/>
            <w:vAlign w:val="top"/>
          </w:tcPr>
          <w:p w14:paraId="2CA03B0B">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1648" w:type="dxa"/>
            <w:noWrap w:val="0"/>
            <w:vAlign w:val="top"/>
          </w:tcPr>
          <w:p w14:paraId="5CF6E73C">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r>
    </w:tbl>
    <w:p w14:paraId="62A930B2">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说明：</w:t>
      </w:r>
    </w:p>
    <w:p w14:paraId="27E34FD3">
      <w:pPr>
        <w:keepNext w:val="0"/>
        <w:keepLines w:val="0"/>
        <w:pageBreakBefore w:val="0"/>
        <w:numPr>
          <w:ilvl w:val="0"/>
          <w:numId w:val="0"/>
        </w:numPr>
        <w:kinsoku/>
        <w:wordWrap/>
        <w:overflowPunct/>
        <w:topLinePunct w:val="0"/>
        <w:autoSpaceDE/>
        <w:autoSpaceDN/>
        <w:bidi w:val="0"/>
        <w:adjustRightInd/>
        <w:spacing w:line="40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kern w:val="2"/>
          <w:sz w:val="21"/>
          <w:szCs w:val="24"/>
          <w:highlight w:val="none"/>
          <w:lang w:val="en-US" w:eastAsia="zh-CN" w:bidi="ar-SA"/>
        </w:rPr>
        <w:t>1.</w:t>
      </w:r>
      <w:r>
        <w:rPr>
          <w:rFonts w:hint="eastAsia" w:ascii="宋体" w:hAnsi="宋体" w:eastAsia="宋体" w:cs="宋体"/>
          <w:color w:val="auto"/>
          <w:highlight w:val="none"/>
          <w:lang w:val="en-US" w:eastAsia="zh-CN"/>
        </w:rPr>
        <w:t>管理关系：是指不具有出资持股关系的其他单位之间的管理与被管理关系。</w:t>
      </w:r>
    </w:p>
    <w:p w14:paraId="7BEB3479">
      <w:pPr>
        <w:keepNext w:val="0"/>
        <w:keepLines w:val="0"/>
        <w:pageBreakBefore w:val="0"/>
        <w:numPr>
          <w:ilvl w:val="0"/>
          <w:numId w:val="0"/>
        </w:numPr>
        <w:kinsoku/>
        <w:wordWrap/>
        <w:overflowPunct/>
        <w:topLinePunct w:val="0"/>
        <w:autoSpaceDE/>
        <w:autoSpaceDN/>
        <w:bidi w:val="0"/>
        <w:adjustRightInd/>
        <w:spacing w:line="40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kern w:val="2"/>
          <w:sz w:val="21"/>
          <w:szCs w:val="24"/>
          <w:highlight w:val="none"/>
          <w:lang w:val="en-US" w:eastAsia="zh-CN" w:bidi="ar-SA"/>
        </w:rPr>
        <w:t>2.</w:t>
      </w:r>
      <w:r>
        <w:rPr>
          <w:rFonts w:hint="eastAsia" w:ascii="宋体" w:hAnsi="宋体" w:eastAsia="宋体" w:cs="宋体"/>
          <w:color w:val="auto"/>
          <w:highlight w:val="none"/>
          <w:lang w:val="en-US" w:eastAsia="zh-CN"/>
        </w:rPr>
        <w:t>本表所指的管理关系仅限于直接管理关系，不包含间接的管理关系。</w:t>
      </w:r>
    </w:p>
    <w:p w14:paraId="621D9B58">
      <w:pPr>
        <w:pStyle w:val="60"/>
        <w:widowControl w:val="0"/>
        <w:adjustRightInd w:val="0"/>
        <w:snapToGrid w:val="0"/>
        <w:spacing w:before="0" w:beforeAutospacing="0" w:after="0" w:afterAutospacing="0"/>
        <w:jc w:val="right"/>
        <w:outlineLvl w:val="9"/>
        <w:rPr>
          <w:rFonts w:hint="eastAsia" w:ascii="宋体" w:hAnsi="宋体" w:eastAsia="宋体" w:cs="宋体"/>
          <w:b w:val="0"/>
          <w:bCs w:val="0"/>
          <w:color w:val="auto"/>
          <w:sz w:val="21"/>
          <w:szCs w:val="21"/>
          <w:highlight w:val="none"/>
        </w:rPr>
      </w:pPr>
    </w:p>
    <w:p w14:paraId="28FCA1C9">
      <w:pPr>
        <w:bidi w:val="0"/>
        <w:jc w:val="right"/>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投标人名称</w:t>
      </w:r>
      <w:r>
        <w:rPr>
          <w:rFonts w:hint="eastAsia" w:ascii="宋体" w:hAnsi="宋体" w:eastAsia="宋体" w:cs="宋体"/>
          <w:b/>
          <w:bCs/>
          <w:color w:val="auto"/>
          <w:highlight w:val="none"/>
        </w:rPr>
        <w:t>（</w:t>
      </w:r>
      <w:r>
        <w:rPr>
          <w:rFonts w:hint="eastAsia" w:ascii="宋体" w:hAnsi="宋体" w:eastAsia="宋体" w:cs="宋体"/>
          <w:b/>
          <w:bCs/>
          <w:color w:val="auto"/>
          <w:highlight w:val="none"/>
          <w:lang w:val="en-US" w:eastAsia="zh-CN"/>
        </w:rPr>
        <w:t>电子公章</w:t>
      </w:r>
      <w:r>
        <w:rPr>
          <w:rFonts w:hint="eastAsia" w:ascii="宋体" w:hAnsi="宋体" w:eastAsia="宋体" w:cs="宋体"/>
          <w:b/>
          <w:bCs/>
          <w:color w:val="auto"/>
          <w:highlight w:val="none"/>
        </w:rPr>
        <w:t>）</w:t>
      </w:r>
      <w:r>
        <w:rPr>
          <w:rFonts w:hint="eastAsia" w:ascii="宋体" w:hAnsi="宋体" w:eastAsia="宋体" w:cs="宋体"/>
          <w:b/>
          <w:bCs/>
          <w:color w:val="auto"/>
          <w:highlight w:val="none"/>
          <w:lang w:eastAsia="zh-CN"/>
        </w:rPr>
        <w:t>：</w:t>
      </w:r>
    </w:p>
    <w:p w14:paraId="28359558">
      <w:pPr>
        <w:pStyle w:val="63"/>
        <w:rPr>
          <w:rFonts w:hint="eastAsia" w:ascii="宋体" w:hAnsi="宋体" w:eastAsia="宋体" w:cs="宋体"/>
          <w:color w:val="auto"/>
          <w:highlight w:val="none"/>
          <w:lang w:eastAsia="zh-CN"/>
        </w:rPr>
      </w:pPr>
    </w:p>
    <w:p w14:paraId="208F2DF7">
      <w:pPr>
        <w:widowControl/>
        <w:adjustRightInd/>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1D5B038C">
      <w:pPr>
        <w:widowControl/>
        <w:adjustRightInd/>
        <w:jc w:val="center"/>
        <w:outlineLvl w:val="9"/>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商务技术文件部分</w:t>
      </w:r>
    </w:p>
    <w:p w14:paraId="169B232B">
      <w:pPr>
        <w:pStyle w:val="63"/>
        <w:jc w:val="center"/>
        <w:outlineLvl w:val="1"/>
        <w:rPr>
          <w:rFonts w:hint="eastAsia" w:ascii="宋体" w:hAnsi="宋体" w:eastAsia="宋体" w:cs="宋体"/>
          <w:color w:val="auto"/>
          <w:highlight w:val="none"/>
          <w:lang w:val="en-US" w:eastAsia="zh-CN"/>
        </w:rPr>
      </w:pPr>
      <w:r>
        <w:rPr>
          <w:rFonts w:hint="eastAsia" w:ascii="宋体" w:hAnsi="宋体" w:eastAsia="宋体" w:cs="宋体"/>
          <w:b/>
          <w:color w:val="auto"/>
          <w:kern w:val="0"/>
          <w:sz w:val="36"/>
          <w:szCs w:val="36"/>
          <w:highlight w:val="none"/>
          <w:lang w:val="en-US" w:eastAsia="zh-CN"/>
        </w:rPr>
        <w:t>商务部分</w:t>
      </w:r>
    </w:p>
    <w:p w14:paraId="418B29E5">
      <w:pPr>
        <w:spacing w:line="360" w:lineRule="auto"/>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目录</w:t>
      </w:r>
    </w:p>
    <w:p w14:paraId="39379FAE">
      <w:pPr>
        <w:numPr>
          <w:ilvl w:val="0"/>
          <w:numId w:val="0"/>
        </w:numPr>
        <w:snapToGrid w:val="0"/>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（1）无串通投标行为的承诺函…………………………………………………（页码）</w:t>
      </w:r>
    </w:p>
    <w:p w14:paraId="41353EE7">
      <w:pPr>
        <w:numPr>
          <w:ilvl w:val="0"/>
          <w:numId w:val="0"/>
        </w:numPr>
        <w:snapToGrid w:val="0"/>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（2）投标声明书…………………………………………………………………（页码）</w:t>
      </w:r>
    </w:p>
    <w:p w14:paraId="3851FE21">
      <w:pPr>
        <w:snapToGrid w:val="0"/>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（3）法定代表人（负责人）身份证明书………………………………………（页码）</w:t>
      </w:r>
    </w:p>
    <w:p w14:paraId="21A2919F">
      <w:pPr>
        <w:snapToGrid w:val="0"/>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（4）法定代表人(负责人)授权委托书和委托代理人身份证复印件…………（页码）</w:t>
      </w:r>
    </w:p>
    <w:p w14:paraId="6F38FF4C">
      <w:pPr>
        <w:snapToGrid w:val="0"/>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（5）商务响应表…………………………………………………………………（页码）</w:t>
      </w:r>
    </w:p>
    <w:p w14:paraId="3FB4A8CC">
      <w:pPr>
        <w:snapToGrid w:val="0"/>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（6）投标人情况介绍……………………………………………………………（页码）</w:t>
      </w:r>
    </w:p>
    <w:p w14:paraId="16F25898">
      <w:pPr>
        <w:snapToGrid w:val="0"/>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（7）投标人的类似成功案例的业绩证明文件…………………………………（页码）</w:t>
      </w:r>
    </w:p>
    <w:p w14:paraId="2B7BA2A4">
      <w:pPr>
        <w:snapToGrid w:val="0"/>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（8）中小企业声明函……………………………………………………………（页码）</w:t>
      </w:r>
    </w:p>
    <w:p w14:paraId="3C27C6FB">
      <w:pPr>
        <w:snapToGrid w:val="0"/>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（9）残疾人福利性单位声明……………………………………………………（页码）</w:t>
      </w:r>
    </w:p>
    <w:p w14:paraId="67BDEA70">
      <w:pPr>
        <w:snapToGrid w:val="0"/>
        <w:spacing w:line="360" w:lineRule="auto"/>
        <w:ind w:left="479" w:leftChars="228"/>
        <w:rPr>
          <w:rFonts w:hint="eastAsia" w:ascii="宋体" w:hAnsi="宋体" w:eastAsia="宋体" w:cs="宋体"/>
          <w:color w:val="auto"/>
          <w:highlight w:val="none"/>
        </w:rPr>
      </w:pPr>
    </w:p>
    <w:p w14:paraId="62143144">
      <w:pPr>
        <w:pStyle w:val="84"/>
        <w:rPr>
          <w:rFonts w:hint="eastAsia" w:ascii="宋体" w:hAnsi="宋体" w:eastAsia="宋体" w:cs="宋体"/>
          <w:color w:val="auto"/>
          <w:highlight w:val="none"/>
        </w:rPr>
      </w:pPr>
    </w:p>
    <w:p w14:paraId="07A6E9D1">
      <w:pPr>
        <w:snapToGrid w:val="0"/>
        <w:spacing w:line="360" w:lineRule="auto"/>
        <w:jc w:val="center"/>
        <w:rPr>
          <w:rFonts w:hint="eastAsia" w:ascii="宋体" w:hAnsi="宋体" w:eastAsia="宋体" w:cs="宋体"/>
          <w:b/>
          <w:color w:val="auto"/>
          <w:kern w:val="0"/>
          <w:sz w:val="32"/>
          <w:szCs w:val="32"/>
          <w:highlight w:val="none"/>
        </w:rPr>
      </w:pPr>
    </w:p>
    <w:p w14:paraId="289284DC">
      <w:pPr>
        <w:snapToGrid w:val="0"/>
        <w:spacing w:line="360" w:lineRule="auto"/>
        <w:jc w:val="center"/>
        <w:rPr>
          <w:rFonts w:hint="eastAsia" w:ascii="宋体" w:hAnsi="宋体" w:eastAsia="宋体" w:cs="宋体"/>
          <w:b/>
          <w:color w:val="auto"/>
          <w:kern w:val="0"/>
          <w:sz w:val="32"/>
          <w:szCs w:val="32"/>
          <w:highlight w:val="none"/>
          <w:lang w:val="zh-CN"/>
        </w:rPr>
      </w:pPr>
    </w:p>
    <w:p w14:paraId="12C05C6F">
      <w:pPr>
        <w:snapToGrid w:val="0"/>
        <w:spacing w:line="360" w:lineRule="auto"/>
        <w:jc w:val="center"/>
        <w:rPr>
          <w:rFonts w:hint="eastAsia" w:ascii="宋体" w:hAnsi="宋体" w:eastAsia="宋体" w:cs="宋体"/>
          <w:b/>
          <w:color w:val="auto"/>
          <w:kern w:val="0"/>
          <w:sz w:val="32"/>
          <w:szCs w:val="32"/>
          <w:highlight w:val="none"/>
          <w:lang w:val="zh-CN"/>
        </w:rPr>
      </w:pPr>
    </w:p>
    <w:p w14:paraId="2453E681">
      <w:pPr>
        <w:snapToGrid w:val="0"/>
        <w:spacing w:line="360" w:lineRule="auto"/>
        <w:jc w:val="center"/>
        <w:rPr>
          <w:rFonts w:hint="eastAsia" w:ascii="宋体" w:hAnsi="宋体" w:eastAsia="宋体" w:cs="宋体"/>
          <w:b/>
          <w:color w:val="auto"/>
          <w:kern w:val="0"/>
          <w:sz w:val="32"/>
          <w:szCs w:val="32"/>
          <w:highlight w:val="none"/>
          <w:lang w:val="zh-CN"/>
        </w:rPr>
      </w:pPr>
    </w:p>
    <w:p w14:paraId="77BA27CF">
      <w:pPr>
        <w:snapToGrid w:val="0"/>
        <w:spacing w:line="360" w:lineRule="auto"/>
        <w:jc w:val="center"/>
        <w:rPr>
          <w:rFonts w:hint="eastAsia" w:ascii="宋体" w:hAnsi="宋体" w:eastAsia="宋体" w:cs="宋体"/>
          <w:b/>
          <w:color w:val="auto"/>
          <w:kern w:val="0"/>
          <w:sz w:val="32"/>
          <w:szCs w:val="32"/>
          <w:highlight w:val="none"/>
          <w:lang w:val="zh-CN"/>
        </w:rPr>
      </w:pPr>
    </w:p>
    <w:p w14:paraId="34C093B2">
      <w:pPr>
        <w:snapToGrid w:val="0"/>
        <w:spacing w:line="360" w:lineRule="auto"/>
        <w:jc w:val="center"/>
        <w:rPr>
          <w:rFonts w:hint="eastAsia" w:ascii="宋体" w:hAnsi="宋体" w:eastAsia="宋体" w:cs="宋体"/>
          <w:b/>
          <w:color w:val="auto"/>
          <w:kern w:val="0"/>
          <w:sz w:val="32"/>
          <w:szCs w:val="32"/>
          <w:highlight w:val="none"/>
        </w:rPr>
      </w:pPr>
    </w:p>
    <w:p w14:paraId="63FEB975">
      <w:pPr>
        <w:snapToGrid w:val="0"/>
        <w:spacing w:line="360" w:lineRule="auto"/>
        <w:jc w:val="center"/>
        <w:rPr>
          <w:rFonts w:hint="eastAsia" w:ascii="宋体" w:hAnsi="宋体" w:eastAsia="宋体" w:cs="宋体"/>
          <w:b/>
          <w:color w:val="auto"/>
          <w:kern w:val="0"/>
          <w:sz w:val="32"/>
          <w:szCs w:val="32"/>
          <w:highlight w:val="none"/>
        </w:rPr>
      </w:pPr>
    </w:p>
    <w:p w14:paraId="636DE7BC">
      <w:pPr>
        <w:rPr>
          <w:rFonts w:hint="eastAsia" w:ascii="宋体" w:hAnsi="宋体" w:eastAsia="宋体" w:cs="宋体"/>
          <w:color w:val="auto"/>
          <w:highlight w:val="none"/>
        </w:rPr>
      </w:pPr>
    </w:p>
    <w:p w14:paraId="1F97E294">
      <w:pPr>
        <w:snapToGrid w:val="0"/>
        <w:spacing w:line="360" w:lineRule="auto"/>
        <w:jc w:val="center"/>
        <w:rPr>
          <w:rFonts w:hint="eastAsia" w:ascii="宋体" w:hAnsi="宋体" w:eastAsia="宋体" w:cs="宋体"/>
          <w:b/>
          <w:color w:val="auto"/>
          <w:kern w:val="0"/>
          <w:sz w:val="32"/>
          <w:szCs w:val="32"/>
          <w:highlight w:val="none"/>
        </w:rPr>
      </w:pPr>
    </w:p>
    <w:p w14:paraId="57315D4A">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7A8CA68F">
      <w:pPr>
        <w:bidi w:val="0"/>
        <w:jc w:val="both"/>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一、无串通投标行为的承诺函</w:t>
      </w:r>
    </w:p>
    <w:p w14:paraId="66E3F01A">
      <w:pPr>
        <w:snapToGrid w:val="0"/>
        <w:spacing w:before="120" w:beforeLines="50"/>
        <w:jc w:val="center"/>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rPr>
        <w:t>无串通投标行为的承诺函</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lang w:val="en-US" w:eastAsia="zh-CN"/>
        </w:rPr>
        <w:t>格式</w:t>
      </w:r>
      <w:r>
        <w:rPr>
          <w:rFonts w:hint="eastAsia" w:ascii="宋体" w:hAnsi="宋体" w:eastAsia="宋体" w:cs="宋体"/>
          <w:b/>
          <w:color w:val="auto"/>
          <w:sz w:val="28"/>
          <w:szCs w:val="28"/>
          <w:highlight w:val="none"/>
          <w:lang w:eastAsia="zh-CN"/>
        </w:rPr>
        <w:t>）</w:t>
      </w:r>
    </w:p>
    <w:p w14:paraId="601FAC07">
      <w:pPr>
        <w:widowControl/>
        <w:spacing w:line="40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广西科联招标中心有限公司：</w:t>
      </w:r>
    </w:p>
    <w:p w14:paraId="0108C7EA">
      <w:pPr>
        <w:widowControl/>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我方作为本次采购项目的投标人，根据招标文件要求，现郑重承诺如下：</w:t>
      </w:r>
    </w:p>
    <w:p w14:paraId="2502F8E8">
      <w:pPr>
        <w:widowControl/>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一、我方已认真阅读并接受本项目招标文件第二</w:t>
      </w:r>
      <w:r>
        <w:rPr>
          <w:rFonts w:hint="eastAsia" w:ascii="宋体" w:hAnsi="宋体" w:eastAsia="宋体" w:cs="宋体"/>
          <w:color w:val="auto"/>
          <w:kern w:val="0"/>
          <w:szCs w:val="21"/>
          <w:highlight w:val="none"/>
          <w:lang w:val="en-US" w:eastAsia="zh-CN"/>
        </w:rPr>
        <w:t>部分</w:t>
      </w:r>
      <w:r>
        <w:rPr>
          <w:rFonts w:hint="eastAsia" w:ascii="宋体" w:hAnsi="宋体" w:eastAsia="宋体" w:cs="宋体"/>
          <w:color w:val="auto"/>
          <w:kern w:val="0"/>
          <w:szCs w:val="21"/>
          <w:highlight w:val="none"/>
        </w:rPr>
        <w:t>的全部实质性要求，如对招标文件有异议，已依法进行维权救济，不存在对招标文件有异议的同时又参加投标以求侥幸中标或者为实现其他非法目的行为。</w:t>
      </w:r>
    </w:p>
    <w:p w14:paraId="7B00E00C">
      <w:pPr>
        <w:widowControl/>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二、参加本次招标采购活动，不存在与单位负责人为同一人或者存在直接控股、管理关系的其他</w:t>
      </w:r>
      <w:r>
        <w:rPr>
          <w:rFonts w:hint="eastAsia" w:ascii="宋体" w:hAnsi="宋体" w:eastAsia="宋体" w:cs="宋体"/>
          <w:color w:val="auto"/>
          <w:kern w:val="0"/>
          <w:szCs w:val="21"/>
          <w:highlight w:val="none"/>
          <w:lang w:eastAsia="zh-CN"/>
        </w:rPr>
        <w:t>投标人</w:t>
      </w:r>
      <w:r>
        <w:rPr>
          <w:rFonts w:hint="eastAsia" w:ascii="宋体" w:hAnsi="宋体" w:eastAsia="宋体" w:cs="宋体"/>
          <w:color w:val="auto"/>
          <w:kern w:val="0"/>
          <w:szCs w:val="21"/>
          <w:highlight w:val="none"/>
        </w:rPr>
        <w:t>参与同一合同项下的政府采购活动的行为。</w:t>
      </w:r>
    </w:p>
    <w:p w14:paraId="088CEB2B">
      <w:pPr>
        <w:widowControl/>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三、为采购项目提供整体设计、规范编制或者项目管理、监理、检测等服务的</w:t>
      </w:r>
      <w:r>
        <w:rPr>
          <w:rFonts w:hint="eastAsia" w:ascii="宋体" w:hAnsi="宋体" w:eastAsia="宋体" w:cs="宋体"/>
          <w:color w:val="auto"/>
          <w:kern w:val="0"/>
          <w:szCs w:val="21"/>
          <w:highlight w:val="none"/>
          <w:lang w:eastAsia="zh-CN"/>
        </w:rPr>
        <w:t>投标人</w:t>
      </w:r>
      <w:r>
        <w:rPr>
          <w:rFonts w:hint="eastAsia" w:ascii="宋体" w:hAnsi="宋体" w:eastAsia="宋体" w:cs="宋体"/>
          <w:color w:val="auto"/>
          <w:kern w:val="0"/>
          <w:szCs w:val="21"/>
          <w:highlight w:val="none"/>
        </w:rPr>
        <w:t>，不得再参加该采购项目的其他采购活动，我方承诺不属于此类禁止参加本项目的</w:t>
      </w:r>
      <w:r>
        <w:rPr>
          <w:rFonts w:hint="eastAsia" w:ascii="宋体" w:hAnsi="宋体" w:eastAsia="宋体" w:cs="宋体"/>
          <w:color w:val="auto"/>
          <w:kern w:val="0"/>
          <w:szCs w:val="21"/>
          <w:highlight w:val="none"/>
          <w:lang w:eastAsia="zh-CN"/>
        </w:rPr>
        <w:t>投标人</w:t>
      </w:r>
      <w:r>
        <w:rPr>
          <w:rFonts w:hint="eastAsia" w:ascii="宋体" w:hAnsi="宋体" w:eastAsia="宋体" w:cs="宋体"/>
          <w:color w:val="auto"/>
          <w:kern w:val="0"/>
          <w:szCs w:val="21"/>
          <w:highlight w:val="none"/>
        </w:rPr>
        <w:t>。</w:t>
      </w:r>
    </w:p>
    <w:p w14:paraId="52D407E7">
      <w:pPr>
        <w:widowControl/>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四、参加本次招标采购活动，不存在和其他</w:t>
      </w:r>
      <w:r>
        <w:rPr>
          <w:rFonts w:hint="eastAsia" w:ascii="宋体" w:hAnsi="宋体" w:eastAsia="宋体" w:cs="宋体"/>
          <w:color w:val="auto"/>
          <w:kern w:val="0"/>
          <w:szCs w:val="21"/>
          <w:highlight w:val="none"/>
          <w:lang w:eastAsia="zh-CN"/>
        </w:rPr>
        <w:t>投标人</w:t>
      </w:r>
      <w:r>
        <w:rPr>
          <w:rFonts w:hint="eastAsia" w:ascii="宋体" w:hAnsi="宋体" w:eastAsia="宋体" w:cs="宋体"/>
          <w:color w:val="auto"/>
          <w:kern w:val="0"/>
          <w:szCs w:val="21"/>
          <w:highlight w:val="none"/>
        </w:rPr>
        <w:t>在同一合同项下的采购项目中，同时委托同一个自然人、同一家庭的人员、同一单位的人员作为代理人的行为。</w:t>
      </w:r>
    </w:p>
    <w:p w14:paraId="73B18AD4">
      <w:pPr>
        <w:widowControl/>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五、投标文件中提供的能够给予我方带来优惠、好处的任何材料资料和技术、服务、商务、响应产品等响应承诺情况都是真实的、有效的、合法的。</w:t>
      </w:r>
    </w:p>
    <w:p w14:paraId="538C3107">
      <w:pPr>
        <w:widowControl/>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六、如本项目评标过程中需要提供样品，则我方提供的样品即为中标后将要提供的中标产品，我方对提供样品的性能和质量负责，因样品存在缺陷或者不符合招标文件要求导致未能中标的，我方愿意承担相应不利后果。</w:t>
      </w:r>
    </w:p>
    <w:p w14:paraId="61C73969">
      <w:pPr>
        <w:widowControl/>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七、国家或行业主管部门对采购产品的技术标准、质量标准和资格资质条件等有强制性规定的，我方承诺符合其要求。</w:t>
      </w:r>
    </w:p>
    <w:p w14:paraId="7EE3EC31">
      <w:pPr>
        <w:widowControl/>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八、参加本次招标采购活动，我方完全同意招标文件第二</w:t>
      </w:r>
      <w:r>
        <w:rPr>
          <w:rFonts w:hint="eastAsia" w:ascii="宋体" w:hAnsi="宋体" w:eastAsia="宋体" w:cs="宋体"/>
          <w:color w:val="auto"/>
          <w:kern w:val="0"/>
          <w:szCs w:val="21"/>
          <w:highlight w:val="none"/>
          <w:lang w:val="en-US" w:eastAsia="zh-CN"/>
        </w:rPr>
        <w:t>部分</w:t>
      </w:r>
      <w:r>
        <w:rPr>
          <w:rFonts w:hint="eastAsia" w:ascii="宋体" w:hAnsi="宋体" w:eastAsia="宋体" w:cs="宋体"/>
          <w:color w:val="auto"/>
          <w:kern w:val="0"/>
          <w:szCs w:val="21"/>
          <w:highlight w:val="none"/>
        </w:rPr>
        <w:t>关于“投标费用”、“合同分包”、“合同转包”、“履约保证金”的实质性要求，并承诺严格按照招标文件要求履行。</w:t>
      </w:r>
    </w:p>
    <w:p w14:paraId="3DB08A01">
      <w:pPr>
        <w:widowControl/>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招标人享有本项目实施过程中产生的知识成果及知识产权。如我方在项目实施过程中采用自有知识成果，我方承诺提供开发接口和开发手册等技术文档，并提供无限期技术支持，招标人享有永久使用权（含招标人委托第三方在该项目后续开发的使用权）。如我方在项目实施过程中采用非自有的知识产权，则在投标报价中已包括合法获取该知识产权的相关费用。</w:t>
      </w:r>
    </w:p>
    <w:p w14:paraId="46C112B6">
      <w:pPr>
        <w:widowControl/>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我方对上述承诺的内容事项真实性负责。如经查实上述承诺的内容事项存在虚假，我方愿意接受以提供虚假材料谋取中标追究法律责任。</w:t>
      </w:r>
    </w:p>
    <w:p w14:paraId="01488046">
      <w:pPr>
        <w:widowControl/>
        <w:spacing w:line="40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投标人名称（电子公章）：</w:t>
      </w:r>
    </w:p>
    <w:p w14:paraId="2B33FC81">
      <w:pPr>
        <w:widowControl/>
        <w:spacing w:line="40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法定代表人（负责人）或委托代理人（签字或电子签名） ：</w:t>
      </w:r>
    </w:p>
    <w:p w14:paraId="10DE482B">
      <w:pPr>
        <w:widowControl/>
        <w:spacing w:line="40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kern w:val="0"/>
          <w:szCs w:val="21"/>
          <w:highlight w:val="none"/>
        </w:rPr>
        <w:t>日期：</w:t>
      </w:r>
    </w:p>
    <w:p w14:paraId="11080AFC">
      <w:pPr>
        <w:snapToGrid w:val="0"/>
        <w:spacing w:line="360" w:lineRule="auto"/>
        <w:rPr>
          <w:rFonts w:hint="eastAsia" w:ascii="宋体" w:hAnsi="宋体" w:eastAsia="宋体" w:cs="宋体"/>
          <w:color w:val="auto"/>
          <w:sz w:val="24"/>
          <w:highlight w:val="none"/>
        </w:rPr>
      </w:pPr>
    </w:p>
    <w:p w14:paraId="2ED5BD9C">
      <w:pPr>
        <w:bidi w:val="0"/>
        <w:jc w:val="both"/>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二、投 标 声 明 书</w:t>
      </w:r>
    </w:p>
    <w:p w14:paraId="294147C2">
      <w:pPr>
        <w:snapToGrid w:val="0"/>
        <w:spacing w:before="120" w:beforeLines="50"/>
        <w:jc w:val="center"/>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rPr>
        <w:t>投 标 声 明 书</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lang w:val="en-US" w:eastAsia="zh-CN"/>
        </w:rPr>
        <w:t>格式</w:t>
      </w:r>
      <w:r>
        <w:rPr>
          <w:rFonts w:hint="eastAsia" w:ascii="宋体" w:hAnsi="宋体" w:eastAsia="宋体" w:cs="宋体"/>
          <w:b/>
          <w:color w:val="auto"/>
          <w:sz w:val="28"/>
          <w:szCs w:val="28"/>
          <w:highlight w:val="none"/>
          <w:lang w:eastAsia="zh-CN"/>
        </w:rPr>
        <w:t>）</w:t>
      </w:r>
    </w:p>
    <w:p w14:paraId="08BF3031">
      <w:pPr>
        <w:snapToGrid w:val="0"/>
        <w:spacing w:before="120" w:beforeLine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（采购代理机构名称）：</w:t>
      </w:r>
    </w:p>
    <w:p w14:paraId="2FCCFA3A">
      <w:pPr>
        <w:snapToGrid w:val="0"/>
        <w:spacing w:before="120" w:beforeLines="50"/>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（投标人名称）系中华人民共和国合法企业，经营地址</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0D87D940">
      <w:pPr>
        <w:snapToGrid w:val="0"/>
        <w:spacing w:before="120" w:beforeLines="50"/>
        <w:ind w:firstLine="645"/>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（投标人名称）的法定代表人，我方愿意参加贵方组织的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）的投标，为便于贵方公正、择优地确定中标人及其投标产品和服务，我方就本次投标有关事项郑重声明如下：</w:t>
      </w:r>
    </w:p>
    <w:p w14:paraId="3E28B0E3">
      <w:pPr>
        <w:snapToGrid w:val="0"/>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我方向贵方提交的所有投标文件、资料都是准确的和真实的。</w:t>
      </w:r>
    </w:p>
    <w:p w14:paraId="7181CFA2">
      <w:pPr>
        <w:snapToGrid w:val="0"/>
        <w:spacing w:before="120" w:beforeLines="50"/>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 我方不是招标人的附属机构；在获知本项目采购信息后，与招标人聘请的为此项目提供咨询服务的公司及其附属机构没有任何联系。</w:t>
      </w:r>
    </w:p>
    <w:p w14:paraId="57FF57CC">
      <w:pPr>
        <w:snapToGrid w:val="0"/>
        <w:spacing w:before="120" w:beforeLines="50"/>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 我方此次向贵方提供的产品名称为：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，产品原产地及厂家为：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6E367B76">
      <w:pPr>
        <w:snapToGrid w:val="0"/>
        <w:spacing w:before="120" w:beforeLines="50"/>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4. 我方诚意提请贵方关注：近期有关该产品的重大决策和事项有：</w:t>
      </w: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w:t>
      </w:r>
    </w:p>
    <w:p w14:paraId="67A676AF">
      <w:pPr>
        <w:pStyle w:val="21"/>
        <w:snapToGrid w:val="0"/>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我方及由本人担任法定代表人的其他机构最近三年内被通报或者被处罚的违法行为有：</w:t>
      </w:r>
    </w:p>
    <w:p w14:paraId="2D02D835">
      <w:pPr>
        <w:snapToGrid w:val="0"/>
        <w:spacing w:before="120" w:beforeLines="50"/>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　　　　　　　　　　　　　　　　　　　　　　　　　　　</w:t>
      </w:r>
    </w:p>
    <w:p w14:paraId="6F358358">
      <w:pPr>
        <w:snapToGrid w:val="0"/>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 以上事项如有虚假或隐瞒，我方愿意承担一切后果，并不再寻求任何旨在减轻或免除法律责任的辩解。</w:t>
      </w:r>
    </w:p>
    <w:p w14:paraId="1A806FAA">
      <w:pPr>
        <w:snapToGrid w:val="0"/>
        <w:spacing w:before="120" w:beforeLines="50"/>
        <w:ind w:firstLine="4200" w:firstLineChars="2000"/>
        <w:rPr>
          <w:rFonts w:hint="eastAsia" w:ascii="宋体" w:hAnsi="宋体" w:eastAsia="宋体" w:cs="宋体"/>
          <w:color w:val="auto"/>
          <w:kern w:val="0"/>
          <w:szCs w:val="21"/>
          <w:highlight w:val="none"/>
        </w:rPr>
      </w:pPr>
    </w:p>
    <w:p w14:paraId="3AC7E7E2">
      <w:pPr>
        <w:snapToGrid w:val="0"/>
        <w:spacing w:before="120" w:beforeLines="50"/>
        <w:ind w:firstLine="4200" w:firstLineChars="2000"/>
        <w:rPr>
          <w:rFonts w:hint="eastAsia" w:ascii="宋体" w:hAnsi="宋体" w:eastAsia="宋体" w:cs="宋体"/>
          <w:color w:val="auto"/>
          <w:kern w:val="0"/>
          <w:szCs w:val="21"/>
          <w:highlight w:val="none"/>
        </w:rPr>
      </w:pPr>
    </w:p>
    <w:p w14:paraId="0DE8DEB8">
      <w:pPr>
        <w:snapToGrid w:val="0"/>
        <w:spacing w:before="120" w:beforeLines="50"/>
        <w:ind w:firstLine="4200" w:firstLineChars="2000"/>
        <w:rPr>
          <w:rFonts w:hint="eastAsia" w:ascii="宋体" w:hAnsi="宋体" w:eastAsia="宋体" w:cs="宋体"/>
          <w:color w:val="auto"/>
          <w:kern w:val="0"/>
          <w:szCs w:val="21"/>
          <w:highlight w:val="none"/>
        </w:rPr>
      </w:pPr>
    </w:p>
    <w:p w14:paraId="4E3183C6">
      <w:pPr>
        <w:snapToGrid w:val="0"/>
        <w:spacing w:before="120" w:beforeLines="50"/>
        <w:ind w:firstLine="4200" w:firstLineChars="2000"/>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rPr>
        <w:t>法定代表人（签字或电子签名）</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30570EDF">
      <w:pPr>
        <w:snapToGrid w:val="0"/>
        <w:spacing w:before="120" w:beforeLine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投标人名称（电子公章）：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4EB7053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年    月    日</w:t>
      </w:r>
    </w:p>
    <w:p w14:paraId="381A06EF">
      <w:pPr>
        <w:jc w:val="center"/>
        <w:rPr>
          <w:rFonts w:hint="eastAsia" w:ascii="宋体" w:hAnsi="宋体" w:eastAsia="宋体" w:cs="宋体"/>
          <w:color w:val="auto"/>
          <w:szCs w:val="21"/>
          <w:highlight w:val="none"/>
          <w:lang w:val="en-US" w:eastAsia="zh-CN"/>
        </w:rPr>
      </w:pPr>
    </w:p>
    <w:p w14:paraId="364E59B6">
      <w:pPr>
        <w:jc w:val="center"/>
        <w:rPr>
          <w:rFonts w:hint="eastAsia" w:ascii="宋体" w:hAnsi="宋体" w:eastAsia="宋体" w:cs="宋体"/>
          <w:b/>
          <w:color w:val="auto"/>
          <w:kern w:val="0"/>
          <w:sz w:val="32"/>
          <w:szCs w:val="32"/>
          <w:highlight w:val="none"/>
        </w:rPr>
      </w:pPr>
    </w:p>
    <w:p w14:paraId="6413490D">
      <w:pPr>
        <w:jc w:val="center"/>
        <w:rPr>
          <w:rFonts w:hint="eastAsia" w:ascii="宋体" w:hAnsi="宋体" w:eastAsia="宋体" w:cs="宋体"/>
          <w:b/>
          <w:color w:val="auto"/>
          <w:kern w:val="0"/>
          <w:sz w:val="32"/>
          <w:szCs w:val="32"/>
          <w:highlight w:val="none"/>
        </w:rPr>
      </w:pPr>
    </w:p>
    <w:p w14:paraId="1CA918D9">
      <w:pPr>
        <w:jc w:val="center"/>
        <w:rPr>
          <w:rFonts w:hint="eastAsia" w:ascii="宋体" w:hAnsi="宋体" w:eastAsia="宋体" w:cs="宋体"/>
          <w:b/>
          <w:color w:val="auto"/>
          <w:kern w:val="0"/>
          <w:sz w:val="32"/>
          <w:szCs w:val="32"/>
          <w:highlight w:val="none"/>
        </w:rPr>
      </w:pPr>
    </w:p>
    <w:p w14:paraId="1031033C">
      <w:pPr>
        <w:jc w:val="center"/>
        <w:rPr>
          <w:rFonts w:hint="eastAsia" w:ascii="宋体" w:hAnsi="宋体" w:eastAsia="宋体" w:cs="宋体"/>
          <w:b/>
          <w:color w:val="auto"/>
          <w:kern w:val="0"/>
          <w:sz w:val="32"/>
          <w:szCs w:val="32"/>
          <w:highlight w:val="none"/>
        </w:rPr>
      </w:pPr>
    </w:p>
    <w:p w14:paraId="65C3FC3F">
      <w:pPr>
        <w:jc w:val="center"/>
        <w:rPr>
          <w:rFonts w:hint="eastAsia" w:ascii="宋体" w:hAnsi="宋体" w:eastAsia="宋体" w:cs="宋体"/>
          <w:b/>
          <w:color w:val="auto"/>
          <w:kern w:val="0"/>
          <w:sz w:val="32"/>
          <w:szCs w:val="32"/>
          <w:highlight w:val="none"/>
        </w:rPr>
      </w:pPr>
    </w:p>
    <w:p w14:paraId="6B0E2F75">
      <w:pPr>
        <w:jc w:val="center"/>
        <w:rPr>
          <w:rFonts w:hint="eastAsia" w:ascii="宋体" w:hAnsi="宋体" w:eastAsia="宋体" w:cs="宋体"/>
          <w:b/>
          <w:color w:val="auto"/>
          <w:kern w:val="0"/>
          <w:sz w:val="32"/>
          <w:szCs w:val="32"/>
          <w:highlight w:val="none"/>
        </w:rPr>
      </w:pPr>
    </w:p>
    <w:p w14:paraId="5A162EB9">
      <w:pPr>
        <w:jc w:val="center"/>
        <w:rPr>
          <w:rFonts w:hint="eastAsia" w:ascii="宋体" w:hAnsi="宋体" w:eastAsia="宋体" w:cs="宋体"/>
          <w:b/>
          <w:color w:val="auto"/>
          <w:kern w:val="0"/>
          <w:sz w:val="32"/>
          <w:szCs w:val="32"/>
          <w:highlight w:val="none"/>
        </w:rPr>
      </w:pPr>
    </w:p>
    <w:p w14:paraId="1C83A4B8">
      <w:pPr>
        <w:jc w:val="center"/>
        <w:rPr>
          <w:rFonts w:hint="eastAsia" w:ascii="宋体" w:hAnsi="宋体" w:eastAsia="宋体" w:cs="宋体"/>
          <w:b/>
          <w:color w:val="auto"/>
          <w:kern w:val="0"/>
          <w:sz w:val="32"/>
          <w:szCs w:val="32"/>
          <w:highlight w:val="none"/>
        </w:rPr>
      </w:pPr>
    </w:p>
    <w:p w14:paraId="33D2179D">
      <w:pPr>
        <w:jc w:val="center"/>
        <w:rPr>
          <w:rFonts w:hint="eastAsia" w:ascii="宋体" w:hAnsi="宋体" w:eastAsia="宋体" w:cs="宋体"/>
          <w:b/>
          <w:color w:val="auto"/>
          <w:kern w:val="0"/>
          <w:sz w:val="32"/>
          <w:szCs w:val="32"/>
          <w:highlight w:val="none"/>
        </w:rPr>
      </w:pPr>
    </w:p>
    <w:p w14:paraId="545C5734">
      <w:pPr>
        <w:jc w:val="center"/>
        <w:rPr>
          <w:rFonts w:hint="eastAsia" w:ascii="宋体" w:hAnsi="宋体" w:eastAsia="宋体" w:cs="宋体"/>
          <w:b/>
          <w:color w:val="auto"/>
          <w:kern w:val="0"/>
          <w:sz w:val="32"/>
          <w:szCs w:val="32"/>
          <w:highlight w:val="none"/>
        </w:rPr>
      </w:pPr>
    </w:p>
    <w:p w14:paraId="3AF7AEE2">
      <w:pPr>
        <w:jc w:val="center"/>
        <w:rPr>
          <w:rFonts w:hint="eastAsia" w:ascii="宋体" w:hAnsi="宋体" w:eastAsia="宋体" w:cs="宋体"/>
          <w:b/>
          <w:color w:val="auto"/>
          <w:kern w:val="0"/>
          <w:sz w:val="32"/>
          <w:szCs w:val="32"/>
          <w:highlight w:val="none"/>
        </w:rPr>
      </w:pPr>
    </w:p>
    <w:p w14:paraId="3623EB46">
      <w:pPr>
        <w:adjustRightInd w:val="0"/>
        <w:snapToGrid w:val="0"/>
        <w:spacing w:line="276" w:lineRule="auto"/>
        <w:jc w:val="both"/>
        <w:rPr>
          <w:rFonts w:hint="eastAsia" w:ascii="宋体" w:hAnsi="宋体" w:eastAsia="宋体" w:cs="宋体"/>
          <w:b/>
          <w:color w:val="auto"/>
          <w:sz w:val="32"/>
          <w:szCs w:val="32"/>
          <w:highlight w:val="none"/>
        </w:rPr>
      </w:pPr>
      <w:r>
        <w:rPr>
          <w:rFonts w:hint="eastAsia" w:ascii="宋体" w:hAnsi="宋体" w:eastAsia="宋体" w:cs="宋体"/>
          <w:b/>
          <w:color w:val="auto"/>
          <w:kern w:val="0"/>
          <w:sz w:val="32"/>
          <w:szCs w:val="32"/>
          <w:highlight w:val="none"/>
          <w:lang w:val="en-US" w:eastAsia="zh-CN"/>
        </w:rPr>
        <w:t>三、</w:t>
      </w:r>
      <w:r>
        <w:rPr>
          <w:rFonts w:hint="eastAsia" w:ascii="宋体" w:hAnsi="宋体" w:eastAsia="宋体" w:cs="宋体"/>
          <w:b/>
          <w:color w:val="auto"/>
          <w:sz w:val="32"/>
          <w:szCs w:val="32"/>
          <w:highlight w:val="none"/>
        </w:rPr>
        <w:t>法定代表人（负责人）身份证明书</w:t>
      </w:r>
    </w:p>
    <w:p w14:paraId="4DFE3A63">
      <w:pPr>
        <w:jc w:val="center"/>
        <w:rPr>
          <w:rFonts w:hint="eastAsia" w:ascii="宋体" w:hAnsi="宋体" w:eastAsia="宋体" w:cs="宋体"/>
          <w:b/>
          <w:color w:val="auto"/>
          <w:kern w:val="0"/>
          <w:sz w:val="32"/>
          <w:szCs w:val="32"/>
          <w:highlight w:val="none"/>
        </w:rPr>
      </w:pPr>
    </w:p>
    <w:p w14:paraId="10B53B00">
      <w:pPr>
        <w:adjustRightInd w:val="0"/>
        <w:snapToGrid w:val="0"/>
        <w:spacing w:line="276" w:lineRule="auto"/>
        <w:jc w:val="center"/>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rPr>
        <w:t>法定代表人（负责人）身份证明书</w:t>
      </w:r>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lang w:val="en-US" w:eastAsia="zh-CN"/>
        </w:rPr>
        <w:t>格式</w:t>
      </w:r>
      <w:r>
        <w:rPr>
          <w:rFonts w:hint="eastAsia" w:ascii="宋体" w:hAnsi="宋体" w:eastAsia="宋体" w:cs="宋体"/>
          <w:b/>
          <w:color w:val="auto"/>
          <w:sz w:val="32"/>
          <w:szCs w:val="32"/>
          <w:highlight w:val="none"/>
          <w:lang w:eastAsia="zh-CN"/>
        </w:rPr>
        <w:t>）</w:t>
      </w:r>
    </w:p>
    <w:p w14:paraId="2AE59C46">
      <w:pPr>
        <w:adjustRightInd w:val="0"/>
        <w:snapToGrid w:val="0"/>
        <w:spacing w:line="276" w:lineRule="auto"/>
        <w:ind w:firstLine="960" w:firstLineChars="400"/>
        <w:rPr>
          <w:rFonts w:hint="eastAsia" w:ascii="宋体" w:hAnsi="宋体" w:eastAsia="宋体" w:cs="宋体"/>
          <w:color w:val="auto"/>
          <w:sz w:val="24"/>
          <w:highlight w:val="none"/>
          <w:u w:val="single"/>
        </w:rPr>
      </w:pPr>
    </w:p>
    <w:p w14:paraId="474DBA3F">
      <w:pPr>
        <w:adjustRightInd w:val="0"/>
        <w:snapToGrid w:val="0"/>
        <w:spacing w:line="7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在我</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（公司）任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职务，是我</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（公司）的法定代表人（负责人）。</w:t>
      </w:r>
    </w:p>
    <w:p w14:paraId="57203499">
      <w:pPr>
        <w:adjustRightInd w:val="0"/>
        <w:snapToGrid w:val="0"/>
        <w:spacing w:line="720" w:lineRule="exact"/>
        <w:ind w:firstLine="735" w:firstLineChars="35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特此证明。</w:t>
      </w:r>
    </w:p>
    <w:p w14:paraId="6ABF03CD">
      <w:pPr>
        <w:adjustRightInd w:val="0"/>
        <w:snapToGrid w:val="0"/>
        <w:spacing w:line="276" w:lineRule="auto"/>
        <w:rPr>
          <w:rFonts w:hint="eastAsia" w:ascii="宋体" w:hAnsi="宋体" w:eastAsia="宋体" w:cs="宋体"/>
          <w:color w:val="auto"/>
          <w:szCs w:val="21"/>
          <w:highlight w:val="none"/>
        </w:rPr>
      </w:pPr>
    </w:p>
    <w:p w14:paraId="69ADCEE5">
      <w:pPr>
        <w:adjustRightInd w:val="0"/>
        <w:snapToGrid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51176BA1">
      <w:pPr>
        <w:adjustRightInd w:val="0"/>
        <w:snapToGrid w:val="0"/>
        <w:spacing w:line="276" w:lineRule="auto"/>
        <w:rPr>
          <w:rFonts w:hint="eastAsia" w:ascii="宋体" w:hAnsi="宋体" w:eastAsia="宋体" w:cs="宋体"/>
          <w:color w:val="auto"/>
          <w:szCs w:val="21"/>
          <w:highlight w:val="none"/>
        </w:rPr>
      </w:pPr>
    </w:p>
    <w:p w14:paraId="7169CF34">
      <w:pPr>
        <w:adjustRightInd w:val="0"/>
        <w:snapToGrid w:val="0"/>
        <w:spacing w:line="276" w:lineRule="auto"/>
        <w:ind w:firstLine="2940" w:firstLineChars="14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投标人名称：</w:t>
      </w:r>
      <w:r>
        <w:rPr>
          <w:rFonts w:hint="eastAsia" w:ascii="宋体" w:hAnsi="宋体" w:eastAsia="宋体" w:cs="宋体"/>
          <w:color w:val="auto"/>
          <w:szCs w:val="21"/>
          <w:highlight w:val="none"/>
          <w:u w:val="single"/>
        </w:rPr>
        <w:t xml:space="preserve">                              </w:t>
      </w:r>
    </w:p>
    <w:p w14:paraId="6BA88406">
      <w:pPr>
        <w:adjustRightInd w:val="0"/>
        <w:snapToGrid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 （电子公章）</w:t>
      </w:r>
    </w:p>
    <w:p w14:paraId="43447FF7">
      <w:pPr>
        <w:adjustRightInd w:val="0"/>
        <w:snapToGrid w:val="0"/>
        <w:spacing w:line="276" w:lineRule="auto"/>
        <w:rPr>
          <w:rFonts w:hint="eastAsia" w:ascii="宋体" w:hAnsi="宋体" w:eastAsia="宋体" w:cs="宋体"/>
          <w:color w:val="auto"/>
          <w:szCs w:val="21"/>
          <w:highlight w:val="none"/>
        </w:rPr>
      </w:pPr>
    </w:p>
    <w:p w14:paraId="519BFBF8">
      <w:pPr>
        <w:adjustRightInd w:val="0"/>
        <w:snapToGrid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年     月    日</w:t>
      </w:r>
    </w:p>
    <w:p w14:paraId="4E20C81C">
      <w:pPr>
        <w:adjustRightInd w:val="0"/>
        <w:snapToGrid w:val="0"/>
        <w:spacing w:line="276" w:lineRule="auto"/>
        <w:rPr>
          <w:rFonts w:hint="eastAsia" w:ascii="宋体" w:hAnsi="宋体" w:eastAsia="宋体" w:cs="宋体"/>
          <w:color w:val="auto"/>
          <w:szCs w:val="21"/>
          <w:highlight w:val="none"/>
        </w:rPr>
      </w:pPr>
    </w:p>
    <w:p w14:paraId="54B77CA7">
      <w:pPr>
        <w:adjustRightInd w:val="0"/>
        <w:snapToGrid w:val="0"/>
        <w:spacing w:line="276" w:lineRule="auto"/>
        <w:ind w:firstLine="315" w:firstLineChars="150"/>
        <w:rPr>
          <w:rFonts w:hint="eastAsia" w:ascii="宋体" w:hAnsi="宋体" w:eastAsia="宋体" w:cs="宋体"/>
          <w:color w:val="auto"/>
          <w:szCs w:val="21"/>
          <w:highlight w:val="none"/>
        </w:rPr>
      </w:pPr>
    </w:p>
    <w:p w14:paraId="381CBB20">
      <w:pPr>
        <w:adjustRightInd w:val="0"/>
        <w:snapToGrid w:val="0"/>
        <w:spacing w:line="276" w:lineRule="auto"/>
        <w:ind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住    址：</w:t>
      </w:r>
    </w:p>
    <w:p w14:paraId="2D3DCBEE">
      <w:pPr>
        <w:adjustRightInd w:val="0"/>
        <w:snapToGrid w:val="0"/>
        <w:spacing w:line="276" w:lineRule="auto"/>
        <w:ind w:firstLine="315" w:firstLineChars="150"/>
        <w:rPr>
          <w:rFonts w:hint="eastAsia" w:ascii="宋体" w:hAnsi="宋体" w:eastAsia="宋体" w:cs="宋体"/>
          <w:color w:val="auto"/>
          <w:szCs w:val="21"/>
          <w:highlight w:val="none"/>
        </w:rPr>
      </w:pPr>
    </w:p>
    <w:p w14:paraId="1580812F">
      <w:pPr>
        <w:pStyle w:val="35"/>
        <w:adjustRightInd w:val="0"/>
        <w:snapToGrid w:val="0"/>
        <w:spacing w:line="400" w:lineRule="exact"/>
        <w:ind w:firstLine="315" w:firstLineChars="150"/>
        <w:rPr>
          <w:rFonts w:hint="eastAsia" w:ascii="宋体" w:hAnsi="宋体" w:eastAsia="宋体" w:cs="宋体"/>
          <w:color w:val="auto"/>
          <w:highlight w:val="none"/>
        </w:rPr>
      </w:pPr>
      <w:r>
        <w:rPr>
          <w:rFonts w:hint="eastAsia" w:ascii="宋体" w:hAnsi="宋体" w:eastAsia="宋体" w:cs="宋体"/>
          <w:color w:val="auto"/>
          <w:highlight w:val="none"/>
        </w:rPr>
        <w:t>联系电话：</w:t>
      </w:r>
    </w:p>
    <w:p w14:paraId="1E8D69D0">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附：附法定代表人（负责人）</w:t>
      </w:r>
      <w:r>
        <w:rPr>
          <w:rFonts w:hint="eastAsia" w:ascii="宋体" w:hAnsi="宋体" w:eastAsia="宋体" w:cs="宋体"/>
          <w:color w:val="auto"/>
          <w:highlight w:val="none"/>
          <w:lang w:val="en-US" w:eastAsia="zh-CN"/>
        </w:rPr>
        <w:t>有效的</w:t>
      </w:r>
      <w:r>
        <w:rPr>
          <w:rFonts w:hint="eastAsia" w:ascii="宋体" w:hAnsi="宋体" w:eastAsia="宋体" w:cs="宋体"/>
          <w:color w:val="auto"/>
          <w:highlight w:val="none"/>
        </w:rPr>
        <w:t>身份证及营业执照或事业单位法人证书或执业许可证副本复印件。</w:t>
      </w:r>
    </w:p>
    <w:p w14:paraId="2896EBD2">
      <w:pPr>
        <w:pStyle w:val="35"/>
        <w:adjustRightInd w:val="0"/>
        <w:snapToGrid w:val="0"/>
        <w:spacing w:line="276" w:lineRule="auto"/>
        <w:ind w:firstLine="420" w:firstLineChars="150"/>
        <w:rPr>
          <w:rFonts w:hint="eastAsia" w:ascii="宋体" w:hAnsi="宋体" w:eastAsia="宋体" w:cs="宋体"/>
          <w:color w:val="auto"/>
          <w:sz w:val="28"/>
          <w:szCs w:val="28"/>
          <w:highlight w:val="none"/>
        </w:rPr>
      </w:pP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4"/>
      </w:tblGrid>
      <w:tr w14:paraId="6AD83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4" w:type="dxa"/>
            <w:noWrap w:val="0"/>
            <w:vAlign w:val="top"/>
          </w:tcPr>
          <w:p w14:paraId="6288966F">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贴附“</w:t>
            </w:r>
            <w:r>
              <w:rPr>
                <w:rFonts w:hint="eastAsia" w:ascii="宋体" w:hAnsi="宋体" w:eastAsia="宋体" w:cs="宋体"/>
                <w:color w:val="auto"/>
                <w:highlight w:val="none"/>
              </w:rPr>
              <w:t>身份证复印件”（正反两面）</w:t>
            </w:r>
          </w:p>
        </w:tc>
      </w:tr>
      <w:tr w14:paraId="63654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0" w:hRule="atLeast"/>
        </w:trPr>
        <w:tc>
          <w:tcPr>
            <w:tcW w:w="9124" w:type="dxa"/>
            <w:noWrap w:val="0"/>
            <w:vAlign w:val="top"/>
          </w:tcPr>
          <w:p w14:paraId="75A75B8C">
            <w:pPr>
              <w:snapToGrid w:val="0"/>
              <w:spacing w:line="360" w:lineRule="exact"/>
              <w:rPr>
                <w:rFonts w:hint="eastAsia" w:ascii="宋体" w:hAnsi="宋体" w:eastAsia="宋体" w:cs="宋体"/>
                <w:color w:val="auto"/>
                <w:szCs w:val="21"/>
                <w:highlight w:val="none"/>
              </w:rPr>
            </w:pPr>
          </w:p>
          <w:p w14:paraId="4FE78519">
            <w:pPr>
              <w:snapToGrid w:val="0"/>
              <w:spacing w:line="360" w:lineRule="exact"/>
              <w:rPr>
                <w:rFonts w:hint="eastAsia" w:ascii="宋体" w:hAnsi="宋体" w:eastAsia="宋体" w:cs="宋体"/>
                <w:color w:val="auto"/>
                <w:szCs w:val="21"/>
                <w:highlight w:val="none"/>
              </w:rPr>
            </w:pPr>
          </w:p>
          <w:p w14:paraId="5630451C">
            <w:pPr>
              <w:snapToGrid w:val="0"/>
              <w:spacing w:line="360" w:lineRule="exact"/>
              <w:rPr>
                <w:rFonts w:hint="eastAsia" w:ascii="宋体" w:hAnsi="宋体" w:eastAsia="宋体" w:cs="宋体"/>
                <w:color w:val="auto"/>
                <w:szCs w:val="21"/>
                <w:highlight w:val="none"/>
              </w:rPr>
            </w:pPr>
          </w:p>
        </w:tc>
      </w:tr>
    </w:tbl>
    <w:p w14:paraId="747EB90E">
      <w:pPr>
        <w:jc w:val="center"/>
        <w:rPr>
          <w:rFonts w:hint="eastAsia" w:ascii="宋体" w:hAnsi="宋体" w:eastAsia="宋体" w:cs="宋体"/>
          <w:b/>
          <w:color w:val="auto"/>
          <w:kern w:val="0"/>
          <w:sz w:val="32"/>
          <w:szCs w:val="32"/>
          <w:highlight w:val="none"/>
        </w:rPr>
      </w:pPr>
    </w:p>
    <w:p w14:paraId="78E18EC1">
      <w:pPr>
        <w:jc w:val="center"/>
        <w:rPr>
          <w:rFonts w:hint="eastAsia" w:ascii="宋体" w:hAnsi="宋体" w:eastAsia="宋体" w:cs="宋体"/>
          <w:b/>
          <w:color w:val="auto"/>
          <w:kern w:val="0"/>
          <w:sz w:val="32"/>
          <w:szCs w:val="32"/>
          <w:highlight w:val="none"/>
        </w:rPr>
      </w:pPr>
    </w:p>
    <w:p w14:paraId="75A24000">
      <w:pPr>
        <w:jc w:val="center"/>
        <w:rPr>
          <w:rFonts w:hint="eastAsia" w:ascii="宋体" w:hAnsi="宋体" w:eastAsia="宋体" w:cs="宋体"/>
          <w:b/>
          <w:color w:val="auto"/>
          <w:kern w:val="0"/>
          <w:sz w:val="32"/>
          <w:szCs w:val="32"/>
          <w:highlight w:val="none"/>
        </w:rPr>
      </w:pPr>
    </w:p>
    <w:p w14:paraId="364B4BB6">
      <w:pPr>
        <w:jc w:val="center"/>
        <w:rPr>
          <w:rFonts w:hint="eastAsia" w:ascii="宋体" w:hAnsi="宋体" w:eastAsia="宋体" w:cs="宋体"/>
          <w:b/>
          <w:color w:val="auto"/>
          <w:kern w:val="0"/>
          <w:sz w:val="32"/>
          <w:szCs w:val="32"/>
          <w:highlight w:val="none"/>
        </w:rPr>
      </w:pPr>
    </w:p>
    <w:p w14:paraId="273C4365">
      <w:pPr>
        <w:jc w:val="center"/>
        <w:rPr>
          <w:rFonts w:hint="eastAsia" w:ascii="宋体" w:hAnsi="宋体" w:eastAsia="宋体" w:cs="宋体"/>
          <w:b/>
          <w:color w:val="auto"/>
          <w:kern w:val="0"/>
          <w:sz w:val="32"/>
          <w:szCs w:val="32"/>
          <w:highlight w:val="none"/>
        </w:rPr>
      </w:pPr>
    </w:p>
    <w:p w14:paraId="4B496174">
      <w:pPr>
        <w:jc w:val="both"/>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lang w:val="en-US" w:eastAsia="zh-CN"/>
        </w:rPr>
        <w:t>四、法定代表人（负责人）授权委托书</w:t>
      </w:r>
    </w:p>
    <w:p w14:paraId="1200B02C">
      <w:pPr>
        <w:jc w:val="center"/>
        <w:rPr>
          <w:rFonts w:hint="eastAsia" w:ascii="宋体" w:hAnsi="宋体" w:eastAsia="宋体" w:cs="宋体"/>
          <w:b/>
          <w:color w:val="auto"/>
          <w:kern w:val="0"/>
          <w:sz w:val="32"/>
          <w:szCs w:val="32"/>
          <w:highlight w:val="none"/>
        </w:rPr>
      </w:pPr>
    </w:p>
    <w:p w14:paraId="2E891BBB">
      <w:pPr>
        <w:jc w:val="center"/>
        <w:rPr>
          <w:rFonts w:hint="eastAsia" w:ascii="宋体" w:hAnsi="宋体" w:eastAsia="宋体" w:cs="宋体"/>
          <w:b/>
          <w:color w:val="auto"/>
          <w:kern w:val="0"/>
          <w:sz w:val="32"/>
          <w:szCs w:val="32"/>
          <w:highlight w:val="none"/>
        </w:rPr>
      </w:pPr>
    </w:p>
    <w:p w14:paraId="27516A88">
      <w:pPr>
        <w:tabs>
          <w:tab w:val="left" w:pos="4620"/>
        </w:tabs>
        <w:snapToGrid w:val="0"/>
        <w:spacing w:before="120" w:beforeLines="50" w:after="50" w:line="360" w:lineRule="auto"/>
        <w:jc w:val="center"/>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rPr>
        <w:t>法定代表人（负责人）授权委托书</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lang w:val="en-US" w:eastAsia="zh-CN"/>
        </w:rPr>
        <w:t>格式</w:t>
      </w:r>
      <w:r>
        <w:rPr>
          <w:rFonts w:hint="eastAsia" w:ascii="宋体" w:hAnsi="宋体" w:eastAsia="宋体" w:cs="宋体"/>
          <w:b/>
          <w:color w:val="auto"/>
          <w:sz w:val="28"/>
          <w:szCs w:val="28"/>
          <w:highlight w:val="none"/>
          <w:lang w:eastAsia="zh-CN"/>
        </w:rPr>
        <w:t>）</w:t>
      </w:r>
    </w:p>
    <w:p w14:paraId="54B8F733">
      <w:pPr>
        <w:tabs>
          <w:tab w:val="left" w:pos="4620"/>
        </w:tabs>
        <w:snapToGrid w:val="0"/>
        <w:spacing w:before="120" w:beforeLines="50" w:after="50" w:line="360" w:lineRule="auto"/>
        <w:rPr>
          <w:rFonts w:hint="eastAsia" w:ascii="宋体" w:hAnsi="宋体" w:eastAsia="宋体" w:cs="宋体"/>
          <w:bCs/>
          <w:color w:val="auto"/>
          <w:szCs w:val="21"/>
          <w:highlight w:val="none"/>
        </w:rPr>
      </w:pPr>
    </w:p>
    <w:p w14:paraId="4356A98A">
      <w:pPr>
        <w:tabs>
          <w:tab w:val="left" w:pos="4620"/>
        </w:tabs>
        <w:snapToGrid w:val="0"/>
        <w:spacing w:before="120" w:beforeLines="50" w:after="50" w:line="360" w:lineRule="auto"/>
        <w:rPr>
          <w:rFonts w:hint="eastAsia" w:ascii="宋体" w:hAnsi="宋体" w:eastAsia="宋体" w:cs="宋体"/>
          <w:b/>
          <w:bCs/>
          <w:color w:val="auto"/>
          <w:szCs w:val="21"/>
          <w:highlight w:val="none"/>
        </w:rPr>
      </w:pPr>
      <w:r>
        <w:rPr>
          <w:rFonts w:hint="eastAsia" w:ascii="宋体" w:hAnsi="宋体" w:eastAsia="宋体" w:cs="宋体"/>
          <w:bCs/>
          <w:color w:val="auto"/>
          <w:szCs w:val="21"/>
          <w:highlight w:val="none"/>
        </w:rPr>
        <w:t>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（采购代理机构名称）：</w:t>
      </w:r>
    </w:p>
    <w:p w14:paraId="6D5DFD87">
      <w:pPr>
        <w:tabs>
          <w:tab w:val="left" w:pos="4620"/>
        </w:tabs>
        <w:snapToGrid w:val="0"/>
        <w:spacing w:before="120" w:beforeLines="50" w:after="50"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（投标人名称）的法定代表人，现授权委托本单位在职职工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（姓名）以我方的名义参加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）的投标活动，并代表我方全权办理针对上述项目的投标、开标、评标、签约等具体事务和签署相关文件。</w:t>
      </w:r>
    </w:p>
    <w:p w14:paraId="4A6AEC16">
      <w:pPr>
        <w:snapToGrid w:val="0"/>
        <w:spacing w:before="120" w:beforeLines="50" w:after="5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我方对被授权人的签名事项负全部责任。</w:t>
      </w:r>
    </w:p>
    <w:p w14:paraId="3A6A3865">
      <w:pPr>
        <w:snapToGrid w:val="0"/>
        <w:spacing w:before="120" w:beforeLines="50" w:after="50" w:line="360" w:lineRule="auto"/>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在撤销授权的书面通知以前，本授权书一直有效。</w:t>
      </w:r>
      <w:r>
        <w:rPr>
          <w:rFonts w:hint="eastAsia" w:ascii="宋体" w:hAnsi="宋体" w:eastAsia="宋体" w:cs="宋体"/>
          <w:color w:val="auto"/>
          <w:szCs w:val="21"/>
          <w:highlight w:val="none"/>
        </w:rPr>
        <w:t>被授权人在授权书有效期内签署的所有文件不因授权的撤销而失效。</w:t>
      </w:r>
    </w:p>
    <w:p w14:paraId="1571723F">
      <w:pPr>
        <w:snapToGrid w:val="0"/>
        <w:spacing w:before="120" w:beforeLines="50" w:after="50" w:line="360" w:lineRule="auto"/>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被授权人无转委托权，特此委托。</w:t>
      </w:r>
    </w:p>
    <w:p w14:paraId="7363A064">
      <w:pPr>
        <w:snapToGrid w:val="0"/>
        <w:rPr>
          <w:rFonts w:hint="eastAsia" w:ascii="宋体" w:hAnsi="宋体" w:eastAsia="宋体" w:cs="宋体"/>
          <w:color w:val="auto"/>
          <w:szCs w:val="21"/>
          <w:highlight w:val="none"/>
        </w:rPr>
      </w:pPr>
    </w:p>
    <w:p w14:paraId="7EED3C06">
      <w:pPr>
        <w:snapToGrid w:val="0"/>
        <w:spacing w:before="120" w:beforeLines="50" w:after="50"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被授权人签名：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法定代表人签名：</w:t>
      </w:r>
      <w:r>
        <w:rPr>
          <w:rFonts w:hint="eastAsia" w:ascii="宋体" w:hAnsi="宋体" w:eastAsia="宋体" w:cs="宋体"/>
          <w:color w:val="auto"/>
          <w:szCs w:val="21"/>
          <w:highlight w:val="none"/>
          <w:u w:val="single"/>
        </w:rPr>
        <w:t xml:space="preserve">              </w:t>
      </w:r>
    </w:p>
    <w:p w14:paraId="4DE27760">
      <w:pPr>
        <w:snapToGrid w:val="0"/>
        <w:spacing w:before="120" w:beforeLines="50" w:after="5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所在部门职务：</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职  务：</w:t>
      </w:r>
      <w:r>
        <w:rPr>
          <w:rFonts w:hint="eastAsia" w:ascii="宋体" w:hAnsi="宋体" w:eastAsia="宋体" w:cs="宋体"/>
          <w:color w:val="auto"/>
          <w:szCs w:val="21"/>
          <w:highlight w:val="none"/>
          <w:u w:val="single"/>
        </w:rPr>
        <w:t xml:space="preserve">              </w:t>
      </w:r>
    </w:p>
    <w:p w14:paraId="2B5C7D86">
      <w:pPr>
        <w:snapToGrid w:val="0"/>
        <w:spacing w:before="120" w:beforeLines="50" w:after="5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被授权人身份证号码：</w:t>
      </w:r>
      <w:r>
        <w:rPr>
          <w:rFonts w:hint="eastAsia" w:ascii="宋体" w:hAnsi="宋体" w:eastAsia="宋体" w:cs="宋体"/>
          <w:color w:val="auto"/>
          <w:szCs w:val="21"/>
          <w:highlight w:val="none"/>
          <w:u w:val="single"/>
        </w:rPr>
        <w:t xml:space="preserve">                             </w:t>
      </w:r>
    </w:p>
    <w:p w14:paraId="713D5A2E">
      <w:pPr>
        <w:snapToGrid w:val="0"/>
        <w:spacing w:before="120" w:beforeLines="50" w:after="50"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 电子公章：</w:t>
      </w:r>
      <w:r>
        <w:rPr>
          <w:rFonts w:hint="eastAsia" w:ascii="宋体" w:hAnsi="宋体" w:eastAsia="宋体" w:cs="宋体"/>
          <w:color w:val="auto"/>
          <w:szCs w:val="21"/>
          <w:highlight w:val="none"/>
          <w:u w:val="single"/>
        </w:rPr>
        <w:t xml:space="preserve">                   </w:t>
      </w:r>
    </w:p>
    <w:p w14:paraId="17C68331">
      <w:pPr>
        <w:pStyle w:val="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38C35D88">
      <w:pPr>
        <w:pStyle w:val="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snapToGrid/>
          <w:color w:val="auto"/>
          <w:kern w:val="2"/>
          <w:sz w:val="21"/>
          <w:szCs w:val="21"/>
          <w:highlight w:val="none"/>
          <w:lang w:val="en-US" w:eastAsia="zh-CN" w:bidi="ar-SA"/>
        </w:rPr>
        <w:t xml:space="preserve">      年    月    日</w:t>
      </w:r>
    </w:p>
    <w:p w14:paraId="573A9F3D">
      <w:pPr>
        <w:rPr>
          <w:rFonts w:hint="eastAsia" w:ascii="宋体" w:hAnsi="宋体" w:eastAsia="宋体" w:cs="宋体"/>
          <w:color w:val="auto"/>
          <w:highlight w:val="none"/>
        </w:rPr>
      </w:pPr>
    </w:p>
    <w:p w14:paraId="3F88A477">
      <w:pPr>
        <w:rPr>
          <w:rFonts w:hint="eastAsia" w:ascii="宋体" w:hAnsi="宋体" w:eastAsia="宋体" w:cs="宋体"/>
          <w:color w:val="auto"/>
          <w:highlight w:val="none"/>
        </w:rPr>
      </w:pPr>
    </w:p>
    <w:p w14:paraId="4E386574">
      <w:pPr>
        <w:snapToGrid w:val="0"/>
        <w:spacing w:before="120" w:beforeLines="50" w:after="5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103493C0">
      <w:pPr>
        <w:snapToGrid w:val="0"/>
        <w:spacing w:before="120" w:beforeLines="50" w:after="5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1.法定代表人和委托代理人必须在授权委托书上亲笔签名，并加盖电子公章，不得使用印章、签名章或者其他电子制版签名代替</w:t>
      </w:r>
      <w:r>
        <w:rPr>
          <w:rFonts w:hint="eastAsia" w:ascii="宋体" w:hAnsi="宋体" w:eastAsia="宋体" w:cs="宋体"/>
          <w:b/>
          <w:bCs/>
          <w:color w:val="auto"/>
          <w:szCs w:val="21"/>
          <w:highlight w:val="none"/>
        </w:rPr>
        <w:t>，否则作无效投标处理</w:t>
      </w:r>
      <w:r>
        <w:rPr>
          <w:rFonts w:hint="eastAsia" w:ascii="宋体" w:hAnsi="宋体" w:eastAsia="宋体" w:cs="宋体"/>
          <w:color w:val="auto"/>
          <w:szCs w:val="21"/>
          <w:highlight w:val="none"/>
        </w:rPr>
        <w:t>；</w:t>
      </w:r>
    </w:p>
    <w:p w14:paraId="1CA79FCB">
      <w:pPr>
        <w:jc w:val="left"/>
        <w:rPr>
          <w:rFonts w:hint="eastAsia" w:ascii="宋体" w:hAnsi="宋体" w:eastAsia="宋体" w:cs="宋体"/>
          <w:b/>
          <w:color w:val="auto"/>
          <w:kern w:val="0"/>
          <w:sz w:val="32"/>
          <w:szCs w:val="32"/>
          <w:highlight w:val="none"/>
        </w:rPr>
      </w:pPr>
      <w:r>
        <w:rPr>
          <w:rFonts w:hint="eastAsia" w:ascii="宋体" w:hAnsi="宋体" w:eastAsia="宋体" w:cs="宋体"/>
          <w:color w:val="auto"/>
          <w:szCs w:val="21"/>
          <w:highlight w:val="none"/>
        </w:rPr>
        <w:t xml:space="preserve">2. </w:t>
      </w:r>
      <w:r>
        <w:rPr>
          <w:rFonts w:hint="eastAsia" w:ascii="宋体" w:hAnsi="宋体" w:eastAsia="宋体" w:cs="宋体"/>
          <w:color w:val="auto"/>
          <w:szCs w:val="21"/>
          <w:highlight w:val="none"/>
          <w:lang w:eastAsia="zh-CN"/>
        </w:rPr>
        <w:t>投标人</w:t>
      </w:r>
      <w:r>
        <w:rPr>
          <w:rFonts w:hint="eastAsia" w:ascii="宋体" w:hAnsi="宋体" w:eastAsia="宋体" w:cs="宋体"/>
          <w:color w:val="auto"/>
          <w:szCs w:val="21"/>
          <w:highlight w:val="none"/>
        </w:rPr>
        <w:t>为其他组织或者自然人时，本招标文件规定的法定代表人指负责人或者自然人。本招标文件所称负责人是指参加投标的其他组织营业执照上的负责人，本招标文件所称自然人指参与投标的自然人本人。</w:t>
      </w:r>
    </w:p>
    <w:p w14:paraId="05E6AF96">
      <w:pPr>
        <w:widowControl/>
        <w:adjustRightInd/>
        <w:jc w:val="left"/>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0EEBF98A">
      <w:pPr>
        <w:jc w:val="both"/>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五、商务响应表</w:t>
      </w:r>
    </w:p>
    <w:p w14:paraId="4C47C099">
      <w:pPr>
        <w:jc w:val="center"/>
        <w:rPr>
          <w:rFonts w:hint="eastAsia" w:ascii="宋体" w:hAnsi="宋体" w:eastAsia="宋体" w:cs="宋体"/>
          <w:b/>
          <w:color w:val="auto"/>
          <w:kern w:val="0"/>
          <w:sz w:val="32"/>
          <w:szCs w:val="32"/>
          <w:highlight w:val="none"/>
          <w:lang w:eastAsia="zh-CN"/>
        </w:rPr>
      </w:pPr>
      <w:r>
        <w:rPr>
          <w:rFonts w:hint="eastAsia" w:ascii="宋体" w:hAnsi="宋体" w:eastAsia="宋体" w:cs="宋体"/>
          <w:b/>
          <w:color w:val="auto"/>
          <w:kern w:val="0"/>
          <w:sz w:val="32"/>
          <w:szCs w:val="32"/>
          <w:highlight w:val="none"/>
        </w:rPr>
        <w:t>商务响应表</w:t>
      </w:r>
      <w:r>
        <w:rPr>
          <w:rFonts w:hint="eastAsia" w:ascii="宋体" w:hAnsi="宋体" w:eastAsia="宋体" w:cs="宋体"/>
          <w:b/>
          <w:color w:val="auto"/>
          <w:kern w:val="0"/>
          <w:sz w:val="32"/>
          <w:szCs w:val="32"/>
          <w:highlight w:val="none"/>
          <w:lang w:eastAsia="zh-CN"/>
        </w:rPr>
        <w:t>（</w:t>
      </w:r>
      <w:r>
        <w:rPr>
          <w:rFonts w:hint="eastAsia" w:ascii="宋体" w:hAnsi="宋体" w:eastAsia="宋体" w:cs="宋体"/>
          <w:b/>
          <w:color w:val="auto"/>
          <w:kern w:val="0"/>
          <w:sz w:val="32"/>
          <w:szCs w:val="32"/>
          <w:highlight w:val="none"/>
          <w:lang w:val="en-US" w:eastAsia="zh-CN"/>
        </w:rPr>
        <w:t>格式</w:t>
      </w:r>
      <w:r>
        <w:rPr>
          <w:rFonts w:hint="eastAsia" w:ascii="宋体" w:hAnsi="宋体" w:eastAsia="宋体" w:cs="宋体"/>
          <w:b/>
          <w:color w:val="auto"/>
          <w:kern w:val="0"/>
          <w:sz w:val="32"/>
          <w:szCs w:val="32"/>
          <w:highlight w:val="none"/>
          <w:lang w:eastAsia="zh-CN"/>
        </w:rPr>
        <w:t>）</w:t>
      </w:r>
    </w:p>
    <w:p w14:paraId="3DD6F226">
      <w:pPr>
        <w:snapToGrid w:val="0"/>
        <w:spacing w:before="50" w:after="120" w:afterLines="50" w:line="360" w:lineRule="exact"/>
        <w:ind w:firstLine="308" w:firstLineChars="147"/>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分标：</w:t>
      </w:r>
      <w:r>
        <w:rPr>
          <w:rFonts w:hint="eastAsia" w:ascii="宋体" w:hAnsi="宋体" w:eastAsia="宋体" w:cs="宋体"/>
          <w:color w:val="auto"/>
          <w:szCs w:val="21"/>
          <w:highlight w:val="none"/>
          <w:u w:val="single"/>
        </w:rPr>
        <w:t xml:space="preserve">              </w:t>
      </w:r>
    </w:p>
    <w:tbl>
      <w:tblPr>
        <w:tblStyle w:val="64"/>
        <w:tblpPr w:leftFromText="180" w:rightFromText="180" w:vertAnchor="text" w:horzAnchor="page" w:tblpX="1492" w:tblpY="150"/>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45"/>
        <w:gridCol w:w="3362"/>
        <w:gridCol w:w="1344"/>
        <w:gridCol w:w="2689"/>
      </w:tblGrid>
      <w:tr w14:paraId="49CB3F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1445" w:type="dxa"/>
            <w:tcBorders>
              <w:top w:val="single" w:color="auto" w:sz="4" w:space="0"/>
              <w:left w:val="single" w:color="auto" w:sz="4" w:space="0"/>
              <w:bottom w:val="single" w:color="auto" w:sz="4" w:space="0"/>
              <w:right w:val="single" w:color="auto" w:sz="4" w:space="0"/>
            </w:tcBorders>
            <w:noWrap w:val="0"/>
            <w:vAlign w:val="center"/>
          </w:tcPr>
          <w:p w14:paraId="2CEEF800">
            <w:pPr>
              <w:snapToGrid w:val="0"/>
              <w:spacing w:before="120" w:beforeLines="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w:t>
            </w:r>
          </w:p>
        </w:tc>
        <w:tc>
          <w:tcPr>
            <w:tcW w:w="3362" w:type="dxa"/>
            <w:tcBorders>
              <w:top w:val="single" w:color="auto" w:sz="4" w:space="0"/>
              <w:left w:val="single" w:color="auto" w:sz="4" w:space="0"/>
              <w:bottom w:val="single" w:color="auto" w:sz="4" w:space="0"/>
              <w:right w:val="single" w:color="auto" w:sz="4" w:space="0"/>
            </w:tcBorders>
            <w:noWrap w:val="0"/>
            <w:vAlign w:val="center"/>
          </w:tcPr>
          <w:p w14:paraId="04F032CD">
            <w:pPr>
              <w:snapToGrid w:val="0"/>
              <w:spacing w:before="120" w:beforeLines="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招标文件要求</w:t>
            </w:r>
          </w:p>
        </w:tc>
        <w:tc>
          <w:tcPr>
            <w:tcW w:w="1344" w:type="dxa"/>
            <w:tcBorders>
              <w:top w:val="single" w:color="auto" w:sz="4" w:space="0"/>
              <w:left w:val="single" w:color="auto" w:sz="4" w:space="0"/>
              <w:bottom w:val="single" w:color="auto" w:sz="4" w:space="0"/>
              <w:right w:val="single" w:color="auto" w:sz="4" w:space="0"/>
            </w:tcBorders>
            <w:noWrap w:val="0"/>
            <w:vAlign w:val="center"/>
          </w:tcPr>
          <w:p w14:paraId="2E93EEF9">
            <w:pPr>
              <w:snapToGrid w:val="0"/>
              <w:spacing w:before="120" w:beforeLines="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是否响应</w:t>
            </w:r>
          </w:p>
        </w:tc>
        <w:tc>
          <w:tcPr>
            <w:tcW w:w="2689" w:type="dxa"/>
            <w:tcBorders>
              <w:top w:val="single" w:color="auto" w:sz="4" w:space="0"/>
              <w:left w:val="single" w:color="auto" w:sz="4" w:space="0"/>
              <w:bottom w:val="single" w:color="auto" w:sz="4" w:space="0"/>
              <w:right w:val="single" w:color="auto" w:sz="4" w:space="0"/>
            </w:tcBorders>
            <w:noWrap w:val="0"/>
            <w:vAlign w:val="center"/>
          </w:tcPr>
          <w:p w14:paraId="7D98074C">
            <w:pPr>
              <w:snapToGrid w:val="0"/>
              <w:spacing w:before="120" w:beforeLines="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投标人的承诺或说明</w:t>
            </w:r>
          </w:p>
        </w:tc>
      </w:tr>
      <w:tr w14:paraId="1C6981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1445" w:type="dxa"/>
            <w:tcBorders>
              <w:top w:val="single" w:color="auto" w:sz="4" w:space="0"/>
              <w:left w:val="single" w:color="auto" w:sz="4" w:space="0"/>
              <w:bottom w:val="single" w:color="auto" w:sz="4" w:space="0"/>
              <w:right w:val="single" w:color="auto" w:sz="4" w:space="0"/>
            </w:tcBorders>
            <w:noWrap w:val="0"/>
            <w:vAlign w:val="center"/>
          </w:tcPr>
          <w:p w14:paraId="1D00D071">
            <w:pPr>
              <w:snapToGrid w:val="0"/>
              <w:spacing w:before="120" w:beforeLines="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保</w:t>
            </w:r>
            <w:r>
              <w:rPr>
                <w:rFonts w:hint="eastAsia" w:ascii="宋体" w:hAnsi="宋体" w:eastAsia="宋体" w:cs="宋体"/>
                <w:color w:val="auto"/>
                <w:szCs w:val="21"/>
                <w:highlight w:val="none"/>
                <w:lang w:val="en-US" w:eastAsia="zh-CN"/>
              </w:rPr>
              <w:t>修</w:t>
            </w:r>
            <w:r>
              <w:rPr>
                <w:rFonts w:hint="eastAsia" w:ascii="宋体" w:hAnsi="宋体" w:eastAsia="宋体" w:cs="宋体"/>
                <w:color w:val="auto"/>
                <w:szCs w:val="21"/>
                <w:highlight w:val="none"/>
              </w:rPr>
              <w:t>期</w:t>
            </w:r>
          </w:p>
        </w:tc>
        <w:tc>
          <w:tcPr>
            <w:tcW w:w="3362" w:type="dxa"/>
            <w:tcBorders>
              <w:top w:val="single" w:color="auto" w:sz="4" w:space="0"/>
              <w:left w:val="single" w:color="auto" w:sz="4" w:space="0"/>
              <w:bottom w:val="single" w:color="auto" w:sz="4" w:space="0"/>
              <w:right w:val="single" w:color="auto" w:sz="4" w:space="0"/>
            </w:tcBorders>
            <w:noWrap w:val="0"/>
            <w:vAlign w:val="center"/>
          </w:tcPr>
          <w:p w14:paraId="5AD39D03">
            <w:pPr>
              <w:snapToGrid w:val="0"/>
              <w:spacing w:before="120" w:beforeLines="50" w:line="360" w:lineRule="exact"/>
              <w:jc w:val="center"/>
              <w:rPr>
                <w:rFonts w:hint="eastAsia" w:ascii="宋体" w:hAnsi="宋体" w:eastAsia="宋体" w:cs="宋体"/>
                <w:color w:val="auto"/>
                <w:szCs w:val="21"/>
                <w:highlight w:val="none"/>
              </w:rPr>
            </w:pPr>
          </w:p>
        </w:tc>
        <w:tc>
          <w:tcPr>
            <w:tcW w:w="1344" w:type="dxa"/>
            <w:tcBorders>
              <w:top w:val="single" w:color="auto" w:sz="4" w:space="0"/>
              <w:left w:val="single" w:color="auto" w:sz="4" w:space="0"/>
              <w:bottom w:val="single" w:color="auto" w:sz="4" w:space="0"/>
              <w:right w:val="single" w:color="auto" w:sz="4" w:space="0"/>
            </w:tcBorders>
            <w:noWrap w:val="0"/>
            <w:vAlign w:val="center"/>
          </w:tcPr>
          <w:p w14:paraId="0D3971B6">
            <w:pPr>
              <w:snapToGrid w:val="0"/>
              <w:spacing w:before="120" w:beforeLines="50" w:line="360" w:lineRule="exact"/>
              <w:jc w:val="center"/>
              <w:rPr>
                <w:rFonts w:hint="eastAsia" w:ascii="宋体" w:hAnsi="宋体" w:eastAsia="宋体" w:cs="宋体"/>
                <w:color w:val="auto"/>
                <w:szCs w:val="21"/>
                <w:highlight w:val="none"/>
              </w:rPr>
            </w:pPr>
          </w:p>
        </w:tc>
        <w:tc>
          <w:tcPr>
            <w:tcW w:w="2689" w:type="dxa"/>
            <w:tcBorders>
              <w:top w:val="single" w:color="auto" w:sz="4" w:space="0"/>
              <w:left w:val="single" w:color="auto" w:sz="4" w:space="0"/>
              <w:bottom w:val="single" w:color="auto" w:sz="4" w:space="0"/>
              <w:right w:val="single" w:color="auto" w:sz="4" w:space="0"/>
            </w:tcBorders>
            <w:noWrap w:val="0"/>
            <w:vAlign w:val="center"/>
          </w:tcPr>
          <w:p w14:paraId="75A5B2BB">
            <w:pPr>
              <w:snapToGrid w:val="0"/>
              <w:spacing w:before="120" w:beforeLines="50" w:line="360" w:lineRule="exact"/>
              <w:jc w:val="center"/>
              <w:rPr>
                <w:rFonts w:hint="eastAsia" w:ascii="宋体" w:hAnsi="宋体" w:eastAsia="宋体" w:cs="宋体"/>
                <w:color w:val="auto"/>
                <w:szCs w:val="21"/>
                <w:highlight w:val="none"/>
              </w:rPr>
            </w:pPr>
          </w:p>
        </w:tc>
      </w:tr>
      <w:tr w14:paraId="1140DB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1" w:hRule="atLeast"/>
        </w:trPr>
        <w:tc>
          <w:tcPr>
            <w:tcW w:w="1445" w:type="dxa"/>
            <w:tcBorders>
              <w:top w:val="single" w:color="auto" w:sz="4" w:space="0"/>
              <w:left w:val="single" w:color="auto" w:sz="4" w:space="0"/>
              <w:bottom w:val="single" w:color="auto" w:sz="4" w:space="0"/>
              <w:right w:val="single" w:color="auto" w:sz="4" w:space="0"/>
            </w:tcBorders>
            <w:noWrap w:val="0"/>
            <w:vAlign w:val="center"/>
          </w:tcPr>
          <w:p w14:paraId="320B5446">
            <w:pPr>
              <w:snapToGrid w:val="0"/>
              <w:spacing w:before="120" w:beforeLines="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售后技术服务要求</w:t>
            </w:r>
          </w:p>
        </w:tc>
        <w:tc>
          <w:tcPr>
            <w:tcW w:w="3362" w:type="dxa"/>
            <w:tcBorders>
              <w:top w:val="single" w:color="auto" w:sz="4" w:space="0"/>
              <w:left w:val="single" w:color="auto" w:sz="4" w:space="0"/>
              <w:bottom w:val="single" w:color="auto" w:sz="4" w:space="0"/>
              <w:right w:val="single" w:color="auto" w:sz="4" w:space="0"/>
            </w:tcBorders>
            <w:noWrap w:val="0"/>
            <w:vAlign w:val="center"/>
          </w:tcPr>
          <w:p w14:paraId="5EA4CD6A">
            <w:pPr>
              <w:snapToGrid w:val="0"/>
              <w:spacing w:before="120" w:beforeLines="50" w:line="360" w:lineRule="exact"/>
              <w:jc w:val="center"/>
              <w:rPr>
                <w:rFonts w:hint="eastAsia" w:ascii="宋体" w:hAnsi="宋体" w:eastAsia="宋体" w:cs="宋体"/>
                <w:color w:val="auto"/>
                <w:szCs w:val="21"/>
                <w:highlight w:val="none"/>
              </w:rPr>
            </w:pPr>
          </w:p>
        </w:tc>
        <w:tc>
          <w:tcPr>
            <w:tcW w:w="1344" w:type="dxa"/>
            <w:tcBorders>
              <w:top w:val="single" w:color="auto" w:sz="4" w:space="0"/>
              <w:left w:val="single" w:color="auto" w:sz="4" w:space="0"/>
              <w:bottom w:val="single" w:color="auto" w:sz="4" w:space="0"/>
              <w:right w:val="single" w:color="auto" w:sz="4" w:space="0"/>
            </w:tcBorders>
            <w:noWrap w:val="0"/>
            <w:vAlign w:val="center"/>
          </w:tcPr>
          <w:p w14:paraId="18095A6B">
            <w:pPr>
              <w:snapToGrid w:val="0"/>
              <w:spacing w:before="120" w:beforeLines="50" w:line="360" w:lineRule="exact"/>
              <w:jc w:val="center"/>
              <w:rPr>
                <w:rFonts w:hint="eastAsia" w:ascii="宋体" w:hAnsi="宋体" w:eastAsia="宋体" w:cs="宋体"/>
                <w:color w:val="auto"/>
                <w:szCs w:val="21"/>
                <w:highlight w:val="none"/>
              </w:rPr>
            </w:pPr>
          </w:p>
        </w:tc>
        <w:tc>
          <w:tcPr>
            <w:tcW w:w="2689" w:type="dxa"/>
            <w:tcBorders>
              <w:top w:val="single" w:color="auto" w:sz="4" w:space="0"/>
              <w:left w:val="single" w:color="auto" w:sz="4" w:space="0"/>
              <w:bottom w:val="single" w:color="auto" w:sz="4" w:space="0"/>
              <w:right w:val="single" w:color="auto" w:sz="4" w:space="0"/>
            </w:tcBorders>
            <w:noWrap w:val="0"/>
            <w:vAlign w:val="center"/>
          </w:tcPr>
          <w:p w14:paraId="5A1DAFE4">
            <w:pPr>
              <w:snapToGrid w:val="0"/>
              <w:spacing w:before="120" w:beforeLines="50" w:line="360" w:lineRule="exact"/>
              <w:jc w:val="center"/>
              <w:rPr>
                <w:rFonts w:hint="eastAsia" w:ascii="宋体" w:hAnsi="宋体" w:eastAsia="宋体" w:cs="宋体"/>
                <w:color w:val="auto"/>
                <w:szCs w:val="21"/>
                <w:highlight w:val="none"/>
              </w:rPr>
            </w:pPr>
          </w:p>
        </w:tc>
      </w:tr>
      <w:tr w14:paraId="6A8528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9" w:hRule="atLeast"/>
        </w:trPr>
        <w:tc>
          <w:tcPr>
            <w:tcW w:w="1445" w:type="dxa"/>
            <w:tcBorders>
              <w:top w:val="single" w:color="auto" w:sz="4" w:space="0"/>
              <w:left w:val="single" w:color="auto" w:sz="4" w:space="0"/>
              <w:bottom w:val="single" w:color="auto" w:sz="4" w:space="0"/>
              <w:right w:val="single" w:color="auto" w:sz="4" w:space="0"/>
            </w:tcBorders>
            <w:noWrap w:val="0"/>
            <w:vAlign w:val="center"/>
          </w:tcPr>
          <w:p w14:paraId="747E5DCE">
            <w:pPr>
              <w:snapToGrid w:val="0"/>
              <w:spacing w:before="120" w:beforeLines="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交货时间及地点</w:t>
            </w:r>
          </w:p>
        </w:tc>
        <w:tc>
          <w:tcPr>
            <w:tcW w:w="3362" w:type="dxa"/>
            <w:tcBorders>
              <w:top w:val="single" w:color="auto" w:sz="4" w:space="0"/>
              <w:left w:val="single" w:color="auto" w:sz="4" w:space="0"/>
              <w:bottom w:val="single" w:color="auto" w:sz="4" w:space="0"/>
              <w:right w:val="single" w:color="auto" w:sz="4" w:space="0"/>
            </w:tcBorders>
            <w:noWrap w:val="0"/>
            <w:vAlign w:val="center"/>
          </w:tcPr>
          <w:p w14:paraId="5377C93E">
            <w:pPr>
              <w:snapToGrid w:val="0"/>
              <w:spacing w:before="120" w:beforeLines="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（合同签订后×天内）</w:t>
            </w:r>
            <w:r>
              <w:rPr>
                <w:rFonts w:hint="eastAsia" w:ascii="宋体" w:hAnsi="宋体" w:eastAsia="宋体" w:cs="宋体"/>
                <w:color w:val="auto"/>
                <w:szCs w:val="21"/>
                <w:highlight w:val="none"/>
              </w:rPr>
              <w:t>交货；</w:t>
            </w:r>
          </w:p>
          <w:p w14:paraId="53C425CC">
            <w:pPr>
              <w:snapToGrid w:val="0"/>
              <w:spacing w:before="120" w:beforeLines="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w:t>
            </w:r>
          </w:p>
        </w:tc>
        <w:tc>
          <w:tcPr>
            <w:tcW w:w="1344" w:type="dxa"/>
            <w:tcBorders>
              <w:top w:val="single" w:color="auto" w:sz="4" w:space="0"/>
              <w:left w:val="single" w:color="auto" w:sz="4" w:space="0"/>
              <w:bottom w:val="single" w:color="auto" w:sz="4" w:space="0"/>
              <w:right w:val="single" w:color="auto" w:sz="4" w:space="0"/>
            </w:tcBorders>
            <w:noWrap w:val="0"/>
            <w:vAlign w:val="center"/>
          </w:tcPr>
          <w:p w14:paraId="1B5C1177">
            <w:pPr>
              <w:snapToGrid w:val="0"/>
              <w:spacing w:before="120" w:beforeLines="50" w:line="360" w:lineRule="exact"/>
              <w:ind w:left="43"/>
              <w:jc w:val="center"/>
              <w:rPr>
                <w:rFonts w:hint="eastAsia" w:ascii="宋体" w:hAnsi="宋体" w:eastAsia="宋体" w:cs="宋体"/>
                <w:color w:val="auto"/>
                <w:szCs w:val="21"/>
                <w:highlight w:val="none"/>
              </w:rPr>
            </w:pPr>
          </w:p>
        </w:tc>
        <w:tc>
          <w:tcPr>
            <w:tcW w:w="2689" w:type="dxa"/>
            <w:tcBorders>
              <w:top w:val="single" w:color="auto" w:sz="4" w:space="0"/>
              <w:left w:val="single" w:color="auto" w:sz="4" w:space="0"/>
              <w:bottom w:val="single" w:color="auto" w:sz="4" w:space="0"/>
              <w:right w:val="single" w:color="auto" w:sz="4" w:space="0"/>
            </w:tcBorders>
            <w:noWrap w:val="0"/>
            <w:vAlign w:val="center"/>
          </w:tcPr>
          <w:p w14:paraId="0D4C4FEA">
            <w:pPr>
              <w:snapToGrid w:val="0"/>
              <w:spacing w:before="120" w:beforeLines="50" w:line="360" w:lineRule="exact"/>
              <w:ind w:left="43"/>
              <w:jc w:val="center"/>
              <w:rPr>
                <w:rFonts w:hint="eastAsia" w:ascii="宋体" w:hAnsi="宋体" w:eastAsia="宋体" w:cs="宋体"/>
                <w:color w:val="auto"/>
                <w:szCs w:val="21"/>
                <w:highlight w:val="none"/>
              </w:rPr>
            </w:pPr>
          </w:p>
        </w:tc>
      </w:tr>
      <w:tr w14:paraId="2CE79E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1445" w:type="dxa"/>
            <w:tcBorders>
              <w:top w:val="single" w:color="auto" w:sz="4" w:space="0"/>
              <w:left w:val="single" w:color="auto" w:sz="4" w:space="0"/>
              <w:bottom w:val="single" w:color="auto" w:sz="4" w:space="0"/>
              <w:right w:val="single" w:color="auto" w:sz="4" w:space="0"/>
            </w:tcBorders>
            <w:noWrap w:val="0"/>
            <w:vAlign w:val="center"/>
          </w:tcPr>
          <w:p w14:paraId="7B67465B">
            <w:pPr>
              <w:jc w:val="center"/>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3362" w:type="dxa"/>
            <w:tcBorders>
              <w:top w:val="single" w:color="auto" w:sz="4" w:space="0"/>
              <w:left w:val="single" w:color="auto" w:sz="4" w:space="0"/>
              <w:bottom w:val="single" w:color="auto" w:sz="4" w:space="0"/>
              <w:right w:val="single" w:color="auto" w:sz="4" w:space="0"/>
            </w:tcBorders>
            <w:noWrap w:val="0"/>
            <w:vAlign w:val="center"/>
          </w:tcPr>
          <w:p w14:paraId="5BA60779">
            <w:pPr>
              <w:jc w:val="center"/>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1344" w:type="dxa"/>
            <w:tcBorders>
              <w:top w:val="single" w:color="auto" w:sz="4" w:space="0"/>
              <w:left w:val="single" w:color="auto" w:sz="4" w:space="0"/>
              <w:bottom w:val="single" w:color="auto" w:sz="4" w:space="0"/>
              <w:right w:val="single" w:color="auto" w:sz="4" w:space="0"/>
            </w:tcBorders>
            <w:noWrap w:val="0"/>
            <w:vAlign w:val="center"/>
          </w:tcPr>
          <w:p w14:paraId="3AE29088">
            <w:pPr>
              <w:jc w:val="center"/>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2689" w:type="dxa"/>
            <w:tcBorders>
              <w:top w:val="single" w:color="auto" w:sz="4" w:space="0"/>
              <w:left w:val="single" w:color="auto" w:sz="4" w:space="0"/>
              <w:bottom w:val="single" w:color="auto" w:sz="4" w:space="0"/>
              <w:right w:val="single" w:color="auto" w:sz="4" w:space="0"/>
            </w:tcBorders>
            <w:noWrap w:val="0"/>
            <w:vAlign w:val="center"/>
          </w:tcPr>
          <w:p w14:paraId="62F2423B">
            <w:pPr>
              <w:jc w:val="center"/>
              <w:rPr>
                <w:rFonts w:hint="eastAsia" w:ascii="宋体" w:hAnsi="宋体" w:eastAsia="宋体" w:cs="宋体"/>
                <w:color w:val="auto"/>
                <w:highlight w:val="none"/>
              </w:rPr>
            </w:pPr>
            <w:r>
              <w:rPr>
                <w:rFonts w:hint="eastAsia" w:ascii="宋体" w:hAnsi="宋体" w:eastAsia="宋体" w:cs="宋体"/>
                <w:color w:val="auto"/>
                <w:highlight w:val="none"/>
              </w:rPr>
              <w:t>...</w:t>
            </w:r>
          </w:p>
        </w:tc>
      </w:tr>
    </w:tbl>
    <w:p w14:paraId="695B192E">
      <w:pPr>
        <w:snapToGrid w:val="0"/>
        <w:spacing w:before="120" w:beforeLines="50" w:after="120" w:afterLines="50" w:line="360" w:lineRule="exact"/>
        <w:rPr>
          <w:rFonts w:hint="eastAsia" w:ascii="宋体" w:hAnsi="宋体" w:eastAsia="宋体" w:cs="宋体"/>
          <w:b/>
          <w:bCs/>
          <w:color w:val="auto"/>
          <w:spacing w:val="20"/>
          <w:szCs w:val="21"/>
          <w:highlight w:val="none"/>
        </w:rPr>
      </w:pPr>
      <w:r>
        <w:rPr>
          <w:rFonts w:hint="eastAsia" w:ascii="宋体" w:hAnsi="宋体" w:eastAsia="宋体" w:cs="宋体"/>
          <w:b/>
          <w:bCs/>
          <w:color w:val="auto"/>
          <w:szCs w:val="21"/>
          <w:highlight w:val="none"/>
        </w:rPr>
        <w:t>填写说明：投标人应根据第三</w:t>
      </w:r>
      <w:r>
        <w:rPr>
          <w:rFonts w:hint="eastAsia" w:ascii="宋体" w:hAnsi="宋体" w:eastAsia="宋体" w:cs="宋体"/>
          <w:b/>
          <w:bCs/>
          <w:color w:val="auto"/>
          <w:szCs w:val="21"/>
          <w:highlight w:val="none"/>
          <w:lang w:val="en-US" w:eastAsia="zh-CN"/>
        </w:rPr>
        <w:t>部分</w:t>
      </w:r>
      <w:r>
        <w:rPr>
          <w:rFonts w:hint="eastAsia" w:ascii="宋体" w:hAnsi="宋体" w:eastAsia="宋体" w:cs="宋体"/>
          <w:b/>
          <w:bCs/>
          <w:color w:val="auto"/>
          <w:szCs w:val="21"/>
          <w:highlight w:val="none"/>
        </w:rPr>
        <w:t>招标项目采购需求的商务要求，逐条响应，漏项或者空白，视为不实质性响应招标文件。</w:t>
      </w:r>
    </w:p>
    <w:p w14:paraId="1B790738">
      <w:pPr>
        <w:snapToGrid w:val="0"/>
        <w:spacing w:before="120" w:beforeLines="50" w:after="120" w:afterLines="50" w:line="360" w:lineRule="exact"/>
        <w:rPr>
          <w:rFonts w:hint="eastAsia" w:ascii="宋体" w:hAnsi="宋体" w:eastAsia="宋体" w:cs="宋体"/>
          <w:color w:val="auto"/>
          <w:spacing w:val="20"/>
          <w:szCs w:val="21"/>
          <w:highlight w:val="none"/>
        </w:rPr>
      </w:pPr>
    </w:p>
    <w:p w14:paraId="0944466F">
      <w:pPr>
        <w:snapToGrid w:val="0"/>
        <w:spacing w:before="120" w:beforeLines="50" w:after="120" w:afterLines="50" w:line="360" w:lineRule="exact"/>
        <w:rPr>
          <w:rFonts w:hint="eastAsia" w:ascii="宋体" w:hAnsi="宋体" w:eastAsia="宋体" w:cs="宋体"/>
          <w:color w:val="auto"/>
          <w:spacing w:val="20"/>
          <w:szCs w:val="21"/>
          <w:highlight w:val="none"/>
          <w:u w:val="single"/>
        </w:rPr>
      </w:pPr>
      <w:r>
        <w:rPr>
          <w:rFonts w:hint="eastAsia" w:ascii="宋体" w:hAnsi="宋体" w:eastAsia="宋体" w:cs="宋体"/>
          <w:color w:val="auto"/>
          <w:spacing w:val="20"/>
          <w:szCs w:val="21"/>
          <w:highlight w:val="none"/>
        </w:rPr>
        <w:t>法定代表人（负责人）或委托代理人（签字或电子签名）：</w:t>
      </w:r>
      <w:r>
        <w:rPr>
          <w:rFonts w:hint="eastAsia" w:ascii="宋体" w:hAnsi="宋体" w:eastAsia="宋体" w:cs="宋体"/>
          <w:color w:val="auto"/>
          <w:spacing w:val="20"/>
          <w:szCs w:val="21"/>
          <w:highlight w:val="none"/>
          <w:u w:val="single"/>
        </w:rPr>
        <w:t xml:space="preserve">            </w:t>
      </w:r>
    </w:p>
    <w:p w14:paraId="3AF3BC0D">
      <w:pPr>
        <w:snapToGrid w:val="0"/>
        <w:spacing w:before="120" w:beforeLines="50" w:after="120" w:afterLines="50" w:line="360" w:lineRule="exact"/>
        <w:jc w:val="left"/>
        <w:rPr>
          <w:rFonts w:hint="eastAsia" w:ascii="宋体" w:hAnsi="宋体" w:eastAsia="宋体" w:cs="宋体"/>
          <w:color w:val="auto"/>
          <w:spacing w:val="20"/>
          <w:szCs w:val="21"/>
          <w:highlight w:val="none"/>
        </w:rPr>
      </w:pPr>
      <w:r>
        <w:rPr>
          <w:rFonts w:hint="eastAsia" w:ascii="宋体" w:hAnsi="宋体" w:eastAsia="宋体" w:cs="宋体"/>
          <w:color w:val="auto"/>
          <w:spacing w:val="20"/>
          <w:szCs w:val="21"/>
          <w:highlight w:val="none"/>
        </w:rPr>
        <w:t>投标人名称（电子公章）：</w:t>
      </w:r>
      <w:r>
        <w:rPr>
          <w:rFonts w:hint="eastAsia" w:ascii="宋体" w:hAnsi="宋体" w:eastAsia="宋体" w:cs="宋体"/>
          <w:color w:val="auto"/>
          <w:spacing w:val="20"/>
          <w:szCs w:val="21"/>
          <w:highlight w:val="none"/>
          <w:u w:val="single"/>
        </w:rPr>
        <w:t xml:space="preserve">             </w:t>
      </w:r>
      <w:r>
        <w:rPr>
          <w:rFonts w:hint="eastAsia" w:ascii="宋体" w:hAnsi="宋体" w:eastAsia="宋体" w:cs="宋体"/>
          <w:color w:val="auto"/>
          <w:spacing w:val="20"/>
          <w:szCs w:val="21"/>
          <w:highlight w:val="none"/>
        </w:rPr>
        <w:t xml:space="preserve">           </w:t>
      </w:r>
    </w:p>
    <w:p w14:paraId="6C62EE74">
      <w:pPr>
        <w:jc w:val="left"/>
        <w:rPr>
          <w:rFonts w:hint="eastAsia" w:ascii="宋体" w:hAnsi="宋体" w:eastAsia="宋体" w:cs="宋体"/>
          <w:b/>
          <w:color w:val="auto"/>
          <w:kern w:val="0"/>
          <w:sz w:val="32"/>
          <w:szCs w:val="32"/>
          <w:highlight w:val="none"/>
        </w:rPr>
      </w:pPr>
      <w:r>
        <w:rPr>
          <w:rFonts w:hint="eastAsia" w:ascii="宋体" w:hAnsi="宋体" w:eastAsia="宋体" w:cs="宋体"/>
          <w:color w:val="auto"/>
          <w:spacing w:val="20"/>
          <w:szCs w:val="21"/>
          <w:highlight w:val="none"/>
        </w:rPr>
        <w:t>日 期：</w:t>
      </w:r>
      <w:r>
        <w:rPr>
          <w:rFonts w:hint="eastAsia" w:ascii="宋体" w:hAnsi="宋体" w:eastAsia="宋体" w:cs="宋体"/>
          <w:color w:val="auto"/>
          <w:spacing w:val="20"/>
          <w:szCs w:val="21"/>
          <w:highlight w:val="none"/>
          <w:u w:val="single"/>
        </w:rPr>
        <w:t xml:space="preserve">                  </w:t>
      </w:r>
    </w:p>
    <w:p w14:paraId="3AC72BE7">
      <w:pPr>
        <w:jc w:val="center"/>
        <w:rPr>
          <w:rFonts w:hint="eastAsia" w:ascii="宋体" w:hAnsi="宋体" w:eastAsia="宋体" w:cs="宋体"/>
          <w:b/>
          <w:color w:val="auto"/>
          <w:kern w:val="0"/>
          <w:sz w:val="32"/>
          <w:szCs w:val="32"/>
          <w:highlight w:val="none"/>
        </w:rPr>
      </w:pPr>
    </w:p>
    <w:p w14:paraId="6EF61344">
      <w:pPr>
        <w:jc w:val="center"/>
        <w:rPr>
          <w:rFonts w:hint="eastAsia" w:ascii="宋体" w:hAnsi="宋体" w:eastAsia="宋体" w:cs="宋体"/>
          <w:b/>
          <w:color w:val="auto"/>
          <w:kern w:val="0"/>
          <w:sz w:val="32"/>
          <w:szCs w:val="32"/>
          <w:highlight w:val="none"/>
        </w:rPr>
      </w:pPr>
    </w:p>
    <w:p w14:paraId="18A79C20">
      <w:pPr>
        <w:jc w:val="center"/>
        <w:rPr>
          <w:rFonts w:hint="eastAsia" w:ascii="宋体" w:hAnsi="宋体" w:eastAsia="宋体" w:cs="宋体"/>
          <w:b/>
          <w:color w:val="auto"/>
          <w:kern w:val="0"/>
          <w:sz w:val="32"/>
          <w:szCs w:val="32"/>
          <w:highlight w:val="none"/>
        </w:rPr>
      </w:pPr>
    </w:p>
    <w:p w14:paraId="61D5292B">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1E2AEB3E">
      <w:pPr>
        <w:pStyle w:val="63"/>
        <w:ind w:left="0" w:leftChars="0" w:firstLine="0" w:firstLineChars="0"/>
        <w:rPr>
          <w:rFonts w:hint="eastAsia" w:ascii="宋体" w:hAnsi="宋体" w:eastAsia="宋体" w:cs="宋体"/>
          <w:b/>
          <w:snapToGrid/>
          <w:color w:val="auto"/>
          <w:kern w:val="0"/>
          <w:sz w:val="32"/>
          <w:szCs w:val="32"/>
          <w:highlight w:val="none"/>
          <w:lang w:val="en-US" w:eastAsia="zh-CN" w:bidi="ar-SA"/>
        </w:rPr>
      </w:pPr>
      <w:r>
        <w:rPr>
          <w:rFonts w:hint="eastAsia" w:ascii="宋体" w:hAnsi="宋体" w:eastAsia="宋体" w:cs="宋体"/>
          <w:b/>
          <w:snapToGrid/>
          <w:color w:val="auto"/>
          <w:kern w:val="0"/>
          <w:sz w:val="32"/>
          <w:szCs w:val="32"/>
          <w:highlight w:val="none"/>
          <w:lang w:val="en-US" w:eastAsia="zh-CN" w:bidi="ar-SA"/>
        </w:rPr>
        <w:t>六、投标人情况介绍</w:t>
      </w:r>
    </w:p>
    <w:p w14:paraId="43BC15FB">
      <w:pPr>
        <w:snapToGrid w:val="0"/>
        <w:spacing w:line="600" w:lineRule="exact"/>
        <w:jc w:val="center"/>
        <w:rPr>
          <w:rFonts w:hint="eastAsia" w:ascii="宋体" w:hAnsi="宋体" w:eastAsia="宋体" w:cs="宋体"/>
          <w:b/>
          <w:snapToGrid/>
          <w:color w:val="auto"/>
          <w:kern w:val="0"/>
          <w:sz w:val="32"/>
          <w:szCs w:val="32"/>
          <w:highlight w:val="none"/>
          <w:lang w:val="en-US" w:eastAsia="zh-CN" w:bidi="ar-SA"/>
        </w:rPr>
      </w:pPr>
      <w:r>
        <w:rPr>
          <w:rFonts w:hint="eastAsia" w:ascii="宋体" w:hAnsi="宋体" w:eastAsia="宋体" w:cs="宋体"/>
          <w:b/>
          <w:snapToGrid/>
          <w:color w:val="auto"/>
          <w:kern w:val="0"/>
          <w:sz w:val="32"/>
          <w:szCs w:val="32"/>
          <w:highlight w:val="none"/>
          <w:lang w:val="en-US" w:eastAsia="zh-CN" w:bidi="ar-SA"/>
        </w:rPr>
        <w:t>投标人基本情况登记表（格式)</w:t>
      </w:r>
    </w:p>
    <w:p w14:paraId="5458B221">
      <w:pPr>
        <w:snapToGrid w:val="0"/>
        <w:spacing w:line="360" w:lineRule="exact"/>
        <w:jc w:val="center"/>
        <w:rPr>
          <w:rFonts w:hint="eastAsia" w:ascii="宋体" w:hAnsi="宋体" w:eastAsia="宋体" w:cs="宋体"/>
          <w:color w:val="auto"/>
          <w:szCs w:val="21"/>
          <w:highlight w:val="none"/>
        </w:rPr>
      </w:pPr>
    </w:p>
    <w:p w14:paraId="55CF3B65">
      <w:pPr>
        <w:pStyle w:val="48"/>
        <w:spacing w:line="360" w:lineRule="exact"/>
        <w:ind w:firstLine="422"/>
        <w:rPr>
          <w:rFonts w:hint="eastAsia" w:ascii="宋体" w:hAnsi="宋体" w:eastAsia="宋体" w:cs="宋体"/>
          <w:color w:val="auto"/>
          <w:highlight w:val="none"/>
        </w:rPr>
      </w:pPr>
      <w:r>
        <w:rPr>
          <w:rFonts w:hint="eastAsia" w:ascii="宋体" w:hAnsi="宋体" w:eastAsia="宋体" w:cs="宋体"/>
          <w:color w:val="auto"/>
          <w:highlight w:val="none"/>
        </w:rPr>
        <w:t>填表须知：</w:t>
      </w:r>
      <w:r>
        <w:rPr>
          <w:rFonts w:hint="eastAsia" w:ascii="宋体" w:hAnsi="宋体" w:eastAsia="宋体" w:cs="宋体"/>
          <w:b w:val="0"/>
          <w:bCs/>
          <w:color w:val="auto"/>
          <w:highlight w:val="none"/>
        </w:rPr>
        <w:t>投标人应完整填写本表，而且保证所有填写内容是真实和准确的。</w:t>
      </w:r>
    </w:p>
    <w:p w14:paraId="2C4258CE">
      <w:pPr>
        <w:spacing w:line="360" w:lineRule="exact"/>
        <w:ind w:left="-11" w:firstLine="422" w:firstLineChars="200"/>
        <w:rPr>
          <w:rFonts w:hint="eastAsia" w:ascii="宋体" w:hAnsi="宋体" w:eastAsia="宋体" w:cs="宋体"/>
          <w:b/>
          <w:color w:val="auto"/>
          <w:highlight w:val="none"/>
        </w:rPr>
      </w:pPr>
    </w:p>
    <w:p w14:paraId="04AFE5AC">
      <w:pPr>
        <w:spacing w:line="360" w:lineRule="exact"/>
        <w:ind w:left="-11"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一、投标人组织机构和相关联系人</w:t>
      </w:r>
      <w:r>
        <w:rPr>
          <w:rFonts w:hint="eastAsia" w:ascii="宋体" w:hAnsi="宋体" w:eastAsia="宋体" w:cs="宋体"/>
          <w:b/>
          <w:bCs/>
          <w:color w:val="auto"/>
          <w:highlight w:val="none"/>
        </w:rPr>
        <w:t>：</w:t>
      </w:r>
    </w:p>
    <w:p w14:paraId="53BC4BC7">
      <w:pPr>
        <w:spacing w:line="360" w:lineRule="exact"/>
        <w:ind w:left="-11"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1、投标人名称</w:t>
      </w:r>
      <w:r>
        <w:rPr>
          <w:rFonts w:hint="eastAsia" w:ascii="宋体" w:hAnsi="宋体" w:eastAsia="宋体" w:cs="宋体"/>
          <w:color w:val="auto"/>
          <w:highlight w:val="none"/>
        </w:rPr>
        <w:t>：</w:t>
      </w:r>
      <w:r>
        <w:rPr>
          <w:rFonts w:hint="eastAsia" w:ascii="宋体" w:hAnsi="宋体" w:eastAsia="宋体" w:cs="宋体"/>
          <w:b/>
          <w:color w:val="auto"/>
          <w:highlight w:val="none"/>
          <w:u w:val="single"/>
        </w:rPr>
        <w:t xml:space="preserve">                                                </w:t>
      </w:r>
    </w:p>
    <w:p w14:paraId="5051B6B2">
      <w:pPr>
        <w:spacing w:line="360" w:lineRule="exact"/>
        <w:ind w:firstLine="420" w:firstLineChars="200"/>
        <w:rPr>
          <w:rFonts w:hint="eastAsia" w:ascii="宋体" w:hAnsi="宋体" w:eastAsia="宋体" w:cs="宋体"/>
          <w:b/>
          <w:color w:val="auto"/>
          <w:highlight w:val="none"/>
          <w:u w:val="single"/>
        </w:rPr>
      </w:pPr>
      <w:r>
        <w:rPr>
          <w:rFonts w:hint="eastAsia" w:ascii="宋体" w:hAnsi="宋体" w:eastAsia="宋体" w:cs="宋体"/>
          <w:bCs/>
          <w:color w:val="auto"/>
          <w:highlight w:val="none"/>
        </w:rPr>
        <w:t>2、成立（注册）日期及地点</w:t>
      </w:r>
      <w:r>
        <w:rPr>
          <w:rFonts w:hint="eastAsia" w:ascii="宋体" w:hAnsi="宋体" w:eastAsia="宋体" w:cs="宋体"/>
          <w:color w:val="auto"/>
          <w:highlight w:val="none"/>
        </w:rPr>
        <w:t>：</w:t>
      </w:r>
      <w:r>
        <w:rPr>
          <w:rFonts w:hint="eastAsia" w:ascii="宋体" w:hAnsi="宋体" w:eastAsia="宋体" w:cs="宋体"/>
          <w:b/>
          <w:color w:val="auto"/>
          <w:highlight w:val="none"/>
          <w:u w:val="single"/>
        </w:rPr>
        <w:t xml:space="preserve">                                    </w:t>
      </w:r>
    </w:p>
    <w:p w14:paraId="4FC027BE">
      <w:pPr>
        <w:pStyle w:val="48"/>
        <w:spacing w:line="360" w:lineRule="exact"/>
        <w:ind w:firstLine="422"/>
        <w:jc w:val="both"/>
        <w:rPr>
          <w:rFonts w:hint="eastAsia" w:ascii="宋体" w:hAnsi="宋体" w:eastAsia="宋体" w:cs="宋体"/>
          <w:bCs/>
          <w:color w:val="auto"/>
          <w:kern w:val="2"/>
          <w:sz w:val="21"/>
          <w:szCs w:val="24"/>
          <w:highlight w:val="none"/>
          <w:lang w:val="en-US" w:eastAsia="zh-CN" w:bidi="ar-SA"/>
        </w:rPr>
      </w:pPr>
      <w:r>
        <w:rPr>
          <w:rFonts w:hint="eastAsia" w:ascii="宋体" w:hAnsi="宋体" w:eastAsia="宋体" w:cs="宋体"/>
          <w:bCs/>
          <w:color w:val="auto"/>
          <w:kern w:val="2"/>
          <w:sz w:val="21"/>
          <w:szCs w:val="24"/>
          <w:highlight w:val="none"/>
          <w:lang w:val="en-US" w:eastAsia="zh-CN" w:bidi="ar-SA"/>
        </w:rPr>
        <w:t>3、企业组织机构代码证编号：</w:t>
      </w:r>
      <w:r>
        <w:rPr>
          <w:rFonts w:hint="eastAsia" w:ascii="宋体" w:hAnsi="宋体" w:eastAsia="宋体" w:cs="宋体"/>
          <w:b/>
          <w:color w:val="auto"/>
          <w:highlight w:val="none"/>
          <w:u w:val="single"/>
        </w:rPr>
        <w:t xml:space="preserve">                                </w:t>
      </w:r>
      <w:r>
        <w:rPr>
          <w:rFonts w:hint="eastAsia" w:ascii="宋体" w:hAnsi="宋体" w:eastAsia="宋体" w:cs="宋体"/>
          <w:bCs/>
          <w:color w:val="auto"/>
          <w:kern w:val="2"/>
          <w:sz w:val="21"/>
          <w:szCs w:val="24"/>
          <w:highlight w:val="none"/>
          <w:lang w:val="en-US" w:eastAsia="zh-CN" w:bidi="ar-SA"/>
        </w:rPr>
        <w:t xml:space="preserve">                                    </w:t>
      </w:r>
    </w:p>
    <w:p w14:paraId="72751583">
      <w:pPr>
        <w:pStyle w:val="48"/>
        <w:spacing w:line="360" w:lineRule="exact"/>
        <w:ind w:firstLine="422"/>
        <w:jc w:val="both"/>
        <w:rPr>
          <w:rFonts w:hint="eastAsia" w:ascii="宋体" w:hAnsi="宋体" w:eastAsia="宋体" w:cs="宋体"/>
          <w:color w:val="auto"/>
          <w:highlight w:val="none"/>
        </w:rPr>
      </w:pPr>
      <w:r>
        <w:rPr>
          <w:rFonts w:hint="eastAsia" w:ascii="宋体" w:hAnsi="宋体" w:eastAsia="宋体" w:cs="宋体"/>
          <w:bCs/>
          <w:color w:val="auto"/>
          <w:kern w:val="2"/>
          <w:sz w:val="21"/>
          <w:szCs w:val="24"/>
          <w:highlight w:val="none"/>
          <w:lang w:val="en-US" w:eastAsia="zh-CN" w:bidi="ar-SA"/>
        </w:rPr>
        <w:t>4、企业法</w:t>
      </w:r>
      <w:r>
        <w:rPr>
          <w:rFonts w:hint="eastAsia" w:ascii="宋体" w:hAnsi="宋体" w:cs="宋体"/>
          <w:bCs/>
          <w:color w:val="auto"/>
          <w:kern w:val="2"/>
          <w:sz w:val="21"/>
          <w:szCs w:val="24"/>
          <w:highlight w:val="none"/>
          <w:lang w:val="en-US" w:eastAsia="zh-CN" w:bidi="ar-SA"/>
        </w:rPr>
        <w:t>定</w:t>
      </w:r>
      <w:r>
        <w:rPr>
          <w:rFonts w:hint="eastAsia" w:ascii="宋体" w:hAnsi="宋体" w:eastAsia="宋体" w:cs="宋体"/>
          <w:bCs/>
          <w:color w:val="auto"/>
          <w:kern w:val="2"/>
          <w:sz w:val="21"/>
          <w:szCs w:val="24"/>
          <w:highlight w:val="none"/>
          <w:lang w:val="en-US" w:eastAsia="zh-CN" w:bidi="ar-SA"/>
        </w:rPr>
        <w:t>代表人（负责人）：姓名</w:t>
      </w:r>
      <w:r>
        <w:rPr>
          <w:rFonts w:hint="eastAsia" w:ascii="宋体" w:hAnsi="宋体" w:eastAsia="宋体" w:cs="宋体"/>
          <w:bCs/>
          <w:color w:val="auto"/>
          <w:kern w:val="2"/>
          <w:sz w:val="21"/>
          <w:szCs w:val="24"/>
          <w:highlight w:val="none"/>
          <w:u w:val="single"/>
          <w:lang w:val="en-US" w:eastAsia="zh-CN" w:bidi="ar-SA"/>
        </w:rPr>
        <w:t xml:space="preserve">            </w:t>
      </w:r>
      <w:r>
        <w:rPr>
          <w:rFonts w:hint="eastAsia" w:ascii="宋体" w:hAnsi="宋体" w:eastAsia="宋体" w:cs="宋体"/>
          <w:bCs/>
          <w:color w:val="auto"/>
          <w:kern w:val="2"/>
          <w:sz w:val="21"/>
          <w:szCs w:val="24"/>
          <w:highlight w:val="none"/>
          <w:lang w:val="en-US" w:eastAsia="zh-CN" w:bidi="ar-SA"/>
        </w:rPr>
        <w:t xml:space="preserve"> 职务</w:t>
      </w:r>
      <w:r>
        <w:rPr>
          <w:rFonts w:hint="eastAsia" w:ascii="宋体" w:hAnsi="宋体" w:eastAsia="宋体" w:cs="宋体"/>
          <w:bCs/>
          <w:color w:val="auto"/>
          <w:kern w:val="2"/>
          <w:sz w:val="21"/>
          <w:szCs w:val="24"/>
          <w:highlight w:val="none"/>
          <w:u w:val="single"/>
          <w:lang w:val="en-US" w:eastAsia="zh-CN" w:bidi="ar-SA"/>
        </w:rPr>
        <w:t xml:space="preserve">               </w:t>
      </w:r>
      <w:r>
        <w:rPr>
          <w:rFonts w:hint="eastAsia" w:ascii="宋体" w:hAnsi="宋体" w:eastAsia="宋体" w:cs="宋体"/>
          <w:bCs/>
          <w:color w:val="auto"/>
          <w:kern w:val="2"/>
          <w:sz w:val="21"/>
          <w:szCs w:val="24"/>
          <w:highlight w:val="none"/>
          <w:lang w:val="en-US" w:eastAsia="zh-CN" w:bidi="ar-SA"/>
        </w:rPr>
        <w:t>电话</w:t>
      </w:r>
      <w:r>
        <w:rPr>
          <w:rFonts w:hint="eastAsia" w:ascii="宋体" w:hAnsi="宋体" w:eastAsia="宋体" w:cs="宋体"/>
          <w:b w:val="0"/>
          <w:bCs/>
          <w:color w:val="auto"/>
          <w:highlight w:val="none"/>
        </w:rPr>
        <w:t xml:space="preserve"> </w:t>
      </w:r>
      <w:r>
        <w:rPr>
          <w:rFonts w:hint="eastAsia" w:ascii="宋体" w:hAnsi="宋体" w:eastAsia="宋体" w:cs="宋体"/>
          <w:color w:val="auto"/>
          <w:highlight w:val="none"/>
          <w:u w:val="single"/>
        </w:rPr>
        <w:t xml:space="preserve">          </w:t>
      </w:r>
    </w:p>
    <w:p w14:paraId="435782C5">
      <w:pPr>
        <w:spacing w:line="360" w:lineRule="exact"/>
        <w:ind w:firstLine="420" w:firstLineChars="200"/>
        <w:rPr>
          <w:rFonts w:hint="eastAsia" w:ascii="宋体" w:hAnsi="宋体" w:eastAsia="宋体" w:cs="宋体"/>
          <w:b/>
          <w:color w:val="auto"/>
          <w:highlight w:val="none"/>
          <w:u w:val="single"/>
        </w:rPr>
      </w:pPr>
      <w:r>
        <w:rPr>
          <w:rFonts w:hint="eastAsia" w:ascii="宋体" w:hAnsi="宋体" w:eastAsia="宋体" w:cs="宋体"/>
          <w:bCs/>
          <w:color w:val="auto"/>
          <w:highlight w:val="none"/>
        </w:rPr>
        <w:t>5、政府采购业务联系人：姓名</w:t>
      </w:r>
      <w:r>
        <w:rPr>
          <w:rFonts w:hint="eastAsia" w:ascii="宋体" w:hAnsi="宋体" w:eastAsia="宋体" w:cs="宋体"/>
          <w:b/>
          <w:color w:val="auto"/>
          <w:highlight w:val="none"/>
          <w:u w:val="single"/>
        </w:rPr>
        <w:t xml:space="preserve">                    </w:t>
      </w:r>
      <w:r>
        <w:rPr>
          <w:rFonts w:hint="eastAsia" w:ascii="宋体" w:hAnsi="宋体" w:eastAsia="宋体" w:cs="宋体"/>
          <w:bCs/>
          <w:color w:val="auto"/>
          <w:highlight w:val="none"/>
        </w:rPr>
        <w:t>职务</w:t>
      </w:r>
      <w:r>
        <w:rPr>
          <w:rFonts w:hint="eastAsia" w:ascii="宋体" w:hAnsi="宋体" w:eastAsia="宋体" w:cs="宋体"/>
          <w:b/>
          <w:color w:val="auto"/>
          <w:highlight w:val="none"/>
          <w:u w:val="single"/>
        </w:rPr>
        <w:t xml:space="preserve">                 </w:t>
      </w:r>
      <w:r>
        <w:rPr>
          <w:rFonts w:hint="eastAsia" w:ascii="宋体" w:hAnsi="宋体" w:eastAsia="宋体" w:cs="宋体"/>
          <w:bCs/>
          <w:color w:val="auto"/>
          <w:highlight w:val="none"/>
        </w:rPr>
        <w:t>电话</w:t>
      </w:r>
      <w:r>
        <w:rPr>
          <w:rFonts w:hint="eastAsia" w:ascii="宋体" w:hAnsi="宋体" w:eastAsia="宋体" w:cs="宋体"/>
          <w:b/>
          <w:color w:val="auto"/>
          <w:highlight w:val="none"/>
          <w:u w:val="single"/>
        </w:rPr>
        <w:t xml:space="preserve">           </w:t>
      </w:r>
    </w:p>
    <w:p w14:paraId="6BD2AE09">
      <w:pPr>
        <w:spacing w:line="360" w:lineRule="exact"/>
        <w:ind w:firstLine="420" w:firstLineChars="200"/>
        <w:rPr>
          <w:rFonts w:hint="eastAsia" w:ascii="宋体" w:hAnsi="宋体" w:eastAsia="宋体" w:cs="宋体"/>
          <w:b/>
          <w:color w:val="auto"/>
          <w:highlight w:val="none"/>
          <w:u w:val="single"/>
        </w:rPr>
      </w:pPr>
      <w:r>
        <w:rPr>
          <w:rFonts w:hint="eastAsia" w:ascii="宋体" w:hAnsi="宋体" w:eastAsia="宋体" w:cs="宋体"/>
          <w:color w:val="auto"/>
          <w:highlight w:val="none"/>
        </w:rPr>
        <w:t xml:space="preserve">                       手机</w:t>
      </w:r>
      <w:r>
        <w:rPr>
          <w:rFonts w:hint="eastAsia" w:ascii="宋体" w:hAnsi="宋体" w:eastAsia="宋体" w:cs="宋体"/>
          <w:b/>
          <w:color w:val="auto"/>
          <w:highlight w:val="none"/>
          <w:u w:val="single"/>
        </w:rPr>
        <w:t xml:space="preserve">                    </w:t>
      </w:r>
      <w:r>
        <w:rPr>
          <w:rFonts w:hint="eastAsia" w:ascii="宋体" w:hAnsi="宋体" w:eastAsia="宋体" w:cs="宋体"/>
          <w:color w:val="auto"/>
          <w:highlight w:val="none"/>
        </w:rPr>
        <w:t>传真</w:t>
      </w:r>
      <w:r>
        <w:rPr>
          <w:rFonts w:hint="eastAsia" w:ascii="宋体" w:hAnsi="宋体" w:eastAsia="宋体" w:cs="宋体"/>
          <w:b/>
          <w:color w:val="auto"/>
          <w:highlight w:val="none"/>
          <w:u w:val="single"/>
        </w:rPr>
        <w:t xml:space="preserve">                 </w:t>
      </w:r>
    </w:p>
    <w:p w14:paraId="6CAC4ADF">
      <w:pPr>
        <w:spacing w:line="360" w:lineRule="exact"/>
        <w:ind w:firstLine="420" w:firstLineChars="200"/>
        <w:rPr>
          <w:rFonts w:hint="eastAsia" w:ascii="宋体" w:hAnsi="宋体" w:eastAsia="宋体" w:cs="宋体"/>
          <w:b/>
          <w:color w:val="auto"/>
          <w:highlight w:val="none"/>
          <w:u w:val="single"/>
        </w:rPr>
      </w:pPr>
      <w:r>
        <w:rPr>
          <w:rFonts w:hint="eastAsia" w:ascii="宋体" w:hAnsi="宋体" w:eastAsia="宋体" w:cs="宋体"/>
          <w:bCs/>
          <w:color w:val="auto"/>
          <w:highlight w:val="none"/>
        </w:rPr>
        <w:t>6、邮政编码</w:t>
      </w:r>
      <w:r>
        <w:rPr>
          <w:rFonts w:hint="eastAsia" w:ascii="宋体" w:hAnsi="宋体" w:eastAsia="宋体" w:cs="宋体"/>
          <w:color w:val="auto"/>
          <w:highlight w:val="none"/>
        </w:rPr>
        <w:t>：</w:t>
      </w:r>
      <w:r>
        <w:rPr>
          <w:rFonts w:hint="eastAsia" w:ascii="宋体" w:hAnsi="宋体" w:eastAsia="宋体" w:cs="宋体"/>
          <w:b/>
          <w:color w:val="auto"/>
          <w:highlight w:val="none"/>
          <w:u w:val="single"/>
        </w:rPr>
        <w:t xml:space="preserve">                                                  </w:t>
      </w:r>
    </w:p>
    <w:p w14:paraId="56FA16BF">
      <w:pPr>
        <w:spacing w:line="360" w:lineRule="exact"/>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7、通信地址</w:t>
      </w:r>
      <w:r>
        <w:rPr>
          <w:rFonts w:hint="eastAsia" w:ascii="宋体" w:hAnsi="宋体" w:eastAsia="宋体" w:cs="宋体"/>
          <w:color w:val="auto"/>
          <w:highlight w:val="none"/>
        </w:rPr>
        <w:t>：</w:t>
      </w:r>
      <w:r>
        <w:rPr>
          <w:rFonts w:hint="eastAsia" w:ascii="宋体" w:hAnsi="宋体" w:eastAsia="宋体" w:cs="宋体"/>
          <w:b/>
          <w:color w:val="auto"/>
          <w:highlight w:val="none"/>
          <w:u w:val="single"/>
        </w:rPr>
        <w:t xml:space="preserve">                                                  </w:t>
      </w:r>
    </w:p>
    <w:p w14:paraId="77A6C6C5">
      <w:pPr>
        <w:spacing w:line="360" w:lineRule="exact"/>
        <w:ind w:left="-11"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二、投标人财务状况：</w:t>
      </w:r>
    </w:p>
    <w:p w14:paraId="6FFD304B">
      <w:pPr>
        <w:spacing w:line="360" w:lineRule="exact"/>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1、注册资本：</w:t>
      </w:r>
      <w:r>
        <w:rPr>
          <w:rFonts w:hint="eastAsia" w:ascii="宋体" w:hAnsi="宋体" w:eastAsia="宋体" w:cs="宋体"/>
          <w:b/>
          <w:color w:val="auto"/>
          <w:highlight w:val="none"/>
          <w:u w:val="single"/>
        </w:rPr>
        <w:t xml:space="preserve">                                                  </w:t>
      </w:r>
    </w:p>
    <w:p w14:paraId="490EC568">
      <w:pPr>
        <w:spacing w:line="360" w:lineRule="exact"/>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2、实收资本：</w:t>
      </w:r>
      <w:r>
        <w:rPr>
          <w:rFonts w:hint="eastAsia" w:ascii="宋体" w:hAnsi="宋体" w:eastAsia="宋体" w:cs="宋体"/>
          <w:b/>
          <w:color w:val="auto"/>
          <w:highlight w:val="none"/>
          <w:u w:val="single"/>
        </w:rPr>
        <w:t xml:space="preserve">                                                  </w:t>
      </w:r>
    </w:p>
    <w:p w14:paraId="74F83CBD">
      <w:pPr>
        <w:spacing w:line="360" w:lineRule="exact"/>
        <w:ind w:firstLine="420" w:firstLineChars="200"/>
        <w:rPr>
          <w:rFonts w:hint="eastAsia" w:ascii="宋体" w:hAnsi="宋体" w:eastAsia="宋体" w:cs="宋体"/>
          <w:bCs/>
          <w:color w:val="auto"/>
          <w:highlight w:val="none"/>
        </w:rPr>
      </w:pPr>
      <w:r>
        <w:rPr>
          <w:rFonts w:hint="eastAsia" w:ascii="宋体" w:hAnsi="宋体" w:eastAsia="宋体" w:cs="宋体"/>
          <w:color w:val="auto"/>
          <w:highlight w:val="none"/>
        </w:rPr>
        <w:t>3、近期资产负债表：</w:t>
      </w:r>
      <w:r>
        <w:rPr>
          <w:rFonts w:hint="eastAsia" w:ascii="宋体" w:hAnsi="宋体" w:eastAsia="宋体" w:cs="宋体"/>
          <w:b/>
          <w:color w:val="auto"/>
          <w:highlight w:val="none"/>
        </w:rPr>
        <w:t xml:space="preserve">                                              </w:t>
      </w:r>
    </w:p>
    <w:p w14:paraId="5D9C9DE1">
      <w:pPr>
        <w:spacing w:line="360" w:lineRule="exact"/>
        <w:ind w:firstLine="420" w:firstLineChars="200"/>
        <w:rPr>
          <w:rFonts w:hint="eastAsia" w:ascii="宋体" w:hAnsi="宋体" w:eastAsia="宋体" w:cs="宋体"/>
          <w:bCs/>
          <w:color w:val="auto"/>
          <w:highlight w:val="none"/>
        </w:rPr>
      </w:pPr>
      <w:r>
        <w:rPr>
          <w:rFonts w:hint="eastAsia" w:ascii="宋体" w:hAnsi="宋体" w:eastAsia="宋体" w:cs="宋体"/>
          <w:color w:val="auto"/>
          <w:highlight w:val="none"/>
        </w:rPr>
        <w:t>（1）固定资产：</w:t>
      </w:r>
      <w:r>
        <w:rPr>
          <w:rFonts w:hint="eastAsia" w:ascii="宋体" w:hAnsi="宋体" w:eastAsia="宋体" w:cs="宋体"/>
          <w:b/>
          <w:color w:val="auto"/>
          <w:highlight w:val="none"/>
          <w:u w:val="single"/>
        </w:rPr>
        <w:t xml:space="preserve">                                              </w:t>
      </w:r>
      <w:r>
        <w:rPr>
          <w:rFonts w:hint="eastAsia" w:ascii="宋体" w:hAnsi="宋体" w:eastAsia="宋体" w:cs="宋体"/>
          <w:b/>
          <w:color w:val="auto"/>
          <w:highlight w:val="none"/>
        </w:rPr>
        <w:t xml:space="preserve">    </w:t>
      </w:r>
    </w:p>
    <w:p w14:paraId="0B514C52">
      <w:pPr>
        <w:spacing w:line="360" w:lineRule="exact"/>
        <w:ind w:firstLine="420" w:firstLineChars="200"/>
        <w:rPr>
          <w:rFonts w:hint="eastAsia" w:ascii="宋体" w:hAnsi="宋体" w:eastAsia="宋体" w:cs="宋体"/>
          <w:bCs/>
          <w:color w:val="auto"/>
          <w:highlight w:val="none"/>
        </w:rPr>
      </w:pPr>
      <w:r>
        <w:rPr>
          <w:rFonts w:hint="eastAsia" w:ascii="宋体" w:hAnsi="宋体" w:eastAsia="宋体" w:cs="宋体"/>
          <w:color w:val="auto"/>
          <w:highlight w:val="none"/>
        </w:rPr>
        <w:t xml:space="preserve">     原值：</w:t>
      </w:r>
      <w:r>
        <w:rPr>
          <w:rFonts w:hint="eastAsia" w:ascii="宋体" w:hAnsi="宋体" w:eastAsia="宋体" w:cs="宋体"/>
          <w:b/>
          <w:color w:val="auto"/>
          <w:highlight w:val="none"/>
          <w:u w:val="single"/>
        </w:rPr>
        <w:t xml:space="preserve">                                                  </w:t>
      </w:r>
    </w:p>
    <w:p w14:paraId="63E0C50D">
      <w:pPr>
        <w:spacing w:line="360" w:lineRule="exact"/>
        <w:ind w:firstLine="420" w:firstLineChars="200"/>
        <w:rPr>
          <w:rFonts w:hint="eastAsia" w:ascii="宋体" w:hAnsi="宋体" w:eastAsia="宋体" w:cs="宋体"/>
          <w:bCs/>
          <w:color w:val="auto"/>
          <w:highlight w:val="none"/>
        </w:rPr>
      </w:pPr>
      <w:r>
        <w:rPr>
          <w:rFonts w:hint="eastAsia" w:ascii="宋体" w:hAnsi="宋体" w:eastAsia="宋体" w:cs="宋体"/>
          <w:color w:val="auto"/>
          <w:highlight w:val="none"/>
        </w:rPr>
        <w:t xml:space="preserve">     净值：</w:t>
      </w:r>
      <w:r>
        <w:rPr>
          <w:rFonts w:hint="eastAsia" w:ascii="宋体" w:hAnsi="宋体" w:eastAsia="宋体" w:cs="宋体"/>
          <w:b/>
          <w:color w:val="auto"/>
          <w:highlight w:val="none"/>
          <w:u w:val="single"/>
        </w:rPr>
        <w:t xml:space="preserve">                                                  </w:t>
      </w:r>
    </w:p>
    <w:p w14:paraId="296B3E66">
      <w:pPr>
        <w:spacing w:line="360" w:lineRule="exact"/>
        <w:ind w:firstLine="420" w:firstLineChars="200"/>
        <w:rPr>
          <w:rFonts w:hint="eastAsia" w:ascii="宋体" w:hAnsi="宋体" w:eastAsia="宋体" w:cs="宋体"/>
          <w:bCs/>
          <w:color w:val="auto"/>
          <w:highlight w:val="none"/>
        </w:rPr>
      </w:pPr>
      <w:r>
        <w:rPr>
          <w:rFonts w:hint="eastAsia" w:ascii="宋体" w:hAnsi="宋体" w:eastAsia="宋体" w:cs="宋体"/>
          <w:color w:val="auto"/>
          <w:highlight w:val="none"/>
        </w:rPr>
        <w:t>（2）流动资金：</w:t>
      </w:r>
      <w:r>
        <w:rPr>
          <w:rFonts w:hint="eastAsia" w:ascii="宋体" w:hAnsi="宋体" w:eastAsia="宋体" w:cs="宋体"/>
          <w:b/>
          <w:color w:val="auto"/>
          <w:highlight w:val="none"/>
          <w:u w:val="single"/>
        </w:rPr>
        <w:t xml:space="preserve">                                              </w:t>
      </w:r>
      <w:r>
        <w:rPr>
          <w:rFonts w:hint="eastAsia" w:ascii="宋体" w:hAnsi="宋体" w:eastAsia="宋体" w:cs="宋体"/>
          <w:b/>
          <w:color w:val="auto"/>
          <w:highlight w:val="none"/>
        </w:rPr>
        <w:t xml:space="preserve">    </w:t>
      </w:r>
    </w:p>
    <w:p w14:paraId="6B4A7F87">
      <w:pPr>
        <w:spacing w:line="360" w:lineRule="exact"/>
        <w:ind w:firstLine="420" w:firstLineChars="200"/>
        <w:rPr>
          <w:rFonts w:hint="eastAsia" w:ascii="宋体" w:hAnsi="宋体" w:eastAsia="宋体" w:cs="宋体"/>
          <w:bCs/>
          <w:color w:val="auto"/>
          <w:highlight w:val="none"/>
        </w:rPr>
      </w:pPr>
      <w:r>
        <w:rPr>
          <w:rFonts w:hint="eastAsia" w:ascii="宋体" w:hAnsi="宋体" w:eastAsia="宋体" w:cs="宋体"/>
          <w:color w:val="auto"/>
          <w:highlight w:val="none"/>
        </w:rPr>
        <w:t>（3）长期负债：</w:t>
      </w:r>
      <w:r>
        <w:rPr>
          <w:rFonts w:hint="eastAsia" w:ascii="宋体" w:hAnsi="宋体" w:eastAsia="宋体" w:cs="宋体"/>
          <w:b/>
          <w:color w:val="auto"/>
          <w:highlight w:val="none"/>
          <w:u w:val="single"/>
        </w:rPr>
        <w:t xml:space="preserve">                                              </w:t>
      </w:r>
      <w:r>
        <w:rPr>
          <w:rFonts w:hint="eastAsia" w:ascii="宋体" w:hAnsi="宋体" w:eastAsia="宋体" w:cs="宋体"/>
          <w:b/>
          <w:color w:val="auto"/>
          <w:highlight w:val="none"/>
        </w:rPr>
        <w:t xml:space="preserve">    </w:t>
      </w:r>
    </w:p>
    <w:p w14:paraId="213D240D">
      <w:pPr>
        <w:spacing w:line="360" w:lineRule="exact"/>
        <w:ind w:firstLine="420" w:firstLineChars="200"/>
        <w:rPr>
          <w:rFonts w:hint="eastAsia" w:ascii="宋体" w:hAnsi="宋体" w:eastAsia="宋体" w:cs="宋体"/>
          <w:bCs/>
          <w:color w:val="auto"/>
          <w:highlight w:val="none"/>
        </w:rPr>
      </w:pPr>
      <w:r>
        <w:rPr>
          <w:rFonts w:hint="eastAsia" w:ascii="宋体" w:hAnsi="宋体" w:eastAsia="宋体" w:cs="宋体"/>
          <w:color w:val="auto"/>
          <w:highlight w:val="none"/>
        </w:rPr>
        <w:t>（4）短期负债：</w:t>
      </w:r>
      <w:r>
        <w:rPr>
          <w:rFonts w:hint="eastAsia" w:ascii="宋体" w:hAnsi="宋体" w:eastAsia="宋体" w:cs="宋体"/>
          <w:b/>
          <w:color w:val="auto"/>
          <w:highlight w:val="none"/>
          <w:u w:val="single"/>
        </w:rPr>
        <w:t xml:space="preserve">                                              </w:t>
      </w:r>
      <w:r>
        <w:rPr>
          <w:rFonts w:hint="eastAsia" w:ascii="宋体" w:hAnsi="宋体" w:eastAsia="宋体" w:cs="宋体"/>
          <w:b/>
          <w:color w:val="auto"/>
          <w:highlight w:val="none"/>
        </w:rPr>
        <w:t xml:space="preserve">    </w:t>
      </w:r>
    </w:p>
    <w:p w14:paraId="009F2043">
      <w:pPr>
        <w:spacing w:after="120" w:afterLines="50" w:line="360" w:lineRule="exact"/>
        <w:ind w:left="-11"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三、投标人目前涉及的诉讼或仲裁的情况（如有、请如实填写）</w:t>
      </w:r>
    </w:p>
    <w:tbl>
      <w:tblPr>
        <w:tblStyle w:val="6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2"/>
        <w:gridCol w:w="3111"/>
        <w:gridCol w:w="2242"/>
      </w:tblGrid>
      <w:tr w14:paraId="18136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832" w:type="dxa"/>
            <w:noWrap w:val="0"/>
            <w:vAlign w:val="center"/>
          </w:tcPr>
          <w:p w14:paraId="6F7F5A46">
            <w:pPr>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涉及的另一方或另几方</w:t>
            </w:r>
          </w:p>
        </w:tc>
        <w:tc>
          <w:tcPr>
            <w:tcW w:w="3111" w:type="dxa"/>
            <w:noWrap w:val="0"/>
            <w:vAlign w:val="center"/>
          </w:tcPr>
          <w:p w14:paraId="5BD8A4A8">
            <w:pPr>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争端的原因</w:t>
            </w:r>
          </w:p>
        </w:tc>
        <w:tc>
          <w:tcPr>
            <w:tcW w:w="2242" w:type="dxa"/>
            <w:noWrap w:val="0"/>
            <w:vAlign w:val="center"/>
          </w:tcPr>
          <w:p w14:paraId="33B1F820">
            <w:pPr>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涉及的金额</w:t>
            </w:r>
          </w:p>
        </w:tc>
      </w:tr>
      <w:tr w14:paraId="3816A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3832" w:type="dxa"/>
            <w:noWrap w:val="0"/>
            <w:vAlign w:val="center"/>
          </w:tcPr>
          <w:p w14:paraId="09D6F6D5">
            <w:pPr>
              <w:spacing w:line="360" w:lineRule="exact"/>
              <w:rPr>
                <w:rFonts w:hint="eastAsia" w:ascii="宋体" w:hAnsi="宋体" w:eastAsia="宋体" w:cs="宋体"/>
                <w:color w:val="auto"/>
                <w:highlight w:val="none"/>
              </w:rPr>
            </w:pPr>
          </w:p>
        </w:tc>
        <w:tc>
          <w:tcPr>
            <w:tcW w:w="3111" w:type="dxa"/>
            <w:noWrap w:val="0"/>
            <w:vAlign w:val="center"/>
          </w:tcPr>
          <w:p w14:paraId="3CA12155">
            <w:pPr>
              <w:spacing w:line="360" w:lineRule="exact"/>
              <w:rPr>
                <w:rFonts w:hint="eastAsia" w:ascii="宋体" w:hAnsi="宋体" w:eastAsia="宋体" w:cs="宋体"/>
                <w:color w:val="auto"/>
                <w:highlight w:val="none"/>
              </w:rPr>
            </w:pPr>
          </w:p>
        </w:tc>
        <w:tc>
          <w:tcPr>
            <w:tcW w:w="2242" w:type="dxa"/>
            <w:noWrap w:val="0"/>
            <w:vAlign w:val="center"/>
          </w:tcPr>
          <w:p w14:paraId="063BD6BB">
            <w:pPr>
              <w:spacing w:line="360" w:lineRule="exact"/>
              <w:rPr>
                <w:rFonts w:hint="eastAsia" w:ascii="宋体" w:hAnsi="宋体" w:eastAsia="宋体" w:cs="宋体"/>
                <w:color w:val="auto"/>
                <w:highlight w:val="none"/>
              </w:rPr>
            </w:pPr>
          </w:p>
        </w:tc>
      </w:tr>
    </w:tbl>
    <w:p w14:paraId="4564182D">
      <w:pPr>
        <w:spacing w:line="400" w:lineRule="exact"/>
        <w:rPr>
          <w:rFonts w:hint="eastAsia" w:ascii="宋体" w:hAnsi="宋体" w:eastAsia="宋体" w:cs="宋体"/>
          <w:color w:val="auto"/>
          <w:highlight w:val="none"/>
          <w:u w:val="single"/>
        </w:rPr>
      </w:pPr>
      <w:r>
        <w:rPr>
          <w:rFonts w:hint="eastAsia" w:ascii="宋体" w:hAnsi="宋体" w:eastAsia="宋体" w:cs="宋体"/>
          <w:b/>
          <w:color w:val="auto"/>
          <w:highlight w:val="none"/>
        </w:rPr>
        <w:t xml:space="preserve">                                </w:t>
      </w:r>
      <w:r>
        <w:rPr>
          <w:rFonts w:hint="eastAsia" w:ascii="宋体" w:hAnsi="宋体" w:eastAsia="宋体" w:cs="宋体"/>
          <w:color w:val="auto"/>
          <w:highlight w:val="none"/>
        </w:rPr>
        <w:t>投标人名称(电子公章) ：</w:t>
      </w:r>
      <w:r>
        <w:rPr>
          <w:rFonts w:hint="eastAsia" w:ascii="宋体" w:hAnsi="宋体" w:eastAsia="宋体" w:cs="宋体"/>
          <w:color w:val="auto"/>
          <w:highlight w:val="none"/>
          <w:u w:val="single"/>
        </w:rPr>
        <w:t xml:space="preserve">                                        </w:t>
      </w:r>
    </w:p>
    <w:p w14:paraId="753A5508">
      <w:pPr>
        <w:spacing w:line="400" w:lineRule="exact"/>
        <w:ind w:firstLine="480"/>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                            法定代表人（负责人）或委托代表（签字或电子签名）：</w:t>
      </w:r>
      <w:r>
        <w:rPr>
          <w:rFonts w:hint="eastAsia" w:ascii="宋体" w:hAnsi="宋体" w:eastAsia="宋体" w:cs="宋体"/>
          <w:color w:val="auto"/>
          <w:highlight w:val="none"/>
          <w:u w:val="single"/>
        </w:rPr>
        <w:t xml:space="preserve">                </w:t>
      </w:r>
    </w:p>
    <w:p w14:paraId="71493B06">
      <w:pPr>
        <w:jc w:val="center"/>
        <w:rPr>
          <w:rFonts w:hint="eastAsia" w:ascii="宋体" w:hAnsi="宋体" w:eastAsia="宋体" w:cs="宋体"/>
          <w:b/>
          <w:color w:val="auto"/>
          <w:kern w:val="0"/>
          <w:sz w:val="32"/>
          <w:szCs w:val="32"/>
          <w:highlight w:val="none"/>
        </w:rPr>
      </w:pPr>
      <w:r>
        <w:rPr>
          <w:rFonts w:hint="eastAsia" w:ascii="宋体" w:hAnsi="宋体" w:eastAsia="宋体" w:cs="宋体"/>
          <w:color w:val="auto"/>
          <w:highlight w:val="none"/>
        </w:rPr>
        <w:t xml:space="preserve">                     年      月       日</w:t>
      </w:r>
    </w:p>
    <w:p w14:paraId="77F5344C">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51318514">
      <w:pPr>
        <w:rPr>
          <w:rFonts w:hint="eastAsia" w:ascii="宋体" w:hAnsi="宋体" w:eastAsia="宋体" w:cs="宋体"/>
          <w:b/>
          <w:color w:val="auto"/>
          <w:kern w:val="0"/>
          <w:sz w:val="32"/>
          <w:szCs w:val="32"/>
          <w:highlight w:val="none"/>
        </w:rPr>
        <w:sectPr>
          <w:headerReference r:id="rId9" w:type="first"/>
          <w:footerReference r:id="rId11" w:type="first"/>
          <w:headerReference r:id="rId8" w:type="default"/>
          <w:footerReference r:id="rId10" w:type="default"/>
          <w:pgSz w:w="11906" w:h="16838"/>
          <w:pgMar w:top="1276" w:right="1418" w:bottom="1247" w:left="1418" w:header="851" w:footer="992" w:gutter="0"/>
          <w:pgNumType w:fmt="decimal"/>
          <w:cols w:space="720" w:num="1"/>
          <w:titlePg/>
          <w:docGrid w:linePitch="312" w:charSpace="0"/>
        </w:sectPr>
      </w:pPr>
    </w:p>
    <w:p w14:paraId="57E56D76">
      <w:pPr>
        <w:pStyle w:val="35"/>
        <w:spacing w:line="400" w:lineRule="exact"/>
        <w:jc w:val="left"/>
        <w:rPr>
          <w:rFonts w:hint="eastAsia" w:ascii="宋体" w:hAnsi="宋体" w:eastAsia="宋体" w:cs="宋体"/>
          <w:b/>
          <w:snapToGrid/>
          <w:color w:val="auto"/>
          <w:kern w:val="0"/>
          <w:sz w:val="32"/>
          <w:szCs w:val="32"/>
          <w:highlight w:val="none"/>
          <w:lang w:val="en-US" w:eastAsia="zh-CN" w:bidi="ar-SA"/>
        </w:rPr>
      </w:pPr>
      <w:r>
        <w:rPr>
          <w:rFonts w:hint="eastAsia" w:ascii="宋体" w:hAnsi="宋体" w:eastAsia="宋体" w:cs="宋体"/>
          <w:b/>
          <w:snapToGrid/>
          <w:color w:val="auto"/>
          <w:kern w:val="0"/>
          <w:sz w:val="32"/>
          <w:szCs w:val="32"/>
          <w:highlight w:val="none"/>
          <w:lang w:val="en-US" w:eastAsia="zh-CN" w:bidi="ar-SA"/>
        </w:rPr>
        <w:t>七、标人的类似成功案例的业绩证明文件</w:t>
      </w:r>
    </w:p>
    <w:p w14:paraId="18BA8BBD">
      <w:pPr>
        <w:pStyle w:val="51"/>
        <w:snapToGrid w:val="0"/>
        <w:spacing w:after="120" w:afterLines="50" w:line="360" w:lineRule="exact"/>
        <w:ind w:left="420" w:hanging="42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投标人同类项目实施情况一览表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格式</w:t>
      </w:r>
      <w:r>
        <w:rPr>
          <w:rFonts w:hint="eastAsia" w:ascii="宋体" w:hAnsi="宋体" w:eastAsia="宋体" w:cs="宋体"/>
          <w:color w:val="auto"/>
          <w:sz w:val="21"/>
          <w:szCs w:val="21"/>
          <w:highlight w:val="none"/>
          <w:lang w:eastAsia="zh-CN"/>
        </w:rPr>
        <w:t>）</w:t>
      </w:r>
    </w:p>
    <w:tbl>
      <w:tblPr>
        <w:tblStyle w:val="6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04"/>
        <w:gridCol w:w="1145"/>
        <w:gridCol w:w="990"/>
        <w:gridCol w:w="990"/>
        <w:gridCol w:w="1174"/>
        <w:gridCol w:w="1225"/>
        <w:gridCol w:w="1957"/>
      </w:tblGrid>
      <w:tr w14:paraId="0B3948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65" w:hRule="atLeast"/>
          <w:jc w:val="center"/>
        </w:trPr>
        <w:tc>
          <w:tcPr>
            <w:tcW w:w="1704" w:type="dxa"/>
            <w:tcBorders>
              <w:top w:val="single" w:color="auto" w:sz="4" w:space="0"/>
              <w:left w:val="single" w:color="auto" w:sz="4" w:space="0"/>
              <w:bottom w:val="single" w:color="auto" w:sz="4" w:space="0"/>
              <w:right w:val="single" w:color="auto" w:sz="4" w:space="0"/>
            </w:tcBorders>
            <w:noWrap w:val="0"/>
            <w:vAlign w:val="center"/>
          </w:tcPr>
          <w:p w14:paraId="61C31B15">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采购单位名称</w:t>
            </w:r>
          </w:p>
        </w:tc>
        <w:tc>
          <w:tcPr>
            <w:tcW w:w="1145" w:type="dxa"/>
            <w:tcBorders>
              <w:top w:val="single" w:color="auto" w:sz="4" w:space="0"/>
              <w:left w:val="single" w:color="auto" w:sz="4" w:space="0"/>
              <w:bottom w:val="single" w:color="auto" w:sz="4" w:space="0"/>
              <w:right w:val="single" w:color="auto" w:sz="4" w:space="0"/>
            </w:tcBorders>
            <w:noWrap w:val="0"/>
            <w:vAlign w:val="center"/>
          </w:tcPr>
          <w:p w14:paraId="3C5FFB83">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设备或项目名称</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5EF13786">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w:t>
            </w:r>
          </w:p>
          <w:p w14:paraId="612A6F4B">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100ED207">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单价</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466E89B2">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w:t>
            </w:r>
          </w:p>
          <w:p w14:paraId="003A9909">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金额</w:t>
            </w:r>
          </w:p>
          <w:p w14:paraId="33B081D0">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（万元）</w:t>
            </w:r>
          </w:p>
        </w:tc>
        <w:tc>
          <w:tcPr>
            <w:tcW w:w="1225" w:type="dxa"/>
            <w:tcBorders>
              <w:top w:val="single" w:color="auto" w:sz="4" w:space="0"/>
              <w:left w:val="single" w:color="auto" w:sz="4" w:space="0"/>
              <w:bottom w:val="single" w:color="auto" w:sz="4" w:space="0"/>
              <w:right w:val="single" w:color="auto" w:sz="4" w:space="0"/>
            </w:tcBorders>
            <w:noWrap w:val="0"/>
            <w:vAlign w:val="center"/>
          </w:tcPr>
          <w:p w14:paraId="3DE7610C">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合同页码</w:t>
            </w:r>
          </w:p>
        </w:tc>
        <w:tc>
          <w:tcPr>
            <w:tcW w:w="1957" w:type="dxa"/>
            <w:tcBorders>
              <w:top w:val="single" w:color="auto" w:sz="4" w:space="0"/>
              <w:left w:val="single" w:color="auto" w:sz="4" w:space="0"/>
              <w:bottom w:val="single" w:color="auto" w:sz="4" w:space="0"/>
              <w:right w:val="single" w:color="auto" w:sz="4" w:space="0"/>
            </w:tcBorders>
            <w:noWrap w:val="0"/>
            <w:vAlign w:val="center"/>
          </w:tcPr>
          <w:p w14:paraId="3F994309">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采购单位联系人及</w:t>
            </w:r>
          </w:p>
          <w:p w14:paraId="6A2D34A5">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p>
        </w:tc>
      </w:tr>
      <w:tr w14:paraId="51FB0F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1704" w:type="dxa"/>
            <w:tcBorders>
              <w:top w:val="single" w:color="auto" w:sz="4" w:space="0"/>
              <w:left w:val="single" w:color="auto" w:sz="4" w:space="0"/>
              <w:bottom w:val="single" w:color="auto" w:sz="4" w:space="0"/>
              <w:right w:val="single" w:color="auto" w:sz="4" w:space="0"/>
            </w:tcBorders>
            <w:noWrap w:val="0"/>
            <w:vAlign w:val="top"/>
          </w:tcPr>
          <w:p w14:paraId="227DE963">
            <w:pPr>
              <w:snapToGrid w:val="0"/>
              <w:spacing w:line="360" w:lineRule="exact"/>
              <w:jc w:val="left"/>
              <w:rPr>
                <w:rFonts w:hint="eastAsia" w:ascii="宋体" w:hAnsi="宋体" w:eastAsia="宋体" w:cs="宋体"/>
                <w:color w:val="auto"/>
                <w:szCs w:val="21"/>
                <w:highlight w:val="none"/>
              </w:rPr>
            </w:pPr>
          </w:p>
        </w:tc>
        <w:tc>
          <w:tcPr>
            <w:tcW w:w="1145" w:type="dxa"/>
            <w:tcBorders>
              <w:top w:val="single" w:color="auto" w:sz="4" w:space="0"/>
              <w:left w:val="single" w:color="auto" w:sz="4" w:space="0"/>
              <w:bottom w:val="single" w:color="auto" w:sz="4" w:space="0"/>
              <w:right w:val="single" w:color="auto" w:sz="4" w:space="0"/>
            </w:tcBorders>
            <w:noWrap w:val="0"/>
            <w:vAlign w:val="top"/>
          </w:tcPr>
          <w:p w14:paraId="14E2BC0B">
            <w:pPr>
              <w:snapToGrid w:val="0"/>
              <w:spacing w:line="360" w:lineRule="exact"/>
              <w:jc w:val="left"/>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357FCE45">
            <w:pPr>
              <w:snapToGrid w:val="0"/>
              <w:spacing w:line="360" w:lineRule="exact"/>
              <w:jc w:val="left"/>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26FC74C5">
            <w:pPr>
              <w:snapToGrid w:val="0"/>
              <w:spacing w:line="360" w:lineRule="exact"/>
              <w:jc w:val="left"/>
              <w:rPr>
                <w:rFonts w:hint="eastAsia" w:ascii="宋体" w:hAnsi="宋体" w:eastAsia="宋体" w:cs="宋体"/>
                <w:color w:val="auto"/>
                <w:szCs w:val="21"/>
                <w:highlight w:val="none"/>
              </w:rPr>
            </w:pPr>
          </w:p>
        </w:tc>
        <w:tc>
          <w:tcPr>
            <w:tcW w:w="1174" w:type="dxa"/>
            <w:tcBorders>
              <w:top w:val="single" w:color="auto" w:sz="4" w:space="0"/>
              <w:left w:val="single" w:color="auto" w:sz="4" w:space="0"/>
              <w:bottom w:val="single" w:color="auto" w:sz="4" w:space="0"/>
              <w:right w:val="single" w:color="auto" w:sz="4" w:space="0"/>
            </w:tcBorders>
            <w:noWrap w:val="0"/>
            <w:vAlign w:val="top"/>
          </w:tcPr>
          <w:p w14:paraId="41767DB4">
            <w:pPr>
              <w:snapToGrid w:val="0"/>
              <w:spacing w:line="360" w:lineRule="exact"/>
              <w:jc w:val="left"/>
              <w:rPr>
                <w:rFonts w:hint="eastAsia" w:ascii="宋体" w:hAnsi="宋体" w:eastAsia="宋体" w:cs="宋体"/>
                <w:color w:val="auto"/>
                <w:szCs w:val="21"/>
                <w:highlight w:val="none"/>
              </w:rPr>
            </w:pPr>
          </w:p>
        </w:tc>
        <w:tc>
          <w:tcPr>
            <w:tcW w:w="1225" w:type="dxa"/>
            <w:tcBorders>
              <w:top w:val="single" w:color="auto" w:sz="4" w:space="0"/>
              <w:left w:val="single" w:color="auto" w:sz="4" w:space="0"/>
              <w:bottom w:val="single" w:color="auto" w:sz="4" w:space="0"/>
              <w:right w:val="single" w:color="auto" w:sz="4" w:space="0"/>
            </w:tcBorders>
            <w:noWrap w:val="0"/>
            <w:vAlign w:val="top"/>
          </w:tcPr>
          <w:p w14:paraId="5DDB3B23">
            <w:pPr>
              <w:snapToGrid w:val="0"/>
              <w:spacing w:line="360" w:lineRule="exact"/>
              <w:jc w:val="left"/>
              <w:rPr>
                <w:rFonts w:hint="eastAsia" w:ascii="宋体" w:hAnsi="宋体" w:eastAsia="宋体" w:cs="宋体"/>
                <w:color w:val="auto"/>
                <w:szCs w:val="21"/>
                <w:highlight w:val="none"/>
              </w:rPr>
            </w:pPr>
          </w:p>
        </w:tc>
        <w:tc>
          <w:tcPr>
            <w:tcW w:w="1957" w:type="dxa"/>
            <w:tcBorders>
              <w:top w:val="single" w:color="auto" w:sz="4" w:space="0"/>
              <w:left w:val="single" w:color="auto" w:sz="4" w:space="0"/>
              <w:bottom w:val="single" w:color="auto" w:sz="4" w:space="0"/>
              <w:right w:val="single" w:color="auto" w:sz="4" w:space="0"/>
            </w:tcBorders>
            <w:noWrap w:val="0"/>
            <w:vAlign w:val="top"/>
          </w:tcPr>
          <w:p w14:paraId="7927403F">
            <w:pPr>
              <w:snapToGrid w:val="0"/>
              <w:spacing w:line="360" w:lineRule="exact"/>
              <w:jc w:val="left"/>
              <w:rPr>
                <w:rFonts w:hint="eastAsia" w:ascii="宋体" w:hAnsi="宋体" w:eastAsia="宋体" w:cs="宋体"/>
                <w:color w:val="auto"/>
                <w:szCs w:val="21"/>
                <w:highlight w:val="none"/>
              </w:rPr>
            </w:pPr>
          </w:p>
        </w:tc>
      </w:tr>
      <w:tr w14:paraId="35BFD8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04" w:type="dxa"/>
            <w:tcBorders>
              <w:top w:val="single" w:color="auto" w:sz="4" w:space="0"/>
              <w:left w:val="single" w:color="auto" w:sz="4" w:space="0"/>
              <w:bottom w:val="single" w:color="auto" w:sz="4" w:space="0"/>
              <w:right w:val="single" w:color="auto" w:sz="4" w:space="0"/>
            </w:tcBorders>
            <w:noWrap w:val="0"/>
            <w:vAlign w:val="top"/>
          </w:tcPr>
          <w:p w14:paraId="6CC297E4">
            <w:pPr>
              <w:snapToGrid w:val="0"/>
              <w:spacing w:before="50" w:after="120" w:afterLines="50" w:line="360" w:lineRule="exact"/>
              <w:jc w:val="left"/>
              <w:rPr>
                <w:rFonts w:hint="eastAsia" w:ascii="宋体" w:hAnsi="宋体" w:eastAsia="宋体" w:cs="宋体"/>
                <w:color w:val="auto"/>
                <w:szCs w:val="21"/>
                <w:highlight w:val="none"/>
              </w:rPr>
            </w:pPr>
          </w:p>
        </w:tc>
        <w:tc>
          <w:tcPr>
            <w:tcW w:w="1145" w:type="dxa"/>
            <w:tcBorders>
              <w:top w:val="single" w:color="auto" w:sz="4" w:space="0"/>
              <w:left w:val="single" w:color="auto" w:sz="4" w:space="0"/>
              <w:bottom w:val="single" w:color="auto" w:sz="4" w:space="0"/>
              <w:right w:val="single" w:color="auto" w:sz="4" w:space="0"/>
            </w:tcBorders>
            <w:noWrap w:val="0"/>
            <w:vAlign w:val="top"/>
          </w:tcPr>
          <w:p w14:paraId="5B77E2D9">
            <w:pPr>
              <w:snapToGrid w:val="0"/>
              <w:spacing w:before="50" w:after="120" w:afterLines="50" w:line="360" w:lineRule="exact"/>
              <w:jc w:val="left"/>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761AF93D">
            <w:pPr>
              <w:snapToGrid w:val="0"/>
              <w:spacing w:before="50" w:after="120" w:afterLines="50" w:line="360" w:lineRule="exact"/>
              <w:jc w:val="left"/>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457DB28A">
            <w:pPr>
              <w:snapToGrid w:val="0"/>
              <w:spacing w:before="50" w:after="120" w:afterLines="50" w:line="360" w:lineRule="exact"/>
              <w:jc w:val="left"/>
              <w:rPr>
                <w:rFonts w:hint="eastAsia" w:ascii="宋体" w:hAnsi="宋体" w:eastAsia="宋体" w:cs="宋体"/>
                <w:color w:val="auto"/>
                <w:szCs w:val="21"/>
                <w:highlight w:val="none"/>
              </w:rPr>
            </w:pPr>
          </w:p>
        </w:tc>
        <w:tc>
          <w:tcPr>
            <w:tcW w:w="1174" w:type="dxa"/>
            <w:tcBorders>
              <w:top w:val="single" w:color="auto" w:sz="4" w:space="0"/>
              <w:left w:val="single" w:color="auto" w:sz="4" w:space="0"/>
              <w:bottom w:val="single" w:color="auto" w:sz="4" w:space="0"/>
              <w:right w:val="single" w:color="auto" w:sz="4" w:space="0"/>
            </w:tcBorders>
            <w:noWrap w:val="0"/>
            <w:vAlign w:val="top"/>
          </w:tcPr>
          <w:p w14:paraId="173BFC59">
            <w:pPr>
              <w:snapToGrid w:val="0"/>
              <w:spacing w:before="50" w:after="120" w:afterLines="50" w:line="360" w:lineRule="exact"/>
              <w:jc w:val="left"/>
              <w:rPr>
                <w:rFonts w:hint="eastAsia" w:ascii="宋体" w:hAnsi="宋体" w:eastAsia="宋体" w:cs="宋体"/>
                <w:color w:val="auto"/>
                <w:szCs w:val="21"/>
                <w:highlight w:val="none"/>
              </w:rPr>
            </w:pPr>
          </w:p>
        </w:tc>
        <w:tc>
          <w:tcPr>
            <w:tcW w:w="1225" w:type="dxa"/>
            <w:tcBorders>
              <w:top w:val="single" w:color="auto" w:sz="4" w:space="0"/>
              <w:left w:val="single" w:color="auto" w:sz="4" w:space="0"/>
              <w:bottom w:val="single" w:color="auto" w:sz="4" w:space="0"/>
              <w:right w:val="single" w:color="auto" w:sz="4" w:space="0"/>
            </w:tcBorders>
            <w:noWrap w:val="0"/>
            <w:vAlign w:val="top"/>
          </w:tcPr>
          <w:p w14:paraId="62D95980">
            <w:pPr>
              <w:snapToGrid w:val="0"/>
              <w:spacing w:before="50" w:after="120" w:afterLines="50" w:line="360" w:lineRule="exact"/>
              <w:jc w:val="left"/>
              <w:rPr>
                <w:rFonts w:hint="eastAsia" w:ascii="宋体" w:hAnsi="宋体" w:eastAsia="宋体" w:cs="宋体"/>
                <w:color w:val="auto"/>
                <w:szCs w:val="21"/>
                <w:highlight w:val="none"/>
              </w:rPr>
            </w:pPr>
          </w:p>
        </w:tc>
        <w:tc>
          <w:tcPr>
            <w:tcW w:w="1957" w:type="dxa"/>
            <w:tcBorders>
              <w:top w:val="single" w:color="auto" w:sz="4" w:space="0"/>
              <w:left w:val="single" w:color="auto" w:sz="4" w:space="0"/>
              <w:bottom w:val="single" w:color="auto" w:sz="4" w:space="0"/>
              <w:right w:val="single" w:color="auto" w:sz="4" w:space="0"/>
            </w:tcBorders>
            <w:noWrap w:val="0"/>
            <w:vAlign w:val="top"/>
          </w:tcPr>
          <w:p w14:paraId="4E8CBA23">
            <w:pPr>
              <w:snapToGrid w:val="0"/>
              <w:spacing w:before="50" w:after="120" w:afterLines="50" w:line="360" w:lineRule="exact"/>
              <w:jc w:val="left"/>
              <w:rPr>
                <w:rFonts w:hint="eastAsia" w:ascii="宋体" w:hAnsi="宋体" w:eastAsia="宋体" w:cs="宋体"/>
                <w:color w:val="auto"/>
                <w:szCs w:val="21"/>
                <w:highlight w:val="none"/>
              </w:rPr>
            </w:pPr>
          </w:p>
        </w:tc>
      </w:tr>
      <w:tr w14:paraId="430593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1704" w:type="dxa"/>
            <w:tcBorders>
              <w:top w:val="single" w:color="auto" w:sz="4" w:space="0"/>
              <w:left w:val="single" w:color="auto" w:sz="4" w:space="0"/>
              <w:bottom w:val="single" w:color="auto" w:sz="4" w:space="0"/>
              <w:right w:val="single" w:color="auto" w:sz="4" w:space="0"/>
            </w:tcBorders>
            <w:noWrap w:val="0"/>
            <w:vAlign w:val="top"/>
          </w:tcPr>
          <w:p w14:paraId="35600BC3">
            <w:pPr>
              <w:snapToGrid w:val="0"/>
              <w:spacing w:before="50" w:after="120" w:afterLines="50" w:line="360" w:lineRule="exact"/>
              <w:jc w:val="left"/>
              <w:rPr>
                <w:rFonts w:hint="eastAsia" w:ascii="宋体" w:hAnsi="宋体" w:eastAsia="宋体" w:cs="宋体"/>
                <w:color w:val="auto"/>
                <w:szCs w:val="21"/>
                <w:highlight w:val="none"/>
              </w:rPr>
            </w:pPr>
          </w:p>
        </w:tc>
        <w:tc>
          <w:tcPr>
            <w:tcW w:w="1145" w:type="dxa"/>
            <w:tcBorders>
              <w:top w:val="single" w:color="auto" w:sz="4" w:space="0"/>
              <w:left w:val="single" w:color="auto" w:sz="4" w:space="0"/>
              <w:bottom w:val="single" w:color="auto" w:sz="4" w:space="0"/>
              <w:right w:val="single" w:color="auto" w:sz="4" w:space="0"/>
            </w:tcBorders>
            <w:noWrap w:val="0"/>
            <w:vAlign w:val="top"/>
          </w:tcPr>
          <w:p w14:paraId="044C0A31">
            <w:pPr>
              <w:snapToGrid w:val="0"/>
              <w:spacing w:before="50" w:after="120" w:afterLines="50" w:line="360" w:lineRule="exact"/>
              <w:jc w:val="left"/>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3E343F22">
            <w:pPr>
              <w:snapToGrid w:val="0"/>
              <w:spacing w:before="50" w:after="120" w:afterLines="50" w:line="360" w:lineRule="exact"/>
              <w:jc w:val="left"/>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62F7EE54">
            <w:pPr>
              <w:snapToGrid w:val="0"/>
              <w:spacing w:before="50" w:after="120" w:afterLines="50" w:line="360" w:lineRule="exact"/>
              <w:jc w:val="left"/>
              <w:rPr>
                <w:rFonts w:hint="eastAsia" w:ascii="宋体" w:hAnsi="宋体" w:eastAsia="宋体" w:cs="宋体"/>
                <w:color w:val="auto"/>
                <w:szCs w:val="21"/>
                <w:highlight w:val="none"/>
              </w:rPr>
            </w:pPr>
          </w:p>
        </w:tc>
        <w:tc>
          <w:tcPr>
            <w:tcW w:w="1174" w:type="dxa"/>
            <w:tcBorders>
              <w:top w:val="single" w:color="auto" w:sz="4" w:space="0"/>
              <w:left w:val="single" w:color="auto" w:sz="4" w:space="0"/>
              <w:bottom w:val="single" w:color="auto" w:sz="4" w:space="0"/>
              <w:right w:val="single" w:color="auto" w:sz="4" w:space="0"/>
            </w:tcBorders>
            <w:noWrap w:val="0"/>
            <w:vAlign w:val="top"/>
          </w:tcPr>
          <w:p w14:paraId="707ABD6F">
            <w:pPr>
              <w:snapToGrid w:val="0"/>
              <w:spacing w:before="50" w:after="120" w:afterLines="50" w:line="360" w:lineRule="exact"/>
              <w:jc w:val="left"/>
              <w:rPr>
                <w:rFonts w:hint="eastAsia" w:ascii="宋体" w:hAnsi="宋体" w:eastAsia="宋体" w:cs="宋体"/>
                <w:color w:val="auto"/>
                <w:szCs w:val="21"/>
                <w:highlight w:val="none"/>
              </w:rPr>
            </w:pPr>
          </w:p>
        </w:tc>
        <w:tc>
          <w:tcPr>
            <w:tcW w:w="1225" w:type="dxa"/>
            <w:tcBorders>
              <w:top w:val="single" w:color="auto" w:sz="4" w:space="0"/>
              <w:left w:val="single" w:color="auto" w:sz="4" w:space="0"/>
              <w:bottom w:val="single" w:color="auto" w:sz="4" w:space="0"/>
              <w:right w:val="single" w:color="auto" w:sz="4" w:space="0"/>
            </w:tcBorders>
            <w:noWrap w:val="0"/>
            <w:vAlign w:val="top"/>
          </w:tcPr>
          <w:p w14:paraId="6493C5EE">
            <w:pPr>
              <w:snapToGrid w:val="0"/>
              <w:spacing w:before="50" w:after="120" w:afterLines="50" w:line="360" w:lineRule="exact"/>
              <w:jc w:val="left"/>
              <w:rPr>
                <w:rFonts w:hint="eastAsia" w:ascii="宋体" w:hAnsi="宋体" w:eastAsia="宋体" w:cs="宋体"/>
                <w:color w:val="auto"/>
                <w:szCs w:val="21"/>
                <w:highlight w:val="none"/>
              </w:rPr>
            </w:pPr>
          </w:p>
        </w:tc>
        <w:tc>
          <w:tcPr>
            <w:tcW w:w="1957" w:type="dxa"/>
            <w:tcBorders>
              <w:top w:val="single" w:color="auto" w:sz="4" w:space="0"/>
              <w:left w:val="single" w:color="auto" w:sz="4" w:space="0"/>
              <w:bottom w:val="single" w:color="auto" w:sz="4" w:space="0"/>
              <w:right w:val="single" w:color="auto" w:sz="4" w:space="0"/>
            </w:tcBorders>
            <w:noWrap w:val="0"/>
            <w:vAlign w:val="top"/>
          </w:tcPr>
          <w:p w14:paraId="4C16F2AC">
            <w:pPr>
              <w:snapToGrid w:val="0"/>
              <w:spacing w:before="50" w:after="120" w:afterLines="50" w:line="360" w:lineRule="exact"/>
              <w:jc w:val="left"/>
              <w:rPr>
                <w:rFonts w:hint="eastAsia" w:ascii="宋体" w:hAnsi="宋体" w:eastAsia="宋体" w:cs="宋体"/>
                <w:color w:val="auto"/>
                <w:szCs w:val="21"/>
                <w:highlight w:val="none"/>
              </w:rPr>
            </w:pPr>
          </w:p>
        </w:tc>
      </w:tr>
      <w:tr w14:paraId="08C10C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04" w:type="dxa"/>
            <w:tcBorders>
              <w:top w:val="single" w:color="auto" w:sz="4" w:space="0"/>
              <w:left w:val="single" w:color="auto" w:sz="4" w:space="0"/>
              <w:bottom w:val="single" w:color="auto" w:sz="4" w:space="0"/>
              <w:right w:val="single" w:color="auto" w:sz="4" w:space="0"/>
            </w:tcBorders>
            <w:noWrap w:val="0"/>
            <w:vAlign w:val="top"/>
          </w:tcPr>
          <w:p w14:paraId="4329A14A">
            <w:pPr>
              <w:snapToGrid w:val="0"/>
              <w:spacing w:before="50" w:after="120" w:afterLines="50" w:line="360" w:lineRule="exact"/>
              <w:jc w:val="left"/>
              <w:rPr>
                <w:rFonts w:hint="eastAsia" w:ascii="宋体" w:hAnsi="宋体" w:eastAsia="宋体" w:cs="宋体"/>
                <w:color w:val="auto"/>
                <w:szCs w:val="21"/>
                <w:highlight w:val="none"/>
              </w:rPr>
            </w:pPr>
          </w:p>
        </w:tc>
        <w:tc>
          <w:tcPr>
            <w:tcW w:w="1145" w:type="dxa"/>
            <w:tcBorders>
              <w:top w:val="single" w:color="auto" w:sz="4" w:space="0"/>
              <w:left w:val="single" w:color="auto" w:sz="4" w:space="0"/>
              <w:bottom w:val="single" w:color="auto" w:sz="4" w:space="0"/>
              <w:right w:val="single" w:color="auto" w:sz="4" w:space="0"/>
            </w:tcBorders>
            <w:noWrap w:val="0"/>
            <w:vAlign w:val="top"/>
          </w:tcPr>
          <w:p w14:paraId="39A8BFB3">
            <w:pPr>
              <w:snapToGrid w:val="0"/>
              <w:spacing w:before="50" w:after="120" w:afterLines="50" w:line="360" w:lineRule="exact"/>
              <w:jc w:val="left"/>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7666D743">
            <w:pPr>
              <w:snapToGrid w:val="0"/>
              <w:spacing w:before="50" w:after="120" w:afterLines="50" w:line="360" w:lineRule="exact"/>
              <w:jc w:val="left"/>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228B67E2">
            <w:pPr>
              <w:snapToGrid w:val="0"/>
              <w:spacing w:before="50" w:after="120" w:afterLines="50" w:line="360" w:lineRule="exact"/>
              <w:jc w:val="left"/>
              <w:rPr>
                <w:rFonts w:hint="eastAsia" w:ascii="宋体" w:hAnsi="宋体" w:eastAsia="宋体" w:cs="宋体"/>
                <w:color w:val="auto"/>
                <w:szCs w:val="21"/>
                <w:highlight w:val="none"/>
              </w:rPr>
            </w:pPr>
          </w:p>
        </w:tc>
        <w:tc>
          <w:tcPr>
            <w:tcW w:w="1174" w:type="dxa"/>
            <w:tcBorders>
              <w:top w:val="single" w:color="auto" w:sz="4" w:space="0"/>
              <w:left w:val="single" w:color="auto" w:sz="4" w:space="0"/>
              <w:bottom w:val="single" w:color="auto" w:sz="4" w:space="0"/>
              <w:right w:val="single" w:color="auto" w:sz="4" w:space="0"/>
            </w:tcBorders>
            <w:noWrap w:val="0"/>
            <w:vAlign w:val="top"/>
          </w:tcPr>
          <w:p w14:paraId="4C4F04C7">
            <w:pPr>
              <w:snapToGrid w:val="0"/>
              <w:spacing w:before="50" w:after="120" w:afterLines="50" w:line="360" w:lineRule="exact"/>
              <w:jc w:val="left"/>
              <w:rPr>
                <w:rFonts w:hint="eastAsia" w:ascii="宋体" w:hAnsi="宋体" w:eastAsia="宋体" w:cs="宋体"/>
                <w:color w:val="auto"/>
                <w:szCs w:val="21"/>
                <w:highlight w:val="none"/>
              </w:rPr>
            </w:pPr>
          </w:p>
        </w:tc>
        <w:tc>
          <w:tcPr>
            <w:tcW w:w="1225" w:type="dxa"/>
            <w:tcBorders>
              <w:top w:val="single" w:color="auto" w:sz="4" w:space="0"/>
              <w:left w:val="single" w:color="auto" w:sz="4" w:space="0"/>
              <w:bottom w:val="single" w:color="auto" w:sz="4" w:space="0"/>
              <w:right w:val="single" w:color="auto" w:sz="4" w:space="0"/>
            </w:tcBorders>
            <w:noWrap w:val="0"/>
            <w:vAlign w:val="top"/>
          </w:tcPr>
          <w:p w14:paraId="3EEE6581">
            <w:pPr>
              <w:snapToGrid w:val="0"/>
              <w:spacing w:before="50" w:after="120" w:afterLines="50" w:line="360" w:lineRule="exact"/>
              <w:jc w:val="left"/>
              <w:rPr>
                <w:rFonts w:hint="eastAsia" w:ascii="宋体" w:hAnsi="宋体" w:eastAsia="宋体" w:cs="宋体"/>
                <w:color w:val="auto"/>
                <w:szCs w:val="21"/>
                <w:highlight w:val="none"/>
              </w:rPr>
            </w:pPr>
          </w:p>
        </w:tc>
        <w:tc>
          <w:tcPr>
            <w:tcW w:w="1957" w:type="dxa"/>
            <w:tcBorders>
              <w:top w:val="single" w:color="auto" w:sz="4" w:space="0"/>
              <w:left w:val="single" w:color="auto" w:sz="4" w:space="0"/>
              <w:bottom w:val="single" w:color="auto" w:sz="4" w:space="0"/>
              <w:right w:val="single" w:color="auto" w:sz="4" w:space="0"/>
            </w:tcBorders>
            <w:noWrap w:val="0"/>
            <w:vAlign w:val="top"/>
          </w:tcPr>
          <w:p w14:paraId="42C1970F">
            <w:pPr>
              <w:snapToGrid w:val="0"/>
              <w:spacing w:before="50" w:after="120" w:afterLines="50" w:line="360" w:lineRule="exact"/>
              <w:jc w:val="left"/>
              <w:rPr>
                <w:rFonts w:hint="eastAsia" w:ascii="宋体" w:hAnsi="宋体" w:eastAsia="宋体" w:cs="宋体"/>
                <w:color w:val="auto"/>
                <w:szCs w:val="21"/>
                <w:highlight w:val="none"/>
              </w:rPr>
            </w:pPr>
          </w:p>
        </w:tc>
      </w:tr>
    </w:tbl>
    <w:p w14:paraId="74BF488D">
      <w:pPr>
        <w:pStyle w:val="17"/>
        <w:snapToGrid w:val="0"/>
        <w:rPr>
          <w:rFonts w:hint="eastAsia" w:ascii="宋体" w:hAnsi="宋体" w:eastAsia="宋体" w:cs="宋体"/>
          <w:color w:val="auto"/>
          <w:sz w:val="24"/>
          <w:highlight w:val="none"/>
        </w:rPr>
      </w:pPr>
      <w:r>
        <w:rPr>
          <w:rFonts w:hint="eastAsia" w:ascii="宋体" w:hAnsi="宋体" w:eastAsia="宋体" w:cs="宋体"/>
          <w:color w:val="auto"/>
          <w:sz w:val="21"/>
          <w:szCs w:val="21"/>
          <w:highlight w:val="none"/>
        </w:rPr>
        <w:t>附：项目合同关键页复印件或中标通知书复印件。</w:t>
      </w:r>
    </w:p>
    <w:p w14:paraId="2C193B56">
      <w:pPr>
        <w:pStyle w:val="17"/>
        <w:snapToGrid w:val="0"/>
        <w:spacing w:line="36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法定代表人（负责人）或委托代理人（签字或电子签名）：</w:t>
      </w:r>
      <w:r>
        <w:rPr>
          <w:rFonts w:hint="eastAsia" w:ascii="宋体" w:hAnsi="宋体" w:eastAsia="宋体" w:cs="宋体"/>
          <w:color w:val="auto"/>
          <w:sz w:val="21"/>
          <w:szCs w:val="21"/>
          <w:highlight w:val="none"/>
          <w:u w:val="single"/>
        </w:rPr>
        <w:t>　　　        　　</w:t>
      </w:r>
    </w:p>
    <w:p w14:paraId="49F3ACF2">
      <w:pPr>
        <w:snapToGrid w:val="0"/>
        <w:spacing w:before="50" w:line="3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投标人名称（电子公章）：</w:t>
      </w:r>
      <w:r>
        <w:rPr>
          <w:rFonts w:hint="eastAsia" w:ascii="宋体" w:hAnsi="宋体" w:eastAsia="宋体" w:cs="宋体"/>
          <w:color w:val="auto"/>
          <w:szCs w:val="21"/>
          <w:highlight w:val="none"/>
          <w:u w:val="single"/>
        </w:rPr>
        <w:t xml:space="preserve">                      </w:t>
      </w:r>
    </w:p>
    <w:p w14:paraId="29515F31">
      <w:pPr>
        <w:rPr>
          <w:rFonts w:hint="eastAsia" w:ascii="宋体" w:hAnsi="宋体" w:eastAsia="宋体" w:cs="宋体"/>
          <w:b/>
          <w:color w:val="auto"/>
          <w:kern w:val="0"/>
          <w:sz w:val="36"/>
          <w:szCs w:val="36"/>
          <w:highlight w:val="none"/>
        </w:rPr>
      </w:pPr>
      <w:r>
        <w:rPr>
          <w:rFonts w:hint="eastAsia" w:ascii="宋体" w:hAnsi="宋体" w:eastAsia="宋体" w:cs="宋体"/>
          <w:color w:val="auto"/>
          <w:szCs w:val="21"/>
          <w:highlight w:val="none"/>
        </w:rPr>
        <w:t xml:space="preserve"> 年    月     日</w:t>
      </w:r>
    </w:p>
    <w:p w14:paraId="554F9208">
      <w:pP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br w:type="page"/>
      </w:r>
    </w:p>
    <w:p w14:paraId="0A91AE94">
      <w:pPr>
        <w:pStyle w:val="5"/>
        <w:keepLines/>
        <w:overflowPunct w:val="0"/>
        <w:spacing w:line="360" w:lineRule="auto"/>
        <w:ind w:firstLine="0"/>
        <w:rPr>
          <w:rFonts w:hint="eastAsia" w:ascii="宋体" w:hAnsi="宋体" w:eastAsia="宋体" w:cs="宋体"/>
          <w:b/>
          <w:color w:val="auto"/>
          <w:kern w:val="0"/>
          <w:sz w:val="36"/>
          <w:szCs w:val="36"/>
          <w:highlight w:val="none"/>
          <w:lang w:val="en-US" w:eastAsia="zh-CN"/>
        </w:rPr>
      </w:pPr>
      <w:r>
        <w:rPr>
          <w:rFonts w:hint="eastAsia" w:ascii="宋体" w:hAnsi="宋体" w:eastAsia="宋体" w:cs="宋体"/>
          <w:b/>
          <w:color w:val="auto"/>
          <w:kern w:val="0"/>
          <w:sz w:val="36"/>
          <w:szCs w:val="36"/>
          <w:highlight w:val="none"/>
          <w:lang w:val="en-US" w:eastAsia="zh-CN"/>
        </w:rPr>
        <w:t>八、中小企业声明函</w:t>
      </w:r>
    </w:p>
    <w:p w14:paraId="05D953C9">
      <w:pPr>
        <w:spacing w:line="360" w:lineRule="auto"/>
        <w:jc w:val="center"/>
        <w:rPr>
          <w:rFonts w:hint="eastAsia" w:ascii="宋体" w:hAnsi="宋体" w:eastAsia="宋体" w:cs="宋体"/>
          <w:b/>
          <w:color w:val="auto"/>
          <w:spacing w:val="6"/>
          <w:sz w:val="28"/>
          <w:szCs w:val="28"/>
          <w:highlight w:val="none"/>
          <w:lang w:eastAsia="zh-CN"/>
        </w:rPr>
      </w:pPr>
      <w:r>
        <w:rPr>
          <w:rFonts w:hint="eastAsia" w:ascii="宋体" w:hAnsi="宋体" w:eastAsia="宋体" w:cs="宋体"/>
          <w:b/>
          <w:color w:val="auto"/>
          <w:spacing w:val="6"/>
          <w:sz w:val="28"/>
          <w:szCs w:val="28"/>
          <w:highlight w:val="none"/>
        </w:rPr>
        <w:t>中小企业声明函</w:t>
      </w:r>
      <w:r>
        <w:rPr>
          <w:rFonts w:hint="eastAsia" w:ascii="宋体" w:hAnsi="宋体" w:eastAsia="宋体" w:cs="宋体"/>
          <w:b/>
          <w:color w:val="auto"/>
          <w:spacing w:val="6"/>
          <w:sz w:val="28"/>
          <w:szCs w:val="28"/>
          <w:highlight w:val="none"/>
          <w:lang w:eastAsia="zh-CN"/>
        </w:rPr>
        <w:t>（</w:t>
      </w:r>
      <w:r>
        <w:rPr>
          <w:rFonts w:hint="eastAsia" w:ascii="宋体" w:hAnsi="宋体" w:eastAsia="宋体" w:cs="宋体"/>
          <w:b/>
          <w:color w:val="auto"/>
          <w:spacing w:val="6"/>
          <w:sz w:val="28"/>
          <w:szCs w:val="28"/>
          <w:highlight w:val="none"/>
          <w:lang w:val="en-US" w:eastAsia="zh-CN"/>
        </w:rPr>
        <w:t>格式</w:t>
      </w:r>
      <w:r>
        <w:rPr>
          <w:rFonts w:hint="eastAsia" w:ascii="宋体" w:hAnsi="宋体" w:eastAsia="宋体" w:cs="宋体"/>
          <w:b/>
          <w:color w:val="auto"/>
          <w:spacing w:val="6"/>
          <w:sz w:val="28"/>
          <w:szCs w:val="28"/>
          <w:highlight w:val="none"/>
          <w:lang w:eastAsia="zh-CN"/>
        </w:rPr>
        <w:t>）</w:t>
      </w:r>
    </w:p>
    <w:p w14:paraId="7ABC049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本公司（联合体）郑重声明，根据《政府采购促进中小企业发展管理办法》（财库﹝2020﹞46号）的规定，本公司（联合体）参加</w:t>
      </w:r>
      <w:r>
        <w:rPr>
          <w:rFonts w:hint="eastAsia" w:ascii="宋体" w:hAnsi="宋体" w:eastAsia="宋体" w:cs="宋体"/>
          <w:color w:val="auto"/>
          <w:szCs w:val="21"/>
          <w:highlight w:val="none"/>
          <w:u w:val="single"/>
        </w:rPr>
        <w:t>（单位名称）</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u w:val="single"/>
        </w:rPr>
        <w:t>（项目名称）</w:t>
      </w:r>
      <w:r>
        <w:rPr>
          <w:rFonts w:hint="eastAsia" w:ascii="宋体" w:hAnsi="宋体" w:eastAsia="宋体" w:cs="宋体"/>
          <w:color w:val="auto"/>
          <w:szCs w:val="21"/>
          <w:highlight w:val="none"/>
        </w:rPr>
        <w:t>采购活动，提供的货物全部由符合政策要求的中小企业制造。相关企业（含联合体中的中小企业、签订分包意向协议的中小企业） 的具体情况如下：</w:t>
      </w:r>
    </w:p>
    <w:p w14:paraId="0AAD411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 </w:t>
      </w:r>
      <w:r>
        <w:rPr>
          <w:rFonts w:hint="eastAsia" w:ascii="宋体" w:hAnsi="宋体" w:eastAsia="宋体" w:cs="宋体"/>
          <w:color w:val="auto"/>
          <w:szCs w:val="21"/>
          <w:highlight w:val="none"/>
          <w:u w:val="single"/>
        </w:rPr>
        <w:t>（标的名称）</w:t>
      </w:r>
      <w:r>
        <w:rPr>
          <w:rFonts w:hint="eastAsia" w:ascii="宋体" w:hAnsi="宋体" w:eastAsia="宋体" w:cs="宋体"/>
          <w:color w:val="auto"/>
          <w:szCs w:val="21"/>
          <w:highlight w:val="none"/>
        </w:rPr>
        <w:t>，属于</w:t>
      </w:r>
      <w:r>
        <w:rPr>
          <w:rFonts w:hint="eastAsia" w:ascii="宋体" w:hAnsi="宋体" w:eastAsia="宋体" w:cs="宋体"/>
          <w:color w:val="auto"/>
          <w:szCs w:val="21"/>
          <w:highlight w:val="none"/>
          <w:u w:val="single"/>
        </w:rPr>
        <w:t>（采购文件中明确的所属行业）</w:t>
      </w:r>
      <w:r>
        <w:rPr>
          <w:rFonts w:hint="eastAsia" w:ascii="宋体" w:hAnsi="宋体" w:eastAsia="宋体" w:cs="宋体"/>
          <w:color w:val="auto"/>
          <w:szCs w:val="21"/>
          <w:highlight w:val="none"/>
        </w:rPr>
        <w:t>行业；制造商为</w:t>
      </w:r>
      <w:r>
        <w:rPr>
          <w:rFonts w:hint="eastAsia" w:ascii="宋体" w:hAnsi="宋体" w:eastAsia="宋体" w:cs="宋体"/>
          <w:color w:val="auto"/>
          <w:szCs w:val="21"/>
          <w:highlight w:val="none"/>
          <w:u w:val="single"/>
        </w:rPr>
        <w:t>（企业名称）</w:t>
      </w:r>
      <w:r>
        <w:rPr>
          <w:rFonts w:hint="eastAsia" w:ascii="宋体" w:hAnsi="宋体" w:eastAsia="宋体" w:cs="宋体"/>
          <w:color w:val="auto"/>
          <w:szCs w:val="21"/>
          <w:highlight w:val="none"/>
        </w:rPr>
        <w:t>，从业人员</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人，营业收入为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万元，资产总额为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w:t>
      </w:r>
      <w:r>
        <w:rPr>
          <w:rFonts w:hint="eastAsia" w:ascii="宋体" w:hAnsi="宋体" w:eastAsia="宋体" w:cs="宋体"/>
          <w:color w:val="auto"/>
          <w:szCs w:val="21"/>
          <w:highlight w:val="none"/>
          <w:vertAlign w:val="superscript"/>
        </w:rPr>
        <w:t>1</w:t>
      </w:r>
      <w:r>
        <w:rPr>
          <w:rFonts w:hint="eastAsia" w:ascii="宋体" w:hAnsi="宋体" w:eastAsia="宋体" w:cs="宋体"/>
          <w:color w:val="auto"/>
          <w:szCs w:val="21"/>
          <w:highlight w:val="none"/>
        </w:rPr>
        <w:t>，属于（中型企业、小型企业、微型企业）；</w:t>
      </w:r>
    </w:p>
    <w:p w14:paraId="1F19FD0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u w:val="single"/>
        </w:rPr>
        <w:t xml:space="preserve"> （标的名称）</w:t>
      </w:r>
      <w:r>
        <w:rPr>
          <w:rFonts w:hint="eastAsia" w:ascii="宋体" w:hAnsi="宋体" w:eastAsia="宋体" w:cs="宋体"/>
          <w:color w:val="auto"/>
          <w:szCs w:val="21"/>
          <w:highlight w:val="none"/>
        </w:rPr>
        <w:t>，属于</w:t>
      </w:r>
      <w:r>
        <w:rPr>
          <w:rFonts w:hint="eastAsia" w:ascii="宋体" w:hAnsi="宋体" w:eastAsia="宋体" w:cs="宋体"/>
          <w:color w:val="auto"/>
          <w:szCs w:val="21"/>
          <w:highlight w:val="none"/>
          <w:u w:val="single"/>
        </w:rPr>
        <w:t>（采购文件中明确的所属行业）</w:t>
      </w:r>
      <w:r>
        <w:rPr>
          <w:rFonts w:hint="eastAsia" w:ascii="宋体" w:hAnsi="宋体" w:eastAsia="宋体" w:cs="宋体"/>
          <w:color w:val="auto"/>
          <w:szCs w:val="21"/>
          <w:highlight w:val="none"/>
        </w:rPr>
        <w:t>行业；制造商为</w:t>
      </w:r>
      <w:r>
        <w:rPr>
          <w:rFonts w:hint="eastAsia" w:ascii="宋体" w:hAnsi="宋体" w:eastAsia="宋体" w:cs="宋体"/>
          <w:color w:val="auto"/>
          <w:szCs w:val="21"/>
          <w:highlight w:val="none"/>
          <w:u w:val="single"/>
        </w:rPr>
        <w:t>（企业名称）</w:t>
      </w:r>
      <w:r>
        <w:rPr>
          <w:rFonts w:hint="eastAsia" w:ascii="宋体" w:hAnsi="宋体" w:eastAsia="宋体" w:cs="宋体"/>
          <w:color w:val="auto"/>
          <w:szCs w:val="21"/>
          <w:highlight w:val="none"/>
        </w:rPr>
        <w:t>，从业人员</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人，营业收入为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万元，资产总额为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万元，属于（中型企业、小型企业、微型企业）；</w:t>
      </w:r>
    </w:p>
    <w:p w14:paraId="1845874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6ED2FEE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以上企业，不属于大企业的分支机构，不存在控股股东为大企业的情形，也不存在与大企业的负责人为同一人的情形。</w:t>
      </w:r>
    </w:p>
    <w:p w14:paraId="64CF137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本企业对上述声明内容的真实性负责。如有虚假，将依法承担相应责任。</w:t>
      </w:r>
    </w:p>
    <w:p w14:paraId="582BC870">
      <w:pPr>
        <w:spacing w:line="360" w:lineRule="auto"/>
        <w:rPr>
          <w:rFonts w:hint="eastAsia" w:ascii="宋体" w:hAnsi="宋体" w:eastAsia="宋体" w:cs="宋体"/>
          <w:color w:val="auto"/>
          <w:szCs w:val="21"/>
          <w:highlight w:val="none"/>
        </w:rPr>
      </w:pPr>
    </w:p>
    <w:p w14:paraId="6B596789">
      <w:pPr>
        <w:spacing w:line="360" w:lineRule="auto"/>
        <w:rPr>
          <w:rFonts w:hint="eastAsia" w:ascii="宋体" w:hAnsi="宋体" w:eastAsia="宋体" w:cs="宋体"/>
          <w:color w:val="auto"/>
          <w:szCs w:val="21"/>
          <w:highlight w:val="none"/>
        </w:rPr>
      </w:pPr>
    </w:p>
    <w:p w14:paraId="2F103177">
      <w:pPr>
        <w:spacing w:line="360" w:lineRule="auto"/>
        <w:ind w:right="560" w:firstLine="2940" w:firstLineChars="1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投标人名称（电子公章）：</w:t>
      </w:r>
    </w:p>
    <w:p w14:paraId="6E12A3E1">
      <w:pPr>
        <w:spacing w:line="360" w:lineRule="auto"/>
        <w:ind w:right="560" w:firstLine="2940" w:firstLineChars="1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 期：</w:t>
      </w:r>
    </w:p>
    <w:p w14:paraId="3B26ECD8">
      <w:pPr>
        <w:spacing w:line="200" w:lineRule="exact"/>
        <w:ind w:left="20"/>
        <w:rPr>
          <w:rFonts w:hint="eastAsia" w:ascii="宋体" w:hAnsi="宋体" w:eastAsia="宋体" w:cs="宋体"/>
          <w:color w:val="auto"/>
          <w:sz w:val="18"/>
          <w:szCs w:val="18"/>
          <w:highlight w:val="none"/>
        </w:rPr>
      </w:pPr>
    </w:p>
    <w:p w14:paraId="52A3E33C">
      <w:pPr>
        <w:spacing w:line="200" w:lineRule="exact"/>
        <w:ind w:left="20"/>
        <w:rPr>
          <w:rFonts w:hint="eastAsia" w:ascii="宋体" w:hAnsi="宋体" w:eastAsia="宋体" w:cs="宋体"/>
          <w:color w:val="auto"/>
          <w:sz w:val="18"/>
          <w:szCs w:val="18"/>
          <w:highlight w:val="none"/>
        </w:rPr>
      </w:pPr>
    </w:p>
    <w:p w14:paraId="6B9DB9B4">
      <w:pPr>
        <w:widowControl/>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填写注意事项：</w:t>
      </w:r>
    </w:p>
    <w:p w14:paraId="79291D7B">
      <w:pPr>
        <w:widowControl/>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（1）从业人员、营业收入、资产总额填报上一年度数据，无上一年度数据的新成立企业可不填报。</w:t>
      </w:r>
    </w:p>
    <w:p w14:paraId="64C37545">
      <w:pPr>
        <w:widowControl/>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w:t>
      </w:r>
      <w:r>
        <w:rPr>
          <w:rFonts w:hint="eastAsia" w:ascii="宋体" w:hAnsi="宋体" w:eastAsia="宋体" w:cs="宋体"/>
          <w:b/>
          <w:color w:val="auto"/>
          <w:szCs w:val="21"/>
          <w:highlight w:val="none"/>
          <w:lang w:eastAsia="zh-CN"/>
        </w:rPr>
        <w:t>投标人</w:t>
      </w:r>
      <w:r>
        <w:rPr>
          <w:rFonts w:hint="eastAsia" w:ascii="宋体" w:hAnsi="宋体" w:eastAsia="宋体" w:cs="宋体"/>
          <w:b/>
          <w:color w:val="auto"/>
          <w:szCs w:val="21"/>
          <w:highlight w:val="none"/>
        </w:rPr>
        <w:t>按照本办法规定提供声明函内容不实的，属于提供虚假材料谋取中标、成交，依照《中华人民共和国政府采购法》等国家有关规定追究相应责任。</w:t>
      </w:r>
    </w:p>
    <w:p w14:paraId="1C913021">
      <w:pPr>
        <w:widowControl/>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（3）政府采购监督检查、投诉处理及政府采购行政处罚中对中小企业的认定，由货物制造商或者工程、服务</w:t>
      </w:r>
      <w:r>
        <w:rPr>
          <w:rFonts w:hint="eastAsia" w:ascii="宋体" w:hAnsi="宋体" w:eastAsia="宋体" w:cs="宋体"/>
          <w:b/>
          <w:color w:val="auto"/>
          <w:szCs w:val="21"/>
          <w:highlight w:val="none"/>
          <w:lang w:eastAsia="zh-CN"/>
        </w:rPr>
        <w:t>投标人</w:t>
      </w:r>
      <w:r>
        <w:rPr>
          <w:rFonts w:hint="eastAsia" w:ascii="宋体" w:hAnsi="宋体" w:eastAsia="宋体" w:cs="宋体"/>
          <w:b/>
          <w:color w:val="auto"/>
          <w:szCs w:val="21"/>
          <w:highlight w:val="none"/>
        </w:rPr>
        <w:t>注册登记所在地的县级以上人民政府中小企业主管部门负责。</w:t>
      </w:r>
    </w:p>
    <w:p w14:paraId="4F7A1EA0">
      <w:pPr>
        <w:widowControl/>
        <w:spacing w:before="120" w:beforeLines="50" w:after="120" w:afterLines="50"/>
        <w:jc w:val="center"/>
        <w:rPr>
          <w:rFonts w:hint="eastAsia" w:ascii="宋体" w:hAnsi="宋体" w:eastAsia="宋体" w:cs="宋体"/>
          <w:color w:val="auto"/>
          <w:highlight w:val="none"/>
        </w:rPr>
      </w:pPr>
      <w:r>
        <w:rPr>
          <w:rFonts w:hint="eastAsia" w:ascii="宋体" w:hAnsi="宋体" w:eastAsia="宋体" w:cs="宋体"/>
          <w:b/>
          <w:color w:val="auto"/>
          <w:szCs w:val="21"/>
          <w:highlight w:val="none"/>
        </w:rPr>
        <w:t>（4）投标人须根据招标文件“第三部分 采购需求”中的采购标的逐项填写完整，不能缺项、漏项。</w:t>
      </w:r>
      <w:r>
        <w:rPr>
          <w:rFonts w:hint="eastAsia" w:ascii="宋体" w:hAnsi="宋体" w:eastAsia="宋体" w:cs="宋体"/>
          <w:b/>
          <w:color w:val="auto"/>
          <w:szCs w:val="21"/>
          <w:highlight w:val="none"/>
        </w:rPr>
        <w:br w:type="page"/>
      </w:r>
      <w:r>
        <w:rPr>
          <w:rFonts w:hint="eastAsia" w:ascii="宋体" w:hAnsi="宋体" w:eastAsia="宋体" w:cs="宋体"/>
          <w:b/>
          <w:bCs/>
          <w:color w:val="auto"/>
          <w:kern w:val="0"/>
          <w:sz w:val="30"/>
          <w:szCs w:val="30"/>
          <w:highlight w:val="none"/>
        </w:rPr>
        <w:t>统计上大中小微型企业划分标准</w:t>
      </w:r>
    </w:p>
    <w:tbl>
      <w:tblPr>
        <w:tblStyle w:val="64"/>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43700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noWrap w:val="0"/>
            <w:vAlign w:val="center"/>
          </w:tcPr>
          <w:p w14:paraId="1F0A3868">
            <w:pPr>
              <w:widowControl/>
              <w:spacing w:line="280" w:lineRule="exact"/>
              <w:jc w:val="center"/>
              <w:rPr>
                <w:rFonts w:hint="eastAsia" w:ascii="宋体" w:hAnsi="宋体" w:eastAsia="宋体" w:cs="宋体"/>
                <w:b/>
                <w:bCs/>
                <w:color w:val="auto"/>
                <w:kern w:val="0"/>
                <w:sz w:val="18"/>
                <w:szCs w:val="21"/>
                <w:highlight w:val="none"/>
              </w:rPr>
            </w:pPr>
            <w:r>
              <w:rPr>
                <w:rFonts w:hint="eastAsia" w:ascii="宋体" w:hAnsi="宋体" w:eastAsia="宋体" w:cs="宋体"/>
                <w:b/>
                <w:bCs/>
                <w:color w:val="auto"/>
                <w:kern w:val="0"/>
                <w:sz w:val="18"/>
                <w:szCs w:val="21"/>
                <w:highlight w:val="none"/>
              </w:rPr>
              <w:t>行业名称</w:t>
            </w:r>
          </w:p>
        </w:tc>
        <w:tc>
          <w:tcPr>
            <w:tcW w:w="1369" w:type="dxa"/>
            <w:noWrap w:val="0"/>
            <w:vAlign w:val="center"/>
          </w:tcPr>
          <w:p w14:paraId="0458CB19">
            <w:pPr>
              <w:widowControl/>
              <w:spacing w:line="280" w:lineRule="exac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指标名称</w:t>
            </w:r>
          </w:p>
        </w:tc>
        <w:tc>
          <w:tcPr>
            <w:tcW w:w="709" w:type="dxa"/>
            <w:noWrap w:val="0"/>
            <w:vAlign w:val="center"/>
          </w:tcPr>
          <w:p w14:paraId="5041F0E6">
            <w:pPr>
              <w:widowControl/>
              <w:spacing w:line="280" w:lineRule="exac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计量</w:t>
            </w:r>
          </w:p>
          <w:p w14:paraId="6E7FA151">
            <w:pPr>
              <w:widowControl/>
              <w:spacing w:line="280" w:lineRule="exac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单位</w:t>
            </w:r>
          </w:p>
        </w:tc>
        <w:tc>
          <w:tcPr>
            <w:tcW w:w="1125" w:type="dxa"/>
            <w:noWrap w:val="0"/>
            <w:vAlign w:val="center"/>
          </w:tcPr>
          <w:p w14:paraId="4E92F98E">
            <w:pPr>
              <w:widowControl/>
              <w:spacing w:line="280" w:lineRule="exac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大型</w:t>
            </w:r>
          </w:p>
        </w:tc>
        <w:tc>
          <w:tcPr>
            <w:tcW w:w="1701" w:type="dxa"/>
            <w:noWrap w:val="0"/>
            <w:vAlign w:val="center"/>
          </w:tcPr>
          <w:p w14:paraId="19785C9E">
            <w:pPr>
              <w:widowControl/>
              <w:spacing w:line="280" w:lineRule="exac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中型</w:t>
            </w:r>
          </w:p>
        </w:tc>
        <w:tc>
          <w:tcPr>
            <w:tcW w:w="1426" w:type="dxa"/>
            <w:noWrap w:val="0"/>
            <w:vAlign w:val="center"/>
          </w:tcPr>
          <w:p w14:paraId="3DEEA029">
            <w:pPr>
              <w:widowControl/>
              <w:spacing w:line="280" w:lineRule="exac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小型</w:t>
            </w:r>
          </w:p>
        </w:tc>
        <w:tc>
          <w:tcPr>
            <w:tcW w:w="992" w:type="dxa"/>
            <w:noWrap w:val="0"/>
            <w:vAlign w:val="center"/>
          </w:tcPr>
          <w:p w14:paraId="5F5B6465">
            <w:pPr>
              <w:widowControl/>
              <w:spacing w:line="280" w:lineRule="exac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微型</w:t>
            </w:r>
          </w:p>
        </w:tc>
      </w:tr>
      <w:tr w14:paraId="08C92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5D2D2701">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农、林、牧、渔业</w:t>
            </w:r>
          </w:p>
        </w:tc>
        <w:tc>
          <w:tcPr>
            <w:tcW w:w="1369" w:type="dxa"/>
            <w:noWrap w:val="0"/>
            <w:vAlign w:val="center"/>
          </w:tcPr>
          <w:p w14:paraId="7EA5C5D2">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0BA5D026">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713FD63C">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w:t>
            </w:r>
          </w:p>
        </w:tc>
        <w:tc>
          <w:tcPr>
            <w:tcW w:w="1701" w:type="dxa"/>
            <w:noWrap w:val="0"/>
            <w:vAlign w:val="center"/>
          </w:tcPr>
          <w:p w14:paraId="51A13D48">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426" w:type="dxa"/>
            <w:noWrap w:val="0"/>
            <w:vAlign w:val="center"/>
          </w:tcPr>
          <w:p w14:paraId="56AD7CD0">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50≤Y＜500</w:t>
            </w:r>
          </w:p>
        </w:tc>
        <w:tc>
          <w:tcPr>
            <w:tcW w:w="992" w:type="dxa"/>
            <w:noWrap w:val="0"/>
            <w:vAlign w:val="center"/>
          </w:tcPr>
          <w:p w14:paraId="6271F615">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3090F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3279E12E">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工业 *</w:t>
            </w:r>
          </w:p>
        </w:tc>
        <w:tc>
          <w:tcPr>
            <w:tcW w:w="1369" w:type="dxa"/>
            <w:noWrap w:val="0"/>
            <w:vAlign w:val="center"/>
          </w:tcPr>
          <w:p w14:paraId="56C29D4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p>
        </w:tc>
        <w:tc>
          <w:tcPr>
            <w:tcW w:w="709" w:type="dxa"/>
            <w:noWrap w:val="0"/>
            <w:vAlign w:val="center"/>
          </w:tcPr>
          <w:p w14:paraId="34849544">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0ED1F2B3">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w:t>
            </w:r>
          </w:p>
        </w:tc>
        <w:tc>
          <w:tcPr>
            <w:tcW w:w="1701" w:type="dxa"/>
            <w:noWrap w:val="0"/>
            <w:vAlign w:val="center"/>
          </w:tcPr>
          <w:p w14:paraId="4D03A344">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300≤×＜1000</w:t>
            </w:r>
          </w:p>
        </w:tc>
        <w:tc>
          <w:tcPr>
            <w:tcW w:w="1426" w:type="dxa"/>
            <w:noWrap w:val="0"/>
            <w:vAlign w:val="center"/>
          </w:tcPr>
          <w:p w14:paraId="4B0373B9">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20≤×＜300</w:t>
            </w:r>
          </w:p>
        </w:tc>
        <w:tc>
          <w:tcPr>
            <w:tcW w:w="992" w:type="dxa"/>
            <w:noWrap w:val="0"/>
            <w:vAlign w:val="center"/>
          </w:tcPr>
          <w:p w14:paraId="683BD5B3">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w:t>
            </w:r>
          </w:p>
        </w:tc>
      </w:tr>
      <w:tr w14:paraId="642D9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3491623F">
            <w:pPr>
              <w:widowControl/>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14:paraId="3261B31C">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11CB0C91">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3D29570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Y≥40000</w:t>
            </w:r>
          </w:p>
        </w:tc>
        <w:tc>
          <w:tcPr>
            <w:tcW w:w="1701" w:type="dxa"/>
            <w:noWrap w:val="0"/>
            <w:vAlign w:val="center"/>
          </w:tcPr>
          <w:p w14:paraId="26A579E8">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2000≤Y＜40000</w:t>
            </w:r>
          </w:p>
        </w:tc>
        <w:tc>
          <w:tcPr>
            <w:tcW w:w="1426" w:type="dxa"/>
            <w:noWrap w:val="0"/>
            <w:vAlign w:val="center"/>
          </w:tcPr>
          <w:p w14:paraId="5CFA4EC2">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300≤Y＜2000</w:t>
            </w:r>
          </w:p>
        </w:tc>
        <w:tc>
          <w:tcPr>
            <w:tcW w:w="992" w:type="dxa"/>
            <w:noWrap w:val="0"/>
            <w:vAlign w:val="center"/>
          </w:tcPr>
          <w:p w14:paraId="0986AC7D">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0F0E4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52C67805">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建筑业</w:t>
            </w:r>
          </w:p>
        </w:tc>
        <w:tc>
          <w:tcPr>
            <w:tcW w:w="1369" w:type="dxa"/>
            <w:noWrap w:val="0"/>
            <w:vAlign w:val="center"/>
          </w:tcPr>
          <w:p w14:paraId="15B26D8F">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56212360">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17FA6E43">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Y≥80000</w:t>
            </w:r>
          </w:p>
        </w:tc>
        <w:tc>
          <w:tcPr>
            <w:tcW w:w="1701" w:type="dxa"/>
            <w:noWrap w:val="0"/>
            <w:vAlign w:val="center"/>
          </w:tcPr>
          <w:p w14:paraId="57B76FB3">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6000≤Y＜80000</w:t>
            </w:r>
          </w:p>
        </w:tc>
        <w:tc>
          <w:tcPr>
            <w:tcW w:w="1426" w:type="dxa"/>
            <w:noWrap w:val="0"/>
            <w:vAlign w:val="center"/>
          </w:tcPr>
          <w:p w14:paraId="4F6FEEC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300≤Y＜6000</w:t>
            </w:r>
          </w:p>
        </w:tc>
        <w:tc>
          <w:tcPr>
            <w:tcW w:w="992" w:type="dxa"/>
            <w:noWrap w:val="0"/>
            <w:vAlign w:val="center"/>
          </w:tcPr>
          <w:p w14:paraId="4A95BDF4">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12453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072C67B8">
            <w:pPr>
              <w:widowControl/>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14:paraId="08C4E765">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709" w:type="dxa"/>
            <w:noWrap w:val="0"/>
            <w:vAlign w:val="center"/>
          </w:tcPr>
          <w:p w14:paraId="38F59FB3">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05B2C4AE">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Z≥80000</w:t>
            </w:r>
          </w:p>
        </w:tc>
        <w:tc>
          <w:tcPr>
            <w:tcW w:w="1701" w:type="dxa"/>
            <w:noWrap w:val="0"/>
            <w:vAlign w:val="center"/>
          </w:tcPr>
          <w:p w14:paraId="70161CAF">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5000≤Z＜80000</w:t>
            </w:r>
          </w:p>
        </w:tc>
        <w:tc>
          <w:tcPr>
            <w:tcW w:w="1426" w:type="dxa"/>
            <w:noWrap w:val="0"/>
            <w:vAlign w:val="center"/>
          </w:tcPr>
          <w:p w14:paraId="1CB12D65">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300≤Z＜5000</w:t>
            </w:r>
          </w:p>
        </w:tc>
        <w:tc>
          <w:tcPr>
            <w:tcW w:w="992" w:type="dxa"/>
            <w:noWrap w:val="0"/>
            <w:vAlign w:val="center"/>
          </w:tcPr>
          <w:p w14:paraId="7F389B5C">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Z＜300</w:t>
            </w:r>
          </w:p>
        </w:tc>
      </w:tr>
      <w:tr w14:paraId="40386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6A184503">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批发业</w:t>
            </w:r>
          </w:p>
        </w:tc>
        <w:tc>
          <w:tcPr>
            <w:tcW w:w="1369" w:type="dxa"/>
            <w:noWrap w:val="0"/>
            <w:vAlign w:val="center"/>
          </w:tcPr>
          <w:p w14:paraId="5DEE377B">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p>
        </w:tc>
        <w:tc>
          <w:tcPr>
            <w:tcW w:w="709" w:type="dxa"/>
            <w:noWrap w:val="0"/>
            <w:vAlign w:val="center"/>
          </w:tcPr>
          <w:p w14:paraId="29E4FDA0">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7CD6B8A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w:t>
            </w:r>
          </w:p>
        </w:tc>
        <w:tc>
          <w:tcPr>
            <w:tcW w:w="1701" w:type="dxa"/>
            <w:noWrap w:val="0"/>
            <w:vAlign w:val="center"/>
          </w:tcPr>
          <w:p w14:paraId="14E9D25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20≤×＜200</w:t>
            </w:r>
          </w:p>
        </w:tc>
        <w:tc>
          <w:tcPr>
            <w:tcW w:w="1426" w:type="dxa"/>
            <w:noWrap w:val="0"/>
            <w:vAlign w:val="center"/>
          </w:tcPr>
          <w:p w14:paraId="44B58DEC">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5≤×＜20</w:t>
            </w:r>
          </w:p>
        </w:tc>
        <w:tc>
          <w:tcPr>
            <w:tcW w:w="992" w:type="dxa"/>
            <w:noWrap w:val="0"/>
            <w:vAlign w:val="center"/>
          </w:tcPr>
          <w:p w14:paraId="4EB43481">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w:t>
            </w:r>
          </w:p>
        </w:tc>
      </w:tr>
      <w:tr w14:paraId="1E532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7DA2F4CB">
            <w:pPr>
              <w:widowControl/>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14:paraId="50CBFFD9">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60AB63CD">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0F047CA2">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Y≥40000</w:t>
            </w:r>
          </w:p>
        </w:tc>
        <w:tc>
          <w:tcPr>
            <w:tcW w:w="1701" w:type="dxa"/>
            <w:noWrap w:val="0"/>
            <w:vAlign w:val="center"/>
          </w:tcPr>
          <w:p w14:paraId="1423954C">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5000≤Y＜40000</w:t>
            </w:r>
          </w:p>
        </w:tc>
        <w:tc>
          <w:tcPr>
            <w:tcW w:w="1426" w:type="dxa"/>
            <w:noWrap w:val="0"/>
            <w:vAlign w:val="center"/>
          </w:tcPr>
          <w:p w14:paraId="0809EA5F">
            <w:pPr>
              <w:widowControl/>
              <w:spacing w:line="280" w:lineRule="exact"/>
              <w:ind w:left="-1" w:leftChars="-1" w:hanging="1"/>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992" w:type="dxa"/>
            <w:noWrap w:val="0"/>
            <w:vAlign w:val="center"/>
          </w:tcPr>
          <w:p w14:paraId="4024A40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w:t>
            </w:r>
          </w:p>
        </w:tc>
      </w:tr>
      <w:tr w14:paraId="2014E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4906458F">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零售业</w:t>
            </w:r>
          </w:p>
        </w:tc>
        <w:tc>
          <w:tcPr>
            <w:tcW w:w="1369" w:type="dxa"/>
            <w:noWrap w:val="0"/>
            <w:vAlign w:val="center"/>
          </w:tcPr>
          <w:p w14:paraId="6AAB8DB1">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p>
        </w:tc>
        <w:tc>
          <w:tcPr>
            <w:tcW w:w="709" w:type="dxa"/>
            <w:noWrap w:val="0"/>
            <w:vAlign w:val="center"/>
          </w:tcPr>
          <w:p w14:paraId="4FFCA62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36E957D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w:t>
            </w:r>
          </w:p>
        </w:tc>
        <w:tc>
          <w:tcPr>
            <w:tcW w:w="1701" w:type="dxa"/>
            <w:noWrap w:val="0"/>
            <w:vAlign w:val="center"/>
          </w:tcPr>
          <w:p w14:paraId="658977D4">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50≤×＜300</w:t>
            </w:r>
          </w:p>
        </w:tc>
        <w:tc>
          <w:tcPr>
            <w:tcW w:w="1426" w:type="dxa"/>
            <w:noWrap w:val="0"/>
            <w:vAlign w:val="center"/>
          </w:tcPr>
          <w:p w14:paraId="14299206">
            <w:pPr>
              <w:widowControl/>
              <w:spacing w:line="280" w:lineRule="exact"/>
              <w:ind w:left="-1" w:leftChars="-1" w:hanging="1"/>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10≤×＜50 </w:t>
            </w:r>
          </w:p>
        </w:tc>
        <w:tc>
          <w:tcPr>
            <w:tcW w:w="992" w:type="dxa"/>
            <w:noWrap w:val="0"/>
            <w:vAlign w:val="center"/>
          </w:tcPr>
          <w:p w14:paraId="53FAD48C">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w:t>
            </w:r>
          </w:p>
        </w:tc>
      </w:tr>
      <w:tr w14:paraId="7342E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653537C7">
            <w:pPr>
              <w:widowControl/>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14:paraId="066C7DBE">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4001F5F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08B1BB5C">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w:t>
            </w:r>
          </w:p>
        </w:tc>
        <w:tc>
          <w:tcPr>
            <w:tcW w:w="1701" w:type="dxa"/>
            <w:noWrap w:val="0"/>
            <w:vAlign w:val="center"/>
          </w:tcPr>
          <w:p w14:paraId="6E6F6B46">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426" w:type="dxa"/>
            <w:noWrap w:val="0"/>
            <w:vAlign w:val="center"/>
          </w:tcPr>
          <w:p w14:paraId="37BCDD19">
            <w:pPr>
              <w:widowControl/>
              <w:spacing w:line="280" w:lineRule="exact"/>
              <w:ind w:left="-1" w:leftChars="-1" w:hanging="1"/>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100≤Y＜500</w:t>
            </w:r>
          </w:p>
        </w:tc>
        <w:tc>
          <w:tcPr>
            <w:tcW w:w="992" w:type="dxa"/>
            <w:noWrap w:val="0"/>
            <w:vAlign w:val="center"/>
          </w:tcPr>
          <w:p w14:paraId="61718893">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5F62C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3B0120FE">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交通运输业 *</w:t>
            </w:r>
          </w:p>
        </w:tc>
        <w:tc>
          <w:tcPr>
            <w:tcW w:w="1369" w:type="dxa"/>
            <w:noWrap w:val="0"/>
            <w:vAlign w:val="center"/>
          </w:tcPr>
          <w:p w14:paraId="75C163F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p>
        </w:tc>
        <w:tc>
          <w:tcPr>
            <w:tcW w:w="709" w:type="dxa"/>
            <w:noWrap w:val="0"/>
            <w:vAlign w:val="center"/>
          </w:tcPr>
          <w:p w14:paraId="118146E5">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3DE4E77C">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w:t>
            </w:r>
          </w:p>
        </w:tc>
        <w:tc>
          <w:tcPr>
            <w:tcW w:w="1701" w:type="dxa"/>
            <w:noWrap w:val="0"/>
            <w:vAlign w:val="center"/>
          </w:tcPr>
          <w:p w14:paraId="67053163">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300≤×＜1000</w:t>
            </w:r>
          </w:p>
        </w:tc>
        <w:tc>
          <w:tcPr>
            <w:tcW w:w="1426" w:type="dxa"/>
            <w:noWrap w:val="0"/>
            <w:vAlign w:val="center"/>
          </w:tcPr>
          <w:p w14:paraId="280F7ED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20≤×＜300</w:t>
            </w:r>
          </w:p>
        </w:tc>
        <w:tc>
          <w:tcPr>
            <w:tcW w:w="992" w:type="dxa"/>
            <w:noWrap w:val="0"/>
            <w:vAlign w:val="center"/>
          </w:tcPr>
          <w:p w14:paraId="78282456">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w:t>
            </w:r>
          </w:p>
        </w:tc>
      </w:tr>
      <w:tr w14:paraId="090F2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37162FBB">
            <w:pPr>
              <w:widowControl/>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14:paraId="1ED368CB">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370E4A2F">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43661704">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noWrap w:val="0"/>
            <w:vAlign w:val="center"/>
          </w:tcPr>
          <w:p w14:paraId="3110359F">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3000≤Y＜30000</w:t>
            </w:r>
          </w:p>
        </w:tc>
        <w:tc>
          <w:tcPr>
            <w:tcW w:w="1426" w:type="dxa"/>
            <w:noWrap w:val="0"/>
            <w:vAlign w:val="center"/>
          </w:tcPr>
          <w:p w14:paraId="2A2BD585">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200≤Y＜3000</w:t>
            </w:r>
          </w:p>
        </w:tc>
        <w:tc>
          <w:tcPr>
            <w:tcW w:w="992" w:type="dxa"/>
            <w:noWrap w:val="0"/>
            <w:vAlign w:val="center"/>
          </w:tcPr>
          <w:p w14:paraId="79E7BDD3">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w:t>
            </w:r>
          </w:p>
        </w:tc>
      </w:tr>
      <w:tr w14:paraId="1E21A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33531DC4">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仓储业*</w:t>
            </w:r>
          </w:p>
        </w:tc>
        <w:tc>
          <w:tcPr>
            <w:tcW w:w="1369" w:type="dxa"/>
            <w:noWrap w:val="0"/>
            <w:vAlign w:val="center"/>
          </w:tcPr>
          <w:p w14:paraId="348326C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p>
        </w:tc>
        <w:tc>
          <w:tcPr>
            <w:tcW w:w="709" w:type="dxa"/>
            <w:noWrap w:val="0"/>
            <w:vAlign w:val="center"/>
          </w:tcPr>
          <w:p w14:paraId="71E0DDBD">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01832C45">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w:t>
            </w:r>
          </w:p>
        </w:tc>
        <w:tc>
          <w:tcPr>
            <w:tcW w:w="1701" w:type="dxa"/>
            <w:noWrap w:val="0"/>
            <w:vAlign w:val="center"/>
          </w:tcPr>
          <w:p w14:paraId="67AA2D19">
            <w:pPr>
              <w:widowControl/>
              <w:spacing w:line="280" w:lineRule="exact"/>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100≤×＜200</w:t>
            </w:r>
          </w:p>
        </w:tc>
        <w:tc>
          <w:tcPr>
            <w:tcW w:w="1426" w:type="dxa"/>
            <w:noWrap w:val="0"/>
            <w:vAlign w:val="center"/>
          </w:tcPr>
          <w:p w14:paraId="2CBA30AE">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20≤×＜100</w:t>
            </w:r>
          </w:p>
        </w:tc>
        <w:tc>
          <w:tcPr>
            <w:tcW w:w="992" w:type="dxa"/>
            <w:noWrap w:val="0"/>
            <w:vAlign w:val="center"/>
          </w:tcPr>
          <w:p w14:paraId="07D19FD9">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w:t>
            </w:r>
          </w:p>
        </w:tc>
      </w:tr>
      <w:tr w14:paraId="0DE19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0EAEA2C5">
            <w:pPr>
              <w:widowControl/>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14:paraId="5509E96B">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61FF3BA3">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2A9640F1">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noWrap w:val="0"/>
            <w:vAlign w:val="center"/>
          </w:tcPr>
          <w:p w14:paraId="7C6B9DBB">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1000≤Y＜30000</w:t>
            </w:r>
          </w:p>
        </w:tc>
        <w:tc>
          <w:tcPr>
            <w:tcW w:w="1426" w:type="dxa"/>
            <w:noWrap w:val="0"/>
            <w:vAlign w:val="center"/>
          </w:tcPr>
          <w:p w14:paraId="21490FD3">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92" w:type="dxa"/>
            <w:noWrap w:val="0"/>
            <w:vAlign w:val="center"/>
          </w:tcPr>
          <w:p w14:paraId="7A1EC49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0121A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71AAE0CB">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邮政业</w:t>
            </w:r>
          </w:p>
        </w:tc>
        <w:tc>
          <w:tcPr>
            <w:tcW w:w="1369" w:type="dxa"/>
            <w:noWrap w:val="0"/>
            <w:vAlign w:val="center"/>
          </w:tcPr>
          <w:p w14:paraId="1E66BE7B">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p>
        </w:tc>
        <w:tc>
          <w:tcPr>
            <w:tcW w:w="709" w:type="dxa"/>
            <w:noWrap w:val="0"/>
            <w:vAlign w:val="center"/>
          </w:tcPr>
          <w:p w14:paraId="2BFD8FBB">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41F41468">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w:t>
            </w:r>
          </w:p>
        </w:tc>
        <w:tc>
          <w:tcPr>
            <w:tcW w:w="1701" w:type="dxa"/>
            <w:noWrap w:val="0"/>
            <w:vAlign w:val="center"/>
          </w:tcPr>
          <w:p w14:paraId="49920B0B">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300≤×＜1000</w:t>
            </w:r>
          </w:p>
        </w:tc>
        <w:tc>
          <w:tcPr>
            <w:tcW w:w="1426" w:type="dxa"/>
            <w:noWrap w:val="0"/>
            <w:vAlign w:val="center"/>
          </w:tcPr>
          <w:p w14:paraId="43288D0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20≤×＜300</w:t>
            </w:r>
          </w:p>
        </w:tc>
        <w:tc>
          <w:tcPr>
            <w:tcW w:w="992" w:type="dxa"/>
            <w:noWrap w:val="0"/>
            <w:vAlign w:val="center"/>
          </w:tcPr>
          <w:p w14:paraId="2E202D85">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w:t>
            </w:r>
          </w:p>
        </w:tc>
      </w:tr>
      <w:tr w14:paraId="061ED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1F047E44">
            <w:pPr>
              <w:widowControl/>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14:paraId="7D727FD1">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5984C524">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61316314">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noWrap w:val="0"/>
            <w:vAlign w:val="center"/>
          </w:tcPr>
          <w:p w14:paraId="6C9AB336">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2000≤Y＜30000</w:t>
            </w:r>
          </w:p>
        </w:tc>
        <w:tc>
          <w:tcPr>
            <w:tcW w:w="1426" w:type="dxa"/>
            <w:noWrap w:val="0"/>
            <w:vAlign w:val="center"/>
          </w:tcPr>
          <w:p w14:paraId="51F04348">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92" w:type="dxa"/>
            <w:noWrap w:val="0"/>
            <w:vAlign w:val="center"/>
          </w:tcPr>
          <w:p w14:paraId="3694B604">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2DA22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0B2B614C">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住宿业</w:t>
            </w:r>
          </w:p>
        </w:tc>
        <w:tc>
          <w:tcPr>
            <w:tcW w:w="1369" w:type="dxa"/>
            <w:noWrap w:val="0"/>
            <w:vAlign w:val="center"/>
          </w:tcPr>
          <w:p w14:paraId="61E3F961">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p>
        </w:tc>
        <w:tc>
          <w:tcPr>
            <w:tcW w:w="709" w:type="dxa"/>
            <w:noWrap w:val="0"/>
            <w:vAlign w:val="center"/>
          </w:tcPr>
          <w:p w14:paraId="713A367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1AEC2E54">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w:t>
            </w:r>
          </w:p>
        </w:tc>
        <w:tc>
          <w:tcPr>
            <w:tcW w:w="1701" w:type="dxa"/>
            <w:noWrap w:val="0"/>
            <w:vAlign w:val="center"/>
          </w:tcPr>
          <w:p w14:paraId="5086578F">
            <w:pPr>
              <w:widowControl/>
              <w:spacing w:line="280" w:lineRule="exact"/>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100≤×＜300</w:t>
            </w:r>
          </w:p>
        </w:tc>
        <w:tc>
          <w:tcPr>
            <w:tcW w:w="1426" w:type="dxa"/>
            <w:noWrap w:val="0"/>
            <w:vAlign w:val="center"/>
          </w:tcPr>
          <w:p w14:paraId="61A27FBF">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10≤×＜100</w:t>
            </w:r>
          </w:p>
        </w:tc>
        <w:tc>
          <w:tcPr>
            <w:tcW w:w="992" w:type="dxa"/>
            <w:noWrap w:val="0"/>
            <w:vAlign w:val="center"/>
          </w:tcPr>
          <w:p w14:paraId="0880B595">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w:t>
            </w:r>
          </w:p>
        </w:tc>
      </w:tr>
      <w:tr w14:paraId="5E58E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1879B637">
            <w:pPr>
              <w:widowControl/>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14:paraId="3BB6C711">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56C1A88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4649E2D0">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noWrap w:val="0"/>
            <w:vAlign w:val="center"/>
          </w:tcPr>
          <w:p w14:paraId="245B842B">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426" w:type="dxa"/>
            <w:noWrap w:val="0"/>
            <w:vAlign w:val="center"/>
          </w:tcPr>
          <w:p w14:paraId="6DFA0749">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92" w:type="dxa"/>
            <w:noWrap w:val="0"/>
            <w:vAlign w:val="center"/>
          </w:tcPr>
          <w:p w14:paraId="68D33596">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569A4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124179C0">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餐饮业</w:t>
            </w:r>
          </w:p>
        </w:tc>
        <w:tc>
          <w:tcPr>
            <w:tcW w:w="1369" w:type="dxa"/>
            <w:noWrap w:val="0"/>
            <w:vAlign w:val="center"/>
          </w:tcPr>
          <w:p w14:paraId="2CF97885">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p>
        </w:tc>
        <w:tc>
          <w:tcPr>
            <w:tcW w:w="709" w:type="dxa"/>
            <w:noWrap w:val="0"/>
            <w:vAlign w:val="center"/>
          </w:tcPr>
          <w:p w14:paraId="4CA962EF">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09AC8E70">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w:t>
            </w:r>
          </w:p>
        </w:tc>
        <w:tc>
          <w:tcPr>
            <w:tcW w:w="1701" w:type="dxa"/>
            <w:noWrap w:val="0"/>
            <w:vAlign w:val="center"/>
          </w:tcPr>
          <w:p w14:paraId="4D15D0E5">
            <w:pPr>
              <w:widowControl/>
              <w:spacing w:line="280" w:lineRule="exact"/>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100≤×＜300 </w:t>
            </w:r>
          </w:p>
        </w:tc>
        <w:tc>
          <w:tcPr>
            <w:tcW w:w="1426" w:type="dxa"/>
            <w:noWrap w:val="0"/>
            <w:vAlign w:val="center"/>
          </w:tcPr>
          <w:p w14:paraId="618314DD">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10≤×＜100</w:t>
            </w:r>
          </w:p>
        </w:tc>
        <w:tc>
          <w:tcPr>
            <w:tcW w:w="992" w:type="dxa"/>
            <w:noWrap w:val="0"/>
            <w:vAlign w:val="center"/>
          </w:tcPr>
          <w:p w14:paraId="05D7EED9">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w:t>
            </w:r>
          </w:p>
        </w:tc>
      </w:tr>
      <w:tr w14:paraId="0AF83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7629A5F0">
            <w:pPr>
              <w:widowControl/>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14:paraId="1E3E033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09D1222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2504C98E">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noWrap w:val="0"/>
            <w:vAlign w:val="center"/>
          </w:tcPr>
          <w:p w14:paraId="6AB871F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426" w:type="dxa"/>
            <w:noWrap w:val="0"/>
            <w:vAlign w:val="center"/>
          </w:tcPr>
          <w:p w14:paraId="1C8F1CC2">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92" w:type="dxa"/>
            <w:noWrap w:val="0"/>
            <w:vAlign w:val="center"/>
          </w:tcPr>
          <w:p w14:paraId="01BBAD00">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78280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4DDEE13B">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信息传输业 *</w:t>
            </w:r>
          </w:p>
        </w:tc>
        <w:tc>
          <w:tcPr>
            <w:tcW w:w="1369" w:type="dxa"/>
            <w:noWrap w:val="0"/>
            <w:vAlign w:val="center"/>
          </w:tcPr>
          <w:p w14:paraId="37F5022B">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p>
        </w:tc>
        <w:tc>
          <w:tcPr>
            <w:tcW w:w="709" w:type="dxa"/>
            <w:noWrap w:val="0"/>
            <w:vAlign w:val="center"/>
          </w:tcPr>
          <w:p w14:paraId="0375AF51">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56FB9D3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w:t>
            </w:r>
          </w:p>
        </w:tc>
        <w:tc>
          <w:tcPr>
            <w:tcW w:w="1701" w:type="dxa"/>
            <w:noWrap w:val="0"/>
            <w:vAlign w:val="center"/>
          </w:tcPr>
          <w:p w14:paraId="4EF8106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100≤×＜2000</w:t>
            </w:r>
          </w:p>
        </w:tc>
        <w:tc>
          <w:tcPr>
            <w:tcW w:w="1426" w:type="dxa"/>
            <w:noWrap w:val="0"/>
            <w:vAlign w:val="center"/>
          </w:tcPr>
          <w:p w14:paraId="56D76F88">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10≤×＜100</w:t>
            </w:r>
          </w:p>
        </w:tc>
        <w:tc>
          <w:tcPr>
            <w:tcW w:w="992" w:type="dxa"/>
            <w:noWrap w:val="0"/>
            <w:vAlign w:val="center"/>
          </w:tcPr>
          <w:p w14:paraId="41949A5E">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w:t>
            </w:r>
          </w:p>
        </w:tc>
      </w:tr>
      <w:tr w14:paraId="7A7A3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21B1F570">
            <w:pPr>
              <w:widowControl/>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14:paraId="107745A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21DD429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3FDA3D60">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Y≥100000</w:t>
            </w:r>
          </w:p>
        </w:tc>
        <w:tc>
          <w:tcPr>
            <w:tcW w:w="1701" w:type="dxa"/>
            <w:noWrap w:val="0"/>
            <w:vAlign w:val="center"/>
          </w:tcPr>
          <w:p w14:paraId="7DAA0143">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1000≤Y＜100000</w:t>
            </w:r>
          </w:p>
        </w:tc>
        <w:tc>
          <w:tcPr>
            <w:tcW w:w="1426" w:type="dxa"/>
            <w:noWrap w:val="0"/>
            <w:vAlign w:val="center"/>
          </w:tcPr>
          <w:p w14:paraId="0E4BEAF8">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92" w:type="dxa"/>
            <w:noWrap w:val="0"/>
            <w:vAlign w:val="center"/>
          </w:tcPr>
          <w:p w14:paraId="0956F1F0">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6AF4B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4DC9163D">
            <w:pPr>
              <w:widowControl/>
              <w:spacing w:line="280" w:lineRule="exact"/>
              <w:jc w:val="left"/>
              <w:rPr>
                <w:rFonts w:hint="eastAsia" w:ascii="宋体" w:hAnsi="宋体" w:eastAsia="宋体" w:cs="宋体"/>
                <w:color w:val="auto"/>
                <w:spacing w:val="-12"/>
                <w:kern w:val="0"/>
                <w:sz w:val="18"/>
                <w:szCs w:val="18"/>
                <w:highlight w:val="none"/>
              </w:rPr>
            </w:pPr>
            <w:r>
              <w:rPr>
                <w:rFonts w:hint="eastAsia" w:ascii="宋体" w:hAnsi="宋体" w:eastAsia="宋体" w:cs="宋体"/>
                <w:color w:val="auto"/>
                <w:spacing w:val="-12"/>
                <w:kern w:val="0"/>
                <w:sz w:val="18"/>
                <w:szCs w:val="18"/>
                <w:highlight w:val="none"/>
              </w:rPr>
              <w:t>软件和信息技术服</w:t>
            </w:r>
            <w:r>
              <w:rPr>
                <w:rFonts w:hint="eastAsia" w:ascii="宋体" w:hAnsi="宋体" w:eastAsia="宋体" w:cs="宋体"/>
                <w:color w:val="auto"/>
                <w:kern w:val="0"/>
                <w:sz w:val="18"/>
                <w:szCs w:val="18"/>
                <w:highlight w:val="none"/>
              </w:rPr>
              <w:t>务业</w:t>
            </w:r>
          </w:p>
        </w:tc>
        <w:tc>
          <w:tcPr>
            <w:tcW w:w="1369" w:type="dxa"/>
            <w:noWrap w:val="0"/>
            <w:vAlign w:val="center"/>
          </w:tcPr>
          <w:p w14:paraId="644ACB4B">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p>
        </w:tc>
        <w:tc>
          <w:tcPr>
            <w:tcW w:w="709" w:type="dxa"/>
            <w:noWrap w:val="0"/>
            <w:vAlign w:val="center"/>
          </w:tcPr>
          <w:p w14:paraId="01B29F36">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45782ABE">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w:t>
            </w:r>
          </w:p>
        </w:tc>
        <w:tc>
          <w:tcPr>
            <w:tcW w:w="1701" w:type="dxa"/>
            <w:noWrap w:val="0"/>
            <w:vAlign w:val="center"/>
          </w:tcPr>
          <w:p w14:paraId="5AA5E525">
            <w:pPr>
              <w:widowControl/>
              <w:spacing w:line="280" w:lineRule="exact"/>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100≤×＜300 </w:t>
            </w:r>
          </w:p>
        </w:tc>
        <w:tc>
          <w:tcPr>
            <w:tcW w:w="1426" w:type="dxa"/>
            <w:noWrap w:val="0"/>
            <w:vAlign w:val="center"/>
          </w:tcPr>
          <w:p w14:paraId="670CDAA6">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10≤×＜100</w:t>
            </w:r>
          </w:p>
        </w:tc>
        <w:tc>
          <w:tcPr>
            <w:tcW w:w="992" w:type="dxa"/>
            <w:noWrap w:val="0"/>
            <w:vAlign w:val="center"/>
          </w:tcPr>
          <w:p w14:paraId="22D3FD71">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w:t>
            </w:r>
          </w:p>
        </w:tc>
      </w:tr>
      <w:tr w14:paraId="07350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2F2AE715">
            <w:pPr>
              <w:widowControl/>
              <w:spacing w:line="280" w:lineRule="exact"/>
              <w:jc w:val="left"/>
              <w:rPr>
                <w:rFonts w:hint="eastAsia" w:ascii="宋体" w:hAnsi="宋体" w:eastAsia="宋体" w:cs="宋体"/>
                <w:color w:val="auto"/>
                <w:spacing w:val="-12"/>
                <w:kern w:val="0"/>
                <w:sz w:val="18"/>
                <w:szCs w:val="18"/>
                <w:highlight w:val="none"/>
              </w:rPr>
            </w:pPr>
          </w:p>
        </w:tc>
        <w:tc>
          <w:tcPr>
            <w:tcW w:w="1369" w:type="dxa"/>
            <w:noWrap w:val="0"/>
            <w:vAlign w:val="center"/>
          </w:tcPr>
          <w:p w14:paraId="4964C216">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30BFC0CE">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203DB84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noWrap w:val="0"/>
            <w:vAlign w:val="center"/>
          </w:tcPr>
          <w:p w14:paraId="3A2C5E25">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w:t>
            </w:r>
          </w:p>
        </w:tc>
        <w:tc>
          <w:tcPr>
            <w:tcW w:w="1426" w:type="dxa"/>
            <w:noWrap w:val="0"/>
            <w:vAlign w:val="center"/>
          </w:tcPr>
          <w:p w14:paraId="124A450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50≤Y＜1000</w:t>
            </w:r>
          </w:p>
        </w:tc>
        <w:tc>
          <w:tcPr>
            <w:tcW w:w="992" w:type="dxa"/>
            <w:noWrap w:val="0"/>
            <w:vAlign w:val="center"/>
          </w:tcPr>
          <w:p w14:paraId="2EC7BD3B">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3C0D6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1B919AFE">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房地产开发经营</w:t>
            </w:r>
          </w:p>
        </w:tc>
        <w:tc>
          <w:tcPr>
            <w:tcW w:w="1369" w:type="dxa"/>
            <w:noWrap w:val="0"/>
            <w:vAlign w:val="center"/>
          </w:tcPr>
          <w:p w14:paraId="58ABD3A3">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77CE880C">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7AE6FBAE">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Y≥200000</w:t>
            </w:r>
          </w:p>
        </w:tc>
        <w:tc>
          <w:tcPr>
            <w:tcW w:w="1701" w:type="dxa"/>
            <w:noWrap w:val="0"/>
            <w:vAlign w:val="center"/>
          </w:tcPr>
          <w:p w14:paraId="2CED4874">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1000≤Y＜200000</w:t>
            </w:r>
          </w:p>
        </w:tc>
        <w:tc>
          <w:tcPr>
            <w:tcW w:w="1426" w:type="dxa"/>
            <w:noWrap w:val="0"/>
            <w:vAlign w:val="center"/>
          </w:tcPr>
          <w:p w14:paraId="7D6F127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92" w:type="dxa"/>
            <w:noWrap w:val="0"/>
            <w:vAlign w:val="center"/>
          </w:tcPr>
          <w:p w14:paraId="7300BE68">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53E21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1582BAE3">
            <w:pPr>
              <w:widowControl/>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14:paraId="6AA4F194">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709" w:type="dxa"/>
            <w:noWrap w:val="0"/>
            <w:vAlign w:val="center"/>
          </w:tcPr>
          <w:p w14:paraId="5A195CB6">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312F4F06">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Z≥10000</w:t>
            </w:r>
          </w:p>
        </w:tc>
        <w:tc>
          <w:tcPr>
            <w:tcW w:w="1701" w:type="dxa"/>
            <w:noWrap w:val="0"/>
            <w:vAlign w:val="center"/>
          </w:tcPr>
          <w:p w14:paraId="5BF1D4B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5000≤Z＜10000</w:t>
            </w:r>
          </w:p>
        </w:tc>
        <w:tc>
          <w:tcPr>
            <w:tcW w:w="1426" w:type="dxa"/>
            <w:noWrap w:val="0"/>
            <w:vAlign w:val="center"/>
          </w:tcPr>
          <w:p w14:paraId="185351A0">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2000≤Z＜5000</w:t>
            </w:r>
          </w:p>
        </w:tc>
        <w:tc>
          <w:tcPr>
            <w:tcW w:w="992" w:type="dxa"/>
            <w:noWrap w:val="0"/>
            <w:vAlign w:val="center"/>
          </w:tcPr>
          <w:p w14:paraId="65DAC012">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Z＜2000</w:t>
            </w:r>
          </w:p>
        </w:tc>
      </w:tr>
      <w:tr w14:paraId="28C93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7218CAFE">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物业管理</w:t>
            </w:r>
          </w:p>
        </w:tc>
        <w:tc>
          <w:tcPr>
            <w:tcW w:w="1369" w:type="dxa"/>
            <w:noWrap w:val="0"/>
            <w:vAlign w:val="center"/>
          </w:tcPr>
          <w:p w14:paraId="581838FE">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p>
        </w:tc>
        <w:tc>
          <w:tcPr>
            <w:tcW w:w="709" w:type="dxa"/>
            <w:noWrap w:val="0"/>
            <w:vAlign w:val="center"/>
          </w:tcPr>
          <w:p w14:paraId="314B5534">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34A3F8C2">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w:t>
            </w:r>
          </w:p>
        </w:tc>
        <w:tc>
          <w:tcPr>
            <w:tcW w:w="1701" w:type="dxa"/>
            <w:noWrap w:val="0"/>
            <w:vAlign w:val="center"/>
          </w:tcPr>
          <w:p w14:paraId="4FF93649">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300≤×＜1000</w:t>
            </w:r>
          </w:p>
        </w:tc>
        <w:tc>
          <w:tcPr>
            <w:tcW w:w="1426" w:type="dxa"/>
            <w:noWrap w:val="0"/>
            <w:vAlign w:val="center"/>
          </w:tcPr>
          <w:p w14:paraId="0D545530">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100≤×＜300</w:t>
            </w:r>
          </w:p>
        </w:tc>
        <w:tc>
          <w:tcPr>
            <w:tcW w:w="992" w:type="dxa"/>
            <w:noWrap w:val="0"/>
            <w:vAlign w:val="center"/>
          </w:tcPr>
          <w:p w14:paraId="12511905">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w:t>
            </w:r>
          </w:p>
        </w:tc>
      </w:tr>
      <w:tr w14:paraId="7353D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0EBDBF6D">
            <w:pPr>
              <w:widowControl/>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14:paraId="677E82A9">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3558FDCC">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512F08C8">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Y≥5000</w:t>
            </w:r>
          </w:p>
        </w:tc>
        <w:tc>
          <w:tcPr>
            <w:tcW w:w="1701" w:type="dxa"/>
            <w:noWrap w:val="0"/>
            <w:vAlign w:val="center"/>
          </w:tcPr>
          <w:p w14:paraId="74FD78DA">
            <w:pPr>
              <w:widowControl/>
              <w:spacing w:line="280" w:lineRule="exact"/>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1426" w:type="dxa"/>
            <w:noWrap w:val="0"/>
            <w:vAlign w:val="center"/>
          </w:tcPr>
          <w:p w14:paraId="17E3104B">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500≤Y＜1000</w:t>
            </w:r>
          </w:p>
        </w:tc>
        <w:tc>
          <w:tcPr>
            <w:tcW w:w="992" w:type="dxa"/>
            <w:noWrap w:val="0"/>
            <w:vAlign w:val="center"/>
          </w:tcPr>
          <w:p w14:paraId="46B2F21B">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w:t>
            </w:r>
          </w:p>
        </w:tc>
      </w:tr>
      <w:tr w14:paraId="6C35C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5F895EC6">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租赁和商务服务业</w:t>
            </w:r>
          </w:p>
        </w:tc>
        <w:tc>
          <w:tcPr>
            <w:tcW w:w="1369" w:type="dxa"/>
            <w:noWrap w:val="0"/>
            <w:vAlign w:val="center"/>
          </w:tcPr>
          <w:p w14:paraId="5770CD9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p>
        </w:tc>
        <w:tc>
          <w:tcPr>
            <w:tcW w:w="709" w:type="dxa"/>
            <w:noWrap w:val="0"/>
            <w:vAlign w:val="center"/>
          </w:tcPr>
          <w:p w14:paraId="214DBF68">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4717D27D">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w:t>
            </w:r>
          </w:p>
        </w:tc>
        <w:tc>
          <w:tcPr>
            <w:tcW w:w="1701" w:type="dxa"/>
            <w:noWrap w:val="0"/>
            <w:vAlign w:val="center"/>
          </w:tcPr>
          <w:p w14:paraId="2E2B2380">
            <w:pPr>
              <w:widowControl/>
              <w:spacing w:line="280" w:lineRule="exact"/>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100≤×＜300</w:t>
            </w:r>
          </w:p>
        </w:tc>
        <w:tc>
          <w:tcPr>
            <w:tcW w:w="1426" w:type="dxa"/>
            <w:noWrap w:val="0"/>
            <w:vAlign w:val="center"/>
          </w:tcPr>
          <w:p w14:paraId="58722A99">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10≤×＜100</w:t>
            </w:r>
          </w:p>
        </w:tc>
        <w:tc>
          <w:tcPr>
            <w:tcW w:w="992" w:type="dxa"/>
            <w:noWrap w:val="0"/>
            <w:vAlign w:val="center"/>
          </w:tcPr>
          <w:p w14:paraId="735A243F">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w:t>
            </w:r>
          </w:p>
        </w:tc>
      </w:tr>
      <w:tr w14:paraId="415E0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4F091E8F">
            <w:pPr>
              <w:widowControl/>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14:paraId="48B2DEA5">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709" w:type="dxa"/>
            <w:noWrap w:val="0"/>
            <w:vAlign w:val="center"/>
          </w:tcPr>
          <w:p w14:paraId="22A91CED">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403BC4EF">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Z≥120000</w:t>
            </w:r>
          </w:p>
        </w:tc>
        <w:tc>
          <w:tcPr>
            <w:tcW w:w="1701" w:type="dxa"/>
            <w:noWrap w:val="0"/>
            <w:vAlign w:val="center"/>
          </w:tcPr>
          <w:p w14:paraId="2073C0B1">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8000≤Z＜120000</w:t>
            </w:r>
          </w:p>
        </w:tc>
        <w:tc>
          <w:tcPr>
            <w:tcW w:w="1426" w:type="dxa"/>
            <w:noWrap w:val="0"/>
            <w:vAlign w:val="center"/>
          </w:tcPr>
          <w:p w14:paraId="0220DCB5">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100≤Z＜8000</w:t>
            </w:r>
          </w:p>
        </w:tc>
        <w:tc>
          <w:tcPr>
            <w:tcW w:w="992" w:type="dxa"/>
            <w:noWrap w:val="0"/>
            <w:vAlign w:val="center"/>
          </w:tcPr>
          <w:p w14:paraId="78527C7F">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Z＜100</w:t>
            </w:r>
          </w:p>
        </w:tc>
      </w:tr>
      <w:tr w14:paraId="4DD6D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43FD2239">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其他未列明行业 *</w:t>
            </w:r>
          </w:p>
        </w:tc>
        <w:tc>
          <w:tcPr>
            <w:tcW w:w="1369" w:type="dxa"/>
            <w:noWrap w:val="0"/>
            <w:vAlign w:val="center"/>
          </w:tcPr>
          <w:p w14:paraId="0E55C148">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p>
        </w:tc>
        <w:tc>
          <w:tcPr>
            <w:tcW w:w="709" w:type="dxa"/>
            <w:noWrap w:val="0"/>
            <w:vAlign w:val="center"/>
          </w:tcPr>
          <w:p w14:paraId="788E5990">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1AF23C48">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w:t>
            </w:r>
          </w:p>
        </w:tc>
        <w:tc>
          <w:tcPr>
            <w:tcW w:w="1701" w:type="dxa"/>
            <w:noWrap w:val="0"/>
            <w:vAlign w:val="center"/>
          </w:tcPr>
          <w:p w14:paraId="3C036ED9">
            <w:pPr>
              <w:widowControl/>
              <w:spacing w:line="280" w:lineRule="exact"/>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100≤×＜300</w:t>
            </w:r>
          </w:p>
        </w:tc>
        <w:tc>
          <w:tcPr>
            <w:tcW w:w="1426" w:type="dxa"/>
            <w:noWrap w:val="0"/>
            <w:vAlign w:val="center"/>
          </w:tcPr>
          <w:p w14:paraId="5661FEBF">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10≤×＜100</w:t>
            </w:r>
          </w:p>
        </w:tc>
        <w:tc>
          <w:tcPr>
            <w:tcW w:w="992" w:type="dxa"/>
            <w:noWrap w:val="0"/>
            <w:vAlign w:val="center"/>
          </w:tcPr>
          <w:p w14:paraId="6D352F86">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w:t>
            </w:r>
          </w:p>
        </w:tc>
      </w:tr>
    </w:tbl>
    <w:p w14:paraId="2D17B647">
      <w:pPr>
        <w:widowControl/>
        <w:spacing w:line="280" w:lineRule="exact"/>
        <w:rPr>
          <w:rFonts w:hint="eastAsia" w:ascii="宋体" w:hAnsi="宋体" w:eastAsia="宋体" w:cs="宋体"/>
          <w:color w:val="auto"/>
          <w:spacing w:val="8"/>
          <w:kern w:val="0"/>
          <w:sz w:val="24"/>
          <w:highlight w:val="none"/>
        </w:rPr>
      </w:pPr>
    </w:p>
    <w:p w14:paraId="30A06AF1">
      <w:pPr>
        <w:widowControl/>
        <w:spacing w:line="360" w:lineRule="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说明：</w:t>
      </w:r>
    </w:p>
    <w:p w14:paraId="3F83B8D9">
      <w:pPr>
        <w:pStyle w:val="35"/>
        <w:adjustRightInd w:val="0"/>
        <w:spacing w:line="360" w:lineRule="auto"/>
        <w:ind w:firstLine="452" w:firstLineChars="200"/>
        <w:contextualSpacing/>
        <w:rPr>
          <w:rFonts w:hint="eastAsia" w:ascii="宋体" w:hAnsi="宋体" w:eastAsia="宋体" w:cs="宋体"/>
          <w:color w:val="auto"/>
          <w:spacing w:val="8"/>
          <w:kern w:val="0"/>
          <w:highlight w:val="none"/>
        </w:rPr>
      </w:pPr>
      <w:r>
        <w:rPr>
          <w:rFonts w:hint="eastAsia" w:ascii="宋体" w:hAnsi="宋体" w:eastAsia="宋体" w:cs="宋体"/>
          <w:color w:val="auto"/>
          <w:spacing w:val="8"/>
          <w:kern w:val="0"/>
          <w:highlight w:val="none"/>
        </w:rPr>
        <w:t>1.大型、中型和小型企业须同时满足所列指标的下限，否则下划一档；微型企业只须满足所列指标中的一项即可。</w:t>
      </w:r>
    </w:p>
    <w:p w14:paraId="268F44F4">
      <w:pPr>
        <w:pStyle w:val="35"/>
        <w:adjustRightInd w:val="0"/>
        <w:spacing w:line="360" w:lineRule="auto"/>
        <w:ind w:firstLine="452" w:firstLineChars="200"/>
        <w:contextualSpacing/>
        <w:rPr>
          <w:rFonts w:hint="eastAsia" w:ascii="宋体" w:hAnsi="宋体" w:eastAsia="宋体" w:cs="宋体"/>
          <w:color w:val="auto"/>
          <w:spacing w:val="8"/>
          <w:kern w:val="0"/>
          <w:highlight w:val="none"/>
        </w:rPr>
      </w:pPr>
      <w:r>
        <w:rPr>
          <w:rFonts w:hint="eastAsia" w:ascii="宋体" w:hAnsi="宋体" w:eastAsia="宋体" w:cs="宋体"/>
          <w:color w:val="auto"/>
          <w:spacing w:val="8"/>
          <w:kern w:val="0"/>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610E26EC">
      <w:pPr>
        <w:pStyle w:val="35"/>
        <w:adjustRightInd w:val="0"/>
        <w:spacing w:line="360" w:lineRule="auto"/>
        <w:ind w:firstLine="452" w:firstLineChars="200"/>
        <w:contextualSpacing/>
        <w:rPr>
          <w:rFonts w:hint="eastAsia" w:ascii="宋体" w:hAnsi="宋体" w:eastAsia="宋体" w:cs="宋体"/>
          <w:b/>
          <w:color w:val="auto"/>
          <w:highlight w:val="none"/>
        </w:rPr>
      </w:pPr>
      <w:r>
        <w:rPr>
          <w:rFonts w:hint="eastAsia" w:ascii="宋体" w:hAnsi="宋体" w:eastAsia="宋体" w:cs="宋体"/>
          <w:color w:val="auto"/>
          <w:spacing w:val="8"/>
          <w:kern w:val="0"/>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r>
        <w:rPr>
          <w:rFonts w:hint="eastAsia" w:ascii="宋体" w:hAnsi="宋体" w:eastAsia="宋体" w:cs="宋体"/>
          <w:b/>
          <w:color w:val="auto"/>
          <w:highlight w:val="none"/>
        </w:rPr>
        <w:br w:type="page"/>
      </w:r>
    </w:p>
    <w:p w14:paraId="7147A66F">
      <w:pPr>
        <w:pStyle w:val="35"/>
        <w:adjustRightInd w:val="0"/>
        <w:spacing w:line="360" w:lineRule="auto"/>
        <w:contextualSpacing/>
        <w:rPr>
          <w:rFonts w:hint="eastAsia" w:ascii="宋体" w:hAnsi="宋体" w:eastAsia="宋体" w:cs="宋体"/>
          <w:b/>
          <w:snapToGrid w:val="0"/>
          <w:color w:val="auto"/>
          <w:kern w:val="0"/>
          <w:sz w:val="36"/>
          <w:szCs w:val="36"/>
          <w:highlight w:val="none"/>
          <w:lang w:val="en-US" w:eastAsia="zh-CN" w:bidi="ar-SA"/>
        </w:rPr>
      </w:pPr>
      <w:r>
        <w:rPr>
          <w:rFonts w:hint="eastAsia" w:ascii="宋体" w:hAnsi="宋体" w:eastAsia="宋体" w:cs="宋体"/>
          <w:b/>
          <w:snapToGrid w:val="0"/>
          <w:color w:val="auto"/>
          <w:kern w:val="0"/>
          <w:sz w:val="36"/>
          <w:szCs w:val="36"/>
          <w:highlight w:val="none"/>
          <w:lang w:val="en-US" w:eastAsia="zh-CN" w:bidi="ar-SA"/>
        </w:rPr>
        <w:t>九、残疾人福利性单位声明</w:t>
      </w:r>
    </w:p>
    <w:p w14:paraId="6375A4B8">
      <w:pPr>
        <w:widowControl/>
        <w:spacing w:before="100" w:beforeAutospacing="1" w:after="100" w:afterAutospacing="1" w:line="425" w:lineRule="atLeast"/>
        <w:jc w:val="center"/>
        <w:rPr>
          <w:rFonts w:hint="eastAsia" w:ascii="宋体" w:hAnsi="宋体" w:eastAsia="宋体" w:cs="宋体"/>
          <w:color w:val="auto"/>
          <w:kern w:val="0"/>
          <w:sz w:val="28"/>
          <w:szCs w:val="28"/>
          <w:highlight w:val="none"/>
          <w:lang w:eastAsia="zh-CN"/>
        </w:rPr>
      </w:pPr>
      <w:r>
        <w:rPr>
          <w:rFonts w:hint="eastAsia" w:ascii="宋体" w:hAnsi="宋体" w:eastAsia="宋体" w:cs="宋体"/>
          <w:b/>
          <w:bCs/>
          <w:color w:val="auto"/>
          <w:kern w:val="0"/>
          <w:sz w:val="28"/>
          <w:szCs w:val="28"/>
          <w:highlight w:val="none"/>
        </w:rPr>
        <w:t>残疾人福利性单位声明函</w:t>
      </w:r>
      <w:r>
        <w:rPr>
          <w:rFonts w:hint="eastAsia" w:ascii="宋体" w:hAnsi="宋体" w:eastAsia="宋体" w:cs="宋体"/>
          <w:b/>
          <w:bCs/>
          <w:color w:val="auto"/>
          <w:kern w:val="0"/>
          <w:sz w:val="28"/>
          <w:szCs w:val="28"/>
          <w:highlight w:val="none"/>
          <w:lang w:eastAsia="zh-CN"/>
        </w:rPr>
        <w:t>（</w:t>
      </w:r>
      <w:r>
        <w:rPr>
          <w:rFonts w:hint="eastAsia" w:ascii="宋体" w:hAnsi="宋体" w:eastAsia="宋体" w:cs="宋体"/>
          <w:b/>
          <w:bCs/>
          <w:color w:val="auto"/>
          <w:kern w:val="0"/>
          <w:sz w:val="28"/>
          <w:szCs w:val="28"/>
          <w:highlight w:val="none"/>
          <w:lang w:val="en-US" w:eastAsia="zh-CN"/>
        </w:rPr>
        <w:t>格式</w:t>
      </w:r>
      <w:r>
        <w:rPr>
          <w:rFonts w:hint="eastAsia" w:ascii="宋体" w:hAnsi="宋体" w:eastAsia="宋体" w:cs="宋体"/>
          <w:b/>
          <w:bCs/>
          <w:color w:val="auto"/>
          <w:kern w:val="0"/>
          <w:sz w:val="28"/>
          <w:szCs w:val="28"/>
          <w:highlight w:val="none"/>
          <w:lang w:eastAsia="zh-CN"/>
        </w:rPr>
        <w:t>）</w:t>
      </w:r>
    </w:p>
    <w:p w14:paraId="4EDEE0E9">
      <w:pPr>
        <w:widowControl/>
        <w:spacing w:before="100" w:beforeAutospacing="1" w:after="100" w:afterAutospacing="1"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单位的</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项目采购活动提供本单位制造的货物（由本单位承担工程/提供服务），或者提供其他残疾人福利性单位制造的货物（不包括使用非残疾人福利性单位注册商标的货物）。</w:t>
      </w:r>
    </w:p>
    <w:p w14:paraId="5B855724">
      <w:pPr>
        <w:widowControl/>
        <w:spacing w:before="100" w:beforeAutospacing="1" w:after="100" w:afterAutospacing="1"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本单位对上述声明的真实性负责。如有虚假，将依法承担相应责任。</w:t>
      </w:r>
    </w:p>
    <w:p w14:paraId="4C0955C8">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投标人名称（电子公章）：</w:t>
      </w:r>
    </w:p>
    <w:p w14:paraId="7BB301C4">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日  期：</w:t>
      </w:r>
    </w:p>
    <w:p w14:paraId="0308F556">
      <w:pPr>
        <w:rPr>
          <w:rFonts w:hint="eastAsia" w:ascii="宋体" w:hAnsi="宋体" w:eastAsia="宋体" w:cs="宋体"/>
          <w:b/>
          <w:snapToGrid w:val="0"/>
          <w:color w:val="auto"/>
          <w:kern w:val="0"/>
          <w:sz w:val="36"/>
          <w:szCs w:val="36"/>
          <w:highlight w:val="none"/>
          <w:lang w:val="en-US" w:eastAsia="zh-CN" w:bidi="ar-SA"/>
        </w:rPr>
      </w:pPr>
      <w:r>
        <w:rPr>
          <w:rFonts w:hint="eastAsia" w:ascii="宋体" w:hAnsi="宋体" w:eastAsia="宋体" w:cs="宋体"/>
          <w:color w:val="auto"/>
          <w:kern w:val="0"/>
          <w:szCs w:val="21"/>
          <w:highlight w:val="none"/>
        </w:rPr>
        <w:t>注：投标人如为残疾人福利性单位并提供本《残疾人福利性单位声明函》的，必须对声明的真实性负责。</w:t>
      </w:r>
    </w:p>
    <w:p w14:paraId="3F124EFE">
      <w:pPr>
        <w:rPr>
          <w:rFonts w:hint="eastAsia" w:ascii="宋体" w:hAnsi="宋体" w:eastAsia="宋体" w:cs="宋体"/>
          <w:b/>
          <w:snapToGrid w:val="0"/>
          <w:color w:val="auto"/>
          <w:kern w:val="0"/>
          <w:sz w:val="36"/>
          <w:szCs w:val="36"/>
          <w:highlight w:val="none"/>
          <w:lang w:val="en-US" w:eastAsia="zh-CN" w:bidi="ar-SA"/>
        </w:rPr>
      </w:pPr>
      <w:r>
        <w:rPr>
          <w:rFonts w:hint="eastAsia" w:ascii="宋体" w:hAnsi="宋体" w:eastAsia="宋体" w:cs="宋体"/>
          <w:b/>
          <w:snapToGrid w:val="0"/>
          <w:color w:val="auto"/>
          <w:kern w:val="0"/>
          <w:sz w:val="36"/>
          <w:szCs w:val="36"/>
          <w:highlight w:val="none"/>
          <w:lang w:val="en-US" w:eastAsia="zh-CN" w:bidi="ar-SA"/>
        </w:rPr>
        <w:br w:type="page"/>
      </w:r>
    </w:p>
    <w:p w14:paraId="3C8178AE">
      <w:pPr>
        <w:rPr>
          <w:rFonts w:hint="eastAsia" w:ascii="宋体" w:hAnsi="宋体" w:eastAsia="宋体" w:cs="宋体"/>
          <w:b/>
          <w:snapToGrid w:val="0"/>
          <w:color w:val="auto"/>
          <w:kern w:val="0"/>
          <w:sz w:val="36"/>
          <w:szCs w:val="36"/>
          <w:highlight w:val="none"/>
          <w:lang w:val="en-US" w:eastAsia="zh-CN" w:bidi="ar-SA"/>
        </w:rPr>
      </w:pPr>
    </w:p>
    <w:p w14:paraId="020DD286">
      <w:pPr>
        <w:spacing w:line="360" w:lineRule="auto"/>
        <w:ind w:right="420" w:firstLine="2891" w:firstLineChars="800"/>
        <w:jc w:val="both"/>
        <w:outlineLvl w:val="9"/>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商务技术文件部分</w:t>
      </w:r>
    </w:p>
    <w:p w14:paraId="199BBB49">
      <w:pPr>
        <w:jc w:val="center"/>
        <w:outlineLvl w:val="1"/>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6"/>
          <w:szCs w:val="36"/>
          <w:highlight w:val="none"/>
          <w:lang w:val="en-US" w:eastAsia="zh-CN"/>
        </w:rPr>
        <w:t>技术部分</w:t>
      </w:r>
    </w:p>
    <w:p w14:paraId="211D6E30">
      <w:pPr>
        <w:jc w:val="center"/>
        <w:rPr>
          <w:rFonts w:hint="eastAsia" w:ascii="宋体" w:hAnsi="宋体" w:eastAsia="宋体" w:cs="宋体"/>
          <w:b/>
          <w:color w:val="auto"/>
          <w:kern w:val="0"/>
          <w:sz w:val="32"/>
          <w:szCs w:val="32"/>
          <w:highlight w:val="none"/>
        </w:rPr>
      </w:pPr>
    </w:p>
    <w:p w14:paraId="48C629E4">
      <w:pPr>
        <w:numPr>
          <w:ilvl w:val="0"/>
          <w:numId w:val="1"/>
        </w:num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对本项目系统总体要求的理解………………………………（页码）</w:t>
      </w:r>
    </w:p>
    <w:p w14:paraId="5E4F70FB">
      <w:pPr>
        <w:numPr>
          <w:ilvl w:val="0"/>
          <w:numId w:val="1"/>
        </w:num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技术响应表……………………………………………………（页码）</w:t>
      </w:r>
    </w:p>
    <w:p w14:paraId="71A05F72">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设备配套配置清单</w:t>
      </w:r>
      <w:r>
        <w:rPr>
          <w:rFonts w:hint="eastAsia" w:ascii="宋体" w:hAnsi="宋体" w:eastAsia="宋体" w:cs="宋体"/>
          <w:color w:val="auto"/>
          <w:sz w:val="24"/>
          <w:highlight w:val="none"/>
        </w:rPr>
        <w:t>…………………………………………………（页码）</w:t>
      </w:r>
    </w:p>
    <w:p w14:paraId="2146071C">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）售后服务承诺书………………………………………………（页码）</w:t>
      </w:r>
    </w:p>
    <w:p w14:paraId="3E012387">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优惠条款</w:t>
      </w:r>
      <w:r>
        <w:rPr>
          <w:rFonts w:hint="eastAsia" w:ascii="宋体" w:hAnsi="宋体" w:eastAsia="宋体" w:cs="宋体"/>
          <w:color w:val="auto"/>
          <w:sz w:val="24"/>
          <w:highlight w:val="none"/>
        </w:rPr>
        <w:t>………………………………………………………（页码）</w:t>
      </w:r>
    </w:p>
    <w:p w14:paraId="413D431F">
      <w:pPr>
        <w:widowControl/>
        <w:adjustRightInd/>
        <w:jc w:val="left"/>
        <w:rPr>
          <w:rFonts w:hint="eastAsia" w:ascii="宋体" w:hAnsi="宋体" w:eastAsia="宋体" w:cs="宋体"/>
          <w:b/>
          <w:color w:val="auto"/>
          <w:kern w:val="0"/>
          <w:sz w:val="32"/>
          <w:szCs w:val="32"/>
          <w:highlight w:val="none"/>
        </w:rPr>
      </w:pPr>
    </w:p>
    <w:p w14:paraId="02E6C1E1">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0FF637B3">
      <w:pPr>
        <w:snapToGrid w:val="0"/>
        <w:spacing w:line="360" w:lineRule="exact"/>
        <w:jc w:val="left"/>
        <w:rPr>
          <w:rFonts w:hint="eastAsia" w:ascii="宋体" w:hAnsi="宋体" w:eastAsia="宋体" w:cs="宋体"/>
          <w:b w:val="0"/>
          <w:bCs/>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一、对本项目系统总体要求的理解</w:t>
      </w:r>
    </w:p>
    <w:p w14:paraId="48CCAF4F">
      <w:pPr>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br w:type="page"/>
      </w:r>
    </w:p>
    <w:p w14:paraId="50579B45">
      <w:pPr>
        <w:snapToGrid w:val="0"/>
        <w:spacing w:line="3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二、技术响应表</w:t>
      </w:r>
    </w:p>
    <w:p w14:paraId="3C2DFC6C">
      <w:pPr>
        <w:snapToGrid w:val="0"/>
        <w:spacing w:line="360" w:lineRule="exact"/>
        <w:ind w:firstLine="643" w:firstLineChars="20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技术响应表</w:t>
      </w:r>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lang w:val="en-US" w:eastAsia="zh-CN"/>
        </w:rPr>
        <w:t>格式</w:t>
      </w:r>
      <w:r>
        <w:rPr>
          <w:rFonts w:hint="eastAsia" w:ascii="宋体" w:hAnsi="宋体" w:eastAsia="宋体" w:cs="宋体"/>
          <w:b/>
          <w:color w:val="auto"/>
          <w:sz w:val="32"/>
          <w:szCs w:val="32"/>
          <w:highlight w:val="none"/>
          <w:lang w:eastAsia="zh-CN"/>
        </w:rPr>
        <w:t>）</w:t>
      </w:r>
    </w:p>
    <w:p w14:paraId="79A90C06">
      <w:pPr>
        <w:snapToGrid w:val="0"/>
        <w:spacing w:before="50" w:after="120" w:afterLines="50" w:line="3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分标号：</w:t>
      </w:r>
      <w:r>
        <w:rPr>
          <w:rFonts w:hint="eastAsia" w:ascii="宋体" w:hAnsi="宋体" w:eastAsia="宋体" w:cs="宋体"/>
          <w:color w:val="auto"/>
          <w:szCs w:val="21"/>
          <w:highlight w:val="none"/>
          <w:u w:val="single"/>
        </w:rPr>
        <w:t xml:space="preserve">              </w:t>
      </w:r>
    </w:p>
    <w:tbl>
      <w:tblPr>
        <w:tblStyle w:val="6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3"/>
        <w:gridCol w:w="1834"/>
        <w:gridCol w:w="2181"/>
        <w:gridCol w:w="1934"/>
      </w:tblGrid>
      <w:tr w14:paraId="020D2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noWrap w:val="0"/>
            <w:vAlign w:val="center"/>
          </w:tcPr>
          <w:p w14:paraId="6C7F6EB5">
            <w:pPr>
              <w:pStyle w:val="35"/>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项号</w:t>
            </w:r>
          </w:p>
        </w:tc>
        <w:tc>
          <w:tcPr>
            <w:tcW w:w="2143" w:type="dxa"/>
            <w:noWrap w:val="0"/>
            <w:vAlign w:val="center"/>
          </w:tcPr>
          <w:p w14:paraId="54320FA8">
            <w:pPr>
              <w:pStyle w:val="35"/>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标的名称</w:t>
            </w:r>
          </w:p>
        </w:tc>
        <w:tc>
          <w:tcPr>
            <w:tcW w:w="1834" w:type="dxa"/>
            <w:noWrap w:val="0"/>
            <w:vAlign w:val="center"/>
          </w:tcPr>
          <w:p w14:paraId="0A677C59">
            <w:pPr>
              <w:pStyle w:val="35"/>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招标要求</w:t>
            </w:r>
          </w:p>
        </w:tc>
        <w:tc>
          <w:tcPr>
            <w:tcW w:w="2181" w:type="dxa"/>
            <w:noWrap w:val="0"/>
            <w:vAlign w:val="center"/>
          </w:tcPr>
          <w:p w14:paraId="187AC1E6">
            <w:pPr>
              <w:pStyle w:val="35"/>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投标响应</w:t>
            </w:r>
          </w:p>
        </w:tc>
        <w:tc>
          <w:tcPr>
            <w:tcW w:w="1934" w:type="dxa"/>
            <w:noWrap w:val="0"/>
            <w:vAlign w:val="center"/>
          </w:tcPr>
          <w:p w14:paraId="681DE4B1">
            <w:pPr>
              <w:pStyle w:val="35"/>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偏离说明</w:t>
            </w:r>
          </w:p>
        </w:tc>
      </w:tr>
      <w:tr w14:paraId="76052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2AC60DD5">
            <w:pPr>
              <w:pStyle w:val="35"/>
              <w:spacing w:line="600" w:lineRule="exact"/>
              <w:jc w:val="center"/>
              <w:rPr>
                <w:rFonts w:hint="eastAsia" w:ascii="宋体" w:hAnsi="宋体" w:eastAsia="宋体" w:cs="宋体"/>
                <w:color w:val="auto"/>
                <w:sz w:val="24"/>
                <w:szCs w:val="24"/>
                <w:highlight w:val="none"/>
              </w:rPr>
            </w:pPr>
          </w:p>
        </w:tc>
        <w:tc>
          <w:tcPr>
            <w:tcW w:w="2143" w:type="dxa"/>
            <w:noWrap w:val="0"/>
            <w:vAlign w:val="center"/>
          </w:tcPr>
          <w:p w14:paraId="3C5DB5AC">
            <w:pPr>
              <w:pStyle w:val="35"/>
              <w:spacing w:line="600" w:lineRule="exact"/>
              <w:jc w:val="center"/>
              <w:rPr>
                <w:rFonts w:hint="eastAsia" w:ascii="宋体" w:hAnsi="宋体" w:eastAsia="宋体" w:cs="宋体"/>
                <w:color w:val="auto"/>
                <w:sz w:val="24"/>
                <w:szCs w:val="24"/>
                <w:highlight w:val="none"/>
              </w:rPr>
            </w:pPr>
          </w:p>
        </w:tc>
        <w:tc>
          <w:tcPr>
            <w:tcW w:w="1834" w:type="dxa"/>
            <w:noWrap w:val="0"/>
            <w:vAlign w:val="center"/>
          </w:tcPr>
          <w:p w14:paraId="019B2F9D">
            <w:pPr>
              <w:pStyle w:val="35"/>
              <w:spacing w:line="600" w:lineRule="exact"/>
              <w:jc w:val="center"/>
              <w:rPr>
                <w:rFonts w:hint="eastAsia" w:ascii="宋体" w:hAnsi="宋体" w:eastAsia="宋体" w:cs="宋体"/>
                <w:color w:val="auto"/>
                <w:sz w:val="24"/>
                <w:szCs w:val="24"/>
                <w:highlight w:val="none"/>
              </w:rPr>
            </w:pPr>
          </w:p>
        </w:tc>
        <w:tc>
          <w:tcPr>
            <w:tcW w:w="2181" w:type="dxa"/>
            <w:noWrap w:val="0"/>
            <w:vAlign w:val="center"/>
          </w:tcPr>
          <w:p w14:paraId="37B64FD4">
            <w:pPr>
              <w:pStyle w:val="35"/>
              <w:spacing w:line="600" w:lineRule="exact"/>
              <w:jc w:val="center"/>
              <w:rPr>
                <w:rFonts w:hint="eastAsia" w:ascii="宋体" w:hAnsi="宋体" w:eastAsia="宋体" w:cs="宋体"/>
                <w:color w:val="auto"/>
                <w:sz w:val="24"/>
                <w:szCs w:val="24"/>
                <w:highlight w:val="none"/>
              </w:rPr>
            </w:pPr>
          </w:p>
        </w:tc>
        <w:tc>
          <w:tcPr>
            <w:tcW w:w="1934" w:type="dxa"/>
            <w:noWrap w:val="0"/>
            <w:vAlign w:val="center"/>
          </w:tcPr>
          <w:p w14:paraId="1E792825">
            <w:pPr>
              <w:pStyle w:val="35"/>
              <w:spacing w:line="600" w:lineRule="exact"/>
              <w:jc w:val="center"/>
              <w:rPr>
                <w:rFonts w:hint="eastAsia" w:ascii="宋体" w:hAnsi="宋体" w:eastAsia="宋体" w:cs="宋体"/>
                <w:color w:val="auto"/>
                <w:sz w:val="24"/>
                <w:szCs w:val="24"/>
                <w:highlight w:val="none"/>
              </w:rPr>
            </w:pPr>
          </w:p>
        </w:tc>
      </w:tr>
      <w:tr w14:paraId="32FBA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4544DE7E">
            <w:pPr>
              <w:pStyle w:val="35"/>
              <w:spacing w:line="600" w:lineRule="exact"/>
              <w:rPr>
                <w:rFonts w:hint="eastAsia" w:ascii="宋体" w:hAnsi="宋体" w:eastAsia="宋体" w:cs="宋体"/>
                <w:color w:val="auto"/>
                <w:sz w:val="24"/>
                <w:szCs w:val="24"/>
                <w:highlight w:val="none"/>
              </w:rPr>
            </w:pPr>
          </w:p>
        </w:tc>
        <w:tc>
          <w:tcPr>
            <w:tcW w:w="2143" w:type="dxa"/>
            <w:noWrap w:val="0"/>
            <w:vAlign w:val="top"/>
          </w:tcPr>
          <w:p w14:paraId="4EBE7785">
            <w:pPr>
              <w:pStyle w:val="35"/>
              <w:spacing w:line="600" w:lineRule="exact"/>
              <w:rPr>
                <w:rFonts w:hint="eastAsia" w:ascii="宋体" w:hAnsi="宋体" w:eastAsia="宋体" w:cs="宋体"/>
                <w:color w:val="auto"/>
                <w:sz w:val="24"/>
                <w:szCs w:val="24"/>
                <w:highlight w:val="none"/>
              </w:rPr>
            </w:pPr>
          </w:p>
        </w:tc>
        <w:tc>
          <w:tcPr>
            <w:tcW w:w="1834" w:type="dxa"/>
            <w:noWrap w:val="0"/>
            <w:vAlign w:val="top"/>
          </w:tcPr>
          <w:p w14:paraId="648CD55A">
            <w:pPr>
              <w:pStyle w:val="35"/>
              <w:spacing w:line="600" w:lineRule="exact"/>
              <w:rPr>
                <w:rFonts w:hint="eastAsia" w:ascii="宋体" w:hAnsi="宋体" w:eastAsia="宋体" w:cs="宋体"/>
                <w:color w:val="auto"/>
                <w:sz w:val="24"/>
                <w:szCs w:val="24"/>
                <w:highlight w:val="none"/>
              </w:rPr>
            </w:pPr>
          </w:p>
        </w:tc>
        <w:tc>
          <w:tcPr>
            <w:tcW w:w="2181" w:type="dxa"/>
            <w:noWrap w:val="0"/>
            <w:vAlign w:val="top"/>
          </w:tcPr>
          <w:p w14:paraId="542F1F80">
            <w:pPr>
              <w:pStyle w:val="35"/>
              <w:spacing w:line="600" w:lineRule="exact"/>
              <w:rPr>
                <w:rFonts w:hint="eastAsia" w:ascii="宋体" w:hAnsi="宋体" w:eastAsia="宋体" w:cs="宋体"/>
                <w:color w:val="auto"/>
                <w:sz w:val="24"/>
                <w:szCs w:val="24"/>
                <w:highlight w:val="none"/>
              </w:rPr>
            </w:pPr>
          </w:p>
        </w:tc>
        <w:tc>
          <w:tcPr>
            <w:tcW w:w="1934" w:type="dxa"/>
            <w:noWrap w:val="0"/>
            <w:vAlign w:val="top"/>
          </w:tcPr>
          <w:p w14:paraId="6E809215">
            <w:pPr>
              <w:pStyle w:val="35"/>
              <w:spacing w:line="600" w:lineRule="exact"/>
              <w:rPr>
                <w:rFonts w:hint="eastAsia" w:ascii="宋体" w:hAnsi="宋体" w:eastAsia="宋体" w:cs="宋体"/>
                <w:color w:val="auto"/>
                <w:sz w:val="24"/>
                <w:szCs w:val="24"/>
                <w:highlight w:val="none"/>
              </w:rPr>
            </w:pPr>
          </w:p>
        </w:tc>
      </w:tr>
      <w:tr w14:paraId="6B417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23A15E1A">
            <w:pPr>
              <w:pStyle w:val="35"/>
              <w:spacing w:line="600" w:lineRule="exact"/>
              <w:rPr>
                <w:rFonts w:hint="eastAsia" w:ascii="宋体" w:hAnsi="宋体" w:eastAsia="宋体" w:cs="宋体"/>
                <w:color w:val="auto"/>
                <w:sz w:val="24"/>
                <w:szCs w:val="24"/>
                <w:highlight w:val="none"/>
              </w:rPr>
            </w:pPr>
          </w:p>
        </w:tc>
        <w:tc>
          <w:tcPr>
            <w:tcW w:w="2143" w:type="dxa"/>
            <w:noWrap w:val="0"/>
            <w:vAlign w:val="top"/>
          </w:tcPr>
          <w:p w14:paraId="6DB4E218">
            <w:pPr>
              <w:pStyle w:val="35"/>
              <w:spacing w:line="600" w:lineRule="exact"/>
              <w:rPr>
                <w:rFonts w:hint="eastAsia" w:ascii="宋体" w:hAnsi="宋体" w:eastAsia="宋体" w:cs="宋体"/>
                <w:color w:val="auto"/>
                <w:sz w:val="24"/>
                <w:szCs w:val="24"/>
                <w:highlight w:val="none"/>
              </w:rPr>
            </w:pPr>
          </w:p>
        </w:tc>
        <w:tc>
          <w:tcPr>
            <w:tcW w:w="1834" w:type="dxa"/>
            <w:noWrap w:val="0"/>
            <w:vAlign w:val="top"/>
          </w:tcPr>
          <w:p w14:paraId="5B828AFA">
            <w:pPr>
              <w:pStyle w:val="35"/>
              <w:spacing w:line="600" w:lineRule="exact"/>
              <w:rPr>
                <w:rFonts w:hint="eastAsia" w:ascii="宋体" w:hAnsi="宋体" w:eastAsia="宋体" w:cs="宋体"/>
                <w:color w:val="auto"/>
                <w:sz w:val="24"/>
                <w:szCs w:val="24"/>
                <w:highlight w:val="none"/>
              </w:rPr>
            </w:pPr>
          </w:p>
        </w:tc>
        <w:tc>
          <w:tcPr>
            <w:tcW w:w="2181" w:type="dxa"/>
            <w:noWrap w:val="0"/>
            <w:vAlign w:val="top"/>
          </w:tcPr>
          <w:p w14:paraId="15E59F05">
            <w:pPr>
              <w:pStyle w:val="35"/>
              <w:spacing w:line="600" w:lineRule="exact"/>
              <w:rPr>
                <w:rFonts w:hint="eastAsia" w:ascii="宋体" w:hAnsi="宋体" w:eastAsia="宋体" w:cs="宋体"/>
                <w:color w:val="auto"/>
                <w:sz w:val="24"/>
                <w:szCs w:val="24"/>
                <w:highlight w:val="none"/>
              </w:rPr>
            </w:pPr>
          </w:p>
        </w:tc>
        <w:tc>
          <w:tcPr>
            <w:tcW w:w="1934" w:type="dxa"/>
            <w:noWrap w:val="0"/>
            <w:vAlign w:val="top"/>
          </w:tcPr>
          <w:p w14:paraId="58550E4F">
            <w:pPr>
              <w:pStyle w:val="35"/>
              <w:spacing w:line="600" w:lineRule="exact"/>
              <w:rPr>
                <w:rFonts w:hint="eastAsia" w:ascii="宋体" w:hAnsi="宋体" w:eastAsia="宋体" w:cs="宋体"/>
                <w:color w:val="auto"/>
                <w:sz w:val="24"/>
                <w:szCs w:val="24"/>
                <w:highlight w:val="none"/>
              </w:rPr>
            </w:pPr>
          </w:p>
        </w:tc>
      </w:tr>
      <w:tr w14:paraId="52C12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6FBBE89E">
            <w:pPr>
              <w:pStyle w:val="35"/>
              <w:spacing w:line="600" w:lineRule="exact"/>
              <w:rPr>
                <w:rFonts w:hint="eastAsia" w:ascii="宋体" w:hAnsi="宋体" w:eastAsia="宋体" w:cs="宋体"/>
                <w:color w:val="auto"/>
                <w:sz w:val="24"/>
                <w:szCs w:val="24"/>
                <w:highlight w:val="none"/>
              </w:rPr>
            </w:pPr>
          </w:p>
        </w:tc>
        <w:tc>
          <w:tcPr>
            <w:tcW w:w="2143" w:type="dxa"/>
            <w:noWrap w:val="0"/>
            <w:vAlign w:val="top"/>
          </w:tcPr>
          <w:p w14:paraId="66C9614A">
            <w:pPr>
              <w:pStyle w:val="35"/>
              <w:spacing w:line="600" w:lineRule="exact"/>
              <w:rPr>
                <w:rFonts w:hint="eastAsia" w:ascii="宋体" w:hAnsi="宋体" w:eastAsia="宋体" w:cs="宋体"/>
                <w:color w:val="auto"/>
                <w:sz w:val="24"/>
                <w:szCs w:val="24"/>
                <w:highlight w:val="none"/>
              </w:rPr>
            </w:pPr>
          </w:p>
        </w:tc>
        <w:tc>
          <w:tcPr>
            <w:tcW w:w="1834" w:type="dxa"/>
            <w:noWrap w:val="0"/>
            <w:vAlign w:val="top"/>
          </w:tcPr>
          <w:p w14:paraId="75BEAA25">
            <w:pPr>
              <w:pStyle w:val="35"/>
              <w:spacing w:line="600" w:lineRule="exact"/>
              <w:rPr>
                <w:rFonts w:hint="eastAsia" w:ascii="宋体" w:hAnsi="宋体" w:eastAsia="宋体" w:cs="宋体"/>
                <w:color w:val="auto"/>
                <w:sz w:val="24"/>
                <w:szCs w:val="24"/>
                <w:highlight w:val="none"/>
              </w:rPr>
            </w:pPr>
          </w:p>
        </w:tc>
        <w:tc>
          <w:tcPr>
            <w:tcW w:w="2181" w:type="dxa"/>
            <w:noWrap w:val="0"/>
            <w:vAlign w:val="top"/>
          </w:tcPr>
          <w:p w14:paraId="53367767">
            <w:pPr>
              <w:pStyle w:val="35"/>
              <w:spacing w:line="600" w:lineRule="exact"/>
              <w:rPr>
                <w:rFonts w:hint="eastAsia" w:ascii="宋体" w:hAnsi="宋体" w:eastAsia="宋体" w:cs="宋体"/>
                <w:color w:val="auto"/>
                <w:sz w:val="24"/>
                <w:szCs w:val="24"/>
                <w:highlight w:val="none"/>
              </w:rPr>
            </w:pPr>
          </w:p>
        </w:tc>
        <w:tc>
          <w:tcPr>
            <w:tcW w:w="1934" w:type="dxa"/>
            <w:noWrap w:val="0"/>
            <w:vAlign w:val="top"/>
          </w:tcPr>
          <w:p w14:paraId="378963D1">
            <w:pPr>
              <w:pStyle w:val="35"/>
              <w:spacing w:line="600" w:lineRule="exact"/>
              <w:rPr>
                <w:rFonts w:hint="eastAsia" w:ascii="宋体" w:hAnsi="宋体" w:eastAsia="宋体" w:cs="宋体"/>
                <w:color w:val="auto"/>
                <w:sz w:val="24"/>
                <w:szCs w:val="24"/>
                <w:highlight w:val="none"/>
              </w:rPr>
            </w:pPr>
          </w:p>
        </w:tc>
      </w:tr>
      <w:tr w14:paraId="4EDF5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3E2A416C">
            <w:pPr>
              <w:pStyle w:val="35"/>
              <w:spacing w:line="600" w:lineRule="exact"/>
              <w:rPr>
                <w:rFonts w:hint="eastAsia" w:ascii="宋体" w:hAnsi="宋体" w:eastAsia="宋体" w:cs="宋体"/>
                <w:color w:val="auto"/>
                <w:sz w:val="24"/>
                <w:szCs w:val="24"/>
                <w:highlight w:val="none"/>
              </w:rPr>
            </w:pPr>
          </w:p>
        </w:tc>
        <w:tc>
          <w:tcPr>
            <w:tcW w:w="2143" w:type="dxa"/>
            <w:noWrap w:val="0"/>
            <w:vAlign w:val="top"/>
          </w:tcPr>
          <w:p w14:paraId="6BD82345">
            <w:pPr>
              <w:pStyle w:val="35"/>
              <w:spacing w:line="600" w:lineRule="exact"/>
              <w:rPr>
                <w:rFonts w:hint="eastAsia" w:ascii="宋体" w:hAnsi="宋体" w:eastAsia="宋体" w:cs="宋体"/>
                <w:color w:val="auto"/>
                <w:sz w:val="24"/>
                <w:szCs w:val="24"/>
                <w:highlight w:val="none"/>
              </w:rPr>
            </w:pPr>
          </w:p>
        </w:tc>
        <w:tc>
          <w:tcPr>
            <w:tcW w:w="1834" w:type="dxa"/>
            <w:noWrap w:val="0"/>
            <w:vAlign w:val="top"/>
          </w:tcPr>
          <w:p w14:paraId="55699F0D">
            <w:pPr>
              <w:pStyle w:val="35"/>
              <w:spacing w:line="600" w:lineRule="exact"/>
              <w:rPr>
                <w:rFonts w:hint="eastAsia" w:ascii="宋体" w:hAnsi="宋体" w:eastAsia="宋体" w:cs="宋体"/>
                <w:color w:val="auto"/>
                <w:sz w:val="24"/>
                <w:szCs w:val="24"/>
                <w:highlight w:val="none"/>
              </w:rPr>
            </w:pPr>
          </w:p>
        </w:tc>
        <w:tc>
          <w:tcPr>
            <w:tcW w:w="2181" w:type="dxa"/>
            <w:noWrap w:val="0"/>
            <w:vAlign w:val="top"/>
          </w:tcPr>
          <w:p w14:paraId="54DE4AAF">
            <w:pPr>
              <w:pStyle w:val="35"/>
              <w:spacing w:line="600" w:lineRule="exact"/>
              <w:rPr>
                <w:rFonts w:hint="eastAsia" w:ascii="宋体" w:hAnsi="宋体" w:eastAsia="宋体" w:cs="宋体"/>
                <w:color w:val="auto"/>
                <w:sz w:val="24"/>
                <w:szCs w:val="24"/>
                <w:highlight w:val="none"/>
              </w:rPr>
            </w:pPr>
          </w:p>
        </w:tc>
        <w:tc>
          <w:tcPr>
            <w:tcW w:w="1934" w:type="dxa"/>
            <w:noWrap w:val="0"/>
            <w:vAlign w:val="top"/>
          </w:tcPr>
          <w:p w14:paraId="2A633CD9">
            <w:pPr>
              <w:pStyle w:val="35"/>
              <w:spacing w:line="600" w:lineRule="exact"/>
              <w:rPr>
                <w:rFonts w:hint="eastAsia" w:ascii="宋体" w:hAnsi="宋体" w:eastAsia="宋体" w:cs="宋体"/>
                <w:color w:val="auto"/>
                <w:sz w:val="24"/>
                <w:szCs w:val="24"/>
                <w:highlight w:val="none"/>
              </w:rPr>
            </w:pPr>
          </w:p>
        </w:tc>
      </w:tr>
      <w:tr w14:paraId="5A4BD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707E8D73">
            <w:pPr>
              <w:pStyle w:val="35"/>
              <w:spacing w:line="600" w:lineRule="exact"/>
              <w:rPr>
                <w:rFonts w:hint="eastAsia" w:ascii="宋体" w:hAnsi="宋体" w:eastAsia="宋体" w:cs="宋体"/>
                <w:color w:val="auto"/>
                <w:sz w:val="24"/>
                <w:szCs w:val="24"/>
                <w:highlight w:val="none"/>
              </w:rPr>
            </w:pPr>
          </w:p>
        </w:tc>
        <w:tc>
          <w:tcPr>
            <w:tcW w:w="2143" w:type="dxa"/>
            <w:noWrap w:val="0"/>
            <w:vAlign w:val="top"/>
          </w:tcPr>
          <w:p w14:paraId="1608F39D">
            <w:pPr>
              <w:pStyle w:val="35"/>
              <w:spacing w:line="600" w:lineRule="exact"/>
              <w:rPr>
                <w:rFonts w:hint="eastAsia" w:ascii="宋体" w:hAnsi="宋体" w:eastAsia="宋体" w:cs="宋体"/>
                <w:color w:val="auto"/>
                <w:sz w:val="24"/>
                <w:szCs w:val="24"/>
                <w:highlight w:val="none"/>
              </w:rPr>
            </w:pPr>
          </w:p>
        </w:tc>
        <w:tc>
          <w:tcPr>
            <w:tcW w:w="1834" w:type="dxa"/>
            <w:noWrap w:val="0"/>
            <w:vAlign w:val="top"/>
          </w:tcPr>
          <w:p w14:paraId="0F9BB35B">
            <w:pPr>
              <w:pStyle w:val="35"/>
              <w:spacing w:line="600" w:lineRule="exact"/>
              <w:rPr>
                <w:rFonts w:hint="eastAsia" w:ascii="宋体" w:hAnsi="宋体" w:eastAsia="宋体" w:cs="宋体"/>
                <w:color w:val="auto"/>
                <w:sz w:val="24"/>
                <w:szCs w:val="24"/>
                <w:highlight w:val="none"/>
              </w:rPr>
            </w:pPr>
          </w:p>
        </w:tc>
        <w:tc>
          <w:tcPr>
            <w:tcW w:w="2181" w:type="dxa"/>
            <w:noWrap w:val="0"/>
            <w:vAlign w:val="top"/>
          </w:tcPr>
          <w:p w14:paraId="3FD6A9EF">
            <w:pPr>
              <w:pStyle w:val="35"/>
              <w:spacing w:line="600" w:lineRule="exact"/>
              <w:rPr>
                <w:rFonts w:hint="eastAsia" w:ascii="宋体" w:hAnsi="宋体" w:eastAsia="宋体" w:cs="宋体"/>
                <w:color w:val="auto"/>
                <w:sz w:val="24"/>
                <w:szCs w:val="24"/>
                <w:highlight w:val="none"/>
              </w:rPr>
            </w:pPr>
          </w:p>
        </w:tc>
        <w:tc>
          <w:tcPr>
            <w:tcW w:w="1934" w:type="dxa"/>
            <w:noWrap w:val="0"/>
            <w:vAlign w:val="top"/>
          </w:tcPr>
          <w:p w14:paraId="2765828D">
            <w:pPr>
              <w:pStyle w:val="35"/>
              <w:spacing w:line="600" w:lineRule="exact"/>
              <w:rPr>
                <w:rFonts w:hint="eastAsia" w:ascii="宋体" w:hAnsi="宋体" w:eastAsia="宋体" w:cs="宋体"/>
                <w:color w:val="auto"/>
                <w:sz w:val="24"/>
                <w:szCs w:val="24"/>
                <w:highlight w:val="none"/>
              </w:rPr>
            </w:pPr>
          </w:p>
        </w:tc>
      </w:tr>
      <w:tr w14:paraId="26BE9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5B2C84EE">
            <w:pPr>
              <w:pStyle w:val="35"/>
              <w:spacing w:line="600" w:lineRule="exact"/>
              <w:rPr>
                <w:rFonts w:hint="eastAsia" w:ascii="宋体" w:hAnsi="宋体" w:eastAsia="宋体" w:cs="宋体"/>
                <w:color w:val="auto"/>
                <w:sz w:val="24"/>
                <w:szCs w:val="24"/>
                <w:highlight w:val="none"/>
              </w:rPr>
            </w:pPr>
          </w:p>
        </w:tc>
        <w:tc>
          <w:tcPr>
            <w:tcW w:w="2143" w:type="dxa"/>
            <w:noWrap w:val="0"/>
            <w:vAlign w:val="top"/>
          </w:tcPr>
          <w:p w14:paraId="1D34B362">
            <w:pPr>
              <w:pStyle w:val="35"/>
              <w:spacing w:line="600" w:lineRule="exact"/>
              <w:rPr>
                <w:rFonts w:hint="eastAsia" w:ascii="宋体" w:hAnsi="宋体" w:eastAsia="宋体" w:cs="宋体"/>
                <w:color w:val="auto"/>
                <w:sz w:val="24"/>
                <w:szCs w:val="24"/>
                <w:highlight w:val="none"/>
              </w:rPr>
            </w:pPr>
          </w:p>
        </w:tc>
        <w:tc>
          <w:tcPr>
            <w:tcW w:w="1834" w:type="dxa"/>
            <w:noWrap w:val="0"/>
            <w:vAlign w:val="top"/>
          </w:tcPr>
          <w:p w14:paraId="796CF3C7">
            <w:pPr>
              <w:pStyle w:val="35"/>
              <w:spacing w:line="600" w:lineRule="exact"/>
              <w:rPr>
                <w:rFonts w:hint="eastAsia" w:ascii="宋体" w:hAnsi="宋体" w:eastAsia="宋体" w:cs="宋体"/>
                <w:color w:val="auto"/>
                <w:sz w:val="24"/>
                <w:szCs w:val="24"/>
                <w:highlight w:val="none"/>
              </w:rPr>
            </w:pPr>
          </w:p>
        </w:tc>
        <w:tc>
          <w:tcPr>
            <w:tcW w:w="2181" w:type="dxa"/>
            <w:noWrap w:val="0"/>
            <w:vAlign w:val="top"/>
          </w:tcPr>
          <w:p w14:paraId="747C38DC">
            <w:pPr>
              <w:pStyle w:val="35"/>
              <w:spacing w:line="600" w:lineRule="exact"/>
              <w:rPr>
                <w:rFonts w:hint="eastAsia" w:ascii="宋体" w:hAnsi="宋体" w:eastAsia="宋体" w:cs="宋体"/>
                <w:color w:val="auto"/>
                <w:sz w:val="24"/>
                <w:szCs w:val="24"/>
                <w:highlight w:val="none"/>
              </w:rPr>
            </w:pPr>
          </w:p>
        </w:tc>
        <w:tc>
          <w:tcPr>
            <w:tcW w:w="1934" w:type="dxa"/>
            <w:noWrap w:val="0"/>
            <w:vAlign w:val="top"/>
          </w:tcPr>
          <w:p w14:paraId="43A05212">
            <w:pPr>
              <w:pStyle w:val="35"/>
              <w:spacing w:line="600" w:lineRule="exact"/>
              <w:rPr>
                <w:rFonts w:hint="eastAsia" w:ascii="宋体" w:hAnsi="宋体" w:eastAsia="宋体" w:cs="宋体"/>
                <w:color w:val="auto"/>
                <w:sz w:val="24"/>
                <w:szCs w:val="24"/>
                <w:highlight w:val="none"/>
              </w:rPr>
            </w:pPr>
          </w:p>
        </w:tc>
      </w:tr>
      <w:tr w14:paraId="05397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7BF2A121">
            <w:pPr>
              <w:pStyle w:val="35"/>
              <w:spacing w:line="600" w:lineRule="exact"/>
              <w:rPr>
                <w:rFonts w:hint="eastAsia" w:ascii="宋体" w:hAnsi="宋体" w:eastAsia="宋体" w:cs="宋体"/>
                <w:color w:val="auto"/>
                <w:sz w:val="24"/>
                <w:szCs w:val="24"/>
                <w:highlight w:val="none"/>
              </w:rPr>
            </w:pPr>
          </w:p>
        </w:tc>
        <w:tc>
          <w:tcPr>
            <w:tcW w:w="2143" w:type="dxa"/>
            <w:noWrap w:val="0"/>
            <w:vAlign w:val="top"/>
          </w:tcPr>
          <w:p w14:paraId="37278AA1">
            <w:pPr>
              <w:pStyle w:val="35"/>
              <w:spacing w:line="600" w:lineRule="exact"/>
              <w:rPr>
                <w:rFonts w:hint="eastAsia" w:ascii="宋体" w:hAnsi="宋体" w:eastAsia="宋体" w:cs="宋体"/>
                <w:color w:val="auto"/>
                <w:sz w:val="24"/>
                <w:szCs w:val="24"/>
                <w:highlight w:val="none"/>
              </w:rPr>
            </w:pPr>
          </w:p>
        </w:tc>
        <w:tc>
          <w:tcPr>
            <w:tcW w:w="1834" w:type="dxa"/>
            <w:noWrap w:val="0"/>
            <w:vAlign w:val="top"/>
          </w:tcPr>
          <w:p w14:paraId="4DE6136F">
            <w:pPr>
              <w:pStyle w:val="35"/>
              <w:spacing w:line="600" w:lineRule="exact"/>
              <w:rPr>
                <w:rFonts w:hint="eastAsia" w:ascii="宋体" w:hAnsi="宋体" w:eastAsia="宋体" w:cs="宋体"/>
                <w:color w:val="auto"/>
                <w:sz w:val="24"/>
                <w:szCs w:val="24"/>
                <w:highlight w:val="none"/>
              </w:rPr>
            </w:pPr>
          </w:p>
        </w:tc>
        <w:tc>
          <w:tcPr>
            <w:tcW w:w="2181" w:type="dxa"/>
            <w:noWrap w:val="0"/>
            <w:vAlign w:val="top"/>
          </w:tcPr>
          <w:p w14:paraId="69874569">
            <w:pPr>
              <w:pStyle w:val="35"/>
              <w:spacing w:line="600" w:lineRule="exact"/>
              <w:rPr>
                <w:rFonts w:hint="eastAsia" w:ascii="宋体" w:hAnsi="宋体" w:eastAsia="宋体" w:cs="宋体"/>
                <w:color w:val="auto"/>
                <w:sz w:val="24"/>
                <w:szCs w:val="24"/>
                <w:highlight w:val="none"/>
              </w:rPr>
            </w:pPr>
          </w:p>
        </w:tc>
        <w:tc>
          <w:tcPr>
            <w:tcW w:w="1934" w:type="dxa"/>
            <w:noWrap w:val="0"/>
            <w:vAlign w:val="top"/>
          </w:tcPr>
          <w:p w14:paraId="282A1359">
            <w:pPr>
              <w:pStyle w:val="35"/>
              <w:spacing w:line="600" w:lineRule="exact"/>
              <w:rPr>
                <w:rFonts w:hint="eastAsia" w:ascii="宋体" w:hAnsi="宋体" w:eastAsia="宋体" w:cs="宋体"/>
                <w:color w:val="auto"/>
                <w:sz w:val="24"/>
                <w:szCs w:val="24"/>
                <w:highlight w:val="none"/>
              </w:rPr>
            </w:pPr>
          </w:p>
        </w:tc>
      </w:tr>
      <w:tr w14:paraId="76DD5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256D3E78">
            <w:pPr>
              <w:pStyle w:val="35"/>
              <w:spacing w:line="600" w:lineRule="exact"/>
              <w:rPr>
                <w:rFonts w:hint="eastAsia" w:ascii="宋体" w:hAnsi="宋体" w:eastAsia="宋体" w:cs="宋体"/>
                <w:color w:val="auto"/>
                <w:sz w:val="24"/>
                <w:szCs w:val="24"/>
                <w:highlight w:val="none"/>
              </w:rPr>
            </w:pPr>
          </w:p>
        </w:tc>
        <w:tc>
          <w:tcPr>
            <w:tcW w:w="2143" w:type="dxa"/>
            <w:noWrap w:val="0"/>
            <w:vAlign w:val="top"/>
          </w:tcPr>
          <w:p w14:paraId="7DEE473B">
            <w:pPr>
              <w:pStyle w:val="35"/>
              <w:spacing w:line="600" w:lineRule="exact"/>
              <w:rPr>
                <w:rFonts w:hint="eastAsia" w:ascii="宋体" w:hAnsi="宋体" w:eastAsia="宋体" w:cs="宋体"/>
                <w:color w:val="auto"/>
                <w:sz w:val="24"/>
                <w:szCs w:val="24"/>
                <w:highlight w:val="none"/>
              </w:rPr>
            </w:pPr>
          </w:p>
        </w:tc>
        <w:tc>
          <w:tcPr>
            <w:tcW w:w="1834" w:type="dxa"/>
            <w:noWrap w:val="0"/>
            <w:vAlign w:val="top"/>
          </w:tcPr>
          <w:p w14:paraId="17CF3643">
            <w:pPr>
              <w:pStyle w:val="35"/>
              <w:spacing w:line="600" w:lineRule="exact"/>
              <w:rPr>
                <w:rFonts w:hint="eastAsia" w:ascii="宋体" w:hAnsi="宋体" w:eastAsia="宋体" w:cs="宋体"/>
                <w:color w:val="auto"/>
                <w:sz w:val="24"/>
                <w:szCs w:val="24"/>
                <w:highlight w:val="none"/>
              </w:rPr>
            </w:pPr>
          </w:p>
        </w:tc>
        <w:tc>
          <w:tcPr>
            <w:tcW w:w="2181" w:type="dxa"/>
            <w:noWrap w:val="0"/>
            <w:vAlign w:val="top"/>
          </w:tcPr>
          <w:p w14:paraId="23109C49">
            <w:pPr>
              <w:pStyle w:val="35"/>
              <w:spacing w:line="600" w:lineRule="exact"/>
              <w:rPr>
                <w:rFonts w:hint="eastAsia" w:ascii="宋体" w:hAnsi="宋体" w:eastAsia="宋体" w:cs="宋体"/>
                <w:color w:val="auto"/>
                <w:sz w:val="24"/>
                <w:szCs w:val="24"/>
                <w:highlight w:val="none"/>
              </w:rPr>
            </w:pPr>
          </w:p>
        </w:tc>
        <w:tc>
          <w:tcPr>
            <w:tcW w:w="1934" w:type="dxa"/>
            <w:noWrap w:val="0"/>
            <w:vAlign w:val="top"/>
          </w:tcPr>
          <w:p w14:paraId="5F9739DF">
            <w:pPr>
              <w:pStyle w:val="35"/>
              <w:spacing w:line="600" w:lineRule="exact"/>
              <w:rPr>
                <w:rFonts w:hint="eastAsia" w:ascii="宋体" w:hAnsi="宋体" w:eastAsia="宋体" w:cs="宋体"/>
                <w:color w:val="auto"/>
                <w:sz w:val="24"/>
                <w:szCs w:val="24"/>
                <w:highlight w:val="none"/>
              </w:rPr>
            </w:pPr>
          </w:p>
        </w:tc>
      </w:tr>
      <w:tr w14:paraId="4769D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34" w:type="dxa"/>
          <w:trHeight w:val="409" w:hRule="atLeast"/>
          <w:jc w:val="center"/>
        </w:trPr>
        <w:tc>
          <w:tcPr>
            <w:tcW w:w="852" w:type="dxa"/>
            <w:noWrap w:val="0"/>
            <w:vAlign w:val="top"/>
          </w:tcPr>
          <w:p w14:paraId="7F8B46D0">
            <w:pPr>
              <w:pStyle w:val="35"/>
              <w:spacing w:line="600" w:lineRule="exact"/>
              <w:rPr>
                <w:rFonts w:hint="eastAsia" w:ascii="宋体" w:hAnsi="宋体" w:eastAsia="宋体" w:cs="宋体"/>
                <w:color w:val="auto"/>
                <w:sz w:val="24"/>
                <w:szCs w:val="24"/>
                <w:highlight w:val="none"/>
              </w:rPr>
            </w:pPr>
          </w:p>
        </w:tc>
        <w:tc>
          <w:tcPr>
            <w:tcW w:w="2143" w:type="dxa"/>
            <w:noWrap w:val="0"/>
            <w:vAlign w:val="top"/>
          </w:tcPr>
          <w:p w14:paraId="6DE7F136">
            <w:pPr>
              <w:pStyle w:val="35"/>
              <w:spacing w:line="600" w:lineRule="exact"/>
              <w:rPr>
                <w:rFonts w:hint="eastAsia" w:ascii="宋体" w:hAnsi="宋体" w:eastAsia="宋体" w:cs="宋体"/>
                <w:color w:val="auto"/>
                <w:sz w:val="24"/>
                <w:szCs w:val="24"/>
                <w:highlight w:val="none"/>
              </w:rPr>
            </w:pPr>
          </w:p>
        </w:tc>
        <w:tc>
          <w:tcPr>
            <w:tcW w:w="1834" w:type="dxa"/>
            <w:noWrap w:val="0"/>
            <w:vAlign w:val="top"/>
          </w:tcPr>
          <w:p w14:paraId="555B5499">
            <w:pPr>
              <w:pStyle w:val="35"/>
              <w:spacing w:line="600" w:lineRule="exact"/>
              <w:rPr>
                <w:rFonts w:hint="eastAsia" w:ascii="宋体" w:hAnsi="宋体" w:eastAsia="宋体" w:cs="宋体"/>
                <w:color w:val="auto"/>
                <w:sz w:val="24"/>
                <w:szCs w:val="24"/>
                <w:highlight w:val="none"/>
              </w:rPr>
            </w:pPr>
          </w:p>
        </w:tc>
        <w:tc>
          <w:tcPr>
            <w:tcW w:w="2181" w:type="dxa"/>
            <w:noWrap w:val="0"/>
            <w:vAlign w:val="top"/>
          </w:tcPr>
          <w:p w14:paraId="1B87737C">
            <w:pPr>
              <w:pStyle w:val="35"/>
              <w:spacing w:line="600" w:lineRule="exact"/>
              <w:rPr>
                <w:rFonts w:hint="eastAsia" w:ascii="宋体" w:hAnsi="宋体" w:eastAsia="宋体" w:cs="宋体"/>
                <w:color w:val="auto"/>
                <w:sz w:val="24"/>
                <w:szCs w:val="24"/>
                <w:highlight w:val="none"/>
              </w:rPr>
            </w:pPr>
          </w:p>
        </w:tc>
      </w:tr>
    </w:tbl>
    <w:p w14:paraId="7D8AD58C">
      <w:pPr>
        <w:pStyle w:val="26"/>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注：投标人应根据第三</w:t>
      </w:r>
      <w:r>
        <w:rPr>
          <w:rFonts w:hint="eastAsia" w:ascii="宋体" w:hAnsi="宋体" w:eastAsia="宋体" w:cs="宋体"/>
          <w:color w:val="auto"/>
          <w:sz w:val="21"/>
          <w:szCs w:val="21"/>
          <w:highlight w:val="none"/>
          <w:lang w:val="en-US" w:eastAsia="zh-CN"/>
        </w:rPr>
        <w:t>部分</w:t>
      </w:r>
      <w:r>
        <w:rPr>
          <w:rFonts w:hint="eastAsia" w:ascii="宋体" w:hAnsi="宋体" w:eastAsia="宋体" w:cs="宋体"/>
          <w:color w:val="auto"/>
          <w:sz w:val="21"/>
          <w:szCs w:val="21"/>
          <w:highlight w:val="none"/>
        </w:rPr>
        <w:t>招标项目采购需求的技术要求，逐条响应，投标设备的性能指标、对照招标文件要求在“偏离情况”栏注明“正偏离”、“负偏离”或“无偏离”。投标技术规格与招标要求相同的为无偏离，投标技术规格高于招标要求的为正偏离，低于招标要求的为负偏离。投标技术指标或者规格有“正偏离”或者“负偏离”的，请在偏离的指标处加划下横线标注。漏项或者空白，视为不实质性响应招标文件。</w:t>
      </w:r>
    </w:p>
    <w:p w14:paraId="5F191282">
      <w:pPr>
        <w:snapToGrid w:val="0"/>
        <w:spacing w:before="50" w:after="50" w:line="360" w:lineRule="exact"/>
        <w:rPr>
          <w:rFonts w:hint="eastAsia" w:ascii="宋体" w:hAnsi="宋体" w:eastAsia="宋体" w:cs="宋体"/>
          <w:color w:val="auto"/>
          <w:spacing w:val="20"/>
          <w:szCs w:val="21"/>
          <w:highlight w:val="none"/>
        </w:rPr>
      </w:pPr>
    </w:p>
    <w:p w14:paraId="6DD3E206">
      <w:pPr>
        <w:snapToGrid w:val="0"/>
        <w:spacing w:before="50" w:after="50" w:line="360" w:lineRule="exact"/>
        <w:rPr>
          <w:rFonts w:hint="eastAsia" w:ascii="宋体" w:hAnsi="宋体" w:eastAsia="宋体" w:cs="宋体"/>
          <w:color w:val="auto"/>
          <w:spacing w:val="20"/>
          <w:szCs w:val="21"/>
          <w:highlight w:val="none"/>
          <w:u w:val="single"/>
        </w:rPr>
      </w:pPr>
      <w:r>
        <w:rPr>
          <w:rFonts w:hint="eastAsia" w:ascii="宋体" w:hAnsi="宋体" w:eastAsia="宋体" w:cs="宋体"/>
          <w:color w:val="auto"/>
          <w:spacing w:val="20"/>
          <w:szCs w:val="21"/>
          <w:highlight w:val="none"/>
        </w:rPr>
        <w:t>法定代表人（负责人）或委托代理人（签字或电子签名）：</w:t>
      </w:r>
      <w:r>
        <w:rPr>
          <w:rFonts w:hint="eastAsia" w:ascii="宋体" w:hAnsi="宋体" w:eastAsia="宋体" w:cs="宋体"/>
          <w:color w:val="auto"/>
          <w:spacing w:val="20"/>
          <w:szCs w:val="21"/>
          <w:highlight w:val="none"/>
          <w:u w:val="single"/>
        </w:rPr>
        <w:t xml:space="preserve">        </w:t>
      </w:r>
    </w:p>
    <w:p w14:paraId="295882BC">
      <w:pPr>
        <w:snapToGrid w:val="0"/>
        <w:spacing w:before="50" w:after="50" w:line="360" w:lineRule="exact"/>
        <w:rPr>
          <w:rFonts w:hint="eastAsia" w:ascii="宋体" w:hAnsi="宋体" w:eastAsia="宋体" w:cs="宋体"/>
          <w:color w:val="auto"/>
          <w:spacing w:val="20"/>
          <w:szCs w:val="21"/>
          <w:highlight w:val="none"/>
        </w:rPr>
      </w:pPr>
      <w:r>
        <w:rPr>
          <w:rFonts w:hint="eastAsia" w:ascii="宋体" w:hAnsi="宋体" w:eastAsia="宋体" w:cs="宋体"/>
          <w:color w:val="auto"/>
          <w:spacing w:val="20"/>
          <w:szCs w:val="21"/>
          <w:highlight w:val="none"/>
        </w:rPr>
        <w:t>投标人名称（电子公章）：</w:t>
      </w:r>
      <w:r>
        <w:rPr>
          <w:rFonts w:hint="eastAsia" w:ascii="宋体" w:hAnsi="宋体" w:eastAsia="宋体" w:cs="宋体"/>
          <w:color w:val="auto"/>
          <w:spacing w:val="20"/>
          <w:szCs w:val="21"/>
          <w:highlight w:val="none"/>
          <w:u w:val="single"/>
        </w:rPr>
        <w:t xml:space="preserve">            </w:t>
      </w:r>
      <w:r>
        <w:rPr>
          <w:rFonts w:hint="eastAsia" w:ascii="宋体" w:hAnsi="宋体" w:eastAsia="宋体" w:cs="宋体"/>
          <w:color w:val="auto"/>
          <w:spacing w:val="20"/>
          <w:szCs w:val="21"/>
          <w:highlight w:val="none"/>
        </w:rPr>
        <w:t xml:space="preserve">              </w:t>
      </w:r>
    </w:p>
    <w:p w14:paraId="05A1A3E5">
      <w:pPr>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spacing w:val="20"/>
          <w:szCs w:val="21"/>
          <w:highlight w:val="none"/>
        </w:rPr>
        <w:t>日 期：</w:t>
      </w:r>
      <w:r>
        <w:rPr>
          <w:rFonts w:hint="eastAsia" w:ascii="宋体" w:hAnsi="宋体" w:eastAsia="宋体" w:cs="宋体"/>
          <w:color w:val="auto"/>
          <w:spacing w:val="20"/>
          <w:szCs w:val="21"/>
          <w:highlight w:val="none"/>
          <w:u w:val="single"/>
        </w:rPr>
        <w:t xml:space="preserve">            </w:t>
      </w:r>
    </w:p>
    <w:p w14:paraId="55F14BD7">
      <w:pPr>
        <w:ind w:firstLine="1911" w:firstLineChars="595"/>
        <w:rPr>
          <w:rFonts w:hint="eastAsia" w:ascii="宋体" w:hAnsi="宋体" w:eastAsia="宋体" w:cs="宋体"/>
          <w:b/>
          <w:bCs/>
          <w:color w:val="auto"/>
          <w:sz w:val="32"/>
          <w:szCs w:val="32"/>
          <w:highlight w:val="none"/>
        </w:rPr>
      </w:pPr>
    </w:p>
    <w:p w14:paraId="46AD3F6F">
      <w:pPr>
        <w:ind w:firstLine="1911" w:firstLineChars="595"/>
        <w:rPr>
          <w:rFonts w:hint="eastAsia" w:ascii="宋体" w:hAnsi="宋体" w:eastAsia="宋体" w:cs="宋体"/>
          <w:b/>
          <w:bCs/>
          <w:color w:val="auto"/>
          <w:sz w:val="32"/>
          <w:szCs w:val="32"/>
          <w:highlight w:val="none"/>
        </w:rPr>
      </w:pPr>
    </w:p>
    <w:p w14:paraId="7C67C072">
      <w:pPr>
        <w:ind w:firstLine="1911" w:firstLineChars="595"/>
        <w:rPr>
          <w:rFonts w:hint="eastAsia" w:ascii="宋体" w:hAnsi="宋体" w:eastAsia="宋体" w:cs="宋体"/>
          <w:b/>
          <w:bCs/>
          <w:color w:val="auto"/>
          <w:sz w:val="32"/>
          <w:szCs w:val="32"/>
          <w:highlight w:val="none"/>
        </w:rPr>
      </w:pPr>
    </w:p>
    <w:p w14:paraId="4B900B09">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0376FFAD">
      <w:pPr>
        <w:tabs>
          <w:tab w:val="left" w:pos="1418"/>
        </w:tabs>
        <w:snapToGrid w:val="0"/>
        <w:spacing w:line="360" w:lineRule="exact"/>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三、</w:t>
      </w:r>
      <w:r>
        <w:rPr>
          <w:rFonts w:hint="eastAsia" w:ascii="宋体" w:hAnsi="宋体" w:cs="宋体"/>
          <w:b/>
          <w:bCs/>
          <w:color w:val="auto"/>
          <w:sz w:val="32"/>
          <w:szCs w:val="32"/>
          <w:highlight w:val="none"/>
          <w:lang w:val="en-US" w:eastAsia="zh-CN"/>
        </w:rPr>
        <w:t>设备配套配置清单</w:t>
      </w:r>
    </w:p>
    <w:p w14:paraId="1370BB52">
      <w:pPr>
        <w:tabs>
          <w:tab w:val="left" w:pos="1418"/>
        </w:tabs>
        <w:snapToGrid w:val="0"/>
        <w:spacing w:line="360" w:lineRule="exact"/>
        <w:jc w:val="center"/>
        <w:rPr>
          <w:rFonts w:hint="eastAsia" w:ascii="宋体" w:hAnsi="宋体" w:eastAsia="宋体" w:cs="宋体"/>
          <w:b/>
          <w:color w:val="auto"/>
          <w:sz w:val="32"/>
          <w:szCs w:val="32"/>
          <w:highlight w:val="none"/>
        </w:rPr>
      </w:pPr>
    </w:p>
    <w:p w14:paraId="55401C19">
      <w:pPr>
        <w:tabs>
          <w:tab w:val="left" w:pos="1418"/>
        </w:tabs>
        <w:snapToGrid w:val="0"/>
        <w:spacing w:line="360" w:lineRule="exact"/>
        <w:jc w:val="center"/>
        <w:rPr>
          <w:rFonts w:hint="eastAsia" w:ascii="宋体" w:hAnsi="宋体" w:eastAsia="宋体" w:cs="宋体"/>
          <w:color w:val="auto"/>
          <w:sz w:val="32"/>
          <w:szCs w:val="32"/>
          <w:highlight w:val="none"/>
        </w:rPr>
      </w:pPr>
      <w:r>
        <w:rPr>
          <w:rFonts w:hint="eastAsia" w:ascii="宋体" w:hAnsi="宋体" w:cs="宋体"/>
          <w:b/>
          <w:color w:val="auto"/>
          <w:sz w:val="32"/>
          <w:szCs w:val="32"/>
          <w:highlight w:val="none"/>
          <w:lang w:eastAsia="zh-CN"/>
        </w:rPr>
        <w:t>设备配套配置清单</w:t>
      </w:r>
      <w:r>
        <w:rPr>
          <w:rFonts w:hint="eastAsia" w:ascii="宋体" w:hAnsi="宋体" w:eastAsia="宋体" w:cs="宋体"/>
          <w:color w:val="auto"/>
          <w:sz w:val="32"/>
          <w:szCs w:val="32"/>
          <w:highlight w:val="none"/>
        </w:rPr>
        <w:t>（均不含报价）</w:t>
      </w:r>
      <w:r>
        <w:rPr>
          <w:rFonts w:hint="eastAsia" w:ascii="宋体" w:hAnsi="宋体" w:eastAsia="宋体" w:cs="宋体"/>
          <w:color w:val="auto"/>
          <w:sz w:val="32"/>
          <w:szCs w:val="32"/>
          <w:highlight w:val="none"/>
          <w:lang w:eastAsia="zh-CN"/>
        </w:rPr>
        <w:t>（</w:t>
      </w:r>
      <w:r>
        <w:rPr>
          <w:rFonts w:hint="eastAsia" w:ascii="宋体" w:hAnsi="宋体" w:eastAsia="宋体" w:cs="宋体"/>
          <w:color w:val="auto"/>
          <w:sz w:val="32"/>
          <w:szCs w:val="32"/>
          <w:highlight w:val="none"/>
          <w:lang w:val="en-US" w:eastAsia="zh-CN"/>
        </w:rPr>
        <w:t>格式</w:t>
      </w:r>
      <w:r>
        <w:rPr>
          <w:rFonts w:hint="eastAsia" w:ascii="宋体" w:hAnsi="宋体" w:eastAsia="宋体" w:cs="宋体"/>
          <w:color w:val="auto"/>
          <w:sz w:val="32"/>
          <w:szCs w:val="32"/>
          <w:highlight w:val="none"/>
          <w:lang w:eastAsia="zh-CN"/>
        </w:rPr>
        <w:t>）</w:t>
      </w:r>
    </w:p>
    <w:p w14:paraId="1E71634F">
      <w:pPr>
        <w:tabs>
          <w:tab w:val="left" w:pos="1418"/>
        </w:tabs>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分标号：</w:t>
      </w:r>
      <w:r>
        <w:rPr>
          <w:rFonts w:hint="eastAsia" w:ascii="宋体" w:hAnsi="宋体" w:eastAsia="宋体" w:cs="宋体"/>
          <w:color w:val="auto"/>
          <w:szCs w:val="21"/>
          <w:highlight w:val="none"/>
          <w:u w:val="single"/>
        </w:rPr>
        <w:t xml:space="preserve">              </w:t>
      </w:r>
    </w:p>
    <w:tbl>
      <w:tblPr>
        <w:tblStyle w:val="6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9"/>
        <w:gridCol w:w="1413"/>
        <w:gridCol w:w="824"/>
        <w:gridCol w:w="1467"/>
        <w:gridCol w:w="1586"/>
        <w:gridCol w:w="1770"/>
        <w:gridCol w:w="1346"/>
      </w:tblGrid>
      <w:tr w14:paraId="2908AC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14:paraId="4E992B31">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413" w:type="dxa"/>
            <w:tcBorders>
              <w:top w:val="single" w:color="auto" w:sz="4" w:space="0"/>
              <w:left w:val="single" w:color="auto" w:sz="4" w:space="0"/>
              <w:bottom w:val="single" w:color="auto" w:sz="4" w:space="0"/>
              <w:right w:val="single" w:color="auto" w:sz="4" w:space="0"/>
            </w:tcBorders>
            <w:noWrap w:val="0"/>
            <w:vAlign w:val="center"/>
          </w:tcPr>
          <w:p w14:paraId="22C5EBE3">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设备名称</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5A2B3C61">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品牌</w:t>
            </w:r>
          </w:p>
        </w:tc>
        <w:tc>
          <w:tcPr>
            <w:tcW w:w="1467" w:type="dxa"/>
            <w:tcBorders>
              <w:top w:val="single" w:color="auto" w:sz="4" w:space="0"/>
              <w:left w:val="single" w:color="auto" w:sz="4" w:space="0"/>
              <w:bottom w:val="single" w:color="auto" w:sz="4" w:space="0"/>
              <w:right w:val="single" w:color="auto" w:sz="4" w:space="0"/>
            </w:tcBorders>
            <w:noWrap w:val="0"/>
            <w:vAlign w:val="center"/>
          </w:tcPr>
          <w:p w14:paraId="5933153C">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规格型号</w:t>
            </w:r>
          </w:p>
        </w:tc>
        <w:tc>
          <w:tcPr>
            <w:tcW w:w="1586" w:type="dxa"/>
            <w:tcBorders>
              <w:top w:val="single" w:color="auto" w:sz="4" w:space="0"/>
              <w:left w:val="single" w:color="auto" w:sz="4" w:space="0"/>
              <w:bottom w:val="single" w:color="auto" w:sz="4" w:space="0"/>
              <w:right w:val="single" w:color="auto" w:sz="4" w:space="0"/>
            </w:tcBorders>
            <w:noWrap w:val="0"/>
            <w:vAlign w:val="center"/>
          </w:tcPr>
          <w:p w14:paraId="467EBC85">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单位及数量</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194AB17F">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性能及指标</w:t>
            </w:r>
          </w:p>
        </w:tc>
        <w:tc>
          <w:tcPr>
            <w:tcW w:w="1346" w:type="dxa"/>
            <w:tcBorders>
              <w:top w:val="single" w:color="auto" w:sz="4" w:space="0"/>
              <w:left w:val="single" w:color="auto" w:sz="4" w:space="0"/>
              <w:bottom w:val="single" w:color="auto" w:sz="4" w:space="0"/>
              <w:right w:val="single" w:color="auto" w:sz="4" w:space="0"/>
            </w:tcBorders>
            <w:noWrap w:val="0"/>
            <w:vAlign w:val="center"/>
          </w:tcPr>
          <w:p w14:paraId="0F0CD043">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产地</w:t>
            </w:r>
          </w:p>
        </w:tc>
      </w:tr>
      <w:tr w14:paraId="493557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14:paraId="2E81138D">
            <w:pPr>
              <w:snapToGrid w:val="0"/>
              <w:spacing w:before="50" w:after="50" w:line="360" w:lineRule="exact"/>
              <w:jc w:val="center"/>
              <w:rPr>
                <w:rFonts w:hint="eastAsia" w:ascii="宋体" w:hAnsi="宋体" w:eastAsia="宋体" w:cs="宋体"/>
                <w:color w:val="auto"/>
                <w:szCs w:val="21"/>
                <w:highlight w:val="none"/>
              </w:rPr>
            </w:pPr>
          </w:p>
        </w:tc>
        <w:tc>
          <w:tcPr>
            <w:tcW w:w="1413" w:type="dxa"/>
            <w:tcBorders>
              <w:top w:val="single" w:color="auto" w:sz="4" w:space="0"/>
              <w:left w:val="single" w:color="auto" w:sz="4" w:space="0"/>
              <w:bottom w:val="single" w:color="auto" w:sz="4" w:space="0"/>
              <w:right w:val="single" w:color="auto" w:sz="4" w:space="0"/>
            </w:tcBorders>
            <w:noWrap w:val="0"/>
            <w:vAlign w:val="center"/>
          </w:tcPr>
          <w:p w14:paraId="00F5BAE3">
            <w:pPr>
              <w:snapToGrid w:val="0"/>
              <w:spacing w:before="50" w:after="50" w:line="360" w:lineRule="exact"/>
              <w:rPr>
                <w:rFonts w:hint="eastAsia" w:ascii="宋体" w:hAnsi="宋体" w:eastAsia="宋体" w:cs="宋体"/>
                <w:color w:val="auto"/>
                <w:szCs w:val="21"/>
                <w:highlight w:val="none"/>
              </w:rPr>
            </w:pPr>
          </w:p>
        </w:tc>
        <w:tc>
          <w:tcPr>
            <w:tcW w:w="824" w:type="dxa"/>
            <w:tcBorders>
              <w:top w:val="single" w:color="auto" w:sz="4" w:space="0"/>
              <w:left w:val="single" w:color="auto" w:sz="4" w:space="0"/>
              <w:bottom w:val="single" w:color="auto" w:sz="4" w:space="0"/>
              <w:right w:val="single" w:color="auto" w:sz="4" w:space="0"/>
            </w:tcBorders>
            <w:noWrap w:val="0"/>
            <w:vAlign w:val="center"/>
          </w:tcPr>
          <w:p w14:paraId="0C9AE108">
            <w:pPr>
              <w:snapToGrid w:val="0"/>
              <w:spacing w:before="50" w:after="50" w:line="360" w:lineRule="exact"/>
              <w:jc w:val="center"/>
              <w:rPr>
                <w:rFonts w:hint="eastAsia" w:ascii="宋体" w:hAnsi="宋体" w:eastAsia="宋体" w:cs="宋体"/>
                <w:color w:val="auto"/>
                <w:szCs w:val="21"/>
                <w:highlight w:val="none"/>
              </w:rPr>
            </w:pPr>
          </w:p>
        </w:tc>
        <w:tc>
          <w:tcPr>
            <w:tcW w:w="1467" w:type="dxa"/>
            <w:tcBorders>
              <w:top w:val="single" w:color="auto" w:sz="4" w:space="0"/>
              <w:left w:val="single" w:color="auto" w:sz="4" w:space="0"/>
              <w:bottom w:val="single" w:color="auto" w:sz="4" w:space="0"/>
              <w:right w:val="single" w:color="auto" w:sz="4" w:space="0"/>
            </w:tcBorders>
            <w:noWrap w:val="0"/>
            <w:vAlign w:val="center"/>
          </w:tcPr>
          <w:p w14:paraId="025C0EF7">
            <w:pPr>
              <w:snapToGrid w:val="0"/>
              <w:spacing w:before="50" w:after="50" w:line="360" w:lineRule="exact"/>
              <w:jc w:val="center"/>
              <w:rPr>
                <w:rFonts w:hint="eastAsia" w:ascii="宋体" w:hAnsi="宋体" w:eastAsia="宋体" w:cs="宋体"/>
                <w:color w:val="auto"/>
                <w:szCs w:val="21"/>
                <w:highlight w:val="none"/>
              </w:rPr>
            </w:pPr>
          </w:p>
        </w:tc>
        <w:tc>
          <w:tcPr>
            <w:tcW w:w="1586" w:type="dxa"/>
            <w:tcBorders>
              <w:top w:val="single" w:color="auto" w:sz="4" w:space="0"/>
              <w:left w:val="single" w:color="auto" w:sz="4" w:space="0"/>
              <w:bottom w:val="single" w:color="auto" w:sz="4" w:space="0"/>
              <w:right w:val="single" w:color="auto" w:sz="4" w:space="0"/>
            </w:tcBorders>
            <w:noWrap w:val="0"/>
            <w:vAlign w:val="center"/>
          </w:tcPr>
          <w:p w14:paraId="18F06809">
            <w:pPr>
              <w:snapToGrid w:val="0"/>
              <w:spacing w:before="50" w:after="50" w:line="360" w:lineRule="exact"/>
              <w:jc w:val="center"/>
              <w:rPr>
                <w:rFonts w:hint="eastAsia" w:ascii="宋体" w:hAnsi="宋体" w:eastAsia="宋体" w:cs="宋体"/>
                <w:color w:val="auto"/>
                <w:szCs w:val="21"/>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061456B1">
            <w:pPr>
              <w:snapToGrid w:val="0"/>
              <w:spacing w:before="50" w:after="50" w:line="360" w:lineRule="exact"/>
              <w:jc w:val="center"/>
              <w:rPr>
                <w:rFonts w:hint="eastAsia" w:ascii="宋体" w:hAnsi="宋体" w:eastAsia="宋体" w:cs="宋体"/>
                <w:color w:val="auto"/>
                <w:szCs w:val="21"/>
                <w:highlight w:val="none"/>
              </w:rPr>
            </w:pPr>
          </w:p>
        </w:tc>
        <w:tc>
          <w:tcPr>
            <w:tcW w:w="1346" w:type="dxa"/>
            <w:tcBorders>
              <w:top w:val="single" w:color="auto" w:sz="4" w:space="0"/>
              <w:left w:val="single" w:color="auto" w:sz="4" w:space="0"/>
              <w:bottom w:val="single" w:color="auto" w:sz="4" w:space="0"/>
              <w:right w:val="single" w:color="auto" w:sz="4" w:space="0"/>
            </w:tcBorders>
            <w:noWrap w:val="0"/>
            <w:vAlign w:val="center"/>
          </w:tcPr>
          <w:p w14:paraId="0E729333">
            <w:pPr>
              <w:snapToGrid w:val="0"/>
              <w:spacing w:before="50" w:after="50" w:line="360" w:lineRule="exact"/>
              <w:jc w:val="center"/>
              <w:rPr>
                <w:rFonts w:hint="eastAsia" w:ascii="宋体" w:hAnsi="宋体" w:eastAsia="宋体" w:cs="宋体"/>
                <w:color w:val="auto"/>
                <w:szCs w:val="21"/>
                <w:highlight w:val="none"/>
              </w:rPr>
            </w:pPr>
          </w:p>
        </w:tc>
      </w:tr>
      <w:tr w14:paraId="4093D6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14:paraId="2184DF41">
            <w:pPr>
              <w:snapToGrid w:val="0"/>
              <w:spacing w:before="50" w:after="50" w:line="360" w:lineRule="exact"/>
              <w:jc w:val="center"/>
              <w:rPr>
                <w:rFonts w:hint="eastAsia" w:ascii="宋体" w:hAnsi="宋体" w:eastAsia="宋体" w:cs="宋体"/>
                <w:color w:val="auto"/>
                <w:szCs w:val="21"/>
                <w:highlight w:val="none"/>
              </w:rPr>
            </w:pPr>
          </w:p>
        </w:tc>
        <w:tc>
          <w:tcPr>
            <w:tcW w:w="1413" w:type="dxa"/>
            <w:tcBorders>
              <w:top w:val="single" w:color="auto" w:sz="4" w:space="0"/>
              <w:left w:val="single" w:color="auto" w:sz="4" w:space="0"/>
              <w:bottom w:val="single" w:color="auto" w:sz="4" w:space="0"/>
              <w:right w:val="single" w:color="auto" w:sz="4" w:space="0"/>
            </w:tcBorders>
            <w:noWrap w:val="0"/>
            <w:vAlign w:val="center"/>
          </w:tcPr>
          <w:p w14:paraId="7AE12F21">
            <w:pPr>
              <w:snapToGrid w:val="0"/>
              <w:spacing w:before="50" w:after="50" w:line="360" w:lineRule="exact"/>
              <w:jc w:val="center"/>
              <w:rPr>
                <w:rFonts w:hint="eastAsia" w:ascii="宋体" w:hAnsi="宋体" w:eastAsia="宋体" w:cs="宋体"/>
                <w:color w:val="auto"/>
                <w:szCs w:val="21"/>
                <w:highlight w:val="none"/>
              </w:rPr>
            </w:pPr>
          </w:p>
        </w:tc>
        <w:tc>
          <w:tcPr>
            <w:tcW w:w="824" w:type="dxa"/>
            <w:tcBorders>
              <w:top w:val="single" w:color="auto" w:sz="4" w:space="0"/>
              <w:left w:val="single" w:color="auto" w:sz="4" w:space="0"/>
              <w:bottom w:val="single" w:color="auto" w:sz="4" w:space="0"/>
              <w:right w:val="single" w:color="auto" w:sz="4" w:space="0"/>
            </w:tcBorders>
            <w:noWrap w:val="0"/>
            <w:vAlign w:val="center"/>
          </w:tcPr>
          <w:p w14:paraId="0D9E6C6C">
            <w:pPr>
              <w:snapToGrid w:val="0"/>
              <w:spacing w:before="50" w:after="50" w:line="360" w:lineRule="exact"/>
              <w:jc w:val="center"/>
              <w:rPr>
                <w:rFonts w:hint="eastAsia" w:ascii="宋体" w:hAnsi="宋体" w:eastAsia="宋体" w:cs="宋体"/>
                <w:color w:val="auto"/>
                <w:szCs w:val="21"/>
                <w:highlight w:val="none"/>
              </w:rPr>
            </w:pPr>
          </w:p>
        </w:tc>
        <w:tc>
          <w:tcPr>
            <w:tcW w:w="1467" w:type="dxa"/>
            <w:tcBorders>
              <w:top w:val="single" w:color="auto" w:sz="4" w:space="0"/>
              <w:left w:val="single" w:color="auto" w:sz="4" w:space="0"/>
              <w:bottom w:val="single" w:color="auto" w:sz="4" w:space="0"/>
              <w:right w:val="single" w:color="auto" w:sz="4" w:space="0"/>
            </w:tcBorders>
            <w:noWrap w:val="0"/>
            <w:vAlign w:val="center"/>
          </w:tcPr>
          <w:p w14:paraId="75B7785B">
            <w:pPr>
              <w:snapToGrid w:val="0"/>
              <w:spacing w:before="50" w:after="50" w:line="360" w:lineRule="exact"/>
              <w:jc w:val="center"/>
              <w:rPr>
                <w:rFonts w:hint="eastAsia" w:ascii="宋体" w:hAnsi="宋体" w:eastAsia="宋体" w:cs="宋体"/>
                <w:color w:val="auto"/>
                <w:szCs w:val="21"/>
                <w:highlight w:val="none"/>
              </w:rPr>
            </w:pPr>
          </w:p>
        </w:tc>
        <w:tc>
          <w:tcPr>
            <w:tcW w:w="1586" w:type="dxa"/>
            <w:tcBorders>
              <w:top w:val="single" w:color="auto" w:sz="4" w:space="0"/>
              <w:left w:val="single" w:color="auto" w:sz="4" w:space="0"/>
              <w:bottom w:val="single" w:color="auto" w:sz="4" w:space="0"/>
              <w:right w:val="single" w:color="auto" w:sz="4" w:space="0"/>
            </w:tcBorders>
            <w:noWrap w:val="0"/>
            <w:vAlign w:val="center"/>
          </w:tcPr>
          <w:p w14:paraId="04F7D1B2">
            <w:pPr>
              <w:snapToGrid w:val="0"/>
              <w:spacing w:before="50" w:after="50" w:line="360" w:lineRule="exact"/>
              <w:jc w:val="center"/>
              <w:rPr>
                <w:rFonts w:hint="eastAsia" w:ascii="宋体" w:hAnsi="宋体" w:eastAsia="宋体" w:cs="宋体"/>
                <w:color w:val="auto"/>
                <w:szCs w:val="21"/>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1C390DB1">
            <w:pPr>
              <w:snapToGrid w:val="0"/>
              <w:spacing w:before="50" w:after="50" w:line="360" w:lineRule="exact"/>
              <w:jc w:val="center"/>
              <w:rPr>
                <w:rFonts w:hint="eastAsia" w:ascii="宋体" w:hAnsi="宋体" w:eastAsia="宋体" w:cs="宋体"/>
                <w:color w:val="auto"/>
                <w:szCs w:val="21"/>
                <w:highlight w:val="none"/>
              </w:rPr>
            </w:pPr>
          </w:p>
        </w:tc>
        <w:tc>
          <w:tcPr>
            <w:tcW w:w="1346" w:type="dxa"/>
            <w:tcBorders>
              <w:top w:val="single" w:color="auto" w:sz="4" w:space="0"/>
              <w:left w:val="single" w:color="auto" w:sz="4" w:space="0"/>
              <w:bottom w:val="single" w:color="auto" w:sz="4" w:space="0"/>
              <w:right w:val="single" w:color="auto" w:sz="4" w:space="0"/>
            </w:tcBorders>
            <w:noWrap w:val="0"/>
            <w:vAlign w:val="center"/>
          </w:tcPr>
          <w:p w14:paraId="6367EF06">
            <w:pPr>
              <w:snapToGrid w:val="0"/>
              <w:spacing w:before="50" w:after="50" w:line="360" w:lineRule="exact"/>
              <w:jc w:val="center"/>
              <w:rPr>
                <w:rFonts w:hint="eastAsia" w:ascii="宋体" w:hAnsi="宋体" w:eastAsia="宋体" w:cs="宋体"/>
                <w:color w:val="auto"/>
                <w:szCs w:val="21"/>
                <w:highlight w:val="none"/>
              </w:rPr>
            </w:pPr>
          </w:p>
        </w:tc>
      </w:tr>
      <w:tr w14:paraId="36047C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4"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14:paraId="22A904E0">
            <w:pPr>
              <w:snapToGrid w:val="0"/>
              <w:spacing w:before="50" w:after="50" w:line="360" w:lineRule="exact"/>
              <w:jc w:val="center"/>
              <w:rPr>
                <w:rFonts w:hint="eastAsia" w:ascii="宋体" w:hAnsi="宋体" w:eastAsia="宋体" w:cs="宋体"/>
                <w:color w:val="auto"/>
                <w:szCs w:val="21"/>
                <w:highlight w:val="none"/>
              </w:rPr>
            </w:pPr>
          </w:p>
        </w:tc>
        <w:tc>
          <w:tcPr>
            <w:tcW w:w="1413" w:type="dxa"/>
            <w:tcBorders>
              <w:top w:val="single" w:color="auto" w:sz="4" w:space="0"/>
              <w:left w:val="single" w:color="auto" w:sz="4" w:space="0"/>
              <w:bottom w:val="single" w:color="auto" w:sz="4" w:space="0"/>
              <w:right w:val="single" w:color="auto" w:sz="4" w:space="0"/>
            </w:tcBorders>
            <w:noWrap w:val="0"/>
            <w:vAlign w:val="center"/>
          </w:tcPr>
          <w:p w14:paraId="65867C1B">
            <w:pPr>
              <w:snapToGrid w:val="0"/>
              <w:spacing w:before="50" w:after="50" w:line="360" w:lineRule="exact"/>
              <w:jc w:val="center"/>
              <w:rPr>
                <w:rFonts w:hint="eastAsia" w:ascii="宋体" w:hAnsi="宋体" w:eastAsia="宋体" w:cs="宋体"/>
                <w:color w:val="auto"/>
                <w:szCs w:val="21"/>
                <w:highlight w:val="none"/>
              </w:rPr>
            </w:pPr>
          </w:p>
        </w:tc>
        <w:tc>
          <w:tcPr>
            <w:tcW w:w="824" w:type="dxa"/>
            <w:tcBorders>
              <w:top w:val="single" w:color="auto" w:sz="4" w:space="0"/>
              <w:left w:val="single" w:color="auto" w:sz="4" w:space="0"/>
              <w:bottom w:val="single" w:color="auto" w:sz="4" w:space="0"/>
              <w:right w:val="single" w:color="auto" w:sz="4" w:space="0"/>
            </w:tcBorders>
            <w:noWrap w:val="0"/>
            <w:vAlign w:val="center"/>
          </w:tcPr>
          <w:p w14:paraId="4F20494D">
            <w:pPr>
              <w:snapToGrid w:val="0"/>
              <w:spacing w:before="50" w:after="50" w:line="360" w:lineRule="exact"/>
              <w:jc w:val="center"/>
              <w:rPr>
                <w:rFonts w:hint="eastAsia" w:ascii="宋体" w:hAnsi="宋体" w:eastAsia="宋体" w:cs="宋体"/>
                <w:color w:val="auto"/>
                <w:szCs w:val="21"/>
                <w:highlight w:val="none"/>
              </w:rPr>
            </w:pPr>
          </w:p>
        </w:tc>
        <w:tc>
          <w:tcPr>
            <w:tcW w:w="1467" w:type="dxa"/>
            <w:tcBorders>
              <w:top w:val="single" w:color="auto" w:sz="4" w:space="0"/>
              <w:left w:val="single" w:color="auto" w:sz="4" w:space="0"/>
              <w:bottom w:val="single" w:color="auto" w:sz="4" w:space="0"/>
              <w:right w:val="single" w:color="auto" w:sz="4" w:space="0"/>
            </w:tcBorders>
            <w:noWrap w:val="0"/>
            <w:vAlign w:val="center"/>
          </w:tcPr>
          <w:p w14:paraId="5B11BA96">
            <w:pPr>
              <w:snapToGrid w:val="0"/>
              <w:spacing w:before="50" w:after="50" w:line="360" w:lineRule="exact"/>
              <w:jc w:val="center"/>
              <w:rPr>
                <w:rFonts w:hint="eastAsia" w:ascii="宋体" w:hAnsi="宋体" w:eastAsia="宋体" w:cs="宋体"/>
                <w:color w:val="auto"/>
                <w:szCs w:val="21"/>
                <w:highlight w:val="none"/>
              </w:rPr>
            </w:pPr>
          </w:p>
        </w:tc>
        <w:tc>
          <w:tcPr>
            <w:tcW w:w="1586" w:type="dxa"/>
            <w:tcBorders>
              <w:top w:val="single" w:color="auto" w:sz="4" w:space="0"/>
              <w:left w:val="single" w:color="auto" w:sz="4" w:space="0"/>
              <w:bottom w:val="single" w:color="auto" w:sz="4" w:space="0"/>
              <w:right w:val="single" w:color="auto" w:sz="4" w:space="0"/>
            </w:tcBorders>
            <w:noWrap w:val="0"/>
            <w:vAlign w:val="center"/>
          </w:tcPr>
          <w:p w14:paraId="64C727A0">
            <w:pPr>
              <w:snapToGrid w:val="0"/>
              <w:spacing w:before="50" w:after="50" w:line="360" w:lineRule="exact"/>
              <w:jc w:val="center"/>
              <w:rPr>
                <w:rFonts w:hint="eastAsia" w:ascii="宋体" w:hAnsi="宋体" w:eastAsia="宋体" w:cs="宋体"/>
                <w:color w:val="auto"/>
                <w:szCs w:val="21"/>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5530A60A">
            <w:pPr>
              <w:snapToGrid w:val="0"/>
              <w:spacing w:before="50" w:after="50" w:line="360" w:lineRule="exact"/>
              <w:jc w:val="center"/>
              <w:rPr>
                <w:rFonts w:hint="eastAsia" w:ascii="宋体" w:hAnsi="宋体" w:eastAsia="宋体" w:cs="宋体"/>
                <w:color w:val="auto"/>
                <w:szCs w:val="21"/>
                <w:highlight w:val="none"/>
              </w:rPr>
            </w:pPr>
          </w:p>
        </w:tc>
        <w:tc>
          <w:tcPr>
            <w:tcW w:w="1346" w:type="dxa"/>
            <w:tcBorders>
              <w:top w:val="single" w:color="auto" w:sz="4" w:space="0"/>
              <w:left w:val="single" w:color="auto" w:sz="4" w:space="0"/>
              <w:bottom w:val="single" w:color="auto" w:sz="4" w:space="0"/>
              <w:right w:val="single" w:color="auto" w:sz="4" w:space="0"/>
            </w:tcBorders>
            <w:noWrap w:val="0"/>
            <w:vAlign w:val="center"/>
          </w:tcPr>
          <w:p w14:paraId="456EEA6A">
            <w:pPr>
              <w:snapToGrid w:val="0"/>
              <w:spacing w:before="50" w:after="50" w:line="360" w:lineRule="exact"/>
              <w:jc w:val="center"/>
              <w:rPr>
                <w:rFonts w:hint="eastAsia" w:ascii="宋体" w:hAnsi="宋体" w:eastAsia="宋体" w:cs="宋体"/>
                <w:color w:val="auto"/>
                <w:szCs w:val="21"/>
                <w:highlight w:val="none"/>
              </w:rPr>
            </w:pPr>
          </w:p>
        </w:tc>
      </w:tr>
    </w:tbl>
    <w:p w14:paraId="28E5B86E">
      <w:pPr>
        <w:snapToGrid w:val="0"/>
        <w:spacing w:line="360" w:lineRule="exact"/>
        <w:rPr>
          <w:rFonts w:hint="eastAsia" w:ascii="宋体" w:hAnsi="宋体" w:eastAsia="宋体" w:cs="宋体"/>
          <w:color w:val="auto"/>
          <w:spacing w:val="20"/>
          <w:szCs w:val="21"/>
          <w:highlight w:val="none"/>
        </w:rPr>
      </w:pPr>
    </w:p>
    <w:p w14:paraId="23BBBE74">
      <w:pPr>
        <w:snapToGrid w:val="0"/>
        <w:spacing w:line="360" w:lineRule="exact"/>
        <w:rPr>
          <w:rFonts w:hint="eastAsia" w:ascii="宋体" w:hAnsi="宋体" w:eastAsia="宋体" w:cs="宋体"/>
          <w:color w:val="auto"/>
          <w:spacing w:val="20"/>
          <w:szCs w:val="21"/>
          <w:highlight w:val="none"/>
        </w:rPr>
      </w:pPr>
    </w:p>
    <w:p w14:paraId="3EB19DF6">
      <w:pPr>
        <w:snapToGrid w:val="0"/>
        <w:spacing w:line="360" w:lineRule="exact"/>
        <w:rPr>
          <w:rFonts w:hint="eastAsia" w:ascii="宋体" w:hAnsi="宋体" w:eastAsia="宋体" w:cs="宋体"/>
          <w:color w:val="auto"/>
          <w:spacing w:val="20"/>
          <w:szCs w:val="21"/>
          <w:highlight w:val="none"/>
          <w:u w:val="single"/>
        </w:rPr>
      </w:pPr>
      <w:r>
        <w:rPr>
          <w:rFonts w:hint="eastAsia" w:ascii="宋体" w:hAnsi="宋体" w:eastAsia="宋体" w:cs="宋体"/>
          <w:color w:val="auto"/>
          <w:spacing w:val="20"/>
          <w:szCs w:val="21"/>
          <w:highlight w:val="none"/>
        </w:rPr>
        <w:t>授权代表（签字或电子签名）：</w:t>
      </w:r>
      <w:r>
        <w:rPr>
          <w:rFonts w:hint="eastAsia" w:ascii="宋体" w:hAnsi="宋体" w:eastAsia="宋体" w:cs="宋体"/>
          <w:color w:val="auto"/>
          <w:spacing w:val="20"/>
          <w:szCs w:val="21"/>
          <w:highlight w:val="none"/>
          <w:u w:val="single"/>
        </w:rPr>
        <w:t xml:space="preserve">             </w:t>
      </w:r>
    </w:p>
    <w:p w14:paraId="0D396B6A">
      <w:pPr>
        <w:jc w:val="left"/>
        <w:rPr>
          <w:rFonts w:hint="eastAsia" w:ascii="宋体" w:hAnsi="宋体" w:eastAsia="宋体" w:cs="宋体"/>
          <w:color w:val="auto"/>
          <w:spacing w:val="20"/>
          <w:szCs w:val="21"/>
          <w:highlight w:val="none"/>
        </w:rPr>
      </w:pPr>
      <w:r>
        <w:rPr>
          <w:rFonts w:hint="eastAsia" w:ascii="宋体" w:hAnsi="宋体" w:eastAsia="宋体" w:cs="宋体"/>
          <w:color w:val="auto"/>
          <w:spacing w:val="20"/>
          <w:szCs w:val="21"/>
          <w:highlight w:val="none"/>
        </w:rPr>
        <w:t>投标人名称（电子公章）：</w:t>
      </w:r>
      <w:r>
        <w:rPr>
          <w:rFonts w:hint="eastAsia" w:ascii="宋体" w:hAnsi="宋体" w:eastAsia="宋体" w:cs="宋体"/>
          <w:color w:val="auto"/>
          <w:spacing w:val="20"/>
          <w:szCs w:val="21"/>
          <w:highlight w:val="none"/>
          <w:u w:val="single"/>
        </w:rPr>
        <w:t xml:space="preserve">              </w:t>
      </w:r>
      <w:r>
        <w:rPr>
          <w:rFonts w:hint="eastAsia" w:ascii="宋体" w:hAnsi="宋体" w:eastAsia="宋体" w:cs="宋体"/>
          <w:color w:val="auto"/>
          <w:spacing w:val="20"/>
          <w:szCs w:val="21"/>
          <w:highlight w:val="none"/>
        </w:rPr>
        <w:t xml:space="preserve">              </w:t>
      </w:r>
    </w:p>
    <w:p w14:paraId="4478BC96">
      <w:pPr>
        <w:jc w:val="left"/>
        <w:rPr>
          <w:rFonts w:hint="eastAsia" w:ascii="宋体" w:hAnsi="宋体" w:eastAsia="宋体" w:cs="宋体"/>
          <w:b/>
          <w:bCs/>
          <w:color w:val="auto"/>
          <w:sz w:val="32"/>
          <w:szCs w:val="32"/>
          <w:highlight w:val="none"/>
          <w:lang w:val="en-US" w:eastAsia="zh-CN"/>
        </w:rPr>
      </w:pPr>
      <w:r>
        <w:rPr>
          <w:rFonts w:hint="eastAsia" w:ascii="宋体" w:hAnsi="宋体" w:eastAsia="宋体" w:cs="宋体"/>
          <w:color w:val="auto"/>
          <w:spacing w:val="20"/>
          <w:szCs w:val="21"/>
          <w:highlight w:val="none"/>
        </w:rPr>
        <w:t>日  期：</w:t>
      </w:r>
      <w:r>
        <w:rPr>
          <w:rFonts w:hint="eastAsia" w:ascii="宋体" w:hAnsi="宋体" w:eastAsia="宋体" w:cs="宋体"/>
          <w:color w:val="auto"/>
          <w:spacing w:val="20"/>
          <w:szCs w:val="21"/>
          <w:highlight w:val="none"/>
          <w:u w:val="single"/>
        </w:rPr>
        <w:t xml:space="preserve">       </w:t>
      </w:r>
    </w:p>
    <w:p w14:paraId="6A894C45">
      <w:pPr>
        <w:widowControl/>
        <w:adjustRightInd/>
        <w:jc w:val="left"/>
        <w:rPr>
          <w:rFonts w:hint="eastAsia" w:ascii="宋体" w:hAnsi="宋体" w:eastAsia="宋体" w:cs="宋体"/>
          <w:b/>
          <w:bCs/>
          <w:color w:val="auto"/>
          <w:sz w:val="32"/>
          <w:szCs w:val="32"/>
          <w:highlight w:val="none"/>
        </w:rPr>
      </w:pPr>
    </w:p>
    <w:p w14:paraId="744DD293">
      <w:pP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br w:type="page"/>
      </w:r>
    </w:p>
    <w:p w14:paraId="5C5A5DDC">
      <w:pPr>
        <w:numPr>
          <w:ilvl w:val="0"/>
          <w:numId w:val="0"/>
        </w:numP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四、售后服务承诺书</w:t>
      </w:r>
    </w:p>
    <w:p w14:paraId="004AF00D">
      <w:pPr>
        <w:numPr>
          <w:ilvl w:val="0"/>
          <w:numId w:val="0"/>
        </w:numPr>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val="en-US" w:eastAsia="zh-CN"/>
        </w:rPr>
        <w:t>格式自拟</w:t>
      </w:r>
      <w:r>
        <w:rPr>
          <w:rFonts w:hint="eastAsia" w:ascii="宋体" w:hAnsi="宋体" w:eastAsia="宋体" w:cs="宋体"/>
          <w:b/>
          <w:bCs/>
          <w:color w:val="auto"/>
          <w:sz w:val="32"/>
          <w:szCs w:val="32"/>
          <w:highlight w:val="none"/>
        </w:rPr>
        <w:br w:type="page"/>
      </w:r>
    </w:p>
    <w:p w14:paraId="239F16D7">
      <w:pPr>
        <w:snapToGrid w:val="0"/>
        <w:spacing w:line="360" w:lineRule="exact"/>
        <w:jc w:val="left"/>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五、优惠条件</w:t>
      </w:r>
    </w:p>
    <w:p w14:paraId="0B284E0F">
      <w:pPr>
        <w:snapToGrid w:val="0"/>
        <w:spacing w:line="360" w:lineRule="exact"/>
        <w:ind w:firstLine="211" w:firstLineChars="100"/>
        <w:jc w:val="center"/>
        <w:rPr>
          <w:rFonts w:hint="eastAsia" w:ascii="宋体" w:hAnsi="宋体" w:eastAsia="宋体" w:cs="宋体"/>
          <w:b/>
          <w:color w:val="auto"/>
          <w:szCs w:val="21"/>
          <w:highlight w:val="none"/>
        </w:rPr>
      </w:pPr>
    </w:p>
    <w:p w14:paraId="2972FEB7">
      <w:pPr>
        <w:snapToGrid w:val="0"/>
        <w:spacing w:line="360" w:lineRule="exact"/>
        <w:ind w:firstLine="211" w:firstLineChars="100"/>
        <w:jc w:val="center"/>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优惠条件</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lang w:val="en-US" w:eastAsia="zh-CN"/>
        </w:rPr>
        <w:t>格式</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rPr>
        <w:t>：</w:t>
      </w:r>
      <w:r>
        <w:rPr>
          <w:rFonts w:hint="eastAsia" w:ascii="宋体" w:hAnsi="宋体" w:eastAsia="宋体" w:cs="宋体"/>
          <w:color w:val="auto"/>
          <w:szCs w:val="21"/>
          <w:highlight w:val="none"/>
        </w:rPr>
        <w:t>投标人承诺给予招标人的各种优惠条件，包括备品备件、专用耗材、售后服务等方面的优惠；</w:t>
      </w:r>
    </w:p>
    <w:p w14:paraId="6772D6DC">
      <w:pPr>
        <w:tabs>
          <w:tab w:val="left" w:pos="315"/>
        </w:tabs>
        <w:snapToGrid w:val="0"/>
        <w:spacing w:before="50" w:after="50" w:line="360" w:lineRule="exact"/>
        <w:ind w:firstLine="315" w:firstLineChars="150"/>
        <w:rPr>
          <w:rFonts w:hint="eastAsia" w:ascii="宋体" w:hAnsi="宋体" w:eastAsia="宋体" w:cs="宋体"/>
          <w:color w:val="auto"/>
          <w:spacing w:val="20"/>
          <w:szCs w:val="21"/>
          <w:highlight w:val="none"/>
        </w:rPr>
      </w:pPr>
      <w:r>
        <w:rPr>
          <w:rFonts w:hint="eastAsia" w:ascii="宋体" w:hAnsi="宋体" w:eastAsia="宋体" w:cs="宋体"/>
          <w:color w:val="auto"/>
          <w:szCs w:val="21"/>
          <w:highlight w:val="none"/>
        </w:rPr>
        <w:t>分标号：</w:t>
      </w:r>
      <w:r>
        <w:rPr>
          <w:rFonts w:hint="eastAsia" w:ascii="宋体" w:hAnsi="宋体" w:eastAsia="宋体" w:cs="宋体"/>
          <w:color w:val="auto"/>
          <w:szCs w:val="21"/>
          <w:highlight w:val="none"/>
          <w:u w:val="single"/>
        </w:rPr>
        <w:t xml:space="preserve">              </w:t>
      </w:r>
    </w:p>
    <w:tbl>
      <w:tblPr>
        <w:tblStyle w:val="6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35"/>
        <w:gridCol w:w="2700"/>
        <w:gridCol w:w="1440"/>
        <w:gridCol w:w="1440"/>
        <w:gridCol w:w="3060"/>
      </w:tblGrid>
      <w:tr w14:paraId="2C985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01" w:hRule="atLeast"/>
        </w:trPr>
        <w:tc>
          <w:tcPr>
            <w:tcW w:w="73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6912CE1">
            <w:pPr>
              <w:pStyle w:val="35"/>
              <w:snapToGrid w:val="0"/>
              <w:spacing w:before="295" w:after="295"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2700" w:type="dxa"/>
            <w:tcBorders>
              <w:top w:val="single" w:color="auto" w:sz="4" w:space="0"/>
              <w:left w:val="single" w:color="auto" w:sz="4" w:space="0"/>
              <w:bottom w:val="single" w:color="auto" w:sz="2" w:space="0"/>
              <w:right w:val="single" w:color="auto" w:sz="4" w:space="0"/>
            </w:tcBorders>
            <w:noWrap w:val="0"/>
            <w:vAlign w:val="center"/>
          </w:tcPr>
          <w:p w14:paraId="27227334">
            <w:pPr>
              <w:pStyle w:val="35"/>
              <w:snapToGrid w:val="0"/>
              <w:spacing w:before="295" w:after="295"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优惠内容</w:t>
            </w:r>
          </w:p>
        </w:tc>
        <w:tc>
          <w:tcPr>
            <w:tcW w:w="1440" w:type="dxa"/>
            <w:tcBorders>
              <w:top w:val="single" w:color="auto" w:sz="4" w:space="0"/>
              <w:left w:val="single" w:color="auto" w:sz="4" w:space="0"/>
              <w:bottom w:val="single" w:color="auto" w:sz="2" w:space="0"/>
              <w:right w:val="single" w:color="auto" w:sz="4" w:space="0"/>
            </w:tcBorders>
            <w:noWrap w:val="0"/>
            <w:vAlign w:val="center"/>
          </w:tcPr>
          <w:p w14:paraId="2D6859DE">
            <w:pPr>
              <w:pStyle w:val="35"/>
              <w:snapToGrid w:val="0"/>
              <w:spacing w:before="295" w:after="295"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适用机型</w:t>
            </w:r>
          </w:p>
        </w:tc>
        <w:tc>
          <w:tcPr>
            <w:tcW w:w="1440" w:type="dxa"/>
            <w:tcBorders>
              <w:top w:val="single" w:color="auto" w:sz="4" w:space="0"/>
              <w:left w:val="single" w:color="auto" w:sz="4" w:space="0"/>
              <w:bottom w:val="single" w:color="auto" w:sz="2" w:space="0"/>
              <w:right w:val="single" w:color="auto" w:sz="4" w:space="0"/>
            </w:tcBorders>
            <w:noWrap w:val="0"/>
            <w:tcMar>
              <w:top w:w="15" w:type="dxa"/>
              <w:left w:w="15" w:type="dxa"/>
              <w:bottom w:w="0" w:type="dxa"/>
              <w:right w:w="15" w:type="dxa"/>
            </w:tcMar>
            <w:vAlign w:val="center"/>
          </w:tcPr>
          <w:p w14:paraId="2597F505">
            <w:pPr>
              <w:pStyle w:val="35"/>
              <w:snapToGrid w:val="0"/>
              <w:spacing w:before="295" w:after="295"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单价</w:t>
            </w:r>
          </w:p>
        </w:tc>
        <w:tc>
          <w:tcPr>
            <w:tcW w:w="3060" w:type="dxa"/>
            <w:tcBorders>
              <w:top w:val="single" w:color="auto" w:sz="4" w:space="0"/>
              <w:left w:val="single" w:color="auto" w:sz="4" w:space="0"/>
              <w:bottom w:val="single" w:color="auto" w:sz="2" w:space="0"/>
              <w:right w:val="single" w:color="auto" w:sz="4" w:space="0"/>
            </w:tcBorders>
            <w:noWrap w:val="0"/>
            <w:vAlign w:val="center"/>
          </w:tcPr>
          <w:p w14:paraId="1C084387">
            <w:pPr>
              <w:pStyle w:val="35"/>
              <w:snapToGrid w:val="0"/>
              <w:spacing w:before="295" w:after="295"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比投标报价优惠率</w:t>
            </w:r>
          </w:p>
        </w:tc>
      </w:tr>
      <w:tr w14:paraId="52D379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 w:hRule="atLeast"/>
        </w:trPr>
        <w:tc>
          <w:tcPr>
            <w:tcW w:w="735" w:type="dxa"/>
            <w:tcBorders>
              <w:top w:val="single" w:color="auto" w:sz="4" w:space="0"/>
              <w:left w:val="single" w:color="auto" w:sz="4" w:space="0"/>
              <w:bottom w:val="single" w:color="auto" w:sz="4" w:space="0"/>
              <w:right w:val="single" w:color="auto" w:sz="2" w:space="0"/>
            </w:tcBorders>
            <w:noWrap w:val="0"/>
            <w:tcMar>
              <w:top w:w="15" w:type="dxa"/>
              <w:left w:w="15" w:type="dxa"/>
              <w:bottom w:w="0" w:type="dxa"/>
              <w:right w:w="15" w:type="dxa"/>
            </w:tcMar>
            <w:vAlign w:val="center"/>
          </w:tcPr>
          <w:p w14:paraId="250A013A">
            <w:pPr>
              <w:pStyle w:val="35"/>
              <w:snapToGrid w:val="0"/>
              <w:spacing w:before="295" w:after="295"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2700" w:type="dxa"/>
            <w:tcBorders>
              <w:top w:val="single" w:color="auto" w:sz="2" w:space="0"/>
              <w:left w:val="single" w:color="auto" w:sz="2" w:space="0"/>
              <w:bottom w:val="single" w:color="auto" w:sz="6" w:space="0"/>
              <w:right w:val="single" w:color="auto" w:sz="4" w:space="0"/>
            </w:tcBorders>
            <w:noWrap w:val="0"/>
            <w:vAlign w:val="center"/>
          </w:tcPr>
          <w:p w14:paraId="273ACDDC">
            <w:pPr>
              <w:pStyle w:val="35"/>
              <w:snapToGrid w:val="0"/>
              <w:spacing w:before="295" w:after="295" w:line="360" w:lineRule="exact"/>
              <w:jc w:val="center"/>
              <w:rPr>
                <w:rFonts w:hint="eastAsia" w:ascii="宋体" w:hAnsi="宋体" w:eastAsia="宋体" w:cs="宋体"/>
                <w:color w:val="auto"/>
                <w:highlight w:val="none"/>
              </w:rPr>
            </w:pPr>
          </w:p>
        </w:tc>
        <w:tc>
          <w:tcPr>
            <w:tcW w:w="1440" w:type="dxa"/>
            <w:tcBorders>
              <w:top w:val="single" w:color="auto" w:sz="2" w:space="0"/>
              <w:left w:val="single" w:color="auto" w:sz="4" w:space="0"/>
              <w:bottom w:val="single" w:color="auto" w:sz="6" w:space="0"/>
              <w:right w:val="single" w:color="auto" w:sz="6" w:space="0"/>
            </w:tcBorders>
            <w:noWrap w:val="0"/>
            <w:vAlign w:val="center"/>
          </w:tcPr>
          <w:p w14:paraId="5828F048">
            <w:pPr>
              <w:pStyle w:val="35"/>
              <w:snapToGrid w:val="0"/>
              <w:spacing w:before="295" w:after="295" w:line="360" w:lineRule="exact"/>
              <w:jc w:val="center"/>
              <w:rPr>
                <w:rFonts w:hint="eastAsia" w:ascii="宋体" w:hAnsi="宋体" w:eastAsia="宋体" w:cs="宋体"/>
                <w:color w:val="auto"/>
                <w:highlight w:val="none"/>
              </w:rPr>
            </w:pPr>
          </w:p>
        </w:tc>
        <w:tc>
          <w:tcPr>
            <w:tcW w:w="1440" w:type="dxa"/>
            <w:tcBorders>
              <w:top w:val="single" w:color="auto" w:sz="2"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14:paraId="57DEB47D">
            <w:pPr>
              <w:pStyle w:val="35"/>
              <w:snapToGrid w:val="0"/>
              <w:spacing w:before="295" w:after="295" w:line="360" w:lineRule="exact"/>
              <w:jc w:val="center"/>
              <w:rPr>
                <w:rFonts w:hint="eastAsia" w:ascii="宋体" w:hAnsi="宋体" w:eastAsia="宋体" w:cs="宋体"/>
                <w:color w:val="auto"/>
                <w:highlight w:val="none"/>
              </w:rPr>
            </w:pPr>
          </w:p>
        </w:tc>
        <w:tc>
          <w:tcPr>
            <w:tcW w:w="3060" w:type="dxa"/>
            <w:tcBorders>
              <w:top w:val="single" w:color="auto" w:sz="2" w:space="0"/>
              <w:left w:val="single" w:color="auto" w:sz="6" w:space="0"/>
              <w:bottom w:val="single" w:color="auto" w:sz="6" w:space="0"/>
              <w:right w:val="single" w:color="auto" w:sz="2" w:space="0"/>
            </w:tcBorders>
            <w:noWrap w:val="0"/>
            <w:vAlign w:val="center"/>
          </w:tcPr>
          <w:p w14:paraId="392991DA">
            <w:pPr>
              <w:pStyle w:val="35"/>
              <w:snapToGrid w:val="0"/>
              <w:spacing w:before="295" w:after="295"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tc>
      </w:tr>
      <w:tr w14:paraId="7489AB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 w:hRule="atLeast"/>
        </w:trPr>
        <w:tc>
          <w:tcPr>
            <w:tcW w:w="735" w:type="dxa"/>
            <w:tcBorders>
              <w:top w:val="single" w:color="auto" w:sz="4" w:space="0"/>
              <w:left w:val="single" w:color="auto" w:sz="4" w:space="0"/>
              <w:bottom w:val="single" w:color="auto" w:sz="4" w:space="0"/>
              <w:right w:val="single" w:color="auto" w:sz="2" w:space="0"/>
            </w:tcBorders>
            <w:noWrap w:val="0"/>
            <w:tcMar>
              <w:top w:w="15" w:type="dxa"/>
              <w:left w:w="15" w:type="dxa"/>
              <w:bottom w:w="0" w:type="dxa"/>
              <w:right w:w="15" w:type="dxa"/>
            </w:tcMar>
            <w:vAlign w:val="center"/>
          </w:tcPr>
          <w:p w14:paraId="5E1C9BF9">
            <w:pPr>
              <w:pStyle w:val="35"/>
              <w:snapToGrid w:val="0"/>
              <w:spacing w:before="295" w:after="295"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2700" w:type="dxa"/>
            <w:tcBorders>
              <w:top w:val="single" w:color="auto" w:sz="6" w:space="0"/>
              <w:left w:val="single" w:color="auto" w:sz="2" w:space="0"/>
              <w:bottom w:val="single" w:color="auto" w:sz="6" w:space="0"/>
              <w:right w:val="single" w:color="auto" w:sz="4" w:space="0"/>
            </w:tcBorders>
            <w:noWrap w:val="0"/>
            <w:vAlign w:val="center"/>
          </w:tcPr>
          <w:p w14:paraId="21851ABE">
            <w:pPr>
              <w:pStyle w:val="35"/>
              <w:snapToGrid w:val="0"/>
              <w:spacing w:before="295" w:after="295" w:line="360" w:lineRule="exact"/>
              <w:jc w:val="center"/>
              <w:rPr>
                <w:rFonts w:hint="eastAsia" w:ascii="宋体" w:hAnsi="宋体" w:eastAsia="宋体" w:cs="宋体"/>
                <w:color w:val="auto"/>
                <w:highlight w:val="none"/>
              </w:rPr>
            </w:pPr>
          </w:p>
        </w:tc>
        <w:tc>
          <w:tcPr>
            <w:tcW w:w="1440" w:type="dxa"/>
            <w:tcBorders>
              <w:top w:val="single" w:color="auto" w:sz="6" w:space="0"/>
              <w:left w:val="single" w:color="auto" w:sz="4" w:space="0"/>
              <w:bottom w:val="single" w:color="auto" w:sz="6" w:space="0"/>
              <w:right w:val="single" w:color="auto" w:sz="6" w:space="0"/>
            </w:tcBorders>
            <w:noWrap w:val="0"/>
            <w:vAlign w:val="center"/>
          </w:tcPr>
          <w:p w14:paraId="535BEC0C">
            <w:pPr>
              <w:pStyle w:val="35"/>
              <w:snapToGrid w:val="0"/>
              <w:spacing w:before="295" w:after="295" w:line="360" w:lineRule="exact"/>
              <w:jc w:val="center"/>
              <w:rPr>
                <w:rFonts w:hint="eastAsia" w:ascii="宋体" w:hAnsi="宋体" w:eastAsia="宋体" w:cs="宋体"/>
                <w:color w:val="auto"/>
                <w:highlight w:val="none"/>
              </w:rPr>
            </w:pPr>
          </w:p>
        </w:tc>
        <w:tc>
          <w:tcPr>
            <w:tcW w:w="1440" w:type="dxa"/>
            <w:tcBorders>
              <w:top w:val="single" w:color="auto" w:sz="6"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14:paraId="4C27B5A6">
            <w:pPr>
              <w:pStyle w:val="35"/>
              <w:snapToGrid w:val="0"/>
              <w:spacing w:before="295" w:after="295" w:line="360" w:lineRule="exact"/>
              <w:jc w:val="center"/>
              <w:rPr>
                <w:rFonts w:hint="eastAsia" w:ascii="宋体" w:hAnsi="宋体" w:eastAsia="宋体" w:cs="宋体"/>
                <w:color w:val="auto"/>
                <w:highlight w:val="none"/>
              </w:rPr>
            </w:pPr>
          </w:p>
        </w:tc>
        <w:tc>
          <w:tcPr>
            <w:tcW w:w="3060" w:type="dxa"/>
            <w:tcBorders>
              <w:top w:val="single" w:color="auto" w:sz="6" w:space="0"/>
              <w:left w:val="single" w:color="auto" w:sz="6" w:space="0"/>
              <w:bottom w:val="single" w:color="auto" w:sz="6" w:space="0"/>
              <w:right w:val="single" w:color="auto" w:sz="2" w:space="0"/>
            </w:tcBorders>
            <w:noWrap w:val="0"/>
            <w:vAlign w:val="center"/>
          </w:tcPr>
          <w:p w14:paraId="749CD083">
            <w:pPr>
              <w:pStyle w:val="35"/>
              <w:snapToGrid w:val="0"/>
              <w:spacing w:before="295" w:after="295"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tc>
      </w:tr>
      <w:tr w14:paraId="5E2524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 w:hRule="atLeast"/>
        </w:trPr>
        <w:tc>
          <w:tcPr>
            <w:tcW w:w="735" w:type="dxa"/>
            <w:tcBorders>
              <w:top w:val="single" w:color="auto" w:sz="4" w:space="0"/>
              <w:left w:val="single" w:color="auto" w:sz="4" w:space="0"/>
              <w:bottom w:val="single" w:color="auto" w:sz="4" w:space="0"/>
              <w:right w:val="single" w:color="auto" w:sz="2" w:space="0"/>
            </w:tcBorders>
            <w:noWrap w:val="0"/>
            <w:tcMar>
              <w:top w:w="15" w:type="dxa"/>
              <w:left w:w="15" w:type="dxa"/>
              <w:bottom w:w="0" w:type="dxa"/>
              <w:right w:w="15" w:type="dxa"/>
            </w:tcMar>
            <w:vAlign w:val="center"/>
          </w:tcPr>
          <w:p w14:paraId="216832DA">
            <w:pPr>
              <w:pStyle w:val="35"/>
              <w:snapToGrid w:val="0"/>
              <w:spacing w:before="295" w:after="295"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2700" w:type="dxa"/>
            <w:tcBorders>
              <w:top w:val="single" w:color="auto" w:sz="6" w:space="0"/>
              <w:left w:val="single" w:color="auto" w:sz="2" w:space="0"/>
              <w:bottom w:val="single" w:color="auto" w:sz="6" w:space="0"/>
              <w:right w:val="single" w:color="auto" w:sz="4" w:space="0"/>
            </w:tcBorders>
            <w:noWrap w:val="0"/>
            <w:vAlign w:val="center"/>
          </w:tcPr>
          <w:p w14:paraId="3061918C">
            <w:pPr>
              <w:pStyle w:val="35"/>
              <w:snapToGrid w:val="0"/>
              <w:spacing w:before="295" w:after="295" w:line="360" w:lineRule="exact"/>
              <w:jc w:val="center"/>
              <w:rPr>
                <w:rFonts w:hint="eastAsia" w:ascii="宋体" w:hAnsi="宋体" w:eastAsia="宋体" w:cs="宋体"/>
                <w:color w:val="auto"/>
                <w:highlight w:val="none"/>
              </w:rPr>
            </w:pPr>
          </w:p>
        </w:tc>
        <w:tc>
          <w:tcPr>
            <w:tcW w:w="1440" w:type="dxa"/>
            <w:tcBorders>
              <w:top w:val="single" w:color="auto" w:sz="6" w:space="0"/>
              <w:left w:val="single" w:color="auto" w:sz="4" w:space="0"/>
              <w:bottom w:val="single" w:color="auto" w:sz="6" w:space="0"/>
              <w:right w:val="single" w:color="auto" w:sz="6" w:space="0"/>
            </w:tcBorders>
            <w:noWrap w:val="0"/>
            <w:vAlign w:val="center"/>
          </w:tcPr>
          <w:p w14:paraId="5F964FAE">
            <w:pPr>
              <w:pStyle w:val="35"/>
              <w:snapToGrid w:val="0"/>
              <w:spacing w:before="295" w:after="295" w:line="360" w:lineRule="exact"/>
              <w:jc w:val="center"/>
              <w:rPr>
                <w:rFonts w:hint="eastAsia" w:ascii="宋体" w:hAnsi="宋体" w:eastAsia="宋体" w:cs="宋体"/>
                <w:color w:val="auto"/>
                <w:highlight w:val="none"/>
              </w:rPr>
            </w:pPr>
          </w:p>
        </w:tc>
        <w:tc>
          <w:tcPr>
            <w:tcW w:w="1440" w:type="dxa"/>
            <w:tcBorders>
              <w:top w:val="single" w:color="auto" w:sz="6"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14:paraId="4984CE9D">
            <w:pPr>
              <w:pStyle w:val="35"/>
              <w:snapToGrid w:val="0"/>
              <w:spacing w:before="295" w:after="295" w:line="360" w:lineRule="exact"/>
              <w:jc w:val="center"/>
              <w:rPr>
                <w:rFonts w:hint="eastAsia" w:ascii="宋体" w:hAnsi="宋体" w:eastAsia="宋体" w:cs="宋体"/>
                <w:color w:val="auto"/>
                <w:highlight w:val="none"/>
              </w:rPr>
            </w:pPr>
          </w:p>
        </w:tc>
        <w:tc>
          <w:tcPr>
            <w:tcW w:w="3060" w:type="dxa"/>
            <w:tcBorders>
              <w:top w:val="single" w:color="auto" w:sz="6" w:space="0"/>
              <w:left w:val="single" w:color="auto" w:sz="6" w:space="0"/>
              <w:bottom w:val="single" w:color="auto" w:sz="6" w:space="0"/>
              <w:right w:val="single" w:color="auto" w:sz="2" w:space="0"/>
            </w:tcBorders>
            <w:noWrap w:val="0"/>
            <w:vAlign w:val="center"/>
          </w:tcPr>
          <w:p w14:paraId="34E24DC5">
            <w:pPr>
              <w:pStyle w:val="35"/>
              <w:snapToGrid w:val="0"/>
              <w:spacing w:before="295" w:after="295"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tc>
      </w:tr>
    </w:tbl>
    <w:p w14:paraId="21F6D0BA">
      <w:pPr>
        <w:snapToGrid w:val="0"/>
        <w:spacing w:before="50" w:after="50" w:line="360" w:lineRule="exact"/>
        <w:rPr>
          <w:rFonts w:hint="eastAsia" w:ascii="宋体" w:hAnsi="宋体" w:eastAsia="宋体" w:cs="宋体"/>
          <w:color w:val="auto"/>
          <w:spacing w:val="20"/>
          <w:szCs w:val="21"/>
          <w:highlight w:val="none"/>
          <w:u w:val="single"/>
        </w:rPr>
      </w:pPr>
      <w:r>
        <w:rPr>
          <w:rFonts w:hint="eastAsia" w:ascii="宋体" w:hAnsi="宋体" w:eastAsia="宋体" w:cs="宋体"/>
          <w:color w:val="auto"/>
          <w:spacing w:val="20"/>
          <w:szCs w:val="21"/>
          <w:highlight w:val="none"/>
        </w:rPr>
        <w:t>法定代表人（负责人）或委托代理人（签字或电子签名）：</w:t>
      </w:r>
      <w:r>
        <w:rPr>
          <w:rFonts w:hint="eastAsia" w:ascii="宋体" w:hAnsi="宋体" w:eastAsia="宋体" w:cs="宋体"/>
          <w:color w:val="auto"/>
          <w:spacing w:val="20"/>
          <w:szCs w:val="21"/>
          <w:highlight w:val="none"/>
          <w:u w:val="single"/>
        </w:rPr>
        <w:t xml:space="preserve">        </w:t>
      </w:r>
    </w:p>
    <w:p w14:paraId="619CC83F">
      <w:pPr>
        <w:rPr>
          <w:rFonts w:hint="eastAsia" w:ascii="宋体" w:hAnsi="宋体" w:eastAsia="宋体" w:cs="宋体"/>
          <w:b/>
          <w:bCs/>
          <w:color w:val="auto"/>
          <w:sz w:val="32"/>
          <w:szCs w:val="32"/>
          <w:highlight w:val="none"/>
        </w:rPr>
      </w:pPr>
      <w:r>
        <w:rPr>
          <w:rFonts w:hint="eastAsia" w:ascii="宋体" w:hAnsi="宋体" w:eastAsia="宋体" w:cs="宋体"/>
          <w:color w:val="auto"/>
          <w:spacing w:val="20"/>
          <w:szCs w:val="21"/>
          <w:highlight w:val="none"/>
        </w:rPr>
        <w:t>投标人名称（电子公章）：</w:t>
      </w:r>
      <w:r>
        <w:rPr>
          <w:rFonts w:hint="eastAsia" w:ascii="宋体" w:hAnsi="宋体" w:eastAsia="宋体" w:cs="宋体"/>
          <w:color w:val="auto"/>
          <w:spacing w:val="20"/>
          <w:szCs w:val="21"/>
          <w:highlight w:val="none"/>
          <w:u w:val="single"/>
        </w:rPr>
        <w:t xml:space="preserve">            </w:t>
      </w:r>
      <w:r>
        <w:rPr>
          <w:rFonts w:hint="eastAsia" w:ascii="宋体" w:hAnsi="宋体" w:eastAsia="宋体" w:cs="宋体"/>
          <w:color w:val="auto"/>
          <w:spacing w:val="20"/>
          <w:szCs w:val="21"/>
          <w:highlight w:val="none"/>
        </w:rPr>
        <w:t xml:space="preserve">            日 期：</w:t>
      </w:r>
      <w:r>
        <w:rPr>
          <w:rFonts w:hint="eastAsia" w:ascii="宋体" w:hAnsi="宋体" w:eastAsia="宋体" w:cs="宋体"/>
          <w:color w:val="auto"/>
          <w:spacing w:val="20"/>
          <w:szCs w:val="21"/>
          <w:highlight w:val="none"/>
          <w:u w:val="single"/>
        </w:rPr>
        <w:t xml:space="preserve">            </w:t>
      </w:r>
      <w:r>
        <w:rPr>
          <w:rFonts w:hint="eastAsia" w:ascii="宋体" w:hAnsi="宋体" w:eastAsia="宋体" w:cs="宋体"/>
          <w:b/>
          <w:bCs/>
          <w:color w:val="auto"/>
          <w:sz w:val="32"/>
          <w:szCs w:val="32"/>
          <w:highlight w:val="none"/>
        </w:rPr>
        <w:br w:type="page"/>
      </w:r>
    </w:p>
    <w:p w14:paraId="60394C15">
      <w:pPr>
        <w:pStyle w:val="3"/>
        <w:rPr>
          <w:rFonts w:hint="eastAsia" w:ascii="宋体" w:hAnsi="宋体" w:eastAsia="宋体" w:cs="宋体"/>
          <w:color w:val="auto"/>
          <w:highlight w:val="none"/>
          <w:lang w:val="en-US"/>
        </w:rPr>
        <w:sectPr>
          <w:headerReference r:id="rId13" w:type="first"/>
          <w:footerReference r:id="rId15" w:type="first"/>
          <w:headerReference r:id="rId12" w:type="default"/>
          <w:footerReference r:id="rId14" w:type="default"/>
          <w:pgSz w:w="11906" w:h="16838"/>
          <w:pgMar w:top="1276" w:right="1418" w:bottom="1247" w:left="1418" w:header="851" w:footer="992" w:gutter="0"/>
          <w:pgNumType w:fmt="decimal"/>
          <w:cols w:space="720" w:num="1"/>
          <w:titlePg/>
          <w:docGrid w:linePitch="312" w:charSpace="0"/>
        </w:sectPr>
      </w:pPr>
    </w:p>
    <w:p w14:paraId="05D338E3">
      <w:pPr>
        <w:spacing w:line="360" w:lineRule="auto"/>
        <w:jc w:val="center"/>
        <w:outlineLvl w:val="1"/>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报价文件部分</w:t>
      </w:r>
    </w:p>
    <w:p w14:paraId="72BD2504">
      <w:pPr>
        <w:spacing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目录</w:t>
      </w:r>
    </w:p>
    <w:p w14:paraId="2C9BFC62">
      <w:pPr>
        <w:spacing w:line="360" w:lineRule="auto"/>
        <w:jc w:val="center"/>
        <w:rPr>
          <w:rFonts w:hint="eastAsia" w:ascii="宋体" w:hAnsi="宋体" w:eastAsia="宋体" w:cs="宋体"/>
          <w:b/>
          <w:color w:val="auto"/>
          <w:kern w:val="0"/>
          <w:sz w:val="36"/>
          <w:szCs w:val="36"/>
          <w:highlight w:val="none"/>
        </w:rPr>
      </w:pPr>
    </w:p>
    <w:p w14:paraId="449EDDED">
      <w:pPr>
        <w:numPr>
          <w:ilvl w:val="0"/>
          <w:numId w:val="2"/>
        </w:num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投标函…………………………………………………………………………（页码）</w:t>
      </w:r>
    </w:p>
    <w:p w14:paraId="7C5844F3">
      <w:pPr>
        <w:numPr>
          <w:ilvl w:val="0"/>
          <w:numId w:val="2"/>
        </w:num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投标报价明细表………………………………………………………………（页码）</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开标一览表（报价表）………………………………………………………（页码）</w:t>
      </w:r>
    </w:p>
    <w:p w14:paraId="3EE4012B">
      <w:pPr>
        <w:numPr>
          <w:ilvl w:val="0"/>
          <w:numId w:val="0"/>
        </w:num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（4）投标人针对报价需要说明的其他文件和说明</w:t>
      </w:r>
      <w:r>
        <w:rPr>
          <w:rFonts w:hint="eastAsia" w:ascii="宋体" w:hAnsi="宋体" w:eastAsia="宋体" w:cs="宋体"/>
          <w:color w:val="auto"/>
          <w:sz w:val="24"/>
          <w:highlight w:val="none"/>
        </w:rPr>
        <w:t>………………………………（页码）</w:t>
      </w:r>
    </w:p>
    <w:p w14:paraId="0B37DFE3">
      <w:pPr>
        <w:snapToGrid w:val="0"/>
        <w:spacing w:line="360" w:lineRule="auto"/>
        <w:ind w:right="480"/>
        <w:jc w:val="center"/>
        <w:rPr>
          <w:rFonts w:hint="eastAsia" w:ascii="宋体" w:hAnsi="宋体" w:eastAsia="宋体" w:cs="宋体"/>
          <w:b/>
          <w:color w:val="auto"/>
          <w:kern w:val="0"/>
          <w:sz w:val="32"/>
          <w:szCs w:val="32"/>
          <w:highlight w:val="none"/>
        </w:rPr>
      </w:pPr>
    </w:p>
    <w:p w14:paraId="219A4A7F">
      <w:pPr>
        <w:snapToGrid w:val="0"/>
        <w:spacing w:line="360" w:lineRule="auto"/>
        <w:ind w:right="480"/>
        <w:jc w:val="center"/>
        <w:rPr>
          <w:rFonts w:hint="eastAsia" w:ascii="宋体" w:hAnsi="宋体" w:eastAsia="宋体" w:cs="宋体"/>
          <w:b/>
          <w:color w:val="auto"/>
          <w:kern w:val="0"/>
          <w:sz w:val="32"/>
          <w:szCs w:val="32"/>
          <w:highlight w:val="none"/>
        </w:rPr>
      </w:pPr>
    </w:p>
    <w:p w14:paraId="7400B9C3">
      <w:pPr>
        <w:snapToGrid w:val="0"/>
        <w:spacing w:line="360" w:lineRule="auto"/>
        <w:ind w:right="480"/>
        <w:jc w:val="center"/>
        <w:rPr>
          <w:rFonts w:hint="eastAsia" w:ascii="宋体" w:hAnsi="宋体" w:eastAsia="宋体" w:cs="宋体"/>
          <w:b/>
          <w:color w:val="auto"/>
          <w:kern w:val="0"/>
          <w:sz w:val="32"/>
          <w:szCs w:val="32"/>
          <w:highlight w:val="none"/>
        </w:rPr>
      </w:pPr>
    </w:p>
    <w:p w14:paraId="6B364135">
      <w:pPr>
        <w:snapToGrid w:val="0"/>
        <w:spacing w:line="360" w:lineRule="auto"/>
        <w:ind w:right="480"/>
        <w:jc w:val="center"/>
        <w:rPr>
          <w:rFonts w:hint="eastAsia" w:ascii="宋体" w:hAnsi="宋体" w:eastAsia="宋体" w:cs="宋体"/>
          <w:b/>
          <w:color w:val="auto"/>
          <w:kern w:val="0"/>
          <w:sz w:val="32"/>
          <w:szCs w:val="32"/>
          <w:highlight w:val="none"/>
        </w:rPr>
      </w:pPr>
    </w:p>
    <w:p w14:paraId="1C7F205D">
      <w:pPr>
        <w:snapToGrid w:val="0"/>
        <w:spacing w:line="360" w:lineRule="auto"/>
        <w:ind w:right="480"/>
        <w:jc w:val="center"/>
        <w:rPr>
          <w:rFonts w:hint="eastAsia" w:ascii="宋体" w:hAnsi="宋体" w:eastAsia="宋体" w:cs="宋体"/>
          <w:b/>
          <w:color w:val="auto"/>
          <w:kern w:val="0"/>
          <w:sz w:val="32"/>
          <w:szCs w:val="32"/>
          <w:highlight w:val="none"/>
        </w:rPr>
      </w:pPr>
    </w:p>
    <w:p w14:paraId="507C057E">
      <w:pPr>
        <w:snapToGrid w:val="0"/>
        <w:spacing w:line="360" w:lineRule="auto"/>
        <w:ind w:right="480"/>
        <w:jc w:val="center"/>
        <w:rPr>
          <w:rFonts w:hint="eastAsia" w:ascii="宋体" w:hAnsi="宋体" w:eastAsia="宋体" w:cs="宋体"/>
          <w:b/>
          <w:color w:val="auto"/>
          <w:kern w:val="0"/>
          <w:sz w:val="32"/>
          <w:szCs w:val="32"/>
          <w:highlight w:val="none"/>
        </w:rPr>
      </w:pPr>
    </w:p>
    <w:p w14:paraId="41E37BCA">
      <w:pPr>
        <w:snapToGrid w:val="0"/>
        <w:spacing w:line="360" w:lineRule="auto"/>
        <w:ind w:right="480"/>
        <w:jc w:val="center"/>
        <w:rPr>
          <w:rFonts w:hint="eastAsia" w:ascii="宋体" w:hAnsi="宋体" w:eastAsia="宋体" w:cs="宋体"/>
          <w:b/>
          <w:color w:val="auto"/>
          <w:kern w:val="0"/>
          <w:sz w:val="32"/>
          <w:szCs w:val="32"/>
          <w:highlight w:val="none"/>
        </w:rPr>
      </w:pPr>
    </w:p>
    <w:p w14:paraId="509D3013">
      <w:pPr>
        <w:snapToGrid w:val="0"/>
        <w:spacing w:line="360" w:lineRule="auto"/>
        <w:ind w:right="480"/>
        <w:jc w:val="center"/>
        <w:rPr>
          <w:rFonts w:hint="eastAsia" w:ascii="宋体" w:hAnsi="宋体" w:eastAsia="宋体" w:cs="宋体"/>
          <w:b/>
          <w:color w:val="auto"/>
          <w:kern w:val="0"/>
          <w:sz w:val="32"/>
          <w:szCs w:val="32"/>
          <w:highlight w:val="none"/>
        </w:rPr>
      </w:pPr>
    </w:p>
    <w:p w14:paraId="22375489">
      <w:pPr>
        <w:snapToGrid w:val="0"/>
        <w:spacing w:line="360" w:lineRule="auto"/>
        <w:ind w:right="480"/>
        <w:jc w:val="center"/>
        <w:rPr>
          <w:rFonts w:hint="eastAsia" w:ascii="宋体" w:hAnsi="宋体" w:eastAsia="宋体" w:cs="宋体"/>
          <w:b/>
          <w:color w:val="auto"/>
          <w:kern w:val="0"/>
          <w:sz w:val="32"/>
          <w:szCs w:val="32"/>
          <w:highlight w:val="none"/>
        </w:rPr>
      </w:pPr>
    </w:p>
    <w:p w14:paraId="74C865E6">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56B8D784">
      <w:pPr>
        <w:numPr>
          <w:ilvl w:val="0"/>
          <w:numId w:val="0"/>
        </w:numPr>
        <w:snapToGrid w:val="0"/>
        <w:spacing w:line="360" w:lineRule="auto"/>
        <w:jc w:val="both"/>
        <w:rPr>
          <w:rFonts w:hint="eastAsia" w:ascii="宋体" w:hAnsi="宋体" w:eastAsia="宋体" w:cs="宋体"/>
          <w:b/>
          <w:color w:val="auto"/>
          <w:sz w:val="32"/>
          <w:szCs w:val="32"/>
          <w:highlight w:val="none"/>
        </w:rPr>
      </w:pPr>
      <w:r>
        <w:rPr>
          <w:rFonts w:hint="eastAsia" w:ascii="宋体" w:hAnsi="宋体" w:eastAsia="宋体" w:cs="宋体"/>
          <w:b/>
          <w:color w:val="auto"/>
          <w:kern w:val="0"/>
          <w:sz w:val="32"/>
          <w:szCs w:val="32"/>
          <w:highlight w:val="none"/>
          <w:lang w:val="en-US" w:eastAsia="zh-CN"/>
        </w:rPr>
        <w:t>一、</w:t>
      </w:r>
      <w:r>
        <w:rPr>
          <w:rFonts w:hint="eastAsia" w:ascii="宋体" w:hAnsi="宋体" w:eastAsia="宋体" w:cs="宋体"/>
          <w:b/>
          <w:color w:val="auto"/>
          <w:kern w:val="0"/>
          <w:sz w:val="32"/>
          <w:szCs w:val="32"/>
          <w:highlight w:val="none"/>
        </w:rPr>
        <w:t>投标</w:t>
      </w:r>
      <w:r>
        <w:rPr>
          <w:rFonts w:hint="eastAsia" w:ascii="宋体" w:hAnsi="宋体" w:eastAsia="宋体" w:cs="宋体"/>
          <w:b/>
          <w:color w:val="auto"/>
          <w:sz w:val="32"/>
          <w:szCs w:val="32"/>
          <w:highlight w:val="none"/>
        </w:rPr>
        <w:t>函</w:t>
      </w:r>
    </w:p>
    <w:p w14:paraId="7C94C44C">
      <w:pPr>
        <w:pStyle w:val="63"/>
        <w:numPr>
          <w:ilvl w:val="0"/>
          <w:numId w:val="0"/>
        </w:numPr>
        <w:jc w:val="center"/>
        <w:rPr>
          <w:rFonts w:hint="eastAsia" w:ascii="宋体" w:hAnsi="宋体" w:eastAsia="宋体" w:cs="宋体"/>
          <w:color w:val="auto"/>
          <w:highlight w:val="none"/>
          <w:lang w:eastAsia="zh-CN"/>
        </w:rPr>
      </w:pPr>
      <w:r>
        <w:rPr>
          <w:rFonts w:hint="eastAsia" w:ascii="宋体" w:hAnsi="宋体" w:eastAsia="宋体" w:cs="宋体"/>
          <w:b/>
          <w:color w:val="auto"/>
          <w:kern w:val="0"/>
          <w:sz w:val="32"/>
          <w:szCs w:val="32"/>
          <w:highlight w:val="none"/>
        </w:rPr>
        <w:t>投标</w:t>
      </w:r>
      <w:r>
        <w:rPr>
          <w:rFonts w:hint="eastAsia" w:ascii="宋体" w:hAnsi="宋体" w:eastAsia="宋体" w:cs="宋体"/>
          <w:b/>
          <w:color w:val="auto"/>
          <w:sz w:val="32"/>
          <w:szCs w:val="32"/>
          <w:highlight w:val="none"/>
        </w:rPr>
        <w:t>函</w:t>
      </w:r>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lang w:val="en-US" w:eastAsia="zh-CN"/>
        </w:rPr>
        <w:t>格式</w:t>
      </w:r>
      <w:r>
        <w:rPr>
          <w:rFonts w:hint="eastAsia" w:ascii="宋体" w:hAnsi="宋体" w:eastAsia="宋体" w:cs="宋体"/>
          <w:b/>
          <w:color w:val="auto"/>
          <w:sz w:val="32"/>
          <w:szCs w:val="32"/>
          <w:highlight w:val="none"/>
          <w:lang w:eastAsia="zh-CN"/>
        </w:rPr>
        <w:t>）</w:t>
      </w:r>
    </w:p>
    <w:p w14:paraId="3782C1F4">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highlight w:val="none"/>
          <w:u w:val="single"/>
        </w:rPr>
        <w:t>（采购代理机构名称）</w:t>
      </w:r>
      <w:r>
        <w:rPr>
          <w:rFonts w:hint="eastAsia" w:ascii="宋体" w:hAnsi="宋体" w:eastAsia="宋体" w:cs="宋体"/>
          <w:color w:val="auto"/>
          <w:szCs w:val="21"/>
          <w:highlight w:val="none"/>
        </w:rPr>
        <w:t>：</w:t>
      </w:r>
    </w:p>
    <w:p w14:paraId="28FE1E39">
      <w:pPr>
        <w:snapToGrid w:val="0"/>
        <w:spacing w:line="36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根据贵方为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项目的招标公告/投标邀请书（项目编号：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），签字代表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（全名）经正式授权并代表投标人</w:t>
      </w:r>
      <w:r>
        <w:rPr>
          <w:rFonts w:hint="eastAsia" w:ascii="宋体" w:hAnsi="宋体" w:eastAsia="宋体" w:cs="宋体"/>
          <w:color w:val="auto"/>
          <w:szCs w:val="21"/>
          <w:highlight w:val="none"/>
          <w:u w:val="single"/>
        </w:rPr>
        <w:t xml:space="preserve">               </w:t>
      </w:r>
    </w:p>
    <w:p w14:paraId="0876AFB0">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（投标人名称）提交投标文件(其中资格文件一份；资信及商务文件、技术文件、投标报价文件一份)。</w:t>
      </w:r>
    </w:p>
    <w:p w14:paraId="76A92D5D">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据此函，签字代表宣布同意如下：</w:t>
      </w:r>
    </w:p>
    <w:p w14:paraId="18B23661">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1.投标人已详细审查全部“招标文件”，包括修改文件（如有的话）以及全部参考资料和有关附件，已经了解我方对于招标文件、采购过程、采购结果有依法进行询问、质疑、投诉的权利及相关渠道和要求。</w:t>
      </w:r>
    </w:p>
    <w:p w14:paraId="63233288">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2.投标人在投标之前已经与贵方进行了充分的沟通，完全理解并接受招标文件的各项规定和要求，对招标文件的合理性、合法性不再有异议。</w:t>
      </w:r>
    </w:p>
    <w:p w14:paraId="33AE4AEB">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3.本投标有效期自开标日起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个</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日（自然日）。</w:t>
      </w:r>
    </w:p>
    <w:p w14:paraId="7CFFBA41">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4.如中标，本投标文件至本项目合同履行完毕止均保持有效，本投标人将按“招标文件”及政府采购法律、法规的规定履行合同责任和义务。</w:t>
      </w:r>
    </w:p>
    <w:p w14:paraId="3B5DA452">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5.投标人同意按照贵方要求提供与投标有关的一切数据或资料。</w:t>
      </w:r>
    </w:p>
    <w:p w14:paraId="477BDA22">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6.与本投标有关的一切正式往来信函请寄：</w:t>
      </w:r>
    </w:p>
    <w:p w14:paraId="48ABC6D0">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邮编：</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电话：</w:t>
      </w:r>
      <w:r>
        <w:rPr>
          <w:rFonts w:hint="eastAsia" w:ascii="宋体" w:hAnsi="宋体" w:eastAsia="宋体" w:cs="宋体"/>
          <w:color w:val="auto"/>
          <w:szCs w:val="21"/>
          <w:highlight w:val="none"/>
          <w:u w:val="single"/>
        </w:rPr>
        <w:t xml:space="preserve">               </w:t>
      </w:r>
    </w:p>
    <w:p w14:paraId="7D6C4EF1">
      <w:pPr>
        <w:snapToGrid w:val="0"/>
        <w:spacing w:line="36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传真：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电子邮箱地址：</w:t>
      </w:r>
      <w:r>
        <w:rPr>
          <w:rFonts w:hint="eastAsia" w:ascii="宋体" w:hAnsi="宋体" w:eastAsia="宋体" w:cs="宋体"/>
          <w:color w:val="auto"/>
          <w:szCs w:val="21"/>
          <w:highlight w:val="none"/>
          <w:u w:val="single"/>
        </w:rPr>
        <w:t xml:space="preserve">             </w:t>
      </w:r>
    </w:p>
    <w:p w14:paraId="598BB7C0">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投标人代表姓名：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职务：</w:t>
      </w:r>
      <w:r>
        <w:rPr>
          <w:rFonts w:hint="eastAsia" w:ascii="宋体" w:hAnsi="宋体" w:eastAsia="宋体" w:cs="宋体"/>
          <w:color w:val="auto"/>
          <w:szCs w:val="21"/>
          <w:highlight w:val="none"/>
          <w:u w:val="single"/>
        </w:rPr>
        <w:t xml:space="preserve">             </w:t>
      </w:r>
    </w:p>
    <w:p w14:paraId="412A4C47">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0992DDF6">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银行账号：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16B5A04F">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法定代表人（负责人）或委托代理人（签字或电子签名）：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5811C601">
      <w:pPr>
        <w:snapToGrid w:val="0"/>
        <w:spacing w:line="360" w:lineRule="exact"/>
        <w:rPr>
          <w:rFonts w:hint="eastAsia" w:ascii="宋体" w:hAnsi="宋体" w:eastAsia="宋体" w:cs="宋体"/>
          <w:color w:val="auto"/>
          <w:szCs w:val="21"/>
          <w:highlight w:val="none"/>
        </w:rPr>
      </w:pPr>
    </w:p>
    <w:p w14:paraId="5F44E54E">
      <w:pPr>
        <w:pStyle w:val="35"/>
        <w:wordWrap w:val="0"/>
        <w:snapToGrid w:val="0"/>
        <w:spacing w:before="295" w:after="295" w:line="360" w:lineRule="exact"/>
        <w:jc w:val="right"/>
        <w:rPr>
          <w:rFonts w:hint="eastAsia" w:ascii="宋体" w:hAnsi="宋体" w:eastAsia="宋体" w:cs="宋体"/>
          <w:color w:val="auto"/>
          <w:highlight w:val="none"/>
        </w:rPr>
      </w:pPr>
      <w:r>
        <w:rPr>
          <w:rFonts w:hint="eastAsia" w:ascii="宋体" w:hAnsi="宋体" w:eastAsia="宋体" w:cs="宋体"/>
          <w:color w:val="auto"/>
          <w:highlight w:val="none"/>
        </w:rPr>
        <w:t xml:space="preserve">投标人名称（电子公章）：        </w:t>
      </w:r>
    </w:p>
    <w:p w14:paraId="52474AF6">
      <w:pPr>
        <w:spacing w:line="360" w:lineRule="auto"/>
        <w:ind w:right="420"/>
        <w:jc w:val="right"/>
        <w:rPr>
          <w:rFonts w:hint="eastAsia" w:ascii="宋体" w:hAnsi="宋体" w:eastAsia="宋体" w:cs="宋体"/>
          <w:color w:val="auto"/>
          <w:sz w:val="21"/>
          <w:szCs w:val="21"/>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14:paraId="16F17626">
      <w:pPr>
        <w:pStyle w:val="63"/>
        <w:rPr>
          <w:rFonts w:hint="eastAsia" w:ascii="宋体" w:hAnsi="宋体" w:eastAsia="宋体" w:cs="宋体"/>
          <w:color w:val="auto"/>
          <w:highlight w:val="none"/>
        </w:rPr>
      </w:pPr>
    </w:p>
    <w:p w14:paraId="45E755C4">
      <w:pPr>
        <w:snapToGrid w:val="0"/>
        <w:spacing w:line="360" w:lineRule="auto"/>
        <w:ind w:right="480"/>
        <w:jc w:val="center"/>
        <w:rPr>
          <w:rFonts w:hint="eastAsia" w:ascii="宋体" w:hAnsi="宋体" w:eastAsia="宋体" w:cs="宋体"/>
          <w:b/>
          <w:color w:val="auto"/>
          <w:kern w:val="0"/>
          <w:sz w:val="32"/>
          <w:szCs w:val="32"/>
          <w:highlight w:val="none"/>
        </w:rPr>
      </w:pPr>
    </w:p>
    <w:p w14:paraId="58028C58">
      <w:pPr>
        <w:snapToGrid w:val="0"/>
        <w:spacing w:line="360" w:lineRule="auto"/>
        <w:ind w:right="480"/>
        <w:jc w:val="center"/>
        <w:rPr>
          <w:rFonts w:hint="eastAsia" w:ascii="宋体" w:hAnsi="宋体" w:eastAsia="宋体" w:cs="宋体"/>
          <w:b/>
          <w:color w:val="auto"/>
          <w:kern w:val="0"/>
          <w:sz w:val="32"/>
          <w:szCs w:val="32"/>
          <w:highlight w:val="none"/>
        </w:rPr>
      </w:pPr>
    </w:p>
    <w:p w14:paraId="524F3D15">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5EEEEF0C">
      <w:pPr>
        <w:pStyle w:val="63"/>
        <w:ind w:left="0" w:leftChars="0" w:firstLine="0" w:firstLineChars="0"/>
        <w:rPr>
          <w:rFonts w:hint="eastAsia" w:ascii="宋体" w:hAnsi="宋体" w:eastAsia="宋体" w:cs="宋体"/>
          <w:b/>
          <w:snapToGrid/>
          <w:color w:val="auto"/>
          <w:kern w:val="0"/>
          <w:sz w:val="32"/>
          <w:szCs w:val="32"/>
          <w:highlight w:val="none"/>
          <w:lang w:val="en-US" w:eastAsia="zh-CN" w:bidi="ar-SA"/>
        </w:rPr>
      </w:pPr>
      <w:r>
        <w:rPr>
          <w:rFonts w:hint="eastAsia" w:ascii="宋体" w:hAnsi="宋体" w:eastAsia="宋体" w:cs="宋体"/>
          <w:b/>
          <w:snapToGrid/>
          <w:color w:val="auto"/>
          <w:kern w:val="0"/>
          <w:sz w:val="32"/>
          <w:szCs w:val="32"/>
          <w:highlight w:val="none"/>
          <w:lang w:val="en-US" w:eastAsia="zh-CN" w:bidi="ar-SA"/>
        </w:rPr>
        <w:t>二、投标报价明细表</w:t>
      </w:r>
    </w:p>
    <w:p w14:paraId="2A9CE29E">
      <w:pPr>
        <w:pStyle w:val="35"/>
        <w:snapToGrid w:val="0"/>
        <w:spacing w:before="295" w:after="295" w:line="36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投标报价明细表</w:t>
      </w:r>
    </w:p>
    <w:p w14:paraId="4EBD9596">
      <w:pPr>
        <w:pStyle w:val="35"/>
        <w:snapToGrid w:val="0"/>
        <w:spacing w:before="295" w:after="295" w:line="36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w w:val="99"/>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spacing w:val="-1"/>
          <w:highlight w:val="none"/>
        </w:rPr>
        <w:t>分</w:t>
      </w:r>
      <w:r>
        <w:rPr>
          <w:rFonts w:hint="eastAsia" w:ascii="宋体" w:hAnsi="宋体" w:eastAsia="宋体" w:cs="宋体"/>
          <w:color w:val="auto"/>
          <w:spacing w:val="2"/>
          <w:highlight w:val="none"/>
        </w:rPr>
        <w:t>标</w:t>
      </w:r>
      <w:r>
        <w:rPr>
          <w:rFonts w:hint="eastAsia" w:ascii="宋体" w:hAnsi="宋体" w:eastAsia="宋体" w:cs="宋体"/>
          <w:color w:val="auto"/>
          <w:spacing w:val="-1"/>
          <w:highlight w:val="none"/>
        </w:rPr>
        <w:t>（</w:t>
      </w:r>
      <w:r>
        <w:rPr>
          <w:rFonts w:hint="eastAsia" w:ascii="宋体" w:hAnsi="宋体" w:eastAsia="宋体" w:cs="宋体"/>
          <w:color w:val="auto"/>
          <w:spacing w:val="2"/>
          <w:highlight w:val="none"/>
        </w:rPr>
        <w:t>有</w:t>
      </w:r>
      <w:r>
        <w:rPr>
          <w:rFonts w:hint="eastAsia" w:ascii="宋体" w:hAnsi="宋体" w:eastAsia="宋体" w:cs="宋体"/>
          <w:color w:val="auto"/>
          <w:spacing w:val="-1"/>
          <w:highlight w:val="none"/>
        </w:rPr>
        <w:t>分</w:t>
      </w:r>
      <w:r>
        <w:rPr>
          <w:rFonts w:hint="eastAsia" w:ascii="宋体" w:hAnsi="宋体" w:eastAsia="宋体" w:cs="宋体"/>
          <w:color w:val="auto"/>
          <w:spacing w:val="2"/>
          <w:highlight w:val="none"/>
        </w:rPr>
        <w:t>标</w:t>
      </w:r>
      <w:r>
        <w:rPr>
          <w:rFonts w:hint="eastAsia" w:ascii="宋体" w:hAnsi="宋体" w:eastAsia="宋体" w:cs="宋体"/>
          <w:color w:val="auto"/>
          <w:spacing w:val="-1"/>
          <w:highlight w:val="none"/>
        </w:rPr>
        <w:t>时</w:t>
      </w:r>
      <w:r>
        <w:rPr>
          <w:rFonts w:hint="eastAsia" w:ascii="宋体" w:hAnsi="宋体" w:eastAsia="宋体" w:cs="宋体"/>
          <w:color w:val="auto"/>
          <w:spacing w:val="2"/>
          <w:highlight w:val="none"/>
        </w:rPr>
        <w:t>填</w:t>
      </w:r>
      <w:r>
        <w:rPr>
          <w:rFonts w:hint="eastAsia" w:ascii="宋体" w:hAnsi="宋体" w:eastAsia="宋体" w:cs="宋体"/>
          <w:color w:val="auto"/>
          <w:spacing w:val="-1"/>
          <w:highlight w:val="none"/>
        </w:rPr>
        <w:t>写</w:t>
      </w:r>
      <w:r>
        <w:rPr>
          <w:rFonts w:hint="eastAsia" w:ascii="宋体" w:hAnsi="宋体" w:eastAsia="宋体" w:cs="宋体"/>
          <w:color w:val="auto"/>
          <w:highlight w:val="none"/>
        </w:rPr>
        <w:t>）                 金额单位：人民币（元）</w:t>
      </w:r>
    </w:p>
    <w:tbl>
      <w:tblPr>
        <w:tblStyle w:val="6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1092"/>
        <w:gridCol w:w="1042"/>
        <w:gridCol w:w="1148"/>
        <w:gridCol w:w="1147"/>
        <w:gridCol w:w="657"/>
        <w:gridCol w:w="1041"/>
        <w:gridCol w:w="1066"/>
        <w:gridCol w:w="1066"/>
      </w:tblGrid>
      <w:tr w14:paraId="47B16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jc w:val="center"/>
        </w:trPr>
        <w:tc>
          <w:tcPr>
            <w:tcW w:w="587" w:type="dxa"/>
            <w:noWrap w:val="0"/>
            <w:vAlign w:val="center"/>
          </w:tcPr>
          <w:p w14:paraId="152E75C5">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092" w:type="dxa"/>
            <w:noWrap w:val="0"/>
            <w:vAlign w:val="center"/>
          </w:tcPr>
          <w:p w14:paraId="7357BF12">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产品</w:t>
            </w:r>
          </w:p>
          <w:p w14:paraId="4BA77100">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w:t>
            </w:r>
          </w:p>
        </w:tc>
        <w:tc>
          <w:tcPr>
            <w:tcW w:w="1042" w:type="dxa"/>
            <w:noWrap w:val="0"/>
            <w:vAlign w:val="center"/>
          </w:tcPr>
          <w:p w14:paraId="55039F84">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商标</w:t>
            </w:r>
          </w:p>
          <w:p w14:paraId="00764EF6">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品牌</w:t>
            </w:r>
          </w:p>
        </w:tc>
        <w:tc>
          <w:tcPr>
            <w:tcW w:w="1148" w:type="dxa"/>
            <w:noWrap w:val="0"/>
            <w:vAlign w:val="center"/>
          </w:tcPr>
          <w:p w14:paraId="21C98ED2">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规格</w:t>
            </w:r>
          </w:p>
          <w:p w14:paraId="11E514A1">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型号</w:t>
            </w:r>
          </w:p>
        </w:tc>
        <w:tc>
          <w:tcPr>
            <w:tcW w:w="1147" w:type="dxa"/>
            <w:noWrap w:val="0"/>
            <w:vAlign w:val="center"/>
          </w:tcPr>
          <w:p w14:paraId="5D041F9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生产</w:t>
            </w:r>
          </w:p>
          <w:p w14:paraId="5C563D29">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厂家</w:t>
            </w:r>
          </w:p>
        </w:tc>
        <w:tc>
          <w:tcPr>
            <w:tcW w:w="657" w:type="dxa"/>
            <w:noWrap w:val="0"/>
            <w:vAlign w:val="center"/>
          </w:tcPr>
          <w:p w14:paraId="5DEEEBE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  量</w:t>
            </w:r>
          </w:p>
        </w:tc>
        <w:tc>
          <w:tcPr>
            <w:tcW w:w="1041" w:type="dxa"/>
            <w:noWrap w:val="0"/>
            <w:vAlign w:val="center"/>
          </w:tcPr>
          <w:p w14:paraId="1F5D9287">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1066" w:type="dxa"/>
            <w:noWrap w:val="0"/>
            <w:vAlign w:val="center"/>
          </w:tcPr>
          <w:p w14:paraId="21400260">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  价</w:t>
            </w:r>
          </w:p>
          <w:p w14:paraId="3B28FE4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（元）</w:t>
            </w:r>
          </w:p>
        </w:tc>
        <w:tc>
          <w:tcPr>
            <w:tcW w:w="1066" w:type="dxa"/>
            <w:noWrap w:val="0"/>
            <w:vAlign w:val="center"/>
          </w:tcPr>
          <w:p w14:paraId="2F9E7BD7">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总</w:t>
            </w:r>
            <w:r>
              <w:rPr>
                <w:rFonts w:hint="eastAsia" w:ascii="宋体" w:hAnsi="宋体" w:eastAsia="宋体" w:cs="宋体"/>
                <w:color w:val="auto"/>
                <w:szCs w:val="21"/>
                <w:highlight w:val="none"/>
              </w:rPr>
              <w:t xml:space="preserve">  价</w:t>
            </w:r>
          </w:p>
          <w:p w14:paraId="1B16AD42">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（元）</w:t>
            </w:r>
          </w:p>
        </w:tc>
      </w:tr>
      <w:tr w14:paraId="0424D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587" w:type="dxa"/>
            <w:noWrap w:val="0"/>
            <w:vAlign w:val="center"/>
          </w:tcPr>
          <w:p w14:paraId="04483AD6">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092" w:type="dxa"/>
            <w:noWrap w:val="0"/>
            <w:vAlign w:val="center"/>
          </w:tcPr>
          <w:p w14:paraId="2F993901">
            <w:pPr>
              <w:adjustRightInd w:val="0"/>
              <w:snapToGrid w:val="0"/>
              <w:spacing w:line="400" w:lineRule="exact"/>
              <w:jc w:val="center"/>
              <w:rPr>
                <w:rFonts w:hint="eastAsia" w:ascii="宋体" w:hAnsi="宋体" w:eastAsia="宋体" w:cs="宋体"/>
                <w:color w:val="auto"/>
                <w:szCs w:val="21"/>
                <w:highlight w:val="none"/>
              </w:rPr>
            </w:pPr>
          </w:p>
        </w:tc>
        <w:tc>
          <w:tcPr>
            <w:tcW w:w="1042" w:type="dxa"/>
            <w:noWrap w:val="0"/>
            <w:vAlign w:val="center"/>
          </w:tcPr>
          <w:p w14:paraId="2098937B">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148" w:type="dxa"/>
            <w:noWrap w:val="0"/>
            <w:vAlign w:val="center"/>
          </w:tcPr>
          <w:p w14:paraId="039A0C4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147" w:type="dxa"/>
            <w:noWrap w:val="0"/>
            <w:vAlign w:val="top"/>
          </w:tcPr>
          <w:p w14:paraId="5F33A5DD">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657" w:type="dxa"/>
            <w:noWrap w:val="0"/>
            <w:vAlign w:val="top"/>
          </w:tcPr>
          <w:p w14:paraId="584BF493">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041" w:type="dxa"/>
            <w:noWrap w:val="0"/>
            <w:vAlign w:val="top"/>
          </w:tcPr>
          <w:p w14:paraId="37261FC0">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066" w:type="dxa"/>
            <w:noWrap w:val="0"/>
            <w:vAlign w:val="center"/>
          </w:tcPr>
          <w:p w14:paraId="74B4D02D">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066" w:type="dxa"/>
            <w:noWrap w:val="0"/>
            <w:vAlign w:val="center"/>
          </w:tcPr>
          <w:p w14:paraId="0894666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r>
      <w:tr w14:paraId="42C37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587" w:type="dxa"/>
            <w:noWrap w:val="0"/>
            <w:vAlign w:val="center"/>
          </w:tcPr>
          <w:p w14:paraId="751B78A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092" w:type="dxa"/>
            <w:noWrap w:val="0"/>
            <w:vAlign w:val="center"/>
          </w:tcPr>
          <w:p w14:paraId="024DBDA6">
            <w:pPr>
              <w:adjustRightInd w:val="0"/>
              <w:snapToGrid w:val="0"/>
              <w:spacing w:line="400" w:lineRule="exact"/>
              <w:jc w:val="center"/>
              <w:rPr>
                <w:rFonts w:hint="default" w:ascii="宋体" w:hAnsi="宋体" w:eastAsia="宋体" w:cs="宋体"/>
                <w:color w:val="auto"/>
                <w:szCs w:val="21"/>
                <w:highlight w:val="none"/>
                <w:lang w:val="en-US" w:eastAsia="zh-CN"/>
              </w:rPr>
            </w:pPr>
          </w:p>
        </w:tc>
        <w:tc>
          <w:tcPr>
            <w:tcW w:w="1042" w:type="dxa"/>
            <w:noWrap w:val="0"/>
            <w:vAlign w:val="center"/>
          </w:tcPr>
          <w:p w14:paraId="774F514D">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148" w:type="dxa"/>
            <w:noWrap w:val="0"/>
            <w:vAlign w:val="center"/>
          </w:tcPr>
          <w:p w14:paraId="1554F159">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147" w:type="dxa"/>
            <w:noWrap w:val="0"/>
            <w:vAlign w:val="top"/>
          </w:tcPr>
          <w:p w14:paraId="6AFC0B3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657" w:type="dxa"/>
            <w:noWrap w:val="0"/>
            <w:vAlign w:val="top"/>
          </w:tcPr>
          <w:p w14:paraId="3691480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041" w:type="dxa"/>
            <w:noWrap w:val="0"/>
            <w:vAlign w:val="top"/>
          </w:tcPr>
          <w:p w14:paraId="78BE35F8">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066" w:type="dxa"/>
            <w:noWrap w:val="0"/>
            <w:vAlign w:val="center"/>
          </w:tcPr>
          <w:p w14:paraId="6ED4E0A1">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066" w:type="dxa"/>
            <w:noWrap w:val="0"/>
            <w:vAlign w:val="center"/>
          </w:tcPr>
          <w:p w14:paraId="0D6EF5C9">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r>
      <w:tr w14:paraId="76D68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587" w:type="dxa"/>
            <w:noWrap w:val="0"/>
            <w:vAlign w:val="center"/>
          </w:tcPr>
          <w:p w14:paraId="57217FC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092" w:type="dxa"/>
            <w:noWrap w:val="0"/>
            <w:vAlign w:val="center"/>
          </w:tcPr>
          <w:p w14:paraId="64F302FD">
            <w:pPr>
              <w:adjustRightInd w:val="0"/>
              <w:snapToGrid w:val="0"/>
              <w:spacing w:line="400" w:lineRule="exact"/>
              <w:jc w:val="center"/>
              <w:rPr>
                <w:rFonts w:hint="eastAsia" w:ascii="宋体" w:hAnsi="宋体" w:eastAsia="宋体" w:cs="宋体"/>
                <w:color w:val="auto"/>
                <w:szCs w:val="21"/>
                <w:highlight w:val="none"/>
              </w:rPr>
            </w:pPr>
          </w:p>
        </w:tc>
        <w:tc>
          <w:tcPr>
            <w:tcW w:w="1042" w:type="dxa"/>
            <w:noWrap w:val="0"/>
            <w:vAlign w:val="center"/>
          </w:tcPr>
          <w:p w14:paraId="3D0AF105">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148" w:type="dxa"/>
            <w:noWrap w:val="0"/>
            <w:vAlign w:val="center"/>
          </w:tcPr>
          <w:p w14:paraId="192C457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147" w:type="dxa"/>
            <w:noWrap w:val="0"/>
            <w:vAlign w:val="top"/>
          </w:tcPr>
          <w:p w14:paraId="75B6A7EC">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657" w:type="dxa"/>
            <w:noWrap w:val="0"/>
            <w:vAlign w:val="top"/>
          </w:tcPr>
          <w:p w14:paraId="06275D68">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041" w:type="dxa"/>
            <w:noWrap w:val="0"/>
            <w:vAlign w:val="top"/>
          </w:tcPr>
          <w:p w14:paraId="6DD001D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066" w:type="dxa"/>
            <w:noWrap w:val="0"/>
            <w:vAlign w:val="center"/>
          </w:tcPr>
          <w:p w14:paraId="34F71F3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066" w:type="dxa"/>
            <w:noWrap w:val="0"/>
            <w:vAlign w:val="center"/>
          </w:tcPr>
          <w:p w14:paraId="72A31A85">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r>
      <w:tr w14:paraId="024B9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587" w:type="dxa"/>
            <w:noWrap w:val="0"/>
            <w:vAlign w:val="center"/>
          </w:tcPr>
          <w:p w14:paraId="2360F74C">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w:t>
            </w:r>
          </w:p>
        </w:tc>
        <w:tc>
          <w:tcPr>
            <w:tcW w:w="1092" w:type="dxa"/>
            <w:noWrap w:val="0"/>
            <w:vAlign w:val="center"/>
          </w:tcPr>
          <w:p w14:paraId="55345DC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042" w:type="dxa"/>
            <w:noWrap w:val="0"/>
            <w:vAlign w:val="center"/>
          </w:tcPr>
          <w:p w14:paraId="6C66B3C2">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148" w:type="dxa"/>
            <w:noWrap w:val="0"/>
            <w:vAlign w:val="center"/>
          </w:tcPr>
          <w:p w14:paraId="3EBC8447">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147" w:type="dxa"/>
            <w:noWrap w:val="0"/>
            <w:vAlign w:val="top"/>
          </w:tcPr>
          <w:p w14:paraId="3496790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657" w:type="dxa"/>
            <w:noWrap w:val="0"/>
            <w:vAlign w:val="top"/>
          </w:tcPr>
          <w:p w14:paraId="0EB1CC6D">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041" w:type="dxa"/>
            <w:noWrap w:val="0"/>
            <w:vAlign w:val="top"/>
          </w:tcPr>
          <w:p w14:paraId="53395E18">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066" w:type="dxa"/>
            <w:noWrap w:val="0"/>
            <w:vAlign w:val="center"/>
          </w:tcPr>
          <w:p w14:paraId="7D157DC0">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066" w:type="dxa"/>
            <w:noWrap w:val="0"/>
            <w:vAlign w:val="center"/>
          </w:tcPr>
          <w:p w14:paraId="4CBB3EA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r>
      <w:tr w14:paraId="67811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8846" w:type="dxa"/>
            <w:gridSpan w:val="9"/>
            <w:noWrap w:val="0"/>
            <w:vAlign w:val="center"/>
          </w:tcPr>
          <w:p w14:paraId="1AADC316">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highlight w:val="none"/>
                <w:lang w:val="en-US" w:eastAsia="zh-CN"/>
              </w:rPr>
              <w:t>投标报价合计</w:t>
            </w:r>
            <w:r>
              <w:rPr>
                <w:rFonts w:hint="eastAsia" w:ascii="宋体" w:hAnsi="宋体" w:eastAsia="宋体" w:cs="宋体"/>
                <w:color w:val="auto"/>
                <w:szCs w:val="21"/>
                <w:highlight w:val="none"/>
              </w:rPr>
              <w:t xml:space="preserve">（大写）人民币                          （小写）      </w:t>
            </w:r>
          </w:p>
        </w:tc>
      </w:tr>
    </w:tbl>
    <w:p w14:paraId="79074001">
      <w:pPr>
        <w:snapToGrid w:val="0"/>
        <w:spacing w:before="50" w:after="50" w:line="360" w:lineRule="exact"/>
        <w:jc w:val="left"/>
        <w:outlineLvl w:val="9"/>
        <w:rPr>
          <w:rFonts w:hint="eastAsia" w:ascii="宋体" w:hAnsi="宋体" w:eastAsia="宋体" w:cs="宋体"/>
          <w:color w:val="auto"/>
          <w:szCs w:val="21"/>
          <w:highlight w:val="none"/>
        </w:rPr>
      </w:pPr>
      <w:r>
        <w:rPr>
          <w:rFonts w:hint="eastAsia" w:ascii="宋体" w:hAnsi="宋体" w:eastAsia="宋体" w:cs="宋体"/>
          <w:b/>
          <w:bCs/>
          <w:color w:val="auto"/>
          <w:spacing w:val="20"/>
          <w:szCs w:val="21"/>
          <w:highlight w:val="none"/>
        </w:rPr>
        <w:t>说明：</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报价</w:t>
      </w:r>
      <w:r>
        <w:rPr>
          <w:rFonts w:hint="eastAsia" w:ascii="宋体" w:hAnsi="宋体" w:eastAsia="宋体" w:cs="宋体"/>
          <w:color w:val="auto"/>
          <w:szCs w:val="21"/>
          <w:highlight w:val="none"/>
          <w:lang w:val="en-US" w:eastAsia="zh-CN"/>
        </w:rPr>
        <w:t>不得</w:t>
      </w:r>
      <w:r>
        <w:rPr>
          <w:rFonts w:hint="eastAsia" w:ascii="宋体" w:hAnsi="宋体" w:eastAsia="宋体" w:cs="宋体"/>
          <w:color w:val="auto"/>
          <w:szCs w:val="21"/>
          <w:highlight w:val="none"/>
        </w:rPr>
        <w:t>涂改，否则其投标作无效标处理。</w:t>
      </w:r>
    </w:p>
    <w:p w14:paraId="6656D536">
      <w:pPr>
        <w:snapToGrid w:val="0"/>
        <w:spacing w:before="50" w:after="50" w:line="360" w:lineRule="exact"/>
        <w:ind w:firstLine="630" w:firstLineChars="3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 w:val="21"/>
          <w:szCs w:val="21"/>
          <w:highlight w:val="none"/>
          <w:u w:val="none"/>
          <w:lang w:val="en-US" w:eastAsia="zh-CN"/>
        </w:rPr>
        <w:t>投标报价为投标人在采购人指定地点交付所投产品时所产生的一切费用总和；</w:t>
      </w:r>
      <w:r>
        <w:rPr>
          <w:rFonts w:hint="eastAsia" w:ascii="宋体" w:hAnsi="宋体" w:eastAsia="宋体" w:cs="宋体"/>
          <w:color w:val="auto"/>
          <w:sz w:val="21"/>
          <w:szCs w:val="21"/>
          <w:highlight w:val="none"/>
        </w:rPr>
        <w:t>包括货款、标准附件、备品备件、专用工具、</w:t>
      </w:r>
      <w:r>
        <w:rPr>
          <w:rFonts w:hint="eastAsia" w:ascii="宋体" w:hAnsi="宋体" w:eastAsia="宋体" w:cs="宋体"/>
          <w:color w:val="auto"/>
          <w:sz w:val="21"/>
          <w:szCs w:val="21"/>
          <w:highlight w:val="none"/>
          <w:lang w:val="en-US" w:eastAsia="zh-CN"/>
        </w:rPr>
        <w:t>人工费、服务费、</w:t>
      </w:r>
      <w:r>
        <w:rPr>
          <w:rFonts w:hint="eastAsia" w:ascii="宋体" w:hAnsi="宋体" w:cs="宋体"/>
          <w:color w:val="auto"/>
          <w:sz w:val="21"/>
          <w:szCs w:val="21"/>
          <w:highlight w:val="none"/>
          <w:lang w:val="en-US" w:eastAsia="zh-CN"/>
        </w:rPr>
        <w:t>上牌费、</w:t>
      </w:r>
      <w:r>
        <w:rPr>
          <w:rFonts w:hint="eastAsia" w:ascii="宋体" w:hAnsi="宋体" w:eastAsia="宋体" w:cs="宋体"/>
          <w:color w:val="auto"/>
          <w:sz w:val="21"/>
          <w:szCs w:val="21"/>
          <w:highlight w:val="none"/>
        </w:rPr>
        <w:t>包装、运输、装卸、</w:t>
      </w:r>
      <w:r>
        <w:rPr>
          <w:rFonts w:hint="eastAsia" w:ascii="宋体" w:hAnsi="宋体" w:eastAsia="宋体" w:cs="宋体"/>
          <w:color w:val="auto"/>
          <w:sz w:val="21"/>
          <w:szCs w:val="21"/>
          <w:highlight w:val="none"/>
          <w:lang w:val="en-US" w:eastAsia="zh-CN"/>
        </w:rPr>
        <w:t>检测、试验、</w:t>
      </w:r>
      <w:r>
        <w:rPr>
          <w:rFonts w:hint="eastAsia" w:ascii="宋体" w:hAnsi="宋体" w:eastAsia="宋体" w:cs="宋体"/>
          <w:color w:val="auto"/>
          <w:sz w:val="21"/>
          <w:szCs w:val="21"/>
          <w:highlight w:val="none"/>
        </w:rPr>
        <w:t>保险</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含交强险</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、税</w:t>
      </w:r>
      <w:r>
        <w:rPr>
          <w:rFonts w:hint="eastAsia" w:ascii="宋体" w:hAnsi="宋体" w:cs="宋体"/>
          <w:color w:val="auto"/>
          <w:sz w:val="21"/>
          <w:szCs w:val="21"/>
          <w:highlight w:val="none"/>
          <w:lang w:val="en-US" w:eastAsia="zh-CN"/>
        </w:rPr>
        <w:t>费</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含车船税</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、货到就位以及安装、调试、</w:t>
      </w:r>
      <w:r>
        <w:rPr>
          <w:rFonts w:hint="eastAsia" w:ascii="宋体" w:hAnsi="宋体" w:eastAsia="宋体" w:cs="宋体"/>
          <w:color w:val="auto"/>
          <w:sz w:val="21"/>
          <w:szCs w:val="21"/>
          <w:highlight w:val="none"/>
          <w:lang w:val="en-US" w:eastAsia="zh-CN"/>
        </w:rPr>
        <w:t>验收、</w:t>
      </w:r>
      <w:r>
        <w:rPr>
          <w:rFonts w:hint="eastAsia" w:ascii="宋体" w:hAnsi="宋体" w:eastAsia="宋体" w:cs="宋体"/>
          <w:color w:val="auto"/>
          <w:sz w:val="21"/>
          <w:szCs w:val="21"/>
          <w:highlight w:val="none"/>
        </w:rPr>
        <w:t>培训、保修</w:t>
      </w:r>
      <w:r>
        <w:rPr>
          <w:rFonts w:hint="eastAsia" w:ascii="宋体" w:hAnsi="宋体" w:eastAsia="宋体" w:cs="宋体"/>
          <w:color w:val="auto"/>
          <w:sz w:val="21"/>
          <w:szCs w:val="21"/>
          <w:highlight w:val="none"/>
          <w:lang w:val="en-US" w:eastAsia="zh-CN"/>
        </w:rPr>
        <w:t>费</w:t>
      </w:r>
      <w:r>
        <w:rPr>
          <w:rFonts w:hint="eastAsia" w:ascii="宋体" w:hAnsi="宋体" w:eastAsia="宋体" w:cs="宋体"/>
          <w:color w:val="auto"/>
          <w:sz w:val="21"/>
          <w:szCs w:val="21"/>
          <w:highlight w:val="none"/>
        </w:rPr>
        <w:t>等</w:t>
      </w:r>
      <w:r>
        <w:rPr>
          <w:rFonts w:hint="eastAsia" w:ascii="宋体" w:hAnsi="宋体" w:eastAsia="宋体" w:cs="宋体"/>
          <w:color w:val="auto"/>
          <w:sz w:val="21"/>
          <w:szCs w:val="21"/>
          <w:highlight w:val="none"/>
          <w:lang w:val="en-US" w:eastAsia="zh-CN"/>
        </w:rPr>
        <w:t>成本</w:t>
      </w:r>
      <w:r>
        <w:rPr>
          <w:rFonts w:hint="eastAsia" w:ascii="宋体" w:hAnsi="宋体" w:cs="宋体"/>
          <w:color w:val="auto"/>
          <w:sz w:val="21"/>
          <w:szCs w:val="21"/>
          <w:highlight w:val="none"/>
          <w:lang w:val="en-US" w:eastAsia="zh-CN"/>
        </w:rPr>
        <w:t>、税金</w:t>
      </w:r>
      <w:r>
        <w:rPr>
          <w:rFonts w:hint="eastAsia" w:ascii="宋体" w:hAnsi="宋体" w:eastAsia="宋体" w:cs="宋体"/>
          <w:color w:val="auto"/>
          <w:sz w:val="21"/>
          <w:szCs w:val="21"/>
          <w:highlight w:val="none"/>
          <w:lang w:val="en-US" w:eastAsia="zh-CN"/>
        </w:rPr>
        <w:t>及利润</w:t>
      </w:r>
      <w:r>
        <w:rPr>
          <w:rFonts w:hint="eastAsia" w:ascii="宋体" w:hAnsi="宋体" w:eastAsia="宋体" w:cs="宋体"/>
          <w:color w:val="auto"/>
          <w:sz w:val="21"/>
          <w:szCs w:val="21"/>
          <w:highlight w:val="none"/>
          <w:u w:val="none"/>
          <w:lang w:val="en-US" w:eastAsia="zh-CN"/>
        </w:rPr>
        <w:t>。</w:t>
      </w:r>
    </w:p>
    <w:p w14:paraId="68422DC1">
      <w:pPr>
        <w:snapToGrid w:val="0"/>
        <w:spacing w:before="50" w:after="50" w:line="360" w:lineRule="exact"/>
        <w:ind w:firstLine="630" w:firstLineChars="3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.所投产品</w:t>
      </w:r>
      <w:r>
        <w:rPr>
          <w:rFonts w:hint="eastAsia" w:ascii="宋体" w:hAnsi="宋体" w:eastAsia="宋体" w:cs="宋体"/>
          <w:color w:val="auto"/>
          <w:sz w:val="21"/>
          <w:szCs w:val="21"/>
          <w:highlight w:val="none"/>
          <w:lang w:val="en-US" w:eastAsia="zh-CN"/>
        </w:rPr>
        <w:t>如</w:t>
      </w:r>
      <w:r>
        <w:rPr>
          <w:rFonts w:hint="eastAsia" w:ascii="宋体" w:hAnsi="宋体" w:eastAsia="宋体" w:cs="宋体"/>
          <w:color w:val="auto"/>
          <w:sz w:val="21"/>
          <w:szCs w:val="21"/>
          <w:highlight w:val="none"/>
        </w:rPr>
        <w:t>有专用耗材的必须提供</w:t>
      </w:r>
      <w:r>
        <w:rPr>
          <w:rFonts w:hint="eastAsia" w:ascii="宋体" w:hAnsi="宋体" w:eastAsia="宋体" w:cs="宋体"/>
          <w:color w:val="auto"/>
          <w:sz w:val="21"/>
          <w:szCs w:val="21"/>
          <w:highlight w:val="none"/>
          <w:lang w:val="en-US" w:eastAsia="zh-CN"/>
        </w:rPr>
        <w:t>专用耗材的</w:t>
      </w:r>
      <w:r>
        <w:rPr>
          <w:rFonts w:hint="eastAsia" w:ascii="宋体" w:hAnsi="宋体" w:eastAsia="宋体" w:cs="宋体"/>
          <w:color w:val="auto"/>
          <w:sz w:val="21"/>
          <w:szCs w:val="21"/>
          <w:highlight w:val="none"/>
        </w:rPr>
        <w:t>明细报价。</w:t>
      </w:r>
    </w:p>
    <w:p w14:paraId="3E8093E7">
      <w:pPr>
        <w:snapToGrid w:val="0"/>
        <w:spacing w:before="50" w:after="50" w:line="360" w:lineRule="exact"/>
        <w:ind w:firstLine="630" w:firstLineChars="300"/>
        <w:jc w:val="left"/>
        <w:outlineLvl w:val="9"/>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评标委员会认为投标人的投标报价明显低于其他通过符合性审查投标人的投标报价，有可能影响产品质量或者不能诚信履约的，应当要求其在评标现场合理的时间内提供书面说明，必要时提交相关证明材料；投标人不能证明其投标报价合理性的，评标委员会应当将其作为无效投标处理。</w:t>
      </w:r>
    </w:p>
    <w:p w14:paraId="4A4C732E">
      <w:pPr>
        <w:snapToGrid w:val="0"/>
        <w:spacing w:before="50" w:after="50" w:line="360" w:lineRule="exact"/>
        <w:rPr>
          <w:rFonts w:hint="eastAsia" w:ascii="宋体" w:hAnsi="宋体" w:eastAsia="宋体" w:cs="宋体"/>
          <w:color w:val="auto"/>
          <w:spacing w:val="20"/>
          <w:szCs w:val="21"/>
          <w:highlight w:val="none"/>
          <w:u w:val="single"/>
        </w:rPr>
      </w:pPr>
      <w:r>
        <w:rPr>
          <w:rFonts w:hint="eastAsia" w:ascii="宋体" w:hAnsi="宋体" w:eastAsia="宋体" w:cs="宋体"/>
          <w:color w:val="auto"/>
          <w:spacing w:val="20"/>
          <w:szCs w:val="21"/>
          <w:highlight w:val="none"/>
        </w:rPr>
        <w:t>法定代表人（负责人）或委托代理人（签字或电子签名）：</w:t>
      </w:r>
      <w:r>
        <w:rPr>
          <w:rFonts w:hint="eastAsia" w:ascii="宋体" w:hAnsi="宋体" w:eastAsia="宋体" w:cs="宋体"/>
          <w:color w:val="auto"/>
          <w:spacing w:val="20"/>
          <w:szCs w:val="21"/>
          <w:highlight w:val="none"/>
          <w:u w:val="single"/>
        </w:rPr>
        <w:t xml:space="preserve">          </w:t>
      </w:r>
    </w:p>
    <w:p w14:paraId="79B04BAA">
      <w:pPr>
        <w:snapToGrid w:val="0"/>
        <w:spacing w:line="360" w:lineRule="auto"/>
        <w:ind w:right="480"/>
        <w:jc w:val="both"/>
        <w:rPr>
          <w:rFonts w:hint="eastAsia" w:ascii="宋体" w:hAnsi="宋体" w:eastAsia="宋体" w:cs="宋体"/>
          <w:b/>
          <w:color w:val="auto"/>
          <w:kern w:val="0"/>
          <w:sz w:val="32"/>
          <w:szCs w:val="32"/>
          <w:highlight w:val="none"/>
        </w:rPr>
      </w:pPr>
      <w:r>
        <w:rPr>
          <w:rFonts w:hint="eastAsia" w:ascii="宋体" w:hAnsi="宋体" w:eastAsia="宋体" w:cs="宋体"/>
          <w:color w:val="auto"/>
          <w:szCs w:val="21"/>
          <w:highlight w:val="none"/>
        </w:rPr>
        <w:t>投标人名称（电子公章）：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日  期：</w:t>
      </w:r>
      <w:r>
        <w:rPr>
          <w:rFonts w:hint="eastAsia" w:ascii="宋体" w:hAnsi="宋体" w:eastAsia="宋体" w:cs="宋体"/>
          <w:color w:val="auto"/>
          <w:szCs w:val="21"/>
          <w:highlight w:val="none"/>
          <w:u w:val="single"/>
        </w:rPr>
        <w:t xml:space="preserve">         </w:t>
      </w:r>
    </w:p>
    <w:p w14:paraId="6931A6F8">
      <w:pPr>
        <w:snapToGrid w:val="0"/>
        <w:spacing w:line="360" w:lineRule="auto"/>
        <w:ind w:right="480"/>
        <w:jc w:val="center"/>
        <w:rPr>
          <w:rFonts w:hint="eastAsia" w:ascii="宋体" w:hAnsi="宋体" w:eastAsia="宋体" w:cs="宋体"/>
          <w:b/>
          <w:color w:val="auto"/>
          <w:kern w:val="0"/>
          <w:sz w:val="32"/>
          <w:szCs w:val="32"/>
          <w:highlight w:val="none"/>
        </w:rPr>
      </w:pPr>
    </w:p>
    <w:p w14:paraId="776EA293">
      <w:pPr>
        <w:pStyle w:val="692"/>
        <w:keepNext w:val="0"/>
        <w:pageBreakBefore w:val="0"/>
        <w:tabs>
          <w:tab w:val="clear" w:pos="720"/>
        </w:tabs>
        <w:snapToGrid w:val="0"/>
        <w:spacing w:before="120" w:after="120"/>
        <w:ind w:firstLine="643"/>
        <w:outlineLvl w:val="9"/>
        <w:rPr>
          <w:rFonts w:hint="eastAsia" w:ascii="宋体" w:hAnsi="宋体" w:eastAsia="宋体" w:cs="宋体"/>
          <w:color w:val="auto"/>
          <w:kern w:val="2"/>
          <w:sz w:val="32"/>
          <w:szCs w:val="32"/>
          <w:highlight w:val="none"/>
        </w:rPr>
        <w:sectPr>
          <w:headerReference r:id="rId17" w:type="first"/>
          <w:footerReference r:id="rId19" w:type="first"/>
          <w:headerReference r:id="rId16" w:type="default"/>
          <w:footerReference r:id="rId18" w:type="default"/>
          <w:pgSz w:w="11906" w:h="16838"/>
          <w:pgMar w:top="1276" w:right="1418" w:bottom="1247" w:left="1418" w:header="851" w:footer="992" w:gutter="0"/>
          <w:pgNumType w:fmt="decimal"/>
          <w:cols w:space="720" w:num="1"/>
          <w:titlePg/>
          <w:docGrid w:linePitch="312" w:charSpace="0"/>
        </w:sectPr>
      </w:pPr>
    </w:p>
    <w:p w14:paraId="3A23FEDE">
      <w:pPr>
        <w:pStyle w:val="84"/>
        <w:jc w:val="left"/>
        <w:rPr>
          <w:rFonts w:hint="eastAsia" w:ascii="宋体" w:hAnsi="宋体" w:eastAsia="宋体" w:cs="宋体"/>
          <w:b/>
          <w:color w:val="auto"/>
          <w:sz w:val="32"/>
          <w:szCs w:val="32"/>
          <w:highlight w:val="none"/>
        </w:rPr>
      </w:pPr>
      <w:bookmarkStart w:id="425" w:name="_Toc176185127"/>
      <w:r>
        <w:rPr>
          <w:rFonts w:hint="eastAsia" w:ascii="宋体" w:hAnsi="宋体" w:eastAsia="宋体" w:cs="宋体"/>
          <w:b/>
          <w:color w:val="auto"/>
          <w:sz w:val="32"/>
          <w:szCs w:val="32"/>
          <w:highlight w:val="none"/>
          <w:lang w:val="en-US" w:eastAsia="zh-CN"/>
        </w:rPr>
        <w:t>三</w:t>
      </w:r>
      <w:r>
        <w:rPr>
          <w:rFonts w:hint="eastAsia" w:ascii="宋体" w:hAnsi="宋体" w:eastAsia="宋体" w:cs="宋体"/>
          <w:b/>
          <w:color w:val="auto"/>
          <w:sz w:val="32"/>
          <w:szCs w:val="32"/>
          <w:highlight w:val="none"/>
        </w:rPr>
        <w:t>、开标一览表（报价表）</w:t>
      </w:r>
      <w:bookmarkEnd w:id="425"/>
    </w:p>
    <w:p w14:paraId="143C56B7">
      <w:pPr>
        <w:snapToGrid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b/>
          <w:color w:val="auto"/>
          <w:sz w:val="32"/>
          <w:szCs w:val="32"/>
          <w:highlight w:val="none"/>
        </w:rPr>
        <w:t>开标一览表（报价表）</w:t>
      </w:r>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lang w:val="en-US" w:eastAsia="zh-CN"/>
        </w:rPr>
        <w:t>格式</w:t>
      </w:r>
      <w:r>
        <w:rPr>
          <w:rFonts w:hint="eastAsia" w:ascii="宋体" w:hAnsi="宋体" w:eastAsia="宋体" w:cs="宋体"/>
          <w:b/>
          <w:color w:val="auto"/>
          <w:sz w:val="32"/>
          <w:szCs w:val="32"/>
          <w:highlight w:val="none"/>
          <w:lang w:eastAsia="zh-CN"/>
        </w:rPr>
        <w:t>）</w:t>
      </w:r>
    </w:p>
    <w:p w14:paraId="1BE7CBC2">
      <w:pPr>
        <w:snapToGrid w:val="0"/>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（采购人）、（采购代理机构）</w:t>
      </w:r>
      <w:r>
        <w:rPr>
          <w:rFonts w:hint="eastAsia" w:ascii="宋体" w:hAnsi="宋体" w:eastAsia="宋体" w:cs="宋体"/>
          <w:color w:val="auto"/>
          <w:kern w:val="0"/>
          <w:sz w:val="21"/>
          <w:szCs w:val="21"/>
          <w:highlight w:val="none"/>
          <w:lang w:val="zh-CN"/>
        </w:rPr>
        <w:t>：</w:t>
      </w:r>
    </w:p>
    <w:p w14:paraId="1396B476">
      <w:pPr>
        <w:snapToGrid w:val="0"/>
        <w:spacing w:line="360" w:lineRule="auto"/>
        <w:ind w:firstLine="482"/>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按你方招标文件要求，我们，本投标文件签字方，谨此向你方发出要约如下：如你方接受本投标，我方承诺按照如下开标一览表（报价表）的价格完成</w:t>
      </w:r>
      <w:r>
        <w:rPr>
          <w:rFonts w:hint="eastAsia" w:ascii="宋体" w:hAnsi="宋体" w:eastAsia="宋体" w:cs="宋体"/>
          <w:color w:val="auto"/>
          <w:sz w:val="21"/>
          <w:szCs w:val="21"/>
          <w:highlight w:val="none"/>
        </w:rPr>
        <w:t>（项目名称）</w:t>
      </w:r>
      <w:r>
        <w:rPr>
          <w:rFonts w:hint="eastAsia" w:ascii="宋体" w:hAnsi="宋体" w:eastAsia="宋体" w:cs="宋体"/>
          <w:color w:val="auto"/>
          <w:kern w:val="0"/>
          <w:sz w:val="21"/>
          <w:szCs w:val="21"/>
          <w:highlight w:val="none"/>
          <w:lang w:val="zh-CN"/>
        </w:rPr>
        <w:t>【招标编号：</w:t>
      </w:r>
      <w:r>
        <w:rPr>
          <w:rFonts w:hint="eastAsia" w:ascii="宋体" w:hAnsi="宋体" w:eastAsia="宋体" w:cs="宋体"/>
          <w:color w:val="auto"/>
          <w:sz w:val="21"/>
          <w:szCs w:val="21"/>
          <w:highlight w:val="none"/>
        </w:rPr>
        <w:t>（采购编号）】的实施</w:t>
      </w:r>
      <w:r>
        <w:rPr>
          <w:rFonts w:hint="eastAsia" w:ascii="宋体" w:hAnsi="宋体" w:eastAsia="宋体" w:cs="宋体"/>
          <w:color w:val="auto"/>
          <w:kern w:val="0"/>
          <w:sz w:val="21"/>
          <w:szCs w:val="21"/>
          <w:highlight w:val="none"/>
          <w:lang w:val="zh-CN"/>
        </w:rPr>
        <w:t>。</w:t>
      </w:r>
    </w:p>
    <w:p w14:paraId="7890EB3D">
      <w:pPr>
        <w:spacing w:line="360" w:lineRule="auto"/>
        <w:jc w:val="center"/>
        <w:rPr>
          <w:rFonts w:hint="eastAsia" w:ascii="宋体" w:hAnsi="宋体" w:eastAsia="宋体" w:cs="宋体"/>
          <w:b/>
          <w:color w:val="auto"/>
          <w:kern w:val="0"/>
          <w:sz w:val="21"/>
          <w:szCs w:val="21"/>
          <w:highlight w:val="none"/>
          <w:lang w:val="zh-CN"/>
        </w:rPr>
      </w:pPr>
      <w:r>
        <w:rPr>
          <w:rFonts w:hint="eastAsia" w:ascii="宋体" w:hAnsi="宋体" w:eastAsia="宋体" w:cs="宋体"/>
          <w:b/>
          <w:color w:val="auto"/>
          <w:kern w:val="0"/>
          <w:sz w:val="21"/>
          <w:szCs w:val="21"/>
          <w:highlight w:val="none"/>
          <w:lang w:val="zh-CN"/>
        </w:rPr>
        <w:t>开标一览表（报价表）(单位均为人民币元)</w:t>
      </w:r>
    </w:p>
    <w:tbl>
      <w:tblPr>
        <w:tblStyle w:val="64"/>
        <w:tblW w:w="14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843"/>
        <w:gridCol w:w="3118"/>
        <w:gridCol w:w="993"/>
        <w:gridCol w:w="1559"/>
        <w:gridCol w:w="1984"/>
        <w:gridCol w:w="3119"/>
      </w:tblGrid>
      <w:tr w14:paraId="1785D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jc w:val="center"/>
        </w:trPr>
        <w:tc>
          <w:tcPr>
            <w:tcW w:w="534" w:type="dxa"/>
            <w:vAlign w:val="center"/>
          </w:tcPr>
          <w:p w14:paraId="17A26FC2">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417" w:type="dxa"/>
            <w:vAlign w:val="center"/>
          </w:tcPr>
          <w:p w14:paraId="0060E20C">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名称</w:t>
            </w:r>
          </w:p>
        </w:tc>
        <w:tc>
          <w:tcPr>
            <w:tcW w:w="1843" w:type="dxa"/>
            <w:vAlign w:val="center"/>
          </w:tcPr>
          <w:p w14:paraId="59DBB67B">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生产厂家、品牌</w:t>
            </w:r>
          </w:p>
        </w:tc>
        <w:tc>
          <w:tcPr>
            <w:tcW w:w="3118" w:type="dxa"/>
            <w:vAlign w:val="center"/>
          </w:tcPr>
          <w:p w14:paraId="1F9983ED">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规格型号</w:t>
            </w:r>
          </w:p>
        </w:tc>
        <w:tc>
          <w:tcPr>
            <w:tcW w:w="993" w:type="dxa"/>
            <w:vAlign w:val="center"/>
          </w:tcPr>
          <w:p w14:paraId="0819DABB">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数量</w:t>
            </w:r>
          </w:p>
        </w:tc>
        <w:tc>
          <w:tcPr>
            <w:tcW w:w="1559" w:type="dxa"/>
            <w:vAlign w:val="center"/>
          </w:tcPr>
          <w:p w14:paraId="054954FB">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单价</w:t>
            </w:r>
          </w:p>
        </w:tc>
        <w:tc>
          <w:tcPr>
            <w:tcW w:w="1984" w:type="dxa"/>
            <w:vAlign w:val="center"/>
          </w:tcPr>
          <w:p w14:paraId="5CB58FE7">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合计</w:t>
            </w:r>
          </w:p>
        </w:tc>
        <w:tc>
          <w:tcPr>
            <w:tcW w:w="3119" w:type="dxa"/>
            <w:vAlign w:val="center"/>
          </w:tcPr>
          <w:p w14:paraId="070C33BB">
            <w:pPr>
              <w:spacing w:line="360" w:lineRule="auto"/>
              <w:jc w:val="center"/>
              <w:rPr>
                <w:rFonts w:hint="eastAsia" w:ascii="宋体" w:hAnsi="宋体" w:eastAsia="宋体" w:cs="宋体"/>
                <w:b/>
                <w:color w:val="auto"/>
                <w:sz w:val="21"/>
                <w:szCs w:val="21"/>
                <w:highlight w:val="none"/>
              </w:rPr>
            </w:pPr>
          </w:p>
          <w:p w14:paraId="2DA19A28">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备注（如果有）</w:t>
            </w:r>
          </w:p>
          <w:p w14:paraId="03C85BBA">
            <w:pPr>
              <w:spacing w:line="360" w:lineRule="auto"/>
              <w:jc w:val="center"/>
              <w:rPr>
                <w:rFonts w:hint="eastAsia" w:ascii="宋体" w:hAnsi="宋体" w:eastAsia="宋体" w:cs="宋体"/>
                <w:b/>
                <w:color w:val="auto"/>
                <w:sz w:val="21"/>
                <w:szCs w:val="21"/>
                <w:highlight w:val="none"/>
              </w:rPr>
            </w:pPr>
          </w:p>
        </w:tc>
      </w:tr>
      <w:tr w14:paraId="67168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34" w:type="dxa"/>
            <w:vAlign w:val="center"/>
          </w:tcPr>
          <w:p w14:paraId="2647F018">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417" w:type="dxa"/>
            <w:vAlign w:val="center"/>
          </w:tcPr>
          <w:p w14:paraId="30F03585">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XX</w:t>
            </w:r>
          </w:p>
        </w:tc>
        <w:tc>
          <w:tcPr>
            <w:tcW w:w="1843" w:type="dxa"/>
            <w:vAlign w:val="center"/>
          </w:tcPr>
          <w:p w14:paraId="4ABE904F">
            <w:pPr>
              <w:snapToGrid w:val="0"/>
              <w:spacing w:line="360" w:lineRule="auto"/>
              <w:jc w:val="center"/>
              <w:rPr>
                <w:rFonts w:hint="eastAsia" w:ascii="宋体" w:hAnsi="宋体" w:eastAsia="宋体" w:cs="宋体"/>
                <w:color w:val="auto"/>
                <w:sz w:val="21"/>
                <w:szCs w:val="21"/>
                <w:highlight w:val="none"/>
              </w:rPr>
            </w:pPr>
          </w:p>
        </w:tc>
        <w:tc>
          <w:tcPr>
            <w:tcW w:w="3118" w:type="dxa"/>
            <w:vAlign w:val="center"/>
          </w:tcPr>
          <w:p w14:paraId="66FCA80E">
            <w:pPr>
              <w:snapToGrid w:val="0"/>
              <w:spacing w:line="360" w:lineRule="auto"/>
              <w:jc w:val="center"/>
              <w:rPr>
                <w:rFonts w:hint="eastAsia" w:ascii="宋体" w:hAnsi="宋体" w:eastAsia="宋体" w:cs="宋体"/>
                <w:color w:val="auto"/>
                <w:sz w:val="21"/>
                <w:szCs w:val="21"/>
                <w:highlight w:val="none"/>
              </w:rPr>
            </w:pPr>
          </w:p>
        </w:tc>
        <w:tc>
          <w:tcPr>
            <w:tcW w:w="993" w:type="dxa"/>
            <w:vAlign w:val="center"/>
          </w:tcPr>
          <w:p w14:paraId="5D55E745">
            <w:pPr>
              <w:snapToGrid w:val="0"/>
              <w:spacing w:line="360" w:lineRule="auto"/>
              <w:jc w:val="center"/>
              <w:rPr>
                <w:rFonts w:hint="eastAsia" w:ascii="宋体" w:hAnsi="宋体" w:eastAsia="宋体" w:cs="宋体"/>
                <w:color w:val="auto"/>
                <w:sz w:val="21"/>
                <w:szCs w:val="21"/>
                <w:highlight w:val="none"/>
              </w:rPr>
            </w:pPr>
          </w:p>
        </w:tc>
        <w:tc>
          <w:tcPr>
            <w:tcW w:w="1559" w:type="dxa"/>
            <w:vAlign w:val="center"/>
          </w:tcPr>
          <w:p w14:paraId="3C38217B">
            <w:pPr>
              <w:spacing w:line="360" w:lineRule="auto"/>
              <w:jc w:val="center"/>
              <w:rPr>
                <w:rFonts w:hint="eastAsia" w:ascii="宋体" w:hAnsi="宋体" w:eastAsia="宋体" w:cs="宋体"/>
                <w:color w:val="auto"/>
                <w:sz w:val="21"/>
                <w:szCs w:val="21"/>
                <w:highlight w:val="none"/>
              </w:rPr>
            </w:pPr>
          </w:p>
        </w:tc>
        <w:tc>
          <w:tcPr>
            <w:tcW w:w="1984" w:type="dxa"/>
            <w:vAlign w:val="center"/>
          </w:tcPr>
          <w:p w14:paraId="7317C8B5">
            <w:pPr>
              <w:spacing w:line="360" w:lineRule="auto"/>
              <w:jc w:val="center"/>
              <w:rPr>
                <w:rFonts w:hint="eastAsia" w:ascii="宋体" w:hAnsi="宋体" w:eastAsia="宋体" w:cs="宋体"/>
                <w:color w:val="auto"/>
                <w:sz w:val="21"/>
                <w:szCs w:val="21"/>
                <w:highlight w:val="none"/>
              </w:rPr>
            </w:pPr>
          </w:p>
        </w:tc>
        <w:tc>
          <w:tcPr>
            <w:tcW w:w="3119" w:type="dxa"/>
            <w:vAlign w:val="center"/>
          </w:tcPr>
          <w:p w14:paraId="3D3763B2">
            <w:pPr>
              <w:spacing w:line="360" w:lineRule="auto"/>
              <w:jc w:val="center"/>
              <w:rPr>
                <w:rFonts w:hint="eastAsia" w:ascii="宋体" w:hAnsi="宋体" w:eastAsia="宋体" w:cs="宋体"/>
                <w:color w:val="auto"/>
                <w:sz w:val="21"/>
                <w:szCs w:val="21"/>
                <w:highlight w:val="none"/>
              </w:rPr>
            </w:pPr>
          </w:p>
        </w:tc>
      </w:tr>
      <w:tr w14:paraId="0E8E2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14:paraId="251C2791">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417" w:type="dxa"/>
            <w:vAlign w:val="center"/>
          </w:tcPr>
          <w:p w14:paraId="48B87871">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XX</w:t>
            </w:r>
          </w:p>
        </w:tc>
        <w:tc>
          <w:tcPr>
            <w:tcW w:w="1843" w:type="dxa"/>
            <w:vAlign w:val="center"/>
          </w:tcPr>
          <w:p w14:paraId="4D505E1E">
            <w:pPr>
              <w:snapToGrid w:val="0"/>
              <w:spacing w:line="360" w:lineRule="auto"/>
              <w:jc w:val="center"/>
              <w:rPr>
                <w:rFonts w:hint="eastAsia" w:ascii="宋体" w:hAnsi="宋体" w:eastAsia="宋体" w:cs="宋体"/>
                <w:color w:val="auto"/>
                <w:sz w:val="21"/>
                <w:szCs w:val="21"/>
                <w:highlight w:val="none"/>
              </w:rPr>
            </w:pPr>
          </w:p>
        </w:tc>
        <w:tc>
          <w:tcPr>
            <w:tcW w:w="3118" w:type="dxa"/>
            <w:vAlign w:val="center"/>
          </w:tcPr>
          <w:p w14:paraId="7D824347">
            <w:pPr>
              <w:snapToGrid w:val="0"/>
              <w:spacing w:line="360" w:lineRule="auto"/>
              <w:jc w:val="center"/>
              <w:rPr>
                <w:rFonts w:hint="eastAsia" w:ascii="宋体" w:hAnsi="宋体" w:eastAsia="宋体" w:cs="宋体"/>
                <w:color w:val="auto"/>
                <w:sz w:val="21"/>
                <w:szCs w:val="21"/>
                <w:highlight w:val="none"/>
              </w:rPr>
            </w:pPr>
          </w:p>
        </w:tc>
        <w:tc>
          <w:tcPr>
            <w:tcW w:w="993" w:type="dxa"/>
            <w:vAlign w:val="center"/>
          </w:tcPr>
          <w:p w14:paraId="6C4798A4">
            <w:pPr>
              <w:snapToGrid w:val="0"/>
              <w:spacing w:line="360" w:lineRule="auto"/>
              <w:jc w:val="center"/>
              <w:rPr>
                <w:rFonts w:hint="eastAsia" w:ascii="宋体" w:hAnsi="宋体" w:eastAsia="宋体" w:cs="宋体"/>
                <w:color w:val="auto"/>
                <w:sz w:val="21"/>
                <w:szCs w:val="21"/>
                <w:highlight w:val="none"/>
              </w:rPr>
            </w:pPr>
          </w:p>
        </w:tc>
        <w:tc>
          <w:tcPr>
            <w:tcW w:w="1559" w:type="dxa"/>
            <w:vAlign w:val="center"/>
          </w:tcPr>
          <w:p w14:paraId="0CD5ED47">
            <w:pPr>
              <w:spacing w:line="360" w:lineRule="auto"/>
              <w:jc w:val="center"/>
              <w:rPr>
                <w:rFonts w:hint="eastAsia" w:ascii="宋体" w:hAnsi="宋体" w:eastAsia="宋体" w:cs="宋体"/>
                <w:color w:val="auto"/>
                <w:sz w:val="21"/>
                <w:szCs w:val="21"/>
                <w:highlight w:val="none"/>
              </w:rPr>
            </w:pPr>
          </w:p>
        </w:tc>
        <w:tc>
          <w:tcPr>
            <w:tcW w:w="1984" w:type="dxa"/>
            <w:vAlign w:val="center"/>
          </w:tcPr>
          <w:p w14:paraId="6FD83CE0">
            <w:pPr>
              <w:spacing w:line="360" w:lineRule="auto"/>
              <w:jc w:val="center"/>
              <w:rPr>
                <w:rFonts w:hint="eastAsia" w:ascii="宋体" w:hAnsi="宋体" w:eastAsia="宋体" w:cs="宋体"/>
                <w:color w:val="auto"/>
                <w:sz w:val="21"/>
                <w:szCs w:val="21"/>
                <w:highlight w:val="none"/>
              </w:rPr>
            </w:pPr>
          </w:p>
        </w:tc>
        <w:tc>
          <w:tcPr>
            <w:tcW w:w="3119" w:type="dxa"/>
            <w:vAlign w:val="center"/>
          </w:tcPr>
          <w:p w14:paraId="6D0E98FF">
            <w:pPr>
              <w:spacing w:line="360" w:lineRule="auto"/>
              <w:jc w:val="center"/>
              <w:rPr>
                <w:rFonts w:hint="eastAsia" w:ascii="宋体" w:hAnsi="宋体" w:eastAsia="宋体" w:cs="宋体"/>
                <w:color w:val="auto"/>
                <w:sz w:val="21"/>
                <w:szCs w:val="21"/>
                <w:highlight w:val="none"/>
              </w:rPr>
            </w:pPr>
          </w:p>
        </w:tc>
      </w:tr>
      <w:tr w14:paraId="486EB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14:paraId="006EFAB1">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417" w:type="dxa"/>
            <w:vAlign w:val="center"/>
          </w:tcPr>
          <w:p w14:paraId="7B2FEBF9">
            <w:pPr>
              <w:snapToGrid w:val="0"/>
              <w:spacing w:line="360" w:lineRule="auto"/>
              <w:jc w:val="center"/>
              <w:rPr>
                <w:rFonts w:hint="eastAsia" w:ascii="宋体" w:hAnsi="宋体" w:eastAsia="宋体" w:cs="宋体"/>
                <w:color w:val="auto"/>
                <w:sz w:val="21"/>
                <w:szCs w:val="21"/>
                <w:highlight w:val="none"/>
              </w:rPr>
            </w:pPr>
          </w:p>
        </w:tc>
        <w:tc>
          <w:tcPr>
            <w:tcW w:w="1843" w:type="dxa"/>
            <w:vAlign w:val="center"/>
          </w:tcPr>
          <w:p w14:paraId="56BDC104">
            <w:pPr>
              <w:snapToGrid w:val="0"/>
              <w:spacing w:line="360" w:lineRule="auto"/>
              <w:jc w:val="center"/>
              <w:rPr>
                <w:rFonts w:hint="eastAsia" w:ascii="宋体" w:hAnsi="宋体" w:eastAsia="宋体" w:cs="宋体"/>
                <w:color w:val="auto"/>
                <w:sz w:val="21"/>
                <w:szCs w:val="21"/>
                <w:highlight w:val="none"/>
              </w:rPr>
            </w:pPr>
          </w:p>
        </w:tc>
        <w:tc>
          <w:tcPr>
            <w:tcW w:w="3118" w:type="dxa"/>
            <w:vAlign w:val="center"/>
          </w:tcPr>
          <w:p w14:paraId="5FCB056A">
            <w:pPr>
              <w:snapToGrid w:val="0"/>
              <w:spacing w:line="360" w:lineRule="auto"/>
              <w:jc w:val="center"/>
              <w:rPr>
                <w:rFonts w:hint="eastAsia" w:ascii="宋体" w:hAnsi="宋体" w:eastAsia="宋体" w:cs="宋体"/>
                <w:color w:val="auto"/>
                <w:sz w:val="21"/>
                <w:szCs w:val="21"/>
                <w:highlight w:val="none"/>
              </w:rPr>
            </w:pPr>
          </w:p>
        </w:tc>
        <w:tc>
          <w:tcPr>
            <w:tcW w:w="993" w:type="dxa"/>
            <w:vAlign w:val="center"/>
          </w:tcPr>
          <w:p w14:paraId="15C3320C">
            <w:pPr>
              <w:snapToGrid w:val="0"/>
              <w:spacing w:line="360" w:lineRule="auto"/>
              <w:jc w:val="center"/>
              <w:rPr>
                <w:rFonts w:hint="eastAsia" w:ascii="宋体" w:hAnsi="宋体" w:eastAsia="宋体" w:cs="宋体"/>
                <w:color w:val="auto"/>
                <w:sz w:val="21"/>
                <w:szCs w:val="21"/>
                <w:highlight w:val="none"/>
              </w:rPr>
            </w:pPr>
          </w:p>
        </w:tc>
        <w:tc>
          <w:tcPr>
            <w:tcW w:w="1559" w:type="dxa"/>
            <w:vAlign w:val="center"/>
          </w:tcPr>
          <w:p w14:paraId="730A68EE">
            <w:pPr>
              <w:spacing w:line="360" w:lineRule="auto"/>
              <w:jc w:val="center"/>
              <w:rPr>
                <w:rFonts w:hint="eastAsia" w:ascii="宋体" w:hAnsi="宋体" w:eastAsia="宋体" w:cs="宋体"/>
                <w:color w:val="auto"/>
                <w:sz w:val="21"/>
                <w:szCs w:val="21"/>
                <w:highlight w:val="none"/>
              </w:rPr>
            </w:pPr>
          </w:p>
        </w:tc>
        <w:tc>
          <w:tcPr>
            <w:tcW w:w="1984" w:type="dxa"/>
            <w:vAlign w:val="center"/>
          </w:tcPr>
          <w:p w14:paraId="4AC10CC7">
            <w:pPr>
              <w:spacing w:line="360" w:lineRule="auto"/>
              <w:jc w:val="center"/>
              <w:rPr>
                <w:rFonts w:hint="eastAsia" w:ascii="宋体" w:hAnsi="宋体" w:eastAsia="宋体" w:cs="宋体"/>
                <w:color w:val="auto"/>
                <w:sz w:val="21"/>
                <w:szCs w:val="21"/>
                <w:highlight w:val="none"/>
              </w:rPr>
            </w:pPr>
          </w:p>
        </w:tc>
        <w:tc>
          <w:tcPr>
            <w:tcW w:w="3119" w:type="dxa"/>
            <w:vAlign w:val="center"/>
          </w:tcPr>
          <w:p w14:paraId="3841FFE9">
            <w:pPr>
              <w:spacing w:line="360" w:lineRule="auto"/>
              <w:jc w:val="center"/>
              <w:rPr>
                <w:rFonts w:hint="eastAsia" w:ascii="宋体" w:hAnsi="宋体" w:eastAsia="宋体" w:cs="宋体"/>
                <w:color w:val="auto"/>
                <w:sz w:val="21"/>
                <w:szCs w:val="21"/>
                <w:highlight w:val="none"/>
              </w:rPr>
            </w:pPr>
          </w:p>
        </w:tc>
      </w:tr>
      <w:tr w14:paraId="4873F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14:paraId="5F57CE94">
            <w:pPr>
              <w:spacing w:line="360" w:lineRule="auto"/>
              <w:jc w:val="center"/>
              <w:rPr>
                <w:rFonts w:hint="eastAsia" w:ascii="宋体" w:hAnsi="宋体" w:eastAsia="宋体" w:cs="宋体"/>
                <w:color w:val="auto"/>
                <w:sz w:val="21"/>
                <w:szCs w:val="21"/>
                <w:highlight w:val="none"/>
              </w:rPr>
            </w:pPr>
          </w:p>
        </w:tc>
        <w:tc>
          <w:tcPr>
            <w:tcW w:w="1417" w:type="dxa"/>
            <w:vAlign w:val="center"/>
          </w:tcPr>
          <w:p w14:paraId="2CBCDAF8">
            <w:pPr>
              <w:snapToGrid w:val="0"/>
              <w:spacing w:line="360" w:lineRule="auto"/>
              <w:jc w:val="center"/>
              <w:rPr>
                <w:rFonts w:hint="eastAsia" w:ascii="宋体" w:hAnsi="宋体" w:eastAsia="宋体" w:cs="宋体"/>
                <w:color w:val="auto"/>
                <w:sz w:val="21"/>
                <w:szCs w:val="21"/>
                <w:highlight w:val="none"/>
              </w:rPr>
            </w:pPr>
          </w:p>
        </w:tc>
        <w:tc>
          <w:tcPr>
            <w:tcW w:w="1843" w:type="dxa"/>
            <w:vAlign w:val="center"/>
          </w:tcPr>
          <w:p w14:paraId="1E429051">
            <w:pPr>
              <w:snapToGrid w:val="0"/>
              <w:spacing w:line="360" w:lineRule="auto"/>
              <w:jc w:val="center"/>
              <w:rPr>
                <w:rFonts w:hint="eastAsia" w:ascii="宋体" w:hAnsi="宋体" w:eastAsia="宋体" w:cs="宋体"/>
                <w:color w:val="auto"/>
                <w:sz w:val="21"/>
                <w:szCs w:val="21"/>
                <w:highlight w:val="none"/>
              </w:rPr>
            </w:pPr>
          </w:p>
        </w:tc>
        <w:tc>
          <w:tcPr>
            <w:tcW w:w="3118" w:type="dxa"/>
            <w:vAlign w:val="center"/>
          </w:tcPr>
          <w:p w14:paraId="6B8DC813">
            <w:pPr>
              <w:snapToGrid w:val="0"/>
              <w:spacing w:line="360" w:lineRule="auto"/>
              <w:jc w:val="center"/>
              <w:rPr>
                <w:rFonts w:hint="eastAsia" w:ascii="宋体" w:hAnsi="宋体" w:eastAsia="宋体" w:cs="宋体"/>
                <w:color w:val="auto"/>
                <w:sz w:val="21"/>
                <w:szCs w:val="21"/>
                <w:highlight w:val="none"/>
              </w:rPr>
            </w:pPr>
          </w:p>
        </w:tc>
        <w:tc>
          <w:tcPr>
            <w:tcW w:w="993" w:type="dxa"/>
            <w:vAlign w:val="center"/>
          </w:tcPr>
          <w:p w14:paraId="65C0AD79">
            <w:pPr>
              <w:snapToGrid w:val="0"/>
              <w:spacing w:line="360" w:lineRule="auto"/>
              <w:jc w:val="center"/>
              <w:rPr>
                <w:rFonts w:hint="eastAsia" w:ascii="宋体" w:hAnsi="宋体" w:eastAsia="宋体" w:cs="宋体"/>
                <w:color w:val="auto"/>
                <w:sz w:val="21"/>
                <w:szCs w:val="21"/>
                <w:highlight w:val="none"/>
              </w:rPr>
            </w:pPr>
          </w:p>
        </w:tc>
        <w:tc>
          <w:tcPr>
            <w:tcW w:w="1559" w:type="dxa"/>
            <w:vAlign w:val="center"/>
          </w:tcPr>
          <w:p w14:paraId="273881BE">
            <w:pPr>
              <w:spacing w:line="360" w:lineRule="auto"/>
              <w:jc w:val="center"/>
              <w:rPr>
                <w:rFonts w:hint="eastAsia" w:ascii="宋体" w:hAnsi="宋体" w:eastAsia="宋体" w:cs="宋体"/>
                <w:color w:val="auto"/>
                <w:sz w:val="21"/>
                <w:szCs w:val="21"/>
                <w:highlight w:val="none"/>
              </w:rPr>
            </w:pPr>
          </w:p>
        </w:tc>
        <w:tc>
          <w:tcPr>
            <w:tcW w:w="1984" w:type="dxa"/>
            <w:vAlign w:val="center"/>
          </w:tcPr>
          <w:p w14:paraId="09F95492">
            <w:pPr>
              <w:spacing w:line="360" w:lineRule="auto"/>
              <w:jc w:val="center"/>
              <w:rPr>
                <w:rFonts w:hint="eastAsia" w:ascii="宋体" w:hAnsi="宋体" w:eastAsia="宋体" w:cs="宋体"/>
                <w:color w:val="auto"/>
                <w:sz w:val="21"/>
                <w:szCs w:val="21"/>
                <w:highlight w:val="none"/>
              </w:rPr>
            </w:pPr>
          </w:p>
        </w:tc>
        <w:tc>
          <w:tcPr>
            <w:tcW w:w="3119" w:type="dxa"/>
            <w:vAlign w:val="center"/>
          </w:tcPr>
          <w:p w14:paraId="17341BBD">
            <w:pPr>
              <w:spacing w:line="360" w:lineRule="auto"/>
              <w:jc w:val="center"/>
              <w:rPr>
                <w:rFonts w:hint="eastAsia" w:ascii="宋体" w:hAnsi="宋体" w:eastAsia="宋体" w:cs="宋体"/>
                <w:color w:val="auto"/>
                <w:sz w:val="21"/>
                <w:szCs w:val="21"/>
                <w:highlight w:val="none"/>
              </w:rPr>
            </w:pPr>
          </w:p>
        </w:tc>
      </w:tr>
      <w:tr w14:paraId="1B07C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14:paraId="57598FFC">
            <w:pPr>
              <w:spacing w:line="360" w:lineRule="auto"/>
              <w:jc w:val="center"/>
              <w:rPr>
                <w:rFonts w:hint="eastAsia" w:ascii="宋体" w:hAnsi="宋体" w:eastAsia="宋体" w:cs="宋体"/>
                <w:color w:val="auto"/>
                <w:sz w:val="21"/>
                <w:szCs w:val="21"/>
                <w:highlight w:val="none"/>
              </w:rPr>
            </w:pPr>
          </w:p>
        </w:tc>
        <w:tc>
          <w:tcPr>
            <w:tcW w:w="1417" w:type="dxa"/>
            <w:vAlign w:val="center"/>
          </w:tcPr>
          <w:p w14:paraId="75D2B03D">
            <w:pPr>
              <w:snapToGrid w:val="0"/>
              <w:spacing w:line="360" w:lineRule="auto"/>
              <w:jc w:val="center"/>
              <w:rPr>
                <w:rFonts w:hint="eastAsia" w:ascii="宋体" w:hAnsi="宋体" w:eastAsia="宋体" w:cs="宋体"/>
                <w:color w:val="auto"/>
                <w:sz w:val="21"/>
                <w:szCs w:val="21"/>
                <w:highlight w:val="none"/>
              </w:rPr>
            </w:pPr>
          </w:p>
        </w:tc>
        <w:tc>
          <w:tcPr>
            <w:tcW w:w="1843" w:type="dxa"/>
            <w:vAlign w:val="center"/>
          </w:tcPr>
          <w:p w14:paraId="1AC04B27">
            <w:pPr>
              <w:snapToGrid w:val="0"/>
              <w:spacing w:line="360" w:lineRule="auto"/>
              <w:jc w:val="center"/>
              <w:rPr>
                <w:rFonts w:hint="eastAsia" w:ascii="宋体" w:hAnsi="宋体" w:eastAsia="宋体" w:cs="宋体"/>
                <w:color w:val="auto"/>
                <w:sz w:val="21"/>
                <w:szCs w:val="21"/>
                <w:highlight w:val="none"/>
              </w:rPr>
            </w:pPr>
          </w:p>
        </w:tc>
        <w:tc>
          <w:tcPr>
            <w:tcW w:w="3118" w:type="dxa"/>
            <w:vAlign w:val="center"/>
          </w:tcPr>
          <w:p w14:paraId="4D8EF950">
            <w:pPr>
              <w:snapToGrid w:val="0"/>
              <w:spacing w:line="360" w:lineRule="auto"/>
              <w:jc w:val="center"/>
              <w:rPr>
                <w:rFonts w:hint="eastAsia" w:ascii="宋体" w:hAnsi="宋体" w:eastAsia="宋体" w:cs="宋体"/>
                <w:color w:val="auto"/>
                <w:sz w:val="21"/>
                <w:szCs w:val="21"/>
                <w:highlight w:val="none"/>
              </w:rPr>
            </w:pPr>
          </w:p>
        </w:tc>
        <w:tc>
          <w:tcPr>
            <w:tcW w:w="993" w:type="dxa"/>
            <w:vAlign w:val="center"/>
          </w:tcPr>
          <w:p w14:paraId="47AD8509">
            <w:pPr>
              <w:snapToGrid w:val="0"/>
              <w:spacing w:line="360" w:lineRule="auto"/>
              <w:jc w:val="center"/>
              <w:rPr>
                <w:rFonts w:hint="eastAsia" w:ascii="宋体" w:hAnsi="宋体" w:eastAsia="宋体" w:cs="宋体"/>
                <w:color w:val="auto"/>
                <w:sz w:val="21"/>
                <w:szCs w:val="21"/>
                <w:highlight w:val="none"/>
              </w:rPr>
            </w:pPr>
          </w:p>
        </w:tc>
        <w:tc>
          <w:tcPr>
            <w:tcW w:w="1559" w:type="dxa"/>
            <w:vAlign w:val="center"/>
          </w:tcPr>
          <w:p w14:paraId="6EB67EAF">
            <w:pPr>
              <w:spacing w:line="360" w:lineRule="auto"/>
              <w:jc w:val="center"/>
              <w:rPr>
                <w:rFonts w:hint="eastAsia" w:ascii="宋体" w:hAnsi="宋体" w:eastAsia="宋体" w:cs="宋体"/>
                <w:color w:val="auto"/>
                <w:sz w:val="21"/>
                <w:szCs w:val="21"/>
                <w:highlight w:val="none"/>
              </w:rPr>
            </w:pPr>
          </w:p>
        </w:tc>
        <w:tc>
          <w:tcPr>
            <w:tcW w:w="1984" w:type="dxa"/>
            <w:vAlign w:val="center"/>
          </w:tcPr>
          <w:p w14:paraId="16EC24D2">
            <w:pPr>
              <w:spacing w:line="360" w:lineRule="auto"/>
              <w:jc w:val="center"/>
              <w:rPr>
                <w:rFonts w:hint="eastAsia" w:ascii="宋体" w:hAnsi="宋体" w:eastAsia="宋体" w:cs="宋体"/>
                <w:color w:val="auto"/>
                <w:sz w:val="21"/>
                <w:szCs w:val="21"/>
                <w:highlight w:val="none"/>
              </w:rPr>
            </w:pPr>
          </w:p>
        </w:tc>
        <w:tc>
          <w:tcPr>
            <w:tcW w:w="3119" w:type="dxa"/>
            <w:vAlign w:val="center"/>
          </w:tcPr>
          <w:p w14:paraId="574F73E5">
            <w:pPr>
              <w:spacing w:line="360" w:lineRule="auto"/>
              <w:jc w:val="center"/>
              <w:rPr>
                <w:rFonts w:hint="eastAsia" w:ascii="宋体" w:hAnsi="宋体" w:eastAsia="宋体" w:cs="宋体"/>
                <w:color w:val="auto"/>
                <w:sz w:val="21"/>
                <w:szCs w:val="21"/>
                <w:highlight w:val="none"/>
              </w:rPr>
            </w:pPr>
          </w:p>
        </w:tc>
      </w:tr>
      <w:tr w14:paraId="0E5DA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6912" w:type="dxa"/>
            <w:gridSpan w:val="4"/>
            <w:vAlign w:val="center"/>
          </w:tcPr>
          <w:p w14:paraId="6C2CB93E">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投标报价（小写）</w:t>
            </w:r>
          </w:p>
        </w:tc>
        <w:tc>
          <w:tcPr>
            <w:tcW w:w="7655" w:type="dxa"/>
            <w:gridSpan w:val="4"/>
            <w:vAlign w:val="center"/>
          </w:tcPr>
          <w:p w14:paraId="63960D90">
            <w:pPr>
              <w:spacing w:line="360" w:lineRule="auto"/>
              <w:jc w:val="center"/>
              <w:rPr>
                <w:rFonts w:hint="eastAsia" w:ascii="宋体" w:hAnsi="宋体" w:eastAsia="宋体" w:cs="宋体"/>
                <w:color w:val="auto"/>
                <w:sz w:val="21"/>
                <w:szCs w:val="21"/>
                <w:highlight w:val="none"/>
              </w:rPr>
            </w:pPr>
          </w:p>
        </w:tc>
      </w:tr>
      <w:tr w14:paraId="166BE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6912" w:type="dxa"/>
            <w:gridSpan w:val="4"/>
            <w:vAlign w:val="center"/>
          </w:tcPr>
          <w:p w14:paraId="58B6D729">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投标报价（大写）</w:t>
            </w:r>
          </w:p>
        </w:tc>
        <w:tc>
          <w:tcPr>
            <w:tcW w:w="7655" w:type="dxa"/>
            <w:gridSpan w:val="4"/>
            <w:vAlign w:val="center"/>
          </w:tcPr>
          <w:p w14:paraId="27295F89">
            <w:pPr>
              <w:spacing w:line="360" w:lineRule="auto"/>
              <w:jc w:val="center"/>
              <w:rPr>
                <w:rFonts w:hint="eastAsia" w:ascii="宋体" w:hAnsi="宋体" w:eastAsia="宋体" w:cs="宋体"/>
                <w:color w:val="auto"/>
                <w:sz w:val="21"/>
                <w:szCs w:val="21"/>
                <w:highlight w:val="none"/>
              </w:rPr>
            </w:pPr>
          </w:p>
        </w:tc>
      </w:tr>
    </w:tbl>
    <w:p w14:paraId="682676ED">
      <w:pPr>
        <w:snapToGrid w:val="0"/>
        <w:spacing w:line="360" w:lineRule="auto"/>
        <w:ind w:left="480"/>
        <w:rPr>
          <w:rFonts w:hint="eastAsia" w:ascii="宋体" w:hAnsi="宋体" w:eastAsia="宋体" w:cs="宋体"/>
          <w:b/>
          <w:color w:val="auto"/>
          <w:kern w:val="0"/>
          <w:sz w:val="21"/>
          <w:szCs w:val="21"/>
          <w:highlight w:val="none"/>
          <w:lang w:val="zh-CN"/>
        </w:rPr>
      </w:pPr>
      <w:r>
        <w:rPr>
          <w:rFonts w:hint="eastAsia" w:ascii="宋体" w:hAnsi="宋体" w:eastAsia="宋体" w:cs="宋体"/>
          <w:b/>
          <w:color w:val="auto"/>
          <w:kern w:val="0"/>
          <w:sz w:val="21"/>
          <w:szCs w:val="21"/>
          <w:highlight w:val="none"/>
          <w:lang w:val="zh-CN"/>
        </w:rPr>
        <w:t>注：</w:t>
      </w:r>
    </w:p>
    <w:p w14:paraId="664FA416">
      <w:pPr>
        <w:spacing w:line="360" w:lineRule="auto"/>
        <w:ind w:left="-2" w:leftChars="-1"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1、投标人需按本表格式填写</w:t>
      </w:r>
      <w:r>
        <w:rPr>
          <w:rFonts w:hint="eastAsia" w:ascii="宋体" w:hAnsi="宋体" w:eastAsia="宋体" w:cs="宋体"/>
          <w:b/>
          <w:color w:val="auto"/>
          <w:kern w:val="0"/>
          <w:sz w:val="21"/>
          <w:szCs w:val="21"/>
          <w:highlight w:val="none"/>
          <w:lang w:val="zh-CN"/>
        </w:rPr>
        <w:t>，</w:t>
      </w:r>
      <w:r>
        <w:rPr>
          <w:rFonts w:hint="eastAsia" w:ascii="宋体" w:hAnsi="宋体" w:eastAsia="宋体" w:cs="宋体"/>
          <w:b/>
          <w:color w:val="auto"/>
          <w:kern w:val="0"/>
          <w:sz w:val="21"/>
          <w:szCs w:val="21"/>
          <w:highlight w:val="none"/>
        </w:rPr>
        <w:t>否则视为</w:t>
      </w:r>
      <w:r>
        <w:rPr>
          <w:rFonts w:hint="eastAsia" w:ascii="宋体" w:hAnsi="宋体" w:eastAsia="宋体" w:cs="宋体"/>
          <w:b/>
          <w:color w:val="auto"/>
          <w:sz w:val="21"/>
          <w:szCs w:val="21"/>
          <w:highlight w:val="none"/>
        </w:rPr>
        <w:t>投标文件含有采购人不能接受的附加条件，投标无效</w:t>
      </w:r>
      <w:r>
        <w:rPr>
          <w:rFonts w:hint="eastAsia" w:ascii="宋体" w:hAnsi="宋体" w:eastAsia="宋体" w:cs="宋体"/>
          <w:color w:val="auto"/>
          <w:kern w:val="0"/>
          <w:sz w:val="21"/>
          <w:szCs w:val="21"/>
          <w:highlight w:val="none"/>
          <w:lang w:val="zh-CN"/>
        </w:rPr>
        <w:t>。</w:t>
      </w:r>
    </w:p>
    <w:p w14:paraId="1C884149">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zh-CN"/>
        </w:rPr>
        <w:t>2、有关本项目实施所涉及的一切费用均计入报价。</w:t>
      </w:r>
      <w:r>
        <w:rPr>
          <w:rFonts w:hint="eastAsia" w:ascii="宋体" w:hAnsi="宋体" w:eastAsia="宋体" w:cs="宋体"/>
          <w:b/>
          <w:color w:val="auto"/>
          <w:kern w:val="0"/>
          <w:sz w:val="21"/>
          <w:szCs w:val="21"/>
          <w:highlight w:val="none"/>
          <w:lang w:val="zh-CN"/>
        </w:rPr>
        <w:t>采购人将以合同形式有偿取得货物或服务，不接受投标人给予的赠品、回扣或者与采购无关的其他商品、服务</w:t>
      </w:r>
      <w:r>
        <w:rPr>
          <w:rFonts w:hint="eastAsia" w:ascii="宋体" w:hAnsi="宋体" w:eastAsia="宋体" w:cs="宋体"/>
          <w:color w:val="auto"/>
          <w:kern w:val="0"/>
          <w:sz w:val="21"/>
          <w:szCs w:val="21"/>
          <w:highlight w:val="none"/>
          <w:lang w:val="zh-CN"/>
        </w:rPr>
        <w:t>，</w:t>
      </w:r>
      <w:r>
        <w:rPr>
          <w:rFonts w:hint="eastAsia" w:ascii="宋体" w:hAnsi="宋体" w:eastAsia="宋体" w:cs="宋体"/>
          <w:b/>
          <w:color w:val="auto"/>
          <w:kern w:val="0"/>
          <w:sz w:val="21"/>
          <w:szCs w:val="21"/>
          <w:highlight w:val="none"/>
          <w:lang w:val="zh-CN"/>
        </w:rPr>
        <w:t>不得出现“0元”“免费赠送”等形式的无偿报价，</w:t>
      </w:r>
      <w:r>
        <w:rPr>
          <w:rFonts w:hint="eastAsia" w:ascii="宋体" w:hAnsi="宋体" w:eastAsia="宋体" w:cs="宋体"/>
          <w:b/>
          <w:color w:val="auto"/>
          <w:kern w:val="0"/>
          <w:sz w:val="21"/>
          <w:szCs w:val="21"/>
          <w:highlight w:val="none"/>
        </w:rPr>
        <w:t>否则视为</w:t>
      </w:r>
      <w:r>
        <w:rPr>
          <w:rFonts w:hint="eastAsia" w:ascii="宋体" w:hAnsi="宋体" w:eastAsia="宋体" w:cs="宋体"/>
          <w:b/>
          <w:color w:val="auto"/>
          <w:sz w:val="21"/>
          <w:szCs w:val="21"/>
          <w:highlight w:val="none"/>
        </w:rPr>
        <w:t>投标文件含有采购人不能接受的附加条件，投标无效</w:t>
      </w:r>
      <w:r>
        <w:rPr>
          <w:rFonts w:hint="eastAsia" w:ascii="宋体" w:hAnsi="宋体" w:eastAsia="宋体" w:cs="宋体"/>
          <w:b/>
          <w:color w:val="auto"/>
          <w:kern w:val="0"/>
          <w:sz w:val="21"/>
          <w:szCs w:val="21"/>
          <w:highlight w:val="none"/>
          <w:lang w:val="zh-CN"/>
        </w:rPr>
        <w:t>；采购内容未包含在《开标一览表（报价表）》名称栏中，投标人不能作出合理解释的，</w:t>
      </w:r>
      <w:r>
        <w:rPr>
          <w:rFonts w:hint="eastAsia" w:ascii="宋体" w:hAnsi="宋体" w:eastAsia="宋体" w:cs="宋体"/>
          <w:b/>
          <w:color w:val="auto"/>
          <w:kern w:val="0"/>
          <w:sz w:val="21"/>
          <w:szCs w:val="21"/>
          <w:highlight w:val="none"/>
        </w:rPr>
        <w:t>视为</w:t>
      </w:r>
      <w:r>
        <w:rPr>
          <w:rFonts w:hint="eastAsia" w:ascii="宋体" w:hAnsi="宋体" w:eastAsia="宋体" w:cs="宋体"/>
          <w:b/>
          <w:color w:val="auto"/>
          <w:sz w:val="21"/>
          <w:szCs w:val="21"/>
          <w:highlight w:val="none"/>
        </w:rPr>
        <w:t>投标文件含有采购人不能接受的附加条件的，投标无效。</w:t>
      </w:r>
    </w:p>
    <w:p w14:paraId="090C7B8F">
      <w:pPr>
        <w:snapToGrid w:val="0"/>
        <w:spacing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3、特别提示：采购代理机构将对项目名称和项目编号，中标投标人名称、地址和中标金额，主要中标标的名称、品牌（如果有）、规格型号、数量、单价等予以公示。</w:t>
      </w:r>
    </w:p>
    <w:p w14:paraId="62EFD1AA">
      <w:pPr>
        <w:snapToGrid w:val="0"/>
        <w:spacing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4、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57DE5091">
      <w:pPr>
        <w:autoSpaceDE w:val="0"/>
        <w:autoSpaceDN w:val="0"/>
        <w:spacing w:line="360" w:lineRule="auto"/>
        <w:ind w:left="2"/>
        <w:jc w:val="left"/>
        <w:rPr>
          <w:rFonts w:hint="eastAsia" w:ascii="宋体" w:hAnsi="宋体" w:eastAsia="宋体" w:cs="宋体"/>
          <w:color w:val="auto"/>
          <w:kern w:val="0"/>
          <w:sz w:val="21"/>
          <w:szCs w:val="21"/>
          <w:highlight w:val="none"/>
          <w:lang w:val="zh-CN"/>
        </w:rPr>
      </w:pPr>
    </w:p>
    <w:p w14:paraId="55B581F5">
      <w:pPr>
        <w:spacing w:line="360" w:lineRule="auto"/>
        <w:ind w:firstLine="5460" w:firstLineChars="26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w:t>
      </w:r>
      <w:r>
        <w:rPr>
          <w:rFonts w:hint="eastAsia" w:ascii="宋体" w:hAnsi="宋体" w:eastAsia="宋体" w:cs="宋体"/>
          <w:color w:val="auto"/>
          <w:sz w:val="21"/>
          <w:szCs w:val="21"/>
          <w:highlight w:val="none"/>
          <w:lang w:val="en-US" w:eastAsia="zh-CN"/>
        </w:rPr>
        <w:t>电子</w:t>
      </w:r>
      <w:r>
        <w:rPr>
          <w:rFonts w:hint="eastAsia" w:ascii="宋体" w:hAnsi="宋体" w:eastAsia="宋体" w:cs="宋体"/>
          <w:color w:val="auto"/>
          <w:sz w:val="21"/>
          <w:szCs w:val="21"/>
          <w:highlight w:val="none"/>
        </w:rPr>
        <w:t>公章）：</w:t>
      </w:r>
    </w:p>
    <w:p w14:paraId="070F619D">
      <w:pPr>
        <w:spacing w:line="360" w:lineRule="auto"/>
        <w:ind w:firstLine="5460" w:firstLineChars="26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法定代表人（负责人）或委托代理人(签名)：                          </w:t>
      </w:r>
    </w:p>
    <w:p w14:paraId="733378AD">
      <w:pPr>
        <w:spacing w:line="360" w:lineRule="auto"/>
        <w:ind w:firstLine="5460" w:firstLineChars="26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  年   月   日</w:t>
      </w:r>
    </w:p>
    <w:p w14:paraId="4332FA32">
      <w:pPr>
        <w:spacing w:line="360" w:lineRule="auto"/>
        <w:ind w:firstLine="482" w:firstLineChars="200"/>
        <w:rPr>
          <w:rFonts w:hint="eastAsia" w:ascii="宋体" w:hAnsi="宋体" w:eastAsia="宋体" w:cs="宋体"/>
          <w:b/>
          <w:color w:val="auto"/>
          <w:kern w:val="0"/>
          <w:sz w:val="24"/>
          <w:highlight w:val="none"/>
        </w:rPr>
      </w:pPr>
    </w:p>
    <w:p w14:paraId="302E4BC1">
      <w:pPr>
        <w:pStyle w:val="692"/>
        <w:keepNext w:val="0"/>
        <w:pageBreakBefore w:val="0"/>
        <w:tabs>
          <w:tab w:val="clear" w:pos="720"/>
        </w:tabs>
        <w:snapToGrid w:val="0"/>
        <w:spacing w:before="120" w:after="120"/>
        <w:ind w:firstLine="643"/>
        <w:outlineLvl w:val="9"/>
        <w:rPr>
          <w:rFonts w:hint="eastAsia" w:ascii="宋体" w:hAnsi="宋体" w:eastAsia="宋体" w:cs="宋体"/>
          <w:color w:val="auto"/>
          <w:kern w:val="2"/>
          <w:sz w:val="32"/>
          <w:szCs w:val="32"/>
          <w:highlight w:val="none"/>
        </w:rPr>
      </w:pPr>
    </w:p>
    <w:p w14:paraId="070BAC90">
      <w:pPr>
        <w:pStyle w:val="692"/>
        <w:keepNext w:val="0"/>
        <w:pageBreakBefore w:val="0"/>
        <w:tabs>
          <w:tab w:val="clear" w:pos="720"/>
        </w:tabs>
        <w:snapToGrid w:val="0"/>
        <w:spacing w:before="120" w:after="120"/>
        <w:ind w:firstLine="643"/>
        <w:outlineLvl w:val="9"/>
        <w:rPr>
          <w:rFonts w:hint="eastAsia" w:ascii="宋体" w:hAnsi="宋体" w:eastAsia="宋体" w:cs="宋体"/>
          <w:color w:val="auto"/>
          <w:kern w:val="2"/>
          <w:sz w:val="32"/>
          <w:szCs w:val="32"/>
          <w:highlight w:val="none"/>
        </w:rPr>
        <w:sectPr>
          <w:pgSz w:w="16838" w:h="11906" w:orient="landscape"/>
          <w:pgMar w:top="1418" w:right="1247" w:bottom="1418" w:left="1276" w:header="851" w:footer="992" w:gutter="0"/>
          <w:pgNumType w:fmt="decimal"/>
          <w:cols w:space="720" w:num="1"/>
          <w:titlePg/>
          <w:docGrid w:linePitch="312" w:charSpace="0"/>
        </w:sectPr>
      </w:pPr>
    </w:p>
    <w:p w14:paraId="7995C5E7">
      <w:pPr>
        <w:pStyle w:val="692"/>
        <w:keepNext w:val="0"/>
        <w:pageBreakBefore w:val="0"/>
        <w:numPr>
          <w:ilvl w:val="0"/>
          <w:numId w:val="0"/>
        </w:numPr>
        <w:tabs>
          <w:tab w:val="clear" w:pos="720"/>
        </w:tabs>
        <w:snapToGrid w:val="0"/>
        <w:spacing w:before="120" w:after="120"/>
        <w:jc w:val="left"/>
        <w:outlineLvl w:val="9"/>
        <w:rPr>
          <w:rFonts w:hint="eastAsia" w:ascii="宋体" w:hAnsi="宋体" w:eastAsia="宋体" w:cs="宋体"/>
          <w:b/>
          <w:color w:val="auto"/>
          <w:kern w:val="2"/>
          <w:sz w:val="32"/>
          <w:szCs w:val="32"/>
          <w:highlight w:val="none"/>
          <w:lang w:val="en-US" w:eastAsia="zh-CN"/>
        </w:rPr>
      </w:pPr>
      <w:r>
        <w:rPr>
          <w:rFonts w:hint="eastAsia" w:ascii="宋体" w:hAnsi="宋体" w:eastAsia="宋体" w:cs="宋体"/>
          <w:b/>
          <w:color w:val="auto"/>
          <w:kern w:val="2"/>
          <w:sz w:val="32"/>
          <w:szCs w:val="32"/>
          <w:highlight w:val="none"/>
          <w:lang w:val="en-US" w:eastAsia="zh-CN"/>
        </w:rPr>
        <w:t>四、投标人针对报价需要说明的其他文件和说明</w:t>
      </w:r>
    </w:p>
    <w:p w14:paraId="2D2CF959">
      <w:pPr>
        <w:pStyle w:val="692"/>
        <w:keepNext w:val="0"/>
        <w:pageBreakBefore w:val="0"/>
        <w:numPr>
          <w:ilvl w:val="0"/>
          <w:numId w:val="0"/>
        </w:numPr>
        <w:tabs>
          <w:tab w:val="clear" w:pos="720"/>
        </w:tabs>
        <w:snapToGrid w:val="0"/>
        <w:spacing w:before="120" w:after="120"/>
        <w:jc w:val="center"/>
        <w:outlineLvl w:val="9"/>
        <w:rPr>
          <w:rFonts w:hint="eastAsia" w:ascii="宋体" w:hAnsi="宋体" w:eastAsia="宋体" w:cs="宋体"/>
          <w:b/>
          <w:color w:val="auto"/>
          <w:kern w:val="2"/>
          <w:sz w:val="32"/>
          <w:szCs w:val="32"/>
          <w:highlight w:val="none"/>
          <w:lang w:val="en-US" w:eastAsia="zh-CN"/>
        </w:rPr>
      </w:pPr>
      <w:r>
        <w:rPr>
          <w:rFonts w:hint="eastAsia" w:ascii="宋体" w:hAnsi="宋体" w:eastAsia="宋体" w:cs="宋体"/>
          <w:b/>
          <w:color w:val="auto"/>
          <w:kern w:val="2"/>
          <w:sz w:val="32"/>
          <w:szCs w:val="32"/>
          <w:highlight w:val="none"/>
          <w:lang w:val="en-US" w:eastAsia="zh-CN"/>
        </w:rPr>
        <w:t>格式自拟</w:t>
      </w:r>
    </w:p>
    <w:p w14:paraId="73FB1C36">
      <w:pPr>
        <w:spacing w:line="360" w:lineRule="auto"/>
        <w:ind w:right="420" w:firstLine="3614" w:firstLineChars="1000"/>
        <w:rPr>
          <w:rFonts w:hint="eastAsia" w:ascii="宋体" w:hAnsi="宋体" w:eastAsia="宋体" w:cs="宋体"/>
          <w:b/>
          <w:color w:val="auto"/>
          <w:kern w:val="0"/>
          <w:sz w:val="36"/>
          <w:szCs w:val="36"/>
          <w:highlight w:val="none"/>
        </w:rPr>
      </w:pPr>
    </w:p>
    <w:p w14:paraId="2C45C632">
      <w:pPr>
        <w:spacing w:line="360" w:lineRule="auto"/>
        <w:ind w:right="420" w:firstLine="3614" w:firstLineChars="1000"/>
        <w:rPr>
          <w:rFonts w:hint="eastAsia" w:ascii="宋体" w:hAnsi="宋体" w:eastAsia="宋体" w:cs="宋体"/>
          <w:b/>
          <w:color w:val="auto"/>
          <w:kern w:val="0"/>
          <w:sz w:val="36"/>
          <w:szCs w:val="36"/>
          <w:highlight w:val="none"/>
        </w:rPr>
      </w:pPr>
    </w:p>
    <w:p w14:paraId="03B3BFBC">
      <w:pPr>
        <w:spacing w:line="360" w:lineRule="auto"/>
        <w:ind w:right="420" w:firstLine="3614" w:firstLineChars="1000"/>
        <w:rPr>
          <w:rFonts w:hint="eastAsia" w:ascii="宋体" w:hAnsi="宋体" w:eastAsia="宋体" w:cs="宋体"/>
          <w:b/>
          <w:color w:val="auto"/>
          <w:kern w:val="0"/>
          <w:sz w:val="36"/>
          <w:szCs w:val="36"/>
          <w:highlight w:val="none"/>
        </w:rPr>
      </w:pPr>
    </w:p>
    <w:p w14:paraId="7EE4A009">
      <w:pPr>
        <w:spacing w:line="360" w:lineRule="auto"/>
        <w:ind w:right="420" w:firstLine="3614" w:firstLineChars="1000"/>
        <w:rPr>
          <w:rFonts w:hint="eastAsia" w:ascii="宋体" w:hAnsi="宋体" w:eastAsia="宋体" w:cs="宋体"/>
          <w:b/>
          <w:color w:val="auto"/>
          <w:kern w:val="0"/>
          <w:sz w:val="36"/>
          <w:szCs w:val="36"/>
          <w:highlight w:val="none"/>
        </w:rPr>
      </w:pPr>
    </w:p>
    <w:p w14:paraId="441351DA">
      <w:pPr>
        <w:spacing w:line="360" w:lineRule="auto"/>
        <w:ind w:right="420" w:firstLine="3614" w:firstLineChars="1000"/>
        <w:rPr>
          <w:rFonts w:hint="eastAsia" w:ascii="宋体" w:hAnsi="宋体" w:eastAsia="宋体" w:cs="宋体"/>
          <w:b/>
          <w:color w:val="auto"/>
          <w:kern w:val="0"/>
          <w:sz w:val="36"/>
          <w:szCs w:val="36"/>
          <w:highlight w:val="none"/>
        </w:rPr>
      </w:pPr>
    </w:p>
    <w:p w14:paraId="29AC4BDC">
      <w:pPr>
        <w:spacing w:line="360" w:lineRule="auto"/>
        <w:ind w:right="420" w:firstLine="3614" w:firstLineChars="1000"/>
        <w:rPr>
          <w:rFonts w:hint="eastAsia" w:ascii="宋体" w:hAnsi="宋体" w:eastAsia="宋体" w:cs="宋体"/>
          <w:b/>
          <w:color w:val="auto"/>
          <w:kern w:val="0"/>
          <w:sz w:val="36"/>
          <w:szCs w:val="36"/>
          <w:highlight w:val="none"/>
        </w:rPr>
      </w:pPr>
    </w:p>
    <w:p w14:paraId="3ADFDF98">
      <w:pPr>
        <w:spacing w:line="360" w:lineRule="auto"/>
        <w:ind w:right="420" w:firstLine="3614" w:firstLineChars="1000"/>
        <w:rPr>
          <w:rFonts w:hint="eastAsia" w:ascii="宋体" w:hAnsi="宋体" w:eastAsia="宋体" w:cs="宋体"/>
          <w:b/>
          <w:color w:val="auto"/>
          <w:kern w:val="0"/>
          <w:sz w:val="36"/>
          <w:szCs w:val="36"/>
          <w:highlight w:val="none"/>
        </w:rPr>
      </w:pPr>
    </w:p>
    <w:p w14:paraId="1EA11B49">
      <w:pPr>
        <w:spacing w:line="360" w:lineRule="auto"/>
        <w:ind w:right="420" w:firstLine="3614" w:firstLineChars="1000"/>
        <w:rPr>
          <w:rFonts w:hint="eastAsia" w:ascii="宋体" w:hAnsi="宋体" w:eastAsia="宋体" w:cs="宋体"/>
          <w:b/>
          <w:color w:val="auto"/>
          <w:kern w:val="0"/>
          <w:sz w:val="36"/>
          <w:szCs w:val="36"/>
          <w:highlight w:val="none"/>
        </w:rPr>
      </w:pPr>
    </w:p>
    <w:p w14:paraId="54A724AD">
      <w:pPr>
        <w:spacing w:line="360" w:lineRule="auto"/>
        <w:ind w:right="420" w:firstLine="3614" w:firstLineChars="1000"/>
        <w:rPr>
          <w:rFonts w:hint="eastAsia" w:ascii="宋体" w:hAnsi="宋体" w:eastAsia="宋体" w:cs="宋体"/>
          <w:b/>
          <w:color w:val="auto"/>
          <w:kern w:val="0"/>
          <w:sz w:val="36"/>
          <w:szCs w:val="36"/>
          <w:highlight w:val="none"/>
        </w:rPr>
      </w:pPr>
    </w:p>
    <w:p w14:paraId="399343F4">
      <w:pPr>
        <w:spacing w:line="360" w:lineRule="auto"/>
        <w:ind w:right="420" w:firstLine="3614" w:firstLineChars="1000"/>
        <w:rPr>
          <w:rFonts w:hint="eastAsia" w:ascii="宋体" w:hAnsi="宋体" w:eastAsia="宋体" w:cs="宋体"/>
          <w:b/>
          <w:color w:val="auto"/>
          <w:kern w:val="0"/>
          <w:sz w:val="36"/>
          <w:szCs w:val="36"/>
          <w:highlight w:val="none"/>
        </w:rPr>
      </w:pPr>
    </w:p>
    <w:p w14:paraId="63BB6B6B">
      <w:pPr>
        <w:spacing w:line="360" w:lineRule="auto"/>
        <w:ind w:right="420" w:firstLine="3614" w:firstLineChars="1000"/>
        <w:rPr>
          <w:rFonts w:hint="eastAsia" w:ascii="宋体" w:hAnsi="宋体" w:eastAsia="宋体" w:cs="宋体"/>
          <w:b/>
          <w:color w:val="auto"/>
          <w:kern w:val="0"/>
          <w:sz w:val="36"/>
          <w:szCs w:val="36"/>
          <w:highlight w:val="none"/>
        </w:rPr>
      </w:pPr>
    </w:p>
    <w:p w14:paraId="0CE2B43C">
      <w:pPr>
        <w:spacing w:line="360" w:lineRule="auto"/>
        <w:ind w:right="420" w:firstLine="3614" w:firstLineChars="1000"/>
        <w:rPr>
          <w:rFonts w:hint="eastAsia" w:ascii="宋体" w:hAnsi="宋体" w:eastAsia="宋体" w:cs="宋体"/>
          <w:b/>
          <w:color w:val="auto"/>
          <w:kern w:val="0"/>
          <w:sz w:val="36"/>
          <w:szCs w:val="36"/>
          <w:highlight w:val="none"/>
        </w:rPr>
      </w:pPr>
    </w:p>
    <w:p w14:paraId="254C0983">
      <w:pPr>
        <w:spacing w:line="360" w:lineRule="auto"/>
        <w:ind w:right="420" w:firstLine="3614" w:firstLineChars="1000"/>
        <w:rPr>
          <w:rFonts w:hint="eastAsia" w:ascii="宋体" w:hAnsi="宋体" w:eastAsia="宋体" w:cs="宋体"/>
          <w:b/>
          <w:color w:val="auto"/>
          <w:kern w:val="0"/>
          <w:sz w:val="36"/>
          <w:szCs w:val="36"/>
          <w:highlight w:val="none"/>
        </w:rPr>
      </w:pPr>
    </w:p>
    <w:p w14:paraId="1A89D212">
      <w:pPr>
        <w:spacing w:line="360" w:lineRule="auto"/>
        <w:ind w:right="420" w:firstLine="3614" w:firstLineChars="1000"/>
        <w:rPr>
          <w:rFonts w:hint="eastAsia" w:ascii="宋体" w:hAnsi="宋体" w:eastAsia="宋体" w:cs="宋体"/>
          <w:b/>
          <w:color w:val="auto"/>
          <w:kern w:val="0"/>
          <w:sz w:val="36"/>
          <w:szCs w:val="36"/>
          <w:highlight w:val="none"/>
        </w:rPr>
      </w:pPr>
    </w:p>
    <w:p w14:paraId="48630D91">
      <w:pPr>
        <w:spacing w:line="360" w:lineRule="auto"/>
        <w:ind w:firstLine="420" w:firstLineChars="200"/>
        <w:rPr>
          <w:rFonts w:hint="eastAsia" w:ascii="宋体" w:hAnsi="宋体" w:eastAsia="宋体" w:cs="宋体"/>
          <w:color w:val="auto"/>
          <w:highlight w:val="none"/>
        </w:rPr>
      </w:pPr>
    </w:p>
    <w:p w14:paraId="574BB0D4">
      <w:pPr>
        <w:spacing w:line="360" w:lineRule="auto"/>
        <w:rPr>
          <w:rFonts w:hint="eastAsia" w:ascii="宋体" w:hAnsi="宋体" w:eastAsia="宋体" w:cs="宋体"/>
          <w:b/>
          <w:color w:val="auto"/>
          <w:sz w:val="24"/>
          <w:highlight w:val="none"/>
        </w:rPr>
      </w:pPr>
    </w:p>
    <w:p w14:paraId="2EE04146">
      <w:pPr>
        <w:spacing w:line="360" w:lineRule="auto"/>
        <w:rPr>
          <w:rFonts w:hint="eastAsia" w:ascii="宋体" w:hAnsi="宋体" w:eastAsia="宋体" w:cs="宋体"/>
          <w:b/>
          <w:color w:val="auto"/>
          <w:sz w:val="24"/>
          <w:highlight w:val="none"/>
        </w:rPr>
      </w:pPr>
    </w:p>
    <w:p w14:paraId="428CDA72">
      <w:pPr>
        <w:spacing w:line="360" w:lineRule="auto"/>
        <w:rPr>
          <w:rFonts w:hint="eastAsia" w:ascii="宋体" w:hAnsi="宋体" w:eastAsia="宋体" w:cs="宋体"/>
          <w:b/>
          <w:color w:val="auto"/>
          <w:sz w:val="24"/>
          <w:highlight w:val="none"/>
        </w:rPr>
      </w:pPr>
    </w:p>
    <w:p w14:paraId="6726B89B">
      <w:pPr>
        <w:spacing w:line="360" w:lineRule="auto"/>
        <w:rPr>
          <w:rFonts w:hint="eastAsia" w:ascii="宋体" w:hAnsi="宋体" w:eastAsia="宋体" w:cs="宋体"/>
          <w:b/>
          <w:color w:val="auto"/>
          <w:sz w:val="24"/>
          <w:highlight w:val="none"/>
        </w:rPr>
      </w:pPr>
    </w:p>
    <w:p w14:paraId="359A8C38">
      <w:pPr>
        <w:spacing w:line="360" w:lineRule="auto"/>
        <w:rPr>
          <w:rFonts w:hint="eastAsia" w:ascii="宋体" w:hAnsi="宋体" w:eastAsia="宋体" w:cs="宋体"/>
          <w:b/>
          <w:color w:val="auto"/>
          <w:sz w:val="24"/>
          <w:highlight w:val="none"/>
        </w:rPr>
      </w:pPr>
    </w:p>
    <w:p w14:paraId="058A6A8E">
      <w:pPr>
        <w:spacing w:line="360" w:lineRule="auto"/>
        <w:jc w:val="left"/>
        <w:rPr>
          <w:rFonts w:hint="eastAsia" w:ascii="宋体" w:hAnsi="宋体" w:eastAsia="宋体" w:cs="宋体"/>
          <w:b/>
          <w:color w:val="auto"/>
          <w:spacing w:val="6"/>
          <w:sz w:val="32"/>
          <w:szCs w:val="32"/>
          <w:highlight w:val="none"/>
          <w:lang w:val="en-US" w:eastAsia="zh-CN"/>
        </w:rPr>
      </w:pPr>
      <w:r>
        <w:rPr>
          <w:rFonts w:hint="eastAsia" w:ascii="宋体" w:hAnsi="宋体" w:eastAsia="宋体" w:cs="宋体"/>
          <w:b/>
          <w:color w:val="auto"/>
          <w:spacing w:val="6"/>
          <w:sz w:val="32"/>
          <w:szCs w:val="32"/>
          <w:highlight w:val="none"/>
          <w:lang w:val="en-US" w:eastAsia="zh-CN"/>
        </w:rPr>
        <w:t>附件：其他文书、文件格式</w:t>
      </w:r>
    </w:p>
    <w:p w14:paraId="755EFA34">
      <w:pPr>
        <w:spacing w:line="360" w:lineRule="auto"/>
        <w:jc w:val="left"/>
        <w:outlineLvl w:val="9"/>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t>附件</w:t>
      </w:r>
      <w:r>
        <w:rPr>
          <w:rFonts w:hint="eastAsia" w:ascii="宋体" w:hAnsi="宋体" w:eastAsia="宋体" w:cs="宋体"/>
          <w:b/>
          <w:color w:val="auto"/>
          <w:spacing w:val="6"/>
          <w:sz w:val="32"/>
          <w:szCs w:val="32"/>
          <w:highlight w:val="none"/>
          <w:lang w:val="en-US" w:eastAsia="zh-CN"/>
        </w:rPr>
        <w:t>1</w:t>
      </w:r>
      <w:r>
        <w:rPr>
          <w:rFonts w:hint="eastAsia" w:ascii="宋体" w:hAnsi="宋体" w:eastAsia="宋体" w:cs="宋体"/>
          <w:b/>
          <w:color w:val="auto"/>
          <w:spacing w:val="6"/>
          <w:sz w:val="32"/>
          <w:szCs w:val="32"/>
          <w:highlight w:val="none"/>
        </w:rPr>
        <w:t>：质疑函范本及制作说明</w:t>
      </w:r>
    </w:p>
    <w:p w14:paraId="3529233D">
      <w:pPr>
        <w:spacing w:line="360" w:lineRule="auto"/>
        <w:jc w:val="center"/>
        <w:outlineLvl w:val="9"/>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t>质疑函范本</w:t>
      </w:r>
    </w:p>
    <w:p w14:paraId="7E99E2F7">
      <w:pPr>
        <w:snapToGrid w:val="0"/>
        <w:spacing w:before="240" w:beforeLines="100" w:line="360" w:lineRule="auto"/>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一、质疑</w:t>
      </w:r>
      <w:r>
        <w:rPr>
          <w:rFonts w:hint="eastAsia" w:ascii="宋体" w:hAnsi="宋体" w:eastAsia="宋体" w:cs="宋体"/>
          <w:bCs/>
          <w:color w:val="auto"/>
          <w:sz w:val="24"/>
          <w:highlight w:val="none"/>
          <w:lang w:eastAsia="zh-CN"/>
        </w:rPr>
        <w:t>投标人</w:t>
      </w:r>
      <w:r>
        <w:rPr>
          <w:rFonts w:hint="eastAsia" w:ascii="宋体" w:hAnsi="宋体" w:eastAsia="宋体" w:cs="宋体"/>
          <w:bCs/>
          <w:color w:val="auto"/>
          <w:sz w:val="24"/>
          <w:highlight w:val="none"/>
        </w:rPr>
        <w:t>基本信息</w:t>
      </w:r>
    </w:p>
    <w:p w14:paraId="38870811">
      <w:pPr>
        <w:snapToGrid w:val="0"/>
        <w:spacing w:line="360" w:lineRule="auto"/>
        <w:outlineLvl w:val="9"/>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质疑</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dotted"/>
        </w:rPr>
        <w:t xml:space="preserve">                                        </w:t>
      </w:r>
    </w:p>
    <w:p w14:paraId="1FDB6147">
      <w:pPr>
        <w:snapToGrid w:val="0"/>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dotted"/>
        </w:rPr>
        <w:t xml:space="preserve">                                                   </w:t>
      </w:r>
    </w:p>
    <w:p w14:paraId="7606A1D7">
      <w:pPr>
        <w:snapToGrid w:val="0"/>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dotted"/>
        </w:rPr>
        <w:t xml:space="preserve">                              </w:t>
      </w:r>
    </w:p>
    <w:p w14:paraId="315D47AE">
      <w:pPr>
        <w:snapToGrid w:val="0"/>
        <w:spacing w:line="360" w:lineRule="auto"/>
        <w:outlineLvl w:val="9"/>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授权代表：</w:t>
      </w:r>
      <w:r>
        <w:rPr>
          <w:rFonts w:hint="eastAsia" w:ascii="宋体" w:hAnsi="宋体" w:eastAsia="宋体" w:cs="宋体"/>
          <w:color w:val="auto"/>
          <w:sz w:val="24"/>
          <w:highlight w:val="none"/>
          <w:u w:val="dotted"/>
        </w:rPr>
        <w:t xml:space="preserve">                                          </w:t>
      </w:r>
    </w:p>
    <w:p w14:paraId="310FFED7">
      <w:pPr>
        <w:snapToGrid w:val="0"/>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 xml:space="preserve"> </w:t>
      </w:r>
    </w:p>
    <w:p w14:paraId="0AF7ADF1">
      <w:pPr>
        <w:snapToGrid w:val="0"/>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地址： </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dotted"/>
        </w:rPr>
        <w:t xml:space="preserve">                                                </w:t>
      </w:r>
    </w:p>
    <w:p w14:paraId="51EB0F80">
      <w:pPr>
        <w:snapToGrid w:val="0"/>
        <w:spacing w:line="360" w:lineRule="auto"/>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二、质疑项目基本情况</w:t>
      </w:r>
    </w:p>
    <w:p w14:paraId="483FB0D7">
      <w:pPr>
        <w:snapToGrid w:val="0"/>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质疑项目的名称：</w:t>
      </w:r>
      <w:r>
        <w:rPr>
          <w:rFonts w:hint="eastAsia" w:ascii="宋体" w:hAnsi="宋体" w:eastAsia="宋体" w:cs="宋体"/>
          <w:color w:val="auto"/>
          <w:sz w:val="24"/>
          <w:highlight w:val="none"/>
          <w:u w:val="dotted"/>
        </w:rPr>
        <w:t xml:space="preserve">                                      </w:t>
      </w:r>
    </w:p>
    <w:p w14:paraId="1AE567AB">
      <w:pPr>
        <w:snapToGrid w:val="0"/>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质疑项目的编号：</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包号：</w:t>
      </w:r>
      <w:r>
        <w:rPr>
          <w:rFonts w:hint="eastAsia" w:ascii="宋体" w:hAnsi="宋体" w:eastAsia="宋体" w:cs="宋体"/>
          <w:color w:val="auto"/>
          <w:sz w:val="24"/>
          <w:highlight w:val="none"/>
          <w:u w:val="dotted"/>
        </w:rPr>
        <w:t xml:space="preserve">                 </w:t>
      </w:r>
    </w:p>
    <w:p w14:paraId="45E4D422">
      <w:pPr>
        <w:snapToGrid w:val="0"/>
        <w:spacing w:line="360" w:lineRule="auto"/>
        <w:outlineLvl w:val="9"/>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采购人名称：</w:t>
      </w:r>
      <w:r>
        <w:rPr>
          <w:rFonts w:hint="eastAsia" w:ascii="宋体" w:hAnsi="宋体" w:eastAsia="宋体" w:cs="宋体"/>
          <w:color w:val="auto"/>
          <w:sz w:val="24"/>
          <w:highlight w:val="none"/>
          <w:u w:val="dotted"/>
        </w:rPr>
        <w:t xml:space="preserve">                                         </w:t>
      </w:r>
    </w:p>
    <w:p w14:paraId="6D7E2B4E">
      <w:pPr>
        <w:snapToGrid w:val="0"/>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采购文件获取日期：</w:t>
      </w:r>
      <w:r>
        <w:rPr>
          <w:rFonts w:hint="eastAsia" w:ascii="宋体" w:hAnsi="宋体" w:eastAsia="宋体" w:cs="宋体"/>
          <w:color w:val="auto"/>
          <w:sz w:val="24"/>
          <w:highlight w:val="none"/>
          <w:u w:val="dotted"/>
        </w:rPr>
        <w:t xml:space="preserve">                                           </w:t>
      </w:r>
    </w:p>
    <w:p w14:paraId="0B1BDE8B">
      <w:pPr>
        <w:snapToGrid w:val="0"/>
        <w:spacing w:line="360" w:lineRule="auto"/>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三、质疑事项具体内容</w:t>
      </w:r>
    </w:p>
    <w:p w14:paraId="68999096">
      <w:pPr>
        <w:snapToGrid w:val="0"/>
        <w:spacing w:line="360" w:lineRule="auto"/>
        <w:outlineLvl w:val="9"/>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质疑事项1：</w:t>
      </w:r>
      <w:r>
        <w:rPr>
          <w:rFonts w:hint="eastAsia" w:ascii="宋体" w:hAnsi="宋体" w:eastAsia="宋体" w:cs="宋体"/>
          <w:color w:val="auto"/>
          <w:sz w:val="24"/>
          <w:highlight w:val="none"/>
          <w:u w:val="dotted"/>
        </w:rPr>
        <w:t xml:space="preserve">                                         </w:t>
      </w:r>
    </w:p>
    <w:p w14:paraId="3FA82AB8">
      <w:pPr>
        <w:snapToGrid w:val="0"/>
        <w:spacing w:line="360" w:lineRule="auto"/>
        <w:outlineLvl w:val="9"/>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事实依据：</w:t>
      </w:r>
      <w:r>
        <w:rPr>
          <w:rFonts w:hint="eastAsia" w:ascii="宋体" w:hAnsi="宋体" w:eastAsia="宋体" w:cs="宋体"/>
          <w:color w:val="auto"/>
          <w:sz w:val="24"/>
          <w:highlight w:val="none"/>
          <w:u w:val="dotted"/>
        </w:rPr>
        <w:t xml:space="preserve">                                          </w:t>
      </w:r>
    </w:p>
    <w:p w14:paraId="0906055C">
      <w:pPr>
        <w:snapToGrid w:val="0"/>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u w:val="dotted"/>
        </w:rPr>
        <w:t xml:space="preserve">                                                       </w:t>
      </w:r>
    </w:p>
    <w:p w14:paraId="095E4826">
      <w:pPr>
        <w:snapToGrid w:val="0"/>
        <w:spacing w:line="360" w:lineRule="auto"/>
        <w:outlineLvl w:val="9"/>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法律依据：</w:t>
      </w:r>
      <w:r>
        <w:rPr>
          <w:rFonts w:hint="eastAsia" w:ascii="宋体" w:hAnsi="宋体" w:eastAsia="宋体" w:cs="宋体"/>
          <w:color w:val="auto"/>
          <w:sz w:val="24"/>
          <w:highlight w:val="none"/>
          <w:u w:val="dotted"/>
        </w:rPr>
        <w:t xml:space="preserve">                                          </w:t>
      </w:r>
    </w:p>
    <w:p w14:paraId="3275C38F">
      <w:pPr>
        <w:snapToGrid w:val="0"/>
        <w:spacing w:line="360" w:lineRule="auto"/>
        <w:outlineLvl w:val="9"/>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u w:val="dotted"/>
        </w:rPr>
        <w:t xml:space="preserve">                                                     </w:t>
      </w:r>
    </w:p>
    <w:p w14:paraId="4DFB6D95">
      <w:pPr>
        <w:snapToGrid w:val="0"/>
        <w:spacing w:line="360" w:lineRule="auto"/>
        <w:outlineLvl w:val="9"/>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质疑事项2</w:t>
      </w:r>
    </w:p>
    <w:p w14:paraId="03DEBF27">
      <w:pPr>
        <w:snapToGrid w:val="0"/>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p w14:paraId="709BC27D">
      <w:pPr>
        <w:snapToGrid w:val="0"/>
        <w:spacing w:line="360" w:lineRule="auto"/>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四、与质疑事项相关的质疑请求</w:t>
      </w:r>
    </w:p>
    <w:p w14:paraId="28E197D2">
      <w:pPr>
        <w:snapToGrid w:val="0"/>
        <w:spacing w:line="360" w:lineRule="auto"/>
        <w:outlineLvl w:val="9"/>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请求：</w:t>
      </w:r>
      <w:r>
        <w:rPr>
          <w:rFonts w:hint="eastAsia" w:ascii="宋体" w:hAnsi="宋体" w:eastAsia="宋体" w:cs="宋体"/>
          <w:color w:val="auto"/>
          <w:sz w:val="24"/>
          <w:highlight w:val="none"/>
          <w:u w:val="dotted"/>
        </w:rPr>
        <w:t xml:space="preserve">                                               </w:t>
      </w:r>
    </w:p>
    <w:p w14:paraId="42B1843F">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签字(签章)：                   公章：                      </w:t>
      </w:r>
    </w:p>
    <w:p w14:paraId="3639B389">
      <w:pPr>
        <w:spacing w:line="360" w:lineRule="auto"/>
        <w:outlineLvl w:val="9"/>
        <w:rPr>
          <w:rFonts w:hint="eastAsia" w:ascii="宋体" w:hAnsi="宋体" w:eastAsia="宋体" w:cs="宋体"/>
          <w:b/>
          <w:color w:val="auto"/>
          <w:sz w:val="24"/>
          <w:highlight w:val="none"/>
        </w:rPr>
      </w:pPr>
      <w:r>
        <w:rPr>
          <w:rFonts w:hint="eastAsia" w:ascii="宋体" w:hAnsi="宋体" w:eastAsia="宋体" w:cs="宋体"/>
          <w:color w:val="auto"/>
          <w:sz w:val="24"/>
          <w:highlight w:val="none"/>
        </w:rPr>
        <w:t xml:space="preserve">日期：    </w:t>
      </w:r>
    </w:p>
    <w:p w14:paraId="19189652">
      <w:pPr>
        <w:spacing w:line="360" w:lineRule="auto"/>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质疑函制作说明：</w:t>
      </w:r>
    </w:p>
    <w:p w14:paraId="02B3DEE4">
      <w:pPr>
        <w:widowControl/>
        <w:spacing w:line="360" w:lineRule="auto"/>
        <w:ind w:firstLine="480" w:firstLineChars="20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提出质疑时，应提交质疑函和必要的证明材料。</w:t>
      </w:r>
    </w:p>
    <w:p w14:paraId="30228909">
      <w:pPr>
        <w:widowControl/>
        <w:spacing w:line="360" w:lineRule="auto"/>
        <w:ind w:firstLine="480" w:firstLineChars="20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2.质疑</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若委托代理人进行质疑的，质疑函应按要求列明“授权代表”的有关内容，并在附件中提交由质疑</w:t>
      </w:r>
      <w:r>
        <w:rPr>
          <w:rFonts w:hint="eastAsia" w:ascii="宋体" w:hAnsi="宋体" w:eastAsia="宋体" w:cs="宋体"/>
          <w:color w:val="auto"/>
          <w:kern w:val="0"/>
          <w:sz w:val="24"/>
          <w:highlight w:val="none"/>
          <w:lang w:eastAsia="zh-CN"/>
        </w:rPr>
        <w:t>投标人</w:t>
      </w:r>
      <w:r>
        <w:rPr>
          <w:rFonts w:hint="eastAsia" w:ascii="宋体" w:hAnsi="宋体" w:eastAsia="宋体" w:cs="宋体"/>
          <w:color w:val="auto"/>
          <w:kern w:val="0"/>
          <w:sz w:val="24"/>
          <w:highlight w:val="none"/>
        </w:rPr>
        <w:t>签署的授权委托书。授权委托书应载明代理人的姓名或者名称、代理事项、具体权限、期限和相关事项。</w:t>
      </w:r>
    </w:p>
    <w:p w14:paraId="40A8FAB7">
      <w:pPr>
        <w:widowControl/>
        <w:spacing w:line="360" w:lineRule="auto"/>
        <w:ind w:firstLine="480" w:firstLineChars="20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3.质疑</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若对项目的某一分包进行质疑，质疑函中应列明具体分包号。</w:t>
      </w:r>
    </w:p>
    <w:p w14:paraId="54B78A9E">
      <w:pPr>
        <w:widowControl/>
        <w:spacing w:line="360" w:lineRule="auto"/>
        <w:ind w:firstLine="480" w:firstLineChars="20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4.质疑函的质疑事项应具体、明确，并有必要的事实依据和法律依据。</w:t>
      </w:r>
    </w:p>
    <w:p w14:paraId="3A786533">
      <w:pPr>
        <w:widowControl/>
        <w:spacing w:line="360" w:lineRule="auto"/>
        <w:ind w:firstLine="480" w:firstLineChars="20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5.质疑函的质疑请求应与质疑事项相关。</w:t>
      </w:r>
    </w:p>
    <w:p w14:paraId="4B596FBD">
      <w:pPr>
        <w:widowControl/>
        <w:spacing w:line="360" w:lineRule="auto"/>
        <w:ind w:firstLine="480" w:firstLineChars="20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6.质疑</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为自然人的，质疑函应由本人签字；质疑</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为法人或者其他组织的，质疑函应由法定代表人、主要负责人，或者其授权代表签字或者盖章，并加盖公章。</w:t>
      </w:r>
    </w:p>
    <w:p w14:paraId="19C22464">
      <w:pPr>
        <w:widowControl/>
        <w:spacing w:line="360" w:lineRule="auto"/>
        <w:ind w:firstLine="600" w:firstLineChars="200"/>
        <w:jc w:val="left"/>
        <w:outlineLvl w:val="9"/>
        <w:rPr>
          <w:rFonts w:hint="eastAsia" w:ascii="宋体" w:hAnsi="宋体" w:eastAsia="宋体" w:cs="宋体"/>
          <w:color w:val="auto"/>
          <w:sz w:val="30"/>
          <w:szCs w:val="30"/>
          <w:highlight w:val="none"/>
        </w:rPr>
      </w:pPr>
    </w:p>
    <w:p w14:paraId="679F4437">
      <w:pPr>
        <w:spacing w:line="360" w:lineRule="auto"/>
        <w:jc w:val="center"/>
        <w:outlineLvl w:val="9"/>
        <w:rPr>
          <w:rFonts w:hint="eastAsia" w:ascii="宋体" w:hAnsi="宋体" w:eastAsia="宋体" w:cs="宋体"/>
          <w:b/>
          <w:color w:val="auto"/>
          <w:spacing w:val="6"/>
          <w:sz w:val="32"/>
          <w:szCs w:val="32"/>
          <w:highlight w:val="none"/>
        </w:rPr>
      </w:pPr>
    </w:p>
    <w:p w14:paraId="3F909F51">
      <w:pPr>
        <w:spacing w:line="360" w:lineRule="auto"/>
        <w:jc w:val="center"/>
        <w:outlineLvl w:val="9"/>
        <w:rPr>
          <w:rFonts w:hint="eastAsia" w:ascii="宋体" w:hAnsi="宋体" w:eastAsia="宋体" w:cs="宋体"/>
          <w:b/>
          <w:color w:val="auto"/>
          <w:spacing w:val="6"/>
          <w:sz w:val="32"/>
          <w:szCs w:val="32"/>
          <w:highlight w:val="none"/>
        </w:rPr>
      </w:pPr>
    </w:p>
    <w:p w14:paraId="40D34612">
      <w:pPr>
        <w:spacing w:line="360" w:lineRule="auto"/>
        <w:jc w:val="center"/>
        <w:outlineLvl w:val="9"/>
        <w:rPr>
          <w:rFonts w:hint="eastAsia" w:ascii="宋体" w:hAnsi="宋体" w:eastAsia="宋体" w:cs="宋体"/>
          <w:b/>
          <w:color w:val="auto"/>
          <w:spacing w:val="6"/>
          <w:sz w:val="32"/>
          <w:szCs w:val="32"/>
          <w:highlight w:val="none"/>
        </w:rPr>
      </w:pPr>
    </w:p>
    <w:p w14:paraId="5530F70C">
      <w:pPr>
        <w:spacing w:line="360" w:lineRule="auto"/>
        <w:jc w:val="center"/>
        <w:outlineLvl w:val="9"/>
        <w:rPr>
          <w:rFonts w:hint="eastAsia" w:ascii="宋体" w:hAnsi="宋体" w:eastAsia="宋体" w:cs="宋体"/>
          <w:b/>
          <w:color w:val="auto"/>
          <w:spacing w:val="6"/>
          <w:sz w:val="32"/>
          <w:szCs w:val="32"/>
          <w:highlight w:val="none"/>
        </w:rPr>
      </w:pPr>
    </w:p>
    <w:p w14:paraId="6FDE9C9C">
      <w:pPr>
        <w:spacing w:line="360" w:lineRule="auto"/>
        <w:jc w:val="center"/>
        <w:outlineLvl w:val="9"/>
        <w:rPr>
          <w:rFonts w:hint="eastAsia" w:ascii="宋体" w:hAnsi="宋体" w:eastAsia="宋体" w:cs="宋体"/>
          <w:b/>
          <w:color w:val="auto"/>
          <w:spacing w:val="6"/>
          <w:sz w:val="32"/>
          <w:szCs w:val="32"/>
          <w:highlight w:val="none"/>
        </w:rPr>
      </w:pPr>
    </w:p>
    <w:p w14:paraId="3D3F23BB">
      <w:pPr>
        <w:spacing w:line="360" w:lineRule="auto"/>
        <w:jc w:val="center"/>
        <w:outlineLvl w:val="9"/>
        <w:rPr>
          <w:rFonts w:hint="eastAsia" w:ascii="宋体" w:hAnsi="宋体" w:eastAsia="宋体" w:cs="宋体"/>
          <w:b/>
          <w:color w:val="auto"/>
          <w:spacing w:val="6"/>
          <w:sz w:val="32"/>
          <w:szCs w:val="32"/>
          <w:highlight w:val="none"/>
        </w:rPr>
      </w:pPr>
    </w:p>
    <w:p w14:paraId="142EEB26">
      <w:pPr>
        <w:spacing w:line="360" w:lineRule="auto"/>
        <w:jc w:val="center"/>
        <w:outlineLvl w:val="9"/>
        <w:rPr>
          <w:rFonts w:hint="eastAsia" w:ascii="宋体" w:hAnsi="宋体" w:eastAsia="宋体" w:cs="宋体"/>
          <w:b/>
          <w:color w:val="auto"/>
          <w:spacing w:val="6"/>
          <w:sz w:val="32"/>
          <w:szCs w:val="32"/>
          <w:highlight w:val="none"/>
        </w:rPr>
      </w:pPr>
    </w:p>
    <w:p w14:paraId="627F87EF">
      <w:pPr>
        <w:spacing w:line="360" w:lineRule="auto"/>
        <w:jc w:val="center"/>
        <w:outlineLvl w:val="9"/>
        <w:rPr>
          <w:rFonts w:hint="eastAsia" w:ascii="宋体" w:hAnsi="宋体" w:eastAsia="宋体" w:cs="宋体"/>
          <w:b/>
          <w:color w:val="auto"/>
          <w:spacing w:val="6"/>
          <w:sz w:val="32"/>
          <w:szCs w:val="32"/>
          <w:highlight w:val="none"/>
        </w:rPr>
      </w:pPr>
    </w:p>
    <w:p w14:paraId="75BA1776">
      <w:pPr>
        <w:spacing w:line="360" w:lineRule="auto"/>
        <w:jc w:val="center"/>
        <w:outlineLvl w:val="9"/>
        <w:rPr>
          <w:rFonts w:hint="eastAsia" w:ascii="宋体" w:hAnsi="宋体" w:eastAsia="宋体" w:cs="宋体"/>
          <w:b/>
          <w:color w:val="auto"/>
          <w:spacing w:val="6"/>
          <w:sz w:val="32"/>
          <w:szCs w:val="32"/>
          <w:highlight w:val="none"/>
        </w:rPr>
      </w:pPr>
    </w:p>
    <w:p w14:paraId="38A16BAB">
      <w:pPr>
        <w:spacing w:line="360" w:lineRule="auto"/>
        <w:jc w:val="center"/>
        <w:outlineLvl w:val="9"/>
        <w:rPr>
          <w:rFonts w:hint="eastAsia" w:ascii="宋体" w:hAnsi="宋体" w:eastAsia="宋体" w:cs="宋体"/>
          <w:b/>
          <w:color w:val="auto"/>
          <w:spacing w:val="6"/>
          <w:sz w:val="32"/>
          <w:szCs w:val="32"/>
          <w:highlight w:val="none"/>
        </w:rPr>
      </w:pPr>
    </w:p>
    <w:p w14:paraId="07C0BDCC">
      <w:pPr>
        <w:spacing w:line="360" w:lineRule="auto"/>
        <w:jc w:val="center"/>
        <w:outlineLvl w:val="9"/>
        <w:rPr>
          <w:rFonts w:hint="eastAsia" w:ascii="宋体" w:hAnsi="宋体" w:eastAsia="宋体" w:cs="宋体"/>
          <w:b/>
          <w:color w:val="auto"/>
          <w:spacing w:val="6"/>
          <w:sz w:val="32"/>
          <w:szCs w:val="32"/>
          <w:highlight w:val="none"/>
        </w:rPr>
      </w:pPr>
    </w:p>
    <w:p w14:paraId="37C42A27">
      <w:pPr>
        <w:outlineLvl w:val="9"/>
        <w:rPr>
          <w:rFonts w:hint="eastAsia" w:ascii="宋体" w:hAnsi="宋体" w:eastAsia="宋体" w:cs="宋体"/>
          <w:b/>
          <w:color w:val="auto"/>
          <w:spacing w:val="6"/>
          <w:sz w:val="32"/>
          <w:szCs w:val="32"/>
          <w:highlight w:val="none"/>
        </w:rPr>
      </w:pPr>
    </w:p>
    <w:p w14:paraId="20B7B622">
      <w:pPr>
        <w:outlineLvl w:val="9"/>
        <w:rPr>
          <w:rFonts w:hint="eastAsia" w:ascii="宋体" w:hAnsi="宋体" w:eastAsia="宋体" w:cs="宋体"/>
          <w:b/>
          <w:color w:val="auto"/>
          <w:spacing w:val="6"/>
          <w:sz w:val="32"/>
          <w:szCs w:val="32"/>
          <w:highlight w:val="none"/>
        </w:rPr>
      </w:pPr>
    </w:p>
    <w:p w14:paraId="6B92BE63">
      <w:pPr>
        <w:outlineLvl w:val="9"/>
        <w:rPr>
          <w:rFonts w:hint="eastAsia" w:ascii="宋体" w:hAnsi="宋体" w:eastAsia="宋体" w:cs="宋体"/>
          <w:color w:val="auto"/>
          <w:highlight w:val="none"/>
        </w:rPr>
      </w:pPr>
    </w:p>
    <w:p w14:paraId="1C09DA3E">
      <w:pPr>
        <w:spacing w:line="360" w:lineRule="auto"/>
        <w:jc w:val="center"/>
        <w:outlineLvl w:val="9"/>
        <w:rPr>
          <w:rFonts w:hint="eastAsia" w:ascii="宋体" w:hAnsi="宋体" w:eastAsia="宋体" w:cs="宋体"/>
          <w:b/>
          <w:color w:val="auto"/>
          <w:spacing w:val="6"/>
          <w:sz w:val="32"/>
          <w:szCs w:val="32"/>
          <w:highlight w:val="none"/>
        </w:rPr>
      </w:pPr>
    </w:p>
    <w:p w14:paraId="0A0E8533">
      <w:pPr>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br w:type="page"/>
      </w:r>
    </w:p>
    <w:p w14:paraId="4EE0CAF4">
      <w:pPr>
        <w:spacing w:line="360" w:lineRule="auto"/>
        <w:jc w:val="left"/>
        <w:outlineLvl w:val="9"/>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t>附件</w:t>
      </w:r>
      <w:r>
        <w:rPr>
          <w:rFonts w:hint="eastAsia" w:ascii="宋体" w:hAnsi="宋体" w:eastAsia="宋体" w:cs="宋体"/>
          <w:b/>
          <w:color w:val="auto"/>
          <w:spacing w:val="6"/>
          <w:sz w:val="32"/>
          <w:szCs w:val="32"/>
          <w:highlight w:val="none"/>
          <w:lang w:val="en-US" w:eastAsia="zh-CN"/>
        </w:rPr>
        <w:t>2</w:t>
      </w:r>
      <w:r>
        <w:rPr>
          <w:rFonts w:hint="eastAsia" w:ascii="宋体" w:hAnsi="宋体" w:eastAsia="宋体" w:cs="宋体"/>
          <w:b/>
          <w:color w:val="auto"/>
          <w:spacing w:val="6"/>
          <w:sz w:val="32"/>
          <w:szCs w:val="32"/>
          <w:highlight w:val="none"/>
        </w:rPr>
        <w:t>：投诉书范本及制作说明</w:t>
      </w:r>
    </w:p>
    <w:p w14:paraId="15F46F6B">
      <w:pPr>
        <w:spacing w:line="360" w:lineRule="auto"/>
        <w:jc w:val="center"/>
        <w:outlineLvl w:val="9"/>
        <w:rPr>
          <w:rFonts w:hint="eastAsia" w:ascii="宋体" w:hAnsi="宋体" w:eastAsia="宋体" w:cs="宋体"/>
          <w:b/>
          <w:color w:val="auto"/>
          <w:sz w:val="24"/>
          <w:highlight w:val="none"/>
        </w:rPr>
      </w:pPr>
    </w:p>
    <w:p w14:paraId="778606A9">
      <w:pPr>
        <w:spacing w:line="360" w:lineRule="auto"/>
        <w:jc w:val="center"/>
        <w:outlineLvl w:val="9"/>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t>投诉书范本</w:t>
      </w:r>
    </w:p>
    <w:p w14:paraId="35BC468E">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一、投诉相关主体基本情况</w:t>
      </w:r>
    </w:p>
    <w:p w14:paraId="6A8F0A3E">
      <w:pPr>
        <w:spacing w:line="360" w:lineRule="auto"/>
        <w:outlineLvl w:val="9"/>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投诉人：</w:t>
      </w:r>
      <w:r>
        <w:rPr>
          <w:rFonts w:hint="eastAsia" w:ascii="宋体" w:hAnsi="宋体" w:eastAsia="宋体" w:cs="宋体"/>
          <w:color w:val="auto"/>
          <w:sz w:val="24"/>
          <w:highlight w:val="none"/>
          <w:u w:val="dotted"/>
        </w:rPr>
        <w:t xml:space="preserve">                                               </w:t>
      </w:r>
    </w:p>
    <w:p w14:paraId="7F4410D1">
      <w:pPr>
        <w:spacing w:line="360" w:lineRule="auto"/>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095FC132">
      <w:pPr>
        <w:tabs>
          <w:tab w:val="left" w:pos="6510"/>
        </w:tabs>
        <w:spacing w:line="360" w:lineRule="auto"/>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法定代表人/主要负责人：</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 xml:space="preserve">  </w:t>
      </w:r>
    </w:p>
    <w:p w14:paraId="56478B4E">
      <w:pPr>
        <w:tabs>
          <w:tab w:val="left" w:pos="6510"/>
        </w:tabs>
        <w:spacing w:line="360" w:lineRule="auto"/>
        <w:outlineLvl w:val="9"/>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dotted"/>
        </w:rPr>
        <w:t xml:space="preserve">                                             </w:t>
      </w:r>
    </w:p>
    <w:p w14:paraId="7AC49D13">
      <w:pPr>
        <w:spacing w:line="360" w:lineRule="auto"/>
        <w:outlineLvl w:val="9"/>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授权代表：</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dotted"/>
        </w:rPr>
        <w:t xml:space="preserve">：                  </w:t>
      </w:r>
    </w:p>
    <w:p w14:paraId="6B3DD2EF">
      <w:pPr>
        <w:spacing w:line="360" w:lineRule="auto"/>
        <w:outlineLvl w:val="9"/>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dotted"/>
        </w:rPr>
        <w:t xml:space="preserve">                   </w:t>
      </w:r>
    </w:p>
    <w:p w14:paraId="6D3B470E">
      <w:pPr>
        <w:spacing w:line="360" w:lineRule="auto"/>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被投诉人1：</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71C942F4">
      <w:pPr>
        <w:spacing w:line="360" w:lineRule="auto"/>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3058B6C9">
      <w:pPr>
        <w:spacing w:line="360" w:lineRule="auto"/>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7C49EEAA">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被投诉人2</w:t>
      </w:r>
    </w:p>
    <w:p w14:paraId="279F73F9">
      <w:pPr>
        <w:spacing w:line="360" w:lineRule="auto"/>
        <w:outlineLvl w:val="9"/>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w:t>
      </w:r>
    </w:p>
    <w:p w14:paraId="1286EEE2">
      <w:pPr>
        <w:spacing w:line="360" w:lineRule="auto"/>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相关</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1B968428">
      <w:pPr>
        <w:spacing w:line="360" w:lineRule="auto"/>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1969E716">
      <w:pPr>
        <w:spacing w:line="360" w:lineRule="auto"/>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4A0966E5">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二、投诉项目基本情况</w:t>
      </w:r>
    </w:p>
    <w:p w14:paraId="765D2A01">
      <w:pPr>
        <w:spacing w:line="360" w:lineRule="auto"/>
        <w:outlineLvl w:val="9"/>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采购项目名称：</w:t>
      </w:r>
      <w:r>
        <w:rPr>
          <w:rFonts w:hint="eastAsia" w:ascii="宋体" w:hAnsi="宋体" w:eastAsia="宋体" w:cs="宋体"/>
          <w:color w:val="auto"/>
          <w:sz w:val="24"/>
          <w:highlight w:val="none"/>
          <w:u w:val="dotted"/>
        </w:rPr>
        <w:t xml:space="preserve">                                        </w:t>
      </w:r>
    </w:p>
    <w:p w14:paraId="2132D634">
      <w:pPr>
        <w:spacing w:line="360" w:lineRule="auto"/>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采购项目编号：</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包号：</w:t>
      </w:r>
      <w:r>
        <w:rPr>
          <w:rFonts w:hint="eastAsia" w:ascii="宋体" w:hAnsi="宋体" w:eastAsia="宋体" w:cs="宋体"/>
          <w:color w:val="auto"/>
          <w:sz w:val="24"/>
          <w:highlight w:val="none"/>
          <w:u w:val="dotted"/>
        </w:rPr>
        <w:t xml:space="preserve">              </w:t>
      </w:r>
    </w:p>
    <w:p w14:paraId="3F6D862B">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采购人名称：</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4895A0AC">
      <w:pPr>
        <w:spacing w:line="360" w:lineRule="auto"/>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代理机构名称：</w:t>
      </w:r>
      <w:r>
        <w:rPr>
          <w:rFonts w:hint="eastAsia" w:ascii="宋体" w:hAnsi="宋体" w:eastAsia="宋体" w:cs="宋体"/>
          <w:color w:val="auto"/>
          <w:sz w:val="24"/>
          <w:highlight w:val="none"/>
          <w:u w:val="dotted"/>
        </w:rPr>
        <w:t xml:space="preserve">                                         </w:t>
      </w:r>
    </w:p>
    <w:p w14:paraId="1FFCC867">
      <w:pPr>
        <w:spacing w:line="360" w:lineRule="auto"/>
        <w:outlineLvl w:val="9"/>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采购文件公告</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u w:val="dotted"/>
        </w:rPr>
        <w:t xml:space="preserve">是/否 </w:t>
      </w:r>
      <w:r>
        <w:rPr>
          <w:rFonts w:hint="eastAsia" w:ascii="宋体" w:hAnsi="宋体" w:eastAsia="宋体" w:cs="宋体"/>
          <w:color w:val="auto"/>
          <w:sz w:val="24"/>
          <w:highlight w:val="none"/>
        </w:rPr>
        <w:t>公告期限：</w:t>
      </w:r>
      <w:r>
        <w:rPr>
          <w:rFonts w:hint="eastAsia" w:ascii="宋体" w:hAnsi="宋体" w:eastAsia="宋体" w:cs="宋体"/>
          <w:color w:val="auto"/>
          <w:sz w:val="24"/>
          <w:highlight w:val="none"/>
          <w:u w:val="dotted"/>
        </w:rPr>
        <w:t xml:space="preserve">                                 </w:t>
      </w:r>
    </w:p>
    <w:p w14:paraId="2F1B55D9">
      <w:pPr>
        <w:spacing w:line="360" w:lineRule="auto"/>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采购结果公告</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u w:val="dotted"/>
        </w:rPr>
        <w:t xml:space="preserve">是/否 </w:t>
      </w:r>
      <w:r>
        <w:rPr>
          <w:rFonts w:hint="eastAsia" w:ascii="宋体" w:hAnsi="宋体" w:eastAsia="宋体" w:cs="宋体"/>
          <w:color w:val="auto"/>
          <w:sz w:val="24"/>
          <w:highlight w:val="none"/>
        </w:rPr>
        <w:t>公告期限：</w:t>
      </w:r>
      <w:r>
        <w:rPr>
          <w:rFonts w:hint="eastAsia" w:ascii="宋体" w:hAnsi="宋体" w:eastAsia="宋体" w:cs="宋体"/>
          <w:color w:val="auto"/>
          <w:sz w:val="24"/>
          <w:highlight w:val="none"/>
          <w:u w:val="dotted"/>
        </w:rPr>
        <w:t xml:space="preserve">                        </w:t>
      </w:r>
    </w:p>
    <w:p w14:paraId="244C1CDF">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三、质疑基本情况</w:t>
      </w:r>
    </w:p>
    <w:p w14:paraId="4756977F">
      <w:pPr>
        <w:spacing w:line="360" w:lineRule="auto"/>
        <w:ind w:firstLine="480" w:firstLineChars="200"/>
        <w:outlineLvl w:val="9"/>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投诉人于</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日,向</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提出质疑，质疑事项为：</w:t>
      </w:r>
      <w:r>
        <w:rPr>
          <w:rFonts w:hint="eastAsia" w:ascii="宋体" w:hAnsi="宋体" w:eastAsia="宋体" w:cs="宋体"/>
          <w:color w:val="auto"/>
          <w:sz w:val="24"/>
          <w:highlight w:val="none"/>
          <w:u w:val="dotted"/>
        </w:rPr>
        <w:t xml:space="preserve">                                </w:t>
      </w:r>
    </w:p>
    <w:p w14:paraId="36AACEE0">
      <w:pPr>
        <w:spacing w:line="360" w:lineRule="auto"/>
        <w:outlineLvl w:val="9"/>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 xml:space="preserve">  </w:t>
      </w:r>
    </w:p>
    <w:p w14:paraId="11881383">
      <w:pPr>
        <w:spacing w:line="360" w:lineRule="auto"/>
        <w:ind w:firstLine="360" w:firstLineChars="1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u w:val="dotted"/>
        </w:rPr>
        <w:t>采购人/代理机构</w:t>
      </w:r>
      <w:r>
        <w:rPr>
          <w:rFonts w:hint="eastAsia" w:ascii="宋体" w:hAnsi="宋体" w:eastAsia="宋体" w:cs="宋体"/>
          <w:color w:val="auto"/>
          <w:sz w:val="24"/>
          <w:highlight w:val="none"/>
        </w:rPr>
        <w:t>于</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日,就质疑事项作出了答复/没有在法定期限内作出答复。</w:t>
      </w:r>
    </w:p>
    <w:p w14:paraId="58B1045E">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四、投诉事项具体内容</w:t>
      </w:r>
    </w:p>
    <w:p w14:paraId="1296706F">
      <w:pPr>
        <w:spacing w:line="360" w:lineRule="auto"/>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投诉事项 1：</w:t>
      </w:r>
      <w:r>
        <w:rPr>
          <w:rFonts w:hint="eastAsia" w:ascii="宋体" w:hAnsi="宋体" w:eastAsia="宋体" w:cs="宋体"/>
          <w:color w:val="auto"/>
          <w:sz w:val="24"/>
          <w:highlight w:val="none"/>
          <w:u w:val="dotted"/>
        </w:rPr>
        <w:t xml:space="preserve">                                       </w:t>
      </w:r>
    </w:p>
    <w:p w14:paraId="36D455D6">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事实依据：</w:t>
      </w:r>
      <w:r>
        <w:rPr>
          <w:rFonts w:hint="eastAsia" w:ascii="宋体" w:hAnsi="宋体" w:eastAsia="宋体" w:cs="宋体"/>
          <w:color w:val="auto"/>
          <w:sz w:val="24"/>
          <w:highlight w:val="none"/>
          <w:u w:val="dotted"/>
        </w:rPr>
        <w:t xml:space="preserve">                                         </w:t>
      </w:r>
    </w:p>
    <w:p w14:paraId="3A594270">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u w:val="dotted"/>
        </w:rPr>
        <w:t xml:space="preserve">                                                      </w:t>
      </w:r>
    </w:p>
    <w:p w14:paraId="58EFB949">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法律依据：</w:t>
      </w:r>
      <w:r>
        <w:rPr>
          <w:rFonts w:hint="eastAsia" w:ascii="宋体" w:hAnsi="宋体" w:eastAsia="宋体" w:cs="宋体"/>
          <w:color w:val="auto"/>
          <w:sz w:val="24"/>
          <w:highlight w:val="none"/>
          <w:u w:val="dotted"/>
        </w:rPr>
        <w:t xml:space="preserve">                                          </w:t>
      </w:r>
    </w:p>
    <w:p w14:paraId="1062EFEE">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u w:val="dotted"/>
        </w:rPr>
        <w:t xml:space="preserve">                                                      </w:t>
      </w:r>
    </w:p>
    <w:p w14:paraId="55B2668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投诉事项2</w:t>
      </w:r>
    </w:p>
    <w:p w14:paraId="02005B75">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w:t>
      </w:r>
    </w:p>
    <w:p w14:paraId="3C8C65CE">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五、与投诉事项相关的投诉请求</w:t>
      </w:r>
    </w:p>
    <w:p w14:paraId="1F48BC5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请求：</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 xml:space="preserve"> </w:t>
      </w:r>
    </w:p>
    <w:p w14:paraId="43AE9455">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w:t>
      </w:r>
    </w:p>
    <w:p w14:paraId="2E9A18B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签字(签章)：                   公章：                      </w:t>
      </w:r>
    </w:p>
    <w:p w14:paraId="49FE4088">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日期：    </w:t>
      </w:r>
    </w:p>
    <w:p w14:paraId="32F50097">
      <w:pPr>
        <w:spacing w:line="360" w:lineRule="auto"/>
        <w:rPr>
          <w:rFonts w:hint="eastAsia" w:ascii="宋体" w:hAnsi="宋体" w:eastAsia="宋体" w:cs="宋体"/>
          <w:b/>
          <w:color w:val="auto"/>
          <w:sz w:val="24"/>
          <w:highlight w:val="none"/>
        </w:rPr>
      </w:pPr>
    </w:p>
    <w:p w14:paraId="487C6C8B">
      <w:pPr>
        <w:spacing w:line="360" w:lineRule="auto"/>
        <w:rPr>
          <w:rFonts w:hint="eastAsia" w:ascii="宋体" w:hAnsi="宋体" w:eastAsia="宋体" w:cs="宋体"/>
          <w:b/>
          <w:color w:val="auto"/>
          <w:sz w:val="24"/>
          <w:highlight w:val="none"/>
        </w:rPr>
      </w:pPr>
    </w:p>
    <w:p w14:paraId="4209F00D">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投诉书制作说明：</w:t>
      </w:r>
    </w:p>
    <w:p w14:paraId="5153A061">
      <w:pPr>
        <w:widowControl/>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1.投诉人提起投诉时，应当提交投诉书和必要的证明材料，并按照被投诉人和与投诉事项有关的</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数量提供投诉书副本。</w:t>
      </w:r>
    </w:p>
    <w:p w14:paraId="6DB22C02">
      <w:pPr>
        <w:widowControl/>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2.投诉人若委托代理人进行投诉的，投诉书应按照要求列明“授权代表”的有关内容，并在附件中提交由</w:t>
      </w:r>
      <w:r>
        <w:rPr>
          <w:rFonts w:hint="eastAsia" w:ascii="宋体" w:hAnsi="宋体" w:eastAsia="宋体" w:cs="宋体"/>
          <w:color w:val="auto"/>
          <w:kern w:val="0"/>
          <w:sz w:val="24"/>
          <w:highlight w:val="none"/>
        </w:rPr>
        <w:t>投诉人签署的授权委托书。授权委托书应当载明代理人的姓名或者名称、代理事项、具体权限、期限和相关事项。</w:t>
      </w:r>
    </w:p>
    <w:p w14:paraId="7CB5A737">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3.投诉人若对项目的某一分包进行投诉，投诉书应列明具体分包号。</w:t>
      </w:r>
    </w:p>
    <w:p w14:paraId="5F8171C6">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4.投诉书应简要列明质疑事项，质疑函、质疑答复等作为附件材料提供。</w:t>
      </w:r>
    </w:p>
    <w:p w14:paraId="57E9A39C">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5.投诉书的投诉事项应具体、明确，并有必要的事实依据和法律依据。</w:t>
      </w:r>
    </w:p>
    <w:p w14:paraId="2E0AA799">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6.投诉书的投诉请求应与投诉事项相关。</w:t>
      </w:r>
    </w:p>
    <w:p w14:paraId="66480A76">
      <w:pPr>
        <w:widowControl/>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7.投诉人为自然人的，投诉书应当由本人签字；投诉人为法人或者其他组织的，投诉书应当由法定代表人、主要负责人，或者其授权代表签字或者盖章，并加盖公章。</w:t>
      </w:r>
    </w:p>
    <w:p w14:paraId="0AAA3189">
      <w:pPr>
        <w:autoSpaceDE w:val="0"/>
        <w:autoSpaceDN w:val="0"/>
        <w:jc w:val="both"/>
        <w:rPr>
          <w:rFonts w:hint="eastAsia" w:ascii="宋体" w:hAnsi="宋体" w:eastAsia="宋体" w:cs="宋体"/>
          <w:b/>
          <w:color w:val="auto"/>
          <w:spacing w:val="6"/>
          <w:sz w:val="32"/>
          <w:szCs w:val="32"/>
          <w:highlight w:val="none"/>
        </w:rPr>
      </w:pPr>
    </w:p>
    <w:p w14:paraId="324049A4">
      <w:pPr>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br w:type="page"/>
      </w:r>
    </w:p>
    <w:p w14:paraId="54B6D147">
      <w:pPr>
        <w:autoSpaceDE w:val="0"/>
        <w:autoSpaceDN w:val="0"/>
        <w:rPr>
          <w:rFonts w:hint="eastAsia" w:ascii="宋体" w:hAnsi="宋体" w:eastAsia="宋体" w:cs="宋体"/>
          <w:b/>
          <w:color w:val="auto"/>
          <w:kern w:val="0"/>
          <w:sz w:val="32"/>
          <w:szCs w:val="32"/>
          <w:highlight w:val="none"/>
          <w:lang w:val="zh-CN"/>
        </w:rPr>
      </w:pPr>
      <w:r>
        <w:rPr>
          <w:rFonts w:hint="eastAsia" w:ascii="宋体" w:hAnsi="宋体" w:eastAsia="宋体" w:cs="宋体"/>
          <w:b/>
          <w:color w:val="auto"/>
          <w:spacing w:val="6"/>
          <w:sz w:val="32"/>
          <w:szCs w:val="32"/>
          <w:highlight w:val="none"/>
        </w:rPr>
        <w:t>附件</w:t>
      </w:r>
      <w:r>
        <w:rPr>
          <w:rFonts w:hint="eastAsia" w:ascii="宋体" w:hAnsi="宋体" w:eastAsia="宋体" w:cs="宋体"/>
          <w:b/>
          <w:color w:val="auto"/>
          <w:spacing w:val="6"/>
          <w:sz w:val="32"/>
          <w:szCs w:val="32"/>
          <w:highlight w:val="none"/>
          <w:lang w:val="en-US" w:eastAsia="zh-CN"/>
        </w:rPr>
        <w:t>3</w:t>
      </w:r>
      <w:r>
        <w:rPr>
          <w:rFonts w:hint="eastAsia" w:ascii="宋体" w:hAnsi="宋体" w:eastAsia="宋体" w:cs="宋体"/>
          <w:b/>
          <w:color w:val="auto"/>
          <w:spacing w:val="6"/>
          <w:sz w:val="32"/>
          <w:szCs w:val="32"/>
          <w:highlight w:val="none"/>
        </w:rPr>
        <w:t>：</w:t>
      </w:r>
      <w:r>
        <w:rPr>
          <w:rFonts w:hint="eastAsia" w:ascii="宋体" w:hAnsi="宋体" w:eastAsia="宋体" w:cs="宋体"/>
          <w:b/>
          <w:color w:val="auto"/>
          <w:kern w:val="0"/>
          <w:sz w:val="32"/>
          <w:szCs w:val="32"/>
          <w:highlight w:val="none"/>
          <w:lang w:val="zh-CN"/>
        </w:rPr>
        <w:t>联合协议</w:t>
      </w:r>
    </w:p>
    <w:p w14:paraId="48ACEE32">
      <w:pPr>
        <w:widowControl/>
        <w:spacing w:line="360" w:lineRule="auto"/>
        <w:ind w:firstLine="482" w:firstLineChars="20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（以联合体形式投标的，提供联合协议；本项目不接受联合体投标或者投标人不以联合体形式投标的，则不需要提供）</w:t>
      </w:r>
    </w:p>
    <w:p w14:paraId="7C4AA58B">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u w:val="single"/>
        </w:rPr>
        <w:t>（联合体所有成员名称）</w:t>
      </w:r>
      <w:r>
        <w:rPr>
          <w:rFonts w:hint="eastAsia" w:ascii="宋体" w:hAnsi="宋体" w:eastAsia="宋体" w:cs="宋体"/>
          <w:color w:val="auto"/>
          <w:kern w:val="0"/>
          <w:sz w:val="24"/>
          <w:highlight w:val="none"/>
        </w:rPr>
        <w:t>自愿</w:t>
      </w:r>
      <w:r>
        <w:rPr>
          <w:rFonts w:hint="eastAsia" w:ascii="宋体" w:hAnsi="宋体" w:eastAsia="宋体" w:cs="宋体"/>
          <w:color w:val="auto"/>
          <w:kern w:val="0"/>
          <w:sz w:val="24"/>
          <w:highlight w:val="none"/>
          <w:lang w:val="zh-CN"/>
        </w:rPr>
        <w:t>组成一个联合体，以一个投标人的身份</w:t>
      </w:r>
      <w:r>
        <w:rPr>
          <w:rFonts w:hint="eastAsia" w:ascii="宋体" w:hAnsi="宋体" w:eastAsia="宋体" w:cs="宋体"/>
          <w:color w:val="auto"/>
          <w:kern w:val="0"/>
          <w:sz w:val="24"/>
          <w:highlight w:val="none"/>
        </w:rPr>
        <w:t>参加</w:t>
      </w:r>
      <w:r>
        <w:rPr>
          <w:rFonts w:hint="eastAsia" w:ascii="宋体" w:hAnsi="宋体" w:eastAsia="宋体" w:cs="宋体"/>
          <w:color w:val="auto"/>
          <w:sz w:val="24"/>
          <w:highlight w:val="none"/>
        </w:rPr>
        <w:t>（项目名称）【招标编号：（采购编号）】</w:t>
      </w:r>
      <w:r>
        <w:rPr>
          <w:rFonts w:hint="eastAsia" w:ascii="宋体" w:hAnsi="宋体" w:eastAsia="宋体" w:cs="宋体"/>
          <w:color w:val="auto"/>
          <w:kern w:val="0"/>
          <w:sz w:val="24"/>
          <w:highlight w:val="none"/>
          <w:lang w:val="zh-CN"/>
        </w:rPr>
        <w:t xml:space="preserve">投标。 </w:t>
      </w:r>
    </w:p>
    <w:p w14:paraId="02951D91">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一、各方一致决定，</w:t>
      </w:r>
      <w:r>
        <w:rPr>
          <w:rFonts w:hint="eastAsia" w:ascii="宋体" w:hAnsi="宋体" w:eastAsia="宋体" w:cs="宋体"/>
          <w:color w:val="auto"/>
          <w:kern w:val="0"/>
          <w:sz w:val="24"/>
          <w:highlight w:val="none"/>
          <w:u w:val="single"/>
        </w:rPr>
        <w:t>（某联合体成员名称）</w:t>
      </w:r>
      <w:r>
        <w:rPr>
          <w:rFonts w:hint="eastAsia" w:ascii="宋体" w:hAnsi="宋体" w:eastAsia="宋体" w:cs="宋体"/>
          <w:color w:val="auto"/>
          <w:kern w:val="0"/>
          <w:sz w:val="24"/>
          <w:highlight w:val="none"/>
        </w:rPr>
        <w:t>为联合体</w:t>
      </w:r>
      <w:r>
        <w:rPr>
          <w:rFonts w:hint="eastAsia" w:ascii="宋体" w:hAnsi="宋体" w:eastAsia="宋体" w:cs="宋体"/>
          <w:color w:val="auto"/>
          <w:kern w:val="0"/>
          <w:sz w:val="24"/>
          <w:highlight w:val="none"/>
          <w:lang w:val="zh-CN"/>
        </w:rPr>
        <w:t>牵头人</w:t>
      </w:r>
      <w:r>
        <w:rPr>
          <w:rFonts w:hint="eastAsia" w:ascii="宋体" w:hAnsi="宋体" w:eastAsia="宋体" w:cs="宋体"/>
          <w:color w:val="auto"/>
          <w:sz w:val="24"/>
          <w:highlight w:val="none"/>
        </w:rPr>
        <w:t>，代表所有联合体成员负责投标和合同实施阶段的主办、协调工作</w:t>
      </w:r>
      <w:r>
        <w:rPr>
          <w:rFonts w:hint="eastAsia" w:ascii="宋体" w:hAnsi="宋体" w:eastAsia="宋体" w:cs="宋体"/>
          <w:color w:val="auto"/>
          <w:kern w:val="0"/>
          <w:sz w:val="24"/>
          <w:highlight w:val="none"/>
          <w:lang w:val="zh-CN"/>
        </w:rPr>
        <w:t>。</w:t>
      </w:r>
    </w:p>
    <w:p w14:paraId="27256838">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二、</w:t>
      </w:r>
      <w:r>
        <w:rPr>
          <w:rFonts w:hint="eastAsia" w:ascii="宋体" w:hAnsi="宋体" w:eastAsia="宋体" w:cs="宋体"/>
          <w:color w:val="auto"/>
          <w:sz w:val="24"/>
          <w:highlight w:val="none"/>
        </w:rPr>
        <w:t>所有联合体成员各方签署授权书，授权书载明的</w:t>
      </w:r>
      <w:r>
        <w:rPr>
          <w:rFonts w:hint="eastAsia" w:ascii="宋体" w:hAnsi="宋体" w:eastAsia="宋体" w:cs="宋体"/>
          <w:color w:val="auto"/>
          <w:kern w:val="0"/>
          <w:sz w:val="24"/>
          <w:highlight w:val="none"/>
          <w:lang w:val="zh-CN"/>
        </w:rPr>
        <w:t>授权代表根据招标文件规定及投标内容而对采购人、采购代理机构所作的任何合法承诺，包括书面澄清及相应等均对联合投标各方产生约束力。</w:t>
      </w:r>
    </w:p>
    <w:p w14:paraId="571065C5">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三、本次联合投标中，分工如下：</w:t>
      </w:r>
    </w:p>
    <w:p w14:paraId="4B293A3E">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u w:val="single"/>
        </w:rPr>
        <w:t>（联合体成员1）</w:t>
      </w:r>
      <w:r>
        <w:rPr>
          <w:rFonts w:hint="eastAsia" w:ascii="宋体" w:hAnsi="宋体" w:eastAsia="宋体" w:cs="宋体"/>
          <w:color w:val="auto"/>
          <w:kern w:val="0"/>
          <w:sz w:val="24"/>
          <w:highlight w:val="none"/>
          <w:lang w:val="zh-CN"/>
        </w:rPr>
        <w:t>承担的工作和义务为：</w:t>
      </w:r>
      <w:r>
        <w:rPr>
          <w:rFonts w:hint="eastAsia" w:ascii="宋体" w:hAnsi="宋体" w:eastAsia="宋体" w:cs="宋体"/>
          <w:color w:val="auto"/>
          <w:highlight w:val="none"/>
          <w:u w:val="single"/>
        </w:rPr>
        <w:t xml:space="preserve">             </w:t>
      </w:r>
      <w:r>
        <w:rPr>
          <w:rFonts w:hint="eastAsia" w:ascii="宋体" w:hAnsi="宋体" w:eastAsia="宋体" w:cs="宋体"/>
          <w:color w:val="auto"/>
          <w:kern w:val="0"/>
          <w:sz w:val="24"/>
          <w:highlight w:val="none"/>
          <w:lang w:val="zh-CN"/>
        </w:rPr>
        <w:t>；</w:t>
      </w:r>
    </w:p>
    <w:p w14:paraId="54DBB11B">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u w:val="single"/>
        </w:rPr>
        <w:t>（联合体成员2）</w:t>
      </w:r>
      <w:r>
        <w:rPr>
          <w:rFonts w:hint="eastAsia" w:ascii="宋体" w:hAnsi="宋体" w:eastAsia="宋体" w:cs="宋体"/>
          <w:color w:val="auto"/>
          <w:kern w:val="0"/>
          <w:sz w:val="24"/>
          <w:highlight w:val="none"/>
          <w:lang w:val="zh-CN"/>
        </w:rPr>
        <w:t>承担的工作和义务为：</w:t>
      </w:r>
      <w:r>
        <w:rPr>
          <w:rFonts w:hint="eastAsia" w:ascii="宋体" w:hAnsi="宋体" w:eastAsia="宋体" w:cs="宋体"/>
          <w:color w:val="auto"/>
          <w:highlight w:val="none"/>
          <w:u w:val="single"/>
        </w:rPr>
        <w:t xml:space="preserve">             </w:t>
      </w:r>
      <w:r>
        <w:rPr>
          <w:rFonts w:hint="eastAsia" w:ascii="宋体" w:hAnsi="宋体" w:eastAsia="宋体" w:cs="宋体"/>
          <w:color w:val="auto"/>
          <w:kern w:val="0"/>
          <w:sz w:val="24"/>
          <w:highlight w:val="none"/>
          <w:lang w:val="zh-CN"/>
        </w:rPr>
        <w:t>；</w:t>
      </w:r>
    </w:p>
    <w:p w14:paraId="3F222060">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w:t>
      </w:r>
    </w:p>
    <w:p w14:paraId="1BAA5EC8">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四、联合体成员中小企业合同份额。</w:t>
      </w:r>
    </w:p>
    <w:p w14:paraId="6C614B48">
      <w:pPr>
        <w:snapToGrid w:val="0"/>
        <w:spacing w:line="360" w:lineRule="auto"/>
        <w:ind w:firstLine="576"/>
        <w:rPr>
          <w:rFonts w:hint="eastAsia" w:ascii="宋体" w:hAnsi="宋体" w:eastAsia="宋体" w:cs="宋体"/>
          <w:b/>
          <w:color w:val="auto"/>
          <w:kern w:val="0"/>
          <w:sz w:val="24"/>
          <w:highlight w:val="none"/>
          <w:lang w:val="zh-CN"/>
        </w:rPr>
      </w:pPr>
      <w:r>
        <w:rPr>
          <w:rFonts w:hint="eastAsia" w:ascii="宋体" w:hAnsi="宋体" w:eastAsia="宋体" w:cs="宋体"/>
          <w:color w:val="auto"/>
          <w:kern w:val="0"/>
          <w:sz w:val="24"/>
          <w:highlight w:val="none"/>
          <w:lang w:val="zh-CN"/>
        </w:rPr>
        <w:t>1、</w:t>
      </w:r>
      <w:r>
        <w:rPr>
          <w:rFonts w:hint="eastAsia" w:ascii="宋体" w:hAnsi="宋体" w:eastAsia="宋体" w:cs="宋体"/>
          <w:color w:val="auto"/>
          <w:kern w:val="0"/>
          <w:sz w:val="24"/>
          <w:highlight w:val="none"/>
          <w:u w:val="single"/>
        </w:rPr>
        <w:t>（</w:t>
      </w:r>
      <w:bookmarkStart w:id="426" w:name="_Hlk101131882"/>
      <w:r>
        <w:rPr>
          <w:rFonts w:hint="eastAsia" w:ascii="宋体" w:hAnsi="宋体" w:eastAsia="宋体" w:cs="宋体"/>
          <w:color w:val="auto"/>
          <w:kern w:val="0"/>
          <w:sz w:val="24"/>
          <w:highlight w:val="none"/>
          <w:u w:val="single"/>
        </w:rPr>
        <w:t>联合体成员X,……</w:t>
      </w:r>
      <w:bookmarkEnd w:id="426"/>
      <w:r>
        <w:rPr>
          <w:rFonts w:hint="eastAsia" w:ascii="宋体" w:hAnsi="宋体" w:eastAsia="宋体" w:cs="宋体"/>
          <w:color w:val="auto"/>
          <w:kern w:val="0"/>
          <w:sz w:val="24"/>
          <w:highlight w:val="none"/>
          <w:u w:val="single"/>
        </w:rPr>
        <w:t>）</w:t>
      </w:r>
      <w:r>
        <w:rPr>
          <w:rFonts w:hint="eastAsia" w:ascii="宋体" w:hAnsi="宋体" w:eastAsia="宋体" w:cs="宋体"/>
          <w:color w:val="auto"/>
          <w:kern w:val="0"/>
          <w:sz w:val="24"/>
          <w:highlight w:val="none"/>
        </w:rPr>
        <w:t>提供的服务由小微企业承接，其合同份额占到合同总金额</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%以上</w:t>
      </w:r>
      <w:r>
        <w:rPr>
          <w:rFonts w:hint="eastAsia" w:ascii="宋体" w:hAnsi="宋体" w:eastAsia="宋体" w:cs="宋体"/>
          <w:color w:val="auto"/>
          <w:kern w:val="0"/>
          <w:sz w:val="24"/>
          <w:highlight w:val="none"/>
          <w:lang w:val="zh-CN"/>
        </w:rPr>
        <w:t>。</w:t>
      </w:r>
      <w:r>
        <w:rPr>
          <w:rFonts w:hint="eastAsia" w:ascii="宋体" w:hAnsi="宋体" w:eastAsia="宋体" w:cs="宋体"/>
          <w:b/>
          <w:color w:val="auto"/>
          <w:kern w:val="0"/>
          <w:sz w:val="24"/>
          <w:highlight w:val="none"/>
          <w:lang w:val="zh-CN"/>
        </w:rPr>
        <w:t>（</w:t>
      </w:r>
      <w:bookmarkStart w:id="427" w:name="_Hlk101133598"/>
      <w:r>
        <w:rPr>
          <w:rFonts w:hint="eastAsia" w:ascii="宋体" w:hAnsi="宋体" w:eastAsia="宋体" w:cs="宋体"/>
          <w:b/>
          <w:color w:val="auto"/>
          <w:kern w:val="0"/>
          <w:sz w:val="24"/>
          <w:highlight w:val="none"/>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投标人</w:t>
      </w:r>
      <w:r>
        <w:rPr>
          <w:rFonts w:hint="eastAsia" w:ascii="宋体" w:hAnsi="宋体" w:eastAsia="宋体" w:cs="宋体"/>
          <w:b/>
          <w:color w:val="auto"/>
          <w:sz w:val="24"/>
          <w:highlight w:val="none"/>
        </w:rPr>
        <w:t>拟享受以上价格扣除政策的，填写有关内容。</w:t>
      </w:r>
      <w:bookmarkEnd w:id="427"/>
      <w:r>
        <w:rPr>
          <w:rFonts w:hint="eastAsia" w:ascii="宋体" w:hAnsi="宋体" w:eastAsia="宋体" w:cs="宋体"/>
          <w:b/>
          <w:color w:val="auto"/>
          <w:kern w:val="0"/>
          <w:sz w:val="24"/>
          <w:highlight w:val="none"/>
          <w:lang w:val="zh-CN"/>
        </w:rPr>
        <w:t>）</w:t>
      </w:r>
    </w:p>
    <w:p w14:paraId="683B3228">
      <w:pPr>
        <w:spacing w:line="360" w:lineRule="auto"/>
        <w:ind w:firstLine="480" w:firstLineChars="200"/>
        <w:rPr>
          <w:rFonts w:hint="eastAsia" w:ascii="宋体" w:hAnsi="宋体" w:eastAsia="宋体" w:cs="宋体"/>
          <w:b/>
          <w:bCs/>
          <w:color w:val="auto"/>
          <w:kern w:val="0"/>
          <w:sz w:val="24"/>
          <w:highlight w:val="none"/>
          <w:lang w:val="zh-CN"/>
        </w:rPr>
      </w:pPr>
      <w:r>
        <w:rPr>
          <w:rFonts w:hint="eastAsia" w:ascii="宋体" w:hAnsi="宋体" w:eastAsia="宋体" w:cs="宋体"/>
          <w:color w:val="auto"/>
          <w:sz w:val="24"/>
          <w:highlight w:val="none"/>
        </w:rPr>
        <w:t>2、中小企业合同金额达到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%，小微企业合同金额达到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lang w:val="zh-CN"/>
        </w:rPr>
        <w:t>。</w:t>
      </w:r>
      <w:r>
        <w:rPr>
          <w:rFonts w:hint="eastAsia" w:ascii="宋体" w:hAnsi="宋体" w:eastAsia="宋体" w:cs="宋体"/>
          <w:b/>
          <w:bCs/>
          <w:color w:val="auto"/>
          <w:kern w:val="0"/>
          <w:sz w:val="24"/>
          <w:highlight w:val="none"/>
          <w:lang w:val="zh-CN"/>
        </w:rPr>
        <w:t>（</w:t>
      </w:r>
      <w:r>
        <w:rPr>
          <w:rFonts w:hint="eastAsia" w:ascii="宋体" w:hAnsi="宋体" w:eastAsia="宋体" w:cs="宋体"/>
          <w:b/>
          <w:bCs/>
          <w:color w:val="auto"/>
          <w:sz w:val="24"/>
          <w:highlight w:val="none"/>
        </w:rPr>
        <w:t>要求以联合体形式参加的项目或采购包，</w:t>
      </w:r>
      <w:r>
        <w:rPr>
          <w:rFonts w:hint="eastAsia" w:ascii="宋体" w:hAnsi="宋体" w:eastAsia="宋体" w:cs="宋体"/>
          <w:b/>
          <w:bCs/>
          <w:color w:val="auto"/>
          <w:sz w:val="24"/>
          <w:highlight w:val="none"/>
          <w:lang w:eastAsia="zh-CN"/>
        </w:rPr>
        <w:t>投标人</w:t>
      </w:r>
      <w:r>
        <w:rPr>
          <w:rFonts w:hint="eastAsia" w:ascii="宋体" w:hAnsi="宋体" w:eastAsia="宋体" w:cs="宋体"/>
          <w:b/>
          <w:bCs/>
          <w:color w:val="auto"/>
          <w:sz w:val="24"/>
          <w:highlight w:val="none"/>
        </w:rPr>
        <w:t>按招标文件第一部分招标公告申请人的资格要求中规定的联合协议中中小企业、小微企业合同金额应当达到的比例要求填写。</w:t>
      </w:r>
      <w:r>
        <w:rPr>
          <w:rFonts w:hint="eastAsia" w:ascii="宋体" w:hAnsi="宋体" w:eastAsia="宋体" w:cs="宋体"/>
          <w:b/>
          <w:bCs/>
          <w:color w:val="auto"/>
          <w:kern w:val="0"/>
          <w:sz w:val="24"/>
          <w:highlight w:val="none"/>
          <w:lang w:val="zh-CN"/>
        </w:rPr>
        <w:t>）</w:t>
      </w:r>
    </w:p>
    <w:p w14:paraId="68382899">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五、如果中标，</w:t>
      </w:r>
      <w:r>
        <w:rPr>
          <w:rFonts w:hint="eastAsia" w:ascii="宋体" w:hAnsi="宋体" w:eastAsia="宋体" w:cs="宋体"/>
          <w:color w:val="auto"/>
          <w:sz w:val="24"/>
          <w:highlight w:val="none"/>
        </w:rPr>
        <w:t>联合体各成员方共同与采购人签订合同，并就采购合同约定的事项对采购人承担连带责任。</w:t>
      </w:r>
    </w:p>
    <w:p w14:paraId="0C1A65DD">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六、有关本次联合投标的其他事宜：</w:t>
      </w:r>
    </w:p>
    <w:p w14:paraId="48FE4639">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1、联合体各方不再单独参加或者与其他投标人另外组成联合体参加同一合同项下的政府采购活动。</w:t>
      </w:r>
    </w:p>
    <w:p w14:paraId="0C32DA99">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2、联合体中有同类资质的各方按照联合体分工承担相同工作的，按照资质等级较低的投标人确定资质等级。</w:t>
      </w:r>
    </w:p>
    <w:p w14:paraId="0BFF84E0">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3、本协议提交采购人、采购代理机构后，联合体各方不得以任何形式对上述内容进行修改或撤销。</w:t>
      </w:r>
    </w:p>
    <w:p w14:paraId="3B536191">
      <w:pPr>
        <w:snapToGrid w:val="0"/>
        <w:spacing w:line="360" w:lineRule="auto"/>
        <w:ind w:firstLine="5040" w:firstLineChars="21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联合体成员名称(</w:t>
      </w:r>
      <w:r>
        <w:rPr>
          <w:rFonts w:hint="eastAsia" w:ascii="宋体" w:hAnsi="宋体" w:eastAsia="宋体" w:cs="宋体"/>
          <w:color w:val="auto"/>
          <w:kern w:val="0"/>
          <w:sz w:val="24"/>
          <w:highlight w:val="none"/>
          <w:lang w:val="en-US" w:eastAsia="zh-CN"/>
        </w:rPr>
        <w:t>电子</w:t>
      </w:r>
      <w:r>
        <w:rPr>
          <w:rFonts w:hint="eastAsia" w:ascii="宋体" w:hAnsi="宋体" w:eastAsia="宋体" w:cs="宋体"/>
          <w:color w:val="auto"/>
          <w:kern w:val="0"/>
          <w:sz w:val="24"/>
          <w:highlight w:val="none"/>
          <w:lang w:val="zh-CN"/>
        </w:rPr>
        <w:t>公章)：</w:t>
      </w:r>
    </w:p>
    <w:p w14:paraId="63E6ABDC">
      <w:pPr>
        <w:snapToGrid w:val="0"/>
        <w:spacing w:line="360" w:lineRule="auto"/>
        <w:ind w:firstLine="5040" w:firstLineChars="2100"/>
        <w:rPr>
          <w:rStyle w:val="83"/>
          <w:rFonts w:hint="eastAsia" w:ascii="宋体" w:hAnsi="宋体" w:eastAsia="宋体" w:cs="宋体"/>
          <w:color w:val="auto"/>
          <w:highlight w:val="none"/>
        </w:rPr>
      </w:pPr>
      <w:r>
        <w:rPr>
          <w:rStyle w:val="83"/>
          <w:rFonts w:hint="eastAsia" w:ascii="宋体" w:hAnsi="宋体" w:eastAsia="宋体" w:cs="宋体"/>
          <w:color w:val="auto"/>
          <w:highlight w:val="none"/>
        </w:rPr>
        <w:t>法定代表人（负责人） (签名)：</w:t>
      </w:r>
    </w:p>
    <w:p w14:paraId="38847784">
      <w:pPr>
        <w:snapToGrid w:val="0"/>
        <w:spacing w:line="360" w:lineRule="auto"/>
        <w:ind w:firstLine="5040" w:firstLineChars="2100"/>
        <w:rPr>
          <w:rFonts w:hint="eastAsia" w:ascii="宋体" w:hAnsi="宋体" w:eastAsia="宋体" w:cs="宋体"/>
          <w:color w:val="auto"/>
          <w:kern w:val="0"/>
          <w:sz w:val="24"/>
          <w:highlight w:val="none"/>
          <w:lang w:val="zh-CN"/>
        </w:rPr>
      </w:pPr>
      <w:r>
        <w:rPr>
          <w:rStyle w:val="83"/>
          <w:rFonts w:hint="eastAsia" w:ascii="宋体" w:hAnsi="宋体" w:eastAsia="宋体" w:cs="宋体"/>
          <w:color w:val="auto"/>
          <w:highlight w:val="none"/>
        </w:rPr>
        <w:t>联合体成</w:t>
      </w:r>
      <w:r>
        <w:rPr>
          <w:rFonts w:hint="eastAsia" w:ascii="宋体" w:hAnsi="宋体" w:eastAsia="宋体" w:cs="宋体"/>
          <w:color w:val="auto"/>
          <w:kern w:val="0"/>
          <w:sz w:val="24"/>
          <w:highlight w:val="none"/>
          <w:lang w:val="zh-CN"/>
        </w:rPr>
        <w:t>员名称(</w:t>
      </w:r>
      <w:r>
        <w:rPr>
          <w:rFonts w:hint="eastAsia" w:ascii="宋体" w:hAnsi="宋体" w:eastAsia="宋体" w:cs="宋体"/>
          <w:color w:val="auto"/>
          <w:kern w:val="0"/>
          <w:sz w:val="24"/>
          <w:highlight w:val="none"/>
          <w:lang w:val="en-US" w:eastAsia="zh-CN"/>
        </w:rPr>
        <w:t>电子</w:t>
      </w:r>
      <w:r>
        <w:rPr>
          <w:rFonts w:hint="eastAsia" w:ascii="宋体" w:hAnsi="宋体" w:eastAsia="宋体" w:cs="宋体"/>
          <w:color w:val="auto"/>
          <w:kern w:val="0"/>
          <w:sz w:val="24"/>
          <w:highlight w:val="none"/>
          <w:lang w:val="zh-CN"/>
        </w:rPr>
        <w:t>公章)：</w:t>
      </w:r>
    </w:p>
    <w:p w14:paraId="688B6036">
      <w:pPr>
        <w:snapToGrid w:val="0"/>
        <w:spacing w:line="360" w:lineRule="auto"/>
        <w:ind w:firstLine="5040" w:firstLineChars="21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法定代表人（负责人） (签名)：</w:t>
      </w:r>
    </w:p>
    <w:p w14:paraId="1C656EB6">
      <w:pPr>
        <w:snapToGrid w:val="0"/>
        <w:spacing w:line="360" w:lineRule="auto"/>
        <w:ind w:right="960"/>
        <w:jc w:val="center"/>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w:t>
      </w:r>
    </w:p>
    <w:p w14:paraId="4FD66A66">
      <w:pPr>
        <w:snapToGrid w:val="0"/>
        <w:spacing w:line="360" w:lineRule="auto"/>
        <w:jc w:val="righ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16C04A4D">
      <w:pPr>
        <w:spacing w:line="360" w:lineRule="auto"/>
        <w:ind w:right="420"/>
        <w:rPr>
          <w:rFonts w:hint="eastAsia" w:ascii="宋体" w:hAnsi="宋体" w:eastAsia="宋体" w:cs="宋体"/>
          <w:color w:val="auto"/>
          <w:sz w:val="24"/>
          <w:highlight w:val="none"/>
        </w:rPr>
      </w:pPr>
      <w:r>
        <w:rPr>
          <w:rFonts w:hint="eastAsia" w:ascii="宋体" w:hAnsi="宋体" w:eastAsia="宋体" w:cs="宋体"/>
          <w:color w:val="auto"/>
          <w:sz w:val="24"/>
          <w:highlight w:val="none"/>
        </w:rPr>
        <w:t>注：按本格式和要求提供。</w:t>
      </w:r>
    </w:p>
    <w:p w14:paraId="411B3237">
      <w:pPr>
        <w:autoSpaceDE w:val="0"/>
        <w:autoSpaceDN w:val="0"/>
        <w:jc w:val="center"/>
        <w:rPr>
          <w:rFonts w:hint="eastAsia" w:ascii="宋体" w:hAnsi="宋体" w:eastAsia="宋体" w:cs="宋体"/>
          <w:b/>
          <w:color w:val="auto"/>
          <w:spacing w:val="6"/>
          <w:sz w:val="32"/>
          <w:szCs w:val="32"/>
          <w:highlight w:val="none"/>
        </w:rPr>
      </w:pPr>
    </w:p>
    <w:p w14:paraId="3803F5E9">
      <w:pPr>
        <w:autoSpaceDE w:val="0"/>
        <w:autoSpaceDN w:val="0"/>
        <w:jc w:val="center"/>
        <w:rPr>
          <w:rFonts w:hint="eastAsia" w:ascii="宋体" w:hAnsi="宋体" w:eastAsia="宋体" w:cs="宋体"/>
          <w:b/>
          <w:color w:val="auto"/>
          <w:spacing w:val="6"/>
          <w:sz w:val="32"/>
          <w:szCs w:val="32"/>
          <w:highlight w:val="none"/>
        </w:rPr>
      </w:pPr>
    </w:p>
    <w:p w14:paraId="7B2E6CAE">
      <w:pPr>
        <w:autoSpaceDE w:val="0"/>
        <w:autoSpaceDN w:val="0"/>
        <w:jc w:val="center"/>
        <w:rPr>
          <w:rFonts w:hint="eastAsia" w:ascii="宋体" w:hAnsi="宋体" w:eastAsia="宋体" w:cs="宋体"/>
          <w:b/>
          <w:color w:val="auto"/>
          <w:spacing w:val="6"/>
          <w:sz w:val="32"/>
          <w:szCs w:val="32"/>
          <w:highlight w:val="none"/>
        </w:rPr>
      </w:pPr>
    </w:p>
    <w:p w14:paraId="182CE943">
      <w:pPr>
        <w:autoSpaceDE w:val="0"/>
        <w:autoSpaceDN w:val="0"/>
        <w:jc w:val="center"/>
        <w:rPr>
          <w:rFonts w:hint="eastAsia" w:ascii="宋体" w:hAnsi="宋体" w:eastAsia="宋体" w:cs="宋体"/>
          <w:b/>
          <w:color w:val="auto"/>
          <w:spacing w:val="6"/>
          <w:sz w:val="32"/>
          <w:szCs w:val="32"/>
          <w:highlight w:val="none"/>
        </w:rPr>
      </w:pPr>
    </w:p>
    <w:p w14:paraId="39B01EA6">
      <w:pPr>
        <w:outlineLvl w:val="9"/>
        <w:rPr>
          <w:rFonts w:hint="eastAsia" w:ascii="宋体" w:hAnsi="宋体" w:eastAsia="宋体" w:cs="宋体"/>
          <w:b/>
          <w:color w:val="auto"/>
          <w:spacing w:val="6"/>
          <w:sz w:val="32"/>
          <w:szCs w:val="32"/>
          <w:highlight w:val="none"/>
        </w:rPr>
      </w:pPr>
    </w:p>
    <w:p w14:paraId="7C84CDB5">
      <w:pPr>
        <w:outlineLvl w:val="9"/>
        <w:rPr>
          <w:rFonts w:hint="eastAsia" w:ascii="宋体" w:hAnsi="宋体" w:eastAsia="宋体" w:cs="宋体"/>
          <w:b/>
          <w:color w:val="auto"/>
          <w:spacing w:val="6"/>
          <w:sz w:val="32"/>
          <w:szCs w:val="32"/>
          <w:highlight w:val="none"/>
        </w:rPr>
      </w:pPr>
    </w:p>
    <w:p w14:paraId="648077F6">
      <w:pPr>
        <w:outlineLvl w:val="9"/>
        <w:rPr>
          <w:rFonts w:hint="eastAsia" w:ascii="宋体" w:hAnsi="宋体" w:eastAsia="宋体" w:cs="宋体"/>
          <w:b/>
          <w:color w:val="auto"/>
          <w:spacing w:val="6"/>
          <w:sz w:val="32"/>
          <w:szCs w:val="32"/>
          <w:highlight w:val="none"/>
        </w:rPr>
      </w:pPr>
    </w:p>
    <w:p w14:paraId="5376DDBE">
      <w:pPr>
        <w:outlineLvl w:val="9"/>
        <w:rPr>
          <w:rFonts w:hint="eastAsia" w:ascii="宋体" w:hAnsi="宋体" w:eastAsia="宋体" w:cs="宋体"/>
          <w:b/>
          <w:color w:val="auto"/>
          <w:spacing w:val="6"/>
          <w:sz w:val="32"/>
          <w:szCs w:val="32"/>
          <w:highlight w:val="none"/>
        </w:rPr>
      </w:pPr>
    </w:p>
    <w:p w14:paraId="59CFC1DB">
      <w:pPr>
        <w:outlineLvl w:val="9"/>
        <w:rPr>
          <w:rFonts w:hint="eastAsia" w:ascii="宋体" w:hAnsi="宋体" w:eastAsia="宋体" w:cs="宋体"/>
          <w:b/>
          <w:color w:val="auto"/>
          <w:spacing w:val="6"/>
          <w:sz w:val="32"/>
          <w:szCs w:val="32"/>
          <w:highlight w:val="none"/>
        </w:rPr>
      </w:pPr>
    </w:p>
    <w:p w14:paraId="3C4FCCCB">
      <w:pPr>
        <w:outlineLvl w:val="9"/>
        <w:rPr>
          <w:rFonts w:hint="eastAsia" w:ascii="宋体" w:hAnsi="宋体" w:eastAsia="宋体" w:cs="宋体"/>
          <w:b/>
          <w:color w:val="auto"/>
          <w:spacing w:val="6"/>
          <w:sz w:val="32"/>
          <w:szCs w:val="32"/>
          <w:highlight w:val="none"/>
        </w:rPr>
      </w:pPr>
    </w:p>
    <w:p w14:paraId="69BDAF96">
      <w:pPr>
        <w:outlineLvl w:val="9"/>
        <w:rPr>
          <w:rFonts w:hint="eastAsia" w:ascii="宋体" w:hAnsi="宋体" w:eastAsia="宋体" w:cs="宋体"/>
          <w:b/>
          <w:color w:val="auto"/>
          <w:spacing w:val="6"/>
          <w:sz w:val="32"/>
          <w:szCs w:val="32"/>
          <w:highlight w:val="none"/>
        </w:rPr>
      </w:pPr>
    </w:p>
    <w:p w14:paraId="1C29B37C">
      <w:pPr>
        <w:outlineLvl w:val="9"/>
        <w:rPr>
          <w:rFonts w:hint="eastAsia" w:ascii="宋体" w:hAnsi="宋体" w:eastAsia="宋体" w:cs="宋体"/>
          <w:b/>
          <w:color w:val="auto"/>
          <w:spacing w:val="6"/>
          <w:sz w:val="32"/>
          <w:szCs w:val="32"/>
          <w:highlight w:val="none"/>
        </w:rPr>
      </w:pPr>
    </w:p>
    <w:p w14:paraId="4294A842">
      <w:pPr>
        <w:outlineLvl w:val="9"/>
        <w:rPr>
          <w:rFonts w:hint="eastAsia" w:ascii="宋体" w:hAnsi="宋体" w:eastAsia="宋体" w:cs="宋体"/>
          <w:b/>
          <w:color w:val="auto"/>
          <w:spacing w:val="6"/>
          <w:sz w:val="32"/>
          <w:szCs w:val="32"/>
          <w:highlight w:val="none"/>
        </w:rPr>
      </w:pPr>
    </w:p>
    <w:p w14:paraId="0E95516A">
      <w:pPr>
        <w:outlineLvl w:val="9"/>
        <w:rPr>
          <w:rFonts w:hint="eastAsia" w:ascii="宋体" w:hAnsi="宋体" w:eastAsia="宋体" w:cs="宋体"/>
          <w:b/>
          <w:color w:val="auto"/>
          <w:spacing w:val="6"/>
          <w:sz w:val="32"/>
          <w:szCs w:val="32"/>
          <w:highlight w:val="none"/>
        </w:rPr>
      </w:pPr>
    </w:p>
    <w:p w14:paraId="39E2A1D4">
      <w:pPr>
        <w:outlineLvl w:val="9"/>
        <w:rPr>
          <w:rFonts w:hint="eastAsia" w:ascii="宋体" w:hAnsi="宋体" w:eastAsia="宋体" w:cs="宋体"/>
          <w:color w:val="auto"/>
          <w:highlight w:val="none"/>
        </w:rPr>
      </w:pPr>
    </w:p>
    <w:p w14:paraId="2B52649F">
      <w:pPr>
        <w:autoSpaceDE w:val="0"/>
        <w:autoSpaceDN w:val="0"/>
        <w:jc w:val="center"/>
        <w:outlineLvl w:val="9"/>
        <w:rPr>
          <w:rFonts w:hint="eastAsia" w:ascii="宋体" w:hAnsi="宋体" w:eastAsia="宋体" w:cs="宋体"/>
          <w:b/>
          <w:color w:val="auto"/>
          <w:spacing w:val="6"/>
          <w:sz w:val="32"/>
          <w:szCs w:val="32"/>
          <w:highlight w:val="none"/>
        </w:rPr>
      </w:pPr>
    </w:p>
    <w:p w14:paraId="2C52EEB7">
      <w:pPr>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br w:type="page"/>
      </w:r>
    </w:p>
    <w:p w14:paraId="3EE7EAC6">
      <w:pPr>
        <w:snapToGrid w:val="0"/>
        <w:spacing w:line="360" w:lineRule="auto"/>
        <w:outlineLvl w:val="9"/>
        <w:rPr>
          <w:rFonts w:hint="eastAsia" w:ascii="宋体" w:hAnsi="宋体" w:eastAsia="宋体" w:cs="宋体"/>
          <w:b/>
          <w:color w:val="auto"/>
          <w:kern w:val="0"/>
          <w:sz w:val="32"/>
          <w:szCs w:val="32"/>
          <w:highlight w:val="none"/>
        </w:rPr>
      </w:pPr>
      <w:r>
        <w:rPr>
          <w:rFonts w:hint="eastAsia" w:ascii="宋体" w:hAnsi="宋体" w:eastAsia="宋体" w:cs="宋体"/>
          <w:b/>
          <w:color w:val="auto"/>
          <w:spacing w:val="6"/>
          <w:sz w:val="32"/>
          <w:szCs w:val="32"/>
          <w:highlight w:val="none"/>
        </w:rPr>
        <w:t>附件</w:t>
      </w:r>
      <w:r>
        <w:rPr>
          <w:rFonts w:hint="eastAsia" w:ascii="宋体" w:hAnsi="宋体" w:eastAsia="宋体" w:cs="宋体"/>
          <w:b/>
          <w:color w:val="auto"/>
          <w:spacing w:val="6"/>
          <w:sz w:val="32"/>
          <w:szCs w:val="32"/>
          <w:highlight w:val="none"/>
          <w:lang w:val="en-US" w:eastAsia="zh-CN"/>
        </w:rPr>
        <w:t>4</w:t>
      </w:r>
      <w:r>
        <w:rPr>
          <w:rFonts w:hint="eastAsia" w:ascii="宋体" w:hAnsi="宋体" w:eastAsia="宋体" w:cs="宋体"/>
          <w:b/>
          <w:color w:val="auto"/>
          <w:spacing w:val="6"/>
          <w:sz w:val="32"/>
          <w:szCs w:val="32"/>
          <w:highlight w:val="none"/>
        </w:rPr>
        <w:t>：</w:t>
      </w:r>
      <w:r>
        <w:rPr>
          <w:rFonts w:hint="eastAsia" w:ascii="宋体" w:hAnsi="宋体" w:eastAsia="宋体" w:cs="宋体"/>
          <w:b/>
          <w:color w:val="auto"/>
          <w:kern w:val="0"/>
          <w:sz w:val="32"/>
          <w:szCs w:val="32"/>
          <w:highlight w:val="none"/>
        </w:rPr>
        <w:t>分包意向协议</w:t>
      </w:r>
    </w:p>
    <w:p w14:paraId="05C7CB7D">
      <w:pPr>
        <w:widowControl/>
        <w:spacing w:line="360" w:lineRule="auto"/>
        <w:ind w:firstLine="120" w:firstLineChars="5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b/>
          <w:color w:val="auto"/>
          <w:sz w:val="24"/>
          <w:highlight w:val="none"/>
        </w:rPr>
        <w:t>中标后以分包方式履行合同的，提供分包意向协议；采购人不同意分包或者投标人中标后不以分包方式履行合同的，则不需要提供。</w:t>
      </w:r>
      <w:r>
        <w:rPr>
          <w:rFonts w:hint="eastAsia" w:ascii="宋体" w:hAnsi="宋体" w:eastAsia="宋体" w:cs="宋体"/>
          <w:color w:val="auto"/>
          <w:sz w:val="24"/>
          <w:highlight w:val="none"/>
        </w:rPr>
        <w:t>）</w:t>
      </w:r>
    </w:p>
    <w:p w14:paraId="137DC2CB">
      <w:pPr>
        <w:snapToGrid w:val="0"/>
        <w:spacing w:line="360" w:lineRule="auto"/>
        <w:ind w:firstLine="576"/>
        <w:outlineLvl w:val="9"/>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u w:val="single"/>
        </w:rPr>
        <w:t>（投标人名称）</w:t>
      </w:r>
      <w:r>
        <w:rPr>
          <w:rFonts w:hint="eastAsia" w:ascii="宋体" w:hAnsi="宋体" w:eastAsia="宋体" w:cs="宋体"/>
          <w:color w:val="auto"/>
          <w:kern w:val="0"/>
          <w:sz w:val="24"/>
          <w:highlight w:val="none"/>
          <w:lang w:val="zh-CN"/>
        </w:rPr>
        <w:t>若成为</w:t>
      </w:r>
      <w:r>
        <w:rPr>
          <w:rFonts w:hint="eastAsia" w:ascii="宋体" w:hAnsi="宋体" w:eastAsia="宋体" w:cs="宋体"/>
          <w:color w:val="auto"/>
          <w:sz w:val="24"/>
          <w:highlight w:val="none"/>
        </w:rPr>
        <w:t>（项目名称）【招标编号：（采购编号）】</w:t>
      </w:r>
      <w:r>
        <w:rPr>
          <w:rFonts w:hint="eastAsia" w:ascii="宋体" w:hAnsi="宋体" w:eastAsia="宋体" w:cs="宋体"/>
          <w:color w:val="auto"/>
          <w:kern w:val="0"/>
          <w:sz w:val="24"/>
          <w:highlight w:val="none"/>
          <w:lang w:val="zh-CN"/>
        </w:rPr>
        <w:t>的中标投标人，将依法采取分包方式履行合同。</w:t>
      </w:r>
      <w:r>
        <w:rPr>
          <w:rFonts w:hint="eastAsia" w:ascii="宋体" w:hAnsi="宋体" w:eastAsia="宋体" w:cs="宋体"/>
          <w:color w:val="auto"/>
          <w:kern w:val="0"/>
          <w:sz w:val="24"/>
          <w:highlight w:val="none"/>
          <w:u w:val="single"/>
        </w:rPr>
        <w:t>（投标人名称）</w:t>
      </w:r>
      <w:r>
        <w:rPr>
          <w:rFonts w:hint="eastAsia" w:ascii="宋体" w:hAnsi="宋体" w:eastAsia="宋体" w:cs="宋体"/>
          <w:color w:val="auto"/>
          <w:kern w:val="0"/>
          <w:sz w:val="24"/>
          <w:highlight w:val="none"/>
        </w:rPr>
        <w:t>与</w:t>
      </w:r>
      <w:r>
        <w:rPr>
          <w:rFonts w:hint="eastAsia" w:ascii="宋体" w:hAnsi="宋体" w:eastAsia="宋体" w:cs="宋体"/>
          <w:color w:val="auto"/>
          <w:kern w:val="0"/>
          <w:sz w:val="24"/>
          <w:highlight w:val="none"/>
          <w:u w:val="single"/>
        </w:rPr>
        <w:t>（所有分包</w:t>
      </w:r>
      <w:r>
        <w:rPr>
          <w:rFonts w:hint="eastAsia" w:ascii="宋体" w:hAnsi="宋体" w:eastAsia="宋体" w:cs="宋体"/>
          <w:color w:val="auto"/>
          <w:kern w:val="0"/>
          <w:sz w:val="24"/>
          <w:highlight w:val="none"/>
          <w:u w:val="single"/>
          <w:lang w:eastAsia="zh-CN"/>
        </w:rPr>
        <w:t>投标人</w:t>
      </w:r>
      <w:r>
        <w:rPr>
          <w:rFonts w:hint="eastAsia" w:ascii="宋体" w:hAnsi="宋体" w:eastAsia="宋体" w:cs="宋体"/>
          <w:color w:val="auto"/>
          <w:kern w:val="0"/>
          <w:sz w:val="24"/>
          <w:highlight w:val="none"/>
          <w:u w:val="single"/>
        </w:rPr>
        <w:t>名称）</w:t>
      </w:r>
      <w:r>
        <w:rPr>
          <w:rFonts w:hint="eastAsia" w:ascii="宋体" w:hAnsi="宋体" w:eastAsia="宋体" w:cs="宋体"/>
          <w:color w:val="auto"/>
          <w:kern w:val="0"/>
          <w:sz w:val="24"/>
          <w:highlight w:val="none"/>
        </w:rPr>
        <w:t>达成分包意向协议</w:t>
      </w:r>
      <w:r>
        <w:rPr>
          <w:rFonts w:hint="eastAsia" w:ascii="宋体" w:hAnsi="宋体" w:eastAsia="宋体" w:cs="宋体"/>
          <w:color w:val="auto"/>
          <w:kern w:val="0"/>
          <w:sz w:val="24"/>
          <w:highlight w:val="none"/>
          <w:lang w:val="zh-CN"/>
        </w:rPr>
        <w:t xml:space="preserve">。 </w:t>
      </w:r>
    </w:p>
    <w:p w14:paraId="0DA7EE40">
      <w:pPr>
        <w:snapToGrid w:val="0"/>
        <w:spacing w:line="360" w:lineRule="auto"/>
        <w:ind w:firstLine="576"/>
        <w:outlineLvl w:val="9"/>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一、分包标的及数量</w:t>
      </w:r>
    </w:p>
    <w:p w14:paraId="3644AC08">
      <w:pPr>
        <w:snapToGrid w:val="0"/>
        <w:spacing w:line="360" w:lineRule="auto"/>
        <w:ind w:firstLine="576"/>
        <w:outlineLvl w:val="9"/>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u w:val="single"/>
        </w:rPr>
        <w:t>（投标人名称）</w:t>
      </w:r>
      <w:r>
        <w:rPr>
          <w:rFonts w:hint="eastAsia" w:ascii="宋体" w:hAnsi="宋体" w:eastAsia="宋体" w:cs="宋体"/>
          <w:color w:val="auto"/>
          <w:kern w:val="0"/>
          <w:sz w:val="24"/>
          <w:highlight w:val="none"/>
          <w:lang w:val="zh-CN"/>
        </w:rPr>
        <w:t>将</w:t>
      </w:r>
      <w:r>
        <w:rPr>
          <w:rFonts w:hint="eastAsia" w:ascii="宋体" w:hAnsi="宋体" w:eastAsia="宋体" w:cs="宋体"/>
          <w:color w:val="auto"/>
          <w:highlight w:val="none"/>
          <w:u w:val="single"/>
        </w:rPr>
        <w:t xml:space="preserve">  </w:t>
      </w:r>
      <w:r>
        <w:rPr>
          <w:rFonts w:hint="eastAsia" w:ascii="宋体" w:hAnsi="宋体" w:eastAsia="宋体" w:cs="宋体"/>
          <w:color w:val="auto"/>
          <w:kern w:val="0"/>
          <w:sz w:val="24"/>
          <w:highlight w:val="none"/>
          <w:u w:val="single"/>
        </w:rPr>
        <w:t xml:space="preserve"> XX工作内容   </w:t>
      </w:r>
      <w:r>
        <w:rPr>
          <w:rFonts w:hint="eastAsia" w:ascii="宋体" w:hAnsi="宋体" w:eastAsia="宋体" w:cs="宋体"/>
          <w:color w:val="auto"/>
          <w:sz w:val="24"/>
          <w:highlight w:val="none"/>
        </w:rPr>
        <w:t>分包给</w:t>
      </w:r>
      <w:r>
        <w:rPr>
          <w:rFonts w:hint="eastAsia" w:ascii="宋体" w:hAnsi="宋体" w:eastAsia="宋体" w:cs="宋体"/>
          <w:color w:val="auto"/>
          <w:kern w:val="0"/>
          <w:sz w:val="24"/>
          <w:highlight w:val="none"/>
          <w:u w:val="single"/>
        </w:rPr>
        <w:t>（分包</w:t>
      </w:r>
      <w:r>
        <w:rPr>
          <w:rFonts w:hint="eastAsia" w:ascii="宋体" w:hAnsi="宋体" w:eastAsia="宋体" w:cs="宋体"/>
          <w:color w:val="auto"/>
          <w:kern w:val="0"/>
          <w:sz w:val="24"/>
          <w:highlight w:val="none"/>
          <w:u w:val="single"/>
          <w:lang w:eastAsia="zh-CN"/>
        </w:rPr>
        <w:t>投标人</w:t>
      </w:r>
      <w:r>
        <w:rPr>
          <w:rFonts w:hint="eastAsia" w:ascii="宋体" w:hAnsi="宋体" w:eastAsia="宋体" w:cs="宋体"/>
          <w:color w:val="auto"/>
          <w:kern w:val="0"/>
          <w:sz w:val="24"/>
          <w:highlight w:val="none"/>
          <w:u w:val="single"/>
        </w:rPr>
        <w:t>1名称）</w:t>
      </w:r>
      <w:r>
        <w:rPr>
          <w:rFonts w:hint="eastAsia" w:ascii="宋体" w:hAnsi="宋体" w:eastAsia="宋体" w:cs="宋体"/>
          <w:color w:val="auto"/>
          <w:kern w:val="0"/>
          <w:sz w:val="24"/>
          <w:highlight w:val="none"/>
          <w:lang w:val="zh-CN"/>
        </w:rPr>
        <w:t>，</w:t>
      </w:r>
      <w:r>
        <w:rPr>
          <w:rFonts w:hint="eastAsia" w:ascii="宋体" w:hAnsi="宋体" w:eastAsia="宋体" w:cs="宋体"/>
          <w:color w:val="auto"/>
          <w:kern w:val="0"/>
          <w:sz w:val="24"/>
          <w:highlight w:val="none"/>
          <w:u w:val="single"/>
        </w:rPr>
        <w:t>（分包</w:t>
      </w:r>
      <w:r>
        <w:rPr>
          <w:rFonts w:hint="eastAsia" w:ascii="宋体" w:hAnsi="宋体" w:eastAsia="宋体" w:cs="宋体"/>
          <w:color w:val="auto"/>
          <w:kern w:val="0"/>
          <w:sz w:val="24"/>
          <w:highlight w:val="none"/>
          <w:u w:val="single"/>
          <w:lang w:eastAsia="zh-CN"/>
        </w:rPr>
        <w:t>投标人</w:t>
      </w:r>
      <w:r>
        <w:rPr>
          <w:rFonts w:hint="eastAsia" w:ascii="宋体" w:hAnsi="宋体" w:eastAsia="宋体" w:cs="宋体"/>
          <w:color w:val="auto"/>
          <w:kern w:val="0"/>
          <w:sz w:val="24"/>
          <w:highlight w:val="none"/>
          <w:u w:val="single"/>
        </w:rPr>
        <w:t>2名称），</w:t>
      </w:r>
      <w:r>
        <w:rPr>
          <w:rFonts w:hint="eastAsia" w:ascii="宋体" w:hAnsi="宋体" w:eastAsia="宋体" w:cs="宋体"/>
          <w:color w:val="auto"/>
          <w:kern w:val="0"/>
          <w:sz w:val="24"/>
          <w:highlight w:val="none"/>
          <w:lang w:val="zh-CN"/>
        </w:rPr>
        <w:t>具备承</w:t>
      </w:r>
      <w:r>
        <w:rPr>
          <w:rFonts w:hint="eastAsia" w:ascii="宋体" w:hAnsi="宋体" w:eastAsia="宋体" w:cs="宋体"/>
          <w:color w:val="auto"/>
          <w:kern w:val="0"/>
          <w:sz w:val="24"/>
          <w:highlight w:val="none"/>
        </w:rPr>
        <w:t>担</w:t>
      </w:r>
      <w:r>
        <w:rPr>
          <w:rFonts w:hint="eastAsia" w:ascii="宋体" w:hAnsi="宋体" w:eastAsia="宋体" w:cs="宋体"/>
          <w:color w:val="auto"/>
          <w:kern w:val="0"/>
          <w:sz w:val="24"/>
          <w:highlight w:val="none"/>
          <w:u w:val="single"/>
          <w:lang w:val="zh-CN"/>
        </w:rPr>
        <w:t>XX工作内容</w:t>
      </w:r>
      <w:r>
        <w:rPr>
          <w:rFonts w:hint="eastAsia" w:ascii="宋体" w:hAnsi="宋体" w:eastAsia="宋体" w:cs="宋体"/>
          <w:color w:val="auto"/>
          <w:kern w:val="0"/>
          <w:sz w:val="24"/>
          <w:highlight w:val="none"/>
          <w:lang w:val="zh-CN"/>
        </w:rPr>
        <w:t>相应资质条件且不得再次分包；</w:t>
      </w:r>
    </w:p>
    <w:p w14:paraId="1117384D">
      <w:pPr>
        <w:pStyle w:val="84"/>
        <w:outlineLvl w:val="9"/>
        <w:rPr>
          <w:rFonts w:hint="eastAsia" w:ascii="宋体" w:hAnsi="宋体" w:eastAsia="宋体" w:cs="宋体"/>
          <w:color w:val="auto"/>
          <w:highlight w:val="none"/>
        </w:rPr>
      </w:pPr>
      <w:r>
        <w:rPr>
          <w:rFonts w:hint="eastAsia" w:ascii="宋体" w:hAnsi="宋体" w:eastAsia="宋体" w:cs="宋体"/>
          <w:color w:val="auto"/>
          <w:highlight w:val="none"/>
        </w:rPr>
        <w:t>……</w:t>
      </w:r>
    </w:p>
    <w:p w14:paraId="5403D96E">
      <w:pPr>
        <w:outlineLvl w:val="9"/>
        <w:rPr>
          <w:rFonts w:hint="eastAsia" w:ascii="宋体" w:hAnsi="宋体" w:eastAsia="宋体" w:cs="宋体"/>
          <w:color w:val="auto"/>
          <w:highlight w:val="none"/>
        </w:rPr>
      </w:pPr>
      <w:r>
        <w:rPr>
          <w:rFonts w:hint="eastAsia" w:ascii="宋体" w:hAnsi="宋体" w:eastAsia="宋体" w:cs="宋体"/>
          <w:color w:val="auto"/>
          <w:highlight w:val="none"/>
          <w:lang w:val="zh-CN"/>
        </w:rPr>
        <w:t xml:space="preserve"> </w:t>
      </w:r>
    </w:p>
    <w:p w14:paraId="6C78D802">
      <w:pPr>
        <w:snapToGrid w:val="0"/>
        <w:spacing w:line="360" w:lineRule="auto"/>
        <w:ind w:firstLine="576"/>
        <w:outlineLvl w:val="9"/>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二、分包投标人中小企业合同份额</w:t>
      </w:r>
    </w:p>
    <w:p w14:paraId="7814DFC6">
      <w:pPr>
        <w:snapToGrid w:val="0"/>
        <w:spacing w:line="360" w:lineRule="auto"/>
        <w:ind w:firstLine="576"/>
        <w:outlineLvl w:val="9"/>
        <w:rPr>
          <w:rFonts w:hint="eastAsia" w:ascii="宋体" w:hAnsi="宋体" w:eastAsia="宋体" w:cs="宋体"/>
          <w:b/>
          <w:color w:val="auto"/>
          <w:kern w:val="0"/>
          <w:sz w:val="24"/>
          <w:highlight w:val="none"/>
          <w:lang w:val="zh-CN"/>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u w:val="single"/>
        </w:rPr>
        <w:t>（分包</w:t>
      </w:r>
      <w:r>
        <w:rPr>
          <w:rFonts w:hint="eastAsia" w:ascii="宋体" w:hAnsi="宋体" w:eastAsia="宋体" w:cs="宋体"/>
          <w:color w:val="auto"/>
          <w:kern w:val="0"/>
          <w:sz w:val="24"/>
          <w:highlight w:val="none"/>
          <w:u w:val="single"/>
          <w:lang w:eastAsia="zh-CN"/>
        </w:rPr>
        <w:t>投标人</w:t>
      </w:r>
      <w:r>
        <w:rPr>
          <w:rFonts w:hint="eastAsia" w:ascii="宋体" w:hAnsi="宋体" w:eastAsia="宋体" w:cs="宋体"/>
          <w:color w:val="auto"/>
          <w:kern w:val="0"/>
          <w:sz w:val="24"/>
          <w:highlight w:val="none"/>
          <w:u w:val="single"/>
        </w:rPr>
        <w:t>X,……）提供的服务全部由小微企业承接，</w:t>
      </w:r>
      <w:r>
        <w:rPr>
          <w:rFonts w:hint="eastAsia" w:ascii="宋体" w:hAnsi="宋体" w:eastAsia="宋体" w:cs="宋体"/>
          <w:color w:val="auto"/>
          <w:kern w:val="0"/>
          <w:sz w:val="24"/>
          <w:highlight w:val="none"/>
        </w:rPr>
        <w:t>其合同份额占到合同总金额</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%以上</w:t>
      </w:r>
      <w:r>
        <w:rPr>
          <w:rFonts w:hint="eastAsia" w:ascii="宋体" w:hAnsi="宋体" w:eastAsia="宋体" w:cs="宋体"/>
          <w:color w:val="auto"/>
          <w:highlight w:val="none"/>
        </w:rPr>
        <w:t>。</w:t>
      </w:r>
      <w:r>
        <w:rPr>
          <w:rFonts w:hint="eastAsia" w:ascii="宋体" w:hAnsi="宋体" w:eastAsia="宋体" w:cs="宋体"/>
          <w:b/>
          <w:color w:val="auto"/>
          <w:kern w:val="0"/>
          <w:sz w:val="24"/>
          <w:highlight w:val="none"/>
          <w:lang w:val="zh-CN"/>
        </w:rPr>
        <w:t>（未预留份额专门面向中小企业采购的采购项目，以及预留份额中的非预留部分采购包，允许分包的，分包意向协议约定小微企业的合同份额占到合同总金额30%以上的，对大中型企业的报价按评标标准确定的比例给予扣除。投标人</w:t>
      </w:r>
      <w:r>
        <w:rPr>
          <w:rFonts w:hint="eastAsia" w:ascii="宋体" w:hAnsi="宋体" w:eastAsia="宋体" w:cs="宋体"/>
          <w:b/>
          <w:color w:val="auto"/>
          <w:sz w:val="24"/>
          <w:highlight w:val="none"/>
        </w:rPr>
        <w:t>拟享受以上价格扣除政策的，填写有关内容。</w:t>
      </w:r>
      <w:r>
        <w:rPr>
          <w:rFonts w:hint="eastAsia" w:ascii="宋体" w:hAnsi="宋体" w:eastAsia="宋体" w:cs="宋体"/>
          <w:b/>
          <w:color w:val="auto"/>
          <w:kern w:val="0"/>
          <w:sz w:val="24"/>
          <w:highlight w:val="none"/>
          <w:lang w:val="zh-CN"/>
        </w:rPr>
        <w:t>）</w:t>
      </w:r>
    </w:p>
    <w:p w14:paraId="152360C3">
      <w:pPr>
        <w:spacing w:line="360" w:lineRule="auto"/>
        <w:ind w:firstLine="480" w:firstLineChars="200"/>
        <w:rPr>
          <w:rFonts w:hint="eastAsia" w:ascii="宋体" w:hAnsi="宋体" w:eastAsia="宋体" w:cs="宋体"/>
          <w:b/>
          <w:bCs/>
          <w:color w:val="auto"/>
          <w:kern w:val="0"/>
          <w:sz w:val="24"/>
          <w:highlight w:val="none"/>
          <w:lang w:val="zh-CN"/>
        </w:rPr>
      </w:pPr>
      <w:r>
        <w:rPr>
          <w:rFonts w:hint="eastAsia" w:ascii="宋体" w:hAnsi="宋体" w:eastAsia="宋体" w:cs="宋体"/>
          <w:color w:val="auto"/>
          <w:sz w:val="24"/>
          <w:highlight w:val="none"/>
        </w:rPr>
        <w:t>2、中小企业合同金额达到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%，小微企业合同金额达到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lang w:val="zh-CN"/>
        </w:rPr>
        <w:t>。</w:t>
      </w:r>
      <w:r>
        <w:rPr>
          <w:rFonts w:hint="eastAsia" w:ascii="宋体" w:hAnsi="宋体" w:eastAsia="宋体" w:cs="宋体"/>
          <w:b/>
          <w:bCs/>
          <w:color w:val="auto"/>
          <w:kern w:val="0"/>
          <w:sz w:val="24"/>
          <w:highlight w:val="none"/>
          <w:lang w:val="zh-CN"/>
        </w:rPr>
        <w:t>（</w:t>
      </w:r>
      <w:r>
        <w:rPr>
          <w:rFonts w:hint="eastAsia" w:ascii="宋体" w:hAnsi="宋体" w:eastAsia="宋体" w:cs="宋体"/>
          <w:b/>
          <w:bCs/>
          <w:color w:val="auto"/>
          <w:sz w:val="24"/>
          <w:highlight w:val="none"/>
        </w:rPr>
        <w:t>要求合同分包形式参加的项目或采购包，</w:t>
      </w:r>
      <w:r>
        <w:rPr>
          <w:rFonts w:hint="eastAsia" w:ascii="宋体" w:hAnsi="宋体" w:eastAsia="宋体" w:cs="宋体"/>
          <w:b/>
          <w:bCs/>
          <w:color w:val="auto"/>
          <w:sz w:val="24"/>
          <w:highlight w:val="none"/>
          <w:lang w:eastAsia="zh-CN"/>
        </w:rPr>
        <w:t>投标人</w:t>
      </w:r>
      <w:r>
        <w:rPr>
          <w:rFonts w:hint="eastAsia" w:ascii="宋体" w:hAnsi="宋体" w:eastAsia="宋体" w:cs="宋体"/>
          <w:b/>
          <w:bCs/>
          <w:color w:val="auto"/>
          <w:sz w:val="24"/>
          <w:highlight w:val="none"/>
        </w:rPr>
        <w:t>按招标文件第一部分招标公告申请人的资格要求中规定的</w:t>
      </w:r>
      <w:r>
        <w:rPr>
          <w:rFonts w:hint="eastAsia" w:ascii="宋体" w:hAnsi="宋体" w:eastAsia="宋体" w:cs="宋体"/>
          <w:b/>
          <w:color w:val="auto"/>
          <w:kern w:val="0"/>
          <w:sz w:val="24"/>
          <w:highlight w:val="none"/>
          <w:lang w:val="zh-CN"/>
        </w:rPr>
        <w:t>分包意向协议</w:t>
      </w:r>
      <w:r>
        <w:rPr>
          <w:rFonts w:hint="eastAsia" w:ascii="宋体" w:hAnsi="宋体" w:eastAsia="宋体" w:cs="宋体"/>
          <w:b/>
          <w:bCs/>
          <w:color w:val="auto"/>
          <w:sz w:val="24"/>
          <w:highlight w:val="none"/>
        </w:rPr>
        <w:t>中中小企业、小微企业合同金额应当达到的比例要求填写。</w:t>
      </w:r>
      <w:r>
        <w:rPr>
          <w:rFonts w:hint="eastAsia" w:ascii="宋体" w:hAnsi="宋体" w:eastAsia="宋体" w:cs="宋体"/>
          <w:b/>
          <w:bCs/>
          <w:color w:val="auto"/>
          <w:kern w:val="0"/>
          <w:sz w:val="24"/>
          <w:highlight w:val="none"/>
          <w:lang w:val="zh-CN"/>
        </w:rPr>
        <w:t>）</w:t>
      </w:r>
    </w:p>
    <w:p w14:paraId="5998F830">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三、分包工作履行期限、地点、方式</w:t>
      </w:r>
    </w:p>
    <w:p w14:paraId="14DD4BD0">
      <w:pPr>
        <w:snapToGrid w:val="0"/>
        <w:spacing w:line="360" w:lineRule="auto"/>
        <w:ind w:firstLine="576"/>
        <w:rPr>
          <w:rFonts w:hint="eastAsia" w:ascii="宋体" w:hAnsi="宋体" w:eastAsia="宋体" w:cs="宋体"/>
          <w:color w:val="auto"/>
          <w:highlight w:val="none"/>
          <w:u w:val="single"/>
        </w:rPr>
      </w:pPr>
      <w:r>
        <w:rPr>
          <w:rFonts w:hint="eastAsia" w:ascii="宋体" w:hAnsi="宋体" w:eastAsia="宋体" w:cs="宋体"/>
          <w:color w:val="auto"/>
          <w:highlight w:val="none"/>
          <w:u w:val="single"/>
        </w:rPr>
        <w:t xml:space="preserve">                                                                                  </w:t>
      </w:r>
    </w:p>
    <w:p w14:paraId="22C69CC0">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四、质量</w:t>
      </w:r>
    </w:p>
    <w:p w14:paraId="35A5DEE1">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highlight w:val="none"/>
          <w:u w:val="single"/>
        </w:rPr>
        <w:t xml:space="preserve">                                                                                       </w:t>
      </w:r>
    </w:p>
    <w:p w14:paraId="583EA4B9">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五、价款或者报酬</w:t>
      </w:r>
    </w:p>
    <w:p w14:paraId="33120FC8">
      <w:pPr>
        <w:snapToGrid w:val="0"/>
        <w:spacing w:line="360" w:lineRule="auto"/>
        <w:ind w:left="573" w:leftChars="273"/>
        <w:rPr>
          <w:rFonts w:hint="eastAsia" w:ascii="宋体" w:hAnsi="宋体" w:eastAsia="宋体" w:cs="宋体"/>
          <w:color w:val="auto"/>
          <w:kern w:val="0"/>
          <w:sz w:val="24"/>
          <w:highlight w:val="none"/>
          <w:lang w:val="zh-CN"/>
        </w:rPr>
      </w:pPr>
      <w:r>
        <w:rPr>
          <w:rFonts w:hint="eastAsia" w:ascii="宋体" w:hAnsi="宋体" w:eastAsia="宋体" w:cs="宋体"/>
          <w:color w:val="auto"/>
          <w:highlight w:val="none"/>
          <w:u w:val="single"/>
        </w:rPr>
        <w:t xml:space="preserve">                                                                                     </w:t>
      </w:r>
    </w:p>
    <w:p w14:paraId="2ADDDA2F">
      <w:pPr>
        <w:snapToGrid w:val="0"/>
        <w:spacing w:line="360" w:lineRule="auto"/>
        <w:ind w:left="573" w:leftChars="273"/>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六、违约责任</w:t>
      </w:r>
    </w:p>
    <w:p w14:paraId="34C173A4">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highlight w:val="none"/>
          <w:u w:val="single"/>
        </w:rPr>
        <w:t xml:space="preserve">                                                                                     </w:t>
      </w:r>
    </w:p>
    <w:p w14:paraId="0CB777CA">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七、争议解决的办法</w:t>
      </w:r>
    </w:p>
    <w:p w14:paraId="79D43209">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highlight w:val="none"/>
          <w:u w:val="single"/>
        </w:rPr>
        <w:t xml:space="preserve">                                                                                  </w:t>
      </w:r>
    </w:p>
    <w:p w14:paraId="0CEB1370">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八、其他</w:t>
      </w:r>
    </w:p>
    <w:p w14:paraId="344E2F57">
      <w:pPr>
        <w:snapToGrid w:val="0"/>
        <w:spacing w:line="360" w:lineRule="auto"/>
        <w:ind w:left="5758" w:leftChars="342" w:hanging="5040" w:hangingChars="2100"/>
        <w:rPr>
          <w:rFonts w:hint="eastAsia" w:ascii="宋体" w:hAnsi="宋体" w:eastAsia="宋体" w:cs="宋体"/>
          <w:color w:val="auto"/>
          <w:kern w:val="0"/>
          <w:sz w:val="24"/>
          <w:highlight w:val="none"/>
          <w:lang w:val="zh-CN"/>
        </w:rPr>
      </w:pPr>
      <w:r>
        <w:rPr>
          <w:rFonts w:hint="eastAsia" w:ascii="宋体" w:hAnsi="宋体" w:eastAsia="宋体" w:cs="宋体"/>
          <w:color w:val="auto"/>
          <w:sz w:val="24"/>
          <w:highlight w:val="none"/>
        </w:rPr>
        <w:t>中小企业合同金额达到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%，小微企业合同金额达到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lang w:val="zh-CN"/>
        </w:rPr>
        <w:t xml:space="preserve">  。                                           投标人名称(</w:t>
      </w:r>
      <w:r>
        <w:rPr>
          <w:rFonts w:hint="eastAsia" w:ascii="宋体" w:hAnsi="宋体" w:eastAsia="宋体" w:cs="宋体"/>
          <w:color w:val="auto"/>
          <w:kern w:val="0"/>
          <w:sz w:val="24"/>
          <w:highlight w:val="none"/>
          <w:lang w:val="en-US" w:eastAsia="zh-CN"/>
        </w:rPr>
        <w:t>电子</w:t>
      </w:r>
      <w:r>
        <w:rPr>
          <w:rFonts w:hint="eastAsia" w:ascii="宋体" w:hAnsi="宋体" w:eastAsia="宋体" w:cs="宋体"/>
          <w:color w:val="auto"/>
          <w:kern w:val="0"/>
          <w:sz w:val="24"/>
          <w:highlight w:val="none"/>
          <w:lang w:val="zh-CN"/>
        </w:rPr>
        <w:t>公章)：</w:t>
      </w:r>
    </w:p>
    <w:p w14:paraId="299F43FC">
      <w:pPr>
        <w:snapToGrid w:val="0"/>
        <w:spacing w:line="360" w:lineRule="auto"/>
        <w:ind w:left="5758" w:leftChars="2742"/>
        <w:rPr>
          <w:rFonts w:hint="eastAsia" w:ascii="宋体" w:hAnsi="宋体" w:eastAsia="宋体" w:cs="宋体"/>
          <w:color w:val="auto"/>
          <w:kern w:val="0"/>
          <w:sz w:val="24"/>
          <w:highlight w:val="none"/>
          <w:lang w:val="zh-CN"/>
        </w:rPr>
      </w:pPr>
      <w:r>
        <w:rPr>
          <w:rStyle w:val="83"/>
          <w:rFonts w:hint="eastAsia" w:ascii="宋体" w:hAnsi="宋体" w:eastAsia="宋体" w:cs="宋体"/>
          <w:color w:val="auto"/>
          <w:highlight w:val="none"/>
        </w:rPr>
        <w:t>法定代表人（负责人） (签名)：</w:t>
      </w:r>
      <w:r>
        <w:rPr>
          <w:rFonts w:hint="eastAsia" w:ascii="宋体" w:hAnsi="宋体" w:eastAsia="宋体" w:cs="宋体"/>
          <w:color w:val="auto"/>
          <w:kern w:val="0"/>
          <w:sz w:val="24"/>
          <w:highlight w:val="none"/>
          <w:lang w:val="zh-CN"/>
        </w:rPr>
        <w:t>分包投标人名称(</w:t>
      </w:r>
      <w:r>
        <w:rPr>
          <w:rFonts w:hint="eastAsia" w:ascii="宋体" w:hAnsi="宋体" w:eastAsia="宋体" w:cs="宋体"/>
          <w:color w:val="auto"/>
          <w:kern w:val="0"/>
          <w:sz w:val="24"/>
          <w:highlight w:val="none"/>
          <w:lang w:val="en-US" w:eastAsia="zh-CN"/>
        </w:rPr>
        <w:t>电子</w:t>
      </w:r>
      <w:r>
        <w:rPr>
          <w:rFonts w:hint="eastAsia" w:ascii="宋体" w:hAnsi="宋体" w:eastAsia="宋体" w:cs="宋体"/>
          <w:color w:val="auto"/>
          <w:kern w:val="0"/>
          <w:sz w:val="24"/>
          <w:highlight w:val="none"/>
          <w:lang w:val="zh-CN"/>
        </w:rPr>
        <w:t>公章)：</w:t>
      </w:r>
    </w:p>
    <w:p w14:paraId="13E348EA">
      <w:pPr>
        <w:pStyle w:val="84"/>
        <w:ind w:firstLine="5760" w:firstLineChars="2400"/>
        <w:rPr>
          <w:rFonts w:hint="eastAsia" w:ascii="宋体" w:hAnsi="宋体" w:eastAsia="宋体" w:cs="宋体"/>
          <w:color w:val="auto"/>
          <w:highlight w:val="none"/>
        </w:rPr>
      </w:pPr>
      <w:r>
        <w:rPr>
          <w:rStyle w:val="83"/>
          <w:rFonts w:hint="eastAsia" w:ascii="宋体" w:hAnsi="宋体" w:eastAsia="宋体" w:cs="宋体"/>
          <w:color w:val="auto"/>
          <w:highlight w:val="none"/>
        </w:rPr>
        <w:t>法定代表人（负责人） (签名)：</w:t>
      </w:r>
    </w:p>
    <w:p w14:paraId="66467EB8">
      <w:pPr>
        <w:snapToGrid w:val="0"/>
        <w:spacing w:line="360" w:lineRule="auto"/>
        <w:jc w:val="right"/>
        <w:rPr>
          <w:rFonts w:hint="eastAsia" w:ascii="宋体" w:hAnsi="宋体" w:eastAsia="宋体" w:cs="宋体"/>
          <w:color w:val="auto"/>
          <w:kern w:val="0"/>
          <w:sz w:val="24"/>
          <w:highlight w:val="none"/>
          <w:lang w:val="zh-CN"/>
        </w:rPr>
      </w:pPr>
    </w:p>
    <w:p w14:paraId="752EF6A2">
      <w:pPr>
        <w:snapToGrid w:val="0"/>
        <w:spacing w:line="360" w:lineRule="auto"/>
        <w:ind w:firstLine="5760" w:firstLineChars="2400"/>
        <w:rPr>
          <w:rFonts w:hint="eastAsia" w:ascii="宋体" w:hAnsi="宋体" w:eastAsia="宋体" w:cs="宋体"/>
          <w:color w:val="auto"/>
          <w:highlight w:val="none"/>
        </w:rPr>
      </w:pPr>
      <w:r>
        <w:rPr>
          <w:rFonts w:hint="eastAsia" w:ascii="宋体" w:hAnsi="宋体" w:eastAsia="宋体" w:cs="宋体"/>
          <w:color w:val="auto"/>
          <w:kern w:val="0"/>
          <w:sz w:val="24"/>
          <w:highlight w:val="none"/>
          <w:lang w:val="zh-CN"/>
        </w:rPr>
        <w:t>……</w:t>
      </w:r>
    </w:p>
    <w:p w14:paraId="072C5371">
      <w:pPr>
        <w:snapToGrid w:val="0"/>
        <w:spacing w:line="360" w:lineRule="auto"/>
        <w:ind w:left="5758" w:leftChars="342" w:hanging="5040" w:hangingChars="21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日期：  年  月   日</w:t>
      </w:r>
    </w:p>
    <w:p w14:paraId="63AAEE82">
      <w:pPr>
        <w:spacing w:line="360" w:lineRule="auto"/>
        <w:ind w:right="420"/>
        <w:rPr>
          <w:rFonts w:hint="eastAsia" w:ascii="宋体" w:hAnsi="宋体" w:eastAsia="宋体" w:cs="宋体"/>
          <w:color w:val="auto"/>
          <w:sz w:val="24"/>
          <w:highlight w:val="none"/>
        </w:rPr>
      </w:pPr>
      <w:r>
        <w:rPr>
          <w:rFonts w:hint="eastAsia" w:ascii="宋体" w:hAnsi="宋体" w:eastAsia="宋体" w:cs="宋体"/>
          <w:color w:val="auto"/>
          <w:sz w:val="24"/>
          <w:highlight w:val="none"/>
        </w:rPr>
        <w:t>注：按本格式和要求提供。</w:t>
      </w:r>
    </w:p>
    <w:p w14:paraId="01BDB21C">
      <w:pPr>
        <w:autoSpaceDE w:val="0"/>
        <w:autoSpaceDN w:val="0"/>
        <w:jc w:val="center"/>
        <w:rPr>
          <w:rFonts w:hint="eastAsia" w:ascii="宋体" w:hAnsi="宋体" w:eastAsia="宋体" w:cs="宋体"/>
          <w:b/>
          <w:color w:val="auto"/>
          <w:spacing w:val="6"/>
          <w:sz w:val="32"/>
          <w:szCs w:val="32"/>
          <w:highlight w:val="none"/>
        </w:rPr>
      </w:pPr>
    </w:p>
    <w:p w14:paraId="56FA8FBD">
      <w:pPr>
        <w:autoSpaceDE w:val="0"/>
        <w:autoSpaceDN w:val="0"/>
        <w:jc w:val="center"/>
        <w:rPr>
          <w:rFonts w:hint="eastAsia" w:ascii="宋体" w:hAnsi="宋体" w:eastAsia="宋体" w:cs="宋体"/>
          <w:b/>
          <w:color w:val="auto"/>
          <w:spacing w:val="6"/>
          <w:sz w:val="32"/>
          <w:szCs w:val="32"/>
          <w:highlight w:val="none"/>
        </w:rPr>
      </w:pPr>
    </w:p>
    <w:p w14:paraId="64660072">
      <w:pPr>
        <w:autoSpaceDE w:val="0"/>
        <w:autoSpaceDN w:val="0"/>
        <w:jc w:val="center"/>
        <w:rPr>
          <w:rFonts w:hint="eastAsia" w:ascii="宋体" w:hAnsi="宋体" w:eastAsia="宋体" w:cs="宋体"/>
          <w:b/>
          <w:color w:val="auto"/>
          <w:spacing w:val="6"/>
          <w:sz w:val="32"/>
          <w:szCs w:val="32"/>
          <w:highlight w:val="none"/>
        </w:rPr>
      </w:pPr>
    </w:p>
    <w:p w14:paraId="36CD892B">
      <w:pPr>
        <w:autoSpaceDE w:val="0"/>
        <w:autoSpaceDN w:val="0"/>
        <w:jc w:val="center"/>
        <w:rPr>
          <w:rFonts w:hint="eastAsia" w:ascii="宋体" w:hAnsi="宋体" w:eastAsia="宋体" w:cs="宋体"/>
          <w:b/>
          <w:color w:val="auto"/>
          <w:spacing w:val="6"/>
          <w:sz w:val="32"/>
          <w:szCs w:val="32"/>
          <w:highlight w:val="none"/>
        </w:rPr>
      </w:pPr>
    </w:p>
    <w:p w14:paraId="4FD56E4D">
      <w:pPr>
        <w:autoSpaceDE w:val="0"/>
        <w:autoSpaceDN w:val="0"/>
        <w:jc w:val="center"/>
        <w:rPr>
          <w:rFonts w:hint="eastAsia" w:ascii="宋体" w:hAnsi="宋体" w:eastAsia="宋体" w:cs="宋体"/>
          <w:b/>
          <w:color w:val="auto"/>
          <w:spacing w:val="6"/>
          <w:sz w:val="32"/>
          <w:szCs w:val="32"/>
          <w:highlight w:val="none"/>
        </w:rPr>
      </w:pPr>
    </w:p>
    <w:p w14:paraId="4116F671">
      <w:pPr>
        <w:autoSpaceDE w:val="0"/>
        <w:autoSpaceDN w:val="0"/>
        <w:jc w:val="center"/>
        <w:rPr>
          <w:rFonts w:hint="eastAsia" w:ascii="宋体" w:hAnsi="宋体" w:eastAsia="宋体" w:cs="宋体"/>
          <w:b/>
          <w:color w:val="auto"/>
          <w:spacing w:val="6"/>
          <w:sz w:val="32"/>
          <w:szCs w:val="32"/>
          <w:highlight w:val="none"/>
        </w:rPr>
      </w:pPr>
    </w:p>
    <w:p w14:paraId="3A410226">
      <w:pPr>
        <w:autoSpaceDE w:val="0"/>
        <w:autoSpaceDN w:val="0"/>
        <w:jc w:val="center"/>
        <w:rPr>
          <w:rFonts w:hint="eastAsia" w:ascii="宋体" w:hAnsi="宋体" w:eastAsia="宋体" w:cs="宋体"/>
          <w:b/>
          <w:color w:val="auto"/>
          <w:spacing w:val="6"/>
          <w:sz w:val="32"/>
          <w:szCs w:val="32"/>
          <w:highlight w:val="none"/>
        </w:rPr>
      </w:pPr>
    </w:p>
    <w:p w14:paraId="22F26670">
      <w:pPr>
        <w:autoSpaceDE w:val="0"/>
        <w:autoSpaceDN w:val="0"/>
        <w:jc w:val="center"/>
        <w:rPr>
          <w:rFonts w:hint="eastAsia" w:ascii="宋体" w:hAnsi="宋体" w:eastAsia="宋体" w:cs="宋体"/>
          <w:b/>
          <w:color w:val="auto"/>
          <w:spacing w:val="6"/>
          <w:sz w:val="32"/>
          <w:szCs w:val="32"/>
          <w:highlight w:val="none"/>
        </w:rPr>
      </w:pPr>
    </w:p>
    <w:p w14:paraId="1DCDD947">
      <w:pPr>
        <w:autoSpaceDE w:val="0"/>
        <w:autoSpaceDN w:val="0"/>
        <w:jc w:val="center"/>
        <w:rPr>
          <w:rFonts w:hint="eastAsia" w:ascii="宋体" w:hAnsi="宋体" w:eastAsia="宋体" w:cs="宋体"/>
          <w:b/>
          <w:color w:val="auto"/>
          <w:spacing w:val="6"/>
          <w:sz w:val="32"/>
          <w:szCs w:val="32"/>
          <w:highlight w:val="none"/>
        </w:rPr>
      </w:pPr>
    </w:p>
    <w:p w14:paraId="141DF0B4">
      <w:pPr>
        <w:autoSpaceDE w:val="0"/>
        <w:autoSpaceDN w:val="0"/>
        <w:jc w:val="center"/>
        <w:rPr>
          <w:rFonts w:hint="eastAsia" w:ascii="宋体" w:hAnsi="宋体" w:eastAsia="宋体" w:cs="宋体"/>
          <w:b/>
          <w:color w:val="auto"/>
          <w:spacing w:val="6"/>
          <w:sz w:val="32"/>
          <w:szCs w:val="32"/>
          <w:highlight w:val="none"/>
        </w:rPr>
      </w:pPr>
    </w:p>
    <w:p w14:paraId="66953666">
      <w:pPr>
        <w:autoSpaceDE w:val="0"/>
        <w:autoSpaceDN w:val="0"/>
        <w:jc w:val="center"/>
        <w:rPr>
          <w:rFonts w:hint="eastAsia" w:ascii="宋体" w:hAnsi="宋体" w:eastAsia="宋体" w:cs="宋体"/>
          <w:b/>
          <w:color w:val="auto"/>
          <w:spacing w:val="6"/>
          <w:sz w:val="32"/>
          <w:szCs w:val="32"/>
          <w:highlight w:val="none"/>
        </w:rPr>
      </w:pPr>
    </w:p>
    <w:p w14:paraId="28C7B8B4">
      <w:pPr>
        <w:rPr>
          <w:rFonts w:hint="eastAsia" w:ascii="宋体" w:hAnsi="宋体" w:eastAsia="宋体" w:cs="宋体"/>
          <w:bCs/>
          <w:color w:val="auto"/>
          <w:sz w:val="24"/>
          <w:highlight w:val="none"/>
        </w:rPr>
      </w:pPr>
    </w:p>
    <w:sectPr>
      <w:headerReference r:id="rId21" w:type="first"/>
      <w:footerReference r:id="rId24" w:type="first"/>
      <w:headerReference r:id="rId20" w:type="default"/>
      <w:footerReference r:id="rId22" w:type="default"/>
      <w:footerReference r:id="rId23" w:type="even"/>
      <w:pgSz w:w="11906" w:h="16838"/>
      <w:pgMar w:top="1276" w:right="1418" w:bottom="1247" w:left="1418" w:header="851" w:footer="992" w:gutter="0"/>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Arial"/>
    <w:panose1 w:val="00000000000000000000"/>
    <w:charset w:val="00"/>
    <w:family w:val="swiss"/>
    <w:pitch w:val="default"/>
    <w:sig w:usb0="00000000" w:usb1="00000000" w:usb2="00000000" w:usb3="00000000" w:csb0="00000001" w:csb1="0000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幼圆">
    <w:altName w:val="宋体"/>
    <w:panose1 w:val="02010509060101010101"/>
    <w:charset w:val="86"/>
    <w:family w:val="modern"/>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altName w:val="宋体"/>
    <w:panose1 w:val="020B0604020202020204"/>
    <w:charset w:val="86"/>
    <w:family w:val="swiss"/>
    <w:pitch w:val="default"/>
    <w:sig w:usb0="00000000" w:usb1="00000000" w:usb2="0000003F" w:usb3="00000000" w:csb0="003F01FF" w:csb1="00000000"/>
  </w:font>
  <w:font w:name="Helvetica">
    <w:altName w:val="Arial"/>
    <w:panose1 w:val="020B0604020202020204"/>
    <w:charset w:val="00"/>
    <w:family w:val="swiss"/>
    <w:pitch w:val="default"/>
    <w:sig w:usb0="00000000" w:usb1="00000000" w:usb2="00000000" w:usb3="00000000" w:csb0="00000001"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0"/>
    <w:family w:val="swiss"/>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Aldine401 BT">
    <w:altName w:val="Segoe Print"/>
    <w:panose1 w:val="00000000000000000000"/>
    <w:charset w:val="00"/>
    <w:family w:val="roman"/>
    <w:pitch w:val="default"/>
    <w:sig w:usb0="00000000" w:usb1="00000000" w:usb2="00000000" w:usb3="00000000" w:csb0="00000011" w:csb1="00000000"/>
  </w:font>
  <w:font w:name=".PingFang SC">
    <w:altName w:val="微软雅黑"/>
    <w:panose1 w:val="00000000000000000000"/>
    <w:charset w:val="00"/>
    <w:family w:val="modern"/>
    <w:pitch w:val="default"/>
    <w:sig w:usb0="00000000" w:usb1="00000000" w:usb2="00000000" w:usb3="00000000" w:csb0="00040001" w:csb1="00000000"/>
  </w:font>
  <w:font w:name="MS Gothic">
    <w:panose1 w:val="020B0609070205080204"/>
    <w:charset w:val="80"/>
    <w:family w:val="auto"/>
    <w:pitch w:val="default"/>
    <w:sig w:usb0="E00002FF" w:usb1="6AC7FDFB" w:usb2="08000012" w:usb3="00000000" w:csb0="4002009F" w:csb1="DFD7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A4A2B">
    <w:pPr>
      <w:pStyle w:val="42"/>
      <w:framePr w:wrap="around" w:vAnchor="text" w:hAnchor="margin" w:xAlign="right" w:y="1"/>
      <w:rPr>
        <w:rStyle w:val="74"/>
      </w:rPr>
    </w:pPr>
    <w:r>
      <w:fldChar w:fldCharType="begin"/>
    </w:r>
    <w:r>
      <w:rPr>
        <w:rStyle w:val="74"/>
      </w:rPr>
      <w:instrText xml:space="preserve">PAGE  </w:instrText>
    </w:r>
    <w:r>
      <w:fldChar w:fldCharType="end"/>
    </w:r>
  </w:p>
  <w:p w14:paraId="69A0141C">
    <w:pPr>
      <w:pStyle w:val="42"/>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CD552">
    <w:pPr>
      <w:pStyle w:val="42"/>
      <w:jc w:val="center"/>
      <w:rPr>
        <w:rFonts w:ascii="仿宋_GB2312" w:eastAsia="仿宋_GB2312"/>
        <w:sz w:val="21"/>
        <w:szCs w:val="21"/>
      </w:rPr>
    </w:pPr>
    <w:r>
      <w:rPr>
        <w:sz w:val="21"/>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A025AB">
                          <w:pPr>
                            <w:pStyle w:val="42"/>
                          </w:pPr>
                          <w:r>
                            <w:fldChar w:fldCharType="begin"/>
                          </w:r>
                          <w:r>
                            <w:instrText xml:space="preserve"> PAGE  \* MERGEFORMAT </w:instrText>
                          </w:r>
                          <w:r>
                            <w:fldChar w:fldCharType="separate"/>
                          </w:r>
                          <w:r>
                            <w:t>120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2A025AB">
                    <w:pPr>
                      <w:pStyle w:val="42"/>
                    </w:pPr>
                    <w:r>
                      <w:fldChar w:fldCharType="begin"/>
                    </w:r>
                    <w:r>
                      <w:instrText xml:space="preserve"> PAGE  \* MERGEFORMAT </w:instrText>
                    </w:r>
                    <w:r>
                      <w:fldChar w:fldCharType="separate"/>
                    </w:r>
                    <w:r>
                      <w:t>120</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53E56">
    <w:pPr>
      <w:pStyle w:val="42"/>
      <w:framePr w:wrap="around" w:vAnchor="text" w:hAnchor="margin" w:xAlign="right" w:y="1"/>
      <w:rPr>
        <w:rStyle w:val="74"/>
      </w:rPr>
    </w:pPr>
    <w:r>
      <w:fldChar w:fldCharType="begin"/>
    </w:r>
    <w:r>
      <w:rPr>
        <w:rStyle w:val="74"/>
      </w:rPr>
      <w:instrText xml:space="preserve">PAGE  </w:instrText>
    </w:r>
    <w:r>
      <w:fldChar w:fldCharType="end"/>
    </w:r>
  </w:p>
  <w:p w14:paraId="62E10DDA">
    <w:pPr>
      <w:pStyle w:val="42"/>
      <w:ind w:right="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CA3CC">
    <w:pPr>
      <w:pStyle w:val="42"/>
      <w:jc w:val="center"/>
      <w:rPr>
        <w:rFonts w:ascii="仿宋_GB2312" w:eastAsia="仿宋_GB2312"/>
        <w:sz w:val="21"/>
        <w:szCs w:val="21"/>
      </w:rPr>
    </w:pPr>
    <w:r>
      <w:rPr>
        <w:sz w:val="21"/>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597FF8">
                          <w:pPr>
                            <w:pStyle w:val="42"/>
                          </w:pPr>
                          <w:r>
                            <w:fldChar w:fldCharType="begin"/>
                          </w:r>
                          <w:r>
                            <w:instrText xml:space="preserve"> PAGE  \* MERGEFORMAT </w:instrText>
                          </w:r>
                          <w:r>
                            <w:fldChar w:fldCharType="separate"/>
                          </w:r>
                          <w:r>
                            <w:t>119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5E597FF8">
                    <w:pPr>
                      <w:pStyle w:val="42"/>
                    </w:pPr>
                    <w:r>
                      <w:fldChar w:fldCharType="begin"/>
                    </w:r>
                    <w:r>
                      <w:instrText xml:space="preserve"> PAGE  \* MERGEFORMAT </w:instrText>
                    </w:r>
                    <w:r>
                      <w:fldChar w:fldCharType="separate"/>
                    </w:r>
                    <w:r>
                      <w:t>119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74059">
    <w:pPr>
      <w:pStyle w:val="42"/>
      <w:jc w:val="center"/>
      <w:rPr>
        <w:rFonts w:ascii="仿宋_GB2312" w:eastAsia="仿宋_GB2312"/>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ACD5F9">
                          <w:pPr>
                            <w:pStyle w:val="42"/>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BACD5F9">
                    <w:pPr>
                      <w:pStyle w:val="42"/>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9C7AA">
    <w:pPr>
      <w:pStyle w:val="42"/>
      <w:jc w:val="center"/>
      <w:rPr>
        <w:rFonts w:ascii="仿宋_GB2312" w:eastAsia="仿宋_GB2312"/>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0B14F1">
                          <w:pPr>
                            <w:pStyle w:val="4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90B14F1">
                    <w:pPr>
                      <w:pStyle w:val="4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387A8">
    <w:pPr>
      <w:pStyle w:val="42"/>
      <w:jc w:val="center"/>
      <w:rPr>
        <w:rFonts w:ascii="仿宋_GB2312" w:eastAsia="仿宋_GB2312"/>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FD8D49">
                          <w:pPr>
                            <w:pStyle w:val="42"/>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9FD8D49">
                    <w:pPr>
                      <w:pStyle w:val="42"/>
                    </w:pPr>
                    <w:r>
                      <w:fldChar w:fldCharType="begin"/>
                    </w:r>
                    <w:r>
                      <w:instrText xml:space="preserve"> PAGE  \* MERGEFORMAT </w:instrText>
                    </w:r>
                    <w:r>
                      <w:fldChar w:fldCharType="separate"/>
                    </w:r>
                    <w:r>
                      <w:t>68</w:t>
                    </w:r>
                    <w:r>
                      <w:fldChar w:fldCharType="end"/>
                    </w:r>
                  </w:p>
                </w:txbxContent>
              </v:textbox>
            </v:shape>
          </w:pict>
        </mc:Fallback>
      </mc:AlternateContent>
    </w:r>
  </w:p>
  <w:p w14:paraId="38A10FC8">
    <w:pPr>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747AA">
    <w:pPr>
      <w:pStyle w:val="42"/>
      <w:jc w:val="center"/>
      <w:rPr>
        <w:rFonts w:ascii="仿宋_GB2312" w:eastAsia="仿宋_GB2312"/>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AE25EB">
                          <w:pPr>
                            <w:pStyle w:val="42"/>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AAE25EB">
                    <w:pPr>
                      <w:pStyle w:val="42"/>
                    </w:pPr>
                    <w:r>
                      <w:fldChar w:fldCharType="begin"/>
                    </w:r>
                    <w:r>
                      <w:instrText xml:space="preserve"> PAGE  \* MERGEFORMAT </w:instrText>
                    </w:r>
                    <w:r>
                      <w:fldChar w:fldCharType="separate"/>
                    </w:r>
                    <w:r>
                      <w:t>67</w:t>
                    </w:r>
                    <w:r>
                      <w:fldChar w:fldCharType="end"/>
                    </w:r>
                  </w:p>
                </w:txbxContent>
              </v:textbox>
            </v:shape>
          </w:pict>
        </mc:Fallback>
      </mc:AlternateContent>
    </w:r>
  </w:p>
  <w:p w14:paraId="6021CF55">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61574">
    <w:pPr>
      <w:pStyle w:val="42"/>
      <w:jc w:val="center"/>
      <w:rPr>
        <w:rFonts w:ascii="仿宋_GB2312" w:eastAsia="仿宋_GB2312"/>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752B32">
                          <w:pPr>
                            <w:pStyle w:val="42"/>
                          </w:pPr>
                          <w:r>
                            <w:fldChar w:fldCharType="begin"/>
                          </w:r>
                          <w:r>
                            <w:instrText xml:space="preserve"> PAGE  \* MERGEFORMAT </w:instrText>
                          </w:r>
                          <w:r>
                            <w:fldChar w:fldCharType="separate"/>
                          </w:r>
                          <w:r>
                            <w:t>112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E752B32">
                    <w:pPr>
                      <w:pStyle w:val="42"/>
                    </w:pPr>
                    <w:r>
                      <w:fldChar w:fldCharType="begin"/>
                    </w:r>
                    <w:r>
                      <w:instrText xml:space="preserve"> PAGE  \* MERGEFORMAT </w:instrText>
                    </w:r>
                    <w:r>
                      <w:fldChar w:fldCharType="separate"/>
                    </w:r>
                    <w:r>
                      <w:t>112</w:t>
                    </w:r>
                    <w:r>
                      <w:fldChar w:fldCharType="end"/>
                    </w:r>
                  </w:p>
                </w:txbxContent>
              </v:textbox>
            </v:shape>
          </w:pict>
        </mc:Fallback>
      </mc:AlternateContent>
    </w:r>
  </w:p>
  <w:p w14:paraId="17332ECA">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B33F1">
    <w:pPr>
      <w:pStyle w:val="42"/>
      <w:jc w:val="center"/>
      <w:rPr>
        <w:rFonts w:ascii="仿宋_GB2312" w:eastAsia="仿宋_GB2312"/>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C86F62">
                          <w:pPr>
                            <w:pStyle w:val="42"/>
                          </w:pPr>
                          <w:r>
                            <w:fldChar w:fldCharType="begin"/>
                          </w:r>
                          <w:r>
                            <w:instrText xml:space="preserve"> PAGE  \* MERGEFORMAT </w:instrText>
                          </w:r>
                          <w:r>
                            <w:fldChar w:fldCharType="separate"/>
                          </w:r>
                          <w:r>
                            <w:t>111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2C86F62">
                    <w:pPr>
                      <w:pStyle w:val="42"/>
                    </w:pPr>
                    <w:r>
                      <w:fldChar w:fldCharType="begin"/>
                    </w:r>
                    <w:r>
                      <w:instrText xml:space="preserve"> PAGE  \* MERGEFORMAT </w:instrText>
                    </w:r>
                    <w:r>
                      <w:fldChar w:fldCharType="separate"/>
                    </w:r>
                    <w:r>
                      <w:t>111</w:t>
                    </w:r>
                    <w:r>
                      <w:fldChar w:fldCharType="end"/>
                    </w:r>
                  </w:p>
                </w:txbxContent>
              </v:textbox>
            </v:shape>
          </w:pict>
        </mc:Fallback>
      </mc:AlternateContent>
    </w:r>
  </w:p>
  <w:p w14:paraId="61F982CE">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78703">
    <w:pPr>
      <w:pStyle w:val="42"/>
      <w:jc w:val="center"/>
      <w:rPr>
        <w:rFonts w:ascii="仿宋_GB2312" w:eastAsia="仿宋_GB2312"/>
        <w:sz w:val="21"/>
        <w:szCs w:val="21"/>
      </w:rPr>
    </w:pPr>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B4FA0F">
                          <w:pPr>
                            <w:pStyle w:val="42"/>
                          </w:pPr>
                          <w:r>
                            <w:fldChar w:fldCharType="begin"/>
                          </w:r>
                          <w:r>
                            <w:instrText xml:space="preserve"> PAGE  \* MERGEFORMAT </w:instrText>
                          </w:r>
                          <w:r>
                            <w:fldChar w:fldCharType="separate"/>
                          </w:r>
                          <w:r>
                            <w:t>118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DB4FA0F">
                    <w:pPr>
                      <w:pStyle w:val="42"/>
                    </w:pPr>
                    <w:r>
                      <w:fldChar w:fldCharType="begin"/>
                    </w:r>
                    <w:r>
                      <w:instrText xml:space="preserve"> PAGE  \* MERGEFORMAT </w:instrText>
                    </w:r>
                    <w:r>
                      <w:fldChar w:fldCharType="separate"/>
                    </w:r>
                    <w:r>
                      <w:t>118</w:t>
                    </w:r>
                    <w:r>
                      <w:fldChar w:fldCharType="end"/>
                    </w:r>
                  </w:p>
                </w:txbxContent>
              </v:textbox>
            </v:shape>
          </w:pict>
        </mc:Fallback>
      </mc:AlternateContent>
    </w:r>
  </w:p>
  <w:p w14:paraId="487AAC50">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28594">
    <w:pPr>
      <w:pStyle w:val="42"/>
      <w:jc w:val="center"/>
      <w:rPr>
        <w:rFonts w:ascii="仿宋_GB2312" w:eastAsia="仿宋_GB2312"/>
        <w:sz w:val="21"/>
        <w:szCs w:val="21"/>
      </w:rPr>
    </w:pPr>
    <w:r>
      <w:rPr>
        <w:sz w:val="21"/>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B70E87">
                          <w:pPr>
                            <w:pStyle w:val="42"/>
                          </w:pPr>
                          <w:r>
                            <w:fldChar w:fldCharType="begin"/>
                          </w:r>
                          <w:r>
                            <w:instrText xml:space="preserve"> PAGE  \* MERGEFORMAT </w:instrText>
                          </w:r>
                          <w:r>
                            <w:fldChar w:fldCharType="separate"/>
                          </w:r>
                          <w:r>
                            <w:t>116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BB70E87">
                    <w:pPr>
                      <w:pStyle w:val="42"/>
                    </w:pPr>
                    <w:r>
                      <w:fldChar w:fldCharType="begin"/>
                    </w:r>
                    <w:r>
                      <w:instrText xml:space="preserve"> PAGE  \* MERGEFORMAT </w:instrText>
                    </w:r>
                    <w:r>
                      <w:fldChar w:fldCharType="separate"/>
                    </w:r>
                    <w:r>
                      <w:t>116</w:t>
                    </w:r>
                    <w:r>
                      <w:fldChar w:fldCharType="end"/>
                    </w:r>
                  </w:p>
                </w:txbxContent>
              </v:textbox>
            </v:shape>
          </w:pict>
        </mc:Fallback>
      </mc:AlternateContent>
    </w:r>
  </w:p>
  <w:p w14:paraId="39984822">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F5027">
    <w:pPr>
      <w:pStyle w:val="43"/>
      <w:pBdr>
        <w:bottom w:val="none" w:color="auto" w:sz="0" w:space="4"/>
      </w:pBdr>
      <w:jc w:val="center"/>
      <w:rPr>
        <w:rFonts w:ascii="仿宋_GB2312" w:eastAsia="仿宋_GB2312"/>
        <w:b/>
        <w:i/>
        <w:sz w:val="21"/>
        <w:szCs w:val="21"/>
        <w:u w:val="single"/>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E2369">
    <w:pPr>
      <w:pStyle w:val="43"/>
      <w:rPr>
        <w:sz w:val="21"/>
        <w:szCs w:val="21"/>
      </w:rPr>
    </w:pPr>
    <w:r>
      <w:t></w:t>
    </w:r>
    <w:r>
      <w:rPr>
        <w:rFonts w:hint="eastAsia"/>
      </w:rPr>
      <w:t xml:space="preserve">                </w:t>
    </w:r>
    <w:r>
      <w:rPr>
        <w:rFonts w:hint="eastAsia"/>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5A00F">
    <w:pPr>
      <w:pStyle w:val="43"/>
      <w:pBdr>
        <w:bottom w:val="none" w:color="auto" w:sz="0" w:space="0"/>
      </w:pBdr>
      <w:tabs>
        <w:tab w:val="center" w:pos="4535"/>
        <w:tab w:val="right" w:pos="9070"/>
        <w:tab w:val="clear" w:pos="4153"/>
        <w:tab w:val="clear" w:pos="8306"/>
      </w:tabs>
      <w:jc w:val="right"/>
    </w:pPr>
    <w:r>
      <w:rPr>
        <w:lang w:val="zh-CN"/>
      </w:rPr>
      <w:t></w:t>
    </w:r>
    <w:r>
      <w:tab/>
    </w:r>
    <w:r>
      <w:rPr>
        <w:lang w:val="zh-CN"/>
      </w:rPr>
      <w:t></w:t>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DC52F">
    <w:pPr>
      <w:pStyle w:val="43"/>
      <w:pBdr>
        <w:bottom w:val="none" w:color="auto" w:sz="0" w:space="1"/>
      </w:pBdr>
      <w:jc w:val="right"/>
      <w:rPr>
        <w:rFonts w:ascii="仿宋_GB2312" w:eastAsia="仿宋_GB2312"/>
        <w:b/>
        <w:i/>
        <w:u w:val="single"/>
      </w:rPr>
    </w:pPr>
    <w:r>
      <w:t></w:t>
    </w:r>
    <w:r>
      <w:rPr>
        <w:rFonts w:hint="eastAsia"/>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795B0">
    <w:pPr>
      <w:pStyle w:val="43"/>
      <w:pBdr>
        <w:bottom w:val="none" w:color="auto" w:sz="0" w:space="1"/>
      </w:pBdr>
    </w:pPr>
    <w:r>
      <w:t></w:t>
    </w:r>
    <w:r>
      <w:rPr>
        <w:rFonts w:hint="eastAsia"/>
      </w:rPr>
      <w:t xml:space="preserve">         </w:t>
    </w:r>
  </w:p>
  <w:p w14:paraId="54148DE3">
    <w:pPr>
      <w:pStyle w:val="43"/>
      <w:pBdr>
        <w:bottom w:val="none" w:color="auto" w:sz="0" w:space="1"/>
      </w:pBdr>
      <w:rPr>
        <w:sz w:val="21"/>
        <w:szCs w:val="21"/>
      </w:rPr>
    </w:pPr>
    <w:r>
      <w:rPr>
        <w:rFonts w:hint="eastAsia"/>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DE55D">
    <w:pPr>
      <w:pStyle w:val="43"/>
      <w:pBdr>
        <w:bottom w:val="none" w:color="auto" w:sz="0" w:space="1"/>
      </w:pBdr>
      <w:rPr>
        <w:rFonts w:ascii="仿宋_GB2312" w:eastAsia="仿宋_GB2312"/>
        <w:b/>
        <w:i/>
        <w:sz w:val="21"/>
        <w:szCs w:val="21"/>
        <w:u w:val="single"/>
      </w:rPr>
    </w:pPr>
    <w:r>
      <w:t></w:t>
    </w:r>
    <w:r>
      <w:rPr>
        <w:rFonts w:hint="eastAsia"/>
      </w:rPr>
      <w:t xml:space="preserve">                                   </w:t>
    </w:r>
  </w:p>
  <w:p w14:paraId="424E1B1C">
    <w:pPr>
      <w:pBdr>
        <w:bottom w:val="none" w:color="auto" w:sz="0" w:space="0"/>
      </w:pBdr>
      <w:rPr>
        <w:rFonts w:ascii="仿宋_GB2312" w:eastAsia="仿宋_GB2312"/>
        <w:b/>
        <w:i/>
        <w:sz w:val="18"/>
        <w:u w:val="single"/>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75C75">
    <w:pPr>
      <w:pStyle w:val="43"/>
      <w:pBdr>
        <w:bottom w:val="none" w:color="auto" w:sz="0" w:space="1"/>
      </w:pBdr>
      <w:jc w:val="right"/>
      <w:rPr>
        <w:sz w:val="21"/>
        <w:szCs w:val="21"/>
      </w:rPr>
    </w:pPr>
    <w:r>
      <w:t></w:t>
    </w:r>
    <w:r>
      <w:rPr>
        <w:rFonts w:hint="eastAsia"/>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82596">
    <w:pPr>
      <w:pStyle w:val="43"/>
      <w:pBdr>
        <w:bottom w:val="none" w:color="auto" w:sz="0" w:space="1"/>
      </w:pBdr>
      <w:jc w:val="right"/>
      <w:rPr>
        <w:rFonts w:ascii="仿宋_GB2312" w:eastAsia="仿宋_GB2312"/>
        <w:b/>
        <w:i/>
        <w:sz w:val="21"/>
        <w:szCs w:val="21"/>
        <w:u w:val="single"/>
      </w:rPr>
    </w:pPr>
    <w:r>
      <w:rPr>
        <w:rFonts w:hint="eastAsia"/>
      </w:rPr>
      <w:t xml:space="preserve">                                </w:t>
    </w:r>
    <w:r>
      <w:rPr>
        <w:rFonts w:hint="eastAsia"/>
        <w:sz w:val="21"/>
        <w:szCs w:val="21"/>
      </w:rPr>
      <w:t xml:space="preserve">  </w:t>
    </w:r>
  </w:p>
  <w:p w14:paraId="35B6E8C7">
    <w:pPr>
      <w:pBdr>
        <w:bottom w:val="none" w:color="auto" w:sz="0" w:space="0"/>
      </w:pBdr>
      <w:rPr>
        <w:rFonts w:ascii="仿宋_GB2312" w:eastAsia="仿宋_GB2312"/>
        <w:b/>
        <w:i/>
        <w:sz w:val="18"/>
        <w:u w:val="single"/>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77342">
    <w:pPr>
      <w:pStyle w:val="43"/>
      <w:pBdr>
        <w:bottom w:val="none" w:color="auto" w:sz="0" w:space="1"/>
      </w:pBdr>
      <w:jc w:val="right"/>
      <w:rPr>
        <w:sz w:val="21"/>
        <w:szCs w:val="21"/>
      </w:rPr>
    </w:pPr>
    <w:r>
      <w:rPr>
        <w:rFonts w:hint="eastAsia"/>
      </w:rPr>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3644F">
    <w:pPr>
      <w:pStyle w:val="43"/>
      <w:pBdr>
        <w:bottom w:val="none" w:color="auto" w:sz="0" w:space="1"/>
      </w:pBdr>
      <w:jc w:val="right"/>
      <w:rPr>
        <w:rFonts w:ascii="仿宋_GB2312" w:eastAsia="仿宋_GB2312"/>
        <w:b/>
        <w:i/>
        <w:iCs/>
        <w:u w:val="single"/>
      </w:rPr>
    </w:pPr>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271A"/>
    <w:multiLevelType w:val="singleLevel"/>
    <w:tmpl w:val="9C59271A"/>
    <w:lvl w:ilvl="0" w:tentative="0">
      <w:start w:val="1"/>
      <w:numFmt w:val="decimal"/>
      <w:suff w:val="nothing"/>
      <w:lvlText w:val="（%1）"/>
      <w:lvlJc w:val="left"/>
    </w:lvl>
  </w:abstractNum>
  <w:abstractNum w:abstractNumId="1">
    <w:nsid w:val="292BF72A"/>
    <w:multiLevelType w:val="singleLevel"/>
    <w:tmpl w:val="292BF72A"/>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xZmQzYWI0NjhhYzFiYmI0OTc3MDAxMDBmYjY5YTgifQ=="/>
  </w:docVars>
  <w:rsids>
    <w:rsidRoot w:val="00172A27"/>
    <w:rsid w:val="00000451"/>
    <w:rsid w:val="00000A8C"/>
    <w:rsid w:val="0000108B"/>
    <w:rsid w:val="0000114C"/>
    <w:rsid w:val="0000133D"/>
    <w:rsid w:val="00001509"/>
    <w:rsid w:val="00001C42"/>
    <w:rsid w:val="000032B2"/>
    <w:rsid w:val="0000363B"/>
    <w:rsid w:val="000058BD"/>
    <w:rsid w:val="00006109"/>
    <w:rsid w:val="00006150"/>
    <w:rsid w:val="000063E8"/>
    <w:rsid w:val="000066F2"/>
    <w:rsid w:val="00006725"/>
    <w:rsid w:val="0000675E"/>
    <w:rsid w:val="000072FF"/>
    <w:rsid w:val="00007CAA"/>
    <w:rsid w:val="00010FE9"/>
    <w:rsid w:val="0001122F"/>
    <w:rsid w:val="00011A4B"/>
    <w:rsid w:val="00012251"/>
    <w:rsid w:val="0001232F"/>
    <w:rsid w:val="0001337C"/>
    <w:rsid w:val="000138C4"/>
    <w:rsid w:val="00013C1F"/>
    <w:rsid w:val="00013F31"/>
    <w:rsid w:val="000140D8"/>
    <w:rsid w:val="00014530"/>
    <w:rsid w:val="00014BBC"/>
    <w:rsid w:val="000150EE"/>
    <w:rsid w:val="00015988"/>
    <w:rsid w:val="000163D1"/>
    <w:rsid w:val="000168D8"/>
    <w:rsid w:val="000170C8"/>
    <w:rsid w:val="000173F4"/>
    <w:rsid w:val="00020287"/>
    <w:rsid w:val="000202A2"/>
    <w:rsid w:val="000202FE"/>
    <w:rsid w:val="00020B5F"/>
    <w:rsid w:val="000211BC"/>
    <w:rsid w:val="0002207B"/>
    <w:rsid w:val="00022EBE"/>
    <w:rsid w:val="00022F58"/>
    <w:rsid w:val="000232FD"/>
    <w:rsid w:val="00023323"/>
    <w:rsid w:val="000233E4"/>
    <w:rsid w:val="00023495"/>
    <w:rsid w:val="00023777"/>
    <w:rsid w:val="00023CC9"/>
    <w:rsid w:val="00024130"/>
    <w:rsid w:val="00024584"/>
    <w:rsid w:val="00024962"/>
    <w:rsid w:val="000249AA"/>
    <w:rsid w:val="00025350"/>
    <w:rsid w:val="000253E5"/>
    <w:rsid w:val="00025776"/>
    <w:rsid w:val="00025A26"/>
    <w:rsid w:val="00026B14"/>
    <w:rsid w:val="00026EAC"/>
    <w:rsid w:val="000270F2"/>
    <w:rsid w:val="00027540"/>
    <w:rsid w:val="0003042E"/>
    <w:rsid w:val="00030572"/>
    <w:rsid w:val="00030A97"/>
    <w:rsid w:val="00030CB3"/>
    <w:rsid w:val="0003124B"/>
    <w:rsid w:val="0003206A"/>
    <w:rsid w:val="000326A7"/>
    <w:rsid w:val="00032EA0"/>
    <w:rsid w:val="000331B0"/>
    <w:rsid w:val="0003353E"/>
    <w:rsid w:val="000336D4"/>
    <w:rsid w:val="00034FA7"/>
    <w:rsid w:val="0003533D"/>
    <w:rsid w:val="000357E4"/>
    <w:rsid w:val="00035ACA"/>
    <w:rsid w:val="00036C29"/>
    <w:rsid w:val="00037B93"/>
    <w:rsid w:val="00040447"/>
    <w:rsid w:val="00040494"/>
    <w:rsid w:val="00040B70"/>
    <w:rsid w:val="00042441"/>
    <w:rsid w:val="00042533"/>
    <w:rsid w:val="00042DBB"/>
    <w:rsid w:val="00042E65"/>
    <w:rsid w:val="0004347C"/>
    <w:rsid w:val="00043907"/>
    <w:rsid w:val="00044F48"/>
    <w:rsid w:val="00045817"/>
    <w:rsid w:val="0004598C"/>
    <w:rsid w:val="00047354"/>
    <w:rsid w:val="00050072"/>
    <w:rsid w:val="00050656"/>
    <w:rsid w:val="00050A19"/>
    <w:rsid w:val="000511B6"/>
    <w:rsid w:val="00051B00"/>
    <w:rsid w:val="00051C72"/>
    <w:rsid w:val="00052192"/>
    <w:rsid w:val="0005238F"/>
    <w:rsid w:val="00052787"/>
    <w:rsid w:val="00052992"/>
    <w:rsid w:val="00052BB8"/>
    <w:rsid w:val="00052F10"/>
    <w:rsid w:val="0005417A"/>
    <w:rsid w:val="00054D39"/>
    <w:rsid w:val="0005501B"/>
    <w:rsid w:val="000550F5"/>
    <w:rsid w:val="000552AD"/>
    <w:rsid w:val="00055337"/>
    <w:rsid w:val="000554C7"/>
    <w:rsid w:val="000559B0"/>
    <w:rsid w:val="00056145"/>
    <w:rsid w:val="00056402"/>
    <w:rsid w:val="00056791"/>
    <w:rsid w:val="00056868"/>
    <w:rsid w:val="00056876"/>
    <w:rsid w:val="000568DF"/>
    <w:rsid w:val="00057700"/>
    <w:rsid w:val="000578A3"/>
    <w:rsid w:val="00057D4C"/>
    <w:rsid w:val="00060C48"/>
    <w:rsid w:val="00061A3C"/>
    <w:rsid w:val="00061C48"/>
    <w:rsid w:val="00063C38"/>
    <w:rsid w:val="00063E1E"/>
    <w:rsid w:val="00064278"/>
    <w:rsid w:val="000646CA"/>
    <w:rsid w:val="000665C4"/>
    <w:rsid w:val="00066D83"/>
    <w:rsid w:val="00067821"/>
    <w:rsid w:val="0006785E"/>
    <w:rsid w:val="00067F92"/>
    <w:rsid w:val="00067FA7"/>
    <w:rsid w:val="0007038E"/>
    <w:rsid w:val="0007077C"/>
    <w:rsid w:val="00070825"/>
    <w:rsid w:val="00071845"/>
    <w:rsid w:val="00071CD8"/>
    <w:rsid w:val="00071DB2"/>
    <w:rsid w:val="00072519"/>
    <w:rsid w:val="00072AED"/>
    <w:rsid w:val="00072B56"/>
    <w:rsid w:val="00072D2B"/>
    <w:rsid w:val="00072D51"/>
    <w:rsid w:val="000730B1"/>
    <w:rsid w:val="00073860"/>
    <w:rsid w:val="000738EA"/>
    <w:rsid w:val="00074078"/>
    <w:rsid w:val="0007523B"/>
    <w:rsid w:val="00075B15"/>
    <w:rsid w:val="00075D0E"/>
    <w:rsid w:val="00075F6A"/>
    <w:rsid w:val="00076159"/>
    <w:rsid w:val="0007616C"/>
    <w:rsid w:val="000763B5"/>
    <w:rsid w:val="000763F3"/>
    <w:rsid w:val="000766D2"/>
    <w:rsid w:val="00076801"/>
    <w:rsid w:val="00076BCE"/>
    <w:rsid w:val="00077577"/>
    <w:rsid w:val="00077607"/>
    <w:rsid w:val="00077756"/>
    <w:rsid w:val="00077B7F"/>
    <w:rsid w:val="000808C1"/>
    <w:rsid w:val="00080970"/>
    <w:rsid w:val="00081671"/>
    <w:rsid w:val="00082AD4"/>
    <w:rsid w:val="00083B19"/>
    <w:rsid w:val="00083C35"/>
    <w:rsid w:val="00083E07"/>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3DB"/>
    <w:rsid w:val="00092467"/>
    <w:rsid w:val="00092FE9"/>
    <w:rsid w:val="000936BF"/>
    <w:rsid w:val="0009382F"/>
    <w:rsid w:val="00093A30"/>
    <w:rsid w:val="00094342"/>
    <w:rsid w:val="000945BA"/>
    <w:rsid w:val="00095954"/>
    <w:rsid w:val="000960BA"/>
    <w:rsid w:val="0009662A"/>
    <w:rsid w:val="0009690D"/>
    <w:rsid w:val="00096DFF"/>
    <w:rsid w:val="00096E65"/>
    <w:rsid w:val="000A0729"/>
    <w:rsid w:val="000A0C6F"/>
    <w:rsid w:val="000A0E69"/>
    <w:rsid w:val="000A1A52"/>
    <w:rsid w:val="000A1E26"/>
    <w:rsid w:val="000A1F98"/>
    <w:rsid w:val="000A3A4C"/>
    <w:rsid w:val="000A3D58"/>
    <w:rsid w:val="000A3FE3"/>
    <w:rsid w:val="000A4708"/>
    <w:rsid w:val="000A47B0"/>
    <w:rsid w:val="000A4851"/>
    <w:rsid w:val="000A49BB"/>
    <w:rsid w:val="000A4F22"/>
    <w:rsid w:val="000A5674"/>
    <w:rsid w:val="000A5A46"/>
    <w:rsid w:val="000A64ED"/>
    <w:rsid w:val="000A7299"/>
    <w:rsid w:val="000A752E"/>
    <w:rsid w:val="000B0B97"/>
    <w:rsid w:val="000B0E04"/>
    <w:rsid w:val="000B1437"/>
    <w:rsid w:val="000B1776"/>
    <w:rsid w:val="000B268D"/>
    <w:rsid w:val="000B291B"/>
    <w:rsid w:val="000B2BE4"/>
    <w:rsid w:val="000B33A8"/>
    <w:rsid w:val="000B35EC"/>
    <w:rsid w:val="000B381E"/>
    <w:rsid w:val="000B41D6"/>
    <w:rsid w:val="000B456C"/>
    <w:rsid w:val="000B458E"/>
    <w:rsid w:val="000B45B9"/>
    <w:rsid w:val="000B47CE"/>
    <w:rsid w:val="000B4B56"/>
    <w:rsid w:val="000B4C62"/>
    <w:rsid w:val="000B541D"/>
    <w:rsid w:val="000B54C1"/>
    <w:rsid w:val="000B5553"/>
    <w:rsid w:val="000B5FE8"/>
    <w:rsid w:val="000B666E"/>
    <w:rsid w:val="000C0A43"/>
    <w:rsid w:val="000C0CB1"/>
    <w:rsid w:val="000C1411"/>
    <w:rsid w:val="000C1A69"/>
    <w:rsid w:val="000C1ADE"/>
    <w:rsid w:val="000C1C38"/>
    <w:rsid w:val="000C21DC"/>
    <w:rsid w:val="000C2264"/>
    <w:rsid w:val="000C256B"/>
    <w:rsid w:val="000C2FC9"/>
    <w:rsid w:val="000C3970"/>
    <w:rsid w:val="000C3B1A"/>
    <w:rsid w:val="000C4727"/>
    <w:rsid w:val="000C47AE"/>
    <w:rsid w:val="000C51AD"/>
    <w:rsid w:val="000C5298"/>
    <w:rsid w:val="000C5374"/>
    <w:rsid w:val="000C5EC0"/>
    <w:rsid w:val="000C6162"/>
    <w:rsid w:val="000C64CC"/>
    <w:rsid w:val="000C6688"/>
    <w:rsid w:val="000C692E"/>
    <w:rsid w:val="000C6B28"/>
    <w:rsid w:val="000C725C"/>
    <w:rsid w:val="000C78DB"/>
    <w:rsid w:val="000C7B4D"/>
    <w:rsid w:val="000C7BEB"/>
    <w:rsid w:val="000D0124"/>
    <w:rsid w:val="000D0496"/>
    <w:rsid w:val="000D11E5"/>
    <w:rsid w:val="000D165F"/>
    <w:rsid w:val="000D19E8"/>
    <w:rsid w:val="000D1A04"/>
    <w:rsid w:val="000D1FA1"/>
    <w:rsid w:val="000D2834"/>
    <w:rsid w:val="000D2CAC"/>
    <w:rsid w:val="000D34C8"/>
    <w:rsid w:val="000D34FD"/>
    <w:rsid w:val="000D3BE5"/>
    <w:rsid w:val="000D3C37"/>
    <w:rsid w:val="000D41E3"/>
    <w:rsid w:val="000D453A"/>
    <w:rsid w:val="000D4AFA"/>
    <w:rsid w:val="000D5EA6"/>
    <w:rsid w:val="000D5F00"/>
    <w:rsid w:val="000D6C9F"/>
    <w:rsid w:val="000D6E3B"/>
    <w:rsid w:val="000D6F30"/>
    <w:rsid w:val="000D74E4"/>
    <w:rsid w:val="000D7BE9"/>
    <w:rsid w:val="000D7C9D"/>
    <w:rsid w:val="000D7CE0"/>
    <w:rsid w:val="000E1351"/>
    <w:rsid w:val="000E2785"/>
    <w:rsid w:val="000E27BB"/>
    <w:rsid w:val="000E3153"/>
    <w:rsid w:val="000E3484"/>
    <w:rsid w:val="000E386F"/>
    <w:rsid w:val="000E4051"/>
    <w:rsid w:val="000E4139"/>
    <w:rsid w:val="000E4765"/>
    <w:rsid w:val="000E5475"/>
    <w:rsid w:val="000E5B7E"/>
    <w:rsid w:val="000E5FF9"/>
    <w:rsid w:val="000E6AE1"/>
    <w:rsid w:val="000E6B0F"/>
    <w:rsid w:val="000E7142"/>
    <w:rsid w:val="000E7632"/>
    <w:rsid w:val="000E76F2"/>
    <w:rsid w:val="000E7737"/>
    <w:rsid w:val="000E7739"/>
    <w:rsid w:val="000E77EE"/>
    <w:rsid w:val="000F1604"/>
    <w:rsid w:val="000F1825"/>
    <w:rsid w:val="000F287A"/>
    <w:rsid w:val="000F2940"/>
    <w:rsid w:val="000F2AB3"/>
    <w:rsid w:val="000F3D08"/>
    <w:rsid w:val="000F4495"/>
    <w:rsid w:val="000F4A05"/>
    <w:rsid w:val="000F4AA8"/>
    <w:rsid w:val="000F4AEA"/>
    <w:rsid w:val="000F4E67"/>
    <w:rsid w:val="000F505B"/>
    <w:rsid w:val="000F5677"/>
    <w:rsid w:val="000F572C"/>
    <w:rsid w:val="000F5DDB"/>
    <w:rsid w:val="000F628E"/>
    <w:rsid w:val="000F68A0"/>
    <w:rsid w:val="000F6CC2"/>
    <w:rsid w:val="000F729C"/>
    <w:rsid w:val="000F7D4B"/>
    <w:rsid w:val="000F7F9A"/>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1C7D"/>
    <w:rsid w:val="00112038"/>
    <w:rsid w:val="001127FF"/>
    <w:rsid w:val="00112B0B"/>
    <w:rsid w:val="00112EB5"/>
    <w:rsid w:val="0011383E"/>
    <w:rsid w:val="00113EE3"/>
    <w:rsid w:val="00114847"/>
    <w:rsid w:val="0011585B"/>
    <w:rsid w:val="00115B1A"/>
    <w:rsid w:val="001160FF"/>
    <w:rsid w:val="001164F4"/>
    <w:rsid w:val="001168F8"/>
    <w:rsid w:val="00117112"/>
    <w:rsid w:val="001176FF"/>
    <w:rsid w:val="0012153F"/>
    <w:rsid w:val="0012159D"/>
    <w:rsid w:val="00121804"/>
    <w:rsid w:val="00121EC9"/>
    <w:rsid w:val="0012208F"/>
    <w:rsid w:val="00122222"/>
    <w:rsid w:val="001224FE"/>
    <w:rsid w:val="001231D3"/>
    <w:rsid w:val="001232A7"/>
    <w:rsid w:val="00123F7C"/>
    <w:rsid w:val="001240B8"/>
    <w:rsid w:val="0012419E"/>
    <w:rsid w:val="0012432A"/>
    <w:rsid w:val="001248EF"/>
    <w:rsid w:val="00124AC0"/>
    <w:rsid w:val="00124EB2"/>
    <w:rsid w:val="00124FC4"/>
    <w:rsid w:val="001253AB"/>
    <w:rsid w:val="0012574C"/>
    <w:rsid w:val="001259B8"/>
    <w:rsid w:val="001264B9"/>
    <w:rsid w:val="0012693E"/>
    <w:rsid w:val="00126A3A"/>
    <w:rsid w:val="00127060"/>
    <w:rsid w:val="0012716F"/>
    <w:rsid w:val="00127B83"/>
    <w:rsid w:val="00127F4D"/>
    <w:rsid w:val="00131C2D"/>
    <w:rsid w:val="0013202C"/>
    <w:rsid w:val="00132704"/>
    <w:rsid w:val="00132CBF"/>
    <w:rsid w:val="00133707"/>
    <w:rsid w:val="00133742"/>
    <w:rsid w:val="00133B70"/>
    <w:rsid w:val="00133E97"/>
    <w:rsid w:val="001350F7"/>
    <w:rsid w:val="00135769"/>
    <w:rsid w:val="00135BE9"/>
    <w:rsid w:val="00135E5C"/>
    <w:rsid w:val="00136762"/>
    <w:rsid w:val="00136C1D"/>
    <w:rsid w:val="00136E33"/>
    <w:rsid w:val="0013773D"/>
    <w:rsid w:val="00140130"/>
    <w:rsid w:val="0014042F"/>
    <w:rsid w:val="00140575"/>
    <w:rsid w:val="00140693"/>
    <w:rsid w:val="00140D7A"/>
    <w:rsid w:val="00141AC5"/>
    <w:rsid w:val="00141D28"/>
    <w:rsid w:val="00141DFE"/>
    <w:rsid w:val="00142185"/>
    <w:rsid w:val="001422E2"/>
    <w:rsid w:val="00142841"/>
    <w:rsid w:val="001433BC"/>
    <w:rsid w:val="00143872"/>
    <w:rsid w:val="00143A85"/>
    <w:rsid w:val="00144649"/>
    <w:rsid w:val="00145022"/>
    <w:rsid w:val="00145662"/>
    <w:rsid w:val="00145C6D"/>
    <w:rsid w:val="001460FC"/>
    <w:rsid w:val="00146151"/>
    <w:rsid w:val="00146326"/>
    <w:rsid w:val="00147032"/>
    <w:rsid w:val="00147EA7"/>
    <w:rsid w:val="00150082"/>
    <w:rsid w:val="00151820"/>
    <w:rsid w:val="00151B2F"/>
    <w:rsid w:val="001524DC"/>
    <w:rsid w:val="001525E5"/>
    <w:rsid w:val="00153859"/>
    <w:rsid w:val="00153915"/>
    <w:rsid w:val="001539F0"/>
    <w:rsid w:val="00153F7C"/>
    <w:rsid w:val="00154BBA"/>
    <w:rsid w:val="00155B95"/>
    <w:rsid w:val="00155EF6"/>
    <w:rsid w:val="00156853"/>
    <w:rsid w:val="00156CCE"/>
    <w:rsid w:val="00156FDF"/>
    <w:rsid w:val="0015719E"/>
    <w:rsid w:val="00157432"/>
    <w:rsid w:val="00161185"/>
    <w:rsid w:val="001620BA"/>
    <w:rsid w:val="001623AC"/>
    <w:rsid w:val="00162BAA"/>
    <w:rsid w:val="00163926"/>
    <w:rsid w:val="00163C40"/>
    <w:rsid w:val="0016488B"/>
    <w:rsid w:val="001654FA"/>
    <w:rsid w:val="00165758"/>
    <w:rsid w:val="00165A65"/>
    <w:rsid w:val="001662BF"/>
    <w:rsid w:val="00166317"/>
    <w:rsid w:val="00167055"/>
    <w:rsid w:val="00167478"/>
    <w:rsid w:val="00167594"/>
    <w:rsid w:val="001702BE"/>
    <w:rsid w:val="001704B3"/>
    <w:rsid w:val="0017059C"/>
    <w:rsid w:val="0017105C"/>
    <w:rsid w:val="001715AF"/>
    <w:rsid w:val="00171622"/>
    <w:rsid w:val="001716BB"/>
    <w:rsid w:val="00171785"/>
    <w:rsid w:val="00171AB5"/>
    <w:rsid w:val="0017204F"/>
    <w:rsid w:val="001721CF"/>
    <w:rsid w:val="001722DD"/>
    <w:rsid w:val="001728FD"/>
    <w:rsid w:val="00172A27"/>
    <w:rsid w:val="00172F02"/>
    <w:rsid w:val="00172F2D"/>
    <w:rsid w:val="00172FDE"/>
    <w:rsid w:val="00173631"/>
    <w:rsid w:val="0017372D"/>
    <w:rsid w:val="00173826"/>
    <w:rsid w:val="00173C58"/>
    <w:rsid w:val="00173E59"/>
    <w:rsid w:val="001741DC"/>
    <w:rsid w:val="00174C4F"/>
    <w:rsid w:val="00174F57"/>
    <w:rsid w:val="00175078"/>
    <w:rsid w:val="001755DC"/>
    <w:rsid w:val="001763D8"/>
    <w:rsid w:val="00176AA6"/>
    <w:rsid w:val="00176EBA"/>
    <w:rsid w:val="00177063"/>
    <w:rsid w:val="00180A47"/>
    <w:rsid w:val="00181ECA"/>
    <w:rsid w:val="001827B7"/>
    <w:rsid w:val="001827EF"/>
    <w:rsid w:val="00182982"/>
    <w:rsid w:val="001829BC"/>
    <w:rsid w:val="00182D68"/>
    <w:rsid w:val="00183031"/>
    <w:rsid w:val="00183468"/>
    <w:rsid w:val="0018397E"/>
    <w:rsid w:val="00184466"/>
    <w:rsid w:val="00184DBF"/>
    <w:rsid w:val="001852A8"/>
    <w:rsid w:val="001856EF"/>
    <w:rsid w:val="00185CBD"/>
    <w:rsid w:val="0018620A"/>
    <w:rsid w:val="00186EB0"/>
    <w:rsid w:val="00187121"/>
    <w:rsid w:val="00187243"/>
    <w:rsid w:val="0018774E"/>
    <w:rsid w:val="00187C29"/>
    <w:rsid w:val="00187ECB"/>
    <w:rsid w:val="00190782"/>
    <w:rsid w:val="00190942"/>
    <w:rsid w:val="001909A7"/>
    <w:rsid w:val="001909C3"/>
    <w:rsid w:val="00191459"/>
    <w:rsid w:val="00191603"/>
    <w:rsid w:val="001916DE"/>
    <w:rsid w:val="0019173E"/>
    <w:rsid w:val="0019174E"/>
    <w:rsid w:val="0019196B"/>
    <w:rsid w:val="001923D5"/>
    <w:rsid w:val="0019260C"/>
    <w:rsid w:val="00192991"/>
    <w:rsid w:val="00192D1F"/>
    <w:rsid w:val="00193470"/>
    <w:rsid w:val="00193B94"/>
    <w:rsid w:val="001940A7"/>
    <w:rsid w:val="00194BB1"/>
    <w:rsid w:val="00194BC6"/>
    <w:rsid w:val="00195070"/>
    <w:rsid w:val="00195245"/>
    <w:rsid w:val="0019526D"/>
    <w:rsid w:val="0019553F"/>
    <w:rsid w:val="001956BE"/>
    <w:rsid w:val="0019602C"/>
    <w:rsid w:val="001969F2"/>
    <w:rsid w:val="00196CD6"/>
    <w:rsid w:val="0019756A"/>
    <w:rsid w:val="001A06B5"/>
    <w:rsid w:val="001A07F8"/>
    <w:rsid w:val="001A0A23"/>
    <w:rsid w:val="001A0C98"/>
    <w:rsid w:val="001A109C"/>
    <w:rsid w:val="001A128B"/>
    <w:rsid w:val="001A1475"/>
    <w:rsid w:val="001A1F0E"/>
    <w:rsid w:val="001A3335"/>
    <w:rsid w:val="001A473A"/>
    <w:rsid w:val="001A4977"/>
    <w:rsid w:val="001A4ED9"/>
    <w:rsid w:val="001A52CD"/>
    <w:rsid w:val="001A5785"/>
    <w:rsid w:val="001A5A67"/>
    <w:rsid w:val="001A5FD7"/>
    <w:rsid w:val="001A66A6"/>
    <w:rsid w:val="001A6BAF"/>
    <w:rsid w:val="001A6BBB"/>
    <w:rsid w:val="001A79A2"/>
    <w:rsid w:val="001A79F1"/>
    <w:rsid w:val="001A7FA5"/>
    <w:rsid w:val="001B00BE"/>
    <w:rsid w:val="001B06A6"/>
    <w:rsid w:val="001B13BF"/>
    <w:rsid w:val="001B16F5"/>
    <w:rsid w:val="001B1C1F"/>
    <w:rsid w:val="001B219B"/>
    <w:rsid w:val="001B2703"/>
    <w:rsid w:val="001B2B94"/>
    <w:rsid w:val="001B3DCD"/>
    <w:rsid w:val="001B422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0B5F"/>
    <w:rsid w:val="001C1072"/>
    <w:rsid w:val="001C10BD"/>
    <w:rsid w:val="001C13A3"/>
    <w:rsid w:val="001C1F01"/>
    <w:rsid w:val="001C2092"/>
    <w:rsid w:val="001C232F"/>
    <w:rsid w:val="001C2544"/>
    <w:rsid w:val="001C2884"/>
    <w:rsid w:val="001C2A17"/>
    <w:rsid w:val="001C31F5"/>
    <w:rsid w:val="001C4962"/>
    <w:rsid w:val="001C537C"/>
    <w:rsid w:val="001C6047"/>
    <w:rsid w:val="001C6698"/>
    <w:rsid w:val="001C6C5B"/>
    <w:rsid w:val="001C6F7D"/>
    <w:rsid w:val="001C7399"/>
    <w:rsid w:val="001C7C5F"/>
    <w:rsid w:val="001C7CE0"/>
    <w:rsid w:val="001D005B"/>
    <w:rsid w:val="001D0947"/>
    <w:rsid w:val="001D0DF7"/>
    <w:rsid w:val="001D16F5"/>
    <w:rsid w:val="001D1970"/>
    <w:rsid w:val="001D1D55"/>
    <w:rsid w:val="001D21EF"/>
    <w:rsid w:val="001D29A4"/>
    <w:rsid w:val="001D2B73"/>
    <w:rsid w:val="001D3136"/>
    <w:rsid w:val="001D330D"/>
    <w:rsid w:val="001D4AB6"/>
    <w:rsid w:val="001D4AD3"/>
    <w:rsid w:val="001D5281"/>
    <w:rsid w:val="001D54EE"/>
    <w:rsid w:val="001D6E1E"/>
    <w:rsid w:val="001E17E3"/>
    <w:rsid w:val="001E2052"/>
    <w:rsid w:val="001E2492"/>
    <w:rsid w:val="001E257C"/>
    <w:rsid w:val="001E286C"/>
    <w:rsid w:val="001E28DF"/>
    <w:rsid w:val="001E2B44"/>
    <w:rsid w:val="001E2F34"/>
    <w:rsid w:val="001E35EE"/>
    <w:rsid w:val="001E4B2C"/>
    <w:rsid w:val="001E507F"/>
    <w:rsid w:val="001E56C2"/>
    <w:rsid w:val="001E59FB"/>
    <w:rsid w:val="001E6665"/>
    <w:rsid w:val="001E7F81"/>
    <w:rsid w:val="001F0361"/>
    <w:rsid w:val="001F0FD1"/>
    <w:rsid w:val="001F1526"/>
    <w:rsid w:val="001F19D1"/>
    <w:rsid w:val="001F1CB9"/>
    <w:rsid w:val="001F1F18"/>
    <w:rsid w:val="001F2F92"/>
    <w:rsid w:val="001F3712"/>
    <w:rsid w:val="001F3A4E"/>
    <w:rsid w:val="001F41F3"/>
    <w:rsid w:val="001F5330"/>
    <w:rsid w:val="001F5DA1"/>
    <w:rsid w:val="001F612E"/>
    <w:rsid w:val="001F6A92"/>
    <w:rsid w:val="001F77E8"/>
    <w:rsid w:val="0020022C"/>
    <w:rsid w:val="00200B55"/>
    <w:rsid w:val="00200C64"/>
    <w:rsid w:val="00201647"/>
    <w:rsid w:val="00201A0C"/>
    <w:rsid w:val="00201B0F"/>
    <w:rsid w:val="0020255A"/>
    <w:rsid w:val="00202800"/>
    <w:rsid w:val="00202D33"/>
    <w:rsid w:val="00202E58"/>
    <w:rsid w:val="00202F99"/>
    <w:rsid w:val="00203C85"/>
    <w:rsid w:val="0020449A"/>
    <w:rsid w:val="00204E9B"/>
    <w:rsid w:val="00205298"/>
    <w:rsid w:val="002055C0"/>
    <w:rsid w:val="0020569E"/>
    <w:rsid w:val="00206698"/>
    <w:rsid w:val="00206736"/>
    <w:rsid w:val="00206C88"/>
    <w:rsid w:val="0020742A"/>
    <w:rsid w:val="00207B46"/>
    <w:rsid w:val="00210943"/>
    <w:rsid w:val="00210B9C"/>
    <w:rsid w:val="00211185"/>
    <w:rsid w:val="00211A94"/>
    <w:rsid w:val="002126F2"/>
    <w:rsid w:val="00213478"/>
    <w:rsid w:val="00214028"/>
    <w:rsid w:val="002141C3"/>
    <w:rsid w:val="002141DC"/>
    <w:rsid w:val="0021440C"/>
    <w:rsid w:val="00214479"/>
    <w:rsid w:val="002144F3"/>
    <w:rsid w:val="002146C3"/>
    <w:rsid w:val="00214A9B"/>
    <w:rsid w:val="00215334"/>
    <w:rsid w:val="00215514"/>
    <w:rsid w:val="00215A2A"/>
    <w:rsid w:val="00215A3F"/>
    <w:rsid w:val="00215D21"/>
    <w:rsid w:val="0021636B"/>
    <w:rsid w:val="00216387"/>
    <w:rsid w:val="00216E7B"/>
    <w:rsid w:val="002170A1"/>
    <w:rsid w:val="00217A7A"/>
    <w:rsid w:val="00217DEF"/>
    <w:rsid w:val="00217E1F"/>
    <w:rsid w:val="00220274"/>
    <w:rsid w:val="002204BC"/>
    <w:rsid w:val="00220F7B"/>
    <w:rsid w:val="002213CE"/>
    <w:rsid w:val="00221AF7"/>
    <w:rsid w:val="00222494"/>
    <w:rsid w:val="00222775"/>
    <w:rsid w:val="00222A31"/>
    <w:rsid w:val="00222CF6"/>
    <w:rsid w:val="00224037"/>
    <w:rsid w:val="002244E4"/>
    <w:rsid w:val="00224586"/>
    <w:rsid w:val="00224D2A"/>
    <w:rsid w:val="00224D8D"/>
    <w:rsid w:val="0022555A"/>
    <w:rsid w:val="00225E6B"/>
    <w:rsid w:val="00227214"/>
    <w:rsid w:val="00227532"/>
    <w:rsid w:val="00227DDC"/>
    <w:rsid w:val="0023079F"/>
    <w:rsid w:val="00231135"/>
    <w:rsid w:val="00231B0B"/>
    <w:rsid w:val="00231D18"/>
    <w:rsid w:val="00232555"/>
    <w:rsid w:val="00232CB6"/>
    <w:rsid w:val="00233538"/>
    <w:rsid w:val="00234248"/>
    <w:rsid w:val="0023449F"/>
    <w:rsid w:val="002344F5"/>
    <w:rsid w:val="0023454D"/>
    <w:rsid w:val="00234679"/>
    <w:rsid w:val="00234D3E"/>
    <w:rsid w:val="002351C2"/>
    <w:rsid w:val="002359FC"/>
    <w:rsid w:val="002361C8"/>
    <w:rsid w:val="00236690"/>
    <w:rsid w:val="0023669D"/>
    <w:rsid w:val="002367EC"/>
    <w:rsid w:val="00237364"/>
    <w:rsid w:val="00237EAE"/>
    <w:rsid w:val="00237FA2"/>
    <w:rsid w:val="002403D5"/>
    <w:rsid w:val="00240C1F"/>
    <w:rsid w:val="00240F55"/>
    <w:rsid w:val="00240F67"/>
    <w:rsid w:val="00241144"/>
    <w:rsid w:val="00241427"/>
    <w:rsid w:val="00242510"/>
    <w:rsid w:val="00242F79"/>
    <w:rsid w:val="0024415B"/>
    <w:rsid w:val="00244E18"/>
    <w:rsid w:val="00245565"/>
    <w:rsid w:val="002458C1"/>
    <w:rsid w:val="00245E62"/>
    <w:rsid w:val="002460D0"/>
    <w:rsid w:val="00246168"/>
    <w:rsid w:val="00246357"/>
    <w:rsid w:val="00247422"/>
    <w:rsid w:val="00247BA2"/>
    <w:rsid w:val="002507B0"/>
    <w:rsid w:val="00250870"/>
    <w:rsid w:val="0025151C"/>
    <w:rsid w:val="0025184F"/>
    <w:rsid w:val="00251967"/>
    <w:rsid w:val="002527CC"/>
    <w:rsid w:val="00252F48"/>
    <w:rsid w:val="002530C0"/>
    <w:rsid w:val="00253586"/>
    <w:rsid w:val="002537FC"/>
    <w:rsid w:val="002542F8"/>
    <w:rsid w:val="002543EF"/>
    <w:rsid w:val="00254F2A"/>
    <w:rsid w:val="00255272"/>
    <w:rsid w:val="00255784"/>
    <w:rsid w:val="00255A29"/>
    <w:rsid w:val="0025631F"/>
    <w:rsid w:val="00256986"/>
    <w:rsid w:val="00256CE8"/>
    <w:rsid w:val="00256D61"/>
    <w:rsid w:val="00256E23"/>
    <w:rsid w:val="00257246"/>
    <w:rsid w:val="00257438"/>
    <w:rsid w:val="0026119C"/>
    <w:rsid w:val="00261AFE"/>
    <w:rsid w:val="0026212A"/>
    <w:rsid w:val="002621D7"/>
    <w:rsid w:val="00262996"/>
    <w:rsid w:val="00262D66"/>
    <w:rsid w:val="00263044"/>
    <w:rsid w:val="00263759"/>
    <w:rsid w:val="002638BD"/>
    <w:rsid w:val="0026470B"/>
    <w:rsid w:val="0026486D"/>
    <w:rsid w:val="00264C4B"/>
    <w:rsid w:val="00264ED0"/>
    <w:rsid w:val="00265346"/>
    <w:rsid w:val="00266045"/>
    <w:rsid w:val="002660C3"/>
    <w:rsid w:val="00266C21"/>
    <w:rsid w:val="00266DE1"/>
    <w:rsid w:val="00267887"/>
    <w:rsid w:val="00267A92"/>
    <w:rsid w:val="00267E43"/>
    <w:rsid w:val="00270282"/>
    <w:rsid w:val="0027062F"/>
    <w:rsid w:val="00270780"/>
    <w:rsid w:val="00270CF6"/>
    <w:rsid w:val="00271097"/>
    <w:rsid w:val="002719FA"/>
    <w:rsid w:val="00271C53"/>
    <w:rsid w:val="0027244F"/>
    <w:rsid w:val="00273052"/>
    <w:rsid w:val="002739CE"/>
    <w:rsid w:val="00273C5F"/>
    <w:rsid w:val="002741D4"/>
    <w:rsid w:val="002743AC"/>
    <w:rsid w:val="0027499D"/>
    <w:rsid w:val="002751CA"/>
    <w:rsid w:val="0027544D"/>
    <w:rsid w:val="00277196"/>
    <w:rsid w:val="002775ED"/>
    <w:rsid w:val="002778AB"/>
    <w:rsid w:val="00277A1C"/>
    <w:rsid w:val="002802A5"/>
    <w:rsid w:val="00280CFB"/>
    <w:rsid w:val="00280D24"/>
    <w:rsid w:val="002815C4"/>
    <w:rsid w:val="00281BCB"/>
    <w:rsid w:val="00281C76"/>
    <w:rsid w:val="002821E2"/>
    <w:rsid w:val="0028316D"/>
    <w:rsid w:val="00283296"/>
    <w:rsid w:val="0028583E"/>
    <w:rsid w:val="00285853"/>
    <w:rsid w:val="00285B1A"/>
    <w:rsid w:val="00285FF3"/>
    <w:rsid w:val="002866EC"/>
    <w:rsid w:val="002867C6"/>
    <w:rsid w:val="0028744E"/>
    <w:rsid w:val="002876D2"/>
    <w:rsid w:val="00287936"/>
    <w:rsid w:val="00287BB7"/>
    <w:rsid w:val="002903C5"/>
    <w:rsid w:val="0029041B"/>
    <w:rsid w:val="00290A99"/>
    <w:rsid w:val="00290EAF"/>
    <w:rsid w:val="0029159A"/>
    <w:rsid w:val="00291CF1"/>
    <w:rsid w:val="00292AA1"/>
    <w:rsid w:val="00293748"/>
    <w:rsid w:val="00294012"/>
    <w:rsid w:val="002945B0"/>
    <w:rsid w:val="0029499D"/>
    <w:rsid w:val="00294A13"/>
    <w:rsid w:val="00294B10"/>
    <w:rsid w:val="00294DF9"/>
    <w:rsid w:val="00295073"/>
    <w:rsid w:val="00295468"/>
    <w:rsid w:val="0029680C"/>
    <w:rsid w:val="00296C32"/>
    <w:rsid w:val="002977CE"/>
    <w:rsid w:val="00297A66"/>
    <w:rsid w:val="00297AF5"/>
    <w:rsid w:val="002A02D6"/>
    <w:rsid w:val="002A07C4"/>
    <w:rsid w:val="002A0921"/>
    <w:rsid w:val="002A0CB3"/>
    <w:rsid w:val="002A1887"/>
    <w:rsid w:val="002A2001"/>
    <w:rsid w:val="002A205F"/>
    <w:rsid w:val="002A28BA"/>
    <w:rsid w:val="002A4060"/>
    <w:rsid w:val="002A4868"/>
    <w:rsid w:val="002A4A05"/>
    <w:rsid w:val="002A4EB3"/>
    <w:rsid w:val="002A51D9"/>
    <w:rsid w:val="002A525A"/>
    <w:rsid w:val="002A5801"/>
    <w:rsid w:val="002A5968"/>
    <w:rsid w:val="002A5CAB"/>
    <w:rsid w:val="002A5D40"/>
    <w:rsid w:val="002A622E"/>
    <w:rsid w:val="002A6424"/>
    <w:rsid w:val="002A64E7"/>
    <w:rsid w:val="002A6FC1"/>
    <w:rsid w:val="002A7748"/>
    <w:rsid w:val="002A7ED3"/>
    <w:rsid w:val="002A7FB1"/>
    <w:rsid w:val="002A7FC9"/>
    <w:rsid w:val="002B137D"/>
    <w:rsid w:val="002B139C"/>
    <w:rsid w:val="002B1881"/>
    <w:rsid w:val="002B1F61"/>
    <w:rsid w:val="002B2070"/>
    <w:rsid w:val="002B2906"/>
    <w:rsid w:val="002B2C66"/>
    <w:rsid w:val="002B34E3"/>
    <w:rsid w:val="002B4F44"/>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635"/>
    <w:rsid w:val="002C3890"/>
    <w:rsid w:val="002C3AD9"/>
    <w:rsid w:val="002C4286"/>
    <w:rsid w:val="002C43FC"/>
    <w:rsid w:val="002C45C3"/>
    <w:rsid w:val="002C483B"/>
    <w:rsid w:val="002C48E9"/>
    <w:rsid w:val="002C4DFE"/>
    <w:rsid w:val="002C519E"/>
    <w:rsid w:val="002C5D5E"/>
    <w:rsid w:val="002C6116"/>
    <w:rsid w:val="002C643D"/>
    <w:rsid w:val="002C645F"/>
    <w:rsid w:val="002C66B8"/>
    <w:rsid w:val="002C70E7"/>
    <w:rsid w:val="002D0C27"/>
    <w:rsid w:val="002D0E88"/>
    <w:rsid w:val="002D0EA7"/>
    <w:rsid w:val="002D0F31"/>
    <w:rsid w:val="002D1593"/>
    <w:rsid w:val="002D1A1E"/>
    <w:rsid w:val="002D22A6"/>
    <w:rsid w:val="002D26AF"/>
    <w:rsid w:val="002D2819"/>
    <w:rsid w:val="002D2CD6"/>
    <w:rsid w:val="002D2F81"/>
    <w:rsid w:val="002D38A3"/>
    <w:rsid w:val="002D3BA3"/>
    <w:rsid w:val="002D43EE"/>
    <w:rsid w:val="002D4892"/>
    <w:rsid w:val="002D4D06"/>
    <w:rsid w:val="002D4DDE"/>
    <w:rsid w:val="002D4EE7"/>
    <w:rsid w:val="002D4EED"/>
    <w:rsid w:val="002D4F69"/>
    <w:rsid w:val="002D5AAD"/>
    <w:rsid w:val="002D5DA3"/>
    <w:rsid w:val="002D6097"/>
    <w:rsid w:val="002D65AD"/>
    <w:rsid w:val="002D6782"/>
    <w:rsid w:val="002D74A4"/>
    <w:rsid w:val="002D7C9C"/>
    <w:rsid w:val="002D7D99"/>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3CA"/>
    <w:rsid w:val="002E37C5"/>
    <w:rsid w:val="002E3956"/>
    <w:rsid w:val="002E3C08"/>
    <w:rsid w:val="002E3CF2"/>
    <w:rsid w:val="002E469E"/>
    <w:rsid w:val="002E4C01"/>
    <w:rsid w:val="002E4D50"/>
    <w:rsid w:val="002E4DBC"/>
    <w:rsid w:val="002E55FF"/>
    <w:rsid w:val="002E587E"/>
    <w:rsid w:val="002E5B3A"/>
    <w:rsid w:val="002E5BDA"/>
    <w:rsid w:val="002E672A"/>
    <w:rsid w:val="002E6853"/>
    <w:rsid w:val="002E7EC1"/>
    <w:rsid w:val="002E7EE5"/>
    <w:rsid w:val="002F0323"/>
    <w:rsid w:val="002F0325"/>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129"/>
    <w:rsid w:val="002F7DF0"/>
    <w:rsid w:val="002F7FAF"/>
    <w:rsid w:val="00300573"/>
    <w:rsid w:val="003018A6"/>
    <w:rsid w:val="00301B79"/>
    <w:rsid w:val="003025FE"/>
    <w:rsid w:val="00302A27"/>
    <w:rsid w:val="00303AB6"/>
    <w:rsid w:val="00304640"/>
    <w:rsid w:val="00304AC1"/>
    <w:rsid w:val="00304C93"/>
    <w:rsid w:val="00305090"/>
    <w:rsid w:val="00305454"/>
    <w:rsid w:val="00305B9F"/>
    <w:rsid w:val="00305E21"/>
    <w:rsid w:val="003066C6"/>
    <w:rsid w:val="003066FA"/>
    <w:rsid w:val="00306AD6"/>
    <w:rsid w:val="003077F4"/>
    <w:rsid w:val="00307DC7"/>
    <w:rsid w:val="00307FF2"/>
    <w:rsid w:val="00310002"/>
    <w:rsid w:val="00310EDB"/>
    <w:rsid w:val="0031106F"/>
    <w:rsid w:val="00311C51"/>
    <w:rsid w:val="00311D56"/>
    <w:rsid w:val="00312016"/>
    <w:rsid w:val="00312340"/>
    <w:rsid w:val="00312DFC"/>
    <w:rsid w:val="0031318C"/>
    <w:rsid w:val="00313C9D"/>
    <w:rsid w:val="00313DF8"/>
    <w:rsid w:val="0031430C"/>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51F"/>
    <w:rsid w:val="00324951"/>
    <w:rsid w:val="003249F6"/>
    <w:rsid w:val="00324B2F"/>
    <w:rsid w:val="0032589D"/>
    <w:rsid w:val="00325FCC"/>
    <w:rsid w:val="00326106"/>
    <w:rsid w:val="00326805"/>
    <w:rsid w:val="003269B7"/>
    <w:rsid w:val="00326C0E"/>
    <w:rsid w:val="003272A3"/>
    <w:rsid w:val="003272E4"/>
    <w:rsid w:val="00327B71"/>
    <w:rsid w:val="003303ED"/>
    <w:rsid w:val="00330A0F"/>
    <w:rsid w:val="00331461"/>
    <w:rsid w:val="003316A8"/>
    <w:rsid w:val="00331C80"/>
    <w:rsid w:val="00331CC9"/>
    <w:rsid w:val="003320D7"/>
    <w:rsid w:val="00332265"/>
    <w:rsid w:val="003322F8"/>
    <w:rsid w:val="003325D3"/>
    <w:rsid w:val="00332862"/>
    <w:rsid w:val="00332BFF"/>
    <w:rsid w:val="00332D52"/>
    <w:rsid w:val="00333337"/>
    <w:rsid w:val="00333A28"/>
    <w:rsid w:val="00333B6C"/>
    <w:rsid w:val="0033404C"/>
    <w:rsid w:val="00334927"/>
    <w:rsid w:val="003360AD"/>
    <w:rsid w:val="0033631D"/>
    <w:rsid w:val="003369C7"/>
    <w:rsid w:val="003373A6"/>
    <w:rsid w:val="00337409"/>
    <w:rsid w:val="0033792A"/>
    <w:rsid w:val="00337E18"/>
    <w:rsid w:val="003405AF"/>
    <w:rsid w:val="0034088F"/>
    <w:rsid w:val="00340B3E"/>
    <w:rsid w:val="00340E1A"/>
    <w:rsid w:val="003413D2"/>
    <w:rsid w:val="00341525"/>
    <w:rsid w:val="0034257E"/>
    <w:rsid w:val="00342811"/>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5D75"/>
    <w:rsid w:val="00355D8F"/>
    <w:rsid w:val="00356A73"/>
    <w:rsid w:val="00356FF0"/>
    <w:rsid w:val="003577EF"/>
    <w:rsid w:val="00357A3A"/>
    <w:rsid w:val="00357A60"/>
    <w:rsid w:val="00360304"/>
    <w:rsid w:val="00360A78"/>
    <w:rsid w:val="00361750"/>
    <w:rsid w:val="00362DE8"/>
    <w:rsid w:val="00363573"/>
    <w:rsid w:val="00363894"/>
    <w:rsid w:val="00363B2A"/>
    <w:rsid w:val="00363BF1"/>
    <w:rsid w:val="00363D45"/>
    <w:rsid w:val="00366779"/>
    <w:rsid w:val="003668E5"/>
    <w:rsid w:val="003669C8"/>
    <w:rsid w:val="00366CEB"/>
    <w:rsid w:val="003672B3"/>
    <w:rsid w:val="003676DF"/>
    <w:rsid w:val="00367783"/>
    <w:rsid w:val="00367898"/>
    <w:rsid w:val="003679D3"/>
    <w:rsid w:val="00367A87"/>
    <w:rsid w:val="00367EE7"/>
    <w:rsid w:val="00367F42"/>
    <w:rsid w:val="003703BB"/>
    <w:rsid w:val="003705EA"/>
    <w:rsid w:val="00370A56"/>
    <w:rsid w:val="00371213"/>
    <w:rsid w:val="003717BB"/>
    <w:rsid w:val="00372842"/>
    <w:rsid w:val="003729A5"/>
    <w:rsid w:val="00372C89"/>
    <w:rsid w:val="00372E9A"/>
    <w:rsid w:val="003735B9"/>
    <w:rsid w:val="00373634"/>
    <w:rsid w:val="00373B6E"/>
    <w:rsid w:val="00374677"/>
    <w:rsid w:val="0037510C"/>
    <w:rsid w:val="00375850"/>
    <w:rsid w:val="0037632F"/>
    <w:rsid w:val="00377B26"/>
    <w:rsid w:val="00380658"/>
    <w:rsid w:val="00381014"/>
    <w:rsid w:val="003811E0"/>
    <w:rsid w:val="00381604"/>
    <w:rsid w:val="00381B67"/>
    <w:rsid w:val="00381C68"/>
    <w:rsid w:val="00381F60"/>
    <w:rsid w:val="00383204"/>
    <w:rsid w:val="00383AB0"/>
    <w:rsid w:val="003847BB"/>
    <w:rsid w:val="00384814"/>
    <w:rsid w:val="00384C0A"/>
    <w:rsid w:val="00385B16"/>
    <w:rsid w:val="00385B96"/>
    <w:rsid w:val="003860BC"/>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4EA"/>
    <w:rsid w:val="00392E35"/>
    <w:rsid w:val="00393157"/>
    <w:rsid w:val="00393247"/>
    <w:rsid w:val="00393551"/>
    <w:rsid w:val="00393816"/>
    <w:rsid w:val="00393FCD"/>
    <w:rsid w:val="003944EA"/>
    <w:rsid w:val="00394639"/>
    <w:rsid w:val="00394DF6"/>
    <w:rsid w:val="00394EC6"/>
    <w:rsid w:val="00395A02"/>
    <w:rsid w:val="00395B36"/>
    <w:rsid w:val="00395CD9"/>
    <w:rsid w:val="003962E6"/>
    <w:rsid w:val="00396831"/>
    <w:rsid w:val="003971A1"/>
    <w:rsid w:val="003A03B8"/>
    <w:rsid w:val="003A0F6B"/>
    <w:rsid w:val="003A12B6"/>
    <w:rsid w:val="003A1804"/>
    <w:rsid w:val="003A1C44"/>
    <w:rsid w:val="003A20D5"/>
    <w:rsid w:val="003A24CC"/>
    <w:rsid w:val="003A2512"/>
    <w:rsid w:val="003A2A53"/>
    <w:rsid w:val="003A2EE8"/>
    <w:rsid w:val="003A3249"/>
    <w:rsid w:val="003A373C"/>
    <w:rsid w:val="003A5378"/>
    <w:rsid w:val="003A553C"/>
    <w:rsid w:val="003A56DF"/>
    <w:rsid w:val="003A6008"/>
    <w:rsid w:val="003A703F"/>
    <w:rsid w:val="003A76BD"/>
    <w:rsid w:val="003A7E2B"/>
    <w:rsid w:val="003A7E40"/>
    <w:rsid w:val="003B0336"/>
    <w:rsid w:val="003B0A3A"/>
    <w:rsid w:val="003B0A6B"/>
    <w:rsid w:val="003B0D79"/>
    <w:rsid w:val="003B18C5"/>
    <w:rsid w:val="003B2930"/>
    <w:rsid w:val="003B31A7"/>
    <w:rsid w:val="003B3A29"/>
    <w:rsid w:val="003B4587"/>
    <w:rsid w:val="003B4B51"/>
    <w:rsid w:val="003B4FE1"/>
    <w:rsid w:val="003B514E"/>
    <w:rsid w:val="003B5531"/>
    <w:rsid w:val="003B636A"/>
    <w:rsid w:val="003B64A2"/>
    <w:rsid w:val="003B69CE"/>
    <w:rsid w:val="003B7403"/>
    <w:rsid w:val="003B7C3C"/>
    <w:rsid w:val="003C011C"/>
    <w:rsid w:val="003C0BF8"/>
    <w:rsid w:val="003C0E32"/>
    <w:rsid w:val="003C11D7"/>
    <w:rsid w:val="003C126B"/>
    <w:rsid w:val="003C141F"/>
    <w:rsid w:val="003C16CB"/>
    <w:rsid w:val="003C1B97"/>
    <w:rsid w:val="003C247B"/>
    <w:rsid w:val="003C3292"/>
    <w:rsid w:val="003C3525"/>
    <w:rsid w:val="003C3C1E"/>
    <w:rsid w:val="003C3D88"/>
    <w:rsid w:val="003C4134"/>
    <w:rsid w:val="003C435B"/>
    <w:rsid w:val="003C4C8E"/>
    <w:rsid w:val="003C4EBE"/>
    <w:rsid w:val="003C5887"/>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A13"/>
    <w:rsid w:val="003D2DA0"/>
    <w:rsid w:val="003D34C3"/>
    <w:rsid w:val="003D3A35"/>
    <w:rsid w:val="003D3D83"/>
    <w:rsid w:val="003D4685"/>
    <w:rsid w:val="003D4A41"/>
    <w:rsid w:val="003D4CDF"/>
    <w:rsid w:val="003D514A"/>
    <w:rsid w:val="003D5484"/>
    <w:rsid w:val="003D5ADB"/>
    <w:rsid w:val="003D6202"/>
    <w:rsid w:val="003D6448"/>
    <w:rsid w:val="003D646C"/>
    <w:rsid w:val="003D663E"/>
    <w:rsid w:val="003D664B"/>
    <w:rsid w:val="003D6793"/>
    <w:rsid w:val="003D6B03"/>
    <w:rsid w:val="003D75D8"/>
    <w:rsid w:val="003E006E"/>
    <w:rsid w:val="003E0947"/>
    <w:rsid w:val="003E0E96"/>
    <w:rsid w:val="003E16B9"/>
    <w:rsid w:val="003E20F7"/>
    <w:rsid w:val="003E336A"/>
    <w:rsid w:val="003E3E2F"/>
    <w:rsid w:val="003E4048"/>
    <w:rsid w:val="003E4CE5"/>
    <w:rsid w:val="003E5A46"/>
    <w:rsid w:val="003E604C"/>
    <w:rsid w:val="003E60DA"/>
    <w:rsid w:val="003E6E00"/>
    <w:rsid w:val="003E7111"/>
    <w:rsid w:val="003E7940"/>
    <w:rsid w:val="003F01BD"/>
    <w:rsid w:val="003F0486"/>
    <w:rsid w:val="003F048E"/>
    <w:rsid w:val="003F09FA"/>
    <w:rsid w:val="003F0AFF"/>
    <w:rsid w:val="003F175C"/>
    <w:rsid w:val="003F1AA2"/>
    <w:rsid w:val="003F26DC"/>
    <w:rsid w:val="003F292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3B06"/>
    <w:rsid w:val="004041FB"/>
    <w:rsid w:val="0040443E"/>
    <w:rsid w:val="004056B6"/>
    <w:rsid w:val="00405764"/>
    <w:rsid w:val="00405AA4"/>
    <w:rsid w:val="00406745"/>
    <w:rsid w:val="0040674B"/>
    <w:rsid w:val="00406B32"/>
    <w:rsid w:val="004074AD"/>
    <w:rsid w:val="004074FA"/>
    <w:rsid w:val="00407A56"/>
    <w:rsid w:val="00407FCC"/>
    <w:rsid w:val="0041035A"/>
    <w:rsid w:val="00410E76"/>
    <w:rsid w:val="004112D1"/>
    <w:rsid w:val="004113C9"/>
    <w:rsid w:val="00411D1E"/>
    <w:rsid w:val="00411DF2"/>
    <w:rsid w:val="004120DF"/>
    <w:rsid w:val="004126B5"/>
    <w:rsid w:val="00413FEE"/>
    <w:rsid w:val="00414512"/>
    <w:rsid w:val="00414909"/>
    <w:rsid w:val="00414D7A"/>
    <w:rsid w:val="00415034"/>
    <w:rsid w:val="00415B1A"/>
    <w:rsid w:val="00415DFD"/>
    <w:rsid w:val="00416208"/>
    <w:rsid w:val="0041690F"/>
    <w:rsid w:val="004169D3"/>
    <w:rsid w:val="00416C2B"/>
    <w:rsid w:val="00416D41"/>
    <w:rsid w:val="00416E70"/>
    <w:rsid w:val="00417264"/>
    <w:rsid w:val="00417490"/>
    <w:rsid w:val="004210C0"/>
    <w:rsid w:val="004211DD"/>
    <w:rsid w:val="00421762"/>
    <w:rsid w:val="00421D4B"/>
    <w:rsid w:val="00421ED8"/>
    <w:rsid w:val="00422907"/>
    <w:rsid w:val="00423125"/>
    <w:rsid w:val="00423309"/>
    <w:rsid w:val="004233AD"/>
    <w:rsid w:val="0042372C"/>
    <w:rsid w:val="00424446"/>
    <w:rsid w:val="00424867"/>
    <w:rsid w:val="00425341"/>
    <w:rsid w:val="004255FE"/>
    <w:rsid w:val="00425674"/>
    <w:rsid w:val="004259A5"/>
    <w:rsid w:val="00425A82"/>
    <w:rsid w:val="00425C60"/>
    <w:rsid w:val="00426B2C"/>
    <w:rsid w:val="00427D10"/>
    <w:rsid w:val="00427FA8"/>
    <w:rsid w:val="0043009D"/>
    <w:rsid w:val="0043026B"/>
    <w:rsid w:val="00430299"/>
    <w:rsid w:val="004306D4"/>
    <w:rsid w:val="00431810"/>
    <w:rsid w:val="00431A2A"/>
    <w:rsid w:val="00431C62"/>
    <w:rsid w:val="00432ECA"/>
    <w:rsid w:val="00433B43"/>
    <w:rsid w:val="004341AF"/>
    <w:rsid w:val="0043554E"/>
    <w:rsid w:val="004355D4"/>
    <w:rsid w:val="004357B1"/>
    <w:rsid w:val="00435821"/>
    <w:rsid w:val="0043583E"/>
    <w:rsid w:val="00436CCE"/>
    <w:rsid w:val="00436EAD"/>
    <w:rsid w:val="00437439"/>
    <w:rsid w:val="004375E1"/>
    <w:rsid w:val="00437730"/>
    <w:rsid w:val="00437A2F"/>
    <w:rsid w:val="00437B38"/>
    <w:rsid w:val="00440262"/>
    <w:rsid w:val="004406BF"/>
    <w:rsid w:val="00440814"/>
    <w:rsid w:val="00440D68"/>
    <w:rsid w:val="0044105D"/>
    <w:rsid w:val="00441424"/>
    <w:rsid w:val="00442731"/>
    <w:rsid w:val="00442C12"/>
    <w:rsid w:val="004434DF"/>
    <w:rsid w:val="0044354B"/>
    <w:rsid w:val="0044455F"/>
    <w:rsid w:val="0044493E"/>
    <w:rsid w:val="00444A1F"/>
    <w:rsid w:val="00444FC6"/>
    <w:rsid w:val="00445004"/>
    <w:rsid w:val="00445874"/>
    <w:rsid w:val="00445C38"/>
    <w:rsid w:val="0044686B"/>
    <w:rsid w:val="004475F7"/>
    <w:rsid w:val="0045057B"/>
    <w:rsid w:val="0045069B"/>
    <w:rsid w:val="00450B22"/>
    <w:rsid w:val="004515DE"/>
    <w:rsid w:val="00451709"/>
    <w:rsid w:val="004518FA"/>
    <w:rsid w:val="00451A02"/>
    <w:rsid w:val="0045277C"/>
    <w:rsid w:val="004531DC"/>
    <w:rsid w:val="00453507"/>
    <w:rsid w:val="00453592"/>
    <w:rsid w:val="004543AB"/>
    <w:rsid w:val="004545EC"/>
    <w:rsid w:val="00455392"/>
    <w:rsid w:val="00455967"/>
    <w:rsid w:val="00455F71"/>
    <w:rsid w:val="00456272"/>
    <w:rsid w:val="0045679C"/>
    <w:rsid w:val="004570EF"/>
    <w:rsid w:val="004572D4"/>
    <w:rsid w:val="00457517"/>
    <w:rsid w:val="004579EC"/>
    <w:rsid w:val="00457CF7"/>
    <w:rsid w:val="00457D37"/>
    <w:rsid w:val="00457D7B"/>
    <w:rsid w:val="0046028A"/>
    <w:rsid w:val="00460CAC"/>
    <w:rsid w:val="00460E3A"/>
    <w:rsid w:val="00460E68"/>
    <w:rsid w:val="004614BC"/>
    <w:rsid w:val="004619A5"/>
    <w:rsid w:val="00461F80"/>
    <w:rsid w:val="0046240D"/>
    <w:rsid w:val="00462898"/>
    <w:rsid w:val="00462D5B"/>
    <w:rsid w:val="00462D81"/>
    <w:rsid w:val="00462D84"/>
    <w:rsid w:val="00463208"/>
    <w:rsid w:val="00463576"/>
    <w:rsid w:val="004636D6"/>
    <w:rsid w:val="0046399D"/>
    <w:rsid w:val="00463D23"/>
    <w:rsid w:val="00463EA4"/>
    <w:rsid w:val="00465A21"/>
    <w:rsid w:val="00465DE5"/>
    <w:rsid w:val="00466978"/>
    <w:rsid w:val="00466ABA"/>
    <w:rsid w:val="004672E3"/>
    <w:rsid w:val="0046775D"/>
    <w:rsid w:val="00467823"/>
    <w:rsid w:val="00467FA0"/>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3DD1"/>
    <w:rsid w:val="004744BF"/>
    <w:rsid w:val="0047471E"/>
    <w:rsid w:val="004749DA"/>
    <w:rsid w:val="00474DEF"/>
    <w:rsid w:val="00475729"/>
    <w:rsid w:val="004758E7"/>
    <w:rsid w:val="00475BAB"/>
    <w:rsid w:val="004764C6"/>
    <w:rsid w:val="00476AC1"/>
    <w:rsid w:val="00476F97"/>
    <w:rsid w:val="00477247"/>
    <w:rsid w:val="004776BB"/>
    <w:rsid w:val="004776FB"/>
    <w:rsid w:val="0048055E"/>
    <w:rsid w:val="00480C2B"/>
    <w:rsid w:val="00480DC5"/>
    <w:rsid w:val="00480E1B"/>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477A"/>
    <w:rsid w:val="00494E90"/>
    <w:rsid w:val="00495380"/>
    <w:rsid w:val="00495553"/>
    <w:rsid w:val="0049570D"/>
    <w:rsid w:val="0049584D"/>
    <w:rsid w:val="00495C48"/>
    <w:rsid w:val="00495DC6"/>
    <w:rsid w:val="00496CCE"/>
    <w:rsid w:val="004978C1"/>
    <w:rsid w:val="00497AAD"/>
    <w:rsid w:val="00497BD7"/>
    <w:rsid w:val="00497D1A"/>
    <w:rsid w:val="004A00C9"/>
    <w:rsid w:val="004A03D0"/>
    <w:rsid w:val="004A1049"/>
    <w:rsid w:val="004A1AFA"/>
    <w:rsid w:val="004A1D81"/>
    <w:rsid w:val="004A1EA7"/>
    <w:rsid w:val="004A26F5"/>
    <w:rsid w:val="004A2EF8"/>
    <w:rsid w:val="004A3A21"/>
    <w:rsid w:val="004A407A"/>
    <w:rsid w:val="004A4E3B"/>
    <w:rsid w:val="004A6110"/>
    <w:rsid w:val="004A61B8"/>
    <w:rsid w:val="004A6415"/>
    <w:rsid w:val="004A64F9"/>
    <w:rsid w:val="004A65F4"/>
    <w:rsid w:val="004A6D2C"/>
    <w:rsid w:val="004A7733"/>
    <w:rsid w:val="004B026C"/>
    <w:rsid w:val="004B0271"/>
    <w:rsid w:val="004B0BE8"/>
    <w:rsid w:val="004B0E4A"/>
    <w:rsid w:val="004B18F4"/>
    <w:rsid w:val="004B1A98"/>
    <w:rsid w:val="004B2463"/>
    <w:rsid w:val="004B2E9D"/>
    <w:rsid w:val="004B305F"/>
    <w:rsid w:val="004B34C4"/>
    <w:rsid w:val="004B34E8"/>
    <w:rsid w:val="004B3981"/>
    <w:rsid w:val="004B3A03"/>
    <w:rsid w:val="004B3D51"/>
    <w:rsid w:val="004B419F"/>
    <w:rsid w:val="004B4EA9"/>
    <w:rsid w:val="004B5C96"/>
    <w:rsid w:val="004B6124"/>
    <w:rsid w:val="004B6E50"/>
    <w:rsid w:val="004B728F"/>
    <w:rsid w:val="004B7317"/>
    <w:rsid w:val="004B75B2"/>
    <w:rsid w:val="004B75C6"/>
    <w:rsid w:val="004C02C5"/>
    <w:rsid w:val="004C0BF0"/>
    <w:rsid w:val="004C0D40"/>
    <w:rsid w:val="004C0D94"/>
    <w:rsid w:val="004C114F"/>
    <w:rsid w:val="004C11A9"/>
    <w:rsid w:val="004C27CF"/>
    <w:rsid w:val="004C2CA7"/>
    <w:rsid w:val="004C3592"/>
    <w:rsid w:val="004C375C"/>
    <w:rsid w:val="004C45C8"/>
    <w:rsid w:val="004C4F8F"/>
    <w:rsid w:val="004C5F4B"/>
    <w:rsid w:val="004C612E"/>
    <w:rsid w:val="004C61B8"/>
    <w:rsid w:val="004C69FE"/>
    <w:rsid w:val="004C6C0A"/>
    <w:rsid w:val="004C6C6D"/>
    <w:rsid w:val="004C77FF"/>
    <w:rsid w:val="004C7A0B"/>
    <w:rsid w:val="004C7DB0"/>
    <w:rsid w:val="004C7FFC"/>
    <w:rsid w:val="004D0223"/>
    <w:rsid w:val="004D0C4C"/>
    <w:rsid w:val="004D1629"/>
    <w:rsid w:val="004D16A3"/>
    <w:rsid w:val="004D1934"/>
    <w:rsid w:val="004D199D"/>
    <w:rsid w:val="004D1E41"/>
    <w:rsid w:val="004D2326"/>
    <w:rsid w:val="004D2E11"/>
    <w:rsid w:val="004D3108"/>
    <w:rsid w:val="004D329C"/>
    <w:rsid w:val="004D34D1"/>
    <w:rsid w:val="004D4523"/>
    <w:rsid w:val="004D4990"/>
    <w:rsid w:val="004D4B05"/>
    <w:rsid w:val="004D51D6"/>
    <w:rsid w:val="004D5B4B"/>
    <w:rsid w:val="004D5CC4"/>
    <w:rsid w:val="004D6BF2"/>
    <w:rsid w:val="004D6F29"/>
    <w:rsid w:val="004D758F"/>
    <w:rsid w:val="004D76CF"/>
    <w:rsid w:val="004D7BF5"/>
    <w:rsid w:val="004D7F9C"/>
    <w:rsid w:val="004E03F4"/>
    <w:rsid w:val="004E068F"/>
    <w:rsid w:val="004E0860"/>
    <w:rsid w:val="004E09CF"/>
    <w:rsid w:val="004E0B75"/>
    <w:rsid w:val="004E0C29"/>
    <w:rsid w:val="004E0DC4"/>
    <w:rsid w:val="004E109C"/>
    <w:rsid w:val="004E1D6F"/>
    <w:rsid w:val="004E1DF3"/>
    <w:rsid w:val="004E2393"/>
    <w:rsid w:val="004E289D"/>
    <w:rsid w:val="004E3117"/>
    <w:rsid w:val="004E3959"/>
    <w:rsid w:val="004E3A2A"/>
    <w:rsid w:val="004E3AB1"/>
    <w:rsid w:val="004E4003"/>
    <w:rsid w:val="004E428D"/>
    <w:rsid w:val="004E4626"/>
    <w:rsid w:val="004E4984"/>
    <w:rsid w:val="004E5101"/>
    <w:rsid w:val="004E5380"/>
    <w:rsid w:val="004E5D19"/>
    <w:rsid w:val="004E606D"/>
    <w:rsid w:val="004E6746"/>
    <w:rsid w:val="004E6CAC"/>
    <w:rsid w:val="004E6F69"/>
    <w:rsid w:val="004E75C1"/>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4E2"/>
    <w:rsid w:val="004F367F"/>
    <w:rsid w:val="004F3EEF"/>
    <w:rsid w:val="004F43A7"/>
    <w:rsid w:val="004F447B"/>
    <w:rsid w:val="004F497C"/>
    <w:rsid w:val="004F4FAC"/>
    <w:rsid w:val="004F4FE8"/>
    <w:rsid w:val="004F531B"/>
    <w:rsid w:val="004F560C"/>
    <w:rsid w:val="004F5DBB"/>
    <w:rsid w:val="004F5F2F"/>
    <w:rsid w:val="004F60B4"/>
    <w:rsid w:val="004F61A3"/>
    <w:rsid w:val="004F6874"/>
    <w:rsid w:val="004F7922"/>
    <w:rsid w:val="004F7A1F"/>
    <w:rsid w:val="004F7B47"/>
    <w:rsid w:val="0050079C"/>
    <w:rsid w:val="0050106A"/>
    <w:rsid w:val="005010BC"/>
    <w:rsid w:val="00501848"/>
    <w:rsid w:val="00502B31"/>
    <w:rsid w:val="00502D6D"/>
    <w:rsid w:val="0050434C"/>
    <w:rsid w:val="0050537D"/>
    <w:rsid w:val="00505861"/>
    <w:rsid w:val="0050591C"/>
    <w:rsid w:val="00505935"/>
    <w:rsid w:val="005059BD"/>
    <w:rsid w:val="005060AE"/>
    <w:rsid w:val="005061D2"/>
    <w:rsid w:val="0050790B"/>
    <w:rsid w:val="00507FDF"/>
    <w:rsid w:val="0051037C"/>
    <w:rsid w:val="0051050F"/>
    <w:rsid w:val="0051058B"/>
    <w:rsid w:val="005105CD"/>
    <w:rsid w:val="00510734"/>
    <w:rsid w:val="00510DDC"/>
    <w:rsid w:val="00511166"/>
    <w:rsid w:val="00511A7A"/>
    <w:rsid w:val="00512217"/>
    <w:rsid w:val="00512459"/>
    <w:rsid w:val="005131A2"/>
    <w:rsid w:val="005137E4"/>
    <w:rsid w:val="00513BB9"/>
    <w:rsid w:val="0051440E"/>
    <w:rsid w:val="00514480"/>
    <w:rsid w:val="005147C4"/>
    <w:rsid w:val="005148CD"/>
    <w:rsid w:val="00515180"/>
    <w:rsid w:val="00515973"/>
    <w:rsid w:val="00516069"/>
    <w:rsid w:val="00517AC8"/>
    <w:rsid w:val="00517C3E"/>
    <w:rsid w:val="005207D8"/>
    <w:rsid w:val="0052091D"/>
    <w:rsid w:val="005212F4"/>
    <w:rsid w:val="005216A3"/>
    <w:rsid w:val="00521908"/>
    <w:rsid w:val="00521CEE"/>
    <w:rsid w:val="005224BC"/>
    <w:rsid w:val="00522928"/>
    <w:rsid w:val="00522FF1"/>
    <w:rsid w:val="00523946"/>
    <w:rsid w:val="0052397A"/>
    <w:rsid w:val="00524A6A"/>
    <w:rsid w:val="005256D6"/>
    <w:rsid w:val="00525AD8"/>
    <w:rsid w:val="00526429"/>
    <w:rsid w:val="005266C1"/>
    <w:rsid w:val="005267F4"/>
    <w:rsid w:val="00526966"/>
    <w:rsid w:val="005269D3"/>
    <w:rsid w:val="00527317"/>
    <w:rsid w:val="00527ED6"/>
    <w:rsid w:val="0053024F"/>
    <w:rsid w:val="005303E9"/>
    <w:rsid w:val="005309F7"/>
    <w:rsid w:val="00531064"/>
    <w:rsid w:val="005312CB"/>
    <w:rsid w:val="005313B2"/>
    <w:rsid w:val="00531911"/>
    <w:rsid w:val="00531E92"/>
    <w:rsid w:val="005323A7"/>
    <w:rsid w:val="005324D7"/>
    <w:rsid w:val="005326F0"/>
    <w:rsid w:val="00532764"/>
    <w:rsid w:val="00532AA5"/>
    <w:rsid w:val="00532C5F"/>
    <w:rsid w:val="00533233"/>
    <w:rsid w:val="005335A2"/>
    <w:rsid w:val="00533D13"/>
    <w:rsid w:val="00533DEC"/>
    <w:rsid w:val="00534026"/>
    <w:rsid w:val="00534D55"/>
    <w:rsid w:val="00535B53"/>
    <w:rsid w:val="00536B03"/>
    <w:rsid w:val="005371D5"/>
    <w:rsid w:val="00537456"/>
    <w:rsid w:val="0053790C"/>
    <w:rsid w:val="00537974"/>
    <w:rsid w:val="00537B3D"/>
    <w:rsid w:val="00540401"/>
    <w:rsid w:val="005405B2"/>
    <w:rsid w:val="0054076A"/>
    <w:rsid w:val="00540D47"/>
    <w:rsid w:val="00540EE7"/>
    <w:rsid w:val="00541A22"/>
    <w:rsid w:val="00541EAD"/>
    <w:rsid w:val="005424C2"/>
    <w:rsid w:val="005426B2"/>
    <w:rsid w:val="00543519"/>
    <w:rsid w:val="00543640"/>
    <w:rsid w:val="00544019"/>
    <w:rsid w:val="0054442E"/>
    <w:rsid w:val="005444C6"/>
    <w:rsid w:val="00544BF9"/>
    <w:rsid w:val="00544F05"/>
    <w:rsid w:val="00544FCC"/>
    <w:rsid w:val="005454B8"/>
    <w:rsid w:val="005455BB"/>
    <w:rsid w:val="00545ACB"/>
    <w:rsid w:val="00545DB9"/>
    <w:rsid w:val="005461BC"/>
    <w:rsid w:val="005462ED"/>
    <w:rsid w:val="00546585"/>
    <w:rsid w:val="0054680A"/>
    <w:rsid w:val="00546A91"/>
    <w:rsid w:val="00546BF8"/>
    <w:rsid w:val="00547344"/>
    <w:rsid w:val="00547BA2"/>
    <w:rsid w:val="00550AC5"/>
    <w:rsid w:val="00550B7E"/>
    <w:rsid w:val="00551052"/>
    <w:rsid w:val="005524ED"/>
    <w:rsid w:val="00553F0C"/>
    <w:rsid w:val="00553F91"/>
    <w:rsid w:val="00554007"/>
    <w:rsid w:val="00554C03"/>
    <w:rsid w:val="00554C58"/>
    <w:rsid w:val="00554D5D"/>
    <w:rsid w:val="005550F9"/>
    <w:rsid w:val="00556338"/>
    <w:rsid w:val="00556441"/>
    <w:rsid w:val="00557031"/>
    <w:rsid w:val="00557D45"/>
    <w:rsid w:val="00557F87"/>
    <w:rsid w:val="00560FCB"/>
    <w:rsid w:val="00561001"/>
    <w:rsid w:val="0056111C"/>
    <w:rsid w:val="00561140"/>
    <w:rsid w:val="00561412"/>
    <w:rsid w:val="00561903"/>
    <w:rsid w:val="00561A9B"/>
    <w:rsid w:val="00561E54"/>
    <w:rsid w:val="00561F73"/>
    <w:rsid w:val="005621F7"/>
    <w:rsid w:val="0056278F"/>
    <w:rsid w:val="00562C8D"/>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0F95"/>
    <w:rsid w:val="0057200B"/>
    <w:rsid w:val="00572297"/>
    <w:rsid w:val="0057345D"/>
    <w:rsid w:val="0057347D"/>
    <w:rsid w:val="00573560"/>
    <w:rsid w:val="005738BB"/>
    <w:rsid w:val="00573973"/>
    <w:rsid w:val="00574E7B"/>
    <w:rsid w:val="00574F36"/>
    <w:rsid w:val="0057516C"/>
    <w:rsid w:val="00575D4C"/>
    <w:rsid w:val="00576B5C"/>
    <w:rsid w:val="005770CC"/>
    <w:rsid w:val="00577A60"/>
    <w:rsid w:val="005802F9"/>
    <w:rsid w:val="005806D5"/>
    <w:rsid w:val="00580DFC"/>
    <w:rsid w:val="0058134C"/>
    <w:rsid w:val="005815CD"/>
    <w:rsid w:val="0058173F"/>
    <w:rsid w:val="005827A7"/>
    <w:rsid w:val="005828CB"/>
    <w:rsid w:val="00583D43"/>
    <w:rsid w:val="005846C3"/>
    <w:rsid w:val="00584C8E"/>
    <w:rsid w:val="00584F04"/>
    <w:rsid w:val="0058544C"/>
    <w:rsid w:val="00585623"/>
    <w:rsid w:val="005857F7"/>
    <w:rsid w:val="0058652B"/>
    <w:rsid w:val="005865E9"/>
    <w:rsid w:val="005868FD"/>
    <w:rsid w:val="00587411"/>
    <w:rsid w:val="0058769F"/>
    <w:rsid w:val="00587D7B"/>
    <w:rsid w:val="005904DB"/>
    <w:rsid w:val="005905ED"/>
    <w:rsid w:val="00590D11"/>
    <w:rsid w:val="00591BA6"/>
    <w:rsid w:val="00592825"/>
    <w:rsid w:val="00594437"/>
    <w:rsid w:val="00594B70"/>
    <w:rsid w:val="00594D62"/>
    <w:rsid w:val="00596CFA"/>
    <w:rsid w:val="00596EC6"/>
    <w:rsid w:val="00596F83"/>
    <w:rsid w:val="005975CE"/>
    <w:rsid w:val="005A0088"/>
    <w:rsid w:val="005A04F6"/>
    <w:rsid w:val="005A0C74"/>
    <w:rsid w:val="005A14F0"/>
    <w:rsid w:val="005A1861"/>
    <w:rsid w:val="005A1A31"/>
    <w:rsid w:val="005A243F"/>
    <w:rsid w:val="005A2520"/>
    <w:rsid w:val="005A29A5"/>
    <w:rsid w:val="005A3287"/>
    <w:rsid w:val="005A361D"/>
    <w:rsid w:val="005A36C2"/>
    <w:rsid w:val="005A3719"/>
    <w:rsid w:val="005A3A94"/>
    <w:rsid w:val="005A3DD7"/>
    <w:rsid w:val="005A40FA"/>
    <w:rsid w:val="005A4C20"/>
    <w:rsid w:val="005A4F48"/>
    <w:rsid w:val="005A54F1"/>
    <w:rsid w:val="005A57B8"/>
    <w:rsid w:val="005A5DDE"/>
    <w:rsid w:val="005A64A8"/>
    <w:rsid w:val="005A65C5"/>
    <w:rsid w:val="005A682A"/>
    <w:rsid w:val="005A6875"/>
    <w:rsid w:val="005A6A95"/>
    <w:rsid w:val="005A7016"/>
    <w:rsid w:val="005A7703"/>
    <w:rsid w:val="005A7A32"/>
    <w:rsid w:val="005A7F85"/>
    <w:rsid w:val="005B00DD"/>
    <w:rsid w:val="005B03B1"/>
    <w:rsid w:val="005B07D5"/>
    <w:rsid w:val="005B1A8A"/>
    <w:rsid w:val="005B1AAB"/>
    <w:rsid w:val="005B208A"/>
    <w:rsid w:val="005B2578"/>
    <w:rsid w:val="005B2930"/>
    <w:rsid w:val="005B2B87"/>
    <w:rsid w:val="005B2FAA"/>
    <w:rsid w:val="005B33C8"/>
    <w:rsid w:val="005B387B"/>
    <w:rsid w:val="005B3B01"/>
    <w:rsid w:val="005B4333"/>
    <w:rsid w:val="005B48BE"/>
    <w:rsid w:val="005B57CC"/>
    <w:rsid w:val="005B58F7"/>
    <w:rsid w:val="005B5981"/>
    <w:rsid w:val="005B5994"/>
    <w:rsid w:val="005B6474"/>
    <w:rsid w:val="005B666D"/>
    <w:rsid w:val="005B667A"/>
    <w:rsid w:val="005B6865"/>
    <w:rsid w:val="005B7840"/>
    <w:rsid w:val="005C039B"/>
    <w:rsid w:val="005C059F"/>
    <w:rsid w:val="005C07CE"/>
    <w:rsid w:val="005C0B8F"/>
    <w:rsid w:val="005C1312"/>
    <w:rsid w:val="005C194E"/>
    <w:rsid w:val="005C1C83"/>
    <w:rsid w:val="005C1DB1"/>
    <w:rsid w:val="005C226F"/>
    <w:rsid w:val="005C2294"/>
    <w:rsid w:val="005C2E48"/>
    <w:rsid w:val="005C3344"/>
    <w:rsid w:val="005C4B28"/>
    <w:rsid w:val="005C4E4D"/>
    <w:rsid w:val="005C51DD"/>
    <w:rsid w:val="005C58F2"/>
    <w:rsid w:val="005C5A97"/>
    <w:rsid w:val="005C5F77"/>
    <w:rsid w:val="005C6AAB"/>
    <w:rsid w:val="005C6C80"/>
    <w:rsid w:val="005C6D5D"/>
    <w:rsid w:val="005C6FD0"/>
    <w:rsid w:val="005C78A6"/>
    <w:rsid w:val="005D01C3"/>
    <w:rsid w:val="005D05FF"/>
    <w:rsid w:val="005D0FB4"/>
    <w:rsid w:val="005D1176"/>
    <w:rsid w:val="005D1747"/>
    <w:rsid w:val="005D266D"/>
    <w:rsid w:val="005D306D"/>
    <w:rsid w:val="005D3327"/>
    <w:rsid w:val="005D476A"/>
    <w:rsid w:val="005D4854"/>
    <w:rsid w:val="005D5BCF"/>
    <w:rsid w:val="005D5CA3"/>
    <w:rsid w:val="005D65BF"/>
    <w:rsid w:val="005D6D84"/>
    <w:rsid w:val="005D70A1"/>
    <w:rsid w:val="005D79F2"/>
    <w:rsid w:val="005D79FB"/>
    <w:rsid w:val="005D7CB1"/>
    <w:rsid w:val="005D7F57"/>
    <w:rsid w:val="005E0067"/>
    <w:rsid w:val="005E0141"/>
    <w:rsid w:val="005E09CA"/>
    <w:rsid w:val="005E1AB4"/>
    <w:rsid w:val="005E1F81"/>
    <w:rsid w:val="005E255B"/>
    <w:rsid w:val="005E2CF7"/>
    <w:rsid w:val="005E37FD"/>
    <w:rsid w:val="005E4543"/>
    <w:rsid w:val="005E4A1C"/>
    <w:rsid w:val="005E56C9"/>
    <w:rsid w:val="005E5CF7"/>
    <w:rsid w:val="005E5FF0"/>
    <w:rsid w:val="005E642A"/>
    <w:rsid w:val="005E65A7"/>
    <w:rsid w:val="005E721E"/>
    <w:rsid w:val="005F0857"/>
    <w:rsid w:val="005F11DB"/>
    <w:rsid w:val="005F1470"/>
    <w:rsid w:val="005F15A9"/>
    <w:rsid w:val="005F273D"/>
    <w:rsid w:val="005F2807"/>
    <w:rsid w:val="005F2CD5"/>
    <w:rsid w:val="005F3382"/>
    <w:rsid w:val="005F3720"/>
    <w:rsid w:val="005F3977"/>
    <w:rsid w:val="005F4F00"/>
    <w:rsid w:val="005F5506"/>
    <w:rsid w:val="005F5A0D"/>
    <w:rsid w:val="005F60DF"/>
    <w:rsid w:val="005F615B"/>
    <w:rsid w:val="005F61DF"/>
    <w:rsid w:val="005F680A"/>
    <w:rsid w:val="005F6880"/>
    <w:rsid w:val="005F6B3E"/>
    <w:rsid w:val="005F6ED2"/>
    <w:rsid w:val="005F745B"/>
    <w:rsid w:val="005F77F8"/>
    <w:rsid w:val="005F7CA8"/>
    <w:rsid w:val="0060008F"/>
    <w:rsid w:val="00600DE1"/>
    <w:rsid w:val="00601506"/>
    <w:rsid w:val="00601596"/>
    <w:rsid w:val="00601C92"/>
    <w:rsid w:val="00601F66"/>
    <w:rsid w:val="00602764"/>
    <w:rsid w:val="00602B29"/>
    <w:rsid w:val="00602DAD"/>
    <w:rsid w:val="00603373"/>
    <w:rsid w:val="006036D0"/>
    <w:rsid w:val="00603B1C"/>
    <w:rsid w:val="006042CD"/>
    <w:rsid w:val="00605217"/>
    <w:rsid w:val="006054A5"/>
    <w:rsid w:val="006059E4"/>
    <w:rsid w:val="00605D60"/>
    <w:rsid w:val="006062A0"/>
    <w:rsid w:val="00607015"/>
    <w:rsid w:val="00607261"/>
    <w:rsid w:val="0060795C"/>
    <w:rsid w:val="0061098D"/>
    <w:rsid w:val="00610B78"/>
    <w:rsid w:val="006115EF"/>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12D3"/>
    <w:rsid w:val="00621639"/>
    <w:rsid w:val="00621935"/>
    <w:rsid w:val="00622B22"/>
    <w:rsid w:val="00622F67"/>
    <w:rsid w:val="00623571"/>
    <w:rsid w:val="00623A5E"/>
    <w:rsid w:val="006245B1"/>
    <w:rsid w:val="00625008"/>
    <w:rsid w:val="0062548B"/>
    <w:rsid w:val="00625553"/>
    <w:rsid w:val="006257A3"/>
    <w:rsid w:val="00626710"/>
    <w:rsid w:val="00626930"/>
    <w:rsid w:val="00626AD3"/>
    <w:rsid w:val="00626BAC"/>
    <w:rsid w:val="006271C3"/>
    <w:rsid w:val="006277EA"/>
    <w:rsid w:val="00627B14"/>
    <w:rsid w:val="00627BD7"/>
    <w:rsid w:val="0063001E"/>
    <w:rsid w:val="00630023"/>
    <w:rsid w:val="006308EE"/>
    <w:rsid w:val="00630C70"/>
    <w:rsid w:val="00630D67"/>
    <w:rsid w:val="00631005"/>
    <w:rsid w:val="006312FA"/>
    <w:rsid w:val="00631C79"/>
    <w:rsid w:val="00631F32"/>
    <w:rsid w:val="00632727"/>
    <w:rsid w:val="0063283D"/>
    <w:rsid w:val="00633769"/>
    <w:rsid w:val="00633FE3"/>
    <w:rsid w:val="00634276"/>
    <w:rsid w:val="00634570"/>
    <w:rsid w:val="0063481A"/>
    <w:rsid w:val="0063487C"/>
    <w:rsid w:val="00635B73"/>
    <w:rsid w:val="00635BB7"/>
    <w:rsid w:val="00635DCB"/>
    <w:rsid w:val="00636BF1"/>
    <w:rsid w:val="00636CC7"/>
    <w:rsid w:val="00637F27"/>
    <w:rsid w:val="006405EC"/>
    <w:rsid w:val="00640A4D"/>
    <w:rsid w:val="00640EBD"/>
    <w:rsid w:val="006418F2"/>
    <w:rsid w:val="00641A84"/>
    <w:rsid w:val="00641B05"/>
    <w:rsid w:val="00641DA1"/>
    <w:rsid w:val="00641E5B"/>
    <w:rsid w:val="00642369"/>
    <w:rsid w:val="006428D7"/>
    <w:rsid w:val="00642C69"/>
    <w:rsid w:val="0064330A"/>
    <w:rsid w:val="00643F89"/>
    <w:rsid w:val="00644334"/>
    <w:rsid w:val="0064487C"/>
    <w:rsid w:val="00644BED"/>
    <w:rsid w:val="00644E2E"/>
    <w:rsid w:val="00645A3A"/>
    <w:rsid w:val="00645B87"/>
    <w:rsid w:val="00645CB4"/>
    <w:rsid w:val="00646084"/>
    <w:rsid w:val="006468ED"/>
    <w:rsid w:val="006472CD"/>
    <w:rsid w:val="0064758A"/>
    <w:rsid w:val="00647664"/>
    <w:rsid w:val="00650401"/>
    <w:rsid w:val="006506AA"/>
    <w:rsid w:val="00650D19"/>
    <w:rsid w:val="00652647"/>
    <w:rsid w:val="00652CF5"/>
    <w:rsid w:val="0065343E"/>
    <w:rsid w:val="00653446"/>
    <w:rsid w:val="00653672"/>
    <w:rsid w:val="006536BB"/>
    <w:rsid w:val="0065398F"/>
    <w:rsid w:val="00653C7C"/>
    <w:rsid w:val="00654252"/>
    <w:rsid w:val="006543B7"/>
    <w:rsid w:val="00654EA5"/>
    <w:rsid w:val="0065587E"/>
    <w:rsid w:val="006558CD"/>
    <w:rsid w:val="00655C26"/>
    <w:rsid w:val="0065637A"/>
    <w:rsid w:val="00656998"/>
    <w:rsid w:val="00656E4D"/>
    <w:rsid w:val="00656FBF"/>
    <w:rsid w:val="006574AA"/>
    <w:rsid w:val="006576BA"/>
    <w:rsid w:val="006600BF"/>
    <w:rsid w:val="00660495"/>
    <w:rsid w:val="00660AF7"/>
    <w:rsid w:val="00660D3E"/>
    <w:rsid w:val="00661691"/>
    <w:rsid w:val="00662D3D"/>
    <w:rsid w:val="00662F1F"/>
    <w:rsid w:val="00663454"/>
    <w:rsid w:val="0066394F"/>
    <w:rsid w:val="00663D15"/>
    <w:rsid w:val="00664AF1"/>
    <w:rsid w:val="00665030"/>
    <w:rsid w:val="00665670"/>
    <w:rsid w:val="006659EA"/>
    <w:rsid w:val="00665D6B"/>
    <w:rsid w:val="006661E8"/>
    <w:rsid w:val="00666424"/>
    <w:rsid w:val="0066676C"/>
    <w:rsid w:val="006673B9"/>
    <w:rsid w:val="00667632"/>
    <w:rsid w:val="0066790C"/>
    <w:rsid w:val="00667FF0"/>
    <w:rsid w:val="00670C7C"/>
    <w:rsid w:val="00671480"/>
    <w:rsid w:val="006717E7"/>
    <w:rsid w:val="00671FD5"/>
    <w:rsid w:val="006720BC"/>
    <w:rsid w:val="00672906"/>
    <w:rsid w:val="00672C73"/>
    <w:rsid w:val="00673B64"/>
    <w:rsid w:val="006746F6"/>
    <w:rsid w:val="006753AC"/>
    <w:rsid w:val="00675430"/>
    <w:rsid w:val="006755F0"/>
    <w:rsid w:val="00675749"/>
    <w:rsid w:val="006759FE"/>
    <w:rsid w:val="00677382"/>
    <w:rsid w:val="0067772D"/>
    <w:rsid w:val="00677941"/>
    <w:rsid w:val="00677991"/>
    <w:rsid w:val="00677AD2"/>
    <w:rsid w:val="00680326"/>
    <w:rsid w:val="00680510"/>
    <w:rsid w:val="00680714"/>
    <w:rsid w:val="0068071D"/>
    <w:rsid w:val="00680C6B"/>
    <w:rsid w:val="006811F3"/>
    <w:rsid w:val="00681240"/>
    <w:rsid w:val="00683068"/>
    <w:rsid w:val="00683DAD"/>
    <w:rsid w:val="00683F81"/>
    <w:rsid w:val="00684592"/>
    <w:rsid w:val="00684963"/>
    <w:rsid w:val="00685033"/>
    <w:rsid w:val="0068517F"/>
    <w:rsid w:val="00685D65"/>
    <w:rsid w:val="00685FC8"/>
    <w:rsid w:val="00686E80"/>
    <w:rsid w:val="0068790B"/>
    <w:rsid w:val="00687AF2"/>
    <w:rsid w:val="00687E69"/>
    <w:rsid w:val="006901AC"/>
    <w:rsid w:val="00690C8D"/>
    <w:rsid w:val="00691389"/>
    <w:rsid w:val="00691890"/>
    <w:rsid w:val="00691AAD"/>
    <w:rsid w:val="00691CD1"/>
    <w:rsid w:val="00692416"/>
    <w:rsid w:val="00692789"/>
    <w:rsid w:val="00692AFF"/>
    <w:rsid w:val="00692D2D"/>
    <w:rsid w:val="00693B73"/>
    <w:rsid w:val="006945A1"/>
    <w:rsid w:val="00694A53"/>
    <w:rsid w:val="006952DE"/>
    <w:rsid w:val="00695985"/>
    <w:rsid w:val="00695C78"/>
    <w:rsid w:val="00695D5E"/>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1D07"/>
    <w:rsid w:val="006A2309"/>
    <w:rsid w:val="006A2766"/>
    <w:rsid w:val="006A39D0"/>
    <w:rsid w:val="006A3E91"/>
    <w:rsid w:val="006A430B"/>
    <w:rsid w:val="006A4321"/>
    <w:rsid w:val="006A4E20"/>
    <w:rsid w:val="006A4F11"/>
    <w:rsid w:val="006A563C"/>
    <w:rsid w:val="006A58D1"/>
    <w:rsid w:val="006A59D9"/>
    <w:rsid w:val="006A5A6F"/>
    <w:rsid w:val="006A5F7E"/>
    <w:rsid w:val="006A6786"/>
    <w:rsid w:val="006A722A"/>
    <w:rsid w:val="006A7BCC"/>
    <w:rsid w:val="006A7C29"/>
    <w:rsid w:val="006B0102"/>
    <w:rsid w:val="006B0580"/>
    <w:rsid w:val="006B0DA2"/>
    <w:rsid w:val="006B0F70"/>
    <w:rsid w:val="006B1486"/>
    <w:rsid w:val="006B169F"/>
    <w:rsid w:val="006B1BEB"/>
    <w:rsid w:val="006B1D06"/>
    <w:rsid w:val="006B2506"/>
    <w:rsid w:val="006B2823"/>
    <w:rsid w:val="006B29DC"/>
    <w:rsid w:val="006B2F60"/>
    <w:rsid w:val="006B33DB"/>
    <w:rsid w:val="006B33DD"/>
    <w:rsid w:val="006B3669"/>
    <w:rsid w:val="006B36CB"/>
    <w:rsid w:val="006B36E5"/>
    <w:rsid w:val="006B3D00"/>
    <w:rsid w:val="006B4CF8"/>
    <w:rsid w:val="006B506B"/>
    <w:rsid w:val="006B54E8"/>
    <w:rsid w:val="006B56A9"/>
    <w:rsid w:val="006B5FBC"/>
    <w:rsid w:val="006B6ED2"/>
    <w:rsid w:val="006B74FD"/>
    <w:rsid w:val="006B79A8"/>
    <w:rsid w:val="006B7F74"/>
    <w:rsid w:val="006C0230"/>
    <w:rsid w:val="006C03A3"/>
    <w:rsid w:val="006C05BE"/>
    <w:rsid w:val="006C05C7"/>
    <w:rsid w:val="006C0C70"/>
    <w:rsid w:val="006C25AB"/>
    <w:rsid w:val="006C2DA6"/>
    <w:rsid w:val="006C3581"/>
    <w:rsid w:val="006C35E7"/>
    <w:rsid w:val="006C39A0"/>
    <w:rsid w:val="006C3EFE"/>
    <w:rsid w:val="006C46C7"/>
    <w:rsid w:val="006C4767"/>
    <w:rsid w:val="006C4A1A"/>
    <w:rsid w:val="006C4D02"/>
    <w:rsid w:val="006C53A4"/>
    <w:rsid w:val="006C54DF"/>
    <w:rsid w:val="006C5CA6"/>
    <w:rsid w:val="006C5D5D"/>
    <w:rsid w:val="006C627E"/>
    <w:rsid w:val="006C6303"/>
    <w:rsid w:val="006C6A51"/>
    <w:rsid w:val="006C6EBD"/>
    <w:rsid w:val="006C7500"/>
    <w:rsid w:val="006C7E04"/>
    <w:rsid w:val="006C7F79"/>
    <w:rsid w:val="006D0004"/>
    <w:rsid w:val="006D015F"/>
    <w:rsid w:val="006D060E"/>
    <w:rsid w:val="006D0681"/>
    <w:rsid w:val="006D0A80"/>
    <w:rsid w:val="006D0AE8"/>
    <w:rsid w:val="006D135C"/>
    <w:rsid w:val="006D17B8"/>
    <w:rsid w:val="006D2F72"/>
    <w:rsid w:val="006D38E6"/>
    <w:rsid w:val="006D43C1"/>
    <w:rsid w:val="006D5442"/>
    <w:rsid w:val="006D6E4E"/>
    <w:rsid w:val="006D7A7B"/>
    <w:rsid w:val="006D7A8E"/>
    <w:rsid w:val="006D7C59"/>
    <w:rsid w:val="006E00E3"/>
    <w:rsid w:val="006E045C"/>
    <w:rsid w:val="006E0569"/>
    <w:rsid w:val="006E065E"/>
    <w:rsid w:val="006E0849"/>
    <w:rsid w:val="006E11D6"/>
    <w:rsid w:val="006E11E4"/>
    <w:rsid w:val="006E17AC"/>
    <w:rsid w:val="006E189B"/>
    <w:rsid w:val="006E2079"/>
    <w:rsid w:val="006E20D9"/>
    <w:rsid w:val="006E27DC"/>
    <w:rsid w:val="006E2902"/>
    <w:rsid w:val="006E2F9D"/>
    <w:rsid w:val="006E37C6"/>
    <w:rsid w:val="006E3CF3"/>
    <w:rsid w:val="006E41ED"/>
    <w:rsid w:val="006E4667"/>
    <w:rsid w:val="006E46B7"/>
    <w:rsid w:val="006E475A"/>
    <w:rsid w:val="006E486D"/>
    <w:rsid w:val="006E4880"/>
    <w:rsid w:val="006E48BB"/>
    <w:rsid w:val="006E6E0C"/>
    <w:rsid w:val="006E727B"/>
    <w:rsid w:val="006E76C8"/>
    <w:rsid w:val="006E7A92"/>
    <w:rsid w:val="006E7FDD"/>
    <w:rsid w:val="006F01FF"/>
    <w:rsid w:val="006F0CB2"/>
    <w:rsid w:val="006F1DA1"/>
    <w:rsid w:val="006F1DE9"/>
    <w:rsid w:val="006F2046"/>
    <w:rsid w:val="006F2F59"/>
    <w:rsid w:val="006F311E"/>
    <w:rsid w:val="006F3442"/>
    <w:rsid w:val="006F36A5"/>
    <w:rsid w:val="006F41F4"/>
    <w:rsid w:val="006F4576"/>
    <w:rsid w:val="006F5813"/>
    <w:rsid w:val="006F59A8"/>
    <w:rsid w:val="006F5A1D"/>
    <w:rsid w:val="006F71A6"/>
    <w:rsid w:val="006F7974"/>
    <w:rsid w:val="006F7C2C"/>
    <w:rsid w:val="006F7FD5"/>
    <w:rsid w:val="00700405"/>
    <w:rsid w:val="00700D18"/>
    <w:rsid w:val="00700FEA"/>
    <w:rsid w:val="0070168D"/>
    <w:rsid w:val="00701C36"/>
    <w:rsid w:val="00702F2D"/>
    <w:rsid w:val="0070353F"/>
    <w:rsid w:val="007036B3"/>
    <w:rsid w:val="00703ABE"/>
    <w:rsid w:val="0070415E"/>
    <w:rsid w:val="00704631"/>
    <w:rsid w:val="00704B79"/>
    <w:rsid w:val="00704E7D"/>
    <w:rsid w:val="00705060"/>
    <w:rsid w:val="00705351"/>
    <w:rsid w:val="007053A3"/>
    <w:rsid w:val="00705619"/>
    <w:rsid w:val="00705799"/>
    <w:rsid w:val="00705ACC"/>
    <w:rsid w:val="00705E93"/>
    <w:rsid w:val="007062AF"/>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184"/>
    <w:rsid w:val="00713A6B"/>
    <w:rsid w:val="00713CB5"/>
    <w:rsid w:val="00713DD9"/>
    <w:rsid w:val="0071499C"/>
    <w:rsid w:val="00714F9D"/>
    <w:rsid w:val="007154D8"/>
    <w:rsid w:val="00715577"/>
    <w:rsid w:val="007156D3"/>
    <w:rsid w:val="0071604D"/>
    <w:rsid w:val="007160F1"/>
    <w:rsid w:val="00716C67"/>
    <w:rsid w:val="007170AB"/>
    <w:rsid w:val="0071779C"/>
    <w:rsid w:val="00717808"/>
    <w:rsid w:val="00717E60"/>
    <w:rsid w:val="007208A7"/>
    <w:rsid w:val="00720B3D"/>
    <w:rsid w:val="00720B6A"/>
    <w:rsid w:val="007210F6"/>
    <w:rsid w:val="0072129A"/>
    <w:rsid w:val="0072139F"/>
    <w:rsid w:val="0072198A"/>
    <w:rsid w:val="00721AD9"/>
    <w:rsid w:val="00721D24"/>
    <w:rsid w:val="00721F61"/>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3EE"/>
    <w:rsid w:val="00733772"/>
    <w:rsid w:val="00733822"/>
    <w:rsid w:val="00733A43"/>
    <w:rsid w:val="00733AE4"/>
    <w:rsid w:val="00733D5F"/>
    <w:rsid w:val="00734932"/>
    <w:rsid w:val="00734AF7"/>
    <w:rsid w:val="00735D53"/>
    <w:rsid w:val="0073618A"/>
    <w:rsid w:val="007364A3"/>
    <w:rsid w:val="00736740"/>
    <w:rsid w:val="007378FD"/>
    <w:rsid w:val="007403FE"/>
    <w:rsid w:val="007413EB"/>
    <w:rsid w:val="007413FB"/>
    <w:rsid w:val="007421B8"/>
    <w:rsid w:val="00742D32"/>
    <w:rsid w:val="00742E9B"/>
    <w:rsid w:val="0074344A"/>
    <w:rsid w:val="007444E6"/>
    <w:rsid w:val="0074592C"/>
    <w:rsid w:val="00745C91"/>
    <w:rsid w:val="00746098"/>
    <w:rsid w:val="00746D58"/>
    <w:rsid w:val="00747300"/>
    <w:rsid w:val="00747578"/>
    <w:rsid w:val="00750ACA"/>
    <w:rsid w:val="00750D12"/>
    <w:rsid w:val="00751073"/>
    <w:rsid w:val="00751AF2"/>
    <w:rsid w:val="00751B1A"/>
    <w:rsid w:val="00751BD2"/>
    <w:rsid w:val="00751CE5"/>
    <w:rsid w:val="00752188"/>
    <w:rsid w:val="00752CC6"/>
    <w:rsid w:val="00753792"/>
    <w:rsid w:val="00753938"/>
    <w:rsid w:val="00753A57"/>
    <w:rsid w:val="007543CE"/>
    <w:rsid w:val="0075497E"/>
    <w:rsid w:val="00754A29"/>
    <w:rsid w:val="00755B6F"/>
    <w:rsid w:val="00755BCF"/>
    <w:rsid w:val="00756C5F"/>
    <w:rsid w:val="00756D69"/>
    <w:rsid w:val="00757029"/>
    <w:rsid w:val="00757146"/>
    <w:rsid w:val="007571FD"/>
    <w:rsid w:val="0075723D"/>
    <w:rsid w:val="007602D4"/>
    <w:rsid w:val="00760389"/>
    <w:rsid w:val="007605D0"/>
    <w:rsid w:val="00760613"/>
    <w:rsid w:val="00760A5A"/>
    <w:rsid w:val="00760D96"/>
    <w:rsid w:val="0076124A"/>
    <w:rsid w:val="0076161B"/>
    <w:rsid w:val="0076182A"/>
    <w:rsid w:val="00761950"/>
    <w:rsid w:val="00761CB5"/>
    <w:rsid w:val="0076216B"/>
    <w:rsid w:val="00762948"/>
    <w:rsid w:val="00762A81"/>
    <w:rsid w:val="00763137"/>
    <w:rsid w:val="0076357F"/>
    <w:rsid w:val="00763AED"/>
    <w:rsid w:val="00763F8B"/>
    <w:rsid w:val="007640F3"/>
    <w:rsid w:val="0076417E"/>
    <w:rsid w:val="0076497F"/>
    <w:rsid w:val="007660EC"/>
    <w:rsid w:val="007662C7"/>
    <w:rsid w:val="00766862"/>
    <w:rsid w:val="00766DD0"/>
    <w:rsid w:val="007675DD"/>
    <w:rsid w:val="007702BF"/>
    <w:rsid w:val="007705F0"/>
    <w:rsid w:val="00770884"/>
    <w:rsid w:val="00771CAC"/>
    <w:rsid w:val="00772036"/>
    <w:rsid w:val="00773098"/>
    <w:rsid w:val="007739A3"/>
    <w:rsid w:val="00773BD9"/>
    <w:rsid w:val="00773CB0"/>
    <w:rsid w:val="00773D71"/>
    <w:rsid w:val="00774336"/>
    <w:rsid w:val="00775526"/>
    <w:rsid w:val="00775651"/>
    <w:rsid w:val="00775F3F"/>
    <w:rsid w:val="0077710B"/>
    <w:rsid w:val="0077765A"/>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87639"/>
    <w:rsid w:val="0079038E"/>
    <w:rsid w:val="00790EBB"/>
    <w:rsid w:val="00791C6E"/>
    <w:rsid w:val="007921F7"/>
    <w:rsid w:val="00792909"/>
    <w:rsid w:val="00792BC6"/>
    <w:rsid w:val="00792C3F"/>
    <w:rsid w:val="00792EE2"/>
    <w:rsid w:val="00792EFD"/>
    <w:rsid w:val="00792F70"/>
    <w:rsid w:val="00793105"/>
    <w:rsid w:val="007931E8"/>
    <w:rsid w:val="00793333"/>
    <w:rsid w:val="00793D3A"/>
    <w:rsid w:val="00794158"/>
    <w:rsid w:val="00794509"/>
    <w:rsid w:val="00794E46"/>
    <w:rsid w:val="007950D9"/>
    <w:rsid w:val="007952DE"/>
    <w:rsid w:val="00795479"/>
    <w:rsid w:val="00796292"/>
    <w:rsid w:val="007965D9"/>
    <w:rsid w:val="00796BA2"/>
    <w:rsid w:val="007972D5"/>
    <w:rsid w:val="0079778D"/>
    <w:rsid w:val="00797D73"/>
    <w:rsid w:val="007A006C"/>
    <w:rsid w:val="007A0789"/>
    <w:rsid w:val="007A0A2F"/>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4AD5"/>
    <w:rsid w:val="007A54F6"/>
    <w:rsid w:val="007A5599"/>
    <w:rsid w:val="007A55FE"/>
    <w:rsid w:val="007A582C"/>
    <w:rsid w:val="007A5950"/>
    <w:rsid w:val="007A6D91"/>
    <w:rsid w:val="007A7618"/>
    <w:rsid w:val="007A7778"/>
    <w:rsid w:val="007B00C9"/>
    <w:rsid w:val="007B02C7"/>
    <w:rsid w:val="007B0306"/>
    <w:rsid w:val="007B06BE"/>
    <w:rsid w:val="007B06E3"/>
    <w:rsid w:val="007B08E4"/>
    <w:rsid w:val="007B0D86"/>
    <w:rsid w:val="007B1637"/>
    <w:rsid w:val="007B2896"/>
    <w:rsid w:val="007B28C3"/>
    <w:rsid w:val="007B3A74"/>
    <w:rsid w:val="007B3A8E"/>
    <w:rsid w:val="007B3C9B"/>
    <w:rsid w:val="007B4271"/>
    <w:rsid w:val="007B4472"/>
    <w:rsid w:val="007B497D"/>
    <w:rsid w:val="007B4EE9"/>
    <w:rsid w:val="007B5234"/>
    <w:rsid w:val="007B530C"/>
    <w:rsid w:val="007B54C7"/>
    <w:rsid w:val="007B5637"/>
    <w:rsid w:val="007B5DC5"/>
    <w:rsid w:val="007B5F32"/>
    <w:rsid w:val="007B63FC"/>
    <w:rsid w:val="007B6708"/>
    <w:rsid w:val="007B6C20"/>
    <w:rsid w:val="007B6E8D"/>
    <w:rsid w:val="007C029E"/>
    <w:rsid w:val="007C04CC"/>
    <w:rsid w:val="007C0636"/>
    <w:rsid w:val="007C10E4"/>
    <w:rsid w:val="007C17B4"/>
    <w:rsid w:val="007C20F8"/>
    <w:rsid w:val="007C21C5"/>
    <w:rsid w:val="007C2229"/>
    <w:rsid w:val="007C2313"/>
    <w:rsid w:val="007C24E0"/>
    <w:rsid w:val="007C2D47"/>
    <w:rsid w:val="007C3162"/>
    <w:rsid w:val="007C3590"/>
    <w:rsid w:val="007C387A"/>
    <w:rsid w:val="007C3A0D"/>
    <w:rsid w:val="007C3EB0"/>
    <w:rsid w:val="007C43D6"/>
    <w:rsid w:val="007C47FF"/>
    <w:rsid w:val="007C5B15"/>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D6A"/>
    <w:rsid w:val="007D2E50"/>
    <w:rsid w:val="007D3D74"/>
    <w:rsid w:val="007D445F"/>
    <w:rsid w:val="007D4DED"/>
    <w:rsid w:val="007D5BA2"/>
    <w:rsid w:val="007D5C40"/>
    <w:rsid w:val="007D5ED3"/>
    <w:rsid w:val="007D665C"/>
    <w:rsid w:val="007D682F"/>
    <w:rsid w:val="007D6FB9"/>
    <w:rsid w:val="007D7211"/>
    <w:rsid w:val="007E0595"/>
    <w:rsid w:val="007E0654"/>
    <w:rsid w:val="007E08C8"/>
    <w:rsid w:val="007E0A63"/>
    <w:rsid w:val="007E0C63"/>
    <w:rsid w:val="007E0E05"/>
    <w:rsid w:val="007E0F5D"/>
    <w:rsid w:val="007E1901"/>
    <w:rsid w:val="007E23A1"/>
    <w:rsid w:val="007E259F"/>
    <w:rsid w:val="007E2C4F"/>
    <w:rsid w:val="007E347E"/>
    <w:rsid w:val="007E3B14"/>
    <w:rsid w:val="007E41A4"/>
    <w:rsid w:val="007E43E3"/>
    <w:rsid w:val="007E469A"/>
    <w:rsid w:val="007E54B8"/>
    <w:rsid w:val="007E569C"/>
    <w:rsid w:val="007E5D12"/>
    <w:rsid w:val="007E6420"/>
    <w:rsid w:val="007E677F"/>
    <w:rsid w:val="007E6B25"/>
    <w:rsid w:val="007E6E06"/>
    <w:rsid w:val="007E6F4A"/>
    <w:rsid w:val="007E79CC"/>
    <w:rsid w:val="007F1124"/>
    <w:rsid w:val="007F152D"/>
    <w:rsid w:val="007F20C4"/>
    <w:rsid w:val="007F20EE"/>
    <w:rsid w:val="007F23D8"/>
    <w:rsid w:val="007F307A"/>
    <w:rsid w:val="007F30C6"/>
    <w:rsid w:val="007F38FD"/>
    <w:rsid w:val="007F3C18"/>
    <w:rsid w:val="007F4318"/>
    <w:rsid w:val="007F4709"/>
    <w:rsid w:val="007F47DA"/>
    <w:rsid w:val="007F4E52"/>
    <w:rsid w:val="007F4F84"/>
    <w:rsid w:val="007F4F92"/>
    <w:rsid w:val="007F5072"/>
    <w:rsid w:val="007F5382"/>
    <w:rsid w:val="007F55A4"/>
    <w:rsid w:val="007F5D28"/>
    <w:rsid w:val="007F6260"/>
    <w:rsid w:val="007F682B"/>
    <w:rsid w:val="007F78E8"/>
    <w:rsid w:val="007F79FA"/>
    <w:rsid w:val="007F7F8F"/>
    <w:rsid w:val="00800509"/>
    <w:rsid w:val="0080078E"/>
    <w:rsid w:val="00800B7F"/>
    <w:rsid w:val="008012B1"/>
    <w:rsid w:val="008019E5"/>
    <w:rsid w:val="00801D63"/>
    <w:rsid w:val="0080348B"/>
    <w:rsid w:val="00803D82"/>
    <w:rsid w:val="00803D98"/>
    <w:rsid w:val="008043FC"/>
    <w:rsid w:val="008052CE"/>
    <w:rsid w:val="0080548A"/>
    <w:rsid w:val="008058D0"/>
    <w:rsid w:val="00806A4C"/>
    <w:rsid w:val="0080705B"/>
    <w:rsid w:val="0080712F"/>
    <w:rsid w:val="0080723C"/>
    <w:rsid w:val="00807748"/>
    <w:rsid w:val="00807F71"/>
    <w:rsid w:val="00807FFB"/>
    <w:rsid w:val="0081000F"/>
    <w:rsid w:val="00810FE5"/>
    <w:rsid w:val="00811E76"/>
    <w:rsid w:val="00812657"/>
    <w:rsid w:val="00812A1A"/>
    <w:rsid w:val="00812DFF"/>
    <w:rsid w:val="008135BD"/>
    <w:rsid w:val="0081362F"/>
    <w:rsid w:val="0081383A"/>
    <w:rsid w:val="0081497F"/>
    <w:rsid w:val="00814B90"/>
    <w:rsid w:val="00814FC7"/>
    <w:rsid w:val="008154A7"/>
    <w:rsid w:val="008162DC"/>
    <w:rsid w:val="0081660C"/>
    <w:rsid w:val="00816A0D"/>
    <w:rsid w:val="00816AD8"/>
    <w:rsid w:val="00816EA0"/>
    <w:rsid w:val="00817195"/>
    <w:rsid w:val="00817416"/>
    <w:rsid w:val="00817658"/>
    <w:rsid w:val="00817FB9"/>
    <w:rsid w:val="008206AE"/>
    <w:rsid w:val="00821271"/>
    <w:rsid w:val="00821306"/>
    <w:rsid w:val="008213D9"/>
    <w:rsid w:val="008216CE"/>
    <w:rsid w:val="008218AE"/>
    <w:rsid w:val="00821D85"/>
    <w:rsid w:val="00821E47"/>
    <w:rsid w:val="008220F6"/>
    <w:rsid w:val="00822456"/>
    <w:rsid w:val="00823819"/>
    <w:rsid w:val="00823C4B"/>
    <w:rsid w:val="00824140"/>
    <w:rsid w:val="0082427D"/>
    <w:rsid w:val="00825441"/>
    <w:rsid w:val="00826855"/>
    <w:rsid w:val="00830052"/>
    <w:rsid w:val="008300D0"/>
    <w:rsid w:val="008308D8"/>
    <w:rsid w:val="00830F8C"/>
    <w:rsid w:val="008313E8"/>
    <w:rsid w:val="008320D2"/>
    <w:rsid w:val="008321CE"/>
    <w:rsid w:val="0083257C"/>
    <w:rsid w:val="0083261B"/>
    <w:rsid w:val="00832B44"/>
    <w:rsid w:val="00832EC9"/>
    <w:rsid w:val="00833307"/>
    <w:rsid w:val="00833583"/>
    <w:rsid w:val="00833B5B"/>
    <w:rsid w:val="00833E9A"/>
    <w:rsid w:val="0083454E"/>
    <w:rsid w:val="00834FEF"/>
    <w:rsid w:val="008355F6"/>
    <w:rsid w:val="00836323"/>
    <w:rsid w:val="00837133"/>
    <w:rsid w:val="008379FF"/>
    <w:rsid w:val="00837D3D"/>
    <w:rsid w:val="00837E9B"/>
    <w:rsid w:val="008404AA"/>
    <w:rsid w:val="008406D7"/>
    <w:rsid w:val="0084074F"/>
    <w:rsid w:val="008407BA"/>
    <w:rsid w:val="00840AA3"/>
    <w:rsid w:val="00840AAC"/>
    <w:rsid w:val="0084101C"/>
    <w:rsid w:val="0084181B"/>
    <w:rsid w:val="00841F29"/>
    <w:rsid w:val="008425CC"/>
    <w:rsid w:val="00842DC2"/>
    <w:rsid w:val="0084357B"/>
    <w:rsid w:val="00845869"/>
    <w:rsid w:val="00845B14"/>
    <w:rsid w:val="00845F4B"/>
    <w:rsid w:val="008465B4"/>
    <w:rsid w:val="00846ACC"/>
    <w:rsid w:val="00846D25"/>
    <w:rsid w:val="00847B75"/>
    <w:rsid w:val="00850013"/>
    <w:rsid w:val="008500DD"/>
    <w:rsid w:val="00850884"/>
    <w:rsid w:val="00850A0A"/>
    <w:rsid w:val="00850A94"/>
    <w:rsid w:val="0085114F"/>
    <w:rsid w:val="00851E96"/>
    <w:rsid w:val="00851F1C"/>
    <w:rsid w:val="00852FA5"/>
    <w:rsid w:val="00853F7D"/>
    <w:rsid w:val="0085517F"/>
    <w:rsid w:val="0085562D"/>
    <w:rsid w:val="00855A78"/>
    <w:rsid w:val="00855E8C"/>
    <w:rsid w:val="00856154"/>
    <w:rsid w:val="00856286"/>
    <w:rsid w:val="0085657E"/>
    <w:rsid w:val="00856F0E"/>
    <w:rsid w:val="008573AF"/>
    <w:rsid w:val="008576B0"/>
    <w:rsid w:val="00860296"/>
    <w:rsid w:val="008602E3"/>
    <w:rsid w:val="00860DA4"/>
    <w:rsid w:val="00861146"/>
    <w:rsid w:val="00861948"/>
    <w:rsid w:val="00861CEE"/>
    <w:rsid w:val="00862011"/>
    <w:rsid w:val="00862A15"/>
    <w:rsid w:val="00862CC9"/>
    <w:rsid w:val="00862D8E"/>
    <w:rsid w:val="00862EF2"/>
    <w:rsid w:val="0086598A"/>
    <w:rsid w:val="00865C3D"/>
    <w:rsid w:val="00865F4C"/>
    <w:rsid w:val="00866453"/>
    <w:rsid w:val="00866BBB"/>
    <w:rsid w:val="0086707F"/>
    <w:rsid w:val="00867501"/>
    <w:rsid w:val="00867D8E"/>
    <w:rsid w:val="008700C0"/>
    <w:rsid w:val="0087058B"/>
    <w:rsid w:val="0087099A"/>
    <w:rsid w:val="00870ACE"/>
    <w:rsid w:val="00870D79"/>
    <w:rsid w:val="00871333"/>
    <w:rsid w:val="00871952"/>
    <w:rsid w:val="00872006"/>
    <w:rsid w:val="00872386"/>
    <w:rsid w:val="008726D7"/>
    <w:rsid w:val="00873128"/>
    <w:rsid w:val="008735BC"/>
    <w:rsid w:val="00873AAC"/>
    <w:rsid w:val="00873C61"/>
    <w:rsid w:val="00873DFD"/>
    <w:rsid w:val="008748C0"/>
    <w:rsid w:val="008749BF"/>
    <w:rsid w:val="00875542"/>
    <w:rsid w:val="00875E14"/>
    <w:rsid w:val="0087677E"/>
    <w:rsid w:val="0087712C"/>
    <w:rsid w:val="008776E7"/>
    <w:rsid w:val="00877746"/>
    <w:rsid w:val="00877C5D"/>
    <w:rsid w:val="0088019D"/>
    <w:rsid w:val="00880354"/>
    <w:rsid w:val="0088093C"/>
    <w:rsid w:val="00880BC0"/>
    <w:rsid w:val="0088127A"/>
    <w:rsid w:val="00881D59"/>
    <w:rsid w:val="008826D7"/>
    <w:rsid w:val="00882991"/>
    <w:rsid w:val="00882DB6"/>
    <w:rsid w:val="00882EC1"/>
    <w:rsid w:val="00883236"/>
    <w:rsid w:val="0088324E"/>
    <w:rsid w:val="00883BBB"/>
    <w:rsid w:val="0088434F"/>
    <w:rsid w:val="00884371"/>
    <w:rsid w:val="008848E2"/>
    <w:rsid w:val="00884B7A"/>
    <w:rsid w:val="00884D47"/>
    <w:rsid w:val="00885604"/>
    <w:rsid w:val="008856C5"/>
    <w:rsid w:val="00886112"/>
    <w:rsid w:val="008869D4"/>
    <w:rsid w:val="00886EAC"/>
    <w:rsid w:val="008872B3"/>
    <w:rsid w:val="00887392"/>
    <w:rsid w:val="00890A64"/>
    <w:rsid w:val="00890C3E"/>
    <w:rsid w:val="00890C40"/>
    <w:rsid w:val="0089122E"/>
    <w:rsid w:val="008912A7"/>
    <w:rsid w:val="0089183A"/>
    <w:rsid w:val="008920B4"/>
    <w:rsid w:val="008925EB"/>
    <w:rsid w:val="0089275E"/>
    <w:rsid w:val="00892B43"/>
    <w:rsid w:val="00892D9C"/>
    <w:rsid w:val="00893432"/>
    <w:rsid w:val="00893936"/>
    <w:rsid w:val="00893CE2"/>
    <w:rsid w:val="00893F41"/>
    <w:rsid w:val="00895144"/>
    <w:rsid w:val="00895963"/>
    <w:rsid w:val="008969EE"/>
    <w:rsid w:val="008972B6"/>
    <w:rsid w:val="0089731C"/>
    <w:rsid w:val="00897339"/>
    <w:rsid w:val="00897697"/>
    <w:rsid w:val="008977E1"/>
    <w:rsid w:val="00897BFA"/>
    <w:rsid w:val="00897D19"/>
    <w:rsid w:val="008A0044"/>
    <w:rsid w:val="008A0156"/>
    <w:rsid w:val="008A0BFE"/>
    <w:rsid w:val="008A1932"/>
    <w:rsid w:val="008A21D9"/>
    <w:rsid w:val="008A232D"/>
    <w:rsid w:val="008A3182"/>
    <w:rsid w:val="008A3C76"/>
    <w:rsid w:val="008A3D54"/>
    <w:rsid w:val="008A3E10"/>
    <w:rsid w:val="008A411C"/>
    <w:rsid w:val="008A4630"/>
    <w:rsid w:val="008A47CE"/>
    <w:rsid w:val="008A4DFA"/>
    <w:rsid w:val="008A5D73"/>
    <w:rsid w:val="008A5F2F"/>
    <w:rsid w:val="008A6BAE"/>
    <w:rsid w:val="008A719F"/>
    <w:rsid w:val="008A7350"/>
    <w:rsid w:val="008A7A72"/>
    <w:rsid w:val="008B09F3"/>
    <w:rsid w:val="008B0ECF"/>
    <w:rsid w:val="008B111A"/>
    <w:rsid w:val="008B16E6"/>
    <w:rsid w:val="008B1AB2"/>
    <w:rsid w:val="008B1D9B"/>
    <w:rsid w:val="008B2042"/>
    <w:rsid w:val="008B20FF"/>
    <w:rsid w:val="008B2569"/>
    <w:rsid w:val="008B25F1"/>
    <w:rsid w:val="008B3351"/>
    <w:rsid w:val="008B3567"/>
    <w:rsid w:val="008B36D0"/>
    <w:rsid w:val="008B38AF"/>
    <w:rsid w:val="008B3D7F"/>
    <w:rsid w:val="008B3E1B"/>
    <w:rsid w:val="008B3F4B"/>
    <w:rsid w:val="008B4353"/>
    <w:rsid w:val="008B48EC"/>
    <w:rsid w:val="008B4AF0"/>
    <w:rsid w:val="008B518E"/>
    <w:rsid w:val="008B527B"/>
    <w:rsid w:val="008B5AB9"/>
    <w:rsid w:val="008B67E6"/>
    <w:rsid w:val="008B69B8"/>
    <w:rsid w:val="008B6F12"/>
    <w:rsid w:val="008B7042"/>
    <w:rsid w:val="008B770C"/>
    <w:rsid w:val="008C0325"/>
    <w:rsid w:val="008C094A"/>
    <w:rsid w:val="008C1570"/>
    <w:rsid w:val="008C1792"/>
    <w:rsid w:val="008C17B2"/>
    <w:rsid w:val="008C1AD3"/>
    <w:rsid w:val="008C1E3E"/>
    <w:rsid w:val="008C2059"/>
    <w:rsid w:val="008C21D0"/>
    <w:rsid w:val="008C2DBC"/>
    <w:rsid w:val="008C3A4E"/>
    <w:rsid w:val="008C422F"/>
    <w:rsid w:val="008C48FF"/>
    <w:rsid w:val="008C5371"/>
    <w:rsid w:val="008C6031"/>
    <w:rsid w:val="008C623D"/>
    <w:rsid w:val="008C65F4"/>
    <w:rsid w:val="008C6683"/>
    <w:rsid w:val="008C6A10"/>
    <w:rsid w:val="008C6E0C"/>
    <w:rsid w:val="008C7273"/>
    <w:rsid w:val="008C78F8"/>
    <w:rsid w:val="008D05DF"/>
    <w:rsid w:val="008D09E8"/>
    <w:rsid w:val="008D0E65"/>
    <w:rsid w:val="008D10C6"/>
    <w:rsid w:val="008D110A"/>
    <w:rsid w:val="008D1612"/>
    <w:rsid w:val="008D19CF"/>
    <w:rsid w:val="008D20CE"/>
    <w:rsid w:val="008D2259"/>
    <w:rsid w:val="008D2531"/>
    <w:rsid w:val="008D25BB"/>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7247"/>
    <w:rsid w:val="008D7567"/>
    <w:rsid w:val="008E0EE4"/>
    <w:rsid w:val="008E109B"/>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395"/>
    <w:rsid w:val="008E6A39"/>
    <w:rsid w:val="008E76BB"/>
    <w:rsid w:val="008E7BC7"/>
    <w:rsid w:val="008F12A6"/>
    <w:rsid w:val="008F1764"/>
    <w:rsid w:val="008F1E3D"/>
    <w:rsid w:val="008F235C"/>
    <w:rsid w:val="008F2860"/>
    <w:rsid w:val="008F290B"/>
    <w:rsid w:val="008F2F11"/>
    <w:rsid w:val="008F3369"/>
    <w:rsid w:val="008F33A6"/>
    <w:rsid w:val="008F35EC"/>
    <w:rsid w:val="008F4FE8"/>
    <w:rsid w:val="008F4FED"/>
    <w:rsid w:val="008F5189"/>
    <w:rsid w:val="008F5D5A"/>
    <w:rsid w:val="008F6200"/>
    <w:rsid w:val="008F62F8"/>
    <w:rsid w:val="008F6893"/>
    <w:rsid w:val="008F6B9D"/>
    <w:rsid w:val="008F7292"/>
    <w:rsid w:val="008F76C0"/>
    <w:rsid w:val="009000F2"/>
    <w:rsid w:val="0090079D"/>
    <w:rsid w:val="0090086A"/>
    <w:rsid w:val="00900D2C"/>
    <w:rsid w:val="00901807"/>
    <w:rsid w:val="00901F0E"/>
    <w:rsid w:val="00902A26"/>
    <w:rsid w:val="00902A57"/>
    <w:rsid w:val="00902B29"/>
    <w:rsid w:val="00903C83"/>
    <w:rsid w:val="00903D77"/>
    <w:rsid w:val="00903FA1"/>
    <w:rsid w:val="0090408F"/>
    <w:rsid w:val="0090446A"/>
    <w:rsid w:val="00904537"/>
    <w:rsid w:val="00904DC3"/>
    <w:rsid w:val="0090534A"/>
    <w:rsid w:val="00905469"/>
    <w:rsid w:val="009054F4"/>
    <w:rsid w:val="00906078"/>
    <w:rsid w:val="0090629C"/>
    <w:rsid w:val="00906DCE"/>
    <w:rsid w:val="00906EA2"/>
    <w:rsid w:val="00907278"/>
    <w:rsid w:val="00907E91"/>
    <w:rsid w:val="00910041"/>
    <w:rsid w:val="00910C26"/>
    <w:rsid w:val="0091112B"/>
    <w:rsid w:val="00911D61"/>
    <w:rsid w:val="00912850"/>
    <w:rsid w:val="009128B8"/>
    <w:rsid w:val="00913AFB"/>
    <w:rsid w:val="0091472C"/>
    <w:rsid w:val="00914DC9"/>
    <w:rsid w:val="00914F4F"/>
    <w:rsid w:val="00915351"/>
    <w:rsid w:val="00915679"/>
    <w:rsid w:val="009159C2"/>
    <w:rsid w:val="00915D01"/>
    <w:rsid w:val="0091627F"/>
    <w:rsid w:val="00916E45"/>
    <w:rsid w:val="0092077A"/>
    <w:rsid w:val="00920DC0"/>
    <w:rsid w:val="009219F3"/>
    <w:rsid w:val="009221CB"/>
    <w:rsid w:val="00922320"/>
    <w:rsid w:val="00922E57"/>
    <w:rsid w:val="00923643"/>
    <w:rsid w:val="00923A75"/>
    <w:rsid w:val="00923E1A"/>
    <w:rsid w:val="0092405E"/>
    <w:rsid w:val="009245CC"/>
    <w:rsid w:val="0092490A"/>
    <w:rsid w:val="00925A3E"/>
    <w:rsid w:val="009261DB"/>
    <w:rsid w:val="00926939"/>
    <w:rsid w:val="00926F4C"/>
    <w:rsid w:val="00927330"/>
    <w:rsid w:val="00927710"/>
    <w:rsid w:val="009307CA"/>
    <w:rsid w:val="009312F9"/>
    <w:rsid w:val="00931445"/>
    <w:rsid w:val="00931AB8"/>
    <w:rsid w:val="00931C19"/>
    <w:rsid w:val="00931C63"/>
    <w:rsid w:val="00931D10"/>
    <w:rsid w:val="0093218A"/>
    <w:rsid w:val="0093386D"/>
    <w:rsid w:val="00934C8E"/>
    <w:rsid w:val="00935109"/>
    <w:rsid w:val="00935194"/>
    <w:rsid w:val="00936EA5"/>
    <w:rsid w:val="00937079"/>
    <w:rsid w:val="00937114"/>
    <w:rsid w:val="00937E71"/>
    <w:rsid w:val="0094015D"/>
    <w:rsid w:val="00940916"/>
    <w:rsid w:val="009412B7"/>
    <w:rsid w:val="00941B13"/>
    <w:rsid w:val="0094215C"/>
    <w:rsid w:val="00942F8E"/>
    <w:rsid w:val="00943543"/>
    <w:rsid w:val="0094364F"/>
    <w:rsid w:val="009437AE"/>
    <w:rsid w:val="009441DB"/>
    <w:rsid w:val="0094435E"/>
    <w:rsid w:val="00944834"/>
    <w:rsid w:val="00946128"/>
    <w:rsid w:val="0094633F"/>
    <w:rsid w:val="00947BA5"/>
    <w:rsid w:val="00950805"/>
    <w:rsid w:val="009517E4"/>
    <w:rsid w:val="009518D4"/>
    <w:rsid w:val="009520BC"/>
    <w:rsid w:val="009521D2"/>
    <w:rsid w:val="0095224C"/>
    <w:rsid w:val="00952403"/>
    <w:rsid w:val="00952589"/>
    <w:rsid w:val="00952BD8"/>
    <w:rsid w:val="00953573"/>
    <w:rsid w:val="009537C0"/>
    <w:rsid w:val="00954B06"/>
    <w:rsid w:val="009557A9"/>
    <w:rsid w:val="00956647"/>
    <w:rsid w:val="00956CF3"/>
    <w:rsid w:val="00957380"/>
    <w:rsid w:val="00957409"/>
    <w:rsid w:val="00957499"/>
    <w:rsid w:val="00957ED2"/>
    <w:rsid w:val="009604AE"/>
    <w:rsid w:val="00960863"/>
    <w:rsid w:val="009609AF"/>
    <w:rsid w:val="00960DE4"/>
    <w:rsid w:val="009610C7"/>
    <w:rsid w:val="00961164"/>
    <w:rsid w:val="009612A4"/>
    <w:rsid w:val="00961867"/>
    <w:rsid w:val="00961A4F"/>
    <w:rsid w:val="00961DC5"/>
    <w:rsid w:val="009625B7"/>
    <w:rsid w:val="00962FB8"/>
    <w:rsid w:val="00963183"/>
    <w:rsid w:val="0096361C"/>
    <w:rsid w:val="0096373F"/>
    <w:rsid w:val="00964007"/>
    <w:rsid w:val="00964283"/>
    <w:rsid w:val="009642A4"/>
    <w:rsid w:val="009643F4"/>
    <w:rsid w:val="009645A6"/>
    <w:rsid w:val="00964DD4"/>
    <w:rsid w:val="00964F5A"/>
    <w:rsid w:val="0096527F"/>
    <w:rsid w:val="009653ED"/>
    <w:rsid w:val="009654BB"/>
    <w:rsid w:val="00965B85"/>
    <w:rsid w:val="00966216"/>
    <w:rsid w:val="00966A21"/>
    <w:rsid w:val="00966AD2"/>
    <w:rsid w:val="009700E6"/>
    <w:rsid w:val="0097025C"/>
    <w:rsid w:val="0097082E"/>
    <w:rsid w:val="00970C77"/>
    <w:rsid w:val="00971415"/>
    <w:rsid w:val="009716D8"/>
    <w:rsid w:val="00971F54"/>
    <w:rsid w:val="00972057"/>
    <w:rsid w:val="00972224"/>
    <w:rsid w:val="0097227B"/>
    <w:rsid w:val="0097262E"/>
    <w:rsid w:val="0097293F"/>
    <w:rsid w:val="00973103"/>
    <w:rsid w:val="009732EB"/>
    <w:rsid w:val="00974022"/>
    <w:rsid w:val="009743E8"/>
    <w:rsid w:val="009745D8"/>
    <w:rsid w:val="00974F3B"/>
    <w:rsid w:val="0097552A"/>
    <w:rsid w:val="0097564A"/>
    <w:rsid w:val="00975707"/>
    <w:rsid w:val="00975974"/>
    <w:rsid w:val="00975D06"/>
    <w:rsid w:val="00975D63"/>
    <w:rsid w:val="00975DAE"/>
    <w:rsid w:val="00976BBE"/>
    <w:rsid w:val="00977349"/>
    <w:rsid w:val="009775E3"/>
    <w:rsid w:val="00977A7B"/>
    <w:rsid w:val="00977D18"/>
    <w:rsid w:val="0098055B"/>
    <w:rsid w:val="00980B30"/>
    <w:rsid w:val="009810BE"/>
    <w:rsid w:val="009817BC"/>
    <w:rsid w:val="009819A7"/>
    <w:rsid w:val="0098220A"/>
    <w:rsid w:val="00982E75"/>
    <w:rsid w:val="00982F7D"/>
    <w:rsid w:val="00983337"/>
    <w:rsid w:val="009836AA"/>
    <w:rsid w:val="009846BF"/>
    <w:rsid w:val="00984EE9"/>
    <w:rsid w:val="009851F5"/>
    <w:rsid w:val="0098534B"/>
    <w:rsid w:val="00986019"/>
    <w:rsid w:val="00986281"/>
    <w:rsid w:val="00986B7B"/>
    <w:rsid w:val="00986FC9"/>
    <w:rsid w:val="00987322"/>
    <w:rsid w:val="0098764E"/>
    <w:rsid w:val="00987683"/>
    <w:rsid w:val="00987826"/>
    <w:rsid w:val="00987B4F"/>
    <w:rsid w:val="00987D58"/>
    <w:rsid w:val="0099034B"/>
    <w:rsid w:val="009906D4"/>
    <w:rsid w:val="00990A8E"/>
    <w:rsid w:val="00990EB7"/>
    <w:rsid w:val="00990F5F"/>
    <w:rsid w:val="009911A7"/>
    <w:rsid w:val="009913B8"/>
    <w:rsid w:val="009914E4"/>
    <w:rsid w:val="00991E0C"/>
    <w:rsid w:val="00992141"/>
    <w:rsid w:val="009921DB"/>
    <w:rsid w:val="00992C67"/>
    <w:rsid w:val="00992D5B"/>
    <w:rsid w:val="00992F7F"/>
    <w:rsid w:val="00993135"/>
    <w:rsid w:val="0099321A"/>
    <w:rsid w:val="00993AC7"/>
    <w:rsid w:val="00993BAD"/>
    <w:rsid w:val="00993E49"/>
    <w:rsid w:val="00994120"/>
    <w:rsid w:val="009942F5"/>
    <w:rsid w:val="00994568"/>
    <w:rsid w:val="00994602"/>
    <w:rsid w:val="00995B01"/>
    <w:rsid w:val="00996055"/>
    <w:rsid w:val="009967B2"/>
    <w:rsid w:val="00996EF4"/>
    <w:rsid w:val="00997044"/>
    <w:rsid w:val="00997BC9"/>
    <w:rsid w:val="009A113D"/>
    <w:rsid w:val="009A1ECA"/>
    <w:rsid w:val="009A2BE9"/>
    <w:rsid w:val="009A2BF3"/>
    <w:rsid w:val="009A3688"/>
    <w:rsid w:val="009A3713"/>
    <w:rsid w:val="009A3C3E"/>
    <w:rsid w:val="009A4153"/>
    <w:rsid w:val="009A4C2C"/>
    <w:rsid w:val="009A59B3"/>
    <w:rsid w:val="009A5FAE"/>
    <w:rsid w:val="009A6B3A"/>
    <w:rsid w:val="009A7081"/>
    <w:rsid w:val="009A70A3"/>
    <w:rsid w:val="009A73C5"/>
    <w:rsid w:val="009A7E7C"/>
    <w:rsid w:val="009A7EFA"/>
    <w:rsid w:val="009B05D2"/>
    <w:rsid w:val="009B152B"/>
    <w:rsid w:val="009B2731"/>
    <w:rsid w:val="009B2DCF"/>
    <w:rsid w:val="009B384C"/>
    <w:rsid w:val="009B39D8"/>
    <w:rsid w:val="009B3D38"/>
    <w:rsid w:val="009B4368"/>
    <w:rsid w:val="009B4D4C"/>
    <w:rsid w:val="009B66F5"/>
    <w:rsid w:val="009B7505"/>
    <w:rsid w:val="009B7F67"/>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C789B"/>
    <w:rsid w:val="009D03B7"/>
    <w:rsid w:val="009D07AD"/>
    <w:rsid w:val="009D0824"/>
    <w:rsid w:val="009D1172"/>
    <w:rsid w:val="009D13CC"/>
    <w:rsid w:val="009D1654"/>
    <w:rsid w:val="009D1AAC"/>
    <w:rsid w:val="009D1BDB"/>
    <w:rsid w:val="009D298F"/>
    <w:rsid w:val="009D2F9C"/>
    <w:rsid w:val="009D4207"/>
    <w:rsid w:val="009D4225"/>
    <w:rsid w:val="009D4461"/>
    <w:rsid w:val="009D4E4A"/>
    <w:rsid w:val="009D5130"/>
    <w:rsid w:val="009D53D1"/>
    <w:rsid w:val="009D53FB"/>
    <w:rsid w:val="009D56A4"/>
    <w:rsid w:val="009D6081"/>
    <w:rsid w:val="009D6446"/>
    <w:rsid w:val="009D678C"/>
    <w:rsid w:val="009D6B9A"/>
    <w:rsid w:val="009D6D30"/>
    <w:rsid w:val="009D7523"/>
    <w:rsid w:val="009D76B5"/>
    <w:rsid w:val="009D7AF1"/>
    <w:rsid w:val="009D7BC7"/>
    <w:rsid w:val="009D7FAC"/>
    <w:rsid w:val="009E0109"/>
    <w:rsid w:val="009E0342"/>
    <w:rsid w:val="009E098B"/>
    <w:rsid w:val="009E09AB"/>
    <w:rsid w:val="009E0D2F"/>
    <w:rsid w:val="009E0D7D"/>
    <w:rsid w:val="009E0DAF"/>
    <w:rsid w:val="009E19BB"/>
    <w:rsid w:val="009E1C47"/>
    <w:rsid w:val="009E38D1"/>
    <w:rsid w:val="009E3DF1"/>
    <w:rsid w:val="009E40FF"/>
    <w:rsid w:val="009E47DD"/>
    <w:rsid w:val="009E48DE"/>
    <w:rsid w:val="009E514A"/>
    <w:rsid w:val="009E5177"/>
    <w:rsid w:val="009E5701"/>
    <w:rsid w:val="009E5711"/>
    <w:rsid w:val="009E758E"/>
    <w:rsid w:val="009E7737"/>
    <w:rsid w:val="009E7BC5"/>
    <w:rsid w:val="009E7BFB"/>
    <w:rsid w:val="009E7D6B"/>
    <w:rsid w:val="009E7E81"/>
    <w:rsid w:val="009F020A"/>
    <w:rsid w:val="009F02B9"/>
    <w:rsid w:val="009F05AD"/>
    <w:rsid w:val="009F0659"/>
    <w:rsid w:val="009F1109"/>
    <w:rsid w:val="009F143E"/>
    <w:rsid w:val="009F1DE8"/>
    <w:rsid w:val="009F2186"/>
    <w:rsid w:val="009F227C"/>
    <w:rsid w:val="009F28DC"/>
    <w:rsid w:val="009F2E2B"/>
    <w:rsid w:val="009F2EDB"/>
    <w:rsid w:val="009F33DC"/>
    <w:rsid w:val="009F3572"/>
    <w:rsid w:val="009F3B27"/>
    <w:rsid w:val="009F4550"/>
    <w:rsid w:val="009F56C0"/>
    <w:rsid w:val="009F5C76"/>
    <w:rsid w:val="009F5C92"/>
    <w:rsid w:val="009F70F1"/>
    <w:rsid w:val="00A000C5"/>
    <w:rsid w:val="00A00213"/>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270"/>
    <w:rsid w:val="00A044AA"/>
    <w:rsid w:val="00A04763"/>
    <w:rsid w:val="00A0700C"/>
    <w:rsid w:val="00A102F8"/>
    <w:rsid w:val="00A10A20"/>
    <w:rsid w:val="00A117D5"/>
    <w:rsid w:val="00A11C11"/>
    <w:rsid w:val="00A12280"/>
    <w:rsid w:val="00A12720"/>
    <w:rsid w:val="00A12ED1"/>
    <w:rsid w:val="00A130DC"/>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1770E"/>
    <w:rsid w:val="00A21773"/>
    <w:rsid w:val="00A21838"/>
    <w:rsid w:val="00A22C3E"/>
    <w:rsid w:val="00A22C4D"/>
    <w:rsid w:val="00A23343"/>
    <w:rsid w:val="00A2334E"/>
    <w:rsid w:val="00A23442"/>
    <w:rsid w:val="00A239AD"/>
    <w:rsid w:val="00A249D2"/>
    <w:rsid w:val="00A254AB"/>
    <w:rsid w:val="00A259F2"/>
    <w:rsid w:val="00A266CC"/>
    <w:rsid w:val="00A26DB4"/>
    <w:rsid w:val="00A27425"/>
    <w:rsid w:val="00A27F0F"/>
    <w:rsid w:val="00A3023E"/>
    <w:rsid w:val="00A305C5"/>
    <w:rsid w:val="00A30919"/>
    <w:rsid w:val="00A31F05"/>
    <w:rsid w:val="00A31FD2"/>
    <w:rsid w:val="00A33723"/>
    <w:rsid w:val="00A33924"/>
    <w:rsid w:val="00A33CF5"/>
    <w:rsid w:val="00A3404D"/>
    <w:rsid w:val="00A341AB"/>
    <w:rsid w:val="00A34290"/>
    <w:rsid w:val="00A355F9"/>
    <w:rsid w:val="00A357D3"/>
    <w:rsid w:val="00A35AA9"/>
    <w:rsid w:val="00A35F3C"/>
    <w:rsid w:val="00A36CF6"/>
    <w:rsid w:val="00A37309"/>
    <w:rsid w:val="00A37329"/>
    <w:rsid w:val="00A37558"/>
    <w:rsid w:val="00A3786A"/>
    <w:rsid w:val="00A37D5A"/>
    <w:rsid w:val="00A4008C"/>
    <w:rsid w:val="00A402A8"/>
    <w:rsid w:val="00A40685"/>
    <w:rsid w:val="00A40E2F"/>
    <w:rsid w:val="00A41819"/>
    <w:rsid w:val="00A41C9A"/>
    <w:rsid w:val="00A41D73"/>
    <w:rsid w:val="00A42406"/>
    <w:rsid w:val="00A433E8"/>
    <w:rsid w:val="00A43A1D"/>
    <w:rsid w:val="00A43AB0"/>
    <w:rsid w:val="00A44854"/>
    <w:rsid w:val="00A44A45"/>
    <w:rsid w:val="00A4651F"/>
    <w:rsid w:val="00A4665D"/>
    <w:rsid w:val="00A46859"/>
    <w:rsid w:val="00A46D39"/>
    <w:rsid w:val="00A47019"/>
    <w:rsid w:val="00A47247"/>
    <w:rsid w:val="00A472B8"/>
    <w:rsid w:val="00A47E11"/>
    <w:rsid w:val="00A47F4D"/>
    <w:rsid w:val="00A5004A"/>
    <w:rsid w:val="00A5013E"/>
    <w:rsid w:val="00A50149"/>
    <w:rsid w:val="00A5017C"/>
    <w:rsid w:val="00A502D6"/>
    <w:rsid w:val="00A502F5"/>
    <w:rsid w:val="00A504F4"/>
    <w:rsid w:val="00A507C4"/>
    <w:rsid w:val="00A508AA"/>
    <w:rsid w:val="00A50EE7"/>
    <w:rsid w:val="00A51A6F"/>
    <w:rsid w:val="00A526CE"/>
    <w:rsid w:val="00A52CFF"/>
    <w:rsid w:val="00A5468F"/>
    <w:rsid w:val="00A54909"/>
    <w:rsid w:val="00A54DC0"/>
    <w:rsid w:val="00A550C9"/>
    <w:rsid w:val="00A55228"/>
    <w:rsid w:val="00A55410"/>
    <w:rsid w:val="00A55A04"/>
    <w:rsid w:val="00A564DE"/>
    <w:rsid w:val="00A5670C"/>
    <w:rsid w:val="00A6054E"/>
    <w:rsid w:val="00A60799"/>
    <w:rsid w:val="00A6170B"/>
    <w:rsid w:val="00A61991"/>
    <w:rsid w:val="00A61B7F"/>
    <w:rsid w:val="00A61B91"/>
    <w:rsid w:val="00A61C3A"/>
    <w:rsid w:val="00A620E8"/>
    <w:rsid w:val="00A63335"/>
    <w:rsid w:val="00A634EB"/>
    <w:rsid w:val="00A635B2"/>
    <w:rsid w:val="00A63685"/>
    <w:rsid w:val="00A63EA5"/>
    <w:rsid w:val="00A64545"/>
    <w:rsid w:val="00A645AC"/>
    <w:rsid w:val="00A64C79"/>
    <w:rsid w:val="00A65EFB"/>
    <w:rsid w:val="00A66E28"/>
    <w:rsid w:val="00A67429"/>
    <w:rsid w:val="00A677E7"/>
    <w:rsid w:val="00A67CE9"/>
    <w:rsid w:val="00A70590"/>
    <w:rsid w:val="00A7062E"/>
    <w:rsid w:val="00A70834"/>
    <w:rsid w:val="00A71542"/>
    <w:rsid w:val="00A7171F"/>
    <w:rsid w:val="00A71FA0"/>
    <w:rsid w:val="00A71FBD"/>
    <w:rsid w:val="00A71FF6"/>
    <w:rsid w:val="00A72727"/>
    <w:rsid w:val="00A727D8"/>
    <w:rsid w:val="00A72C1A"/>
    <w:rsid w:val="00A732FB"/>
    <w:rsid w:val="00A73513"/>
    <w:rsid w:val="00A73AA7"/>
    <w:rsid w:val="00A7463E"/>
    <w:rsid w:val="00A74C54"/>
    <w:rsid w:val="00A75185"/>
    <w:rsid w:val="00A75696"/>
    <w:rsid w:val="00A758E2"/>
    <w:rsid w:val="00A7613D"/>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19A"/>
    <w:rsid w:val="00A86EED"/>
    <w:rsid w:val="00A8733A"/>
    <w:rsid w:val="00A8778D"/>
    <w:rsid w:val="00A90B45"/>
    <w:rsid w:val="00A9151F"/>
    <w:rsid w:val="00A9196B"/>
    <w:rsid w:val="00A91AEF"/>
    <w:rsid w:val="00A91BB5"/>
    <w:rsid w:val="00A91BEE"/>
    <w:rsid w:val="00A91D4B"/>
    <w:rsid w:val="00A920B2"/>
    <w:rsid w:val="00A92A96"/>
    <w:rsid w:val="00A92AF0"/>
    <w:rsid w:val="00A933FE"/>
    <w:rsid w:val="00A937D5"/>
    <w:rsid w:val="00A93C41"/>
    <w:rsid w:val="00A93C70"/>
    <w:rsid w:val="00A93F85"/>
    <w:rsid w:val="00A94423"/>
    <w:rsid w:val="00A94A32"/>
    <w:rsid w:val="00A94AFC"/>
    <w:rsid w:val="00A94BF5"/>
    <w:rsid w:val="00A94D97"/>
    <w:rsid w:val="00A9686A"/>
    <w:rsid w:val="00A96B4A"/>
    <w:rsid w:val="00A97717"/>
    <w:rsid w:val="00A97BDA"/>
    <w:rsid w:val="00A97F56"/>
    <w:rsid w:val="00AA043A"/>
    <w:rsid w:val="00AA0779"/>
    <w:rsid w:val="00AA08F3"/>
    <w:rsid w:val="00AA0A7E"/>
    <w:rsid w:val="00AA0F23"/>
    <w:rsid w:val="00AA1067"/>
    <w:rsid w:val="00AA1163"/>
    <w:rsid w:val="00AA1DA8"/>
    <w:rsid w:val="00AA222C"/>
    <w:rsid w:val="00AA2264"/>
    <w:rsid w:val="00AA238E"/>
    <w:rsid w:val="00AA2483"/>
    <w:rsid w:val="00AA248C"/>
    <w:rsid w:val="00AA253B"/>
    <w:rsid w:val="00AA29F8"/>
    <w:rsid w:val="00AA3243"/>
    <w:rsid w:val="00AA388F"/>
    <w:rsid w:val="00AA3C4C"/>
    <w:rsid w:val="00AA408E"/>
    <w:rsid w:val="00AA4DA9"/>
    <w:rsid w:val="00AA4F6D"/>
    <w:rsid w:val="00AA50CE"/>
    <w:rsid w:val="00AA536B"/>
    <w:rsid w:val="00AA57C3"/>
    <w:rsid w:val="00AA57C9"/>
    <w:rsid w:val="00AA5A5C"/>
    <w:rsid w:val="00AA5A6F"/>
    <w:rsid w:val="00AA634D"/>
    <w:rsid w:val="00AA6F6C"/>
    <w:rsid w:val="00AA721D"/>
    <w:rsid w:val="00AA7519"/>
    <w:rsid w:val="00AA790A"/>
    <w:rsid w:val="00AA7CD0"/>
    <w:rsid w:val="00AB02EA"/>
    <w:rsid w:val="00AB0B63"/>
    <w:rsid w:val="00AB110C"/>
    <w:rsid w:val="00AB11EF"/>
    <w:rsid w:val="00AB135F"/>
    <w:rsid w:val="00AB227A"/>
    <w:rsid w:val="00AB22BF"/>
    <w:rsid w:val="00AB256E"/>
    <w:rsid w:val="00AB3466"/>
    <w:rsid w:val="00AB38B2"/>
    <w:rsid w:val="00AB3BBB"/>
    <w:rsid w:val="00AB408C"/>
    <w:rsid w:val="00AB40DD"/>
    <w:rsid w:val="00AB43AF"/>
    <w:rsid w:val="00AB4E41"/>
    <w:rsid w:val="00AB5A33"/>
    <w:rsid w:val="00AB5EB1"/>
    <w:rsid w:val="00AB6003"/>
    <w:rsid w:val="00AB6344"/>
    <w:rsid w:val="00AB759A"/>
    <w:rsid w:val="00AB7B06"/>
    <w:rsid w:val="00AB7EAA"/>
    <w:rsid w:val="00AC0432"/>
    <w:rsid w:val="00AC0770"/>
    <w:rsid w:val="00AC1683"/>
    <w:rsid w:val="00AC1D82"/>
    <w:rsid w:val="00AC2D5F"/>
    <w:rsid w:val="00AC4094"/>
    <w:rsid w:val="00AC42B6"/>
    <w:rsid w:val="00AC4AB7"/>
    <w:rsid w:val="00AC51E0"/>
    <w:rsid w:val="00AC55E0"/>
    <w:rsid w:val="00AC6987"/>
    <w:rsid w:val="00AC6CF3"/>
    <w:rsid w:val="00AC6D24"/>
    <w:rsid w:val="00AC6E18"/>
    <w:rsid w:val="00AC75EB"/>
    <w:rsid w:val="00AC7F64"/>
    <w:rsid w:val="00AD1065"/>
    <w:rsid w:val="00AD159E"/>
    <w:rsid w:val="00AD2AB1"/>
    <w:rsid w:val="00AD3132"/>
    <w:rsid w:val="00AD33A5"/>
    <w:rsid w:val="00AD3DA6"/>
    <w:rsid w:val="00AD3F3C"/>
    <w:rsid w:val="00AD447E"/>
    <w:rsid w:val="00AD4B2F"/>
    <w:rsid w:val="00AD5F0A"/>
    <w:rsid w:val="00AD6A5B"/>
    <w:rsid w:val="00AD6B4F"/>
    <w:rsid w:val="00AD6D19"/>
    <w:rsid w:val="00AD7812"/>
    <w:rsid w:val="00AD7C42"/>
    <w:rsid w:val="00AD7CFA"/>
    <w:rsid w:val="00AE06B0"/>
    <w:rsid w:val="00AE0BD6"/>
    <w:rsid w:val="00AE0E72"/>
    <w:rsid w:val="00AE11C1"/>
    <w:rsid w:val="00AE163D"/>
    <w:rsid w:val="00AE1A42"/>
    <w:rsid w:val="00AE1C5C"/>
    <w:rsid w:val="00AE315E"/>
    <w:rsid w:val="00AE319F"/>
    <w:rsid w:val="00AE31D9"/>
    <w:rsid w:val="00AE3CF0"/>
    <w:rsid w:val="00AE4546"/>
    <w:rsid w:val="00AE6575"/>
    <w:rsid w:val="00AE71EE"/>
    <w:rsid w:val="00AE7368"/>
    <w:rsid w:val="00AE7ADA"/>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003"/>
    <w:rsid w:val="00AF7389"/>
    <w:rsid w:val="00AF76B7"/>
    <w:rsid w:val="00AF79DF"/>
    <w:rsid w:val="00AF7C37"/>
    <w:rsid w:val="00B00378"/>
    <w:rsid w:val="00B00D91"/>
    <w:rsid w:val="00B00E84"/>
    <w:rsid w:val="00B01DD9"/>
    <w:rsid w:val="00B01F0E"/>
    <w:rsid w:val="00B02680"/>
    <w:rsid w:val="00B02E98"/>
    <w:rsid w:val="00B038F1"/>
    <w:rsid w:val="00B0392E"/>
    <w:rsid w:val="00B03C1B"/>
    <w:rsid w:val="00B0430C"/>
    <w:rsid w:val="00B04678"/>
    <w:rsid w:val="00B047C9"/>
    <w:rsid w:val="00B04A04"/>
    <w:rsid w:val="00B04B78"/>
    <w:rsid w:val="00B04C37"/>
    <w:rsid w:val="00B04F00"/>
    <w:rsid w:val="00B05107"/>
    <w:rsid w:val="00B05BA6"/>
    <w:rsid w:val="00B066FE"/>
    <w:rsid w:val="00B06912"/>
    <w:rsid w:val="00B06CF6"/>
    <w:rsid w:val="00B07316"/>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546"/>
    <w:rsid w:val="00B14F47"/>
    <w:rsid w:val="00B15282"/>
    <w:rsid w:val="00B15286"/>
    <w:rsid w:val="00B1539F"/>
    <w:rsid w:val="00B1550D"/>
    <w:rsid w:val="00B15F6C"/>
    <w:rsid w:val="00B163E8"/>
    <w:rsid w:val="00B16A6F"/>
    <w:rsid w:val="00B16B1F"/>
    <w:rsid w:val="00B1767E"/>
    <w:rsid w:val="00B20760"/>
    <w:rsid w:val="00B2125C"/>
    <w:rsid w:val="00B21676"/>
    <w:rsid w:val="00B219E1"/>
    <w:rsid w:val="00B21ECF"/>
    <w:rsid w:val="00B22150"/>
    <w:rsid w:val="00B226DE"/>
    <w:rsid w:val="00B22FB5"/>
    <w:rsid w:val="00B241D5"/>
    <w:rsid w:val="00B243C7"/>
    <w:rsid w:val="00B24BE9"/>
    <w:rsid w:val="00B2547E"/>
    <w:rsid w:val="00B2551D"/>
    <w:rsid w:val="00B25F8C"/>
    <w:rsid w:val="00B260BE"/>
    <w:rsid w:val="00B260DE"/>
    <w:rsid w:val="00B26677"/>
    <w:rsid w:val="00B26A96"/>
    <w:rsid w:val="00B26E58"/>
    <w:rsid w:val="00B26F5E"/>
    <w:rsid w:val="00B27251"/>
    <w:rsid w:val="00B274E3"/>
    <w:rsid w:val="00B2765C"/>
    <w:rsid w:val="00B27C4B"/>
    <w:rsid w:val="00B30563"/>
    <w:rsid w:val="00B3069E"/>
    <w:rsid w:val="00B30A76"/>
    <w:rsid w:val="00B31246"/>
    <w:rsid w:val="00B32295"/>
    <w:rsid w:val="00B33AB5"/>
    <w:rsid w:val="00B3412E"/>
    <w:rsid w:val="00B343E0"/>
    <w:rsid w:val="00B34478"/>
    <w:rsid w:val="00B35B6D"/>
    <w:rsid w:val="00B35D53"/>
    <w:rsid w:val="00B367C4"/>
    <w:rsid w:val="00B36D3E"/>
    <w:rsid w:val="00B3774E"/>
    <w:rsid w:val="00B37B8E"/>
    <w:rsid w:val="00B37C34"/>
    <w:rsid w:val="00B40222"/>
    <w:rsid w:val="00B404C3"/>
    <w:rsid w:val="00B4160A"/>
    <w:rsid w:val="00B41618"/>
    <w:rsid w:val="00B41A04"/>
    <w:rsid w:val="00B42743"/>
    <w:rsid w:val="00B430E9"/>
    <w:rsid w:val="00B4311F"/>
    <w:rsid w:val="00B431AE"/>
    <w:rsid w:val="00B43A43"/>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24E1"/>
    <w:rsid w:val="00B53623"/>
    <w:rsid w:val="00B53D1D"/>
    <w:rsid w:val="00B53E98"/>
    <w:rsid w:val="00B53F9B"/>
    <w:rsid w:val="00B54B19"/>
    <w:rsid w:val="00B55AEA"/>
    <w:rsid w:val="00B55F64"/>
    <w:rsid w:val="00B56007"/>
    <w:rsid w:val="00B561D7"/>
    <w:rsid w:val="00B56CE0"/>
    <w:rsid w:val="00B56ECA"/>
    <w:rsid w:val="00B56EF6"/>
    <w:rsid w:val="00B57093"/>
    <w:rsid w:val="00B57B5D"/>
    <w:rsid w:val="00B60613"/>
    <w:rsid w:val="00B60BE6"/>
    <w:rsid w:val="00B61AEC"/>
    <w:rsid w:val="00B6244C"/>
    <w:rsid w:val="00B62774"/>
    <w:rsid w:val="00B62A2F"/>
    <w:rsid w:val="00B62B7B"/>
    <w:rsid w:val="00B62D3F"/>
    <w:rsid w:val="00B62F0A"/>
    <w:rsid w:val="00B63484"/>
    <w:rsid w:val="00B634B7"/>
    <w:rsid w:val="00B634F1"/>
    <w:rsid w:val="00B637EF"/>
    <w:rsid w:val="00B63EF6"/>
    <w:rsid w:val="00B6440A"/>
    <w:rsid w:val="00B65788"/>
    <w:rsid w:val="00B65844"/>
    <w:rsid w:val="00B66054"/>
    <w:rsid w:val="00B66563"/>
    <w:rsid w:val="00B6677F"/>
    <w:rsid w:val="00B66950"/>
    <w:rsid w:val="00B66C7A"/>
    <w:rsid w:val="00B66D0C"/>
    <w:rsid w:val="00B672EA"/>
    <w:rsid w:val="00B6747B"/>
    <w:rsid w:val="00B70200"/>
    <w:rsid w:val="00B702D7"/>
    <w:rsid w:val="00B70389"/>
    <w:rsid w:val="00B70E01"/>
    <w:rsid w:val="00B713F0"/>
    <w:rsid w:val="00B71973"/>
    <w:rsid w:val="00B72A0B"/>
    <w:rsid w:val="00B72CF0"/>
    <w:rsid w:val="00B7380E"/>
    <w:rsid w:val="00B740F6"/>
    <w:rsid w:val="00B74615"/>
    <w:rsid w:val="00B7474B"/>
    <w:rsid w:val="00B74789"/>
    <w:rsid w:val="00B75408"/>
    <w:rsid w:val="00B755B6"/>
    <w:rsid w:val="00B75977"/>
    <w:rsid w:val="00B75A48"/>
    <w:rsid w:val="00B75CC0"/>
    <w:rsid w:val="00B76021"/>
    <w:rsid w:val="00B76FCD"/>
    <w:rsid w:val="00B76FFF"/>
    <w:rsid w:val="00B7764D"/>
    <w:rsid w:val="00B77BB2"/>
    <w:rsid w:val="00B8003B"/>
    <w:rsid w:val="00B804F8"/>
    <w:rsid w:val="00B8095A"/>
    <w:rsid w:val="00B81274"/>
    <w:rsid w:val="00B815D3"/>
    <w:rsid w:val="00B81721"/>
    <w:rsid w:val="00B81742"/>
    <w:rsid w:val="00B817B5"/>
    <w:rsid w:val="00B81BC5"/>
    <w:rsid w:val="00B823A6"/>
    <w:rsid w:val="00B829C4"/>
    <w:rsid w:val="00B83295"/>
    <w:rsid w:val="00B83E76"/>
    <w:rsid w:val="00B83FA0"/>
    <w:rsid w:val="00B84156"/>
    <w:rsid w:val="00B841D5"/>
    <w:rsid w:val="00B846E6"/>
    <w:rsid w:val="00B847E5"/>
    <w:rsid w:val="00B8537B"/>
    <w:rsid w:val="00B85586"/>
    <w:rsid w:val="00B859FB"/>
    <w:rsid w:val="00B86289"/>
    <w:rsid w:val="00B863B3"/>
    <w:rsid w:val="00B869D3"/>
    <w:rsid w:val="00B86CF8"/>
    <w:rsid w:val="00B86E44"/>
    <w:rsid w:val="00B87359"/>
    <w:rsid w:val="00B87C2A"/>
    <w:rsid w:val="00B87F1C"/>
    <w:rsid w:val="00B90D8D"/>
    <w:rsid w:val="00B91263"/>
    <w:rsid w:val="00B91B61"/>
    <w:rsid w:val="00B92E64"/>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016"/>
    <w:rsid w:val="00BA050E"/>
    <w:rsid w:val="00BA1289"/>
    <w:rsid w:val="00BA14B2"/>
    <w:rsid w:val="00BA15DC"/>
    <w:rsid w:val="00BA1E2F"/>
    <w:rsid w:val="00BA1EB8"/>
    <w:rsid w:val="00BA2907"/>
    <w:rsid w:val="00BA2C82"/>
    <w:rsid w:val="00BA2FB2"/>
    <w:rsid w:val="00BA308C"/>
    <w:rsid w:val="00BA3532"/>
    <w:rsid w:val="00BA3869"/>
    <w:rsid w:val="00BA39EB"/>
    <w:rsid w:val="00BA4399"/>
    <w:rsid w:val="00BA4452"/>
    <w:rsid w:val="00BA46C6"/>
    <w:rsid w:val="00BA4ACF"/>
    <w:rsid w:val="00BA5039"/>
    <w:rsid w:val="00BA5800"/>
    <w:rsid w:val="00BA583B"/>
    <w:rsid w:val="00BA5DF2"/>
    <w:rsid w:val="00BA5EC7"/>
    <w:rsid w:val="00BA6319"/>
    <w:rsid w:val="00BA63CE"/>
    <w:rsid w:val="00BA65FC"/>
    <w:rsid w:val="00BA676E"/>
    <w:rsid w:val="00BA6980"/>
    <w:rsid w:val="00BA6E22"/>
    <w:rsid w:val="00BA6EF2"/>
    <w:rsid w:val="00BA7227"/>
    <w:rsid w:val="00BA763C"/>
    <w:rsid w:val="00BA784D"/>
    <w:rsid w:val="00BA7CD7"/>
    <w:rsid w:val="00BB00E5"/>
    <w:rsid w:val="00BB1688"/>
    <w:rsid w:val="00BB1EFB"/>
    <w:rsid w:val="00BB269F"/>
    <w:rsid w:val="00BB270D"/>
    <w:rsid w:val="00BB27CC"/>
    <w:rsid w:val="00BB2ACE"/>
    <w:rsid w:val="00BB2E4E"/>
    <w:rsid w:val="00BB2E62"/>
    <w:rsid w:val="00BB36C9"/>
    <w:rsid w:val="00BB3A66"/>
    <w:rsid w:val="00BB40D1"/>
    <w:rsid w:val="00BB610B"/>
    <w:rsid w:val="00BB777D"/>
    <w:rsid w:val="00BB7EC0"/>
    <w:rsid w:val="00BB7F88"/>
    <w:rsid w:val="00BC0207"/>
    <w:rsid w:val="00BC072C"/>
    <w:rsid w:val="00BC089F"/>
    <w:rsid w:val="00BC0A0C"/>
    <w:rsid w:val="00BC0A5A"/>
    <w:rsid w:val="00BC0E64"/>
    <w:rsid w:val="00BC25D1"/>
    <w:rsid w:val="00BC2DBD"/>
    <w:rsid w:val="00BC3BCB"/>
    <w:rsid w:val="00BC3CF1"/>
    <w:rsid w:val="00BC428A"/>
    <w:rsid w:val="00BC4C40"/>
    <w:rsid w:val="00BC5854"/>
    <w:rsid w:val="00BC5A29"/>
    <w:rsid w:val="00BC5AE3"/>
    <w:rsid w:val="00BC5BAD"/>
    <w:rsid w:val="00BC692A"/>
    <w:rsid w:val="00BC76C5"/>
    <w:rsid w:val="00BC7F94"/>
    <w:rsid w:val="00BD1039"/>
    <w:rsid w:val="00BD10B7"/>
    <w:rsid w:val="00BD138A"/>
    <w:rsid w:val="00BD164A"/>
    <w:rsid w:val="00BD18B3"/>
    <w:rsid w:val="00BD1BDD"/>
    <w:rsid w:val="00BD1D7D"/>
    <w:rsid w:val="00BD1E27"/>
    <w:rsid w:val="00BD2B4D"/>
    <w:rsid w:val="00BD2F08"/>
    <w:rsid w:val="00BD2FB9"/>
    <w:rsid w:val="00BD31C2"/>
    <w:rsid w:val="00BD3683"/>
    <w:rsid w:val="00BD376F"/>
    <w:rsid w:val="00BD450A"/>
    <w:rsid w:val="00BD4717"/>
    <w:rsid w:val="00BD48EA"/>
    <w:rsid w:val="00BD4BA8"/>
    <w:rsid w:val="00BD5624"/>
    <w:rsid w:val="00BD62E6"/>
    <w:rsid w:val="00BD6B0E"/>
    <w:rsid w:val="00BD734D"/>
    <w:rsid w:val="00BD7532"/>
    <w:rsid w:val="00BD7941"/>
    <w:rsid w:val="00BE0591"/>
    <w:rsid w:val="00BE0C55"/>
    <w:rsid w:val="00BE0F03"/>
    <w:rsid w:val="00BE11A2"/>
    <w:rsid w:val="00BE1501"/>
    <w:rsid w:val="00BE1EF0"/>
    <w:rsid w:val="00BE246C"/>
    <w:rsid w:val="00BE2657"/>
    <w:rsid w:val="00BE2FD2"/>
    <w:rsid w:val="00BE3473"/>
    <w:rsid w:val="00BE377A"/>
    <w:rsid w:val="00BE37AE"/>
    <w:rsid w:val="00BE3B14"/>
    <w:rsid w:val="00BE3C65"/>
    <w:rsid w:val="00BE4222"/>
    <w:rsid w:val="00BE452F"/>
    <w:rsid w:val="00BE472D"/>
    <w:rsid w:val="00BE4C03"/>
    <w:rsid w:val="00BE4C13"/>
    <w:rsid w:val="00BE593E"/>
    <w:rsid w:val="00BE5A35"/>
    <w:rsid w:val="00BE5C04"/>
    <w:rsid w:val="00BE7D6A"/>
    <w:rsid w:val="00BE7F4D"/>
    <w:rsid w:val="00BF02CD"/>
    <w:rsid w:val="00BF03C0"/>
    <w:rsid w:val="00BF0EBF"/>
    <w:rsid w:val="00BF1534"/>
    <w:rsid w:val="00BF153D"/>
    <w:rsid w:val="00BF1CB7"/>
    <w:rsid w:val="00BF2021"/>
    <w:rsid w:val="00BF21D4"/>
    <w:rsid w:val="00BF2829"/>
    <w:rsid w:val="00BF2DDC"/>
    <w:rsid w:val="00BF313C"/>
    <w:rsid w:val="00BF32DE"/>
    <w:rsid w:val="00BF4A15"/>
    <w:rsid w:val="00BF4E0E"/>
    <w:rsid w:val="00BF4E27"/>
    <w:rsid w:val="00BF4F7C"/>
    <w:rsid w:val="00BF537B"/>
    <w:rsid w:val="00BF55FF"/>
    <w:rsid w:val="00BF5901"/>
    <w:rsid w:val="00BF626A"/>
    <w:rsid w:val="00BF688E"/>
    <w:rsid w:val="00BF6D77"/>
    <w:rsid w:val="00BF704C"/>
    <w:rsid w:val="00BF70C8"/>
    <w:rsid w:val="00BF739A"/>
    <w:rsid w:val="00BF7EF5"/>
    <w:rsid w:val="00C00358"/>
    <w:rsid w:val="00C00BF6"/>
    <w:rsid w:val="00C01146"/>
    <w:rsid w:val="00C0234A"/>
    <w:rsid w:val="00C0247B"/>
    <w:rsid w:val="00C0363A"/>
    <w:rsid w:val="00C0378E"/>
    <w:rsid w:val="00C04314"/>
    <w:rsid w:val="00C04BD0"/>
    <w:rsid w:val="00C05063"/>
    <w:rsid w:val="00C05730"/>
    <w:rsid w:val="00C05AF4"/>
    <w:rsid w:val="00C05AFD"/>
    <w:rsid w:val="00C0661C"/>
    <w:rsid w:val="00C0675F"/>
    <w:rsid w:val="00C06ECC"/>
    <w:rsid w:val="00C0702A"/>
    <w:rsid w:val="00C0724C"/>
    <w:rsid w:val="00C07C11"/>
    <w:rsid w:val="00C07E10"/>
    <w:rsid w:val="00C10015"/>
    <w:rsid w:val="00C106EA"/>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402"/>
    <w:rsid w:val="00C17AB5"/>
    <w:rsid w:val="00C17BDC"/>
    <w:rsid w:val="00C20051"/>
    <w:rsid w:val="00C2021B"/>
    <w:rsid w:val="00C20B6C"/>
    <w:rsid w:val="00C20B86"/>
    <w:rsid w:val="00C21145"/>
    <w:rsid w:val="00C215ED"/>
    <w:rsid w:val="00C22350"/>
    <w:rsid w:val="00C2302B"/>
    <w:rsid w:val="00C23615"/>
    <w:rsid w:val="00C2397E"/>
    <w:rsid w:val="00C23A83"/>
    <w:rsid w:val="00C24381"/>
    <w:rsid w:val="00C24801"/>
    <w:rsid w:val="00C2499B"/>
    <w:rsid w:val="00C24C2E"/>
    <w:rsid w:val="00C24C7A"/>
    <w:rsid w:val="00C24FFB"/>
    <w:rsid w:val="00C25CFF"/>
    <w:rsid w:val="00C25D94"/>
    <w:rsid w:val="00C25EA6"/>
    <w:rsid w:val="00C26164"/>
    <w:rsid w:val="00C261C1"/>
    <w:rsid w:val="00C26540"/>
    <w:rsid w:val="00C26574"/>
    <w:rsid w:val="00C26A27"/>
    <w:rsid w:val="00C26DBF"/>
    <w:rsid w:val="00C27199"/>
    <w:rsid w:val="00C27204"/>
    <w:rsid w:val="00C304E9"/>
    <w:rsid w:val="00C30B0B"/>
    <w:rsid w:val="00C31214"/>
    <w:rsid w:val="00C31320"/>
    <w:rsid w:val="00C316B4"/>
    <w:rsid w:val="00C32F03"/>
    <w:rsid w:val="00C332D4"/>
    <w:rsid w:val="00C33514"/>
    <w:rsid w:val="00C33A66"/>
    <w:rsid w:val="00C33E51"/>
    <w:rsid w:val="00C34C45"/>
    <w:rsid w:val="00C34C47"/>
    <w:rsid w:val="00C34FCE"/>
    <w:rsid w:val="00C34FF6"/>
    <w:rsid w:val="00C35411"/>
    <w:rsid w:val="00C35EED"/>
    <w:rsid w:val="00C36B2C"/>
    <w:rsid w:val="00C3701A"/>
    <w:rsid w:val="00C379EF"/>
    <w:rsid w:val="00C379F5"/>
    <w:rsid w:val="00C405C8"/>
    <w:rsid w:val="00C40C2F"/>
    <w:rsid w:val="00C415AC"/>
    <w:rsid w:val="00C428B6"/>
    <w:rsid w:val="00C4297A"/>
    <w:rsid w:val="00C4360C"/>
    <w:rsid w:val="00C439B8"/>
    <w:rsid w:val="00C43A0B"/>
    <w:rsid w:val="00C43EDA"/>
    <w:rsid w:val="00C43FEC"/>
    <w:rsid w:val="00C4414C"/>
    <w:rsid w:val="00C45512"/>
    <w:rsid w:val="00C4602B"/>
    <w:rsid w:val="00C46564"/>
    <w:rsid w:val="00C46BB5"/>
    <w:rsid w:val="00C46BFA"/>
    <w:rsid w:val="00C46DDF"/>
    <w:rsid w:val="00C500A1"/>
    <w:rsid w:val="00C50A02"/>
    <w:rsid w:val="00C51149"/>
    <w:rsid w:val="00C5117E"/>
    <w:rsid w:val="00C512D1"/>
    <w:rsid w:val="00C51856"/>
    <w:rsid w:val="00C51B04"/>
    <w:rsid w:val="00C51DB5"/>
    <w:rsid w:val="00C52959"/>
    <w:rsid w:val="00C53CE9"/>
    <w:rsid w:val="00C5531B"/>
    <w:rsid w:val="00C55375"/>
    <w:rsid w:val="00C5570F"/>
    <w:rsid w:val="00C56C98"/>
    <w:rsid w:val="00C56DE1"/>
    <w:rsid w:val="00C56DEE"/>
    <w:rsid w:val="00C5710A"/>
    <w:rsid w:val="00C57120"/>
    <w:rsid w:val="00C571D5"/>
    <w:rsid w:val="00C575D4"/>
    <w:rsid w:val="00C61223"/>
    <w:rsid w:val="00C61246"/>
    <w:rsid w:val="00C618A8"/>
    <w:rsid w:val="00C61A78"/>
    <w:rsid w:val="00C621E1"/>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67C4F"/>
    <w:rsid w:val="00C70718"/>
    <w:rsid w:val="00C70B25"/>
    <w:rsid w:val="00C713E1"/>
    <w:rsid w:val="00C71528"/>
    <w:rsid w:val="00C717E4"/>
    <w:rsid w:val="00C7191B"/>
    <w:rsid w:val="00C71F09"/>
    <w:rsid w:val="00C72443"/>
    <w:rsid w:val="00C72588"/>
    <w:rsid w:val="00C727B9"/>
    <w:rsid w:val="00C72F44"/>
    <w:rsid w:val="00C73670"/>
    <w:rsid w:val="00C737D1"/>
    <w:rsid w:val="00C738A0"/>
    <w:rsid w:val="00C73DE0"/>
    <w:rsid w:val="00C74609"/>
    <w:rsid w:val="00C749AB"/>
    <w:rsid w:val="00C757BF"/>
    <w:rsid w:val="00C75A8F"/>
    <w:rsid w:val="00C76129"/>
    <w:rsid w:val="00C76C0C"/>
    <w:rsid w:val="00C76FFC"/>
    <w:rsid w:val="00C774E0"/>
    <w:rsid w:val="00C77526"/>
    <w:rsid w:val="00C776BA"/>
    <w:rsid w:val="00C7791E"/>
    <w:rsid w:val="00C80994"/>
    <w:rsid w:val="00C81716"/>
    <w:rsid w:val="00C82BD2"/>
    <w:rsid w:val="00C832CB"/>
    <w:rsid w:val="00C83C1C"/>
    <w:rsid w:val="00C84085"/>
    <w:rsid w:val="00C852DC"/>
    <w:rsid w:val="00C854A8"/>
    <w:rsid w:val="00C85677"/>
    <w:rsid w:val="00C85E17"/>
    <w:rsid w:val="00C85F6A"/>
    <w:rsid w:val="00C861FF"/>
    <w:rsid w:val="00C868A7"/>
    <w:rsid w:val="00C86ABA"/>
    <w:rsid w:val="00C86BF7"/>
    <w:rsid w:val="00C87164"/>
    <w:rsid w:val="00C8786A"/>
    <w:rsid w:val="00C87BBA"/>
    <w:rsid w:val="00C87BD0"/>
    <w:rsid w:val="00C90492"/>
    <w:rsid w:val="00C905E5"/>
    <w:rsid w:val="00C90754"/>
    <w:rsid w:val="00C908A1"/>
    <w:rsid w:val="00C90B95"/>
    <w:rsid w:val="00C90BC4"/>
    <w:rsid w:val="00C90CA9"/>
    <w:rsid w:val="00C91802"/>
    <w:rsid w:val="00C91F6F"/>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3D8"/>
    <w:rsid w:val="00CA3CAB"/>
    <w:rsid w:val="00CA3FC0"/>
    <w:rsid w:val="00CA5685"/>
    <w:rsid w:val="00CA634A"/>
    <w:rsid w:val="00CA6A2E"/>
    <w:rsid w:val="00CA6B56"/>
    <w:rsid w:val="00CA7D3E"/>
    <w:rsid w:val="00CB0317"/>
    <w:rsid w:val="00CB0662"/>
    <w:rsid w:val="00CB0A82"/>
    <w:rsid w:val="00CB0F2F"/>
    <w:rsid w:val="00CB0F76"/>
    <w:rsid w:val="00CB10EA"/>
    <w:rsid w:val="00CB1556"/>
    <w:rsid w:val="00CB2913"/>
    <w:rsid w:val="00CB3970"/>
    <w:rsid w:val="00CB4234"/>
    <w:rsid w:val="00CB42B9"/>
    <w:rsid w:val="00CB4550"/>
    <w:rsid w:val="00CB4F39"/>
    <w:rsid w:val="00CB52A4"/>
    <w:rsid w:val="00CB537C"/>
    <w:rsid w:val="00CB5A26"/>
    <w:rsid w:val="00CB645B"/>
    <w:rsid w:val="00CB6A93"/>
    <w:rsid w:val="00CB6C79"/>
    <w:rsid w:val="00CB6F2E"/>
    <w:rsid w:val="00CB77C3"/>
    <w:rsid w:val="00CB7E9C"/>
    <w:rsid w:val="00CC0072"/>
    <w:rsid w:val="00CC027A"/>
    <w:rsid w:val="00CC0915"/>
    <w:rsid w:val="00CC0FBD"/>
    <w:rsid w:val="00CC1398"/>
    <w:rsid w:val="00CC1AF5"/>
    <w:rsid w:val="00CC1B74"/>
    <w:rsid w:val="00CC291E"/>
    <w:rsid w:val="00CC2D03"/>
    <w:rsid w:val="00CC2EB0"/>
    <w:rsid w:val="00CC40EC"/>
    <w:rsid w:val="00CC4701"/>
    <w:rsid w:val="00CC56B4"/>
    <w:rsid w:val="00CC5F95"/>
    <w:rsid w:val="00CC642A"/>
    <w:rsid w:val="00CC6AC7"/>
    <w:rsid w:val="00CC733D"/>
    <w:rsid w:val="00CC7617"/>
    <w:rsid w:val="00CC7E0D"/>
    <w:rsid w:val="00CC7E97"/>
    <w:rsid w:val="00CD00EB"/>
    <w:rsid w:val="00CD1255"/>
    <w:rsid w:val="00CD1343"/>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3AB"/>
    <w:rsid w:val="00CE0697"/>
    <w:rsid w:val="00CE0CA0"/>
    <w:rsid w:val="00CE14CB"/>
    <w:rsid w:val="00CE20E0"/>
    <w:rsid w:val="00CE2E2E"/>
    <w:rsid w:val="00CE3A51"/>
    <w:rsid w:val="00CE41F9"/>
    <w:rsid w:val="00CE4E0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3545"/>
    <w:rsid w:val="00CF3AD3"/>
    <w:rsid w:val="00CF3D9D"/>
    <w:rsid w:val="00CF475F"/>
    <w:rsid w:val="00CF5008"/>
    <w:rsid w:val="00CF5069"/>
    <w:rsid w:val="00CF59BF"/>
    <w:rsid w:val="00CF5E34"/>
    <w:rsid w:val="00CF6025"/>
    <w:rsid w:val="00CF6707"/>
    <w:rsid w:val="00CF7101"/>
    <w:rsid w:val="00CF7327"/>
    <w:rsid w:val="00CF7385"/>
    <w:rsid w:val="00CF7539"/>
    <w:rsid w:val="00CF75C6"/>
    <w:rsid w:val="00CF7B77"/>
    <w:rsid w:val="00CF7DF5"/>
    <w:rsid w:val="00D001D2"/>
    <w:rsid w:val="00D02A80"/>
    <w:rsid w:val="00D0336F"/>
    <w:rsid w:val="00D0352D"/>
    <w:rsid w:val="00D038B7"/>
    <w:rsid w:val="00D038DC"/>
    <w:rsid w:val="00D04658"/>
    <w:rsid w:val="00D04DBF"/>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4F5"/>
    <w:rsid w:val="00D11FE3"/>
    <w:rsid w:val="00D12393"/>
    <w:rsid w:val="00D12945"/>
    <w:rsid w:val="00D12CC0"/>
    <w:rsid w:val="00D12DA1"/>
    <w:rsid w:val="00D130C0"/>
    <w:rsid w:val="00D1343A"/>
    <w:rsid w:val="00D13D50"/>
    <w:rsid w:val="00D14101"/>
    <w:rsid w:val="00D144D8"/>
    <w:rsid w:val="00D14919"/>
    <w:rsid w:val="00D14E25"/>
    <w:rsid w:val="00D14F8A"/>
    <w:rsid w:val="00D15470"/>
    <w:rsid w:val="00D15AE3"/>
    <w:rsid w:val="00D160C4"/>
    <w:rsid w:val="00D165D8"/>
    <w:rsid w:val="00D16B61"/>
    <w:rsid w:val="00D1724E"/>
    <w:rsid w:val="00D17C26"/>
    <w:rsid w:val="00D17E08"/>
    <w:rsid w:val="00D206F6"/>
    <w:rsid w:val="00D20FD1"/>
    <w:rsid w:val="00D214D4"/>
    <w:rsid w:val="00D21AAA"/>
    <w:rsid w:val="00D21E6F"/>
    <w:rsid w:val="00D2218A"/>
    <w:rsid w:val="00D22B13"/>
    <w:rsid w:val="00D2371E"/>
    <w:rsid w:val="00D237E0"/>
    <w:rsid w:val="00D23A17"/>
    <w:rsid w:val="00D24343"/>
    <w:rsid w:val="00D24DFC"/>
    <w:rsid w:val="00D251CB"/>
    <w:rsid w:val="00D25676"/>
    <w:rsid w:val="00D2579F"/>
    <w:rsid w:val="00D2580E"/>
    <w:rsid w:val="00D265A7"/>
    <w:rsid w:val="00D2690C"/>
    <w:rsid w:val="00D27129"/>
    <w:rsid w:val="00D279E7"/>
    <w:rsid w:val="00D27F75"/>
    <w:rsid w:val="00D30225"/>
    <w:rsid w:val="00D3046D"/>
    <w:rsid w:val="00D30497"/>
    <w:rsid w:val="00D30C4D"/>
    <w:rsid w:val="00D30F5F"/>
    <w:rsid w:val="00D31243"/>
    <w:rsid w:val="00D316D9"/>
    <w:rsid w:val="00D31B07"/>
    <w:rsid w:val="00D31B9D"/>
    <w:rsid w:val="00D3272E"/>
    <w:rsid w:val="00D32D38"/>
    <w:rsid w:val="00D32FA0"/>
    <w:rsid w:val="00D33112"/>
    <w:rsid w:val="00D331CB"/>
    <w:rsid w:val="00D33DAA"/>
    <w:rsid w:val="00D3497A"/>
    <w:rsid w:val="00D34EBC"/>
    <w:rsid w:val="00D35F2F"/>
    <w:rsid w:val="00D35FC6"/>
    <w:rsid w:val="00D36BB8"/>
    <w:rsid w:val="00D377D4"/>
    <w:rsid w:val="00D401A1"/>
    <w:rsid w:val="00D40217"/>
    <w:rsid w:val="00D40385"/>
    <w:rsid w:val="00D404CE"/>
    <w:rsid w:val="00D40E8F"/>
    <w:rsid w:val="00D412BF"/>
    <w:rsid w:val="00D417C6"/>
    <w:rsid w:val="00D417D0"/>
    <w:rsid w:val="00D41DA9"/>
    <w:rsid w:val="00D42B0C"/>
    <w:rsid w:val="00D42D6E"/>
    <w:rsid w:val="00D43DEF"/>
    <w:rsid w:val="00D44259"/>
    <w:rsid w:val="00D45C61"/>
    <w:rsid w:val="00D45DDC"/>
    <w:rsid w:val="00D479B3"/>
    <w:rsid w:val="00D5064C"/>
    <w:rsid w:val="00D50C94"/>
    <w:rsid w:val="00D511E7"/>
    <w:rsid w:val="00D517ED"/>
    <w:rsid w:val="00D52490"/>
    <w:rsid w:val="00D5251C"/>
    <w:rsid w:val="00D52F56"/>
    <w:rsid w:val="00D539DA"/>
    <w:rsid w:val="00D53B3E"/>
    <w:rsid w:val="00D53EC6"/>
    <w:rsid w:val="00D54A50"/>
    <w:rsid w:val="00D54FFD"/>
    <w:rsid w:val="00D5552C"/>
    <w:rsid w:val="00D5556D"/>
    <w:rsid w:val="00D55C34"/>
    <w:rsid w:val="00D55C81"/>
    <w:rsid w:val="00D5674B"/>
    <w:rsid w:val="00D56B56"/>
    <w:rsid w:val="00D56BF5"/>
    <w:rsid w:val="00D56F99"/>
    <w:rsid w:val="00D5743F"/>
    <w:rsid w:val="00D5768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5EA1"/>
    <w:rsid w:val="00D6611C"/>
    <w:rsid w:val="00D66D1F"/>
    <w:rsid w:val="00D671C7"/>
    <w:rsid w:val="00D675B0"/>
    <w:rsid w:val="00D675DE"/>
    <w:rsid w:val="00D678BB"/>
    <w:rsid w:val="00D67D81"/>
    <w:rsid w:val="00D70170"/>
    <w:rsid w:val="00D702E8"/>
    <w:rsid w:val="00D70552"/>
    <w:rsid w:val="00D70D42"/>
    <w:rsid w:val="00D71285"/>
    <w:rsid w:val="00D71ABC"/>
    <w:rsid w:val="00D71D50"/>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6A76"/>
    <w:rsid w:val="00D774F4"/>
    <w:rsid w:val="00D77687"/>
    <w:rsid w:val="00D778A1"/>
    <w:rsid w:val="00D77AF6"/>
    <w:rsid w:val="00D804C5"/>
    <w:rsid w:val="00D815E6"/>
    <w:rsid w:val="00D81A28"/>
    <w:rsid w:val="00D81BDE"/>
    <w:rsid w:val="00D8201D"/>
    <w:rsid w:val="00D82531"/>
    <w:rsid w:val="00D82B00"/>
    <w:rsid w:val="00D82B04"/>
    <w:rsid w:val="00D82BE4"/>
    <w:rsid w:val="00D82E05"/>
    <w:rsid w:val="00D83C0D"/>
    <w:rsid w:val="00D83C80"/>
    <w:rsid w:val="00D83F5B"/>
    <w:rsid w:val="00D8426A"/>
    <w:rsid w:val="00D84327"/>
    <w:rsid w:val="00D84922"/>
    <w:rsid w:val="00D85FDE"/>
    <w:rsid w:val="00D864AD"/>
    <w:rsid w:val="00D8665E"/>
    <w:rsid w:val="00D869C1"/>
    <w:rsid w:val="00D86CA9"/>
    <w:rsid w:val="00D86EC6"/>
    <w:rsid w:val="00D87418"/>
    <w:rsid w:val="00D87A39"/>
    <w:rsid w:val="00D87FE6"/>
    <w:rsid w:val="00D90830"/>
    <w:rsid w:val="00D90BC3"/>
    <w:rsid w:val="00D90C93"/>
    <w:rsid w:val="00D90DB9"/>
    <w:rsid w:val="00D91001"/>
    <w:rsid w:val="00D910FF"/>
    <w:rsid w:val="00D912F4"/>
    <w:rsid w:val="00D91337"/>
    <w:rsid w:val="00D915C9"/>
    <w:rsid w:val="00D916C2"/>
    <w:rsid w:val="00D918DA"/>
    <w:rsid w:val="00D9198F"/>
    <w:rsid w:val="00D92078"/>
    <w:rsid w:val="00D926F0"/>
    <w:rsid w:val="00D9274D"/>
    <w:rsid w:val="00D92A87"/>
    <w:rsid w:val="00D9319F"/>
    <w:rsid w:val="00D933E9"/>
    <w:rsid w:val="00D9384E"/>
    <w:rsid w:val="00D93AEE"/>
    <w:rsid w:val="00D93E95"/>
    <w:rsid w:val="00D9413E"/>
    <w:rsid w:val="00D94C8D"/>
    <w:rsid w:val="00D95F88"/>
    <w:rsid w:val="00D96698"/>
    <w:rsid w:val="00D96876"/>
    <w:rsid w:val="00D96940"/>
    <w:rsid w:val="00D96B12"/>
    <w:rsid w:val="00D96F59"/>
    <w:rsid w:val="00D9737A"/>
    <w:rsid w:val="00DA0175"/>
    <w:rsid w:val="00DA099C"/>
    <w:rsid w:val="00DA0F18"/>
    <w:rsid w:val="00DA1959"/>
    <w:rsid w:val="00DA2125"/>
    <w:rsid w:val="00DA21EC"/>
    <w:rsid w:val="00DA245B"/>
    <w:rsid w:val="00DA24DE"/>
    <w:rsid w:val="00DA270C"/>
    <w:rsid w:val="00DA281F"/>
    <w:rsid w:val="00DA3C5B"/>
    <w:rsid w:val="00DA3D23"/>
    <w:rsid w:val="00DA3D5D"/>
    <w:rsid w:val="00DA4A61"/>
    <w:rsid w:val="00DA5897"/>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D77"/>
    <w:rsid w:val="00DB4F12"/>
    <w:rsid w:val="00DB4F21"/>
    <w:rsid w:val="00DB4F42"/>
    <w:rsid w:val="00DB540C"/>
    <w:rsid w:val="00DB5854"/>
    <w:rsid w:val="00DB6F96"/>
    <w:rsid w:val="00DB71B9"/>
    <w:rsid w:val="00DB7662"/>
    <w:rsid w:val="00DB7E46"/>
    <w:rsid w:val="00DC063C"/>
    <w:rsid w:val="00DC1395"/>
    <w:rsid w:val="00DC32FC"/>
    <w:rsid w:val="00DC347D"/>
    <w:rsid w:val="00DC3D53"/>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B9B"/>
    <w:rsid w:val="00DC7CFC"/>
    <w:rsid w:val="00DC7F1D"/>
    <w:rsid w:val="00DD0273"/>
    <w:rsid w:val="00DD0359"/>
    <w:rsid w:val="00DD06ED"/>
    <w:rsid w:val="00DD09F2"/>
    <w:rsid w:val="00DD0DEE"/>
    <w:rsid w:val="00DD1205"/>
    <w:rsid w:val="00DD1633"/>
    <w:rsid w:val="00DD17A0"/>
    <w:rsid w:val="00DD1B97"/>
    <w:rsid w:val="00DD2182"/>
    <w:rsid w:val="00DD2831"/>
    <w:rsid w:val="00DD2A6D"/>
    <w:rsid w:val="00DD2E17"/>
    <w:rsid w:val="00DD42DE"/>
    <w:rsid w:val="00DD4309"/>
    <w:rsid w:val="00DD4344"/>
    <w:rsid w:val="00DD4357"/>
    <w:rsid w:val="00DD4DDD"/>
    <w:rsid w:val="00DD549E"/>
    <w:rsid w:val="00DD573B"/>
    <w:rsid w:val="00DD57E7"/>
    <w:rsid w:val="00DD5A1E"/>
    <w:rsid w:val="00DD5B8C"/>
    <w:rsid w:val="00DD5DFA"/>
    <w:rsid w:val="00DD5E91"/>
    <w:rsid w:val="00DD6CE2"/>
    <w:rsid w:val="00DD720D"/>
    <w:rsid w:val="00DE0229"/>
    <w:rsid w:val="00DE0264"/>
    <w:rsid w:val="00DE04E0"/>
    <w:rsid w:val="00DE12F1"/>
    <w:rsid w:val="00DE1A9D"/>
    <w:rsid w:val="00DE1CB1"/>
    <w:rsid w:val="00DE1EA4"/>
    <w:rsid w:val="00DE2073"/>
    <w:rsid w:val="00DE2F10"/>
    <w:rsid w:val="00DE2F85"/>
    <w:rsid w:val="00DE30AC"/>
    <w:rsid w:val="00DE38D1"/>
    <w:rsid w:val="00DE4106"/>
    <w:rsid w:val="00DE466B"/>
    <w:rsid w:val="00DE48F4"/>
    <w:rsid w:val="00DE493B"/>
    <w:rsid w:val="00DE5563"/>
    <w:rsid w:val="00DE5C19"/>
    <w:rsid w:val="00DE5D48"/>
    <w:rsid w:val="00DE6157"/>
    <w:rsid w:val="00DE6E4D"/>
    <w:rsid w:val="00DE7498"/>
    <w:rsid w:val="00DE75EF"/>
    <w:rsid w:val="00DE7611"/>
    <w:rsid w:val="00DE7614"/>
    <w:rsid w:val="00DE7D19"/>
    <w:rsid w:val="00DF05A0"/>
    <w:rsid w:val="00DF1162"/>
    <w:rsid w:val="00DF1BA8"/>
    <w:rsid w:val="00DF1F63"/>
    <w:rsid w:val="00DF28F2"/>
    <w:rsid w:val="00DF2BFF"/>
    <w:rsid w:val="00DF30F6"/>
    <w:rsid w:val="00DF3798"/>
    <w:rsid w:val="00DF4FF1"/>
    <w:rsid w:val="00DF56A3"/>
    <w:rsid w:val="00DF5B33"/>
    <w:rsid w:val="00DF6FD2"/>
    <w:rsid w:val="00DF72EF"/>
    <w:rsid w:val="00DF743D"/>
    <w:rsid w:val="00DF7724"/>
    <w:rsid w:val="00E000D8"/>
    <w:rsid w:val="00E00C1E"/>
    <w:rsid w:val="00E00F5F"/>
    <w:rsid w:val="00E010E6"/>
    <w:rsid w:val="00E01377"/>
    <w:rsid w:val="00E014E7"/>
    <w:rsid w:val="00E017DE"/>
    <w:rsid w:val="00E0232F"/>
    <w:rsid w:val="00E026A9"/>
    <w:rsid w:val="00E0356F"/>
    <w:rsid w:val="00E03B42"/>
    <w:rsid w:val="00E03C10"/>
    <w:rsid w:val="00E03C60"/>
    <w:rsid w:val="00E0479F"/>
    <w:rsid w:val="00E04816"/>
    <w:rsid w:val="00E04982"/>
    <w:rsid w:val="00E04D6A"/>
    <w:rsid w:val="00E058DB"/>
    <w:rsid w:val="00E05950"/>
    <w:rsid w:val="00E05CD4"/>
    <w:rsid w:val="00E05DE8"/>
    <w:rsid w:val="00E06100"/>
    <w:rsid w:val="00E0614E"/>
    <w:rsid w:val="00E0692E"/>
    <w:rsid w:val="00E06E97"/>
    <w:rsid w:val="00E07B8F"/>
    <w:rsid w:val="00E102A6"/>
    <w:rsid w:val="00E10712"/>
    <w:rsid w:val="00E10DD1"/>
    <w:rsid w:val="00E11105"/>
    <w:rsid w:val="00E1224C"/>
    <w:rsid w:val="00E1254C"/>
    <w:rsid w:val="00E1298C"/>
    <w:rsid w:val="00E12BDF"/>
    <w:rsid w:val="00E131D8"/>
    <w:rsid w:val="00E13326"/>
    <w:rsid w:val="00E13D07"/>
    <w:rsid w:val="00E14346"/>
    <w:rsid w:val="00E14356"/>
    <w:rsid w:val="00E14961"/>
    <w:rsid w:val="00E14D76"/>
    <w:rsid w:val="00E15183"/>
    <w:rsid w:val="00E15D6C"/>
    <w:rsid w:val="00E1720B"/>
    <w:rsid w:val="00E20057"/>
    <w:rsid w:val="00E203DE"/>
    <w:rsid w:val="00E2096D"/>
    <w:rsid w:val="00E20CE7"/>
    <w:rsid w:val="00E217B1"/>
    <w:rsid w:val="00E222FA"/>
    <w:rsid w:val="00E229CE"/>
    <w:rsid w:val="00E22B4A"/>
    <w:rsid w:val="00E2376D"/>
    <w:rsid w:val="00E2449B"/>
    <w:rsid w:val="00E24A62"/>
    <w:rsid w:val="00E24E3B"/>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27B5"/>
    <w:rsid w:val="00E327EB"/>
    <w:rsid w:val="00E33328"/>
    <w:rsid w:val="00E333D5"/>
    <w:rsid w:val="00E3394F"/>
    <w:rsid w:val="00E33A0B"/>
    <w:rsid w:val="00E34037"/>
    <w:rsid w:val="00E34A2F"/>
    <w:rsid w:val="00E355CA"/>
    <w:rsid w:val="00E35A45"/>
    <w:rsid w:val="00E35F7F"/>
    <w:rsid w:val="00E36392"/>
    <w:rsid w:val="00E36790"/>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4E6"/>
    <w:rsid w:val="00E43551"/>
    <w:rsid w:val="00E437FA"/>
    <w:rsid w:val="00E438F3"/>
    <w:rsid w:val="00E456A5"/>
    <w:rsid w:val="00E45A2C"/>
    <w:rsid w:val="00E46A6B"/>
    <w:rsid w:val="00E46A9C"/>
    <w:rsid w:val="00E47DB1"/>
    <w:rsid w:val="00E50BDD"/>
    <w:rsid w:val="00E510CF"/>
    <w:rsid w:val="00E513D7"/>
    <w:rsid w:val="00E519FE"/>
    <w:rsid w:val="00E5206C"/>
    <w:rsid w:val="00E52AAB"/>
    <w:rsid w:val="00E5448E"/>
    <w:rsid w:val="00E5477E"/>
    <w:rsid w:val="00E54E0D"/>
    <w:rsid w:val="00E54F47"/>
    <w:rsid w:val="00E55096"/>
    <w:rsid w:val="00E551E0"/>
    <w:rsid w:val="00E55247"/>
    <w:rsid w:val="00E558E5"/>
    <w:rsid w:val="00E55B3C"/>
    <w:rsid w:val="00E56795"/>
    <w:rsid w:val="00E56D88"/>
    <w:rsid w:val="00E56D96"/>
    <w:rsid w:val="00E57300"/>
    <w:rsid w:val="00E57594"/>
    <w:rsid w:val="00E57932"/>
    <w:rsid w:val="00E606C4"/>
    <w:rsid w:val="00E60811"/>
    <w:rsid w:val="00E60AB8"/>
    <w:rsid w:val="00E6103E"/>
    <w:rsid w:val="00E6185F"/>
    <w:rsid w:val="00E61D32"/>
    <w:rsid w:val="00E62FB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6F2"/>
    <w:rsid w:val="00E728E2"/>
    <w:rsid w:val="00E738FA"/>
    <w:rsid w:val="00E739B6"/>
    <w:rsid w:val="00E74A2B"/>
    <w:rsid w:val="00E75667"/>
    <w:rsid w:val="00E756D3"/>
    <w:rsid w:val="00E75A5A"/>
    <w:rsid w:val="00E76004"/>
    <w:rsid w:val="00E7608F"/>
    <w:rsid w:val="00E760D7"/>
    <w:rsid w:val="00E769CC"/>
    <w:rsid w:val="00E77124"/>
    <w:rsid w:val="00E77341"/>
    <w:rsid w:val="00E7783E"/>
    <w:rsid w:val="00E778B8"/>
    <w:rsid w:val="00E801C7"/>
    <w:rsid w:val="00E80AF8"/>
    <w:rsid w:val="00E80BED"/>
    <w:rsid w:val="00E816E8"/>
    <w:rsid w:val="00E819C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7A37"/>
    <w:rsid w:val="00E87CF7"/>
    <w:rsid w:val="00E9036E"/>
    <w:rsid w:val="00E9078A"/>
    <w:rsid w:val="00E912FD"/>
    <w:rsid w:val="00E91B26"/>
    <w:rsid w:val="00E92C6E"/>
    <w:rsid w:val="00E92D0B"/>
    <w:rsid w:val="00E92FFF"/>
    <w:rsid w:val="00E93195"/>
    <w:rsid w:val="00E9391C"/>
    <w:rsid w:val="00E93D05"/>
    <w:rsid w:val="00E950D4"/>
    <w:rsid w:val="00E951D8"/>
    <w:rsid w:val="00E95C2A"/>
    <w:rsid w:val="00E95F03"/>
    <w:rsid w:val="00E961CB"/>
    <w:rsid w:val="00E963BC"/>
    <w:rsid w:val="00E966A6"/>
    <w:rsid w:val="00E96D97"/>
    <w:rsid w:val="00E96E91"/>
    <w:rsid w:val="00E9751D"/>
    <w:rsid w:val="00E97DC6"/>
    <w:rsid w:val="00E97F7A"/>
    <w:rsid w:val="00EA0010"/>
    <w:rsid w:val="00EA0143"/>
    <w:rsid w:val="00EA06C4"/>
    <w:rsid w:val="00EA073C"/>
    <w:rsid w:val="00EA089B"/>
    <w:rsid w:val="00EA1ACC"/>
    <w:rsid w:val="00EA29E4"/>
    <w:rsid w:val="00EA2DCA"/>
    <w:rsid w:val="00EA2E21"/>
    <w:rsid w:val="00EA2EAA"/>
    <w:rsid w:val="00EA380C"/>
    <w:rsid w:val="00EA613D"/>
    <w:rsid w:val="00EA6645"/>
    <w:rsid w:val="00EA6744"/>
    <w:rsid w:val="00EA7077"/>
    <w:rsid w:val="00EA7308"/>
    <w:rsid w:val="00EA7474"/>
    <w:rsid w:val="00EB018D"/>
    <w:rsid w:val="00EB0831"/>
    <w:rsid w:val="00EB089C"/>
    <w:rsid w:val="00EB0AA8"/>
    <w:rsid w:val="00EB0B65"/>
    <w:rsid w:val="00EB0C65"/>
    <w:rsid w:val="00EB1624"/>
    <w:rsid w:val="00EB169F"/>
    <w:rsid w:val="00EB2635"/>
    <w:rsid w:val="00EB2961"/>
    <w:rsid w:val="00EB2E1A"/>
    <w:rsid w:val="00EB2F8A"/>
    <w:rsid w:val="00EB3012"/>
    <w:rsid w:val="00EB3268"/>
    <w:rsid w:val="00EB3298"/>
    <w:rsid w:val="00EB33EA"/>
    <w:rsid w:val="00EB3939"/>
    <w:rsid w:val="00EB3CE6"/>
    <w:rsid w:val="00EB3E92"/>
    <w:rsid w:val="00EB54AB"/>
    <w:rsid w:val="00EB6257"/>
    <w:rsid w:val="00EB64E8"/>
    <w:rsid w:val="00EB68E6"/>
    <w:rsid w:val="00EB6AE9"/>
    <w:rsid w:val="00EB6B2D"/>
    <w:rsid w:val="00EB71C9"/>
    <w:rsid w:val="00EB763E"/>
    <w:rsid w:val="00EB7B67"/>
    <w:rsid w:val="00EC07F1"/>
    <w:rsid w:val="00EC1E8A"/>
    <w:rsid w:val="00EC328C"/>
    <w:rsid w:val="00EC32F5"/>
    <w:rsid w:val="00EC36FD"/>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0D53"/>
    <w:rsid w:val="00ED149C"/>
    <w:rsid w:val="00ED18B1"/>
    <w:rsid w:val="00ED1ADE"/>
    <w:rsid w:val="00ED2F40"/>
    <w:rsid w:val="00ED3692"/>
    <w:rsid w:val="00ED3B94"/>
    <w:rsid w:val="00ED4A77"/>
    <w:rsid w:val="00ED4B6E"/>
    <w:rsid w:val="00ED5981"/>
    <w:rsid w:val="00ED613A"/>
    <w:rsid w:val="00ED6227"/>
    <w:rsid w:val="00ED6514"/>
    <w:rsid w:val="00ED66B2"/>
    <w:rsid w:val="00ED71BA"/>
    <w:rsid w:val="00ED728F"/>
    <w:rsid w:val="00ED73A1"/>
    <w:rsid w:val="00ED7CA2"/>
    <w:rsid w:val="00EE04F9"/>
    <w:rsid w:val="00EE05E0"/>
    <w:rsid w:val="00EE0F88"/>
    <w:rsid w:val="00EE0FF6"/>
    <w:rsid w:val="00EE13DA"/>
    <w:rsid w:val="00EE1595"/>
    <w:rsid w:val="00EE1E71"/>
    <w:rsid w:val="00EE2087"/>
    <w:rsid w:val="00EE20C2"/>
    <w:rsid w:val="00EE2A9D"/>
    <w:rsid w:val="00EE3384"/>
    <w:rsid w:val="00EE4309"/>
    <w:rsid w:val="00EE499F"/>
    <w:rsid w:val="00EE56E2"/>
    <w:rsid w:val="00EE5C81"/>
    <w:rsid w:val="00EE5FCD"/>
    <w:rsid w:val="00EE63BF"/>
    <w:rsid w:val="00EE6D45"/>
    <w:rsid w:val="00EE6E89"/>
    <w:rsid w:val="00EE7DCE"/>
    <w:rsid w:val="00EF028F"/>
    <w:rsid w:val="00EF0D4B"/>
    <w:rsid w:val="00EF0FE6"/>
    <w:rsid w:val="00EF1130"/>
    <w:rsid w:val="00EF1432"/>
    <w:rsid w:val="00EF1511"/>
    <w:rsid w:val="00EF1F01"/>
    <w:rsid w:val="00EF2C39"/>
    <w:rsid w:val="00EF2C5F"/>
    <w:rsid w:val="00EF302A"/>
    <w:rsid w:val="00EF317C"/>
    <w:rsid w:val="00EF320D"/>
    <w:rsid w:val="00EF3811"/>
    <w:rsid w:val="00EF3AC4"/>
    <w:rsid w:val="00EF3FF9"/>
    <w:rsid w:val="00EF41AF"/>
    <w:rsid w:val="00EF4DB4"/>
    <w:rsid w:val="00EF5234"/>
    <w:rsid w:val="00EF55E9"/>
    <w:rsid w:val="00EF5B41"/>
    <w:rsid w:val="00EF611C"/>
    <w:rsid w:val="00EF625F"/>
    <w:rsid w:val="00EF62C0"/>
    <w:rsid w:val="00EF6D5A"/>
    <w:rsid w:val="00EF71E6"/>
    <w:rsid w:val="00F0058A"/>
    <w:rsid w:val="00F00630"/>
    <w:rsid w:val="00F00922"/>
    <w:rsid w:val="00F00924"/>
    <w:rsid w:val="00F016AB"/>
    <w:rsid w:val="00F0187E"/>
    <w:rsid w:val="00F01BE6"/>
    <w:rsid w:val="00F01F75"/>
    <w:rsid w:val="00F0217A"/>
    <w:rsid w:val="00F022AA"/>
    <w:rsid w:val="00F026D3"/>
    <w:rsid w:val="00F0272A"/>
    <w:rsid w:val="00F027E8"/>
    <w:rsid w:val="00F03395"/>
    <w:rsid w:val="00F034E6"/>
    <w:rsid w:val="00F03E4C"/>
    <w:rsid w:val="00F042D1"/>
    <w:rsid w:val="00F04D19"/>
    <w:rsid w:val="00F050A3"/>
    <w:rsid w:val="00F06340"/>
    <w:rsid w:val="00F0665D"/>
    <w:rsid w:val="00F068F3"/>
    <w:rsid w:val="00F06D42"/>
    <w:rsid w:val="00F07134"/>
    <w:rsid w:val="00F0724D"/>
    <w:rsid w:val="00F07378"/>
    <w:rsid w:val="00F07F8C"/>
    <w:rsid w:val="00F10B81"/>
    <w:rsid w:val="00F10BC9"/>
    <w:rsid w:val="00F113C9"/>
    <w:rsid w:val="00F11C01"/>
    <w:rsid w:val="00F11D80"/>
    <w:rsid w:val="00F12129"/>
    <w:rsid w:val="00F121BE"/>
    <w:rsid w:val="00F14B08"/>
    <w:rsid w:val="00F14B4B"/>
    <w:rsid w:val="00F14CD1"/>
    <w:rsid w:val="00F1500D"/>
    <w:rsid w:val="00F15115"/>
    <w:rsid w:val="00F15A85"/>
    <w:rsid w:val="00F15C81"/>
    <w:rsid w:val="00F15D8C"/>
    <w:rsid w:val="00F15F18"/>
    <w:rsid w:val="00F16B86"/>
    <w:rsid w:val="00F16E1A"/>
    <w:rsid w:val="00F16F92"/>
    <w:rsid w:val="00F17C3E"/>
    <w:rsid w:val="00F20197"/>
    <w:rsid w:val="00F20369"/>
    <w:rsid w:val="00F20607"/>
    <w:rsid w:val="00F2078B"/>
    <w:rsid w:val="00F208BB"/>
    <w:rsid w:val="00F20C9E"/>
    <w:rsid w:val="00F20E2D"/>
    <w:rsid w:val="00F213D8"/>
    <w:rsid w:val="00F21A5D"/>
    <w:rsid w:val="00F21C13"/>
    <w:rsid w:val="00F22362"/>
    <w:rsid w:val="00F22796"/>
    <w:rsid w:val="00F2296A"/>
    <w:rsid w:val="00F234A4"/>
    <w:rsid w:val="00F2363A"/>
    <w:rsid w:val="00F238F7"/>
    <w:rsid w:val="00F23BA0"/>
    <w:rsid w:val="00F2420C"/>
    <w:rsid w:val="00F24B10"/>
    <w:rsid w:val="00F24C28"/>
    <w:rsid w:val="00F254C4"/>
    <w:rsid w:val="00F25641"/>
    <w:rsid w:val="00F256D8"/>
    <w:rsid w:val="00F25813"/>
    <w:rsid w:val="00F25824"/>
    <w:rsid w:val="00F25E8C"/>
    <w:rsid w:val="00F26065"/>
    <w:rsid w:val="00F26277"/>
    <w:rsid w:val="00F266E3"/>
    <w:rsid w:val="00F2689C"/>
    <w:rsid w:val="00F26913"/>
    <w:rsid w:val="00F26D17"/>
    <w:rsid w:val="00F27099"/>
    <w:rsid w:val="00F27E44"/>
    <w:rsid w:val="00F27F79"/>
    <w:rsid w:val="00F30313"/>
    <w:rsid w:val="00F303BC"/>
    <w:rsid w:val="00F30472"/>
    <w:rsid w:val="00F31052"/>
    <w:rsid w:val="00F318A1"/>
    <w:rsid w:val="00F31CF5"/>
    <w:rsid w:val="00F3265C"/>
    <w:rsid w:val="00F32C4A"/>
    <w:rsid w:val="00F33262"/>
    <w:rsid w:val="00F343EE"/>
    <w:rsid w:val="00F353F4"/>
    <w:rsid w:val="00F35494"/>
    <w:rsid w:val="00F35607"/>
    <w:rsid w:val="00F357F3"/>
    <w:rsid w:val="00F359AB"/>
    <w:rsid w:val="00F35AD5"/>
    <w:rsid w:val="00F35DBA"/>
    <w:rsid w:val="00F3619D"/>
    <w:rsid w:val="00F36DDE"/>
    <w:rsid w:val="00F3722A"/>
    <w:rsid w:val="00F37366"/>
    <w:rsid w:val="00F37C99"/>
    <w:rsid w:val="00F37EDB"/>
    <w:rsid w:val="00F37FCC"/>
    <w:rsid w:val="00F405CB"/>
    <w:rsid w:val="00F40FCD"/>
    <w:rsid w:val="00F419B8"/>
    <w:rsid w:val="00F41C0F"/>
    <w:rsid w:val="00F42856"/>
    <w:rsid w:val="00F4288F"/>
    <w:rsid w:val="00F42ED7"/>
    <w:rsid w:val="00F433B2"/>
    <w:rsid w:val="00F43777"/>
    <w:rsid w:val="00F4482B"/>
    <w:rsid w:val="00F44F02"/>
    <w:rsid w:val="00F45039"/>
    <w:rsid w:val="00F4526B"/>
    <w:rsid w:val="00F45298"/>
    <w:rsid w:val="00F45A96"/>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09E"/>
    <w:rsid w:val="00F5364F"/>
    <w:rsid w:val="00F53A44"/>
    <w:rsid w:val="00F54E5E"/>
    <w:rsid w:val="00F551DB"/>
    <w:rsid w:val="00F553E7"/>
    <w:rsid w:val="00F55810"/>
    <w:rsid w:val="00F559BE"/>
    <w:rsid w:val="00F55D76"/>
    <w:rsid w:val="00F56F7E"/>
    <w:rsid w:val="00F56FEF"/>
    <w:rsid w:val="00F57521"/>
    <w:rsid w:val="00F57E2D"/>
    <w:rsid w:val="00F60024"/>
    <w:rsid w:val="00F60938"/>
    <w:rsid w:val="00F60C7E"/>
    <w:rsid w:val="00F60E0A"/>
    <w:rsid w:val="00F61606"/>
    <w:rsid w:val="00F61918"/>
    <w:rsid w:val="00F62151"/>
    <w:rsid w:val="00F62CA8"/>
    <w:rsid w:val="00F62F92"/>
    <w:rsid w:val="00F630B4"/>
    <w:rsid w:val="00F635EF"/>
    <w:rsid w:val="00F63BF4"/>
    <w:rsid w:val="00F63C55"/>
    <w:rsid w:val="00F63C60"/>
    <w:rsid w:val="00F64991"/>
    <w:rsid w:val="00F65BA9"/>
    <w:rsid w:val="00F65BC8"/>
    <w:rsid w:val="00F65EEA"/>
    <w:rsid w:val="00F66205"/>
    <w:rsid w:val="00F6630F"/>
    <w:rsid w:val="00F66419"/>
    <w:rsid w:val="00F66944"/>
    <w:rsid w:val="00F67079"/>
    <w:rsid w:val="00F67B58"/>
    <w:rsid w:val="00F67E81"/>
    <w:rsid w:val="00F67E88"/>
    <w:rsid w:val="00F70055"/>
    <w:rsid w:val="00F7044B"/>
    <w:rsid w:val="00F70FD4"/>
    <w:rsid w:val="00F70FDC"/>
    <w:rsid w:val="00F71342"/>
    <w:rsid w:val="00F71C68"/>
    <w:rsid w:val="00F724E2"/>
    <w:rsid w:val="00F74103"/>
    <w:rsid w:val="00F7410A"/>
    <w:rsid w:val="00F745A4"/>
    <w:rsid w:val="00F74C0C"/>
    <w:rsid w:val="00F758E1"/>
    <w:rsid w:val="00F75BB5"/>
    <w:rsid w:val="00F75E22"/>
    <w:rsid w:val="00F75FD5"/>
    <w:rsid w:val="00F7604C"/>
    <w:rsid w:val="00F773A9"/>
    <w:rsid w:val="00F8056E"/>
    <w:rsid w:val="00F805B7"/>
    <w:rsid w:val="00F80F4A"/>
    <w:rsid w:val="00F810C1"/>
    <w:rsid w:val="00F81623"/>
    <w:rsid w:val="00F81D25"/>
    <w:rsid w:val="00F81F6C"/>
    <w:rsid w:val="00F8245C"/>
    <w:rsid w:val="00F82928"/>
    <w:rsid w:val="00F829B9"/>
    <w:rsid w:val="00F83045"/>
    <w:rsid w:val="00F83615"/>
    <w:rsid w:val="00F83EC7"/>
    <w:rsid w:val="00F8421D"/>
    <w:rsid w:val="00F85329"/>
    <w:rsid w:val="00F85504"/>
    <w:rsid w:val="00F85683"/>
    <w:rsid w:val="00F85841"/>
    <w:rsid w:val="00F86079"/>
    <w:rsid w:val="00F8610A"/>
    <w:rsid w:val="00F87282"/>
    <w:rsid w:val="00F873B9"/>
    <w:rsid w:val="00F878CD"/>
    <w:rsid w:val="00F87905"/>
    <w:rsid w:val="00F87A66"/>
    <w:rsid w:val="00F903AB"/>
    <w:rsid w:val="00F90C1F"/>
    <w:rsid w:val="00F912D9"/>
    <w:rsid w:val="00F919F8"/>
    <w:rsid w:val="00F91A44"/>
    <w:rsid w:val="00F91BFA"/>
    <w:rsid w:val="00F91F8F"/>
    <w:rsid w:val="00F9217B"/>
    <w:rsid w:val="00F92A4E"/>
    <w:rsid w:val="00F9399D"/>
    <w:rsid w:val="00F94016"/>
    <w:rsid w:val="00F95995"/>
    <w:rsid w:val="00F97A34"/>
    <w:rsid w:val="00F97E4A"/>
    <w:rsid w:val="00F97EA1"/>
    <w:rsid w:val="00FA003A"/>
    <w:rsid w:val="00FA05C8"/>
    <w:rsid w:val="00FA0678"/>
    <w:rsid w:val="00FA0DB6"/>
    <w:rsid w:val="00FA23F7"/>
    <w:rsid w:val="00FA27EB"/>
    <w:rsid w:val="00FA2B08"/>
    <w:rsid w:val="00FA35B6"/>
    <w:rsid w:val="00FA3EBC"/>
    <w:rsid w:val="00FA423C"/>
    <w:rsid w:val="00FA44D0"/>
    <w:rsid w:val="00FA4590"/>
    <w:rsid w:val="00FA55A2"/>
    <w:rsid w:val="00FA568C"/>
    <w:rsid w:val="00FA672F"/>
    <w:rsid w:val="00FA775E"/>
    <w:rsid w:val="00FA7792"/>
    <w:rsid w:val="00FA7AA8"/>
    <w:rsid w:val="00FA7F1D"/>
    <w:rsid w:val="00FB011C"/>
    <w:rsid w:val="00FB0D60"/>
    <w:rsid w:val="00FB18FD"/>
    <w:rsid w:val="00FB2440"/>
    <w:rsid w:val="00FB2BF5"/>
    <w:rsid w:val="00FB2F8E"/>
    <w:rsid w:val="00FB30C3"/>
    <w:rsid w:val="00FB39B0"/>
    <w:rsid w:val="00FB5138"/>
    <w:rsid w:val="00FB547F"/>
    <w:rsid w:val="00FB55AB"/>
    <w:rsid w:val="00FB5A71"/>
    <w:rsid w:val="00FB63F6"/>
    <w:rsid w:val="00FB7823"/>
    <w:rsid w:val="00FC05B2"/>
    <w:rsid w:val="00FC08B3"/>
    <w:rsid w:val="00FC09D7"/>
    <w:rsid w:val="00FC0ABE"/>
    <w:rsid w:val="00FC1269"/>
    <w:rsid w:val="00FC13E4"/>
    <w:rsid w:val="00FC1D89"/>
    <w:rsid w:val="00FC22D0"/>
    <w:rsid w:val="00FC2E74"/>
    <w:rsid w:val="00FC38D4"/>
    <w:rsid w:val="00FC391E"/>
    <w:rsid w:val="00FC39B3"/>
    <w:rsid w:val="00FC3A70"/>
    <w:rsid w:val="00FC3BB7"/>
    <w:rsid w:val="00FC4345"/>
    <w:rsid w:val="00FC444A"/>
    <w:rsid w:val="00FC453D"/>
    <w:rsid w:val="00FC4A89"/>
    <w:rsid w:val="00FC619B"/>
    <w:rsid w:val="00FC665F"/>
    <w:rsid w:val="00FC6C35"/>
    <w:rsid w:val="00FC6D59"/>
    <w:rsid w:val="00FC7561"/>
    <w:rsid w:val="00FC78F5"/>
    <w:rsid w:val="00FC7ACA"/>
    <w:rsid w:val="00FC7AD2"/>
    <w:rsid w:val="00FD0993"/>
    <w:rsid w:val="00FD10B3"/>
    <w:rsid w:val="00FD11C3"/>
    <w:rsid w:val="00FD154E"/>
    <w:rsid w:val="00FD24D7"/>
    <w:rsid w:val="00FD29CE"/>
    <w:rsid w:val="00FD305F"/>
    <w:rsid w:val="00FD3AE2"/>
    <w:rsid w:val="00FD3E41"/>
    <w:rsid w:val="00FD3EFA"/>
    <w:rsid w:val="00FD54A8"/>
    <w:rsid w:val="00FD5A43"/>
    <w:rsid w:val="00FD5AE4"/>
    <w:rsid w:val="00FD5F25"/>
    <w:rsid w:val="00FD60BE"/>
    <w:rsid w:val="00FD6894"/>
    <w:rsid w:val="00FD6AF0"/>
    <w:rsid w:val="00FD704D"/>
    <w:rsid w:val="00FD74EF"/>
    <w:rsid w:val="00FD785C"/>
    <w:rsid w:val="00FD79B8"/>
    <w:rsid w:val="00FD79F6"/>
    <w:rsid w:val="00FE033F"/>
    <w:rsid w:val="00FE07A8"/>
    <w:rsid w:val="00FE0AD1"/>
    <w:rsid w:val="00FE0CC0"/>
    <w:rsid w:val="00FE1852"/>
    <w:rsid w:val="00FE1963"/>
    <w:rsid w:val="00FE1981"/>
    <w:rsid w:val="00FE1BF1"/>
    <w:rsid w:val="00FE33DB"/>
    <w:rsid w:val="00FE33F5"/>
    <w:rsid w:val="00FE352A"/>
    <w:rsid w:val="00FE37DD"/>
    <w:rsid w:val="00FE3C31"/>
    <w:rsid w:val="00FE4015"/>
    <w:rsid w:val="00FE41EF"/>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1CEF"/>
    <w:rsid w:val="00FF219D"/>
    <w:rsid w:val="00FF2A7B"/>
    <w:rsid w:val="00FF3D2B"/>
    <w:rsid w:val="00FF41FF"/>
    <w:rsid w:val="00FF49B4"/>
    <w:rsid w:val="00FF49F4"/>
    <w:rsid w:val="00FF5B8D"/>
    <w:rsid w:val="00FF5C6A"/>
    <w:rsid w:val="00FF651D"/>
    <w:rsid w:val="00FF6843"/>
    <w:rsid w:val="00FF6C25"/>
    <w:rsid w:val="00FF7B6C"/>
    <w:rsid w:val="00FF7DED"/>
    <w:rsid w:val="010651D9"/>
    <w:rsid w:val="011F6449"/>
    <w:rsid w:val="01236AFB"/>
    <w:rsid w:val="01401F5A"/>
    <w:rsid w:val="014F4893"/>
    <w:rsid w:val="019F7441"/>
    <w:rsid w:val="01A53138"/>
    <w:rsid w:val="01A729B4"/>
    <w:rsid w:val="01B37585"/>
    <w:rsid w:val="01D55165"/>
    <w:rsid w:val="01DF6BF8"/>
    <w:rsid w:val="01EC2C57"/>
    <w:rsid w:val="025F0711"/>
    <w:rsid w:val="026B2E25"/>
    <w:rsid w:val="02824D4D"/>
    <w:rsid w:val="02DC4B10"/>
    <w:rsid w:val="02DD76CE"/>
    <w:rsid w:val="02F36323"/>
    <w:rsid w:val="02F5619C"/>
    <w:rsid w:val="03126034"/>
    <w:rsid w:val="0326446A"/>
    <w:rsid w:val="032D5555"/>
    <w:rsid w:val="036634D2"/>
    <w:rsid w:val="03673D04"/>
    <w:rsid w:val="03DD35E4"/>
    <w:rsid w:val="04076900"/>
    <w:rsid w:val="041A5A3B"/>
    <w:rsid w:val="042311BA"/>
    <w:rsid w:val="042B157A"/>
    <w:rsid w:val="048F763B"/>
    <w:rsid w:val="049A6BF9"/>
    <w:rsid w:val="049F330E"/>
    <w:rsid w:val="04AA775C"/>
    <w:rsid w:val="04AB1561"/>
    <w:rsid w:val="04AF1889"/>
    <w:rsid w:val="04F66F48"/>
    <w:rsid w:val="05251E14"/>
    <w:rsid w:val="05850883"/>
    <w:rsid w:val="05A16594"/>
    <w:rsid w:val="05A7762D"/>
    <w:rsid w:val="060E5941"/>
    <w:rsid w:val="06110FAF"/>
    <w:rsid w:val="06493CA7"/>
    <w:rsid w:val="065A6178"/>
    <w:rsid w:val="066F1CF3"/>
    <w:rsid w:val="06930BB8"/>
    <w:rsid w:val="0724326C"/>
    <w:rsid w:val="07245D42"/>
    <w:rsid w:val="07264C62"/>
    <w:rsid w:val="07267E44"/>
    <w:rsid w:val="0779354C"/>
    <w:rsid w:val="07B25981"/>
    <w:rsid w:val="07D65CF9"/>
    <w:rsid w:val="07E937DA"/>
    <w:rsid w:val="08013E26"/>
    <w:rsid w:val="08061376"/>
    <w:rsid w:val="081A31DA"/>
    <w:rsid w:val="08296A60"/>
    <w:rsid w:val="08452D77"/>
    <w:rsid w:val="086401F8"/>
    <w:rsid w:val="08716E9D"/>
    <w:rsid w:val="08751CAA"/>
    <w:rsid w:val="087E4C40"/>
    <w:rsid w:val="08A871D0"/>
    <w:rsid w:val="08D66AD6"/>
    <w:rsid w:val="08DA33A3"/>
    <w:rsid w:val="08E80F13"/>
    <w:rsid w:val="09335624"/>
    <w:rsid w:val="0944690F"/>
    <w:rsid w:val="09535675"/>
    <w:rsid w:val="095F057D"/>
    <w:rsid w:val="09642282"/>
    <w:rsid w:val="09733572"/>
    <w:rsid w:val="09772C16"/>
    <w:rsid w:val="098177BB"/>
    <w:rsid w:val="098353B5"/>
    <w:rsid w:val="098E1A6C"/>
    <w:rsid w:val="09A25EFC"/>
    <w:rsid w:val="09A92330"/>
    <w:rsid w:val="09B06B87"/>
    <w:rsid w:val="09C13146"/>
    <w:rsid w:val="09E04166"/>
    <w:rsid w:val="0A1C0718"/>
    <w:rsid w:val="0A3E7710"/>
    <w:rsid w:val="0A5B7E63"/>
    <w:rsid w:val="0A864B98"/>
    <w:rsid w:val="0AA374A5"/>
    <w:rsid w:val="0AAB7649"/>
    <w:rsid w:val="0ABC5606"/>
    <w:rsid w:val="0B30404E"/>
    <w:rsid w:val="0B31725D"/>
    <w:rsid w:val="0B4C6C14"/>
    <w:rsid w:val="0B547599"/>
    <w:rsid w:val="0B631A88"/>
    <w:rsid w:val="0B683D45"/>
    <w:rsid w:val="0B752445"/>
    <w:rsid w:val="0B7F3F11"/>
    <w:rsid w:val="0B884417"/>
    <w:rsid w:val="0BAF5D9F"/>
    <w:rsid w:val="0BF6188C"/>
    <w:rsid w:val="0BF73C91"/>
    <w:rsid w:val="0C170175"/>
    <w:rsid w:val="0C571A41"/>
    <w:rsid w:val="0C5C1171"/>
    <w:rsid w:val="0C5E1CBC"/>
    <w:rsid w:val="0C615B50"/>
    <w:rsid w:val="0C8445DA"/>
    <w:rsid w:val="0C87121B"/>
    <w:rsid w:val="0CC007F7"/>
    <w:rsid w:val="0CC617AC"/>
    <w:rsid w:val="0CE618DF"/>
    <w:rsid w:val="0CFE707A"/>
    <w:rsid w:val="0D063BDA"/>
    <w:rsid w:val="0D08375F"/>
    <w:rsid w:val="0D184CFB"/>
    <w:rsid w:val="0D4A7419"/>
    <w:rsid w:val="0D827401"/>
    <w:rsid w:val="0D84094E"/>
    <w:rsid w:val="0D8A00E9"/>
    <w:rsid w:val="0D8D589E"/>
    <w:rsid w:val="0DA01C73"/>
    <w:rsid w:val="0DD63300"/>
    <w:rsid w:val="0DF50604"/>
    <w:rsid w:val="0DF702FE"/>
    <w:rsid w:val="0E060E51"/>
    <w:rsid w:val="0E0713AC"/>
    <w:rsid w:val="0E245572"/>
    <w:rsid w:val="0E5604B2"/>
    <w:rsid w:val="0E6D5D79"/>
    <w:rsid w:val="0E9D0089"/>
    <w:rsid w:val="0EB803EE"/>
    <w:rsid w:val="0ED42F86"/>
    <w:rsid w:val="0EF94D4B"/>
    <w:rsid w:val="0F4958DC"/>
    <w:rsid w:val="0F515DF7"/>
    <w:rsid w:val="0F596BA8"/>
    <w:rsid w:val="0F6248D2"/>
    <w:rsid w:val="0F693536"/>
    <w:rsid w:val="0F7B0511"/>
    <w:rsid w:val="0F7B76D9"/>
    <w:rsid w:val="0F816ACD"/>
    <w:rsid w:val="0F9832DB"/>
    <w:rsid w:val="0FBF3FD2"/>
    <w:rsid w:val="0FBF7FF3"/>
    <w:rsid w:val="10646583"/>
    <w:rsid w:val="107D4B15"/>
    <w:rsid w:val="108A3C80"/>
    <w:rsid w:val="10C26171"/>
    <w:rsid w:val="10F33360"/>
    <w:rsid w:val="10FC16EA"/>
    <w:rsid w:val="1109680C"/>
    <w:rsid w:val="110F1D40"/>
    <w:rsid w:val="11266F33"/>
    <w:rsid w:val="118920E3"/>
    <w:rsid w:val="118963A1"/>
    <w:rsid w:val="11C6522A"/>
    <w:rsid w:val="11CA6DF7"/>
    <w:rsid w:val="11E104CC"/>
    <w:rsid w:val="11E20309"/>
    <w:rsid w:val="12255233"/>
    <w:rsid w:val="12530213"/>
    <w:rsid w:val="127723A9"/>
    <w:rsid w:val="12862074"/>
    <w:rsid w:val="12883966"/>
    <w:rsid w:val="129E45B4"/>
    <w:rsid w:val="12C72E91"/>
    <w:rsid w:val="12D81596"/>
    <w:rsid w:val="13072A44"/>
    <w:rsid w:val="134D1A2C"/>
    <w:rsid w:val="135F4BE2"/>
    <w:rsid w:val="139B1A0A"/>
    <w:rsid w:val="139D25C7"/>
    <w:rsid w:val="13BF3CE4"/>
    <w:rsid w:val="141008D8"/>
    <w:rsid w:val="14125FE6"/>
    <w:rsid w:val="142A5567"/>
    <w:rsid w:val="146D271E"/>
    <w:rsid w:val="14982588"/>
    <w:rsid w:val="149A5AD9"/>
    <w:rsid w:val="14A7619D"/>
    <w:rsid w:val="150536C3"/>
    <w:rsid w:val="15082937"/>
    <w:rsid w:val="150C1963"/>
    <w:rsid w:val="151447A0"/>
    <w:rsid w:val="15281848"/>
    <w:rsid w:val="154A6454"/>
    <w:rsid w:val="156A1844"/>
    <w:rsid w:val="15762120"/>
    <w:rsid w:val="158F18CB"/>
    <w:rsid w:val="16866F97"/>
    <w:rsid w:val="16A8729C"/>
    <w:rsid w:val="16B33777"/>
    <w:rsid w:val="16BC70A7"/>
    <w:rsid w:val="16C6339E"/>
    <w:rsid w:val="17065B0B"/>
    <w:rsid w:val="170F1C7E"/>
    <w:rsid w:val="172F2D79"/>
    <w:rsid w:val="17557BEF"/>
    <w:rsid w:val="17AA41C9"/>
    <w:rsid w:val="17D31922"/>
    <w:rsid w:val="17D349C1"/>
    <w:rsid w:val="18244F26"/>
    <w:rsid w:val="1830729E"/>
    <w:rsid w:val="18581E27"/>
    <w:rsid w:val="185F4F64"/>
    <w:rsid w:val="1870062C"/>
    <w:rsid w:val="18817102"/>
    <w:rsid w:val="18830A15"/>
    <w:rsid w:val="18852B28"/>
    <w:rsid w:val="188B5321"/>
    <w:rsid w:val="19932372"/>
    <w:rsid w:val="199A1B30"/>
    <w:rsid w:val="19A20DD5"/>
    <w:rsid w:val="19AE03F1"/>
    <w:rsid w:val="1A071A03"/>
    <w:rsid w:val="1A1F16AE"/>
    <w:rsid w:val="1A3B5C77"/>
    <w:rsid w:val="1A4A34E3"/>
    <w:rsid w:val="1A984BAD"/>
    <w:rsid w:val="1AB8220E"/>
    <w:rsid w:val="1AD907C8"/>
    <w:rsid w:val="1AE4166C"/>
    <w:rsid w:val="1AF06CFB"/>
    <w:rsid w:val="1AF11B8D"/>
    <w:rsid w:val="1B11359C"/>
    <w:rsid w:val="1B1A1DAC"/>
    <w:rsid w:val="1B2A271F"/>
    <w:rsid w:val="1B530544"/>
    <w:rsid w:val="1B713184"/>
    <w:rsid w:val="1BA209CF"/>
    <w:rsid w:val="1BA637F7"/>
    <w:rsid w:val="1BB4777D"/>
    <w:rsid w:val="1BCF0653"/>
    <w:rsid w:val="1BD75AB8"/>
    <w:rsid w:val="1BE85270"/>
    <w:rsid w:val="1C0459C2"/>
    <w:rsid w:val="1C1B3B4A"/>
    <w:rsid w:val="1C88086E"/>
    <w:rsid w:val="1CA7512B"/>
    <w:rsid w:val="1CE16D8E"/>
    <w:rsid w:val="1D266CE1"/>
    <w:rsid w:val="1D3963AF"/>
    <w:rsid w:val="1D4B5B0E"/>
    <w:rsid w:val="1D6A673C"/>
    <w:rsid w:val="1D712256"/>
    <w:rsid w:val="1D9247AE"/>
    <w:rsid w:val="1DA43C40"/>
    <w:rsid w:val="1DB567EC"/>
    <w:rsid w:val="1DD72678"/>
    <w:rsid w:val="1DF51A98"/>
    <w:rsid w:val="1E051CD9"/>
    <w:rsid w:val="1E0A4CCC"/>
    <w:rsid w:val="1E3D060F"/>
    <w:rsid w:val="1E3F7D2E"/>
    <w:rsid w:val="1E4134E4"/>
    <w:rsid w:val="1E5062B3"/>
    <w:rsid w:val="1E523514"/>
    <w:rsid w:val="1E714A66"/>
    <w:rsid w:val="1E802593"/>
    <w:rsid w:val="1E8B6156"/>
    <w:rsid w:val="1E90376C"/>
    <w:rsid w:val="1EA703CC"/>
    <w:rsid w:val="1EB7330C"/>
    <w:rsid w:val="1F0A0FF3"/>
    <w:rsid w:val="1F5771FF"/>
    <w:rsid w:val="1FD52574"/>
    <w:rsid w:val="1FE868A9"/>
    <w:rsid w:val="20034907"/>
    <w:rsid w:val="20173E4B"/>
    <w:rsid w:val="204E48BC"/>
    <w:rsid w:val="206D2B5A"/>
    <w:rsid w:val="208921B3"/>
    <w:rsid w:val="20973DEB"/>
    <w:rsid w:val="20B26522"/>
    <w:rsid w:val="20B44310"/>
    <w:rsid w:val="20DF30E6"/>
    <w:rsid w:val="211116EB"/>
    <w:rsid w:val="214D44F3"/>
    <w:rsid w:val="21520AC0"/>
    <w:rsid w:val="216133FC"/>
    <w:rsid w:val="217955C5"/>
    <w:rsid w:val="21D56769"/>
    <w:rsid w:val="21E52EF3"/>
    <w:rsid w:val="21FB5D7B"/>
    <w:rsid w:val="22015E94"/>
    <w:rsid w:val="220B1C3D"/>
    <w:rsid w:val="221D1D20"/>
    <w:rsid w:val="22334A87"/>
    <w:rsid w:val="224A22AE"/>
    <w:rsid w:val="22BE6801"/>
    <w:rsid w:val="233500BF"/>
    <w:rsid w:val="23377FF7"/>
    <w:rsid w:val="236B425F"/>
    <w:rsid w:val="23836192"/>
    <w:rsid w:val="23901F29"/>
    <w:rsid w:val="23990758"/>
    <w:rsid w:val="239C0061"/>
    <w:rsid w:val="23B908A4"/>
    <w:rsid w:val="23DF640C"/>
    <w:rsid w:val="23E95BEF"/>
    <w:rsid w:val="23FD0064"/>
    <w:rsid w:val="245036BD"/>
    <w:rsid w:val="245375B0"/>
    <w:rsid w:val="24642C0A"/>
    <w:rsid w:val="2494222D"/>
    <w:rsid w:val="24B22173"/>
    <w:rsid w:val="24B95AD9"/>
    <w:rsid w:val="24BE24DA"/>
    <w:rsid w:val="24CF5825"/>
    <w:rsid w:val="24D636C4"/>
    <w:rsid w:val="24D663E6"/>
    <w:rsid w:val="24D77F2B"/>
    <w:rsid w:val="251B0465"/>
    <w:rsid w:val="25761767"/>
    <w:rsid w:val="258B00E2"/>
    <w:rsid w:val="259E33ED"/>
    <w:rsid w:val="25A917A6"/>
    <w:rsid w:val="25AD641C"/>
    <w:rsid w:val="25BE27CC"/>
    <w:rsid w:val="25F74A5C"/>
    <w:rsid w:val="2628662C"/>
    <w:rsid w:val="262D45DE"/>
    <w:rsid w:val="26871DC8"/>
    <w:rsid w:val="26A53EF9"/>
    <w:rsid w:val="26A94201"/>
    <w:rsid w:val="26AC274F"/>
    <w:rsid w:val="26DD7481"/>
    <w:rsid w:val="27044A29"/>
    <w:rsid w:val="271D34C8"/>
    <w:rsid w:val="276142BF"/>
    <w:rsid w:val="27783712"/>
    <w:rsid w:val="27907362"/>
    <w:rsid w:val="28094EEC"/>
    <w:rsid w:val="28333E1D"/>
    <w:rsid w:val="28454BD6"/>
    <w:rsid w:val="28455253"/>
    <w:rsid w:val="28551971"/>
    <w:rsid w:val="285B1C53"/>
    <w:rsid w:val="289F7086"/>
    <w:rsid w:val="28B25C35"/>
    <w:rsid w:val="28C32028"/>
    <w:rsid w:val="28CC490F"/>
    <w:rsid w:val="28DE40AA"/>
    <w:rsid w:val="29345E77"/>
    <w:rsid w:val="294C65AD"/>
    <w:rsid w:val="29806583"/>
    <w:rsid w:val="298B3C4C"/>
    <w:rsid w:val="29F26D24"/>
    <w:rsid w:val="2A15033F"/>
    <w:rsid w:val="2A1662C1"/>
    <w:rsid w:val="2A1C7367"/>
    <w:rsid w:val="2A2815FA"/>
    <w:rsid w:val="2A6D6092"/>
    <w:rsid w:val="2A7D76B4"/>
    <w:rsid w:val="2AEF458E"/>
    <w:rsid w:val="2B437463"/>
    <w:rsid w:val="2B7807EE"/>
    <w:rsid w:val="2B884F7D"/>
    <w:rsid w:val="2BA50BF7"/>
    <w:rsid w:val="2BBF00EC"/>
    <w:rsid w:val="2BC37CFD"/>
    <w:rsid w:val="2BD5237F"/>
    <w:rsid w:val="2BE536CE"/>
    <w:rsid w:val="2BE758D9"/>
    <w:rsid w:val="2BF346BB"/>
    <w:rsid w:val="2BF66688"/>
    <w:rsid w:val="2C09049E"/>
    <w:rsid w:val="2C0A653C"/>
    <w:rsid w:val="2C191F85"/>
    <w:rsid w:val="2CE82D6F"/>
    <w:rsid w:val="2CEB2E12"/>
    <w:rsid w:val="2D343236"/>
    <w:rsid w:val="2D575011"/>
    <w:rsid w:val="2DD15014"/>
    <w:rsid w:val="2DF72DE4"/>
    <w:rsid w:val="2E0220AF"/>
    <w:rsid w:val="2E1F0FC6"/>
    <w:rsid w:val="2E262B12"/>
    <w:rsid w:val="2E4B082A"/>
    <w:rsid w:val="2E5D4E86"/>
    <w:rsid w:val="2E5D790B"/>
    <w:rsid w:val="2E83593B"/>
    <w:rsid w:val="2E9A3C18"/>
    <w:rsid w:val="2EBB0FEE"/>
    <w:rsid w:val="2EBF2F22"/>
    <w:rsid w:val="2EC63002"/>
    <w:rsid w:val="2F0A6B38"/>
    <w:rsid w:val="2F946CCB"/>
    <w:rsid w:val="2F972DDE"/>
    <w:rsid w:val="2FD25781"/>
    <w:rsid w:val="2FDC745C"/>
    <w:rsid w:val="2FFD7934"/>
    <w:rsid w:val="300C68B1"/>
    <w:rsid w:val="306F2C53"/>
    <w:rsid w:val="30733ACD"/>
    <w:rsid w:val="308C3862"/>
    <w:rsid w:val="309379D8"/>
    <w:rsid w:val="30A270F7"/>
    <w:rsid w:val="30DF1478"/>
    <w:rsid w:val="30EC586F"/>
    <w:rsid w:val="311A5A74"/>
    <w:rsid w:val="319C6071"/>
    <w:rsid w:val="31AC537E"/>
    <w:rsid w:val="31C12394"/>
    <w:rsid w:val="31E3679B"/>
    <w:rsid w:val="31E732FD"/>
    <w:rsid w:val="32517576"/>
    <w:rsid w:val="32BE5C2C"/>
    <w:rsid w:val="32FB6478"/>
    <w:rsid w:val="33263B3F"/>
    <w:rsid w:val="336963EB"/>
    <w:rsid w:val="337C2A16"/>
    <w:rsid w:val="33816EEB"/>
    <w:rsid w:val="33EB55CD"/>
    <w:rsid w:val="33EC4C02"/>
    <w:rsid w:val="340D2360"/>
    <w:rsid w:val="3410665D"/>
    <w:rsid w:val="34211214"/>
    <w:rsid w:val="342E63AB"/>
    <w:rsid w:val="346516FC"/>
    <w:rsid w:val="34950E68"/>
    <w:rsid w:val="34986E94"/>
    <w:rsid w:val="34AF62C9"/>
    <w:rsid w:val="34CB4388"/>
    <w:rsid w:val="34D125E4"/>
    <w:rsid w:val="34FA6E12"/>
    <w:rsid w:val="35301D0A"/>
    <w:rsid w:val="354D7158"/>
    <w:rsid w:val="358D5588"/>
    <w:rsid w:val="35C506A4"/>
    <w:rsid w:val="363A3B40"/>
    <w:rsid w:val="365302AE"/>
    <w:rsid w:val="36607A0A"/>
    <w:rsid w:val="36681B85"/>
    <w:rsid w:val="366E227C"/>
    <w:rsid w:val="366F2E0D"/>
    <w:rsid w:val="367B6A5C"/>
    <w:rsid w:val="36A74ADA"/>
    <w:rsid w:val="36AD60D5"/>
    <w:rsid w:val="36B224F9"/>
    <w:rsid w:val="36EC0CC9"/>
    <w:rsid w:val="373F410B"/>
    <w:rsid w:val="37B73FD0"/>
    <w:rsid w:val="37EE7094"/>
    <w:rsid w:val="37FA26C7"/>
    <w:rsid w:val="38296C89"/>
    <w:rsid w:val="383002EB"/>
    <w:rsid w:val="38586797"/>
    <w:rsid w:val="385D15DF"/>
    <w:rsid w:val="388778F1"/>
    <w:rsid w:val="38BC0149"/>
    <w:rsid w:val="38D87D1C"/>
    <w:rsid w:val="39094D4C"/>
    <w:rsid w:val="39636459"/>
    <w:rsid w:val="396B7F6C"/>
    <w:rsid w:val="39B417A9"/>
    <w:rsid w:val="39FC5695"/>
    <w:rsid w:val="3A006D8E"/>
    <w:rsid w:val="3A3651E5"/>
    <w:rsid w:val="3A744481"/>
    <w:rsid w:val="3A8C7BEF"/>
    <w:rsid w:val="3A906246"/>
    <w:rsid w:val="3B2349B7"/>
    <w:rsid w:val="3B386EF0"/>
    <w:rsid w:val="3B4876AF"/>
    <w:rsid w:val="3B602C1D"/>
    <w:rsid w:val="3B616CFF"/>
    <w:rsid w:val="3B6259F6"/>
    <w:rsid w:val="3B976654"/>
    <w:rsid w:val="3BC01EFC"/>
    <w:rsid w:val="3BC907C3"/>
    <w:rsid w:val="3BCA786A"/>
    <w:rsid w:val="3BD31E2F"/>
    <w:rsid w:val="3BF15831"/>
    <w:rsid w:val="3C105946"/>
    <w:rsid w:val="3C471448"/>
    <w:rsid w:val="3C5F759A"/>
    <w:rsid w:val="3C6C525A"/>
    <w:rsid w:val="3C6D55F2"/>
    <w:rsid w:val="3CCE23CB"/>
    <w:rsid w:val="3CD17D17"/>
    <w:rsid w:val="3CE33B06"/>
    <w:rsid w:val="3CF63839"/>
    <w:rsid w:val="3D3C7F39"/>
    <w:rsid w:val="3D440F09"/>
    <w:rsid w:val="3D4504A0"/>
    <w:rsid w:val="3D8734BB"/>
    <w:rsid w:val="3D9A11D4"/>
    <w:rsid w:val="3DA16D89"/>
    <w:rsid w:val="3DA364BE"/>
    <w:rsid w:val="3DAA0180"/>
    <w:rsid w:val="3DE041CB"/>
    <w:rsid w:val="3DE6740A"/>
    <w:rsid w:val="3E0D48F6"/>
    <w:rsid w:val="3E1868B4"/>
    <w:rsid w:val="3E377251"/>
    <w:rsid w:val="3E42664B"/>
    <w:rsid w:val="3E5A7334"/>
    <w:rsid w:val="3E7B5D6B"/>
    <w:rsid w:val="3E843E66"/>
    <w:rsid w:val="3E8F51FE"/>
    <w:rsid w:val="3E926F87"/>
    <w:rsid w:val="3E9A59DE"/>
    <w:rsid w:val="3EAF4836"/>
    <w:rsid w:val="3EC33DFA"/>
    <w:rsid w:val="3F060E16"/>
    <w:rsid w:val="3F1D1096"/>
    <w:rsid w:val="3F2F0234"/>
    <w:rsid w:val="3F6363FE"/>
    <w:rsid w:val="3F756B8F"/>
    <w:rsid w:val="3F95482B"/>
    <w:rsid w:val="4019356B"/>
    <w:rsid w:val="40592157"/>
    <w:rsid w:val="406E1CAE"/>
    <w:rsid w:val="40A0133A"/>
    <w:rsid w:val="40C31A53"/>
    <w:rsid w:val="40C96FC1"/>
    <w:rsid w:val="40FF545D"/>
    <w:rsid w:val="410067C8"/>
    <w:rsid w:val="41133F2D"/>
    <w:rsid w:val="4129629B"/>
    <w:rsid w:val="415B010F"/>
    <w:rsid w:val="4188379D"/>
    <w:rsid w:val="418F0D2A"/>
    <w:rsid w:val="41D01505"/>
    <w:rsid w:val="41FB0C1D"/>
    <w:rsid w:val="42164036"/>
    <w:rsid w:val="42474939"/>
    <w:rsid w:val="424C3C57"/>
    <w:rsid w:val="42613FF3"/>
    <w:rsid w:val="42660D96"/>
    <w:rsid w:val="428667D2"/>
    <w:rsid w:val="42CD1CE0"/>
    <w:rsid w:val="42E1381E"/>
    <w:rsid w:val="42ED6459"/>
    <w:rsid w:val="42FE58DD"/>
    <w:rsid w:val="43014BA5"/>
    <w:rsid w:val="43174B3D"/>
    <w:rsid w:val="434B790E"/>
    <w:rsid w:val="4360274F"/>
    <w:rsid w:val="43977AB6"/>
    <w:rsid w:val="43A3342B"/>
    <w:rsid w:val="43C77C27"/>
    <w:rsid w:val="43DE09EE"/>
    <w:rsid w:val="44002FAD"/>
    <w:rsid w:val="449101DD"/>
    <w:rsid w:val="44B019A5"/>
    <w:rsid w:val="44DE1391"/>
    <w:rsid w:val="451B225C"/>
    <w:rsid w:val="452410C9"/>
    <w:rsid w:val="45317DFB"/>
    <w:rsid w:val="455B3AB6"/>
    <w:rsid w:val="456D3CE4"/>
    <w:rsid w:val="4579042C"/>
    <w:rsid w:val="457F0571"/>
    <w:rsid w:val="45851176"/>
    <w:rsid w:val="45C63B94"/>
    <w:rsid w:val="45D46B6F"/>
    <w:rsid w:val="460E7DA5"/>
    <w:rsid w:val="46422483"/>
    <w:rsid w:val="4659254A"/>
    <w:rsid w:val="465B0637"/>
    <w:rsid w:val="465E3F0D"/>
    <w:rsid w:val="466A16E6"/>
    <w:rsid w:val="46893F2B"/>
    <w:rsid w:val="46A2058E"/>
    <w:rsid w:val="46C4686E"/>
    <w:rsid w:val="4760647F"/>
    <w:rsid w:val="477B778F"/>
    <w:rsid w:val="478203EC"/>
    <w:rsid w:val="47B025FA"/>
    <w:rsid w:val="47E86EEE"/>
    <w:rsid w:val="4809698F"/>
    <w:rsid w:val="4811697D"/>
    <w:rsid w:val="487A3E25"/>
    <w:rsid w:val="488B5503"/>
    <w:rsid w:val="48937E21"/>
    <w:rsid w:val="489A0361"/>
    <w:rsid w:val="489A57D5"/>
    <w:rsid w:val="48B94FF3"/>
    <w:rsid w:val="48DC049E"/>
    <w:rsid w:val="48E37AAB"/>
    <w:rsid w:val="48FD4B4C"/>
    <w:rsid w:val="490A68E0"/>
    <w:rsid w:val="491055FE"/>
    <w:rsid w:val="495F5B3E"/>
    <w:rsid w:val="496F77D7"/>
    <w:rsid w:val="497654FD"/>
    <w:rsid w:val="49B64211"/>
    <w:rsid w:val="49F6167F"/>
    <w:rsid w:val="4A064FA0"/>
    <w:rsid w:val="4A16615C"/>
    <w:rsid w:val="4A1C41B3"/>
    <w:rsid w:val="4A4424D7"/>
    <w:rsid w:val="4AB82D0F"/>
    <w:rsid w:val="4AEB7664"/>
    <w:rsid w:val="4AFD7C19"/>
    <w:rsid w:val="4B0567D1"/>
    <w:rsid w:val="4B236AAE"/>
    <w:rsid w:val="4B707271"/>
    <w:rsid w:val="4B83273C"/>
    <w:rsid w:val="4B8858DA"/>
    <w:rsid w:val="4B9739F7"/>
    <w:rsid w:val="4BAA1F9F"/>
    <w:rsid w:val="4BEE2503"/>
    <w:rsid w:val="4C245A30"/>
    <w:rsid w:val="4C2F4672"/>
    <w:rsid w:val="4CAB7D1A"/>
    <w:rsid w:val="4CB6685F"/>
    <w:rsid w:val="4CB9595F"/>
    <w:rsid w:val="4CC367FE"/>
    <w:rsid w:val="4D077F3C"/>
    <w:rsid w:val="4D093881"/>
    <w:rsid w:val="4D123355"/>
    <w:rsid w:val="4D2A3B31"/>
    <w:rsid w:val="4D312C52"/>
    <w:rsid w:val="4D905305"/>
    <w:rsid w:val="4D964A72"/>
    <w:rsid w:val="4D9C1254"/>
    <w:rsid w:val="4E793892"/>
    <w:rsid w:val="4E800872"/>
    <w:rsid w:val="4EC569ED"/>
    <w:rsid w:val="4ED50EA1"/>
    <w:rsid w:val="4EEC050C"/>
    <w:rsid w:val="4F104EC3"/>
    <w:rsid w:val="4F211FAF"/>
    <w:rsid w:val="4F47354A"/>
    <w:rsid w:val="4F911C54"/>
    <w:rsid w:val="4FE625E0"/>
    <w:rsid w:val="5021480F"/>
    <w:rsid w:val="5081267B"/>
    <w:rsid w:val="50962ECB"/>
    <w:rsid w:val="50A42E38"/>
    <w:rsid w:val="50A4577F"/>
    <w:rsid w:val="50B73D1F"/>
    <w:rsid w:val="50BD5BC9"/>
    <w:rsid w:val="50C11EEE"/>
    <w:rsid w:val="50E97CFC"/>
    <w:rsid w:val="50FA4028"/>
    <w:rsid w:val="510D65B7"/>
    <w:rsid w:val="511157AB"/>
    <w:rsid w:val="5142540C"/>
    <w:rsid w:val="51674663"/>
    <w:rsid w:val="518832C8"/>
    <w:rsid w:val="519D3C50"/>
    <w:rsid w:val="51A0432A"/>
    <w:rsid w:val="51A86090"/>
    <w:rsid w:val="51B7396D"/>
    <w:rsid w:val="522E4CC3"/>
    <w:rsid w:val="5244713B"/>
    <w:rsid w:val="52615633"/>
    <w:rsid w:val="526F4DE4"/>
    <w:rsid w:val="52977FD4"/>
    <w:rsid w:val="52A25790"/>
    <w:rsid w:val="52A96B6F"/>
    <w:rsid w:val="52B45975"/>
    <w:rsid w:val="52D94AA4"/>
    <w:rsid w:val="52EA3A62"/>
    <w:rsid w:val="52F50BB8"/>
    <w:rsid w:val="53097272"/>
    <w:rsid w:val="53544462"/>
    <w:rsid w:val="5397158E"/>
    <w:rsid w:val="53991430"/>
    <w:rsid w:val="54013861"/>
    <w:rsid w:val="54487265"/>
    <w:rsid w:val="544D6070"/>
    <w:rsid w:val="54605E1E"/>
    <w:rsid w:val="546448E7"/>
    <w:rsid w:val="54B3506A"/>
    <w:rsid w:val="54CA0D16"/>
    <w:rsid w:val="54DD4057"/>
    <w:rsid w:val="54E7490F"/>
    <w:rsid w:val="550764A4"/>
    <w:rsid w:val="550B2BF6"/>
    <w:rsid w:val="55214EB5"/>
    <w:rsid w:val="55364EFD"/>
    <w:rsid w:val="555D4828"/>
    <w:rsid w:val="557A4C8B"/>
    <w:rsid w:val="558931E1"/>
    <w:rsid w:val="55923347"/>
    <w:rsid w:val="55925180"/>
    <w:rsid w:val="55983B1B"/>
    <w:rsid w:val="55A8376B"/>
    <w:rsid w:val="55BB26D5"/>
    <w:rsid w:val="55C14B9F"/>
    <w:rsid w:val="55C91693"/>
    <w:rsid w:val="55DC29B6"/>
    <w:rsid w:val="55DD4241"/>
    <w:rsid w:val="56170651"/>
    <w:rsid w:val="56374888"/>
    <w:rsid w:val="566B6D1E"/>
    <w:rsid w:val="56A9758B"/>
    <w:rsid w:val="57032A2C"/>
    <w:rsid w:val="570F5219"/>
    <w:rsid w:val="575D12B5"/>
    <w:rsid w:val="57610A87"/>
    <w:rsid w:val="577B1140"/>
    <w:rsid w:val="577B7F21"/>
    <w:rsid w:val="577F181B"/>
    <w:rsid w:val="57921984"/>
    <w:rsid w:val="579428F5"/>
    <w:rsid w:val="579737F0"/>
    <w:rsid w:val="57AB7B30"/>
    <w:rsid w:val="57AF5251"/>
    <w:rsid w:val="57B26373"/>
    <w:rsid w:val="57B63F04"/>
    <w:rsid w:val="57CD20C2"/>
    <w:rsid w:val="57D675AB"/>
    <w:rsid w:val="57D73717"/>
    <w:rsid w:val="57D95FDD"/>
    <w:rsid w:val="58917D2F"/>
    <w:rsid w:val="5894085C"/>
    <w:rsid w:val="58AE4F0C"/>
    <w:rsid w:val="58B85899"/>
    <w:rsid w:val="58C50BF4"/>
    <w:rsid w:val="58E363A9"/>
    <w:rsid w:val="59166304"/>
    <w:rsid w:val="595E1678"/>
    <w:rsid w:val="596D5BD4"/>
    <w:rsid w:val="597E3DD8"/>
    <w:rsid w:val="59E94996"/>
    <w:rsid w:val="59F80043"/>
    <w:rsid w:val="5A09252F"/>
    <w:rsid w:val="5A0B2778"/>
    <w:rsid w:val="5A2A7C7B"/>
    <w:rsid w:val="5A3E2560"/>
    <w:rsid w:val="5A5D3B6E"/>
    <w:rsid w:val="5A637A76"/>
    <w:rsid w:val="5A6D33BA"/>
    <w:rsid w:val="5A792B1F"/>
    <w:rsid w:val="5A874767"/>
    <w:rsid w:val="5AA85BE2"/>
    <w:rsid w:val="5AAD6F28"/>
    <w:rsid w:val="5AD63A24"/>
    <w:rsid w:val="5B046CCA"/>
    <w:rsid w:val="5B0D0CBD"/>
    <w:rsid w:val="5B2E1A1D"/>
    <w:rsid w:val="5B843A1C"/>
    <w:rsid w:val="5B873E3F"/>
    <w:rsid w:val="5BC7349D"/>
    <w:rsid w:val="5BCE7567"/>
    <w:rsid w:val="5C02690E"/>
    <w:rsid w:val="5C0641AD"/>
    <w:rsid w:val="5C196DA7"/>
    <w:rsid w:val="5C2A048C"/>
    <w:rsid w:val="5C2E5644"/>
    <w:rsid w:val="5C80234E"/>
    <w:rsid w:val="5C8A680C"/>
    <w:rsid w:val="5CDF354A"/>
    <w:rsid w:val="5D0C4701"/>
    <w:rsid w:val="5D0F0395"/>
    <w:rsid w:val="5D221076"/>
    <w:rsid w:val="5D397964"/>
    <w:rsid w:val="5D46181B"/>
    <w:rsid w:val="5D5A391C"/>
    <w:rsid w:val="5D5F10C0"/>
    <w:rsid w:val="5D7905DF"/>
    <w:rsid w:val="5D7E2D63"/>
    <w:rsid w:val="5D891B7B"/>
    <w:rsid w:val="5DAD38EE"/>
    <w:rsid w:val="5E006862"/>
    <w:rsid w:val="5E0207B9"/>
    <w:rsid w:val="5E1834A1"/>
    <w:rsid w:val="5E261785"/>
    <w:rsid w:val="5E4A7017"/>
    <w:rsid w:val="5E552BBA"/>
    <w:rsid w:val="5E611C10"/>
    <w:rsid w:val="5E7A0F3F"/>
    <w:rsid w:val="5EFC7377"/>
    <w:rsid w:val="5F06174D"/>
    <w:rsid w:val="5F2E3C3E"/>
    <w:rsid w:val="5F3A3602"/>
    <w:rsid w:val="5F45733B"/>
    <w:rsid w:val="5F6277C6"/>
    <w:rsid w:val="5F6D0B1D"/>
    <w:rsid w:val="5F8D0B82"/>
    <w:rsid w:val="5FA171DD"/>
    <w:rsid w:val="5FCC5339"/>
    <w:rsid w:val="5FE34A5B"/>
    <w:rsid w:val="5FEE3226"/>
    <w:rsid w:val="5FF2674B"/>
    <w:rsid w:val="5FFE1E36"/>
    <w:rsid w:val="60232584"/>
    <w:rsid w:val="607330CE"/>
    <w:rsid w:val="60825176"/>
    <w:rsid w:val="609F2AC4"/>
    <w:rsid w:val="60FA2EE8"/>
    <w:rsid w:val="61054A27"/>
    <w:rsid w:val="610A52BC"/>
    <w:rsid w:val="611D2366"/>
    <w:rsid w:val="61421856"/>
    <w:rsid w:val="615227C4"/>
    <w:rsid w:val="616023B0"/>
    <w:rsid w:val="61606B1E"/>
    <w:rsid w:val="61654E3F"/>
    <w:rsid w:val="6182292A"/>
    <w:rsid w:val="619F7F92"/>
    <w:rsid w:val="61A92379"/>
    <w:rsid w:val="61F94C26"/>
    <w:rsid w:val="62000E56"/>
    <w:rsid w:val="620606B3"/>
    <w:rsid w:val="624F3E49"/>
    <w:rsid w:val="62632286"/>
    <w:rsid w:val="62885958"/>
    <w:rsid w:val="62F40B65"/>
    <w:rsid w:val="62FC2CFE"/>
    <w:rsid w:val="62FC443C"/>
    <w:rsid w:val="63024505"/>
    <w:rsid w:val="635600A5"/>
    <w:rsid w:val="635B1DB5"/>
    <w:rsid w:val="63711FED"/>
    <w:rsid w:val="63880DDC"/>
    <w:rsid w:val="638D750D"/>
    <w:rsid w:val="63906D4B"/>
    <w:rsid w:val="63AC6CC0"/>
    <w:rsid w:val="64055776"/>
    <w:rsid w:val="64240056"/>
    <w:rsid w:val="643E143A"/>
    <w:rsid w:val="64491666"/>
    <w:rsid w:val="648B6EEF"/>
    <w:rsid w:val="64C158BF"/>
    <w:rsid w:val="64CE2EAA"/>
    <w:rsid w:val="653C3090"/>
    <w:rsid w:val="654923D5"/>
    <w:rsid w:val="65854376"/>
    <w:rsid w:val="658767BE"/>
    <w:rsid w:val="65892531"/>
    <w:rsid w:val="66195831"/>
    <w:rsid w:val="662E75B1"/>
    <w:rsid w:val="66342C2E"/>
    <w:rsid w:val="663E784C"/>
    <w:rsid w:val="668B6A45"/>
    <w:rsid w:val="66952ECC"/>
    <w:rsid w:val="66A87D04"/>
    <w:rsid w:val="672F3F24"/>
    <w:rsid w:val="673E055F"/>
    <w:rsid w:val="67487A01"/>
    <w:rsid w:val="674F7E5C"/>
    <w:rsid w:val="67551CE3"/>
    <w:rsid w:val="67A22552"/>
    <w:rsid w:val="67B22DCC"/>
    <w:rsid w:val="67BE71AA"/>
    <w:rsid w:val="67C779FD"/>
    <w:rsid w:val="67D90273"/>
    <w:rsid w:val="67DE5875"/>
    <w:rsid w:val="67E55852"/>
    <w:rsid w:val="67EB1AB4"/>
    <w:rsid w:val="67FA1285"/>
    <w:rsid w:val="68551F4F"/>
    <w:rsid w:val="687A4A6F"/>
    <w:rsid w:val="687C10C9"/>
    <w:rsid w:val="68840C16"/>
    <w:rsid w:val="68876EFB"/>
    <w:rsid w:val="68884654"/>
    <w:rsid w:val="689F444F"/>
    <w:rsid w:val="68B96DBB"/>
    <w:rsid w:val="68CA2805"/>
    <w:rsid w:val="68E937A3"/>
    <w:rsid w:val="68FB5BB0"/>
    <w:rsid w:val="693E15D3"/>
    <w:rsid w:val="69627681"/>
    <w:rsid w:val="6977531D"/>
    <w:rsid w:val="69BB0E9B"/>
    <w:rsid w:val="69CC2BFF"/>
    <w:rsid w:val="69F913D7"/>
    <w:rsid w:val="69FD55B8"/>
    <w:rsid w:val="6A0B1C62"/>
    <w:rsid w:val="6A1B7DE7"/>
    <w:rsid w:val="6A2406C8"/>
    <w:rsid w:val="6ADE0BD1"/>
    <w:rsid w:val="6AE96859"/>
    <w:rsid w:val="6B147746"/>
    <w:rsid w:val="6B24787C"/>
    <w:rsid w:val="6B573233"/>
    <w:rsid w:val="6B5B6274"/>
    <w:rsid w:val="6B935D53"/>
    <w:rsid w:val="6C041A35"/>
    <w:rsid w:val="6C101424"/>
    <w:rsid w:val="6C196F71"/>
    <w:rsid w:val="6C226FCB"/>
    <w:rsid w:val="6C31226F"/>
    <w:rsid w:val="6C3C38A0"/>
    <w:rsid w:val="6C552F0B"/>
    <w:rsid w:val="6C8C67B7"/>
    <w:rsid w:val="6C9D744C"/>
    <w:rsid w:val="6D167928"/>
    <w:rsid w:val="6D26299B"/>
    <w:rsid w:val="6D4772EC"/>
    <w:rsid w:val="6D9078AF"/>
    <w:rsid w:val="6DAA3FEF"/>
    <w:rsid w:val="6DC0172B"/>
    <w:rsid w:val="6DCB690C"/>
    <w:rsid w:val="6DD41A5B"/>
    <w:rsid w:val="6DF43C2E"/>
    <w:rsid w:val="6DF51CA3"/>
    <w:rsid w:val="6E8335BD"/>
    <w:rsid w:val="6E8E12EF"/>
    <w:rsid w:val="6E972936"/>
    <w:rsid w:val="6EC627BC"/>
    <w:rsid w:val="6ED446C5"/>
    <w:rsid w:val="6F2A7D94"/>
    <w:rsid w:val="6F8331F1"/>
    <w:rsid w:val="6F980187"/>
    <w:rsid w:val="6FAE1A09"/>
    <w:rsid w:val="6FD75BF8"/>
    <w:rsid w:val="705F4E90"/>
    <w:rsid w:val="707723D0"/>
    <w:rsid w:val="70980188"/>
    <w:rsid w:val="70F5661B"/>
    <w:rsid w:val="71360107"/>
    <w:rsid w:val="713B688E"/>
    <w:rsid w:val="71D43752"/>
    <w:rsid w:val="71F1796A"/>
    <w:rsid w:val="72154626"/>
    <w:rsid w:val="72262B5D"/>
    <w:rsid w:val="72283FF7"/>
    <w:rsid w:val="722E7212"/>
    <w:rsid w:val="723A0474"/>
    <w:rsid w:val="725923E4"/>
    <w:rsid w:val="72864BF7"/>
    <w:rsid w:val="729023FC"/>
    <w:rsid w:val="7315171E"/>
    <w:rsid w:val="73C0646E"/>
    <w:rsid w:val="73E77B7E"/>
    <w:rsid w:val="74010BD4"/>
    <w:rsid w:val="740215BD"/>
    <w:rsid w:val="74065409"/>
    <w:rsid w:val="740B2A1F"/>
    <w:rsid w:val="742222F5"/>
    <w:rsid w:val="74476126"/>
    <w:rsid w:val="74706664"/>
    <w:rsid w:val="747F3682"/>
    <w:rsid w:val="749C4185"/>
    <w:rsid w:val="74C85E76"/>
    <w:rsid w:val="75067759"/>
    <w:rsid w:val="751C1388"/>
    <w:rsid w:val="752E6DCD"/>
    <w:rsid w:val="7551380D"/>
    <w:rsid w:val="75600BE5"/>
    <w:rsid w:val="7564475C"/>
    <w:rsid w:val="7583797F"/>
    <w:rsid w:val="75D20F1D"/>
    <w:rsid w:val="75DA2C18"/>
    <w:rsid w:val="75F54412"/>
    <w:rsid w:val="761D08E0"/>
    <w:rsid w:val="765D347C"/>
    <w:rsid w:val="76826699"/>
    <w:rsid w:val="76B42462"/>
    <w:rsid w:val="76C87133"/>
    <w:rsid w:val="76CD08D5"/>
    <w:rsid w:val="76DB4B92"/>
    <w:rsid w:val="76E05D92"/>
    <w:rsid w:val="77052AA4"/>
    <w:rsid w:val="77136511"/>
    <w:rsid w:val="772104E4"/>
    <w:rsid w:val="77340A39"/>
    <w:rsid w:val="77351FD0"/>
    <w:rsid w:val="77472422"/>
    <w:rsid w:val="777F31F2"/>
    <w:rsid w:val="77D1700D"/>
    <w:rsid w:val="77D32794"/>
    <w:rsid w:val="77D84854"/>
    <w:rsid w:val="77E3618D"/>
    <w:rsid w:val="77EC04CC"/>
    <w:rsid w:val="78775729"/>
    <w:rsid w:val="788F3C1F"/>
    <w:rsid w:val="78A42DB0"/>
    <w:rsid w:val="78A656AB"/>
    <w:rsid w:val="78B2245C"/>
    <w:rsid w:val="78E172CC"/>
    <w:rsid w:val="78EA1D1F"/>
    <w:rsid w:val="7904172F"/>
    <w:rsid w:val="790F7E27"/>
    <w:rsid w:val="79182FD1"/>
    <w:rsid w:val="792A231A"/>
    <w:rsid w:val="79316829"/>
    <w:rsid w:val="797E66A9"/>
    <w:rsid w:val="798518A4"/>
    <w:rsid w:val="79A97383"/>
    <w:rsid w:val="79D34EA6"/>
    <w:rsid w:val="79E27E8B"/>
    <w:rsid w:val="79F850CE"/>
    <w:rsid w:val="79FD443C"/>
    <w:rsid w:val="7A067F11"/>
    <w:rsid w:val="7A1D1975"/>
    <w:rsid w:val="7A3E5150"/>
    <w:rsid w:val="7A4670D6"/>
    <w:rsid w:val="7A534B63"/>
    <w:rsid w:val="7A5A5020"/>
    <w:rsid w:val="7A615382"/>
    <w:rsid w:val="7A67303B"/>
    <w:rsid w:val="7AAB1D04"/>
    <w:rsid w:val="7ABA4368"/>
    <w:rsid w:val="7AD05746"/>
    <w:rsid w:val="7B257FFD"/>
    <w:rsid w:val="7B343476"/>
    <w:rsid w:val="7B5A2978"/>
    <w:rsid w:val="7B5A7E4C"/>
    <w:rsid w:val="7B667AF9"/>
    <w:rsid w:val="7B7468F8"/>
    <w:rsid w:val="7B893F18"/>
    <w:rsid w:val="7BEC3136"/>
    <w:rsid w:val="7BEE0103"/>
    <w:rsid w:val="7C0A0FE4"/>
    <w:rsid w:val="7C254906"/>
    <w:rsid w:val="7C590818"/>
    <w:rsid w:val="7C7C10F6"/>
    <w:rsid w:val="7C853BEA"/>
    <w:rsid w:val="7C881368"/>
    <w:rsid w:val="7CE27788"/>
    <w:rsid w:val="7D0A375A"/>
    <w:rsid w:val="7D0C32F1"/>
    <w:rsid w:val="7D0F408D"/>
    <w:rsid w:val="7D491C6C"/>
    <w:rsid w:val="7D5429C0"/>
    <w:rsid w:val="7D6E6D43"/>
    <w:rsid w:val="7D910A1B"/>
    <w:rsid w:val="7DB57A34"/>
    <w:rsid w:val="7DE60973"/>
    <w:rsid w:val="7DE9072C"/>
    <w:rsid w:val="7DEF0916"/>
    <w:rsid w:val="7DFA111A"/>
    <w:rsid w:val="7E1E5218"/>
    <w:rsid w:val="7E9A4E1F"/>
    <w:rsid w:val="7EA7723A"/>
    <w:rsid w:val="7EF56FBB"/>
    <w:rsid w:val="7F0768EB"/>
    <w:rsid w:val="7F143BEC"/>
    <w:rsid w:val="7F402581"/>
    <w:rsid w:val="7F715AF2"/>
    <w:rsid w:val="7F886E69"/>
    <w:rsid w:val="BB7FA927"/>
    <w:rsid w:val="F5FFD31F"/>
    <w:rsid w:val="FFCF17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2"/>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3">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4">
    <w:name w:val="heading 3"/>
    <w:basedOn w:val="1"/>
    <w:next w:val="5"/>
    <w:qFormat/>
    <w:uiPriority w:val="0"/>
    <w:pPr>
      <w:keepNext/>
      <w:keepLines/>
      <w:tabs>
        <w:tab w:val="left" w:pos="900"/>
      </w:tabs>
      <w:spacing w:before="260" w:after="260" w:line="416" w:lineRule="auto"/>
      <w:ind w:left="900" w:hanging="720"/>
      <w:outlineLvl w:val="2"/>
    </w:pPr>
    <w:rPr>
      <w:b/>
      <w:bCs/>
      <w:sz w:val="32"/>
      <w:szCs w:val="32"/>
    </w:rPr>
  </w:style>
  <w:style w:type="paragraph" w:styleId="6">
    <w:name w:val="heading 4"/>
    <w:basedOn w:val="1"/>
    <w:next w:val="1"/>
    <w:link w:val="326"/>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7">
    <w:name w:val="heading 5"/>
    <w:basedOn w:val="1"/>
    <w:next w:val="1"/>
    <w:link w:val="292"/>
    <w:qFormat/>
    <w:uiPriority w:val="0"/>
    <w:pPr>
      <w:keepNext/>
      <w:keepLines/>
      <w:tabs>
        <w:tab w:val="left" w:pos="1008"/>
      </w:tabs>
      <w:spacing w:before="280" w:after="290" w:line="376" w:lineRule="auto"/>
      <w:ind w:left="1008" w:hanging="1008"/>
      <w:outlineLvl w:val="4"/>
    </w:pPr>
    <w:rPr>
      <w:b/>
      <w:bCs/>
      <w:sz w:val="28"/>
      <w:szCs w:val="28"/>
    </w:rPr>
  </w:style>
  <w:style w:type="paragraph" w:styleId="8">
    <w:name w:val="heading 6"/>
    <w:basedOn w:val="1"/>
    <w:next w:val="1"/>
    <w:link w:val="146"/>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9">
    <w:name w:val="heading 7"/>
    <w:basedOn w:val="1"/>
    <w:next w:val="1"/>
    <w:link w:val="306"/>
    <w:qFormat/>
    <w:uiPriority w:val="0"/>
    <w:pPr>
      <w:keepNext/>
      <w:keepLines/>
      <w:tabs>
        <w:tab w:val="left" w:pos="1296"/>
      </w:tabs>
      <w:spacing w:before="240" w:after="64" w:line="320" w:lineRule="auto"/>
      <w:ind w:left="1296" w:hanging="1296"/>
      <w:outlineLvl w:val="6"/>
    </w:pPr>
    <w:rPr>
      <w:b/>
      <w:bCs/>
      <w:sz w:val="24"/>
    </w:rPr>
  </w:style>
  <w:style w:type="paragraph" w:styleId="10">
    <w:name w:val="heading 8"/>
    <w:basedOn w:val="1"/>
    <w:next w:val="1"/>
    <w:link w:val="357"/>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1">
    <w:name w:val="heading 9"/>
    <w:basedOn w:val="1"/>
    <w:next w:val="1"/>
    <w:link w:val="181"/>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71">
    <w:name w:val="Default Paragraph Font"/>
    <w:semiHidden/>
    <w:unhideWhenUsed/>
    <w:qFormat/>
    <w:uiPriority w:val="1"/>
  </w:style>
  <w:style w:type="table" w:default="1" w:styleId="6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link w:val="192"/>
    <w:qFormat/>
    <w:uiPriority w:val="0"/>
    <w:pPr>
      <w:widowControl/>
      <w:snapToGrid w:val="0"/>
      <w:spacing w:line="480" w:lineRule="exact"/>
      <w:ind w:firstLine="567"/>
    </w:pPr>
    <w:rPr>
      <w:rFonts w:ascii="宋体"/>
      <w:snapToGrid w:val="0"/>
      <w:color w:val="000000"/>
      <w:kern w:val="28"/>
      <w:sz w:val="28"/>
      <w:szCs w:val="20"/>
    </w:rPr>
  </w:style>
  <w:style w:type="paragraph" w:styleId="12">
    <w:name w:val="toc 7"/>
    <w:basedOn w:val="1"/>
    <w:next w:val="1"/>
    <w:qFormat/>
    <w:uiPriority w:val="0"/>
    <w:pPr>
      <w:ind w:left="2520" w:leftChars="1200"/>
    </w:pPr>
  </w:style>
  <w:style w:type="paragraph" w:styleId="13">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4">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5">
    <w:name w:val="index 8"/>
    <w:basedOn w:val="1"/>
    <w:next w:val="1"/>
    <w:qFormat/>
    <w:uiPriority w:val="0"/>
    <w:pPr>
      <w:ind w:left="2940"/>
    </w:pPr>
  </w:style>
  <w:style w:type="paragraph" w:styleId="16">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7">
    <w:name w:val="caption"/>
    <w:basedOn w:val="1"/>
    <w:next w:val="1"/>
    <w:link w:val="228"/>
    <w:qFormat/>
    <w:uiPriority w:val="0"/>
    <w:rPr>
      <w:b/>
      <w:sz w:val="28"/>
      <w:szCs w:val="20"/>
    </w:rPr>
  </w:style>
  <w:style w:type="paragraph" w:styleId="18">
    <w:name w:val="index 5"/>
    <w:basedOn w:val="1"/>
    <w:next w:val="1"/>
    <w:qFormat/>
    <w:uiPriority w:val="0"/>
    <w:pPr>
      <w:adjustRightInd/>
      <w:ind w:left="800" w:leftChars="800" w:firstLine="200" w:firstLineChars="200"/>
    </w:pPr>
  </w:style>
  <w:style w:type="paragraph" w:styleId="19">
    <w:name w:val="Document Map"/>
    <w:basedOn w:val="1"/>
    <w:link w:val="201"/>
    <w:qFormat/>
    <w:uiPriority w:val="0"/>
    <w:pPr>
      <w:shd w:val="clear" w:color="auto" w:fill="000080"/>
    </w:pPr>
  </w:style>
  <w:style w:type="paragraph" w:styleId="20">
    <w:name w:val="annotation text"/>
    <w:basedOn w:val="1"/>
    <w:next w:val="21"/>
    <w:link w:val="343"/>
    <w:qFormat/>
    <w:uiPriority w:val="99"/>
    <w:pPr>
      <w:jc w:val="left"/>
    </w:pPr>
  </w:style>
  <w:style w:type="paragraph" w:styleId="21">
    <w:name w:val="Body Text Indent"/>
    <w:basedOn w:val="1"/>
    <w:next w:val="22"/>
    <w:link w:val="264"/>
    <w:qFormat/>
    <w:uiPriority w:val="0"/>
    <w:pPr>
      <w:spacing w:line="480" w:lineRule="exact"/>
      <w:ind w:firstLine="480" w:firstLineChars="200"/>
    </w:pPr>
    <w:rPr>
      <w:rFonts w:ascii="宋体" w:hAnsi="宋体"/>
      <w:sz w:val="24"/>
    </w:rPr>
  </w:style>
  <w:style w:type="paragraph" w:styleId="22">
    <w:name w:val="List Bullet 2"/>
    <w:basedOn w:val="1"/>
    <w:next w:val="23"/>
    <w:qFormat/>
    <w:uiPriority w:val="0"/>
    <w:pPr>
      <w:autoSpaceDE w:val="0"/>
      <w:autoSpaceDN w:val="0"/>
      <w:ind w:left="420"/>
      <w:jc w:val="left"/>
    </w:pPr>
    <w:rPr>
      <w:rFonts w:ascii="宋体" w:hAnsi="宋体"/>
      <w:color w:val="000000"/>
      <w:kern w:val="0"/>
      <w:sz w:val="24"/>
      <w:szCs w:val="20"/>
    </w:rPr>
  </w:style>
  <w:style w:type="paragraph" w:customStyle="1" w:styleId="23">
    <w:name w:val="正文1"/>
    <w:basedOn w:val="24"/>
    <w:next w:val="21"/>
    <w:qFormat/>
    <w:uiPriority w:val="0"/>
    <w:pPr>
      <w:tabs>
        <w:tab w:val="right" w:leader="dot" w:pos="8268"/>
      </w:tabs>
      <w:ind w:left="0" w:leftChars="0" w:firstLine="480" w:firstLineChars="200"/>
    </w:pPr>
    <w:rPr>
      <w:rFonts w:ascii="仿宋_GB2312" w:hAnsi="Courier New" w:eastAsia="仿宋_GB2312"/>
      <w:kern w:val="28"/>
      <w:sz w:val="24"/>
    </w:rPr>
  </w:style>
  <w:style w:type="paragraph" w:styleId="24">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25">
    <w:name w:val="Salutation"/>
    <w:basedOn w:val="1"/>
    <w:next w:val="1"/>
    <w:link w:val="297"/>
    <w:qFormat/>
    <w:uiPriority w:val="0"/>
    <w:rPr>
      <w:rFonts w:ascii="仿宋_GB2312" w:eastAsia="仿宋_GB2312"/>
      <w:sz w:val="28"/>
      <w:szCs w:val="20"/>
    </w:rPr>
  </w:style>
  <w:style w:type="paragraph" w:styleId="26">
    <w:name w:val="Body Text 3"/>
    <w:basedOn w:val="1"/>
    <w:link w:val="329"/>
    <w:qFormat/>
    <w:uiPriority w:val="0"/>
    <w:pPr>
      <w:jc w:val="center"/>
    </w:pPr>
    <w:rPr>
      <w:szCs w:val="20"/>
    </w:rPr>
  </w:style>
  <w:style w:type="paragraph" w:styleId="27">
    <w:name w:val="List Bullet 3"/>
    <w:basedOn w:val="1"/>
    <w:unhideWhenUsed/>
    <w:qFormat/>
    <w:uiPriority w:val="0"/>
    <w:pPr>
      <w:snapToGrid w:val="0"/>
      <w:spacing w:line="360" w:lineRule="auto"/>
      <w:ind w:left="360" w:right="238" w:hanging="360"/>
      <w:contextualSpacing/>
    </w:pPr>
    <w:rPr>
      <w:sz w:val="24"/>
    </w:rPr>
  </w:style>
  <w:style w:type="paragraph" w:styleId="28">
    <w:name w:val="Body Text"/>
    <w:basedOn w:val="1"/>
    <w:next w:val="29"/>
    <w:link w:val="429"/>
    <w:qFormat/>
    <w:uiPriority w:val="0"/>
    <w:pPr>
      <w:autoSpaceDE w:val="0"/>
      <w:autoSpaceDN w:val="0"/>
      <w:spacing w:line="360" w:lineRule="auto"/>
    </w:pPr>
    <w:rPr>
      <w:rFonts w:ascii="宋体" w:hAnsi="Arial" w:cs="Arial"/>
      <w:snapToGrid w:val="0"/>
      <w:sz w:val="24"/>
      <w:szCs w:val="21"/>
      <w:lang w:val="zh-CN"/>
    </w:rPr>
  </w:style>
  <w:style w:type="paragraph" w:styleId="29">
    <w:name w:val="Body Text First Indent 2"/>
    <w:basedOn w:val="1"/>
    <w:link w:val="120"/>
    <w:qFormat/>
    <w:uiPriority w:val="0"/>
    <w:pPr>
      <w:adjustRightInd/>
      <w:spacing w:after="120" w:line="240" w:lineRule="auto"/>
      <w:ind w:left="420" w:leftChars="200" w:firstLine="210"/>
    </w:pPr>
    <w:rPr>
      <w:sz w:val="21"/>
    </w:rPr>
  </w:style>
  <w:style w:type="paragraph" w:styleId="30">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31">
    <w:name w:val="List 2"/>
    <w:basedOn w:val="1"/>
    <w:qFormat/>
    <w:uiPriority w:val="0"/>
    <w:pPr>
      <w:adjustRightInd/>
      <w:spacing w:line="360" w:lineRule="auto"/>
      <w:ind w:left="100" w:leftChars="200" w:hanging="200" w:hangingChars="200"/>
    </w:pPr>
    <w:rPr>
      <w:rFonts w:eastAsia="微软雅黑"/>
    </w:rPr>
  </w:style>
  <w:style w:type="paragraph" w:styleId="32">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33">
    <w:name w:val="HTML Address"/>
    <w:basedOn w:val="1"/>
    <w:link w:val="218"/>
    <w:qFormat/>
    <w:uiPriority w:val="0"/>
    <w:pPr>
      <w:widowControl/>
      <w:adjustRightInd/>
      <w:ind w:firstLine="200" w:firstLineChars="200"/>
      <w:jc w:val="left"/>
    </w:pPr>
    <w:rPr>
      <w:rFonts w:ascii="宋体" w:hAnsi="宋体"/>
      <w:i/>
      <w:iCs/>
      <w:kern w:val="0"/>
      <w:sz w:val="24"/>
    </w:rPr>
  </w:style>
  <w:style w:type="paragraph" w:styleId="34">
    <w:name w:val="toc 5"/>
    <w:basedOn w:val="1"/>
    <w:next w:val="1"/>
    <w:qFormat/>
    <w:uiPriority w:val="0"/>
    <w:pPr>
      <w:ind w:left="1680" w:leftChars="800"/>
    </w:pPr>
  </w:style>
  <w:style w:type="paragraph" w:styleId="35">
    <w:name w:val="Plain Text"/>
    <w:basedOn w:val="1"/>
    <w:link w:val="124"/>
    <w:qFormat/>
    <w:uiPriority w:val="0"/>
    <w:rPr>
      <w:rFonts w:ascii="宋体" w:hAnsi="Courier New" w:cs="Arial"/>
      <w:snapToGrid w:val="0"/>
      <w:szCs w:val="21"/>
    </w:rPr>
  </w:style>
  <w:style w:type="paragraph" w:styleId="36">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7">
    <w:name w:val="toc 8"/>
    <w:basedOn w:val="1"/>
    <w:next w:val="1"/>
    <w:qFormat/>
    <w:uiPriority w:val="0"/>
    <w:pPr>
      <w:ind w:left="2940" w:leftChars="1400"/>
    </w:pPr>
  </w:style>
  <w:style w:type="paragraph" w:styleId="38">
    <w:name w:val="Date"/>
    <w:basedOn w:val="1"/>
    <w:next w:val="1"/>
    <w:link w:val="180"/>
    <w:qFormat/>
    <w:uiPriority w:val="0"/>
    <w:pPr>
      <w:ind w:left="100" w:leftChars="2500"/>
    </w:pPr>
    <w:rPr>
      <w:rFonts w:ascii="宋体"/>
      <w:sz w:val="24"/>
      <w:szCs w:val="21"/>
      <w:lang w:val="zh-CN"/>
    </w:rPr>
  </w:style>
  <w:style w:type="paragraph" w:styleId="39">
    <w:name w:val="Body Text Indent 2"/>
    <w:basedOn w:val="1"/>
    <w:link w:val="307"/>
    <w:qFormat/>
    <w:uiPriority w:val="0"/>
    <w:pPr>
      <w:spacing w:line="360" w:lineRule="auto"/>
      <w:ind w:firstLine="601"/>
      <w:textAlignment w:val="baseline"/>
    </w:pPr>
    <w:rPr>
      <w:rFonts w:ascii="宋体"/>
      <w:kern w:val="0"/>
      <w:sz w:val="28"/>
      <w:szCs w:val="20"/>
    </w:rPr>
  </w:style>
  <w:style w:type="paragraph" w:styleId="40">
    <w:name w:val="endnote text"/>
    <w:basedOn w:val="1"/>
    <w:link w:val="930"/>
    <w:qFormat/>
    <w:uiPriority w:val="0"/>
    <w:rPr>
      <w:lang w:val="zh-CN"/>
    </w:rPr>
  </w:style>
  <w:style w:type="paragraph" w:styleId="41">
    <w:name w:val="Balloon Text"/>
    <w:basedOn w:val="1"/>
    <w:link w:val="187"/>
    <w:qFormat/>
    <w:uiPriority w:val="0"/>
    <w:rPr>
      <w:sz w:val="18"/>
      <w:szCs w:val="18"/>
    </w:rPr>
  </w:style>
  <w:style w:type="paragraph" w:styleId="42">
    <w:name w:val="footer"/>
    <w:basedOn w:val="1"/>
    <w:next w:val="1"/>
    <w:link w:val="382"/>
    <w:qFormat/>
    <w:uiPriority w:val="99"/>
    <w:pPr>
      <w:tabs>
        <w:tab w:val="center" w:pos="4153"/>
        <w:tab w:val="right" w:pos="8306"/>
      </w:tabs>
      <w:snapToGrid w:val="0"/>
      <w:jc w:val="left"/>
    </w:pPr>
    <w:rPr>
      <w:sz w:val="18"/>
      <w:szCs w:val="18"/>
    </w:rPr>
  </w:style>
  <w:style w:type="paragraph" w:styleId="43">
    <w:name w:val="header"/>
    <w:basedOn w:val="1"/>
    <w:link w:val="391"/>
    <w:qFormat/>
    <w:uiPriority w:val="99"/>
    <w:pPr>
      <w:pBdr>
        <w:bottom w:val="single" w:color="auto" w:sz="6" w:space="1"/>
      </w:pBdr>
      <w:tabs>
        <w:tab w:val="center" w:pos="4153"/>
        <w:tab w:val="right" w:pos="8306"/>
      </w:tabs>
      <w:snapToGrid w:val="0"/>
      <w:jc w:val="center"/>
    </w:pPr>
    <w:rPr>
      <w:sz w:val="18"/>
      <w:szCs w:val="18"/>
    </w:rPr>
  </w:style>
  <w:style w:type="paragraph" w:styleId="44">
    <w:name w:val="Signature"/>
    <w:basedOn w:val="1"/>
    <w:link w:val="344"/>
    <w:qFormat/>
    <w:uiPriority w:val="0"/>
    <w:pPr>
      <w:spacing w:after="600" w:line="312" w:lineRule="atLeast"/>
      <w:jc w:val="center"/>
      <w:textAlignment w:val="baseline"/>
    </w:pPr>
    <w:rPr>
      <w:rFonts w:eastAsia="仿宋_GB2312"/>
      <w:kern w:val="0"/>
      <w:sz w:val="24"/>
      <w:szCs w:val="20"/>
    </w:rPr>
  </w:style>
  <w:style w:type="paragraph" w:styleId="45">
    <w:name w:val="toc 1"/>
    <w:basedOn w:val="1"/>
    <w:next w:val="1"/>
    <w:qFormat/>
    <w:uiPriority w:val="39"/>
  </w:style>
  <w:style w:type="paragraph" w:styleId="46">
    <w:name w:val="toc 4"/>
    <w:basedOn w:val="1"/>
    <w:next w:val="1"/>
    <w:qFormat/>
    <w:uiPriority w:val="0"/>
    <w:pPr>
      <w:ind w:left="1260" w:leftChars="600"/>
    </w:pPr>
  </w:style>
  <w:style w:type="paragraph" w:styleId="47">
    <w:name w:val="index heading"/>
    <w:basedOn w:val="1"/>
    <w:next w:val="48"/>
    <w:qFormat/>
    <w:uiPriority w:val="0"/>
    <w:pPr>
      <w:adjustRightInd/>
      <w:ind w:firstLine="200" w:firstLineChars="200"/>
    </w:pPr>
  </w:style>
  <w:style w:type="paragraph" w:styleId="48">
    <w:name w:val="index 1"/>
    <w:basedOn w:val="1"/>
    <w:next w:val="1"/>
    <w:qFormat/>
    <w:uiPriority w:val="0"/>
    <w:pPr>
      <w:adjustRightInd/>
      <w:spacing w:line="360" w:lineRule="auto"/>
      <w:ind w:firstLine="200" w:firstLineChars="200"/>
      <w:jc w:val="center"/>
    </w:pPr>
    <w:rPr>
      <w:sz w:val="24"/>
      <w:szCs w:val="20"/>
    </w:rPr>
  </w:style>
  <w:style w:type="paragraph" w:styleId="49">
    <w:name w:val="Subtitle"/>
    <w:link w:val="132"/>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50">
    <w:name w:val="List Number 5"/>
    <w:basedOn w:val="1"/>
    <w:qFormat/>
    <w:uiPriority w:val="0"/>
    <w:pPr>
      <w:tabs>
        <w:tab w:val="left" w:pos="902"/>
      </w:tabs>
      <w:adjustRightInd/>
      <w:spacing w:line="400" w:lineRule="exact"/>
      <w:ind w:left="902" w:hanging="420"/>
    </w:pPr>
    <w:rPr>
      <w:sz w:val="24"/>
      <w:szCs w:val="20"/>
    </w:rPr>
  </w:style>
  <w:style w:type="paragraph" w:styleId="51">
    <w:name w:val="List"/>
    <w:basedOn w:val="1"/>
    <w:qFormat/>
    <w:uiPriority w:val="0"/>
    <w:pPr>
      <w:ind w:left="200" w:hanging="200" w:hangingChars="200"/>
    </w:pPr>
  </w:style>
  <w:style w:type="paragraph" w:styleId="52">
    <w:name w:val="footnote text"/>
    <w:basedOn w:val="5"/>
    <w:link w:val="309"/>
    <w:qFormat/>
    <w:uiPriority w:val="0"/>
    <w:pPr>
      <w:adjustRightInd/>
      <w:snapToGrid/>
      <w:spacing w:before="60" w:after="60" w:line="300" w:lineRule="exact"/>
      <w:ind w:firstLine="0"/>
    </w:pPr>
    <w:rPr>
      <w:rFonts w:ascii="Calibri"/>
      <w:snapToGrid/>
      <w:color w:val="0000FF"/>
      <w:kern w:val="0"/>
      <w:sz w:val="21"/>
    </w:rPr>
  </w:style>
  <w:style w:type="paragraph" w:styleId="53">
    <w:name w:val="toc 6"/>
    <w:basedOn w:val="1"/>
    <w:next w:val="1"/>
    <w:qFormat/>
    <w:uiPriority w:val="0"/>
    <w:pPr>
      <w:ind w:left="2100" w:leftChars="1000"/>
    </w:pPr>
  </w:style>
  <w:style w:type="paragraph" w:styleId="54">
    <w:name w:val="List 5"/>
    <w:basedOn w:val="1"/>
    <w:qFormat/>
    <w:uiPriority w:val="0"/>
    <w:pPr>
      <w:adjustRightInd/>
      <w:ind w:left="100" w:leftChars="800" w:hanging="200" w:hangingChars="200"/>
    </w:pPr>
  </w:style>
  <w:style w:type="paragraph" w:styleId="55">
    <w:name w:val="Body Text Indent 3"/>
    <w:basedOn w:val="1"/>
    <w:link w:val="374"/>
    <w:qFormat/>
    <w:uiPriority w:val="0"/>
    <w:pPr>
      <w:spacing w:line="360" w:lineRule="auto"/>
      <w:ind w:firstLine="420"/>
    </w:pPr>
    <w:rPr>
      <w:sz w:val="24"/>
      <w:szCs w:val="20"/>
    </w:rPr>
  </w:style>
  <w:style w:type="paragraph" w:styleId="56">
    <w:name w:val="toc 2"/>
    <w:basedOn w:val="1"/>
    <w:next w:val="1"/>
    <w:qFormat/>
    <w:uiPriority w:val="0"/>
    <w:pPr>
      <w:ind w:left="420" w:leftChars="200"/>
    </w:pPr>
  </w:style>
  <w:style w:type="paragraph" w:styleId="57">
    <w:name w:val="toc 9"/>
    <w:basedOn w:val="1"/>
    <w:next w:val="1"/>
    <w:qFormat/>
    <w:uiPriority w:val="0"/>
    <w:pPr>
      <w:ind w:left="3360" w:leftChars="1600"/>
    </w:pPr>
  </w:style>
  <w:style w:type="paragraph" w:styleId="58">
    <w:name w:val="Body Text 2"/>
    <w:basedOn w:val="1"/>
    <w:link w:val="301"/>
    <w:qFormat/>
    <w:uiPriority w:val="0"/>
    <w:pPr>
      <w:spacing w:after="120" w:line="480" w:lineRule="auto"/>
    </w:pPr>
  </w:style>
  <w:style w:type="paragraph" w:styleId="59">
    <w:name w:val="HTML Preformatted"/>
    <w:basedOn w:val="1"/>
    <w:link w:val="30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60">
    <w:name w:val="Normal (Web)"/>
    <w:basedOn w:val="1"/>
    <w:qFormat/>
    <w:uiPriority w:val="99"/>
    <w:pPr>
      <w:widowControl/>
      <w:spacing w:before="100" w:beforeAutospacing="1" w:after="100" w:afterAutospacing="1"/>
      <w:jc w:val="left"/>
    </w:pPr>
    <w:rPr>
      <w:rFonts w:ascii="宋体" w:hAnsi="宋体"/>
      <w:kern w:val="0"/>
      <w:sz w:val="24"/>
    </w:rPr>
  </w:style>
  <w:style w:type="paragraph" w:styleId="61">
    <w:name w:val="Title"/>
    <w:basedOn w:val="1"/>
    <w:link w:val="285"/>
    <w:qFormat/>
    <w:uiPriority w:val="10"/>
    <w:pPr>
      <w:widowControl/>
      <w:overflowPunct w:val="0"/>
      <w:autoSpaceDE w:val="0"/>
      <w:autoSpaceDN w:val="0"/>
      <w:jc w:val="center"/>
      <w:textAlignment w:val="baseline"/>
    </w:pPr>
    <w:rPr>
      <w:b/>
      <w:kern w:val="0"/>
      <w:sz w:val="24"/>
      <w:szCs w:val="20"/>
      <w:lang w:val="en-GB"/>
    </w:rPr>
  </w:style>
  <w:style w:type="paragraph" w:styleId="62">
    <w:name w:val="annotation subject"/>
    <w:basedOn w:val="20"/>
    <w:next w:val="20"/>
    <w:link w:val="95"/>
    <w:qFormat/>
    <w:uiPriority w:val="0"/>
    <w:rPr>
      <w:b/>
      <w:bCs/>
    </w:rPr>
  </w:style>
  <w:style w:type="paragraph" w:styleId="63">
    <w:name w:val="Body Text First Indent"/>
    <w:basedOn w:val="28"/>
    <w:link w:val="320"/>
    <w:qFormat/>
    <w:uiPriority w:val="0"/>
    <w:pPr>
      <w:ind w:firstLine="420"/>
    </w:pPr>
    <w:rPr>
      <w:rFonts w:hAnsi="Calibri" w:cs="Times New Roman"/>
      <w:snapToGrid/>
      <w:szCs w:val="20"/>
    </w:rPr>
  </w:style>
  <w:style w:type="table" w:styleId="65">
    <w:name w:val="Table Grid"/>
    <w:basedOn w:val="64"/>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6">
    <w:name w:val="Table Theme"/>
    <w:basedOn w:val="6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7">
    <w:name w:val="Table Elegant"/>
    <w:basedOn w:val="64"/>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8">
    <w:name w:val="Table Grid 5"/>
    <w:basedOn w:val="64"/>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9">
    <w:name w:val="Table Grid 8"/>
    <w:basedOn w:val="64"/>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70">
    <w:name w:val="Table Professional"/>
    <w:basedOn w:val="64"/>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2">
    <w:name w:val="Strong"/>
    <w:qFormat/>
    <w:uiPriority w:val="22"/>
    <w:rPr>
      <w:b/>
      <w:bCs/>
    </w:rPr>
  </w:style>
  <w:style w:type="character" w:styleId="73">
    <w:name w:val="endnote reference"/>
    <w:qFormat/>
    <w:uiPriority w:val="0"/>
    <w:rPr>
      <w:vertAlign w:val="superscript"/>
    </w:rPr>
  </w:style>
  <w:style w:type="character" w:styleId="74">
    <w:name w:val="page number"/>
    <w:basedOn w:val="71"/>
    <w:qFormat/>
    <w:uiPriority w:val="0"/>
    <w:rPr>
      <w:rFonts w:ascii="Arial" w:hAnsi="Arial" w:eastAsia="黑体" w:cs="Arial"/>
      <w:snapToGrid w:val="0"/>
      <w:kern w:val="0"/>
      <w:szCs w:val="21"/>
    </w:rPr>
  </w:style>
  <w:style w:type="character" w:styleId="75">
    <w:name w:val="FollowedHyperlink"/>
    <w:qFormat/>
    <w:uiPriority w:val="99"/>
    <w:rPr>
      <w:rFonts w:ascii="Arial" w:hAnsi="Arial" w:eastAsia="黑体" w:cs="Arial"/>
      <w:snapToGrid w:val="0"/>
      <w:color w:val="000000"/>
      <w:kern w:val="0"/>
      <w:sz w:val="18"/>
      <w:szCs w:val="18"/>
      <w:u w:val="none"/>
    </w:rPr>
  </w:style>
  <w:style w:type="character" w:styleId="76">
    <w:name w:val="Emphasis"/>
    <w:qFormat/>
    <w:uiPriority w:val="20"/>
    <w:rPr>
      <w:color w:val="CC0033"/>
    </w:rPr>
  </w:style>
  <w:style w:type="character" w:styleId="77">
    <w:name w:val="line number"/>
    <w:basedOn w:val="71"/>
    <w:qFormat/>
    <w:uiPriority w:val="0"/>
    <w:rPr>
      <w:rFonts w:ascii="Arial" w:hAnsi="Arial" w:eastAsia="黑体" w:cs="Arial"/>
      <w:snapToGrid w:val="0"/>
      <w:kern w:val="0"/>
      <w:szCs w:val="21"/>
    </w:rPr>
  </w:style>
  <w:style w:type="character" w:styleId="78">
    <w:name w:val="Hyperlink"/>
    <w:qFormat/>
    <w:uiPriority w:val="99"/>
    <w:rPr>
      <w:rFonts w:ascii="Arial" w:hAnsi="Arial" w:eastAsia="黑体" w:cs="Arial"/>
      <w:snapToGrid w:val="0"/>
      <w:color w:val="000000"/>
      <w:kern w:val="0"/>
      <w:sz w:val="18"/>
      <w:szCs w:val="18"/>
      <w:u w:val="none"/>
    </w:rPr>
  </w:style>
  <w:style w:type="character" w:styleId="79">
    <w:name w:val="HTML Code"/>
    <w:qFormat/>
    <w:uiPriority w:val="0"/>
    <w:rPr>
      <w:rFonts w:ascii="黑体" w:hAnsi="Courier New" w:eastAsia="黑体" w:cs="楷体_GB2312"/>
      <w:sz w:val="20"/>
      <w:szCs w:val="20"/>
    </w:rPr>
  </w:style>
  <w:style w:type="character" w:styleId="80">
    <w:name w:val="annotation reference"/>
    <w:qFormat/>
    <w:uiPriority w:val="99"/>
    <w:rPr>
      <w:sz w:val="21"/>
      <w:szCs w:val="21"/>
    </w:rPr>
  </w:style>
  <w:style w:type="character" w:customStyle="1" w:styleId="81">
    <w:name w:val="表格非标题文字 Char"/>
    <w:link w:val="82"/>
    <w:qFormat/>
    <w:uiPriority w:val="0"/>
    <w:rPr>
      <w:rFonts w:ascii="Futura Bk" w:hAnsi="Futura Bk"/>
      <w:kern w:val="2"/>
      <w:sz w:val="18"/>
      <w:szCs w:val="21"/>
      <w:lang w:val="en-US" w:eastAsia="zh-CN" w:bidi="ar-SA"/>
    </w:rPr>
  </w:style>
  <w:style w:type="paragraph" w:customStyle="1" w:styleId="82">
    <w:name w:val="表格非标题文字"/>
    <w:link w:val="81"/>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3">
    <w:name w:val="*正文 Char"/>
    <w:link w:val="84"/>
    <w:qFormat/>
    <w:locked/>
    <w:uiPriority w:val="0"/>
    <w:rPr>
      <w:rFonts w:ascii="宋体" w:hAnsi="宋体"/>
      <w:sz w:val="24"/>
    </w:rPr>
  </w:style>
  <w:style w:type="paragraph" w:customStyle="1" w:styleId="84">
    <w:name w:val="*正文"/>
    <w:basedOn w:val="1"/>
    <w:link w:val="83"/>
    <w:qFormat/>
    <w:uiPriority w:val="0"/>
    <w:pPr>
      <w:snapToGrid w:val="0"/>
      <w:spacing w:line="360" w:lineRule="auto"/>
      <w:ind w:firstLine="482"/>
      <w:jc w:val="left"/>
    </w:pPr>
    <w:rPr>
      <w:rFonts w:ascii="宋体" w:hAnsi="宋体"/>
      <w:kern w:val="0"/>
      <w:sz w:val="24"/>
      <w:szCs w:val="20"/>
    </w:rPr>
  </w:style>
  <w:style w:type="character" w:customStyle="1" w:styleId="85">
    <w:name w:val="Char Char71"/>
    <w:semiHidden/>
    <w:qFormat/>
    <w:uiPriority w:val="0"/>
    <w:rPr>
      <w:rFonts w:eastAsia="宋体"/>
      <w:kern w:val="2"/>
      <w:sz w:val="21"/>
      <w:szCs w:val="24"/>
      <w:lang w:val="en-US" w:eastAsia="zh-CN" w:bidi="ar-SA"/>
    </w:rPr>
  </w:style>
  <w:style w:type="character" w:customStyle="1" w:styleId="86">
    <w:name w:val="Char Char6"/>
    <w:qFormat/>
    <w:uiPriority w:val="0"/>
    <w:rPr>
      <w:rFonts w:eastAsia="宋体"/>
      <w:kern w:val="2"/>
      <w:sz w:val="21"/>
      <w:szCs w:val="24"/>
      <w:lang w:val="en-US" w:eastAsia="zh-CN" w:bidi="ar-SA"/>
    </w:rPr>
  </w:style>
  <w:style w:type="character" w:customStyle="1" w:styleId="87">
    <w:name w:val="正文缩进 Char"/>
    <w:qFormat/>
    <w:uiPriority w:val="0"/>
    <w:rPr>
      <w:rFonts w:eastAsia="宋体"/>
      <w:kern w:val="2"/>
      <w:sz w:val="21"/>
      <w:lang w:val="en-US" w:eastAsia="zh-CN"/>
    </w:rPr>
  </w:style>
  <w:style w:type="character" w:customStyle="1" w:styleId="88">
    <w:name w:val="正文首行缩进 Char1"/>
    <w:qFormat/>
    <w:uiPriority w:val="0"/>
    <w:rPr>
      <w:rFonts w:ascii="宋体" w:hAnsi="Times New Roman" w:eastAsia="宋体" w:cs="Times New Roman"/>
      <w:snapToGrid w:val="0"/>
      <w:kern w:val="2"/>
      <w:sz w:val="24"/>
      <w:szCs w:val="21"/>
      <w:lang w:val="zh-CN"/>
    </w:rPr>
  </w:style>
  <w:style w:type="character" w:customStyle="1" w:styleId="89">
    <w:name w:val="Char Char28"/>
    <w:qFormat/>
    <w:uiPriority w:val="6"/>
    <w:rPr>
      <w:rFonts w:ascii="仿宋_GB2312" w:hAnsi="仿宋_GB2312" w:eastAsia="仿宋_GB2312"/>
      <w:kern w:val="1"/>
      <w:sz w:val="28"/>
    </w:rPr>
  </w:style>
  <w:style w:type="character" w:customStyle="1" w:styleId="90">
    <w:name w:val="标题 3 Char1"/>
    <w:qFormat/>
    <w:uiPriority w:val="0"/>
    <w:rPr>
      <w:rFonts w:hint="eastAsia" w:ascii="华文中宋" w:hAnsi="华文中宋" w:eastAsia="华文中宋"/>
      <w:b/>
      <w:bCs/>
      <w:kern w:val="2"/>
      <w:sz w:val="32"/>
      <w:szCs w:val="32"/>
      <w:lang w:val="en-US" w:eastAsia="zh-CN" w:bidi="ar-SA"/>
    </w:rPr>
  </w:style>
  <w:style w:type="character" w:customStyle="1" w:styleId="91">
    <w:name w:val="Heading 1 Char"/>
    <w:qFormat/>
    <w:uiPriority w:val="6"/>
    <w:rPr>
      <w:rFonts w:ascii="Times New Roman" w:hAnsi="Times New Roman" w:eastAsia="黑体" w:cs="Times New Roman"/>
      <w:b/>
      <w:kern w:val="0"/>
      <w:sz w:val="24"/>
      <w:szCs w:val="24"/>
    </w:rPr>
  </w:style>
  <w:style w:type="character" w:customStyle="1" w:styleId="92">
    <w:name w:val="U_正文 Char"/>
    <w:link w:val="93"/>
    <w:qFormat/>
    <w:uiPriority w:val="0"/>
    <w:rPr>
      <w:sz w:val="24"/>
      <w:szCs w:val="24"/>
    </w:rPr>
  </w:style>
  <w:style w:type="paragraph" w:customStyle="1" w:styleId="93">
    <w:name w:val="U_正文"/>
    <w:basedOn w:val="1"/>
    <w:link w:val="92"/>
    <w:qFormat/>
    <w:uiPriority w:val="0"/>
    <w:pPr>
      <w:adjustRightInd/>
      <w:spacing w:beforeLines="20" w:afterLines="20" w:line="300" w:lineRule="auto"/>
      <w:ind w:firstLine="200" w:firstLineChars="200"/>
    </w:pPr>
    <w:rPr>
      <w:kern w:val="0"/>
      <w:sz w:val="24"/>
    </w:rPr>
  </w:style>
  <w:style w:type="character" w:customStyle="1" w:styleId="94">
    <w:name w:val="HTML 地址 Char1"/>
    <w:qFormat/>
    <w:uiPriority w:val="0"/>
    <w:rPr>
      <w:rFonts w:ascii="Times New Roman" w:hAnsi="Times New Roman" w:eastAsia="宋体" w:cs="Times New Roman"/>
      <w:i/>
      <w:iCs/>
      <w:szCs w:val="24"/>
    </w:rPr>
  </w:style>
  <w:style w:type="character" w:customStyle="1" w:styleId="95">
    <w:name w:val="批注主题 Char1"/>
    <w:link w:val="62"/>
    <w:qFormat/>
    <w:uiPriority w:val="0"/>
    <w:rPr>
      <w:b/>
      <w:bCs/>
      <w:kern w:val="2"/>
      <w:sz w:val="21"/>
      <w:szCs w:val="24"/>
    </w:rPr>
  </w:style>
  <w:style w:type="character" w:customStyle="1" w:styleId="96">
    <w:name w:val="Char Char51"/>
    <w:qFormat/>
    <w:uiPriority w:val="0"/>
    <w:rPr>
      <w:rFonts w:ascii="宋体" w:hAnsi="Courier New" w:eastAsia="宋体"/>
      <w:kern w:val="2"/>
      <w:sz w:val="21"/>
      <w:lang w:val="en-US" w:eastAsia="zh-CN"/>
    </w:rPr>
  </w:style>
  <w:style w:type="character" w:customStyle="1" w:styleId="97">
    <w:name w:val="表正文 Char"/>
    <w:qFormat/>
    <w:uiPriority w:val="0"/>
    <w:rPr>
      <w:rFonts w:ascii="宋体" w:eastAsia="宋体"/>
      <w:snapToGrid w:val="0"/>
      <w:color w:val="000000"/>
      <w:kern w:val="28"/>
      <w:sz w:val="28"/>
      <w:lang w:val="en-US" w:eastAsia="zh-CN" w:bidi="ar-SA"/>
    </w:rPr>
  </w:style>
  <w:style w:type="character" w:customStyle="1" w:styleId="98">
    <w:name w:val="Char Char34"/>
    <w:qFormat/>
    <w:uiPriority w:val="6"/>
    <w:rPr>
      <w:b/>
      <w:kern w:val="1"/>
      <w:sz w:val="28"/>
      <w:szCs w:val="28"/>
    </w:rPr>
  </w:style>
  <w:style w:type="character" w:customStyle="1" w:styleId="99">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100">
    <w:name w:val="哈哈正文 Char"/>
    <w:link w:val="101"/>
    <w:qFormat/>
    <w:uiPriority w:val="0"/>
    <w:rPr>
      <w:rFonts w:ascii="宋体" w:hAnsi="宋体" w:eastAsia="宋体"/>
      <w:kern w:val="2"/>
      <w:sz w:val="24"/>
      <w:lang w:bidi="ar-SA"/>
    </w:rPr>
  </w:style>
  <w:style w:type="paragraph" w:customStyle="1" w:styleId="101">
    <w:name w:val="哈哈正文"/>
    <w:basedOn w:val="1"/>
    <w:link w:val="100"/>
    <w:qFormat/>
    <w:uiPriority w:val="0"/>
    <w:pPr>
      <w:adjustRightInd/>
      <w:spacing w:line="360" w:lineRule="auto"/>
      <w:ind w:firstLine="200" w:firstLineChars="200"/>
    </w:pPr>
    <w:rPr>
      <w:rFonts w:ascii="宋体" w:hAnsi="宋体"/>
      <w:sz w:val="24"/>
      <w:szCs w:val="20"/>
    </w:rPr>
  </w:style>
  <w:style w:type="character" w:customStyle="1" w:styleId="102">
    <w:name w:val="未处理的提及1"/>
    <w:qFormat/>
    <w:uiPriority w:val="0"/>
    <w:rPr>
      <w:color w:val="808080"/>
      <w:shd w:val="clear" w:color="auto" w:fill="E6E6E6"/>
    </w:rPr>
  </w:style>
  <w:style w:type="character" w:customStyle="1" w:styleId="103">
    <w:name w:val="txt"/>
    <w:qFormat/>
    <w:uiPriority w:val="0"/>
    <w:rPr>
      <w:rFonts w:ascii="仿宋_GB2312" w:eastAsia="微软雅黑"/>
      <w:b/>
      <w:kern w:val="2"/>
      <w:sz w:val="32"/>
      <w:szCs w:val="32"/>
      <w:lang w:val="en-US" w:eastAsia="zh-CN" w:bidi="ar-SA"/>
    </w:rPr>
  </w:style>
  <w:style w:type="character" w:customStyle="1" w:styleId="104">
    <w:name w:val="二级标题 Char Char"/>
    <w:qFormat/>
    <w:uiPriority w:val="0"/>
    <w:rPr>
      <w:rFonts w:ascii="宋体" w:hAnsi="宋体" w:eastAsia="宋体"/>
      <w:b/>
      <w:snapToGrid w:val="0"/>
      <w:kern w:val="2"/>
      <w:sz w:val="24"/>
      <w:szCs w:val="24"/>
      <w:lang w:val="en-US" w:eastAsia="zh-CN" w:bidi="ar-SA"/>
    </w:rPr>
  </w:style>
  <w:style w:type="character" w:customStyle="1" w:styleId="105">
    <w:name w:val="Char Char32"/>
    <w:qFormat/>
    <w:uiPriority w:val="6"/>
    <w:rPr>
      <w:b/>
      <w:kern w:val="1"/>
      <w:sz w:val="24"/>
      <w:szCs w:val="24"/>
    </w:rPr>
  </w:style>
  <w:style w:type="character" w:customStyle="1" w:styleId="106">
    <w:name w:val="PI Char1"/>
    <w:qFormat/>
    <w:uiPriority w:val="0"/>
    <w:rPr>
      <w:rFonts w:ascii="宋体" w:hAnsi="宋体"/>
      <w:kern w:val="2"/>
      <w:sz w:val="24"/>
      <w:szCs w:val="24"/>
    </w:rPr>
  </w:style>
  <w:style w:type="character" w:customStyle="1" w:styleId="107">
    <w:name w:val="tw4winTerm"/>
    <w:qFormat/>
    <w:uiPriority w:val="0"/>
    <w:rPr>
      <w:color w:val="0000FF"/>
    </w:rPr>
  </w:style>
  <w:style w:type="character" w:customStyle="1" w:styleId="108">
    <w:name w:val="Footer Char"/>
    <w:qFormat/>
    <w:locked/>
    <w:uiPriority w:val="0"/>
    <w:rPr>
      <w:rFonts w:eastAsia="宋体"/>
      <w:kern w:val="2"/>
      <w:sz w:val="18"/>
      <w:lang w:val="en-US" w:eastAsia="zh-CN" w:bidi="ar-SA"/>
    </w:rPr>
  </w:style>
  <w:style w:type="character" w:customStyle="1" w:styleId="109">
    <w:name w:val="普通文字 Char Char1"/>
    <w:qFormat/>
    <w:uiPriority w:val="0"/>
    <w:rPr>
      <w:rFonts w:ascii="宋体" w:hAnsi="Courier New"/>
      <w:kern w:val="2"/>
      <w:sz w:val="21"/>
    </w:rPr>
  </w:style>
  <w:style w:type="character" w:customStyle="1" w:styleId="110">
    <w:name w:val="Char Char101"/>
    <w:qFormat/>
    <w:uiPriority w:val="6"/>
    <w:rPr>
      <w:rFonts w:ascii="宋体" w:hAnsi="宋体"/>
      <w:kern w:val="2"/>
      <w:sz w:val="21"/>
      <w:szCs w:val="24"/>
      <w:lang w:val="en-US" w:eastAsia="zh-CN"/>
    </w:rPr>
  </w:style>
  <w:style w:type="character" w:customStyle="1" w:styleId="111">
    <w:name w:val="标题 4 Char"/>
    <w:qFormat/>
    <w:uiPriority w:val="0"/>
    <w:rPr>
      <w:rFonts w:ascii="Arial" w:hAnsi="Arial" w:eastAsia="黑体"/>
      <w:b/>
      <w:kern w:val="2"/>
      <w:sz w:val="28"/>
    </w:rPr>
  </w:style>
  <w:style w:type="character" w:customStyle="1" w:styleId="112">
    <w:name w:val="链接"/>
    <w:qFormat/>
    <w:uiPriority w:val="0"/>
    <w:rPr>
      <w:color w:val="0000FF"/>
      <w:sz w:val="21"/>
      <w:szCs w:val="21"/>
      <w:u w:val="single"/>
    </w:rPr>
  </w:style>
  <w:style w:type="character" w:customStyle="1" w:styleId="113">
    <w:name w:val="h4 Char"/>
    <w:qFormat/>
    <w:uiPriority w:val="0"/>
    <w:rPr>
      <w:rFonts w:ascii="Arial" w:hAnsi="Arial" w:eastAsia="黑体"/>
      <w:b/>
      <w:bCs/>
      <w:kern w:val="2"/>
      <w:sz w:val="28"/>
      <w:szCs w:val="28"/>
      <w:lang w:val="zh-CN" w:eastAsia="zh-CN" w:bidi="ar-SA"/>
    </w:rPr>
  </w:style>
  <w:style w:type="character" w:customStyle="1" w:styleId="114">
    <w:name w:val="5正文 Char"/>
    <w:link w:val="115"/>
    <w:qFormat/>
    <w:uiPriority w:val="0"/>
    <w:rPr>
      <w:rFonts w:ascii="仿宋_GB2312" w:hAnsi="微软雅黑" w:eastAsia="仿宋_GB2312"/>
      <w:sz w:val="28"/>
      <w:szCs w:val="21"/>
    </w:rPr>
  </w:style>
  <w:style w:type="paragraph" w:customStyle="1" w:styleId="115">
    <w:name w:val="5正文"/>
    <w:basedOn w:val="1"/>
    <w:link w:val="114"/>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6">
    <w:name w:val="标题 3 字符"/>
    <w:qFormat/>
    <w:uiPriority w:val="9"/>
    <w:rPr>
      <w:b/>
      <w:bCs/>
      <w:kern w:val="2"/>
      <w:sz w:val="32"/>
      <w:szCs w:val="32"/>
    </w:rPr>
  </w:style>
  <w:style w:type="character" w:customStyle="1" w:styleId="117">
    <w:name w:val="样式6 Char"/>
    <w:qFormat/>
    <w:uiPriority w:val="0"/>
    <w:rPr>
      <w:rFonts w:ascii="仿宋_GB2312" w:hAnsi="宋体" w:eastAsia="仿宋_GB2312"/>
      <w:b/>
      <w:bCs/>
      <w:kern w:val="2"/>
      <w:sz w:val="24"/>
      <w:szCs w:val="24"/>
      <w:lang w:val="en-US" w:eastAsia="zh-CN" w:bidi="ar-SA"/>
    </w:rPr>
  </w:style>
  <w:style w:type="character" w:customStyle="1" w:styleId="118">
    <w:name w:val="Char Char14"/>
    <w:qFormat/>
    <w:uiPriority w:val="6"/>
    <w:rPr>
      <w:rFonts w:ascii="黑体" w:hAnsi="黑体" w:eastAsia="黑体"/>
    </w:rPr>
  </w:style>
  <w:style w:type="character" w:customStyle="1" w:styleId="119">
    <w:name w:val="Heading 2 Hidden Char"/>
    <w:qFormat/>
    <w:uiPriority w:val="0"/>
    <w:rPr>
      <w:rFonts w:ascii="仿宋_GB2312" w:eastAsia="仿宋_GB2312"/>
      <w:b/>
      <w:bCs/>
      <w:kern w:val="2"/>
      <w:sz w:val="24"/>
      <w:szCs w:val="24"/>
      <w:lang w:val="zh-CN" w:eastAsia="zh-CN" w:bidi="ar-SA"/>
    </w:rPr>
  </w:style>
  <w:style w:type="character" w:customStyle="1" w:styleId="120">
    <w:name w:val="正文首行缩进 2 Char"/>
    <w:link w:val="29"/>
    <w:qFormat/>
    <w:uiPriority w:val="0"/>
    <w:rPr>
      <w:rFonts w:ascii="宋体" w:hAnsi="宋体"/>
      <w:kern w:val="2"/>
      <w:sz w:val="21"/>
      <w:szCs w:val="24"/>
    </w:rPr>
  </w:style>
  <w:style w:type="character" w:customStyle="1" w:styleId="121">
    <w:name w:val="font11"/>
    <w:qFormat/>
    <w:uiPriority w:val="0"/>
    <w:rPr>
      <w:rFonts w:hint="default" w:ascii="Times New Roman" w:hAnsi="Times New Roman" w:cs="Times New Roman"/>
      <w:color w:val="000000"/>
      <w:sz w:val="22"/>
      <w:szCs w:val="22"/>
      <w:u w:val="none"/>
    </w:rPr>
  </w:style>
  <w:style w:type="character" w:customStyle="1" w:styleId="122">
    <w:name w:val="表正文 Char1"/>
    <w:qFormat/>
    <w:uiPriority w:val="0"/>
    <w:rPr>
      <w:rFonts w:ascii="宋体" w:eastAsia="宋体"/>
      <w:snapToGrid w:val="0"/>
      <w:color w:val="000000"/>
      <w:kern w:val="28"/>
      <w:sz w:val="28"/>
    </w:rPr>
  </w:style>
  <w:style w:type="character" w:customStyle="1" w:styleId="123">
    <w:name w:val="blue1"/>
    <w:basedOn w:val="71"/>
    <w:qFormat/>
    <w:uiPriority w:val="0"/>
    <w:rPr>
      <w:rFonts w:ascii="Arial" w:hAnsi="Arial" w:eastAsia="黑体" w:cs="Arial"/>
      <w:snapToGrid w:val="0"/>
      <w:kern w:val="0"/>
      <w:szCs w:val="21"/>
    </w:rPr>
  </w:style>
  <w:style w:type="character" w:customStyle="1" w:styleId="124">
    <w:name w:val="纯文本 Char"/>
    <w:link w:val="35"/>
    <w:qFormat/>
    <w:uiPriority w:val="0"/>
    <w:rPr>
      <w:rFonts w:ascii="宋体" w:hAnsi="Courier New" w:eastAsia="宋体" w:cs="Arial"/>
      <w:snapToGrid w:val="0"/>
      <w:kern w:val="2"/>
      <w:sz w:val="21"/>
      <w:szCs w:val="21"/>
      <w:lang w:val="en-US" w:eastAsia="zh-CN" w:bidi="ar-SA"/>
    </w:rPr>
  </w:style>
  <w:style w:type="character" w:customStyle="1" w:styleId="125">
    <w:name w:val="标书1 Char"/>
    <w:qFormat/>
    <w:uiPriority w:val="0"/>
    <w:rPr>
      <w:rFonts w:eastAsia="宋体"/>
      <w:b/>
      <w:bCs/>
      <w:kern w:val="44"/>
      <w:sz w:val="44"/>
      <w:szCs w:val="44"/>
      <w:lang w:val="en-US" w:eastAsia="zh-CN" w:bidi="ar-SA"/>
    </w:rPr>
  </w:style>
  <w:style w:type="character" w:customStyle="1" w:styleId="126">
    <w:name w:val="样式5 Char"/>
    <w:qFormat/>
    <w:uiPriority w:val="0"/>
    <w:rPr>
      <w:rFonts w:ascii="仿宋_GB2312" w:hAnsi="仿宋" w:eastAsia="仿宋_GB2312"/>
      <w:kern w:val="2"/>
      <w:sz w:val="24"/>
      <w:szCs w:val="24"/>
    </w:rPr>
  </w:style>
  <w:style w:type="character" w:customStyle="1" w:styleId="127">
    <w:name w:val="样式4 Char"/>
    <w:qFormat/>
    <w:uiPriority w:val="0"/>
    <w:rPr>
      <w:rFonts w:ascii="仿宋_GB2312" w:hAnsi="仿宋" w:eastAsia="仿宋_GB2312"/>
      <w:b/>
      <w:kern w:val="2"/>
      <w:sz w:val="32"/>
      <w:szCs w:val="32"/>
      <w:lang w:bidi="ar-SA"/>
    </w:rPr>
  </w:style>
  <w:style w:type="character" w:customStyle="1" w:styleId="128">
    <w:name w:val="插图说明 Char"/>
    <w:qFormat/>
    <w:uiPriority w:val="0"/>
    <w:rPr>
      <w:rFonts w:eastAsia="黑体"/>
      <w:sz w:val="24"/>
      <w:lang w:val="en-US" w:eastAsia="zh-CN"/>
    </w:rPr>
  </w:style>
  <w:style w:type="character" w:customStyle="1" w:styleId="129">
    <w:name w:val="正文2 Char Char"/>
    <w:link w:val="130"/>
    <w:qFormat/>
    <w:uiPriority w:val="0"/>
    <w:rPr>
      <w:rFonts w:eastAsia="宋体"/>
      <w:kern w:val="2"/>
      <w:sz w:val="24"/>
      <w:lang w:val="en-US" w:eastAsia="zh-CN" w:bidi="ar-SA"/>
    </w:rPr>
  </w:style>
  <w:style w:type="paragraph" w:customStyle="1" w:styleId="130">
    <w:name w:val="正文2"/>
    <w:basedOn w:val="1"/>
    <w:link w:val="129"/>
    <w:qFormat/>
    <w:uiPriority w:val="0"/>
    <w:pPr>
      <w:spacing w:before="156" w:line="360" w:lineRule="auto"/>
      <w:ind w:firstLine="510" w:firstLineChars="200"/>
    </w:pPr>
    <w:rPr>
      <w:sz w:val="24"/>
      <w:szCs w:val="20"/>
    </w:rPr>
  </w:style>
  <w:style w:type="character" w:customStyle="1" w:styleId="131">
    <w:name w:val="Char Char24"/>
    <w:qFormat/>
    <w:uiPriority w:val="6"/>
    <w:rPr>
      <w:kern w:val="1"/>
      <w:sz w:val="21"/>
    </w:rPr>
  </w:style>
  <w:style w:type="character" w:customStyle="1" w:styleId="132">
    <w:name w:val="副标题 Char"/>
    <w:link w:val="49"/>
    <w:qFormat/>
    <w:uiPriority w:val="0"/>
    <w:rPr>
      <w:rFonts w:ascii="Arial" w:hAnsi="Arial" w:eastAsia="隶书"/>
      <w:b/>
      <w:bCs/>
      <w:kern w:val="28"/>
      <w:sz w:val="44"/>
      <w:szCs w:val="32"/>
      <w:lang w:val="en-US" w:eastAsia="zh-CN" w:bidi="ar-SA"/>
    </w:rPr>
  </w:style>
  <w:style w:type="character" w:customStyle="1" w:styleId="133">
    <w:name w:val="普通文字 Char1 Char"/>
    <w:qFormat/>
    <w:uiPriority w:val="0"/>
    <w:rPr>
      <w:rFonts w:ascii="宋体" w:hAnsi="Courier New" w:eastAsia="宋体"/>
      <w:kern w:val="2"/>
      <w:sz w:val="21"/>
      <w:szCs w:val="24"/>
      <w:lang w:val="en-US" w:eastAsia="zh-CN" w:bidi="ar-SA"/>
    </w:rPr>
  </w:style>
  <w:style w:type="character" w:customStyle="1" w:styleId="134">
    <w:name w:val="h3 Char1"/>
    <w:qFormat/>
    <w:uiPriority w:val="0"/>
    <w:rPr>
      <w:rFonts w:eastAsia="宋体"/>
      <w:b/>
      <w:bCs/>
      <w:kern w:val="2"/>
      <w:sz w:val="32"/>
      <w:szCs w:val="32"/>
      <w:lang w:bidi="ar-SA"/>
    </w:rPr>
  </w:style>
  <w:style w:type="character" w:customStyle="1" w:styleId="135">
    <w:name w:val="标题 Char1"/>
    <w:qFormat/>
    <w:uiPriority w:val="0"/>
    <w:rPr>
      <w:rFonts w:ascii="Cambria" w:hAnsi="Cambria" w:eastAsia="宋体" w:cs="Times New Roman"/>
      <w:b/>
      <w:bCs/>
      <w:sz w:val="32"/>
      <w:szCs w:val="32"/>
      <w:lang w:bidi="ar-SA"/>
    </w:rPr>
  </w:style>
  <w:style w:type="character" w:customStyle="1" w:styleId="136">
    <w:name w:val="gf正文1 Char"/>
    <w:qFormat/>
    <w:uiPriority w:val="0"/>
    <w:rPr>
      <w:rFonts w:ascii="宋体" w:hAnsi="宋体" w:eastAsia="宋体" w:cs="宋体"/>
      <w:kern w:val="2"/>
      <w:sz w:val="24"/>
      <w:szCs w:val="24"/>
      <w:lang w:val="en-US" w:eastAsia="zh-CN" w:bidi="ar-SA"/>
    </w:rPr>
  </w:style>
  <w:style w:type="character" w:customStyle="1" w:styleId="137">
    <w:name w:val="正文文本缩进 Char1"/>
    <w:qFormat/>
    <w:uiPriority w:val="0"/>
    <w:rPr>
      <w:rFonts w:ascii="Calibri" w:hAnsi="Calibri"/>
      <w:sz w:val="28"/>
    </w:rPr>
  </w:style>
  <w:style w:type="character" w:customStyle="1" w:styleId="138">
    <w:name w:val="No Spacing Char"/>
    <w:link w:val="139"/>
    <w:qFormat/>
    <w:uiPriority w:val="1"/>
    <w:rPr>
      <w:sz w:val="22"/>
      <w:szCs w:val="22"/>
      <w:lang w:val="en-US" w:eastAsia="zh-CN" w:bidi="ar-SA"/>
    </w:rPr>
  </w:style>
  <w:style w:type="paragraph" w:customStyle="1" w:styleId="139">
    <w:name w:val="无间隔1"/>
    <w:link w:val="138"/>
    <w:qFormat/>
    <w:uiPriority w:val="1"/>
    <w:rPr>
      <w:rFonts w:ascii="Times New Roman" w:hAnsi="Times New Roman" w:eastAsia="宋体" w:cs="Times New Roman"/>
      <w:sz w:val="22"/>
      <w:szCs w:val="22"/>
      <w:lang w:val="en-US" w:eastAsia="zh-CN" w:bidi="ar-SA"/>
    </w:rPr>
  </w:style>
  <w:style w:type="character" w:customStyle="1" w:styleId="140">
    <w:name w:val="样式7 Char"/>
    <w:qFormat/>
    <w:uiPriority w:val="0"/>
    <w:rPr>
      <w:rFonts w:ascii="仿宋_GB2312" w:hAnsi="仿宋" w:eastAsia="仿宋_GB2312"/>
      <w:b/>
      <w:kern w:val="2"/>
      <w:sz w:val="24"/>
      <w:szCs w:val="24"/>
    </w:rPr>
  </w:style>
  <w:style w:type="character" w:customStyle="1" w:styleId="141">
    <w:name w:val="font12gray1"/>
    <w:qFormat/>
    <w:uiPriority w:val="0"/>
    <w:rPr>
      <w:rFonts w:ascii="仿宋_GB2312" w:eastAsia="微软雅黑"/>
      <w:b/>
      <w:spacing w:val="300"/>
      <w:kern w:val="2"/>
      <w:sz w:val="18"/>
      <w:szCs w:val="18"/>
      <w:lang w:val="en-US" w:eastAsia="zh-CN" w:bidi="ar-SA"/>
    </w:rPr>
  </w:style>
  <w:style w:type="character" w:customStyle="1" w:styleId="142">
    <w:name w:val="Char Char7"/>
    <w:semiHidden/>
    <w:qFormat/>
    <w:uiPriority w:val="0"/>
    <w:rPr>
      <w:rFonts w:eastAsia="宋体"/>
      <w:kern w:val="2"/>
      <w:sz w:val="21"/>
      <w:szCs w:val="24"/>
      <w:lang w:val="en-US" w:eastAsia="zh-CN" w:bidi="ar-SA"/>
    </w:rPr>
  </w:style>
  <w:style w:type="character" w:customStyle="1" w:styleId="143">
    <w:name w:val="表名 Char"/>
    <w:qFormat/>
    <w:uiPriority w:val="0"/>
    <w:rPr>
      <w:rFonts w:eastAsia="宋体"/>
      <w:b/>
      <w:bCs/>
      <w:kern w:val="2"/>
      <w:sz w:val="24"/>
      <w:szCs w:val="24"/>
      <w:lang w:val="en-US" w:eastAsia="zh-CN" w:bidi="ar-SA"/>
    </w:rPr>
  </w:style>
  <w:style w:type="character" w:customStyle="1" w:styleId="144">
    <w:name w:val="Document Map Char"/>
    <w:qFormat/>
    <w:locked/>
    <w:uiPriority w:val="0"/>
    <w:rPr>
      <w:rFonts w:eastAsia="宋体"/>
      <w:kern w:val="2"/>
      <w:sz w:val="21"/>
      <w:szCs w:val="24"/>
      <w:lang w:val="en-US" w:eastAsia="zh-CN" w:bidi="ar-SA"/>
    </w:rPr>
  </w:style>
  <w:style w:type="character" w:customStyle="1" w:styleId="145">
    <w:name w:val="font41"/>
    <w:qFormat/>
    <w:uiPriority w:val="0"/>
    <w:rPr>
      <w:rFonts w:hint="eastAsia" w:ascii="仿宋_GB2312" w:eastAsia="仿宋_GB2312" w:cs="仿宋_GB2312"/>
      <w:color w:val="000000"/>
      <w:sz w:val="22"/>
      <w:szCs w:val="22"/>
      <w:u w:val="none"/>
    </w:rPr>
  </w:style>
  <w:style w:type="character" w:customStyle="1" w:styleId="146">
    <w:name w:val="标题 6 Char"/>
    <w:link w:val="8"/>
    <w:qFormat/>
    <w:uiPriority w:val="0"/>
    <w:rPr>
      <w:rFonts w:ascii="Arial" w:hAnsi="Arial" w:eastAsia="黑体"/>
      <w:b/>
      <w:bCs/>
      <w:kern w:val="2"/>
      <w:sz w:val="24"/>
      <w:szCs w:val="24"/>
    </w:rPr>
  </w:style>
  <w:style w:type="character" w:customStyle="1" w:styleId="147">
    <w:name w:val="纯文本 Char_0"/>
    <w:link w:val="148"/>
    <w:qFormat/>
    <w:uiPriority w:val="0"/>
    <w:rPr>
      <w:rFonts w:ascii="宋体" w:hAnsi="Courier New"/>
      <w:kern w:val="2"/>
      <w:sz w:val="21"/>
      <w:szCs w:val="21"/>
      <w:lang w:val="en-US" w:eastAsia="zh-CN"/>
    </w:rPr>
  </w:style>
  <w:style w:type="paragraph" w:customStyle="1" w:styleId="148">
    <w:name w:val="纯文本_0_0"/>
    <w:basedOn w:val="149"/>
    <w:link w:val="147"/>
    <w:qFormat/>
    <w:uiPriority w:val="0"/>
    <w:rPr>
      <w:rFonts w:ascii="宋体" w:hAnsi="Courier New"/>
      <w:szCs w:val="21"/>
    </w:rPr>
  </w:style>
  <w:style w:type="paragraph" w:customStyle="1" w:styleId="149">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0">
    <w:name w:val="Balloon Text Char"/>
    <w:qFormat/>
    <w:locked/>
    <w:uiPriority w:val="0"/>
    <w:rPr>
      <w:rFonts w:eastAsia="宋体"/>
      <w:kern w:val="2"/>
      <w:sz w:val="18"/>
      <w:szCs w:val="18"/>
      <w:lang w:val="en-US" w:eastAsia="zh-CN" w:bidi="ar-SA"/>
    </w:rPr>
  </w:style>
  <w:style w:type="character" w:customStyle="1" w:styleId="151">
    <w:name w:val="正文 项目2 Char"/>
    <w:basedOn w:val="152"/>
    <w:qFormat/>
    <w:uiPriority w:val="0"/>
    <w:rPr>
      <w:rFonts w:ascii="仿宋_GB2312" w:hAnsi="仿宋_GB2312" w:eastAsia="仿宋_GB2312"/>
      <w:kern w:val="2"/>
      <w:sz w:val="24"/>
      <w:lang w:bidi="ar-SA"/>
    </w:rPr>
  </w:style>
  <w:style w:type="character" w:customStyle="1" w:styleId="152">
    <w:name w:val="正文 项目 Char"/>
    <w:qFormat/>
    <w:uiPriority w:val="0"/>
    <w:rPr>
      <w:rFonts w:ascii="仿宋_GB2312" w:hAnsi="仿宋_GB2312" w:eastAsia="仿宋_GB2312"/>
      <w:kern w:val="2"/>
      <w:sz w:val="24"/>
      <w:lang w:bidi="ar-SA"/>
    </w:rPr>
  </w:style>
  <w:style w:type="character" w:customStyle="1" w:styleId="153">
    <w:name w:val="h Char Char1"/>
    <w:qFormat/>
    <w:uiPriority w:val="0"/>
    <w:rPr>
      <w:rFonts w:eastAsia="宋体"/>
      <w:kern w:val="2"/>
      <w:sz w:val="18"/>
      <w:szCs w:val="18"/>
      <w:lang w:val="en-US" w:eastAsia="zh-CN" w:bidi="ar-SA"/>
    </w:rPr>
  </w:style>
  <w:style w:type="character" w:customStyle="1" w:styleId="154">
    <w:name w:val="Char Char27"/>
    <w:qFormat/>
    <w:uiPriority w:val="6"/>
    <w:rPr>
      <w:rFonts w:ascii="宋体" w:hAnsi="宋体" w:eastAsia="宋体"/>
      <w:color w:val="000000"/>
      <w:kern w:val="1"/>
      <w:sz w:val="28"/>
      <w:lang w:val="en-US" w:eastAsia="zh-CN" w:bidi="ar-SA"/>
    </w:rPr>
  </w:style>
  <w:style w:type="character" w:customStyle="1" w:styleId="155">
    <w:name w:val="px14"/>
    <w:qFormat/>
    <w:uiPriority w:val="0"/>
    <w:rPr>
      <w:rFonts w:ascii="仿宋_GB2312" w:eastAsia="微软雅黑" w:cs="Times New Roman"/>
      <w:b/>
      <w:kern w:val="2"/>
      <w:sz w:val="32"/>
      <w:szCs w:val="32"/>
      <w:lang w:val="en-US" w:eastAsia="zh-CN" w:bidi="ar-SA"/>
    </w:rPr>
  </w:style>
  <w:style w:type="character" w:customStyle="1" w:styleId="156">
    <w:name w:val="HTML 预设格式 Char1"/>
    <w:qFormat/>
    <w:uiPriority w:val="0"/>
    <w:rPr>
      <w:rFonts w:ascii="Courier New" w:hAnsi="Courier New" w:eastAsia="宋体" w:cs="Courier New"/>
      <w:sz w:val="20"/>
      <w:szCs w:val="20"/>
    </w:rPr>
  </w:style>
  <w:style w:type="character" w:customStyle="1" w:styleId="157">
    <w:name w:val="普通文字 Char1"/>
    <w:qFormat/>
    <w:uiPriority w:val="0"/>
    <w:rPr>
      <w:rFonts w:ascii="宋体" w:hAnsi="Courier New" w:eastAsia="宋体"/>
      <w:kern w:val="2"/>
      <w:sz w:val="21"/>
      <w:lang w:val="en-US" w:eastAsia="zh-CN"/>
    </w:rPr>
  </w:style>
  <w:style w:type="character" w:customStyle="1" w:styleId="158">
    <w:name w:val="hei16b1"/>
    <w:qFormat/>
    <w:uiPriority w:val="0"/>
    <w:rPr>
      <w:rFonts w:hint="default" w:ascii="Arial" w:hAnsi="Arial" w:cs="Arial"/>
      <w:b/>
      <w:bCs/>
      <w:color w:val="000000"/>
      <w:sz w:val="24"/>
      <w:szCs w:val="24"/>
    </w:rPr>
  </w:style>
  <w:style w:type="character" w:customStyle="1" w:styleId="159">
    <w:name w:val="正文（绿盟科技） Char"/>
    <w:link w:val="160"/>
    <w:qFormat/>
    <w:uiPriority w:val="0"/>
    <w:rPr>
      <w:rFonts w:ascii="Arial" w:hAnsi="Arial"/>
      <w:sz w:val="21"/>
      <w:szCs w:val="21"/>
    </w:rPr>
  </w:style>
  <w:style w:type="paragraph" w:customStyle="1" w:styleId="160">
    <w:name w:val="正文（绿盟科技）"/>
    <w:link w:val="159"/>
    <w:qFormat/>
    <w:uiPriority w:val="0"/>
    <w:pPr>
      <w:spacing w:line="300" w:lineRule="auto"/>
    </w:pPr>
    <w:rPr>
      <w:rFonts w:ascii="Arial" w:hAnsi="Arial" w:eastAsia="宋体" w:cs="Times New Roman"/>
      <w:sz w:val="21"/>
      <w:szCs w:val="21"/>
      <w:lang w:val="en-US" w:eastAsia="zh-CN" w:bidi="ar-SA"/>
    </w:rPr>
  </w:style>
  <w:style w:type="character" w:customStyle="1" w:styleId="161">
    <w:name w:val="Char Char19"/>
    <w:qFormat/>
    <w:uiPriority w:val="6"/>
    <w:rPr>
      <w:rFonts w:ascii="宋体" w:hAnsi="宋体"/>
      <w:i/>
      <w:sz w:val="24"/>
      <w:szCs w:val="24"/>
    </w:rPr>
  </w:style>
  <w:style w:type="character" w:customStyle="1" w:styleId="162">
    <w:name w:val="页脚 Char"/>
    <w:qFormat/>
    <w:uiPriority w:val="0"/>
    <w:rPr>
      <w:rFonts w:eastAsia="仿宋_GB2312"/>
      <w:kern w:val="2"/>
      <w:sz w:val="18"/>
      <w:lang w:val="en-US" w:eastAsia="zh-CN"/>
    </w:rPr>
  </w:style>
  <w:style w:type="character" w:customStyle="1" w:styleId="163">
    <w:name w:val="批注主题 Char"/>
    <w:qFormat/>
    <w:uiPriority w:val="0"/>
    <w:rPr>
      <w:rFonts w:eastAsia="宋体"/>
      <w:b/>
      <w:bCs/>
      <w:kern w:val="2"/>
      <w:sz w:val="21"/>
      <w:szCs w:val="24"/>
      <w:lang w:val="en-US" w:eastAsia="zh-CN" w:bidi="ar-SA"/>
    </w:rPr>
  </w:style>
  <w:style w:type="character" w:customStyle="1" w:styleId="164">
    <w:name w:val="Comment Text Char"/>
    <w:qFormat/>
    <w:locked/>
    <w:uiPriority w:val="0"/>
    <w:rPr>
      <w:rFonts w:ascii="宋体" w:hAnsi="宋体" w:eastAsia="宋体"/>
      <w:kern w:val="2"/>
      <w:sz w:val="24"/>
      <w:lang w:val="en-US" w:eastAsia="zh-CN" w:bidi="ar-SA"/>
    </w:rPr>
  </w:style>
  <w:style w:type="character" w:customStyle="1" w:styleId="165">
    <w:name w:val="标题 2 字符"/>
    <w:qFormat/>
    <w:uiPriority w:val="1"/>
    <w:rPr>
      <w:rFonts w:ascii="仿宋_GB2312" w:hAnsi="Times New Roman" w:eastAsia="仿宋_GB2312" w:cs="Times New Roman"/>
      <w:b/>
      <w:kern w:val="2"/>
      <w:sz w:val="24"/>
      <w:lang w:val="zh-CN"/>
    </w:rPr>
  </w:style>
  <w:style w:type="character" w:customStyle="1" w:styleId="166">
    <w:name w:val="Char Char72"/>
    <w:qFormat/>
    <w:uiPriority w:val="0"/>
    <w:rPr>
      <w:rFonts w:eastAsia="宋体"/>
      <w:kern w:val="2"/>
      <w:sz w:val="21"/>
      <w:szCs w:val="24"/>
      <w:lang w:val="en-US" w:eastAsia="zh-CN" w:bidi="ar-SA"/>
    </w:rPr>
  </w:style>
  <w:style w:type="character" w:customStyle="1" w:styleId="167">
    <w:name w:val="正文文本缩进 Char2"/>
    <w:qFormat/>
    <w:uiPriority w:val="0"/>
    <w:rPr>
      <w:rFonts w:ascii="Times New Roman" w:hAnsi="Times New Roman" w:eastAsia="宋体" w:cs="Times New Roman"/>
      <w:snapToGrid w:val="0"/>
      <w:kern w:val="0"/>
      <w:szCs w:val="24"/>
    </w:rPr>
  </w:style>
  <w:style w:type="character" w:customStyle="1" w:styleId="168">
    <w:name w:val="样式2 Char"/>
    <w:qFormat/>
    <w:uiPriority w:val="0"/>
    <w:rPr>
      <w:rFonts w:ascii="仿宋_GB2312" w:hAnsi="仿宋" w:eastAsia="仿宋_GB2312" w:cs="仿宋_GB2312"/>
      <w:b/>
      <w:bCs/>
      <w:sz w:val="32"/>
      <w:szCs w:val="30"/>
      <w:lang w:val="zh-CN"/>
    </w:rPr>
  </w:style>
  <w:style w:type="character" w:customStyle="1" w:styleId="169">
    <w:name w:val="表格名称[858D7CFB-ED40-4347-BF05-701D383B685F]"/>
    <w:link w:val="170"/>
    <w:qFormat/>
    <w:uiPriority w:val="0"/>
    <w:rPr>
      <w:sz w:val="32"/>
    </w:rPr>
  </w:style>
  <w:style w:type="paragraph" w:customStyle="1" w:styleId="170">
    <w:name w:val="表格名称"/>
    <w:basedOn w:val="3"/>
    <w:link w:val="169"/>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1">
    <w:name w:val="Char Char4"/>
    <w:qFormat/>
    <w:uiPriority w:val="0"/>
    <w:rPr>
      <w:rFonts w:eastAsia="宋体"/>
      <w:b/>
      <w:sz w:val="24"/>
      <w:lang w:val="en-GB" w:eastAsia="zh-CN" w:bidi="ar-SA"/>
    </w:rPr>
  </w:style>
  <w:style w:type="character" w:customStyle="1" w:styleId="172">
    <w:name w:val="c7 style3"/>
    <w:qFormat/>
    <w:uiPriority w:val="0"/>
  </w:style>
  <w:style w:type="character" w:customStyle="1" w:styleId="173">
    <w:name w:val="正文文本 3 Char1"/>
    <w:semiHidden/>
    <w:qFormat/>
    <w:uiPriority w:val="99"/>
    <w:rPr>
      <w:rFonts w:ascii="Times New Roman" w:hAnsi="Times New Roman" w:eastAsia="宋体" w:cs="Times New Roman"/>
      <w:sz w:val="16"/>
      <w:szCs w:val="16"/>
    </w:rPr>
  </w:style>
  <w:style w:type="character" w:customStyle="1" w:styleId="174">
    <w:name w:val="tw4winInternal"/>
    <w:qFormat/>
    <w:uiPriority w:val="0"/>
    <w:rPr>
      <w:rFonts w:ascii="Courier New" w:hAnsi="Courier New" w:cs="Courier New"/>
      <w:color w:val="FF0000"/>
      <w:lang w:val="en-US" w:eastAsia="zh-CN"/>
    </w:rPr>
  </w:style>
  <w:style w:type="character" w:customStyle="1" w:styleId="175">
    <w:name w:val="Char Char10"/>
    <w:semiHidden/>
    <w:qFormat/>
    <w:uiPriority w:val="0"/>
    <w:rPr>
      <w:rFonts w:ascii="宋体" w:hAnsi="宋体"/>
      <w:kern w:val="2"/>
      <w:sz w:val="21"/>
      <w:szCs w:val="24"/>
      <w:lang w:val="en-US" w:eastAsia="zh-CN"/>
    </w:rPr>
  </w:style>
  <w:style w:type="character" w:customStyle="1" w:styleId="176">
    <w:name w:val="shadow11"/>
    <w:qFormat/>
    <w:uiPriority w:val="0"/>
    <w:rPr>
      <w:color w:val="000000"/>
      <w:sz w:val="21"/>
    </w:rPr>
  </w:style>
  <w:style w:type="character" w:customStyle="1" w:styleId="177">
    <w:name w:val="正文非缩进 Char3"/>
    <w:qFormat/>
    <w:uiPriority w:val="0"/>
    <w:rPr>
      <w:rFonts w:ascii="宋体" w:eastAsia="宋体"/>
      <w:snapToGrid w:val="0"/>
      <w:color w:val="000000"/>
      <w:kern w:val="28"/>
      <w:sz w:val="28"/>
      <w:lang w:val="en-US" w:eastAsia="zh-CN" w:bidi="ar-SA"/>
    </w:rPr>
  </w:style>
  <w:style w:type="character" w:customStyle="1" w:styleId="178">
    <w:name w:val="Char Char"/>
    <w:qFormat/>
    <w:uiPriority w:val="0"/>
    <w:rPr>
      <w:rFonts w:ascii="宋体" w:hAnsi="Courier New" w:eastAsia="宋体"/>
      <w:kern w:val="2"/>
      <w:sz w:val="21"/>
      <w:lang w:val="en-US" w:eastAsia="zh-CN" w:bidi="ar-SA"/>
    </w:rPr>
  </w:style>
  <w:style w:type="character" w:customStyle="1" w:styleId="179">
    <w:name w:val="签名 Char1"/>
    <w:qFormat/>
    <w:uiPriority w:val="0"/>
    <w:rPr>
      <w:rFonts w:ascii="Times New Roman" w:hAnsi="Times New Roman" w:eastAsia="宋体" w:cs="Times New Roman"/>
      <w:szCs w:val="24"/>
    </w:rPr>
  </w:style>
  <w:style w:type="character" w:customStyle="1" w:styleId="180">
    <w:name w:val="日期 Char"/>
    <w:link w:val="38"/>
    <w:qFormat/>
    <w:uiPriority w:val="0"/>
    <w:rPr>
      <w:rFonts w:ascii="宋体"/>
      <w:kern w:val="2"/>
      <w:sz w:val="24"/>
      <w:szCs w:val="21"/>
      <w:lang w:val="zh-CN"/>
    </w:rPr>
  </w:style>
  <w:style w:type="character" w:customStyle="1" w:styleId="181">
    <w:name w:val="标题 9 Char"/>
    <w:link w:val="11"/>
    <w:qFormat/>
    <w:uiPriority w:val="0"/>
    <w:rPr>
      <w:rFonts w:ascii="Arial" w:hAnsi="Arial" w:eastAsia="黑体"/>
      <w:kern w:val="2"/>
      <w:sz w:val="21"/>
      <w:szCs w:val="21"/>
    </w:rPr>
  </w:style>
  <w:style w:type="character" w:customStyle="1" w:styleId="182">
    <w:name w:val="Char Char18"/>
    <w:qFormat/>
    <w:uiPriority w:val="6"/>
    <w:rPr>
      <w:rFonts w:ascii="宋体" w:hAnsi="宋体"/>
      <w:sz w:val="28"/>
    </w:rPr>
  </w:style>
  <w:style w:type="character" w:customStyle="1" w:styleId="183">
    <w:name w:val="批注文字 Char"/>
    <w:qFormat/>
    <w:uiPriority w:val="0"/>
    <w:rPr>
      <w:kern w:val="2"/>
      <w:sz w:val="21"/>
      <w:szCs w:val="24"/>
    </w:rPr>
  </w:style>
  <w:style w:type="character" w:customStyle="1" w:styleId="184">
    <w:name w:val="Char Char22"/>
    <w:qFormat/>
    <w:uiPriority w:val="6"/>
    <w:rPr>
      <w:rFonts w:ascii="宋体" w:hAnsi="宋体"/>
      <w:kern w:val="1"/>
      <w:sz w:val="24"/>
      <w:szCs w:val="24"/>
    </w:rPr>
  </w:style>
  <w:style w:type="character" w:customStyle="1" w:styleId="185">
    <w:name w:val="pt141"/>
    <w:qFormat/>
    <w:uiPriority w:val="0"/>
    <w:rPr>
      <w:color w:val="330066"/>
      <w:sz w:val="22"/>
      <w:szCs w:val="22"/>
    </w:rPr>
  </w:style>
  <w:style w:type="character" w:customStyle="1" w:styleId="186">
    <w:name w:val="正文文本缩进 2 Char1"/>
    <w:semiHidden/>
    <w:qFormat/>
    <w:uiPriority w:val="99"/>
    <w:rPr>
      <w:rFonts w:ascii="Times New Roman" w:hAnsi="Times New Roman" w:eastAsia="宋体" w:cs="Times New Roman"/>
      <w:szCs w:val="24"/>
    </w:rPr>
  </w:style>
  <w:style w:type="character" w:customStyle="1" w:styleId="187">
    <w:name w:val="批注框文本 Char"/>
    <w:link w:val="41"/>
    <w:qFormat/>
    <w:uiPriority w:val="0"/>
    <w:rPr>
      <w:kern w:val="2"/>
      <w:sz w:val="18"/>
      <w:szCs w:val="18"/>
    </w:rPr>
  </w:style>
  <w:style w:type="character" w:customStyle="1" w:styleId="188">
    <w:name w:val="Char Char611"/>
    <w:qFormat/>
    <w:uiPriority w:val="0"/>
    <w:rPr>
      <w:rFonts w:eastAsia="宋体"/>
      <w:kern w:val="2"/>
      <w:sz w:val="21"/>
      <w:szCs w:val="24"/>
      <w:lang w:val="en-US" w:eastAsia="zh-CN" w:bidi="ar-SA"/>
    </w:rPr>
  </w:style>
  <w:style w:type="character" w:customStyle="1" w:styleId="189">
    <w:name w:val="highlight1"/>
    <w:qFormat/>
    <w:uiPriority w:val="0"/>
    <w:rPr>
      <w:rFonts w:ascii="仿宋_GB2312" w:eastAsia="微软雅黑"/>
      <w:b/>
      <w:kern w:val="2"/>
      <w:sz w:val="23"/>
      <w:szCs w:val="23"/>
      <w:lang w:val="en-US" w:eastAsia="zh-CN" w:bidi="ar-SA"/>
    </w:rPr>
  </w:style>
  <w:style w:type="character" w:customStyle="1" w:styleId="190">
    <w:name w:val="my正文 Char"/>
    <w:link w:val="191"/>
    <w:qFormat/>
    <w:locked/>
    <w:uiPriority w:val="0"/>
    <w:rPr>
      <w:rFonts w:ascii="Tahoma" w:hAnsi="Tahoma"/>
      <w:sz w:val="24"/>
      <w:szCs w:val="24"/>
    </w:rPr>
  </w:style>
  <w:style w:type="paragraph" w:customStyle="1" w:styleId="191">
    <w:name w:val="my正文"/>
    <w:basedOn w:val="1"/>
    <w:link w:val="190"/>
    <w:qFormat/>
    <w:uiPriority w:val="0"/>
    <w:pPr>
      <w:adjustRightInd/>
      <w:spacing w:line="360" w:lineRule="auto"/>
      <w:ind w:firstLine="480" w:firstLineChars="200"/>
    </w:pPr>
    <w:rPr>
      <w:rFonts w:ascii="Tahoma" w:hAnsi="Tahoma"/>
      <w:kern w:val="0"/>
      <w:sz w:val="24"/>
    </w:rPr>
  </w:style>
  <w:style w:type="character" w:customStyle="1" w:styleId="192">
    <w:name w:val="正文缩进 Char2"/>
    <w:link w:val="5"/>
    <w:qFormat/>
    <w:uiPriority w:val="0"/>
    <w:rPr>
      <w:rFonts w:ascii="宋体" w:eastAsia="宋体"/>
      <w:snapToGrid w:val="0"/>
      <w:color w:val="000000"/>
      <w:kern w:val="28"/>
      <w:sz w:val="28"/>
      <w:lang w:val="en-US" w:eastAsia="zh-CN" w:bidi="ar-SA"/>
    </w:rPr>
  </w:style>
  <w:style w:type="character" w:customStyle="1" w:styleId="193">
    <w:name w:val="Used by Word for text of Help footnotes Char Char1"/>
    <w:qFormat/>
    <w:uiPriority w:val="0"/>
    <w:rPr>
      <w:color w:val="0000FF"/>
      <w:sz w:val="21"/>
    </w:rPr>
  </w:style>
  <w:style w:type="character" w:customStyle="1" w:styleId="194">
    <w:name w:val="页眉 Char"/>
    <w:qFormat/>
    <w:uiPriority w:val="0"/>
    <w:rPr>
      <w:rFonts w:eastAsia="仿宋_GB2312"/>
      <w:kern w:val="2"/>
      <w:sz w:val="18"/>
      <w:lang w:val="en-US" w:eastAsia="zh-CN"/>
    </w:rPr>
  </w:style>
  <w:style w:type="character" w:customStyle="1" w:styleId="195">
    <w:name w:val="FA正文 Char Char"/>
    <w:qFormat/>
    <w:uiPriority w:val="0"/>
    <w:rPr>
      <w:rFonts w:hAnsi="宋体"/>
      <w:kern w:val="2"/>
      <w:sz w:val="24"/>
      <w:lang w:bidi="ar-SA"/>
    </w:rPr>
  </w:style>
  <w:style w:type="character" w:customStyle="1" w:styleId="196">
    <w:name w:val="纯文本 字符"/>
    <w:qFormat/>
    <w:uiPriority w:val="0"/>
    <w:rPr>
      <w:rFonts w:ascii="宋体" w:hAnsi="Courier New" w:eastAsia="宋体" w:cs="Arial"/>
      <w:snapToGrid w:val="0"/>
      <w:kern w:val="2"/>
      <w:sz w:val="21"/>
      <w:szCs w:val="21"/>
      <w:lang w:val="en-US" w:eastAsia="zh-CN" w:bidi="ar-SA"/>
    </w:rPr>
  </w:style>
  <w:style w:type="character" w:customStyle="1" w:styleId="197">
    <w:name w:val="3级 Char"/>
    <w:link w:val="198"/>
    <w:qFormat/>
    <w:uiPriority w:val="0"/>
    <w:rPr>
      <w:rFonts w:ascii="宋体" w:hAnsi="宋体"/>
      <w:b/>
      <w:bCs/>
      <w:snapToGrid/>
      <w:sz w:val="28"/>
    </w:rPr>
  </w:style>
  <w:style w:type="paragraph" w:customStyle="1" w:styleId="198">
    <w:name w:val="3级"/>
    <w:basedOn w:val="199"/>
    <w:link w:val="197"/>
    <w:qFormat/>
    <w:uiPriority w:val="0"/>
    <w:pPr>
      <w:ind w:left="0" w:right="466" w:firstLine="288"/>
    </w:pPr>
    <w:rPr>
      <w:rFonts w:hAnsi="宋体"/>
      <w:snapToGrid/>
    </w:rPr>
  </w:style>
  <w:style w:type="paragraph" w:customStyle="1" w:styleId="199">
    <w:name w:val="样式 标题 3h33rd level3BOD 0H3l3CTHeading 3 - oldLevel 3 He..."/>
    <w:basedOn w:val="4"/>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0">
    <w:name w:val="myp11"/>
    <w:qFormat/>
    <w:uiPriority w:val="0"/>
    <w:rPr>
      <w:rFonts w:ascii="仿宋_GB2312" w:eastAsia="微软雅黑"/>
      <w:b/>
      <w:kern w:val="2"/>
      <w:sz w:val="32"/>
      <w:szCs w:val="32"/>
      <w:lang w:val="en-US" w:eastAsia="zh-CN" w:bidi="ar-SA"/>
    </w:rPr>
  </w:style>
  <w:style w:type="character" w:customStyle="1" w:styleId="201">
    <w:name w:val="文档结构图 Char1"/>
    <w:link w:val="19"/>
    <w:qFormat/>
    <w:uiPriority w:val="0"/>
    <w:rPr>
      <w:kern w:val="2"/>
      <w:sz w:val="21"/>
      <w:szCs w:val="24"/>
      <w:shd w:val="clear" w:color="auto" w:fill="000080"/>
    </w:rPr>
  </w:style>
  <w:style w:type="character" w:customStyle="1" w:styleId="202">
    <w:name w:val="H6 Char"/>
    <w:qFormat/>
    <w:uiPriority w:val="0"/>
    <w:rPr>
      <w:rFonts w:ascii="Arial" w:hAnsi="Arial" w:eastAsia="黑体"/>
      <w:b/>
      <w:bCs/>
      <w:kern w:val="2"/>
      <w:sz w:val="24"/>
      <w:szCs w:val="24"/>
    </w:rPr>
  </w:style>
  <w:style w:type="character" w:customStyle="1" w:styleId="203">
    <w:name w:val="Char Char91"/>
    <w:qFormat/>
    <w:uiPriority w:val="0"/>
    <w:rPr>
      <w:rFonts w:eastAsia="宋体"/>
      <w:kern w:val="2"/>
      <w:sz w:val="18"/>
      <w:szCs w:val="18"/>
      <w:lang w:val="en-US" w:eastAsia="zh-CN" w:bidi="ar-SA"/>
    </w:rPr>
  </w:style>
  <w:style w:type="character" w:customStyle="1" w:styleId="204">
    <w:name w:val="副标题 Char1"/>
    <w:qFormat/>
    <w:uiPriority w:val="0"/>
    <w:rPr>
      <w:rFonts w:ascii="Cambria" w:hAnsi="Cambria" w:eastAsia="宋体" w:cs="Times New Roman"/>
      <w:b/>
      <w:bCs/>
      <w:snapToGrid w:val="0"/>
      <w:kern w:val="28"/>
      <w:sz w:val="32"/>
      <w:szCs w:val="32"/>
    </w:rPr>
  </w:style>
  <w:style w:type="character" w:customStyle="1" w:styleId="205">
    <w:name w:val="font61"/>
    <w:qFormat/>
    <w:uiPriority w:val="0"/>
    <w:rPr>
      <w:rFonts w:hint="eastAsia" w:ascii="仿宋" w:hAnsi="仿宋" w:eastAsia="仿宋" w:cs="仿宋"/>
      <w:color w:val="000000"/>
      <w:sz w:val="20"/>
      <w:szCs w:val="20"/>
      <w:u w:val="none"/>
    </w:rPr>
  </w:style>
  <w:style w:type="character" w:customStyle="1" w:styleId="206">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07">
    <w:name w:val="Char Char211"/>
    <w:qFormat/>
    <w:uiPriority w:val="0"/>
    <w:rPr>
      <w:rFonts w:eastAsia="宋体"/>
      <w:b/>
      <w:bCs/>
      <w:kern w:val="2"/>
      <w:sz w:val="21"/>
      <w:szCs w:val="24"/>
      <w:lang w:val="en-US" w:eastAsia="zh-CN" w:bidi="ar-SA"/>
    </w:rPr>
  </w:style>
  <w:style w:type="character" w:customStyle="1" w:styleId="208">
    <w:name w:val="标题 2 Char"/>
    <w:qFormat/>
    <w:uiPriority w:val="0"/>
    <w:rPr>
      <w:rFonts w:ascii="Arial" w:hAnsi="Arial" w:eastAsia="黑体"/>
      <w:b/>
      <w:kern w:val="2"/>
      <w:sz w:val="32"/>
      <w:lang w:val="en-US" w:eastAsia="zh-CN"/>
    </w:rPr>
  </w:style>
  <w:style w:type="character" w:customStyle="1" w:styleId="209">
    <w:name w:val="maywed421"/>
    <w:qFormat/>
    <w:uiPriority w:val="0"/>
    <w:rPr>
      <w:color w:val="366FB6"/>
      <w:u w:val="none"/>
    </w:rPr>
  </w:style>
  <w:style w:type="character" w:customStyle="1" w:styleId="210">
    <w:name w:val="正文文本缩进 Char"/>
    <w:qFormat/>
    <w:uiPriority w:val="0"/>
    <w:rPr>
      <w:rFonts w:ascii="宋体" w:hAnsi="宋体"/>
      <w:kern w:val="2"/>
      <w:sz w:val="24"/>
      <w:szCs w:val="24"/>
    </w:rPr>
  </w:style>
  <w:style w:type="character" w:customStyle="1" w:styleId="211">
    <w:name w:val="Char Char102"/>
    <w:semiHidden/>
    <w:qFormat/>
    <w:uiPriority w:val="0"/>
    <w:rPr>
      <w:rFonts w:ascii="宋体" w:hAnsi="宋体"/>
      <w:kern w:val="2"/>
      <w:sz w:val="21"/>
      <w:szCs w:val="24"/>
      <w:lang w:val="en-US" w:eastAsia="zh-CN"/>
    </w:rPr>
  </w:style>
  <w:style w:type="character" w:customStyle="1" w:styleId="212">
    <w:name w:val="页眉 Char1"/>
    <w:qFormat/>
    <w:uiPriority w:val="0"/>
    <w:rPr>
      <w:rFonts w:eastAsia="宋体"/>
      <w:kern w:val="2"/>
      <w:sz w:val="18"/>
      <w:szCs w:val="18"/>
      <w:lang w:val="en-US" w:eastAsia="zh-CN" w:bidi="ar-SA"/>
    </w:rPr>
  </w:style>
  <w:style w:type="character" w:customStyle="1" w:styleId="213">
    <w:name w:val="md"/>
    <w:basedOn w:val="71"/>
    <w:qFormat/>
    <w:uiPriority w:val="0"/>
    <w:rPr>
      <w:rFonts w:ascii="Arial" w:hAnsi="Arial" w:eastAsia="黑体" w:cs="Arial"/>
      <w:snapToGrid w:val="0"/>
      <w:kern w:val="0"/>
      <w:szCs w:val="21"/>
    </w:rPr>
  </w:style>
  <w:style w:type="character" w:customStyle="1" w:styleId="214">
    <w:name w:val="big1"/>
    <w:qFormat/>
    <w:uiPriority w:val="0"/>
    <w:rPr>
      <w:rFonts w:hint="eastAsia" w:ascii="宋体" w:hAnsi="宋体" w:eastAsia="宋体"/>
      <w:color w:val="333333"/>
      <w:sz w:val="22"/>
      <w:szCs w:val="22"/>
    </w:rPr>
  </w:style>
  <w:style w:type="character" w:customStyle="1" w:styleId="215">
    <w:name w:val="Char Char311"/>
    <w:qFormat/>
    <w:uiPriority w:val="0"/>
    <w:rPr>
      <w:rFonts w:eastAsia="宋体"/>
      <w:kern w:val="2"/>
      <w:sz w:val="21"/>
      <w:szCs w:val="24"/>
      <w:lang w:val="en-US" w:eastAsia="zh-CN" w:bidi="ar-SA"/>
    </w:rPr>
  </w:style>
  <w:style w:type="character" w:customStyle="1" w:styleId="216">
    <w:name w:val="Char Char81"/>
    <w:qFormat/>
    <w:uiPriority w:val="6"/>
    <w:rPr>
      <w:rFonts w:eastAsia="宋体"/>
      <w:b/>
      <w:sz w:val="24"/>
      <w:lang w:val="en-GB" w:eastAsia="zh-CN"/>
    </w:rPr>
  </w:style>
  <w:style w:type="character" w:customStyle="1" w:styleId="217">
    <w:name w:val="样式3 Char"/>
    <w:basedOn w:val="168"/>
    <w:qFormat/>
    <w:uiPriority w:val="0"/>
    <w:rPr>
      <w:rFonts w:ascii="仿宋_GB2312" w:hAnsi="仿宋" w:eastAsia="仿宋_GB2312" w:cs="仿宋_GB2312"/>
      <w:sz w:val="32"/>
      <w:szCs w:val="30"/>
      <w:lang w:val="zh-CN"/>
    </w:rPr>
  </w:style>
  <w:style w:type="character" w:customStyle="1" w:styleId="218">
    <w:name w:val="HTML 地址 Char"/>
    <w:link w:val="33"/>
    <w:qFormat/>
    <w:uiPriority w:val="0"/>
    <w:rPr>
      <w:rFonts w:ascii="宋体" w:hAnsi="宋体"/>
      <w:i/>
      <w:iCs/>
      <w:sz w:val="24"/>
      <w:szCs w:val="24"/>
    </w:rPr>
  </w:style>
  <w:style w:type="character" w:customStyle="1" w:styleId="219">
    <w:name w:val="正文首行缩进 2 Char1"/>
    <w:qFormat/>
    <w:uiPriority w:val="0"/>
    <w:rPr>
      <w:rFonts w:ascii="Times New Roman" w:hAnsi="Times New Roman" w:eastAsia="宋体" w:cs="Times New Roman"/>
      <w:kern w:val="2"/>
      <w:sz w:val="24"/>
      <w:szCs w:val="24"/>
    </w:rPr>
  </w:style>
  <w:style w:type="character" w:customStyle="1" w:styleId="220">
    <w:name w:val="副标题 Char2"/>
    <w:qFormat/>
    <w:uiPriority w:val="0"/>
    <w:rPr>
      <w:rFonts w:ascii="Cambria" w:hAnsi="Cambria" w:eastAsia="宋体" w:cs="Times New Roman"/>
      <w:b/>
      <w:bCs/>
      <w:snapToGrid w:val="0"/>
      <w:kern w:val="28"/>
      <w:sz w:val="32"/>
      <w:szCs w:val="32"/>
    </w:rPr>
  </w:style>
  <w:style w:type="character" w:customStyle="1" w:styleId="221">
    <w:name w:val="标题4-dyf Char"/>
    <w:link w:val="222"/>
    <w:qFormat/>
    <w:uiPriority w:val="0"/>
    <w:rPr>
      <w:rFonts w:ascii="Cambria" w:hAnsi="Cambria"/>
      <w:b/>
      <w:bCs/>
      <w:color w:val="000000"/>
      <w:kern w:val="2"/>
      <w:sz w:val="21"/>
      <w:szCs w:val="21"/>
    </w:rPr>
  </w:style>
  <w:style w:type="paragraph" w:customStyle="1" w:styleId="222">
    <w:name w:val="标题4-dyf"/>
    <w:basedOn w:val="6"/>
    <w:link w:val="221"/>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3">
    <w:name w:val="dectext1"/>
    <w:qFormat/>
    <w:uiPriority w:val="0"/>
    <w:rPr>
      <w:rFonts w:ascii="宋体" w:hAnsi="宋体" w:eastAsia="宋体"/>
      <w:color w:val="333333"/>
      <w:sz w:val="21"/>
      <w:szCs w:val="21"/>
      <w:u w:val="none"/>
    </w:rPr>
  </w:style>
  <w:style w:type="character" w:customStyle="1" w:styleId="224">
    <w:name w:val="冯 Char"/>
    <w:link w:val="225"/>
    <w:qFormat/>
    <w:uiPriority w:val="0"/>
    <w:rPr>
      <w:rFonts w:ascii="宋体" w:hAnsi="宋体"/>
      <w:color w:val="000000"/>
      <w:sz w:val="24"/>
      <w:szCs w:val="24"/>
    </w:rPr>
  </w:style>
  <w:style w:type="paragraph" w:customStyle="1" w:styleId="225">
    <w:name w:val="冯"/>
    <w:basedOn w:val="1"/>
    <w:link w:val="224"/>
    <w:qFormat/>
    <w:uiPriority w:val="0"/>
    <w:pPr>
      <w:widowControl/>
      <w:adjustRightInd/>
      <w:spacing w:line="360" w:lineRule="auto"/>
      <w:ind w:firstLine="480" w:firstLineChars="200"/>
    </w:pPr>
    <w:rPr>
      <w:rFonts w:ascii="宋体" w:hAnsi="宋体"/>
      <w:color w:val="000000"/>
      <w:kern w:val="0"/>
      <w:sz w:val="24"/>
    </w:rPr>
  </w:style>
  <w:style w:type="character" w:customStyle="1" w:styleId="226">
    <w:name w:val="Header Char"/>
    <w:qFormat/>
    <w:locked/>
    <w:uiPriority w:val="0"/>
    <w:rPr>
      <w:rFonts w:eastAsia="宋体"/>
      <w:kern w:val="2"/>
      <w:sz w:val="18"/>
      <w:szCs w:val="18"/>
      <w:lang w:val="en-US" w:eastAsia="zh-CN" w:bidi="ar-SA"/>
    </w:rPr>
  </w:style>
  <w:style w:type="character" w:customStyle="1" w:styleId="227">
    <w:name w:val="Char Char12"/>
    <w:qFormat/>
    <w:uiPriority w:val="0"/>
    <w:rPr>
      <w:rFonts w:ascii="仿宋_GB2312" w:eastAsia="仿宋_GB2312"/>
      <w:b/>
      <w:bCs/>
      <w:kern w:val="2"/>
      <w:sz w:val="24"/>
      <w:szCs w:val="24"/>
      <w:lang w:val="zh-CN" w:eastAsia="zh-CN" w:bidi="ar-SA"/>
    </w:rPr>
  </w:style>
  <w:style w:type="character" w:customStyle="1" w:styleId="228">
    <w:name w:val="题注 Char"/>
    <w:link w:val="17"/>
    <w:qFormat/>
    <w:uiPriority w:val="0"/>
    <w:rPr>
      <w:b/>
      <w:kern w:val="2"/>
      <w:sz w:val="28"/>
    </w:rPr>
  </w:style>
  <w:style w:type="character" w:customStyle="1" w:styleId="229">
    <w:name w:val="普通文字 Char3"/>
    <w:qFormat/>
    <w:uiPriority w:val="0"/>
    <w:rPr>
      <w:rFonts w:ascii="宋体" w:hAnsi="Courier New" w:eastAsia="宋体"/>
      <w:kern w:val="2"/>
      <w:sz w:val="21"/>
      <w:lang w:val="en-US" w:eastAsia="zh-CN" w:bidi="ar-SA"/>
    </w:rPr>
  </w:style>
  <w:style w:type="character" w:customStyle="1" w:styleId="230">
    <w:name w:val="公文正文 Char"/>
    <w:qFormat/>
    <w:uiPriority w:val="0"/>
    <w:rPr>
      <w:rFonts w:ascii="仿宋_GB2312" w:eastAsia="仿宋_GB2312"/>
      <w:kern w:val="2"/>
      <w:sz w:val="24"/>
      <w:szCs w:val="24"/>
      <w:lang w:val="en-US" w:eastAsia="zh-CN" w:bidi="ar-SA"/>
    </w:rPr>
  </w:style>
  <w:style w:type="character" w:customStyle="1" w:styleId="231">
    <w:name w:val="正文首行缩进 Char Char Char Char Char"/>
    <w:qFormat/>
    <w:uiPriority w:val="0"/>
    <w:rPr>
      <w:rFonts w:ascii="宋体"/>
      <w:kern w:val="2"/>
      <w:sz w:val="24"/>
      <w:lang w:val="zh-CN"/>
    </w:rPr>
  </w:style>
  <w:style w:type="character" w:customStyle="1" w:styleId="232">
    <w:name w:val="PI Char"/>
    <w:qFormat/>
    <w:uiPriority w:val="0"/>
    <w:rPr>
      <w:rFonts w:ascii="宋体" w:hAnsi="宋体" w:eastAsia="宋体"/>
      <w:kern w:val="2"/>
      <w:sz w:val="24"/>
      <w:szCs w:val="24"/>
      <w:lang w:val="en-US" w:eastAsia="zh-CN" w:bidi="ar-SA"/>
    </w:rPr>
  </w:style>
  <w:style w:type="character" w:customStyle="1" w:styleId="233">
    <w:name w:val="Default Char"/>
    <w:link w:val="234"/>
    <w:qFormat/>
    <w:uiPriority w:val="0"/>
    <w:rPr>
      <w:rFonts w:ascii="仿宋_GB2312" w:eastAsia="仿宋_GB2312" w:cs="仿宋_GB2312"/>
      <w:color w:val="000000"/>
      <w:sz w:val="24"/>
      <w:szCs w:val="24"/>
      <w:lang w:val="en-US" w:eastAsia="zh-CN" w:bidi="ar-SA"/>
    </w:rPr>
  </w:style>
  <w:style w:type="paragraph" w:customStyle="1" w:styleId="234">
    <w:name w:val="Default"/>
    <w:link w:val="233"/>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5">
    <w:name w:val="style91"/>
    <w:qFormat/>
    <w:uiPriority w:val="0"/>
    <w:rPr>
      <w:color w:val="333333"/>
    </w:rPr>
  </w:style>
  <w:style w:type="character" w:customStyle="1" w:styleId="236">
    <w:name w:val="列出段落 Char2"/>
    <w:qFormat/>
    <w:uiPriority w:val="34"/>
    <w:rPr>
      <w:rFonts w:ascii="Calibri" w:hAnsi="Calibri"/>
      <w:kern w:val="2"/>
      <w:sz w:val="28"/>
    </w:rPr>
  </w:style>
  <w:style w:type="character" w:customStyle="1" w:styleId="237">
    <w:name w:val="mdeck"/>
    <w:qFormat/>
    <w:uiPriority w:val="0"/>
    <w:rPr>
      <w:rFonts w:ascii="仿宋_GB2312" w:eastAsia="微软雅黑"/>
      <w:b/>
      <w:kern w:val="2"/>
      <w:sz w:val="32"/>
      <w:szCs w:val="32"/>
      <w:lang w:val="en-US" w:eastAsia="zh-CN" w:bidi="ar-SA"/>
    </w:rPr>
  </w:style>
  <w:style w:type="character" w:customStyle="1" w:styleId="238">
    <w:name w:val="unnamed11"/>
    <w:qFormat/>
    <w:uiPriority w:val="0"/>
    <w:rPr>
      <w:sz w:val="20"/>
      <w:szCs w:val="20"/>
    </w:rPr>
  </w:style>
  <w:style w:type="character" w:customStyle="1" w:styleId="239">
    <w:name w:val="正文文本 Char2"/>
    <w:semiHidden/>
    <w:qFormat/>
    <w:uiPriority w:val="99"/>
    <w:rPr>
      <w:rFonts w:ascii="Times New Roman" w:hAnsi="Times New Roman" w:eastAsia="宋体" w:cs="Times New Roman"/>
      <w:snapToGrid w:val="0"/>
      <w:kern w:val="0"/>
      <w:szCs w:val="24"/>
    </w:rPr>
  </w:style>
  <w:style w:type="character" w:customStyle="1" w:styleId="240">
    <w:name w:val="标书正文格式 Char"/>
    <w:qFormat/>
    <w:uiPriority w:val="0"/>
    <w:rPr>
      <w:rFonts w:eastAsia="楷体_GB2312"/>
      <w:kern w:val="2"/>
      <w:sz w:val="24"/>
      <w:szCs w:val="24"/>
      <w:lang w:bidi="ar-SA"/>
    </w:rPr>
  </w:style>
  <w:style w:type="character" w:customStyle="1" w:styleId="241">
    <w:name w:val="Char Char11"/>
    <w:qFormat/>
    <w:locked/>
    <w:uiPriority w:val="0"/>
    <w:rPr>
      <w:rFonts w:ascii="宋体" w:hAnsi="宋体" w:eastAsia="宋体"/>
      <w:b/>
      <w:kern w:val="2"/>
      <w:sz w:val="24"/>
      <w:szCs w:val="24"/>
      <w:lang w:val="en-US" w:eastAsia="zh-CN" w:bidi="ar-SA"/>
    </w:rPr>
  </w:style>
  <w:style w:type="character" w:customStyle="1" w:styleId="242">
    <w:name w:val="ca-131"/>
    <w:qFormat/>
    <w:uiPriority w:val="0"/>
    <w:rPr>
      <w:rFonts w:hint="eastAsia" w:ascii="仿宋_GB2312" w:eastAsia="仿宋_GB2312"/>
      <w:b/>
      <w:bCs/>
      <w:color w:val="000000"/>
      <w:spacing w:val="-20"/>
      <w:sz w:val="24"/>
      <w:szCs w:val="24"/>
    </w:rPr>
  </w:style>
  <w:style w:type="character" w:customStyle="1" w:styleId="243">
    <w:name w:val="tw4winMark"/>
    <w:qFormat/>
    <w:uiPriority w:val="0"/>
    <w:rPr>
      <w:rFonts w:ascii="Courier New" w:hAnsi="Courier New" w:cs="Courier New"/>
      <w:vanish/>
      <w:color w:val="800080"/>
      <w:sz w:val="24"/>
      <w:szCs w:val="24"/>
      <w:vertAlign w:val="subscript"/>
    </w:rPr>
  </w:style>
  <w:style w:type="character" w:customStyle="1" w:styleId="244">
    <w:name w:val="正文样式 Char"/>
    <w:link w:val="245"/>
    <w:qFormat/>
    <w:uiPriority w:val="0"/>
    <w:rPr>
      <w:rFonts w:ascii="Calibri" w:hAnsi="Calibri"/>
      <w:sz w:val="24"/>
      <w:szCs w:val="24"/>
    </w:rPr>
  </w:style>
  <w:style w:type="paragraph" w:customStyle="1" w:styleId="245">
    <w:name w:val="正文样式"/>
    <w:basedOn w:val="1"/>
    <w:link w:val="244"/>
    <w:qFormat/>
    <w:uiPriority w:val="0"/>
    <w:pPr>
      <w:adjustRightInd/>
      <w:spacing w:line="360" w:lineRule="auto"/>
      <w:ind w:firstLine="480" w:firstLineChars="200"/>
    </w:pPr>
    <w:rPr>
      <w:kern w:val="0"/>
      <w:sz w:val="24"/>
    </w:rPr>
  </w:style>
  <w:style w:type="character" w:customStyle="1" w:styleId="246">
    <w:name w:val="表正文 Char3"/>
    <w:qFormat/>
    <w:uiPriority w:val="0"/>
    <w:rPr>
      <w:rFonts w:eastAsia="宋体"/>
    </w:rPr>
  </w:style>
  <w:style w:type="character" w:customStyle="1" w:styleId="247">
    <w:name w:val="H5 Char"/>
    <w:qFormat/>
    <w:uiPriority w:val="0"/>
    <w:rPr>
      <w:b/>
      <w:bCs/>
      <w:kern w:val="2"/>
      <w:sz w:val="28"/>
      <w:szCs w:val="28"/>
    </w:rPr>
  </w:style>
  <w:style w:type="character" w:customStyle="1" w:styleId="248">
    <w:name w:val="Char Char3"/>
    <w:qFormat/>
    <w:uiPriority w:val="0"/>
    <w:rPr>
      <w:rFonts w:eastAsia="宋体"/>
      <w:kern w:val="2"/>
      <w:sz w:val="21"/>
      <w:szCs w:val="24"/>
      <w:lang w:val="en-US" w:eastAsia="zh-CN" w:bidi="ar-SA"/>
    </w:rPr>
  </w:style>
  <w:style w:type="character" w:customStyle="1" w:styleId="249">
    <w:name w:val="正文 编号 Char"/>
    <w:qFormat/>
    <w:uiPriority w:val="0"/>
    <w:rPr>
      <w:rFonts w:ascii="仿宋_GB2312" w:hAnsi="仿宋_GB2312" w:eastAsia="仿宋_GB2312"/>
      <w:kern w:val="2"/>
      <w:sz w:val="24"/>
      <w:lang w:bidi="ar-SA"/>
    </w:rPr>
  </w:style>
  <w:style w:type="character" w:customStyle="1" w:styleId="250">
    <w:name w:val="question-title2"/>
    <w:qFormat/>
    <w:uiPriority w:val="6"/>
    <w:rPr>
      <w:rFonts w:ascii="Arial" w:hAnsi="Arial" w:eastAsia="黑体" w:cs="Arial"/>
      <w:snapToGrid w:val="0"/>
      <w:kern w:val="0"/>
      <w:szCs w:val="21"/>
    </w:rPr>
  </w:style>
  <w:style w:type="character" w:customStyle="1" w:styleId="251">
    <w:name w:val="gf正文1 Char Char"/>
    <w:link w:val="252"/>
    <w:qFormat/>
    <w:uiPriority w:val="0"/>
    <w:rPr>
      <w:rFonts w:ascii="宋体" w:hAnsi="宋体" w:cs="宋体"/>
      <w:kern w:val="2"/>
      <w:sz w:val="24"/>
      <w:szCs w:val="24"/>
    </w:rPr>
  </w:style>
  <w:style w:type="paragraph" w:customStyle="1" w:styleId="252">
    <w:name w:val="gf正文1"/>
    <w:basedOn w:val="1"/>
    <w:link w:val="251"/>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3">
    <w:name w:val="Char Char15"/>
    <w:qFormat/>
    <w:uiPriority w:val="6"/>
    <w:rPr>
      <w:rFonts w:ascii="宋体" w:hAnsi="宋体"/>
      <w:kern w:val="1"/>
      <w:sz w:val="21"/>
    </w:rPr>
  </w:style>
  <w:style w:type="character" w:customStyle="1" w:styleId="254">
    <w:name w:val="正文缩进 Char3"/>
    <w:qFormat/>
    <w:uiPriority w:val="0"/>
    <w:rPr>
      <w:rFonts w:ascii="宋体" w:eastAsia="宋体"/>
      <w:snapToGrid w:val="0"/>
      <w:color w:val="000000"/>
      <w:kern w:val="28"/>
      <w:sz w:val="28"/>
      <w:lang w:val="en-US" w:eastAsia="zh-CN" w:bidi="ar-SA"/>
    </w:rPr>
  </w:style>
  <w:style w:type="character" w:customStyle="1" w:styleId="255">
    <w:name w:val="列出段落 Char1"/>
    <w:link w:val="256"/>
    <w:qFormat/>
    <w:uiPriority w:val="0"/>
    <w:rPr>
      <w:rFonts w:ascii="Calibri" w:hAnsi="Calibri"/>
      <w:sz w:val="24"/>
      <w:lang w:eastAsia="en-US"/>
    </w:rPr>
  </w:style>
  <w:style w:type="paragraph" w:customStyle="1" w:styleId="256">
    <w:name w:val="列表1"/>
    <w:basedOn w:val="1"/>
    <w:next w:val="257"/>
    <w:link w:val="255"/>
    <w:qFormat/>
    <w:uiPriority w:val="0"/>
    <w:pPr>
      <w:widowControl/>
      <w:adjustRightInd/>
      <w:spacing w:after="200" w:line="360" w:lineRule="auto"/>
      <w:ind w:left="720" w:firstLine="200" w:firstLineChars="200"/>
      <w:jc w:val="left"/>
    </w:pPr>
    <w:rPr>
      <w:kern w:val="0"/>
      <w:sz w:val="24"/>
      <w:szCs w:val="20"/>
      <w:lang w:eastAsia="en-US"/>
    </w:rPr>
  </w:style>
  <w:style w:type="paragraph" w:styleId="257">
    <w:name w:val="List Paragraph"/>
    <w:basedOn w:val="1"/>
    <w:qFormat/>
    <w:uiPriority w:val="34"/>
    <w:pPr>
      <w:spacing w:line="360" w:lineRule="auto"/>
      <w:ind w:firstLine="200" w:firstLineChars="200"/>
    </w:pPr>
    <w:rPr>
      <w:rFonts w:eastAsia="楷体_GB2312" w:cs="Lucida Sans"/>
      <w:sz w:val="24"/>
    </w:rPr>
  </w:style>
  <w:style w:type="character" w:customStyle="1" w:styleId="258">
    <w:name w:val="Char Char8"/>
    <w:qFormat/>
    <w:uiPriority w:val="0"/>
    <w:rPr>
      <w:rFonts w:eastAsia="宋体"/>
      <w:b/>
      <w:sz w:val="24"/>
      <w:lang w:val="en-GB" w:eastAsia="zh-CN"/>
    </w:rPr>
  </w:style>
  <w:style w:type="character" w:customStyle="1" w:styleId="259">
    <w:name w:val="Normal Indent Char Char"/>
    <w:qFormat/>
    <w:uiPriority w:val="0"/>
    <w:rPr>
      <w:rFonts w:eastAsia="宋体"/>
      <w:kern w:val="2"/>
      <w:sz w:val="21"/>
      <w:lang w:val="en-US" w:eastAsia="zh-CN" w:bidi="ar-SA"/>
    </w:rPr>
  </w:style>
  <w:style w:type="character" w:customStyle="1" w:styleId="260">
    <w:name w:val="列表段落 字符"/>
    <w:qFormat/>
    <w:uiPriority w:val="99"/>
  </w:style>
  <w:style w:type="character" w:customStyle="1" w:styleId="261">
    <w:name w:val="Ò³Ã¼ Char Char1"/>
    <w:qFormat/>
    <w:uiPriority w:val="0"/>
    <w:rPr>
      <w:rFonts w:eastAsia="宋体"/>
      <w:kern w:val="2"/>
      <w:sz w:val="18"/>
      <w:szCs w:val="18"/>
      <w:lang w:val="en-US" w:eastAsia="zh-CN" w:bidi="ar-SA"/>
    </w:rPr>
  </w:style>
  <w:style w:type="character" w:customStyle="1" w:styleId="262">
    <w:name w:val="方案正文 Char"/>
    <w:qFormat/>
    <w:uiPriority w:val="0"/>
    <w:rPr>
      <w:rFonts w:ascii="仿宋_GB2312" w:eastAsia="仿宋_GB2312"/>
      <w:b/>
      <w:color w:val="000000"/>
      <w:kern w:val="2"/>
      <w:sz w:val="24"/>
      <w:lang w:val="en-US" w:eastAsia="zh-CN" w:bidi="ar-SA"/>
    </w:rPr>
  </w:style>
  <w:style w:type="character" w:customStyle="1" w:styleId="263">
    <w:name w:val="Char Char30"/>
    <w:qFormat/>
    <w:uiPriority w:val="6"/>
    <w:rPr>
      <w:rFonts w:ascii="Arial" w:hAnsi="Arial" w:eastAsia="黑体"/>
      <w:kern w:val="1"/>
      <w:sz w:val="21"/>
      <w:szCs w:val="21"/>
    </w:rPr>
  </w:style>
  <w:style w:type="character" w:customStyle="1" w:styleId="264">
    <w:name w:val="正文文本缩进 Char3"/>
    <w:link w:val="21"/>
    <w:qFormat/>
    <w:uiPriority w:val="0"/>
    <w:rPr>
      <w:rFonts w:ascii="宋体" w:hAnsi="宋体"/>
      <w:kern w:val="2"/>
      <w:sz w:val="24"/>
      <w:szCs w:val="24"/>
    </w:rPr>
  </w:style>
  <w:style w:type="character" w:customStyle="1" w:styleId="265">
    <w:name w:val="font01"/>
    <w:qFormat/>
    <w:uiPriority w:val="0"/>
    <w:rPr>
      <w:rFonts w:hint="eastAsia" w:ascii="微软雅黑" w:hAnsi="微软雅黑" w:eastAsia="微软雅黑" w:cs="微软雅黑"/>
      <w:color w:val="000000"/>
      <w:sz w:val="20"/>
      <w:szCs w:val="20"/>
      <w:u w:val="none"/>
    </w:rPr>
  </w:style>
  <w:style w:type="character" w:customStyle="1" w:styleId="266">
    <w:name w:val="Char Char20"/>
    <w:qFormat/>
    <w:uiPriority w:val="6"/>
    <w:rPr>
      <w:kern w:val="1"/>
      <w:sz w:val="24"/>
    </w:rPr>
  </w:style>
  <w:style w:type="character" w:customStyle="1" w:styleId="267">
    <w:name w:val="tw4winExternal"/>
    <w:qFormat/>
    <w:uiPriority w:val="0"/>
    <w:rPr>
      <w:rFonts w:ascii="Courier New" w:hAnsi="Courier New" w:cs="Courier New"/>
      <w:color w:val="808080"/>
      <w:lang w:val="en-US" w:eastAsia="zh-CN"/>
    </w:rPr>
  </w:style>
  <w:style w:type="character" w:customStyle="1" w:styleId="268">
    <w:name w:val="标题 4 Char1"/>
    <w:qFormat/>
    <w:uiPriority w:val="9"/>
    <w:rPr>
      <w:rFonts w:ascii="Cambria" w:hAnsi="Cambria" w:eastAsia="宋体" w:cs="Times New Roman"/>
      <w:b/>
      <w:bCs/>
      <w:kern w:val="2"/>
      <w:sz w:val="28"/>
      <w:szCs w:val="28"/>
    </w:rPr>
  </w:style>
  <w:style w:type="character" w:customStyle="1" w:styleId="269">
    <w:name w:val="批注文字 Char2"/>
    <w:qFormat/>
    <w:uiPriority w:val="99"/>
    <w:rPr>
      <w:rFonts w:ascii="Times New Roman" w:hAnsi="Times New Roman" w:eastAsia="宋体" w:cs="Times New Roman"/>
      <w:snapToGrid w:val="0"/>
      <w:kern w:val="0"/>
      <w:szCs w:val="24"/>
    </w:rPr>
  </w:style>
  <w:style w:type="character" w:customStyle="1" w:styleId="270">
    <w:name w:val="正文文本 2 Char"/>
    <w:qFormat/>
    <w:uiPriority w:val="0"/>
    <w:rPr>
      <w:rFonts w:eastAsia="宋体"/>
      <w:kern w:val="2"/>
      <w:sz w:val="21"/>
      <w:szCs w:val="24"/>
      <w:lang w:val="en-US" w:eastAsia="zh-CN" w:bidi="ar-SA"/>
    </w:rPr>
  </w:style>
  <w:style w:type="character" w:customStyle="1" w:styleId="271">
    <w:name w:val="Ò³Ã¼ Char Char"/>
    <w:qFormat/>
    <w:uiPriority w:val="0"/>
    <w:rPr>
      <w:rFonts w:eastAsia="宋体"/>
      <w:kern w:val="2"/>
      <w:sz w:val="18"/>
      <w:lang w:val="en-US" w:eastAsia="zh-CN" w:bidi="ar-SA"/>
    </w:rPr>
  </w:style>
  <w:style w:type="character" w:customStyle="1" w:styleId="272">
    <w:name w:val="message1"/>
    <w:qFormat/>
    <w:uiPriority w:val="0"/>
    <w:rPr>
      <w:rFonts w:hint="default" w:ascii="Tahoma" w:hAnsi="Tahoma" w:cs="Tahoma"/>
      <w:sz w:val="18"/>
      <w:szCs w:val="18"/>
    </w:rPr>
  </w:style>
  <w:style w:type="character" w:customStyle="1" w:styleId="273">
    <w:name w:val="Char Char23"/>
    <w:qFormat/>
    <w:uiPriority w:val="6"/>
    <w:rPr>
      <w:color w:val="0000FF"/>
      <w:sz w:val="21"/>
    </w:rPr>
  </w:style>
  <w:style w:type="character" w:customStyle="1" w:styleId="274">
    <w:name w:val="批注框文本 字符"/>
    <w:qFormat/>
    <w:uiPriority w:val="0"/>
    <w:rPr>
      <w:rFonts w:ascii="Arial" w:hAnsi="Arial" w:eastAsia="黑体" w:cs="Arial"/>
      <w:snapToGrid w:val="0"/>
      <w:kern w:val="0"/>
      <w:sz w:val="18"/>
      <w:szCs w:val="18"/>
    </w:rPr>
  </w:style>
  <w:style w:type="character" w:customStyle="1" w:styleId="275">
    <w:name w:val="纯文本 Char2"/>
    <w:semiHidden/>
    <w:qFormat/>
    <w:uiPriority w:val="99"/>
    <w:rPr>
      <w:rFonts w:ascii="宋体" w:hAnsi="Courier New" w:eastAsia="宋体" w:cs="Courier New"/>
    </w:rPr>
  </w:style>
  <w:style w:type="character" w:customStyle="1" w:styleId="276">
    <w:name w:val="Char Char25"/>
    <w:qFormat/>
    <w:uiPriority w:val="6"/>
    <w:rPr>
      <w:rFonts w:ascii="宋体" w:hAnsi="宋体"/>
      <w:kern w:val="1"/>
      <w:sz w:val="24"/>
      <w:lang w:val="zh-CN"/>
    </w:rPr>
  </w:style>
  <w:style w:type="character" w:customStyle="1" w:styleId="277">
    <w:name w:val="Char Char411"/>
    <w:qFormat/>
    <w:uiPriority w:val="0"/>
    <w:rPr>
      <w:rFonts w:eastAsia="宋体"/>
      <w:b/>
      <w:sz w:val="24"/>
      <w:lang w:val="en-GB" w:eastAsia="zh-CN" w:bidi="ar-SA"/>
    </w:rPr>
  </w:style>
  <w:style w:type="character" w:customStyle="1" w:styleId="278">
    <w:name w:val="Heading 7 Char"/>
    <w:qFormat/>
    <w:locked/>
    <w:uiPriority w:val="0"/>
    <w:rPr>
      <w:rFonts w:ascii="宋体" w:hAnsi="宋体" w:eastAsia="宋体"/>
      <w:b/>
      <w:bCs/>
      <w:kern w:val="2"/>
      <w:sz w:val="24"/>
      <w:szCs w:val="24"/>
      <w:lang w:val="en-US" w:eastAsia="zh-CN" w:bidi="ar-SA"/>
    </w:rPr>
  </w:style>
  <w:style w:type="character" w:customStyle="1" w:styleId="279">
    <w:name w:val="此正文 Char"/>
    <w:link w:val="280"/>
    <w:qFormat/>
    <w:uiPriority w:val="0"/>
    <w:rPr>
      <w:kern w:val="2"/>
      <w:sz w:val="24"/>
      <w:szCs w:val="24"/>
    </w:rPr>
  </w:style>
  <w:style w:type="paragraph" w:customStyle="1" w:styleId="280">
    <w:name w:val="此正文"/>
    <w:basedOn w:val="1"/>
    <w:link w:val="279"/>
    <w:qFormat/>
    <w:uiPriority w:val="0"/>
    <w:pPr>
      <w:adjustRightInd/>
      <w:spacing w:line="360" w:lineRule="auto"/>
      <w:ind w:firstLine="200" w:firstLineChars="200"/>
    </w:pPr>
    <w:rPr>
      <w:sz w:val="24"/>
    </w:rPr>
  </w:style>
  <w:style w:type="character" w:customStyle="1" w:styleId="281">
    <w:name w:val="Char Char2"/>
    <w:qFormat/>
    <w:uiPriority w:val="0"/>
    <w:rPr>
      <w:rFonts w:eastAsia="宋体"/>
      <w:b/>
      <w:bCs/>
      <w:kern w:val="2"/>
      <w:sz w:val="21"/>
      <w:szCs w:val="24"/>
      <w:lang w:val="en-US" w:eastAsia="zh-CN" w:bidi="ar-SA"/>
    </w:rPr>
  </w:style>
  <w:style w:type="character" w:customStyle="1" w:styleId="282">
    <w:name w:val="标题 1 Char"/>
    <w:link w:val="2"/>
    <w:qFormat/>
    <w:uiPriority w:val="9"/>
    <w:rPr>
      <w:b/>
      <w:bCs/>
      <w:kern w:val="44"/>
      <w:sz w:val="44"/>
      <w:szCs w:val="44"/>
    </w:rPr>
  </w:style>
  <w:style w:type="character" w:customStyle="1" w:styleId="283">
    <w:name w:val="Footer-Even Char1"/>
    <w:qFormat/>
    <w:uiPriority w:val="0"/>
    <w:rPr>
      <w:rFonts w:eastAsia="宋体"/>
      <w:kern w:val="2"/>
      <w:sz w:val="18"/>
      <w:szCs w:val="18"/>
      <w:lang w:val="en-US" w:eastAsia="zh-CN" w:bidi="ar-SA"/>
    </w:rPr>
  </w:style>
  <w:style w:type="character" w:customStyle="1" w:styleId="284">
    <w:name w:val="Char Char29"/>
    <w:qFormat/>
    <w:uiPriority w:val="6"/>
    <w:rPr>
      <w:rFonts w:ascii="Arial" w:hAnsi="Arial" w:eastAsia="微软雅黑"/>
      <w:b/>
      <w:kern w:val="1"/>
      <w:sz w:val="44"/>
      <w:szCs w:val="32"/>
      <w:lang w:val="en-US" w:eastAsia="zh-CN" w:bidi="ar-SA"/>
    </w:rPr>
  </w:style>
  <w:style w:type="character" w:customStyle="1" w:styleId="285">
    <w:name w:val="标题 Char2"/>
    <w:link w:val="61"/>
    <w:qFormat/>
    <w:uiPriority w:val="10"/>
    <w:rPr>
      <w:b/>
      <w:sz w:val="24"/>
      <w:lang w:val="en-GB"/>
    </w:rPr>
  </w:style>
  <w:style w:type="character" w:customStyle="1" w:styleId="286">
    <w:name w:val="font81"/>
    <w:qFormat/>
    <w:uiPriority w:val="0"/>
    <w:rPr>
      <w:rFonts w:ascii="微软雅黑" w:hAnsi="微软雅黑" w:eastAsia="微软雅黑" w:cs="微软雅黑"/>
      <w:color w:val="000000"/>
      <w:sz w:val="20"/>
      <w:szCs w:val="20"/>
      <w:u w:val="none"/>
    </w:rPr>
  </w:style>
  <w:style w:type="character" w:customStyle="1" w:styleId="287">
    <w:name w:val="Char Char312"/>
    <w:qFormat/>
    <w:uiPriority w:val="0"/>
    <w:rPr>
      <w:rFonts w:ascii="Times New Roman" w:hAnsi="Times New Roman" w:eastAsia="宋体" w:cs="Times New Roman"/>
      <w:b/>
      <w:kern w:val="2"/>
      <w:sz w:val="32"/>
      <w:szCs w:val="24"/>
      <w:lang w:val="en-US" w:eastAsia="zh-CN" w:bidi="ar-SA"/>
    </w:rPr>
  </w:style>
  <w:style w:type="character" w:customStyle="1" w:styleId="288">
    <w:name w:val="t21"/>
    <w:qFormat/>
    <w:uiPriority w:val="0"/>
    <w:rPr>
      <w:rFonts w:ascii="仿宋_GB2312" w:eastAsia="微软雅黑"/>
      <w:b/>
      <w:kern w:val="2"/>
      <w:sz w:val="23"/>
      <w:szCs w:val="23"/>
      <w:lang w:val="en-US" w:eastAsia="zh-CN" w:bidi="ar-SA"/>
    </w:rPr>
  </w:style>
  <w:style w:type="character" w:customStyle="1" w:styleId="289">
    <w:name w:val="样式8 Char"/>
    <w:qFormat/>
    <w:uiPriority w:val="0"/>
    <w:rPr>
      <w:rFonts w:ascii="仿宋_GB2312" w:hAnsi="宋体" w:eastAsia="仿宋_GB2312"/>
      <w:b/>
      <w:bCs/>
      <w:kern w:val="2"/>
      <w:sz w:val="24"/>
      <w:szCs w:val="24"/>
    </w:rPr>
  </w:style>
  <w:style w:type="character" w:customStyle="1" w:styleId="290">
    <w:name w:val="表格 Char Char"/>
    <w:qFormat/>
    <w:uiPriority w:val="0"/>
    <w:rPr>
      <w:rFonts w:ascii="宋体" w:hAnsi="宋体" w:eastAsia="宋体"/>
      <w:lang w:bidi="ar-SA"/>
    </w:rPr>
  </w:style>
  <w:style w:type="character" w:customStyle="1" w:styleId="291">
    <w:name w:val="正文文本 字符1"/>
    <w:qFormat/>
    <w:uiPriority w:val="0"/>
    <w:rPr>
      <w:rFonts w:ascii="Calibri" w:hAnsi="Calibri" w:eastAsia="黑体" w:cs="Arial"/>
      <w:snapToGrid w:val="0"/>
      <w:kern w:val="2"/>
      <w:sz w:val="28"/>
      <w:szCs w:val="21"/>
    </w:rPr>
  </w:style>
  <w:style w:type="character" w:customStyle="1" w:styleId="292">
    <w:name w:val="标题 5 Char"/>
    <w:link w:val="7"/>
    <w:qFormat/>
    <w:uiPriority w:val="9"/>
    <w:rPr>
      <w:b/>
      <w:bCs/>
      <w:kern w:val="2"/>
      <w:sz w:val="28"/>
      <w:szCs w:val="28"/>
    </w:rPr>
  </w:style>
  <w:style w:type="character" w:customStyle="1" w:styleId="293">
    <w:name w:val="标题 6 Char1"/>
    <w:qFormat/>
    <w:uiPriority w:val="0"/>
    <w:rPr>
      <w:rFonts w:ascii="Arial" w:hAnsi="Arial" w:eastAsia="黑体" w:cs="Times New Roman"/>
      <w:b/>
      <w:sz w:val="24"/>
      <w:szCs w:val="20"/>
      <w:lang w:bidi="ar-SA"/>
    </w:rPr>
  </w:style>
  <w:style w:type="character" w:customStyle="1" w:styleId="294">
    <w:name w:val="带编号样式 Char"/>
    <w:qFormat/>
    <w:uiPriority w:val="0"/>
    <w:rPr>
      <w:rFonts w:ascii="仿宋_GB2312" w:eastAsia="仿宋_GB2312"/>
      <w:color w:val="000000"/>
      <w:sz w:val="24"/>
      <w:lang w:bidi="ar-SA"/>
    </w:rPr>
  </w:style>
  <w:style w:type="character" w:customStyle="1" w:styleId="295">
    <w:name w:val="unnamed31"/>
    <w:qFormat/>
    <w:uiPriority w:val="0"/>
    <w:rPr>
      <w:rFonts w:ascii="Tahoma" w:hAnsi="Tahoma" w:eastAsia="宋体"/>
      <w:b/>
      <w:kern w:val="2"/>
      <w:sz w:val="24"/>
      <w:szCs w:val="32"/>
      <w:u w:val="none"/>
      <w:lang w:val="en-US" w:eastAsia="zh-CN" w:bidi="ar-SA"/>
    </w:rPr>
  </w:style>
  <w:style w:type="character" w:customStyle="1" w:styleId="296">
    <w:name w:val="正文首行缩进 Char Char Char Char Char Char1"/>
    <w:qFormat/>
    <w:uiPriority w:val="0"/>
    <w:rPr>
      <w:rFonts w:ascii="宋体" w:eastAsia="宋体"/>
      <w:kern w:val="2"/>
      <w:sz w:val="24"/>
      <w:szCs w:val="24"/>
      <w:lang w:val="zh-CN" w:bidi="ar-SA"/>
    </w:rPr>
  </w:style>
  <w:style w:type="character" w:customStyle="1" w:styleId="297">
    <w:name w:val="称呼 Char"/>
    <w:link w:val="25"/>
    <w:qFormat/>
    <w:uiPriority w:val="0"/>
    <w:rPr>
      <w:rFonts w:ascii="仿宋_GB2312" w:eastAsia="仿宋_GB2312"/>
      <w:kern w:val="2"/>
      <w:sz w:val="28"/>
    </w:rPr>
  </w:style>
  <w:style w:type="character" w:customStyle="1" w:styleId="298">
    <w:name w:val="文本正文 Char Char"/>
    <w:qFormat/>
    <w:locked/>
    <w:uiPriority w:val="0"/>
    <w:rPr>
      <w:sz w:val="24"/>
      <w:lang w:bidi="ar-SA"/>
    </w:rPr>
  </w:style>
  <w:style w:type="character" w:customStyle="1" w:styleId="299">
    <w:name w:val="正文缩进 字符"/>
    <w:qFormat/>
    <w:uiPriority w:val="0"/>
    <w:rPr>
      <w:rFonts w:ascii="宋体" w:eastAsia="宋体"/>
      <w:snapToGrid w:val="0"/>
      <w:color w:val="000000"/>
      <w:kern w:val="28"/>
      <w:sz w:val="28"/>
      <w:lang w:val="en-US" w:eastAsia="zh-CN" w:bidi="ar-SA"/>
    </w:rPr>
  </w:style>
  <w:style w:type="character" w:customStyle="1" w:styleId="300">
    <w:name w:val="HTML 预设格式 Char"/>
    <w:link w:val="59"/>
    <w:qFormat/>
    <w:uiPriority w:val="0"/>
    <w:rPr>
      <w:rFonts w:ascii="黑体" w:hAnsi="Courier New" w:eastAsia="黑体"/>
    </w:rPr>
  </w:style>
  <w:style w:type="character" w:customStyle="1" w:styleId="301">
    <w:name w:val="正文文本 2 Char1"/>
    <w:link w:val="58"/>
    <w:qFormat/>
    <w:uiPriority w:val="0"/>
    <w:rPr>
      <w:kern w:val="2"/>
      <w:sz w:val="21"/>
      <w:szCs w:val="24"/>
    </w:rPr>
  </w:style>
  <w:style w:type="character" w:customStyle="1" w:styleId="302">
    <w:name w:val="样式 样式 标题 4h4H4Fab-4T5Ref Heading 1rh1Heading sqlsect 1.2.3.... +... Char"/>
    <w:link w:val="303"/>
    <w:qFormat/>
    <w:uiPriority w:val="0"/>
    <w:rPr>
      <w:rFonts w:ascii="微软雅黑" w:hAnsi="微软雅黑" w:eastAsia="微软雅黑"/>
      <w:b/>
      <w:bCs/>
      <w:kern w:val="2"/>
      <w:sz w:val="24"/>
      <w:szCs w:val="28"/>
    </w:rPr>
  </w:style>
  <w:style w:type="paragraph" w:customStyle="1" w:styleId="303">
    <w:name w:val="样式 样式 标题 4h4H4Fab-4T5Ref Heading 1rh1Heading sqlsect 1.2.3.... +..."/>
    <w:basedOn w:val="304"/>
    <w:link w:val="302"/>
    <w:qFormat/>
    <w:uiPriority w:val="0"/>
    <w:pPr>
      <w:tabs>
        <w:tab w:val="left" w:pos="2356"/>
      </w:tabs>
    </w:pPr>
  </w:style>
  <w:style w:type="paragraph" w:customStyle="1" w:styleId="304">
    <w:name w:val="样式 标题 4h4H4Fab-4T5Ref Heading 1rh1Heading sqlsect 1.2.3...."/>
    <w:basedOn w:val="6"/>
    <w:link w:val="412"/>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5">
    <w:name w:val="正文非缩进 Char"/>
    <w:qFormat/>
    <w:uiPriority w:val="0"/>
    <w:rPr>
      <w:rFonts w:ascii="宋体" w:eastAsia="宋体"/>
      <w:snapToGrid w:val="0"/>
      <w:color w:val="000000"/>
      <w:kern w:val="28"/>
      <w:sz w:val="28"/>
      <w:lang w:val="en-US" w:eastAsia="zh-CN" w:bidi="ar-SA"/>
    </w:rPr>
  </w:style>
  <w:style w:type="character" w:customStyle="1" w:styleId="306">
    <w:name w:val="标题 7 Char"/>
    <w:link w:val="9"/>
    <w:qFormat/>
    <w:uiPriority w:val="0"/>
    <w:rPr>
      <w:b/>
      <w:bCs/>
      <w:kern w:val="2"/>
      <w:sz w:val="24"/>
      <w:szCs w:val="24"/>
    </w:rPr>
  </w:style>
  <w:style w:type="character" w:customStyle="1" w:styleId="307">
    <w:name w:val="正文文本缩进 2 Char"/>
    <w:link w:val="39"/>
    <w:qFormat/>
    <w:uiPriority w:val="0"/>
    <w:rPr>
      <w:rFonts w:ascii="宋体"/>
      <w:sz w:val="28"/>
    </w:rPr>
  </w:style>
  <w:style w:type="character" w:customStyle="1" w:styleId="308">
    <w:name w:val="Char Char5"/>
    <w:qFormat/>
    <w:uiPriority w:val="0"/>
    <w:rPr>
      <w:rFonts w:ascii="宋体" w:hAnsi="Courier New" w:eastAsia="宋体"/>
      <w:kern w:val="2"/>
      <w:sz w:val="21"/>
      <w:lang w:val="en-US" w:eastAsia="zh-CN"/>
    </w:rPr>
  </w:style>
  <w:style w:type="character" w:customStyle="1" w:styleId="309">
    <w:name w:val="脚注文本 Char"/>
    <w:link w:val="52"/>
    <w:qFormat/>
    <w:uiPriority w:val="0"/>
    <w:rPr>
      <w:color w:val="0000FF"/>
      <w:sz w:val="21"/>
    </w:rPr>
  </w:style>
  <w:style w:type="character" w:customStyle="1" w:styleId="310">
    <w:name w:val="称呼 Char1"/>
    <w:qFormat/>
    <w:uiPriority w:val="0"/>
    <w:rPr>
      <w:rFonts w:ascii="Times New Roman" w:hAnsi="Times New Roman" w:eastAsia="宋体" w:cs="Times New Roman"/>
      <w:szCs w:val="24"/>
    </w:rPr>
  </w:style>
  <w:style w:type="character" w:customStyle="1" w:styleId="311">
    <w:name w:val="正文1 Char"/>
    <w:qFormat/>
    <w:uiPriority w:val="0"/>
    <w:rPr>
      <w:rFonts w:ascii="宋体" w:eastAsia="宋体"/>
      <w:snapToGrid w:val="0"/>
      <w:color w:val="000000"/>
      <w:kern w:val="28"/>
      <w:sz w:val="28"/>
      <w:lang w:val="en-US" w:eastAsia="zh-CN" w:bidi="ar-SA"/>
    </w:rPr>
  </w:style>
  <w:style w:type="character" w:customStyle="1" w:styleId="312">
    <w:name w:val="正文缩进 Char1"/>
    <w:qFormat/>
    <w:uiPriority w:val="0"/>
    <w:rPr>
      <w:rFonts w:ascii="宋体" w:eastAsia="宋体"/>
      <w:snapToGrid w:val="0"/>
      <w:color w:val="000000"/>
      <w:kern w:val="28"/>
      <w:sz w:val="28"/>
      <w:lang w:val="en-US" w:eastAsia="zh-CN" w:bidi="ar-SA"/>
    </w:rPr>
  </w:style>
  <w:style w:type="character" w:customStyle="1" w:styleId="313">
    <w:name w:val="font21"/>
    <w:qFormat/>
    <w:uiPriority w:val="0"/>
    <w:rPr>
      <w:rFonts w:hint="eastAsia" w:ascii="宋体" w:hAnsi="宋体" w:eastAsia="宋体"/>
      <w:kern w:val="2"/>
      <w:sz w:val="28"/>
      <w:szCs w:val="28"/>
      <w:lang w:val="en-US" w:eastAsia="zh-CN" w:bidi="ar-SA"/>
    </w:rPr>
  </w:style>
  <w:style w:type="character" w:customStyle="1" w:styleId="314">
    <w:name w:val="Char Char26"/>
    <w:qFormat/>
    <w:uiPriority w:val="6"/>
    <w:rPr>
      <w:kern w:val="1"/>
      <w:sz w:val="21"/>
      <w:szCs w:val="24"/>
    </w:rPr>
  </w:style>
  <w:style w:type="character" w:customStyle="1" w:styleId="315">
    <w:name w:val="Item List Char"/>
    <w:link w:val="316"/>
    <w:qFormat/>
    <w:uiPriority w:val="0"/>
    <w:rPr>
      <w:rFonts w:ascii="Arial"/>
      <w:bCs/>
      <w:sz w:val="21"/>
      <w:szCs w:val="21"/>
      <w:lang w:val="en-US" w:eastAsia="zh-CN" w:bidi="ar-SA"/>
    </w:rPr>
  </w:style>
  <w:style w:type="paragraph" w:customStyle="1" w:styleId="316">
    <w:name w:val="Item List"/>
    <w:link w:val="315"/>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17">
    <w:name w:val="批注框文本 Char1"/>
    <w:qFormat/>
    <w:uiPriority w:val="0"/>
    <w:rPr>
      <w:rFonts w:ascii="Times New Roman" w:hAnsi="Times New Roman" w:eastAsia="宋体" w:cs="Times New Roman"/>
      <w:sz w:val="18"/>
      <w:szCs w:val="18"/>
    </w:rPr>
  </w:style>
  <w:style w:type="character" w:customStyle="1" w:styleId="318">
    <w:name w:val="纯文本 Char1"/>
    <w:link w:val="319"/>
    <w:qFormat/>
    <w:uiPriority w:val="0"/>
    <w:rPr>
      <w:rFonts w:ascii="宋体" w:hAnsi="Courier New"/>
    </w:rPr>
  </w:style>
  <w:style w:type="paragraph" w:customStyle="1" w:styleId="319">
    <w:name w:val="纯文本1"/>
    <w:basedOn w:val="1"/>
    <w:link w:val="318"/>
    <w:qFormat/>
    <w:uiPriority w:val="0"/>
    <w:pPr>
      <w:adjustRightInd/>
    </w:pPr>
    <w:rPr>
      <w:rFonts w:ascii="宋体" w:hAnsi="Courier New"/>
      <w:kern w:val="0"/>
      <w:sz w:val="20"/>
      <w:szCs w:val="20"/>
    </w:rPr>
  </w:style>
  <w:style w:type="character" w:customStyle="1" w:styleId="320">
    <w:name w:val="正文首行缩进 Char"/>
    <w:link w:val="63"/>
    <w:qFormat/>
    <w:uiPriority w:val="0"/>
    <w:rPr>
      <w:rFonts w:ascii="宋体"/>
      <w:kern w:val="2"/>
      <w:sz w:val="24"/>
      <w:lang w:val="zh-CN"/>
    </w:rPr>
  </w:style>
  <w:style w:type="character" w:customStyle="1" w:styleId="321">
    <w:name w:val="h3 Char"/>
    <w:qFormat/>
    <w:uiPriority w:val="0"/>
    <w:rPr>
      <w:rFonts w:eastAsia="宋体"/>
      <w:b/>
      <w:kern w:val="2"/>
      <w:sz w:val="32"/>
      <w:lang w:val="en-US" w:eastAsia="zh-CN" w:bidi="ar-SA"/>
    </w:rPr>
  </w:style>
  <w:style w:type="character" w:customStyle="1" w:styleId="322">
    <w:name w:val="dandyren_title1"/>
    <w:qFormat/>
    <w:uiPriority w:val="0"/>
    <w:rPr>
      <w:b/>
      <w:bCs/>
      <w:color w:val="FF6633"/>
      <w:sz w:val="18"/>
      <w:szCs w:val="18"/>
    </w:rPr>
  </w:style>
  <w:style w:type="character" w:customStyle="1" w:styleId="323">
    <w:name w:val="Char Char31"/>
    <w:qFormat/>
    <w:uiPriority w:val="6"/>
    <w:rPr>
      <w:rFonts w:ascii="Arial" w:hAnsi="Arial" w:eastAsia="黑体"/>
      <w:kern w:val="1"/>
      <w:sz w:val="24"/>
      <w:szCs w:val="24"/>
    </w:rPr>
  </w:style>
  <w:style w:type="character" w:customStyle="1" w:styleId="324">
    <w:name w:val="h Char1"/>
    <w:qFormat/>
    <w:uiPriority w:val="0"/>
    <w:rPr>
      <w:sz w:val="18"/>
      <w:szCs w:val="18"/>
    </w:rPr>
  </w:style>
  <w:style w:type="character" w:customStyle="1" w:styleId="325">
    <w:name w:val="solutionfonts"/>
    <w:qFormat/>
    <w:uiPriority w:val="0"/>
  </w:style>
  <w:style w:type="character" w:customStyle="1" w:styleId="326">
    <w:name w:val="标题 4 Char2"/>
    <w:link w:val="6"/>
    <w:qFormat/>
    <w:uiPriority w:val="9"/>
    <w:rPr>
      <w:rFonts w:ascii="Arial" w:hAnsi="Arial" w:eastAsia="黑体"/>
      <w:b/>
      <w:bCs/>
      <w:kern w:val="2"/>
      <w:sz w:val="28"/>
      <w:szCs w:val="28"/>
      <w:lang w:val="zh-CN"/>
    </w:rPr>
  </w:style>
  <w:style w:type="character" w:customStyle="1" w:styleId="327">
    <w:name w:val="首行缩进 Char"/>
    <w:qFormat/>
    <w:uiPriority w:val="0"/>
    <w:rPr>
      <w:rFonts w:ascii="宋体" w:eastAsia="宋体"/>
      <w:kern w:val="2"/>
      <w:sz w:val="24"/>
      <w:lang w:val="en-US" w:eastAsia="zh-CN" w:bidi="ar-SA"/>
    </w:rPr>
  </w:style>
  <w:style w:type="character" w:customStyle="1" w:styleId="328">
    <w:name w:val="Char Char52"/>
    <w:qFormat/>
    <w:uiPriority w:val="0"/>
    <w:rPr>
      <w:rFonts w:ascii="宋体" w:hAnsi="Courier New" w:eastAsia="宋体"/>
      <w:kern w:val="2"/>
      <w:sz w:val="21"/>
      <w:lang w:val="en-US" w:eastAsia="zh-CN"/>
    </w:rPr>
  </w:style>
  <w:style w:type="character" w:customStyle="1" w:styleId="329">
    <w:name w:val="正文文本 3 Char"/>
    <w:link w:val="26"/>
    <w:qFormat/>
    <w:uiPriority w:val="0"/>
    <w:rPr>
      <w:kern w:val="2"/>
      <w:sz w:val="21"/>
    </w:rPr>
  </w:style>
  <w:style w:type="character" w:customStyle="1" w:styleId="330">
    <w:name w:val="font31"/>
    <w:qFormat/>
    <w:uiPriority w:val="0"/>
    <w:rPr>
      <w:rFonts w:hint="eastAsia" w:ascii="仿宋" w:hAnsi="仿宋" w:eastAsia="仿宋" w:cs="仿宋"/>
      <w:color w:val="000000"/>
      <w:sz w:val="20"/>
      <w:szCs w:val="20"/>
      <w:u w:val="none"/>
    </w:rPr>
  </w:style>
  <w:style w:type="character" w:customStyle="1" w:styleId="331">
    <w:name w:val="正文说明 Char"/>
    <w:link w:val="332"/>
    <w:qFormat/>
    <w:uiPriority w:val="0"/>
    <w:rPr>
      <w:sz w:val="24"/>
      <w:szCs w:val="24"/>
    </w:rPr>
  </w:style>
  <w:style w:type="paragraph" w:customStyle="1" w:styleId="332">
    <w:name w:val="正文说明"/>
    <w:basedOn w:val="1"/>
    <w:link w:val="331"/>
    <w:qFormat/>
    <w:uiPriority w:val="0"/>
    <w:pPr>
      <w:adjustRightInd/>
      <w:spacing w:line="360" w:lineRule="auto"/>
    </w:pPr>
    <w:rPr>
      <w:kern w:val="0"/>
      <w:sz w:val="24"/>
    </w:rPr>
  </w:style>
  <w:style w:type="character" w:customStyle="1" w:styleId="333">
    <w:name w:val="脚注文本 Char1"/>
    <w:qFormat/>
    <w:uiPriority w:val="0"/>
    <w:rPr>
      <w:rFonts w:ascii="Times New Roman" w:hAnsi="Times New Roman" w:eastAsia="宋体" w:cs="Times New Roman"/>
      <w:sz w:val="18"/>
      <w:szCs w:val="18"/>
    </w:rPr>
  </w:style>
  <w:style w:type="character" w:customStyle="1" w:styleId="334">
    <w:name w:val="Char Char1211"/>
    <w:qFormat/>
    <w:uiPriority w:val="0"/>
    <w:rPr>
      <w:rFonts w:ascii="仿宋_GB2312" w:eastAsia="仿宋_GB2312"/>
      <w:b/>
      <w:bCs/>
      <w:kern w:val="2"/>
      <w:sz w:val="24"/>
      <w:szCs w:val="24"/>
      <w:lang w:val="zh-CN" w:eastAsia="zh-CN" w:bidi="ar-SA"/>
    </w:rPr>
  </w:style>
  <w:style w:type="character" w:customStyle="1" w:styleId="335">
    <w:name w:val="标题 Char"/>
    <w:qFormat/>
    <w:uiPriority w:val="0"/>
    <w:rPr>
      <w:rFonts w:eastAsia="宋体"/>
      <w:b/>
      <w:sz w:val="24"/>
      <w:lang w:val="en-GB" w:eastAsia="zh-CN" w:bidi="ar-SA"/>
    </w:rPr>
  </w:style>
  <w:style w:type="character" w:customStyle="1" w:styleId="336">
    <w:name w:val="Char Char35"/>
    <w:qFormat/>
    <w:uiPriority w:val="6"/>
    <w:rPr>
      <w:rFonts w:ascii="Arial" w:hAnsi="Arial" w:eastAsia="黑体"/>
      <w:b/>
      <w:kern w:val="1"/>
      <w:sz w:val="28"/>
      <w:szCs w:val="28"/>
      <w:lang w:val="zh-CN"/>
    </w:rPr>
  </w:style>
  <w:style w:type="character" w:customStyle="1" w:styleId="337">
    <w:name w:val="纯文本 Char Char Char"/>
    <w:qFormat/>
    <w:uiPriority w:val="0"/>
    <w:rPr>
      <w:rFonts w:ascii="宋体" w:hAnsi="Courier New" w:eastAsia="宋体"/>
      <w:kern w:val="2"/>
      <w:sz w:val="21"/>
      <w:lang w:val="en-US" w:eastAsia="zh-CN" w:bidi="ar-SA"/>
    </w:rPr>
  </w:style>
  <w:style w:type="character" w:customStyle="1" w:styleId="338">
    <w:name w:val="Table Text Char"/>
    <w:link w:val="339"/>
    <w:qFormat/>
    <w:uiPriority w:val="0"/>
    <w:rPr>
      <w:sz w:val="24"/>
      <w:szCs w:val="24"/>
    </w:rPr>
  </w:style>
  <w:style w:type="paragraph" w:customStyle="1" w:styleId="339">
    <w:name w:val="Table Text"/>
    <w:basedOn w:val="1"/>
    <w:link w:val="338"/>
    <w:qFormat/>
    <w:uiPriority w:val="0"/>
    <w:pPr>
      <w:widowControl/>
      <w:spacing w:before="60" w:after="60"/>
      <w:jc w:val="left"/>
    </w:pPr>
    <w:rPr>
      <w:kern w:val="0"/>
      <w:sz w:val="24"/>
    </w:rPr>
  </w:style>
  <w:style w:type="character" w:customStyle="1" w:styleId="340">
    <w:name w:val="正文1 Char1"/>
    <w:qFormat/>
    <w:uiPriority w:val="0"/>
    <w:rPr>
      <w:rFonts w:ascii="仿宋_GB2312" w:hAnsi="Courier New" w:eastAsia="仿宋_GB2312"/>
      <w:kern w:val="28"/>
      <w:sz w:val="24"/>
      <w:szCs w:val="24"/>
      <w:lang w:val="en-US" w:eastAsia="zh-CN"/>
    </w:rPr>
  </w:style>
  <w:style w:type="character" w:customStyle="1" w:styleId="341">
    <w:name w:val="页脚 Char1"/>
    <w:qFormat/>
    <w:uiPriority w:val="0"/>
    <w:rPr>
      <w:rFonts w:eastAsia="宋体"/>
      <w:kern w:val="2"/>
      <w:sz w:val="18"/>
      <w:szCs w:val="18"/>
      <w:lang w:val="en-US" w:eastAsia="zh-CN" w:bidi="ar-SA"/>
    </w:rPr>
  </w:style>
  <w:style w:type="character" w:customStyle="1" w:styleId="342">
    <w:name w:val="Bold"/>
    <w:qFormat/>
    <w:uiPriority w:val="0"/>
    <w:rPr>
      <w:rFonts w:ascii="Arial" w:hAnsi="Arial" w:eastAsia="黑体" w:cs="Times New Roman"/>
      <w:b/>
      <w:kern w:val="2"/>
      <w:sz w:val="32"/>
      <w:szCs w:val="32"/>
      <w:lang w:val="en-US" w:eastAsia="zh-CN" w:bidi="ar-SA"/>
    </w:rPr>
  </w:style>
  <w:style w:type="character" w:customStyle="1" w:styleId="343">
    <w:name w:val="批注文字 Char1"/>
    <w:link w:val="20"/>
    <w:qFormat/>
    <w:uiPriority w:val="0"/>
    <w:rPr>
      <w:kern w:val="2"/>
      <w:sz w:val="21"/>
      <w:szCs w:val="24"/>
    </w:rPr>
  </w:style>
  <w:style w:type="character" w:customStyle="1" w:styleId="344">
    <w:name w:val="签名 Char"/>
    <w:link w:val="44"/>
    <w:qFormat/>
    <w:uiPriority w:val="0"/>
    <w:rPr>
      <w:rFonts w:eastAsia="仿宋_GB2312"/>
      <w:sz w:val="24"/>
    </w:rPr>
  </w:style>
  <w:style w:type="character" w:customStyle="1" w:styleId="345">
    <w:name w:val="hui3"/>
    <w:qFormat/>
    <w:uiPriority w:val="0"/>
    <w:rPr>
      <w:color w:val="333333"/>
    </w:rPr>
  </w:style>
  <w:style w:type="character" w:customStyle="1" w:styleId="346">
    <w:name w:val="Char Char17"/>
    <w:qFormat/>
    <w:uiPriority w:val="6"/>
    <w:rPr>
      <w:rFonts w:eastAsia="仿宋_GB2312"/>
      <w:sz w:val="24"/>
    </w:rPr>
  </w:style>
  <w:style w:type="character" w:customStyle="1" w:styleId="347">
    <w:name w:val="标题 4 字符"/>
    <w:qFormat/>
    <w:uiPriority w:val="9"/>
    <w:rPr>
      <w:rFonts w:ascii="等线 Light" w:hAnsi="等线 Light" w:eastAsia="等线 Light" w:cs="Times New Roman"/>
      <w:b/>
      <w:bCs/>
      <w:snapToGrid w:val="0"/>
      <w:kern w:val="0"/>
      <w:sz w:val="28"/>
      <w:szCs w:val="28"/>
    </w:rPr>
  </w:style>
  <w:style w:type="character" w:customStyle="1" w:styleId="348">
    <w:name w:val="Char Char37"/>
    <w:qFormat/>
    <w:uiPriority w:val="6"/>
    <w:rPr>
      <w:b/>
      <w:kern w:val="1"/>
      <w:sz w:val="44"/>
      <w:szCs w:val="44"/>
    </w:rPr>
  </w:style>
  <w:style w:type="character" w:customStyle="1" w:styleId="349">
    <w:name w:val="列出段落 Char"/>
    <w:qFormat/>
    <w:uiPriority w:val="0"/>
    <w:rPr>
      <w:rFonts w:eastAsia="楷体_GB2312" w:cs="Lucida Sans"/>
      <w:kern w:val="2"/>
      <w:sz w:val="24"/>
      <w:szCs w:val="24"/>
      <w:lang w:val="en-US" w:eastAsia="zh-CN" w:bidi="ar-SA"/>
    </w:rPr>
  </w:style>
  <w:style w:type="character" w:customStyle="1" w:styleId="350">
    <w:name w:val="正文文本缩进 3 Char1"/>
    <w:semiHidden/>
    <w:qFormat/>
    <w:uiPriority w:val="99"/>
    <w:rPr>
      <w:rFonts w:ascii="Times New Roman" w:hAnsi="Times New Roman" w:eastAsia="宋体" w:cs="Times New Roman"/>
      <w:sz w:val="16"/>
      <w:szCs w:val="16"/>
    </w:rPr>
  </w:style>
  <w:style w:type="character" w:customStyle="1" w:styleId="351">
    <w:name w:val="公文正文 Char Char"/>
    <w:link w:val="352"/>
    <w:qFormat/>
    <w:uiPriority w:val="0"/>
    <w:rPr>
      <w:rFonts w:ascii="仿宋_GB2312" w:eastAsia="仿宋_GB2312"/>
      <w:kern w:val="2"/>
      <w:sz w:val="24"/>
      <w:szCs w:val="24"/>
    </w:rPr>
  </w:style>
  <w:style w:type="paragraph" w:customStyle="1" w:styleId="352">
    <w:name w:val="公文正文"/>
    <w:basedOn w:val="1"/>
    <w:link w:val="351"/>
    <w:qFormat/>
    <w:uiPriority w:val="0"/>
    <w:pPr>
      <w:adjustRightInd/>
      <w:spacing w:before="156" w:line="360" w:lineRule="auto"/>
      <w:ind w:firstLine="360" w:firstLineChars="200"/>
    </w:pPr>
    <w:rPr>
      <w:rFonts w:ascii="仿宋_GB2312" w:eastAsia="仿宋_GB2312"/>
      <w:sz w:val="24"/>
    </w:rPr>
  </w:style>
  <w:style w:type="character" w:customStyle="1" w:styleId="353">
    <w:name w:val="Table Text Char1"/>
    <w:qFormat/>
    <w:uiPriority w:val="0"/>
    <w:rPr>
      <w:rFonts w:eastAsia="宋体"/>
      <w:sz w:val="24"/>
      <w:szCs w:val="24"/>
      <w:lang w:val="en-US" w:eastAsia="zh-CN" w:bidi="ar-SA"/>
    </w:rPr>
  </w:style>
  <w:style w:type="character" w:customStyle="1" w:styleId="354">
    <w:name w:val="标题 1 Char Char"/>
    <w:qFormat/>
    <w:uiPriority w:val="0"/>
    <w:rPr>
      <w:rFonts w:hint="eastAsia" w:ascii="宋体" w:hAnsi="宋体" w:eastAsia="宋体"/>
      <w:b/>
      <w:spacing w:val="-2"/>
      <w:sz w:val="24"/>
      <w:lang w:val="en-US" w:eastAsia="zh-CN" w:bidi="ar-SA"/>
    </w:rPr>
  </w:style>
  <w:style w:type="character" w:customStyle="1" w:styleId="355">
    <w:name w:val="正文（缩进2汉字） Char"/>
    <w:link w:val="356"/>
    <w:qFormat/>
    <w:uiPriority w:val="0"/>
    <w:rPr>
      <w:rFonts w:ascii="宋体"/>
    </w:rPr>
  </w:style>
  <w:style w:type="paragraph" w:customStyle="1" w:styleId="356">
    <w:name w:val="正文（缩进2汉字）"/>
    <w:basedOn w:val="1"/>
    <w:link w:val="355"/>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57">
    <w:name w:val="标题 8 Char"/>
    <w:link w:val="10"/>
    <w:qFormat/>
    <w:uiPriority w:val="0"/>
    <w:rPr>
      <w:rFonts w:ascii="Arial" w:hAnsi="Arial" w:eastAsia="黑体"/>
      <w:kern w:val="2"/>
      <w:sz w:val="24"/>
      <w:szCs w:val="24"/>
    </w:rPr>
  </w:style>
  <w:style w:type="character" w:customStyle="1" w:styleId="358">
    <w:name w:val="标书表格字体格式 Char"/>
    <w:qFormat/>
    <w:uiPriority w:val="0"/>
    <w:rPr>
      <w:kern w:val="2"/>
      <w:sz w:val="21"/>
      <w:szCs w:val="24"/>
      <w:lang w:bidi="ar-SA"/>
    </w:rPr>
  </w:style>
  <w:style w:type="character" w:customStyle="1" w:styleId="359">
    <w:name w:val="tw4winError"/>
    <w:qFormat/>
    <w:uiPriority w:val="0"/>
    <w:rPr>
      <w:rFonts w:ascii="Courier New" w:hAnsi="Courier New" w:cs="Courier New"/>
      <w:color w:val="00FF00"/>
      <w:sz w:val="40"/>
      <w:szCs w:val="40"/>
    </w:rPr>
  </w:style>
  <w:style w:type="character" w:customStyle="1" w:styleId="360">
    <w:name w:val="Body Text(ch) Char Char"/>
    <w:qFormat/>
    <w:uiPriority w:val="0"/>
    <w:rPr>
      <w:rFonts w:ascii="宋体"/>
      <w:kern w:val="2"/>
      <w:sz w:val="24"/>
      <w:szCs w:val="21"/>
      <w:lang w:val="zh-CN"/>
    </w:rPr>
  </w:style>
  <w:style w:type="character" w:customStyle="1" w:styleId="361">
    <w:name w:val="正文首行缩进两字 Char"/>
    <w:qFormat/>
    <w:uiPriority w:val="0"/>
    <w:rPr>
      <w:sz w:val="24"/>
      <w:szCs w:val="24"/>
      <w:lang w:val="en-US" w:eastAsia="zh-CN" w:bidi="ar-SA"/>
    </w:rPr>
  </w:style>
  <w:style w:type="character" w:customStyle="1" w:styleId="362">
    <w:name w:val="正文文本 Char"/>
    <w:qFormat/>
    <w:uiPriority w:val="0"/>
    <w:rPr>
      <w:rFonts w:eastAsia="宋体"/>
      <w:kern w:val="2"/>
      <w:sz w:val="24"/>
      <w:szCs w:val="24"/>
      <w:lang w:val="en-US" w:eastAsia="zh-CN" w:bidi="ar-SA"/>
    </w:rPr>
  </w:style>
  <w:style w:type="character" w:customStyle="1" w:styleId="363">
    <w:name w:val="文档结构图 字符1"/>
    <w:qFormat/>
    <w:uiPriority w:val="0"/>
    <w:rPr>
      <w:rFonts w:ascii="宋体" w:hAnsi="Calibri" w:eastAsia="黑体" w:cs="Arial"/>
      <w:snapToGrid w:val="0"/>
      <w:kern w:val="2"/>
      <w:sz w:val="18"/>
      <w:szCs w:val="18"/>
    </w:rPr>
  </w:style>
  <w:style w:type="character" w:customStyle="1" w:styleId="364">
    <w:name w:val="content"/>
    <w:qFormat/>
    <w:uiPriority w:val="0"/>
  </w:style>
  <w:style w:type="character" w:customStyle="1" w:styleId="365">
    <w:name w:val="tw4winPopup"/>
    <w:qFormat/>
    <w:uiPriority w:val="0"/>
    <w:rPr>
      <w:rFonts w:ascii="Courier New" w:hAnsi="Courier New" w:cs="Courier New"/>
      <w:color w:val="008000"/>
      <w:lang w:val="en-US" w:eastAsia="zh-CN"/>
    </w:rPr>
  </w:style>
  <w:style w:type="character" w:customStyle="1" w:styleId="366">
    <w:name w:val="param-name"/>
    <w:qFormat/>
    <w:uiPriority w:val="99"/>
    <w:rPr>
      <w:rFonts w:ascii="Arial" w:hAnsi="Arial" w:eastAsia="黑体" w:cs="Arial"/>
      <w:snapToGrid w:val="0"/>
      <w:kern w:val="0"/>
      <w:szCs w:val="21"/>
    </w:rPr>
  </w:style>
  <w:style w:type="character" w:customStyle="1" w:styleId="367">
    <w:name w:val="标准正文格式 Char"/>
    <w:qFormat/>
    <w:uiPriority w:val="0"/>
    <w:rPr>
      <w:rFonts w:ascii="宋体" w:eastAsia="仿宋_GB2312" w:cs="宋体"/>
      <w:color w:val="000000"/>
      <w:sz w:val="24"/>
      <w:lang w:val="en-US" w:eastAsia="zh-CN" w:bidi="ar-SA"/>
    </w:rPr>
  </w:style>
  <w:style w:type="character" w:customStyle="1" w:styleId="368">
    <w:name w:val="Char Char212"/>
    <w:qFormat/>
    <w:uiPriority w:val="0"/>
    <w:rPr>
      <w:rFonts w:eastAsia="宋体"/>
      <w:b/>
      <w:bCs/>
      <w:kern w:val="2"/>
      <w:sz w:val="21"/>
      <w:szCs w:val="24"/>
      <w:lang w:val="en-US" w:eastAsia="zh-CN" w:bidi="ar-SA"/>
    </w:rPr>
  </w:style>
  <w:style w:type="character" w:customStyle="1" w:styleId="369">
    <w:name w:val="文档结构图 Char"/>
    <w:qFormat/>
    <w:uiPriority w:val="0"/>
    <w:rPr>
      <w:rFonts w:eastAsia="宋体"/>
      <w:kern w:val="2"/>
      <w:sz w:val="21"/>
      <w:szCs w:val="24"/>
      <w:lang w:val="en-US" w:eastAsia="zh-CN" w:bidi="ar-SA"/>
    </w:rPr>
  </w:style>
  <w:style w:type="character" w:customStyle="1" w:styleId="370">
    <w:name w:val="zbggmain style9"/>
    <w:qFormat/>
    <w:uiPriority w:val="0"/>
  </w:style>
  <w:style w:type="character" w:customStyle="1" w:styleId="371">
    <w:name w:val="Char Char16"/>
    <w:qFormat/>
    <w:uiPriority w:val="6"/>
    <w:rPr>
      <w:kern w:val="1"/>
      <w:sz w:val="18"/>
      <w:szCs w:val="18"/>
    </w:rPr>
  </w:style>
  <w:style w:type="character" w:customStyle="1" w:styleId="372">
    <w:name w:val="font51"/>
    <w:qFormat/>
    <w:uiPriority w:val="0"/>
    <w:rPr>
      <w:rFonts w:hint="eastAsia" w:ascii="仿宋" w:hAnsi="仿宋" w:eastAsia="仿宋" w:cs="仿宋"/>
      <w:color w:val="000000"/>
      <w:sz w:val="20"/>
      <w:szCs w:val="20"/>
      <w:u w:val="none"/>
    </w:rPr>
  </w:style>
  <w:style w:type="character" w:customStyle="1" w:styleId="373">
    <w:name w:val="Char Char82"/>
    <w:qFormat/>
    <w:uiPriority w:val="0"/>
    <w:rPr>
      <w:rFonts w:eastAsia="宋体"/>
      <w:b/>
      <w:sz w:val="24"/>
      <w:lang w:val="en-GB" w:eastAsia="zh-CN"/>
    </w:rPr>
  </w:style>
  <w:style w:type="character" w:customStyle="1" w:styleId="374">
    <w:name w:val="正文文本缩进 3 Char"/>
    <w:link w:val="55"/>
    <w:qFormat/>
    <w:uiPriority w:val="0"/>
    <w:rPr>
      <w:kern w:val="2"/>
      <w:sz w:val="24"/>
    </w:rPr>
  </w:style>
  <w:style w:type="character" w:customStyle="1" w:styleId="375">
    <w:name w:val="日期 Char1"/>
    <w:semiHidden/>
    <w:qFormat/>
    <w:uiPriority w:val="99"/>
    <w:rPr>
      <w:rFonts w:ascii="Times New Roman" w:hAnsi="Times New Roman" w:eastAsia="宋体" w:cs="Times New Roman"/>
      <w:szCs w:val="24"/>
    </w:rPr>
  </w:style>
  <w:style w:type="character" w:customStyle="1" w:styleId="376">
    <w:name w:val="页眉 字符"/>
    <w:qFormat/>
    <w:uiPriority w:val="99"/>
    <w:rPr>
      <w:kern w:val="2"/>
      <w:sz w:val="18"/>
      <w:szCs w:val="18"/>
    </w:rPr>
  </w:style>
  <w:style w:type="character" w:customStyle="1" w:styleId="377">
    <w:name w:val="Char Char33"/>
    <w:qFormat/>
    <w:uiPriority w:val="6"/>
    <w:rPr>
      <w:rFonts w:ascii="Arial" w:hAnsi="Arial" w:eastAsia="黑体"/>
      <w:b/>
      <w:kern w:val="1"/>
      <w:sz w:val="24"/>
      <w:szCs w:val="24"/>
    </w:rPr>
  </w:style>
  <w:style w:type="character" w:customStyle="1" w:styleId="378">
    <w:name w:val="b11_01b Char"/>
    <w:link w:val="379"/>
    <w:qFormat/>
    <w:uiPriority w:val="0"/>
    <w:rPr>
      <w:rFonts w:ascii="Verdana" w:hAnsi="Verdana"/>
      <w:b/>
      <w:bCs/>
      <w:color w:val="4A82CA"/>
      <w:sz w:val="17"/>
      <w:szCs w:val="17"/>
    </w:rPr>
  </w:style>
  <w:style w:type="paragraph" w:customStyle="1" w:styleId="379">
    <w:name w:val="b11_01b"/>
    <w:basedOn w:val="1"/>
    <w:next w:val="1"/>
    <w:link w:val="378"/>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0">
    <w:name w:val="Char Char121"/>
    <w:qFormat/>
    <w:uiPriority w:val="6"/>
    <w:rPr>
      <w:rFonts w:ascii="仿宋_GB2312" w:eastAsia="仿宋_GB2312"/>
      <w:b/>
      <w:bCs/>
      <w:kern w:val="2"/>
      <w:sz w:val="24"/>
      <w:szCs w:val="24"/>
      <w:lang w:val="zh-CN" w:eastAsia="zh-CN" w:bidi="ar-SA"/>
    </w:rPr>
  </w:style>
  <w:style w:type="character" w:customStyle="1" w:styleId="381">
    <w:name w:val="Footer-Even Char"/>
    <w:qFormat/>
    <w:uiPriority w:val="0"/>
    <w:rPr>
      <w:rFonts w:eastAsia="宋体"/>
      <w:kern w:val="2"/>
      <w:sz w:val="18"/>
      <w:lang w:val="en-US" w:eastAsia="zh-CN" w:bidi="ar-SA"/>
    </w:rPr>
  </w:style>
  <w:style w:type="character" w:customStyle="1" w:styleId="382">
    <w:name w:val="页脚 Char2"/>
    <w:link w:val="42"/>
    <w:qFormat/>
    <w:locked/>
    <w:uiPriority w:val="99"/>
    <w:rPr>
      <w:kern w:val="2"/>
      <w:sz w:val="18"/>
      <w:szCs w:val="18"/>
    </w:rPr>
  </w:style>
  <w:style w:type="character" w:customStyle="1" w:styleId="383">
    <w:name w:val="Char Char36"/>
    <w:qFormat/>
    <w:uiPriority w:val="6"/>
    <w:rPr>
      <w:rFonts w:ascii="仿宋_GB2312" w:hAnsi="仿宋_GB2312" w:eastAsia="仿宋_GB2312" w:cs="Arial"/>
      <w:b/>
      <w:kern w:val="1"/>
      <w:sz w:val="32"/>
      <w:szCs w:val="32"/>
      <w:lang w:val="zh-CN" w:eastAsia="zh-CN" w:bidi="ar-SA"/>
    </w:rPr>
  </w:style>
  <w:style w:type="character" w:customStyle="1" w:styleId="384">
    <w:name w:val="Char Char61"/>
    <w:qFormat/>
    <w:uiPriority w:val="6"/>
    <w:rPr>
      <w:rFonts w:eastAsia="宋体"/>
      <w:kern w:val="2"/>
      <w:sz w:val="21"/>
      <w:szCs w:val="24"/>
      <w:lang w:val="en-US" w:eastAsia="zh-CN" w:bidi="ar-SA"/>
    </w:rPr>
  </w:style>
  <w:style w:type="character" w:customStyle="1" w:styleId="385">
    <w:name w:val="正文文字缩进 2 Char Char"/>
    <w:qFormat/>
    <w:uiPriority w:val="0"/>
    <w:rPr>
      <w:rFonts w:ascii="宋体"/>
      <w:sz w:val="28"/>
    </w:rPr>
  </w:style>
  <w:style w:type="character" w:customStyle="1" w:styleId="386">
    <w:name w:val="f141"/>
    <w:qFormat/>
    <w:uiPriority w:val="0"/>
    <w:rPr>
      <w:rFonts w:ascii="Tahoma" w:hAnsi="Tahoma" w:eastAsia="宋体"/>
      <w:b/>
      <w:kern w:val="2"/>
      <w:sz w:val="21"/>
      <w:szCs w:val="21"/>
      <w:lang w:val="en-US" w:eastAsia="zh-CN" w:bidi="ar-SA"/>
    </w:rPr>
  </w:style>
  <w:style w:type="character" w:customStyle="1" w:styleId="387">
    <w:name w:val="段落 Char Char"/>
    <w:link w:val="388"/>
    <w:qFormat/>
    <w:uiPriority w:val="0"/>
    <w:rPr>
      <w:rFonts w:ascii="宋体" w:hAnsi="宋体"/>
      <w:sz w:val="24"/>
    </w:rPr>
  </w:style>
  <w:style w:type="paragraph" w:customStyle="1" w:styleId="388">
    <w:name w:val="段落"/>
    <w:basedOn w:val="1"/>
    <w:link w:val="387"/>
    <w:qFormat/>
    <w:uiPriority w:val="0"/>
    <w:pPr>
      <w:adjustRightInd/>
      <w:spacing w:line="360" w:lineRule="auto"/>
      <w:ind w:firstLine="480" w:firstLineChars="200"/>
    </w:pPr>
    <w:rPr>
      <w:rFonts w:ascii="宋体" w:hAnsi="宋体"/>
      <w:kern w:val="0"/>
      <w:sz w:val="24"/>
      <w:szCs w:val="20"/>
    </w:rPr>
  </w:style>
  <w:style w:type="character" w:customStyle="1" w:styleId="389">
    <w:name w:val="标题 3 Char2"/>
    <w:qFormat/>
    <w:uiPriority w:val="0"/>
    <w:rPr>
      <w:rFonts w:eastAsia="宋体"/>
      <w:b/>
      <w:bCs/>
      <w:kern w:val="2"/>
      <w:sz w:val="32"/>
      <w:szCs w:val="32"/>
      <w:lang w:val="en-US" w:eastAsia="zh-CN" w:bidi="ar-SA"/>
    </w:rPr>
  </w:style>
  <w:style w:type="character" w:customStyle="1" w:styleId="390">
    <w:name w:val="apple-converted-space"/>
    <w:qFormat/>
    <w:uiPriority w:val="0"/>
  </w:style>
  <w:style w:type="character" w:customStyle="1" w:styleId="391">
    <w:name w:val="页眉 Char2"/>
    <w:link w:val="43"/>
    <w:qFormat/>
    <w:uiPriority w:val="99"/>
    <w:rPr>
      <w:kern w:val="2"/>
      <w:sz w:val="18"/>
      <w:szCs w:val="18"/>
    </w:rPr>
  </w:style>
  <w:style w:type="character" w:customStyle="1" w:styleId="392">
    <w:name w:val="Char Char9"/>
    <w:qFormat/>
    <w:uiPriority w:val="0"/>
    <w:rPr>
      <w:rFonts w:eastAsia="宋体"/>
      <w:kern w:val="2"/>
      <w:sz w:val="18"/>
      <w:szCs w:val="18"/>
      <w:lang w:val="en-US" w:eastAsia="zh-CN" w:bidi="ar-SA"/>
    </w:rPr>
  </w:style>
  <w:style w:type="character" w:customStyle="1" w:styleId="393">
    <w:name w:val="Char Char41"/>
    <w:qFormat/>
    <w:uiPriority w:val="0"/>
    <w:rPr>
      <w:rFonts w:eastAsia="宋体"/>
      <w:b/>
      <w:sz w:val="24"/>
      <w:lang w:val="en-GB" w:eastAsia="zh-CN" w:bidi="ar-SA"/>
    </w:rPr>
  </w:style>
  <w:style w:type="character" w:customStyle="1" w:styleId="394">
    <w:name w:val="large1"/>
    <w:qFormat/>
    <w:uiPriority w:val="0"/>
    <w:rPr>
      <w:rFonts w:hint="eastAsia" w:ascii="宋体" w:hAnsi="宋体" w:eastAsia="宋体"/>
      <w:sz w:val="21"/>
      <w:szCs w:val="21"/>
    </w:rPr>
  </w:style>
  <w:style w:type="character" w:customStyle="1" w:styleId="395">
    <w:name w:val="正文段 Char"/>
    <w:link w:val="396"/>
    <w:qFormat/>
    <w:uiPriority w:val="0"/>
    <w:rPr>
      <w:sz w:val="24"/>
    </w:rPr>
  </w:style>
  <w:style w:type="paragraph" w:customStyle="1" w:styleId="396">
    <w:name w:val="正文段"/>
    <w:basedOn w:val="1"/>
    <w:link w:val="395"/>
    <w:qFormat/>
    <w:uiPriority w:val="0"/>
    <w:pPr>
      <w:widowControl/>
      <w:snapToGrid w:val="0"/>
      <w:spacing w:after="156" w:afterLines="50"/>
      <w:ind w:firstLine="200" w:firstLineChars="200"/>
    </w:pPr>
    <w:rPr>
      <w:kern w:val="0"/>
      <w:sz w:val="24"/>
      <w:szCs w:val="20"/>
    </w:rPr>
  </w:style>
  <w:style w:type="character" w:customStyle="1" w:styleId="397">
    <w:name w:val="Char Char13"/>
    <w:qFormat/>
    <w:uiPriority w:val="6"/>
    <w:rPr>
      <w:rFonts w:ascii="宋体" w:hAnsi="宋体"/>
      <w:kern w:val="1"/>
      <w:sz w:val="21"/>
      <w:szCs w:val="24"/>
    </w:rPr>
  </w:style>
  <w:style w:type="character" w:customStyle="1" w:styleId="398">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399">
    <w:name w:val="冯广丽 Char"/>
    <w:link w:val="400"/>
    <w:qFormat/>
    <w:uiPriority w:val="0"/>
    <w:rPr>
      <w:rFonts w:ascii="宋体" w:hAnsi="宋体"/>
      <w:kern w:val="2"/>
      <w:sz w:val="24"/>
      <w:szCs w:val="22"/>
    </w:rPr>
  </w:style>
  <w:style w:type="paragraph" w:customStyle="1" w:styleId="400">
    <w:name w:val="冯广丽"/>
    <w:basedOn w:val="1"/>
    <w:link w:val="399"/>
    <w:qFormat/>
    <w:uiPriority w:val="0"/>
    <w:pPr>
      <w:adjustRightInd/>
      <w:spacing w:line="360" w:lineRule="auto"/>
      <w:ind w:firstLine="480" w:firstLineChars="200"/>
    </w:pPr>
    <w:rPr>
      <w:rFonts w:ascii="宋体" w:hAnsi="宋体"/>
      <w:sz w:val="24"/>
      <w:szCs w:val="22"/>
    </w:rPr>
  </w:style>
  <w:style w:type="character" w:customStyle="1" w:styleId="401">
    <w:name w:val="批注文字 字符"/>
    <w:qFormat/>
    <w:uiPriority w:val="0"/>
    <w:rPr>
      <w:rFonts w:ascii="Arial" w:hAnsi="Arial" w:eastAsia="黑体" w:cs="Arial"/>
      <w:snapToGrid w:val="0"/>
      <w:kern w:val="0"/>
      <w:szCs w:val="21"/>
    </w:rPr>
  </w:style>
  <w:style w:type="character" w:customStyle="1" w:styleId="402">
    <w:name w:val="Char Char161"/>
    <w:qFormat/>
    <w:uiPriority w:val="0"/>
    <w:rPr>
      <w:rFonts w:eastAsia="宋体"/>
      <w:b/>
      <w:kern w:val="2"/>
      <w:sz w:val="32"/>
      <w:lang w:val="en-US" w:eastAsia="zh-CN"/>
    </w:rPr>
  </w:style>
  <w:style w:type="character" w:customStyle="1" w:styleId="403">
    <w:name w:val="javascript"/>
    <w:qFormat/>
    <w:uiPriority w:val="0"/>
  </w:style>
  <w:style w:type="character" w:customStyle="1" w:styleId="404">
    <w:name w:val="图名 Char"/>
    <w:qFormat/>
    <w:uiPriority w:val="0"/>
    <w:rPr>
      <w:rFonts w:ascii="Arial" w:hAnsi="Arial" w:eastAsia="黑体"/>
      <w:kern w:val="2"/>
      <w:sz w:val="24"/>
      <w:szCs w:val="24"/>
      <w:lang w:val="en-US" w:eastAsia="zh-CN" w:bidi="ar-SA"/>
    </w:rPr>
  </w:style>
  <w:style w:type="character" w:customStyle="1" w:styleId="405">
    <w:name w:val="Used by Word for text of Help footnotes Char Char"/>
    <w:qFormat/>
    <w:uiPriority w:val="0"/>
    <w:rPr>
      <w:rFonts w:ascii="Times New Roman" w:hAnsi="Times New Roman" w:eastAsia="宋体" w:cs="Times New Roman"/>
      <w:sz w:val="20"/>
      <w:szCs w:val="20"/>
    </w:rPr>
  </w:style>
  <w:style w:type="character" w:customStyle="1" w:styleId="406">
    <w:name w:val="编号，小四 Char"/>
    <w:link w:val="407"/>
    <w:qFormat/>
    <w:uiPriority w:val="0"/>
    <w:rPr>
      <w:rFonts w:ascii="Arial" w:hAnsi="Arial"/>
      <w:sz w:val="24"/>
    </w:rPr>
  </w:style>
  <w:style w:type="paragraph" w:customStyle="1" w:styleId="407">
    <w:name w:val="编号，小四"/>
    <w:basedOn w:val="1"/>
    <w:link w:val="406"/>
    <w:qFormat/>
    <w:uiPriority w:val="0"/>
    <w:pPr>
      <w:tabs>
        <w:tab w:val="left" w:pos="432"/>
      </w:tabs>
      <w:adjustRightInd/>
      <w:spacing w:line="360" w:lineRule="auto"/>
      <w:ind w:left="432" w:hanging="432"/>
    </w:pPr>
    <w:rPr>
      <w:rFonts w:ascii="Arial" w:hAnsi="Arial"/>
      <w:kern w:val="0"/>
      <w:sz w:val="24"/>
      <w:szCs w:val="20"/>
    </w:rPr>
  </w:style>
  <w:style w:type="character" w:customStyle="1" w:styleId="408">
    <w:name w:val="Font Style82"/>
    <w:qFormat/>
    <w:uiPriority w:val="99"/>
    <w:rPr>
      <w:rFonts w:ascii="宋体" w:eastAsia="宋体" w:cs="宋体"/>
      <w:color w:val="000000"/>
      <w:sz w:val="14"/>
      <w:szCs w:val="14"/>
    </w:rPr>
  </w:style>
  <w:style w:type="character" w:customStyle="1" w:styleId="409">
    <w:name w:val="标题 2 Char Char"/>
    <w:qFormat/>
    <w:uiPriority w:val="0"/>
    <w:rPr>
      <w:rFonts w:ascii="楷体_GB2312" w:hAnsi="Arial" w:eastAsia="楷体_GB2312"/>
      <w:b/>
      <w:bCs/>
      <w:kern w:val="2"/>
      <w:sz w:val="24"/>
      <w:szCs w:val="32"/>
      <w:lang w:val="en-US" w:eastAsia="zh-CN" w:bidi="ar-SA"/>
    </w:rPr>
  </w:style>
  <w:style w:type="character" w:customStyle="1" w:styleId="410">
    <w:name w:val="未用 Char"/>
    <w:qFormat/>
    <w:uiPriority w:val="0"/>
    <w:rPr>
      <w:rFonts w:ascii="Arial" w:hAnsi="Arial" w:eastAsia="黑体"/>
      <w:kern w:val="2"/>
      <w:sz w:val="21"/>
      <w:szCs w:val="21"/>
      <w:lang w:val="en-US" w:eastAsia="zh-CN" w:bidi="ar-SA"/>
    </w:rPr>
  </w:style>
  <w:style w:type="character" w:customStyle="1" w:styleId="411">
    <w:name w:val="myp1111"/>
    <w:qFormat/>
    <w:uiPriority w:val="0"/>
    <w:rPr>
      <w:rFonts w:hint="default" w:ascii="ˎ̥" w:hAnsi="ˎ̥"/>
      <w:color w:val="000000"/>
      <w:sz w:val="20"/>
      <w:szCs w:val="20"/>
      <w:u w:val="none"/>
    </w:rPr>
  </w:style>
  <w:style w:type="character" w:customStyle="1" w:styleId="412">
    <w:name w:val="样式 标题 4h4H4Fab-4T5Ref Heading 1rh1Heading sqlsect 1.2.3.... Char"/>
    <w:link w:val="304"/>
    <w:qFormat/>
    <w:uiPriority w:val="0"/>
    <w:rPr>
      <w:rFonts w:ascii="微软雅黑" w:hAnsi="微软雅黑" w:eastAsia="微软雅黑"/>
      <w:b/>
      <w:bCs/>
      <w:kern w:val="2"/>
      <w:sz w:val="24"/>
      <w:szCs w:val="28"/>
    </w:rPr>
  </w:style>
  <w:style w:type="character" w:customStyle="1" w:styleId="413">
    <w:name w:val="h Char Char"/>
    <w:qFormat/>
    <w:uiPriority w:val="0"/>
    <w:rPr>
      <w:rFonts w:eastAsia="宋体"/>
      <w:kern w:val="2"/>
      <w:sz w:val="18"/>
      <w:lang w:val="en-US" w:eastAsia="zh-CN" w:bidi="ar-SA"/>
    </w:rPr>
  </w:style>
  <w:style w:type="character" w:customStyle="1" w:styleId="414">
    <w:name w:val="仿宋正文 Char"/>
    <w:link w:val="415"/>
    <w:qFormat/>
    <w:uiPriority w:val="0"/>
    <w:rPr>
      <w:rFonts w:ascii="仿宋_GB2312" w:eastAsia="仿宋_GB2312"/>
      <w:kern w:val="2"/>
      <w:sz w:val="24"/>
      <w:lang w:val="en-US" w:eastAsia="zh-CN" w:bidi="ar-SA"/>
    </w:rPr>
  </w:style>
  <w:style w:type="paragraph" w:customStyle="1" w:styleId="415">
    <w:name w:val="仿宋正文"/>
    <w:basedOn w:val="1"/>
    <w:link w:val="414"/>
    <w:qFormat/>
    <w:uiPriority w:val="0"/>
    <w:pPr>
      <w:adjustRightInd/>
      <w:spacing w:line="360" w:lineRule="auto"/>
      <w:ind w:firstLine="480" w:firstLineChars="200"/>
    </w:pPr>
    <w:rPr>
      <w:rFonts w:ascii="仿宋_GB2312" w:eastAsia="仿宋_GB2312"/>
      <w:sz w:val="24"/>
      <w:szCs w:val="20"/>
    </w:rPr>
  </w:style>
  <w:style w:type="character" w:customStyle="1" w:styleId="416">
    <w:name w:val="正文首行缩进 Char Char Char Char Char Char"/>
    <w:qFormat/>
    <w:uiPriority w:val="0"/>
    <w:rPr>
      <w:rFonts w:ascii="宋体" w:eastAsia="宋体"/>
      <w:kern w:val="2"/>
      <w:sz w:val="24"/>
      <w:lang w:val="zh-CN" w:bidi="ar-SA"/>
    </w:rPr>
  </w:style>
  <w:style w:type="character" w:customStyle="1" w:styleId="417">
    <w:name w:val="样式 宋体"/>
    <w:qFormat/>
    <w:uiPriority w:val="0"/>
    <w:rPr>
      <w:rFonts w:ascii="宋体" w:hAnsi="宋体"/>
      <w:sz w:val="24"/>
    </w:rPr>
  </w:style>
  <w:style w:type="character" w:customStyle="1" w:styleId="418">
    <w:name w:val="tw4winJump"/>
    <w:qFormat/>
    <w:uiPriority w:val="0"/>
    <w:rPr>
      <w:rFonts w:ascii="Courier New" w:hAnsi="Courier New" w:cs="Courier New"/>
      <w:color w:val="008080"/>
      <w:lang w:val="en-US" w:eastAsia="zh-CN"/>
    </w:rPr>
  </w:style>
  <w:style w:type="character" w:customStyle="1" w:styleId="419">
    <w:name w:val="标题 1 字符"/>
    <w:qFormat/>
    <w:uiPriority w:val="9"/>
    <w:rPr>
      <w:rFonts w:ascii="Arial" w:hAnsi="Arial" w:eastAsia="黑体" w:cs="Arial"/>
      <w:b/>
      <w:bCs/>
      <w:snapToGrid w:val="0"/>
      <w:kern w:val="44"/>
      <w:sz w:val="44"/>
      <w:szCs w:val="44"/>
    </w:rPr>
  </w:style>
  <w:style w:type="character" w:customStyle="1" w:styleId="420">
    <w:name w:val="style36"/>
    <w:basedOn w:val="71"/>
    <w:qFormat/>
    <w:uiPriority w:val="0"/>
    <w:rPr>
      <w:rFonts w:ascii="Arial" w:hAnsi="Arial" w:eastAsia="黑体" w:cs="Arial"/>
      <w:snapToGrid w:val="0"/>
      <w:kern w:val="0"/>
      <w:szCs w:val="21"/>
    </w:rPr>
  </w:style>
  <w:style w:type="character" w:customStyle="1" w:styleId="421">
    <w:name w:val="pt9"/>
    <w:qFormat/>
    <w:uiPriority w:val="0"/>
    <w:rPr>
      <w:rFonts w:ascii="仿宋_GB2312" w:eastAsia="微软雅黑"/>
      <w:b/>
      <w:kern w:val="2"/>
      <w:sz w:val="32"/>
      <w:szCs w:val="32"/>
      <w:lang w:val="en-US" w:eastAsia="zh-CN" w:bidi="ar-SA"/>
    </w:rPr>
  </w:style>
  <w:style w:type="character" w:customStyle="1" w:styleId="422">
    <w:name w:val="DO_NOT_TRANSLATE"/>
    <w:qFormat/>
    <w:uiPriority w:val="0"/>
    <w:rPr>
      <w:rFonts w:ascii="Courier New" w:hAnsi="Courier New" w:cs="Courier New"/>
      <w:color w:val="800000"/>
      <w:lang w:val="en-US" w:eastAsia="zh-CN"/>
    </w:rPr>
  </w:style>
  <w:style w:type="character" w:customStyle="1" w:styleId="423">
    <w:name w:val="标书1 Char1"/>
    <w:qFormat/>
    <w:uiPriority w:val="0"/>
    <w:rPr>
      <w:rFonts w:eastAsia="宋体"/>
      <w:b/>
      <w:bCs/>
      <w:kern w:val="44"/>
      <w:sz w:val="44"/>
      <w:szCs w:val="44"/>
      <w:lang w:val="en-US" w:eastAsia="zh-CN" w:bidi="ar-SA"/>
    </w:rPr>
  </w:style>
  <w:style w:type="character" w:customStyle="1" w:styleId="424">
    <w:name w:val="页脚 字符"/>
    <w:qFormat/>
    <w:uiPriority w:val="99"/>
    <w:rPr>
      <w:kern w:val="2"/>
      <w:sz w:val="18"/>
      <w:szCs w:val="18"/>
    </w:rPr>
  </w:style>
  <w:style w:type="character" w:customStyle="1" w:styleId="425">
    <w:name w:val="正文2 Char"/>
    <w:qFormat/>
    <w:uiPriority w:val="0"/>
    <w:rPr>
      <w:rFonts w:eastAsia="宋体"/>
      <w:kern w:val="2"/>
      <w:sz w:val="24"/>
      <w:lang w:val="en-US" w:eastAsia="zh-CN" w:bidi="ar-SA"/>
    </w:rPr>
  </w:style>
  <w:style w:type="character" w:customStyle="1" w:styleId="426">
    <w:name w:val="Char Char21"/>
    <w:qFormat/>
    <w:uiPriority w:val="6"/>
    <w:rPr>
      <w:rFonts w:ascii="宋体" w:hAnsi="宋体"/>
      <w:kern w:val="1"/>
      <w:sz w:val="24"/>
      <w:szCs w:val="21"/>
      <w:lang w:val="zh-CN"/>
    </w:rPr>
  </w:style>
  <w:style w:type="character" w:customStyle="1" w:styleId="427">
    <w:name w:val="样式 正文缩进 + 首行缩进:  2 字符 Char Char"/>
    <w:link w:val="428"/>
    <w:qFormat/>
    <w:uiPriority w:val="0"/>
    <w:rPr>
      <w:rFonts w:cs="宋体"/>
      <w:kern w:val="2"/>
      <w:sz w:val="24"/>
    </w:rPr>
  </w:style>
  <w:style w:type="paragraph" w:customStyle="1" w:styleId="428">
    <w:name w:val="样式 正文缩进 + 首行缩进:  2 字符"/>
    <w:basedOn w:val="5"/>
    <w:link w:val="427"/>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29">
    <w:name w:val="正文文本 Char1"/>
    <w:link w:val="28"/>
    <w:qFormat/>
    <w:uiPriority w:val="0"/>
    <w:rPr>
      <w:rFonts w:ascii="宋体" w:hAnsi="Arial" w:eastAsia="宋体" w:cs="Arial"/>
      <w:snapToGrid w:val="0"/>
      <w:kern w:val="2"/>
      <w:sz w:val="24"/>
      <w:szCs w:val="21"/>
      <w:lang w:val="zh-CN" w:eastAsia="zh-CN" w:bidi="ar-SA"/>
    </w:rPr>
  </w:style>
  <w:style w:type="character" w:customStyle="1" w:styleId="430">
    <w:name w:val="gray6"/>
    <w:basedOn w:val="71"/>
    <w:qFormat/>
    <w:uiPriority w:val="0"/>
    <w:rPr>
      <w:rFonts w:ascii="Arial" w:hAnsi="Arial" w:eastAsia="黑体" w:cs="Arial"/>
      <w:snapToGrid w:val="0"/>
      <w:kern w:val="0"/>
      <w:szCs w:val="21"/>
    </w:rPr>
  </w:style>
  <w:style w:type="character" w:customStyle="1" w:styleId="431">
    <w:name w:val="hui"/>
    <w:basedOn w:val="71"/>
    <w:qFormat/>
    <w:uiPriority w:val="0"/>
    <w:rPr>
      <w:rFonts w:ascii="Arial" w:hAnsi="Arial" w:eastAsia="黑体" w:cs="Arial"/>
      <w:snapToGrid w:val="0"/>
      <w:kern w:val="0"/>
      <w:szCs w:val="21"/>
    </w:rPr>
  </w:style>
  <w:style w:type="character" w:customStyle="1" w:styleId="432">
    <w:name w:val="哈哈正文 Char Char"/>
    <w:qFormat/>
    <w:uiPriority w:val="0"/>
    <w:rPr>
      <w:rFonts w:ascii="宋体" w:hAnsi="宋体" w:eastAsia="宋体" w:cs="宋体"/>
      <w:kern w:val="2"/>
      <w:sz w:val="24"/>
      <w:lang w:val="en-US" w:eastAsia="zh-CN" w:bidi="ar-SA"/>
    </w:rPr>
  </w:style>
  <w:style w:type="paragraph" w:customStyle="1" w:styleId="433">
    <w:name w:val="样式 正文文本缩进 + 左侧:  2 字符 首行缩进:  2 字符"/>
    <w:basedOn w:val="21"/>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4">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5">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6">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37">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38">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39">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40">
    <w:name w:val="标题4_自定义"/>
    <w:basedOn w:val="6"/>
    <w:qFormat/>
    <w:uiPriority w:val="0"/>
    <w:pPr>
      <w:adjustRightInd/>
      <w:spacing w:before="0" w:after="0" w:line="360" w:lineRule="auto"/>
    </w:pPr>
    <w:rPr>
      <w:rFonts w:ascii="Verdana" w:eastAsia="Verdana"/>
      <w:sz w:val="21"/>
      <w:lang w:val="en-US"/>
    </w:rPr>
  </w:style>
  <w:style w:type="paragraph" w:customStyle="1" w:styleId="441">
    <w:name w:val="正文 内标 序号标"/>
    <w:basedOn w:val="442"/>
    <w:qFormat/>
    <w:uiPriority w:val="0"/>
    <w:pPr>
      <w:tabs>
        <w:tab w:val="left" w:pos="0"/>
      </w:tabs>
      <w:adjustRightInd/>
      <w:spacing w:before="0"/>
      <w:ind w:firstLine="482"/>
    </w:pPr>
    <w:rPr>
      <w:rFonts w:ascii="微软雅黑" w:hAnsi="微软雅黑"/>
      <w:sz w:val="24"/>
      <w:szCs w:val="24"/>
    </w:rPr>
  </w:style>
  <w:style w:type="paragraph" w:customStyle="1" w:styleId="442">
    <w:name w:val="My正文"/>
    <w:basedOn w:val="1"/>
    <w:qFormat/>
    <w:uiPriority w:val="0"/>
    <w:pPr>
      <w:spacing w:before="120" w:line="360" w:lineRule="auto"/>
      <w:ind w:firstLine="567"/>
    </w:pPr>
    <w:rPr>
      <w:rFonts w:ascii="Arial" w:hAnsi="Arial"/>
      <w:sz w:val="20"/>
      <w:szCs w:val="20"/>
    </w:rPr>
  </w:style>
  <w:style w:type="paragraph" w:customStyle="1" w:styleId="443">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4">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45">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6">
    <w:name w:val="修订2"/>
    <w:qFormat/>
    <w:uiPriority w:val="0"/>
    <w:rPr>
      <w:rFonts w:ascii="Times New Roman" w:hAnsi="Times New Roman" w:eastAsia="宋体" w:cs="Times New Roman"/>
      <w:kern w:val="2"/>
      <w:sz w:val="21"/>
      <w:lang w:val="en-US" w:eastAsia="zh-CN" w:bidi="ar-SA"/>
    </w:rPr>
  </w:style>
  <w:style w:type="paragraph" w:customStyle="1" w:styleId="447">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48">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49">
    <w:name w:val="文章标题"/>
    <w:next w:val="450"/>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50">
    <w:name w:val="封面公司名"/>
    <w:qFormat/>
    <w:uiPriority w:val="0"/>
    <w:pPr>
      <w:jc w:val="center"/>
    </w:pPr>
    <w:rPr>
      <w:rFonts w:ascii="Arial" w:hAnsi="Arial" w:eastAsia="楷体_GB2312" w:cs="宋体"/>
      <w:bCs/>
      <w:kern w:val="2"/>
      <w:sz w:val="28"/>
      <w:lang w:val="en-US" w:eastAsia="zh-CN" w:bidi="ar-SA"/>
    </w:rPr>
  </w:style>
  <w:style w:type="paragraph" w:customStyle="1" w:styleId="451">
    <w:name w:val="Char1 Char Char Char5"/>
    <w:basedOn w:val="1"/>
    <w:qFormat/>
    <w:uiPriority w:val="0"/>
    <w:pPr>
      <w:adjustRightInd/>
      <w:ind w:firstLine="200" w:firstLineChars="200"/>
    </w:pPr>
    <w:rPr>
      <w:rFonts w:ascii="Tahoma" w:hAnsi="Tahoma"/>
      <w:sz w:val="24"/>
      <w:szCs w:val="20"/>
    </w:rPr>
  </w:style>
  <w:style w:type="paragraph" w:customStyle="1" w:styleId="452">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3">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4">
    <w:name w:val="Char Char Char Char Char Char Char Char"/>
    <w:basedOn w:val="1"/>
    <w:qFormat/>
    <w:uiPriority w:val="0"/>
    <w:pPr>
      <w:tabs>
        <w:tab w:val="left" w:pos="360"/>
      </w:tabs>
    </w:pPr>
    <w:rPr>
      <w:sz w:val="24"/>
      <w:szCs w:val="20"/>
    </w:rPr>
  </w:style>
  <w:style w:type="paragraph" w:customStyle="1" w:styleId="455">
    <w:name w:val="Char Char11 Char Char Char"/>
    <w:basedOn w:val="1"/>
    <w:qFormat/>
    <w:uiPriority w:val="0"/>
    <w:pPr>
      <w:spacing w:line="360" w:lineRule="auto"/>
    </w:pPr>
    <w:rPr>
      <w:szCs w:val="20"/>
    </w:rPr>
  </w:style>
  <w:style w:type="paragraph" w:customStyle="1" w:styleId="456">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7">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58">
    <w:name w:val="样式3"/>
    <w:basedOn w:val="459"/>
    <w:qFormat/>
    <w:uiPriority w:val="0"/>
    <w:pPr>
      <w:tabs>
        <w:tab w:val="left" w:pos="2790"/>
        <w:tab w:val="left" w:pos="4230"/>
      </w:tabs>
      <w:spacing w:before="312" w:beforeLines="100"/>
      <w:jc w:val="left"/>
    </w:pPr>
  </w:style>
  <w:style w:type="paragraph" w:customStyle="1" w:styleId="459">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0">
    <w:name w:val="Char Char1 Char Char1 Char Char1"/>
    <w:basedOn w:val="1"/>
    <w:qFormat/>
    <w:uiPriority w:val="0"/>
    <w:pPr>
      <w:tabs>
        <w:tab w:val="left" w:pos="840"/>
      </w:tabs>
      <w:ind w:left="840" w:hanging="420"/>
    </w:pPr>
    <w:rPr>
      <w:rFonts w:ascii="Tahoma" w:hAnsi="Tahoma"/>
      <w:sz w:val="24"/>
    </w:rPr>
  </w:style>
  <w:style w:type="paragraph" w:customStyle="1" w:styleId="461">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2">
    <w:name w:val="标书标题2"/>
    <w:basedOn w:val="3"/>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3">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4">
    <w:name w:val="正文21"/>
    <w:basedOn w:val="1"/>
    <w:qFormat/>
    <w:uiPriority w:val="0"/>
    <w:pPr>
      <w:adjustRightInd/>
      <w:spacing w:before="156" w:line="360" w:lineRule="auto"/>
      <w:ind w:firstLine="510" w:firstLineChars="200"/>
    </w:pPr>
    <w:rPr>
      <w:sz w:val="24"/>
      <w:szCs w:val="20"/>
    </w:rPr>
  </w:style>
  <w:style w:type="paragraph" w:customStyle="1" w:styleId="465">
    <w:name w:val="Test2"/>
    <w:basedOn w:val="3"/>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6">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7">
    <w:name w:val="Char1"/>
    <w:basedOn w:val="1"/>
    <w:qFormat/>
    <w:uiPriority w:val="0"/>
    <w:rPr>
      <w:rFonts w:ascii="仿宋_GB2312" w:eastAsia="仿宋_GB2312"/>
      <w:b/>
      <w:sz w:val="32"/>
      <w:szCs w:val="32"/>
    </w:rPr>
  </w:style>
  <w:style w:type="paragraph" w:customStyle="1" w:styleId="468">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69">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70">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71">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2">
    <w:name w:val="6级标题"/>
    <w:basedOn w:val="473"/>
    <w:qFormat/>
    <w:uiPriority w:val="0"/>
    <w:pPr>
      <w:keepNext/>
      <w:tabs>
        <w:tab w:val="left" w:pos="360"/>
      </w:tabs>
      <w:spacing w:before="0" w:after="0"/>
      <w:outlineLvl w:val="5"/>
    </w:pPr>
  </w:style>
  <w:style w:type="paragraph" w:customStyle="1" w:styleId="473">
    <w:name w:val="5级标题"/>
    <w:basedOn w:val="474"/>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4">
    <w:name w:val="4级标题"/>
    <w:basedOn w:val="257"/>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5">
    <w:name w:val="样式 正文文本缩进 + 段前: 2 字符"/>
    <w:basedOn w:val="1"/>
    <w:qFormat/>
    <w:uiPriority w:val="0"/>
    <w:pPr>
      <w:adjustRightInd/>
      <w:ind w:left="420" w:leftChars="200"/>
      <w:jc w:val="left"/>
    </w:pPr>
    <w:rPr>
      <w:sz w:val="28"/>
      <w:szCs w:val="20"/>
      <w:lang w:eastAsia="zh-TW"/>
    </w:rPr>
  </w:style>
  <w:style w:type="paragraph" w:customStyle="1" w:styleId="476">
    <w:name w:val="Char2 Char Char"/>
    <w:basedOn w:val="1"/>
    <w:qFormat/>
    <w:uiPriority w:val="0"/>
    <w:pPr>
      <w:adjustRightInd/>
    </w:pPr>
    <w:rPr>
      <w:rFonts w:ascii="Tahoma" w:hAnsi="Tahoma"/>
      <w:sz w:val="24"/>
      <w:szCs w:val="20"/>
    </w:rPr>
  </w:style>
  <w:style w:type="paragraph" w:customStyle="1" w:styleId="477">
    <w:name w:val="_Style 11"/>
    <w:basedOn w:val="1"/>
    <w:qFormat/>
    <w:uiPriority w:val="34"/>
    <w:pPr>
      <w:adjustRightInd/>
      <w:ind w:firstLine="420" w:firstLineChars="200"/>
    </w:pPr>
    <w:rPr>
      <w:rFonts w:eastAsia="仿宋_GB2312"/>
      <w:sz w:val="28"/>
    </w:rPr>
  </w:style>
  <w:style w:type="paragraph" w:customStyle="1" w:styleId="478">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79">
    <w:name w:val="Char Char Char"/>
    <w:basedOn w:val="1"/>
    <w:qFormat/>
    <w:uiPriority w:val="0"/>
    <w:rPr>
      <w:rFonts w:ascii="Tahoma" w:hAnsi="Tahoma"/>
      <w:sz w:val="24"/>
      <w:szCs w:val="20"/>
    </w:rPr>
  </w:style>
  <w:style w:type="paragraph" w:customStyle="1" w:styleId="480">
    <w:name w:val="数字标题6"/>
    <w:basedOn w:val="8"/>
    <w:next w:val="1"/>
    <w:qFormat/>
    <w:uiPriority w:val="0"/>
    <w:pPr>
      <w:tabs>
        <w:tab w:val="left" w:pos="1080"/>
      </w:tabs>
      <w:ind w:left="1080" w:hanging="1080"/>
    </w:pPr>
    <w:rPr>
      <w:rFonts w:ascii="Times New Roman" w:hAnsi="Times New Roman" w:eastAsia="宋体"/>
      <w:i/>
    </w:rPr>
  </w:style>
  <w:style w:type="paragraph" w:customStyle="1" w:styleId="481">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2">
    <w:name w:val="No Spacing"/>
    <w:basedOn w:val="1"/>
    <w:link w:val="931"/>
    <w:qFormat/>
    <w:uiPriority w:val="99"/>
    <w:rPr>
      <w:szCs w:val="22"/>
    </w:rPr>
  </w:style>
  <w:style w:type="paragraph" w:customStyle="1" w:styleId="483">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4">
    <w:name w:val="Char Char Char Char Char Char Char Char Char Char Char Char1 Char1"/>
    <w:basedOn w:val="1"/>
    <w:qFormat/>
    <w:uiPriority w:val="6"/>
    <w:rPr>
      <w:rFonts w:ascii="Tahoma" w:hAnsi="Tahoma" w:cs="仿宋_GB2312"/>
      <w:sz w:val="24"/>
      <w:szCs w:val="20"/>
    </w:rPr>
  </w:style>
  <w:style w:type="paragraph" w:customStyle="1" w:styleId="485">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6">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87">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88">
    <w:name w:val="MM Topic 2"/>
    <w:basedOn w:val="3"/>
    <w:qFormat/>
    <w:uiPriority w:val="0"/>
    <w:pPr>
      <w:tabs>
        <w:tab w:val="left" w:pos="1260"/>
      </w:tabs>
      <w:ind w:left="1260" w:hanging="420"/>
    </w:pPr>
    <w:rPr>
      <w:rFonts w:ascii="Arial" w:hAnsi="Arial" w:eastAsia="黑体"/>
      <w:lang w:val="en-US"/>
    </w:rPr>
  </w:style>
  <w:style w:type="paragraph" w:customStyle="1" w:styleId="489">
    <w:name w:val="五级无标题条"/>
    <w:basedOn w:val="1"/>
    <w:qFormat/>
    <w:uiPriority w:val="0"/>
    <w:pPr>
      <w:adjustRightInd/>
    </w:pPr>
  </w:style>
  <w:style w:type="paragraph" w:customStyle="1" w:styleId="490">
    <w:name w:val="Char5"/>
    <w:basedOn w:val="1"/>
    <w:qFormat/>
    <w:uiPriority w:val="0"/>
    <w:rPr>
      <w:rFonts w:ascii="仿宋_GB2312" w:eastAsia="仿宋_GB2312"/>
      <w:b/>
      <w:sz w:val="32"/>
      <w:szCs w:val="32"/>
    </w:rPr>
  </w:style>
  <w:style w:type="paragraph" w:customStyle="1" w:styleId="491">
    <w:name w:val="TOC 标题1"/>
    <w:basedOn w:val="2"/>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2">
    <w:name w:val="彩色列表 - 强调文字颜色 12"/>
    <w:basedOn w:val="1"/>
    <w:qFormat/>
    <w:uiPriority w:val="0"/>
    <w:pPr>
      <w:adjustRightInd/>
      <w:ind w:firstLine="420" w:firstLineChars="200"/>
    </w:pPr>
    <w:rPr>
      <w:rFonts w:ascii="Calibri" w:hAnsi="Calibri"/>
      <w:szCs w:val="22"/>
    </w:rPr>
  </w:style>
  <w:style w:type="paragraph" w:customStyle="1" w:styleId="493">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4">
    <w:name w:val="Char2"/>
    <w:basedOn w:val="1"/>
    <w:qFormat/>
    <w:uiPriority w:val="0"/>
    <w:rPr>
      <w:rFonts w:ascii="仿宋_GB2312" w:eastAsia="仿宋_GB2312"/>
      <w:b/>
      <w:sz w:val="32"/>
      <w:szCs w:val="32"/>
    </w:rPr>
  </w:style>
  <w:style w:type="paragraph" w:customStyle="1" w:styleId="495">
    <w:name w:val="数字标题3"/>
    <w:basedOn w:val="4"/>
    <w:next w:val="1"/>
    <w:qFormat/>
    <w:uiPriority w:val="0"/>
    <w:pPr>
      <w:spacing w:line="240" w:lineRule="auto"/>
    </w:pPr>
    <w:rPr>
      <w:sz w:val="28"/>
      <w:szCs w:val="28"/>
    </w:rPr>
  </w:style>
  <w:style w:type="paragraph" w:customStyle="1" w:styleId="496">
    <w:name w:val="FA正文"/>
    <w:basedOn w:val="1"/>
    <w:qFormat/>
    <w:uiPriority w:val="0"/>
    <w:pPr>
      <w:spacing w:line="360" w:lineRule="auto"/>
      <w:ind w:firstLine="480" w:firstLineChars="200"/>
    </w:pPr>
    <w:rPr>
      <w:rFonts w:hAnsi="宋体"/>
      <w:sz w:val="24"/>
      <w:szCs w:val="20"/>
    </w:rPr>
  </w:style>
  <w:style w:type="paragraph" w:customStyle="1" w:styleId="497">
    <w:name w:val="MM Topic 5"/>
    <w:basedOn w:val="7"/>
    <w:qFormat/>
    <w:uiPriority w:val="0"/>
    <w:pPr>
      <w:tabs>
        <w:tab w:val="left" w:pos="2520"/>
      </w:tabs>
      <w:adjustRightInd/>
      <w:ind w:left="2520" w:hanging="420"/>
    </w:pPr>
  </w:style>
  <w:style w:type="paragraph" w:customStyle="1" w:styleId="498">
    <w:name w:val="Char Char Char Char Char Char Char Char Char Char1"/>
    <w:basedOn w:val="1"/>
    <w:qFormat/>
    <w:uiPriority w:val="0"/>
    <w:rPr>
      <w:rFonts w:ascii="仿宋_GB2312" w:eastAsia="仿宋_GB2312"/>
      <w:b/>
      <w:sz w:val="32"/>
      <w:szCs w:val="32"/>
    </w:rPr>
  </w:style>
  <w:style w:type="paragraph" w:customStyle="1" w:styleId="499">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0">
    <w:name w:val="修订1"/>
    <w:qFormat/>
    <w:uiPriority w:val="3"/>
    <w:rPr>
      <w:rFonts w:ascii="Times New Roman" w:hAnsi="Times New Roman" w:eastAsia="宋体" w:cs="Times New Roman"/>
      <w:color w:val="000000"/>
      <w:kern w:val="1"/>
      <w:sz w:val="21"/>
      <w:lang w:val="en-US" w:eastAsia="zh-CN" w:bidi="ar-SA"/>
    </w:rPr>
  </w:style>
  <w:style w:type="paragraph" w:customStyle="1" w:styleId="501">
    <w:name w:val="Char2 Char Char Char"/>
    <w:basedOn w:val="1"/>
    <w:qFormat/>
    <w:uiPriority w:val="0"/>
    <w:rPr>
      <w:rFonts w:ascii="仿宋_GB2312" w:eastAsia="仿宋_GB2312"/>
      <w:b/>
      <w:sz w:val="32"/>
      <w:szCs w:val="32"/>
    </w:rPr>
  </w:style>
  <w:style w:type="paragraph" w:customStyle="1" w:styleId="502">
    <w:name w:val="Char2 Char Char Char1"/>
    <w:basedOn w:val="1"/>
    <w:qFormat/>
    <w:uiPriority w:val="6"/>
    <w:rPr>
      <w:rFonts w:ascii="仿宋_GB2312" w:eastAsia="仿宋_GB2312"/>
      <w:b/>
      <w:sz w:val="32"/>
      <w:szCs w:val="32"/>
    </w:rPr>
  </w:style>
  <w:style w:type="paragraph" w:customStyle="1" w:styleId="503">
    <w:name w:val="默认段落样式"/>
    <w:basedOn w:val="130"/>
    <w:qFormat/>
    <w:uiPriority w:val="0"/>
    <w:pPr>
      <w:spacing w:before="0"/>
      <w:ind w:firstLine="480"/>
      <w:outlineLvl w:val="2"/>
    </w:pPr>
    <w:rPr>
      <w:rFonts w:ascii="仿宋_GB2312" w:hAnsi="宋体" w:eastAsia="仿宋_GB2312"/>
      <w:color w:val="000000"/>
      <w:szCs w:val="24"/>
    </w:rPr>
  </w:style>
  <w:style w:type="paragraph" w:customStyle="1" w:styleId="504">
    <w:name w:val="图中文字"/>
    <w:basedOn w:val="1"/>
    <w:qFormat/>
    <w:uiPriority w:val="0"/>
    <w:pPr>
      <w:snapToGrid w:val="0"/>
      <w:spacing w:line="0" w:lineRule="atLeast"/>
      <w:ind w:firstLine="200" w:firstLineChars="200"/>
      <w:jc w:val="center"/>
    </w:pPr>
    <w:rPr>
      <w:sz w:val="24"/>
      <w:szCs w:val="20"/>
    </w:rPr>
  </w:style>
  <w:style w:type="paragraph" w:customStyle="1" w:styleId="505">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6">
    <w:name w:val="MM Topic 3"/>
    <w:basedOn w:val="4"/>
    <w:qFormat/>
    <w:uiPriority w:val="0"/>
    <w:pPr>
      <w:tabs>
        <w:tab w:val="left" w:pos="1680"/>
      </w:tabs>
      <w:adjustRightInd/>
      <w:ind w:left="1680" w:hanging="420"/>
    </w:pPr>
  </w:style>
  <w:style w:type="paragraph" w:customStyle="1" w:styleId="507">
    <w:name w:val="标准小四"/>
    <w:basedOn w:val="1"/>
    <w:qFormat/>
    <w:uiPriority w:val="0"/>
    <w:pPr>
      <w:spacing w:line="360" w:lineRule="auto"/>
      <w:ind w:firstLine="480" w:firstLineChars="200"/>
    </w:pPr>
    <w:rPr>
      <w:rFonts w:ascii="Arial" w:hAnsi="Arial"/>
      <w:sz w:val="24"/>
      <w:szCs w:val="21"/>
    </w:rPr>
  </w:style>
  <w:style w:type="paragraph" w:customStyle="1" w:styleId="508">
    <w:name w:val="样式 标题 2H2h2Underrubrik1prop2l2Chapter Titlesect 1.2DO NO..."/>
    <w:basedOn w:val="3"/>
    <w:qFormat/>
    <w:uiPriority w:val="0"/>
    <w:pPr>
      <w:spacing w:before="120" w:after="120"/>
      <w:ind w:left="425" w:hanging="425"/>
    </w:pPr>
    <w:rPr>
      <w:rFonts w:ascii="微软雅黑" w:hAnsi="微软雅黑" w:eastAsia="微软雅黑" w:cs="宋体"/>
      <w:szCs w:val="20"/>
      <w:lang w:val="en-US"/>
    </w:rPr>
  </w:style>
  <w:style w:type="paragraph" w:customStyle="1" w:styleId="509">
    <w:name w:val="表格（小）"/>
    <w:basedOn w:val="1"/>
    <w:qFormat/>
    <w:uiPriority w:val="0"/>
    <w:pPr>
      <w:adjustRightInd/>
      <w:snapToGrid w:val="0"/>
      <w:spacing w:line="300" w:lineRule="auto"/>
    </w:pPr>
    <w:rPr>
      <w:rFonts w:eastAsia="仿宋"/>
      <w:szCs w:val="21"/>
    </w:rPr>
  </w:style>
  <w:style w:type="paragraph" w:customStyle="1" w:styleId="510">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1">
    <w:name w:val="Char2 Char Char1"/>
    <w:basedOn w:val="1"/>
    <w:qFormat/>
    <w:uiPriority w:val="6"/>
    <w:pPr>
      <w:adjustRightInd/>
    </w:pPr>
    <w:rPr>
      <w:rFonts w:ascii="Tahoma" w:hAnsi="Tahoma"/>
      <w:sz w:val="24"/>
      <w:szCs w:val="20"/>
    </w:rPr>
  </w:style>
  <w:style w:type="paragraph" w:customStyle="1" w:styleId="512">
    <w:name w:val="列出段落5"/>
    <w:basedOn w:val="1"/>
    <w:qFormat/>
    <w:uiPriority w:val="0"/>
    <w:pPr>
      <w:spacing w:line="360" w:lineRule="auto"/>
      <w:ind w:firstLine="200" w:firstLineChars="200"/>
    </w:pPr>
    <w:rPr>
      <w:rFonts w:eastAsia="楷体_GB2312" w:cs="Lucida Sans"/>
      <w:sz w:val="24"/>
    </w:rPr>
  </w:style>
  <w:style w:type="paragraph" w:customStyle="1" w:styleId="513">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4">
    <w:name w:val="表格文字"/>
    <w:basedOn w:val="21"/>
    <w:next w:val="28"/>
    <w:qFormat/>
    <w:uiPriority w:val="0"/>
    <w:pPr>
      <w:adjustRightInd/>
      <w:ind w:firstLine="200" w:firstLineChars="200"/>
    </w:pPr>
    <w:rPr>
      <w:rFonts w:ascii="Arial" w:hAnsi="Arial"/>
      <w:spacing w:val="-5"/>
      <w:kern w:val="0"/>
      <w:sz w:val="24"/>
      <w:szCs w:val="20"/>
    </w:rPr>
  </w:style>
  <w:style w:type="paragraph" w:customStyle="1" w:styleId="515">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6">
    <w:name w:val="TOC 标题111"/>
    <w:basedOn w:val="2"/>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7">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18">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19">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0">
    <w:name w:val="_Style 3"/>
    <w:basedOn w:val="1"/>
    <w:qFormat/>
    <w:uiPriority w:val="0"/>
    <w:pPr>
      <w:adjustRightInd/>
      <w:ind w:firstLine="420" w:firstLineChars="200"/>
    </w:pPr>
    <w:rPr>
      <w:rFonts w:eastAsia="仿宋_GB2312"/>
      <w:sz w:val="28"/>
    </w:rPr>
  </w:style>
  <w:style w:type="paragraph" w:customStyle="1" w:styleId="521">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2">
    <w:name w:val="Bulleting First Indent 1"/>
    <w:basedOn w:val="63"/>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3">
    <w:name w:val="左对齐表格文字"/>
    <w:basedOn w:val="1"/>
    <w:qFormat/>
    <w:uiPriority w:val="0"/>
    <w:pPr>
      <w:adjustRightInd/>
      <w:ind w:firstLine="200" w:firstLineChars="200"/>
      <w:jc w:val="right"/>
    </w:pPr>
  </w:style>
  <w:style w:type="paragraph" w:customStyle="1" w:styleId="524">
    <w:name w:val="Char Char11 Char Char Char Char Char Char Char Char Char"/>
    <w:basedOn w:val="1"/>
    <w:qFormat/>
    <w:uiPriority w:val="0"/>
    <w:pPr>
      <w:spacing w:line="360" w:lineRule="auto"/>
    </w:pPr>
    <w:rPr>
      <w:szCs w:val="20"/>
    </w:rPr>
  </w:style>
  <w:style w:type="paragraph" w:customStyle="1" w:styleId="525">
    <w:name w:val="正文1.25"/>
    <w:basedOn w:val="1"/>
    <w:qFormat/>
    <w:uiPriority w:val="0"/>
    <w:pPr>
      <w:adjustRightInd/>
      <w:spacing w:line="300" w:lineRule="auto"/>
      <w:ind w:firstLine="480" w:firstLineChars="200"/>
    </w:pPr>
    <w:rPr>
      <w:sz w:val="24"/>
      <w:szCs w:val="20"/>
    </w:rPr>
  </w:style>
  <w:style w:type="paragraph" w:customStyle="1" w:styleId="526">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27">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28">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29">
    <w:name w:val="Char Char1 Char Char Char1"/>
    <w:basedOn w:val="1"/>
    <w:qFormat/>
    <w:uiPriority w:val="6"/>
    <w:rPr>
      <w:rFonts w:ascii="仿宋_GB2312" w:eastAsia="仿宋_GB2312"/>
      <w:b/>
      <w:sz w:val="32"/>
      <w:szCs w:val="20"/>
    </w:rPr>
  </w:style>
  <w:style w:type="paragraph" w:customStyle="1" w:styleId="530">
    <w:name w:val="列出段落2"/>
    <w:basedOn w:val="1"/>
    <w:qFormat/>
    <w:uiPriority w:val="0"/>
    <w:pPr>
      <w:adjustRightInd/>
      <w:ind w:firstLine="420" w:firstLineChars="200"/>
    </w:pPr>
    <w:rPr>
      <w:rFonts w:ascii="宋体" w:hAnsi="宋体"/>
      <w:sz w:val="24"/>
    </w:rPr>
  </w:style>
  <w:style w:type="paragraph" w:customStyle="1" w:styleId="531">
    <w:name w:val="默认段落字体 Para Char Char Char Char Char Char Char"/>
    <w:basedOn w:val="1"/>
    <w:qFormat/>
    <w:uiPriority w:val="0"/>
    <w:rPr>
      <w:rFonts w:eastAsia="仿宋_GB2312"/>
      <w:sz w:val="28"/>
      <w:szCs w:val="20"/>
    </w:rPr>
  </w:style>
  <w:style w:type="paragraph" w:customStyle="1" w:styleId="532">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3">
    <w:name w:val="样式 标题 4PIM 4H4h4bulletblbbH41H42H43H44H45H46H47H48...1"/>
    <w:basedOn w:val="6"/>
    <w:qFormat/>
    <w:uiPriority w:val="0"/>
    <w:pPr>
      <w:widowControl/>
      <w:jc w:val="left"/>
    </w:pPr>
    <w:rPr>
      <w:rFonts w:cs="宋体"/>
      <w:sz w:val="24"/>
      <w:szCs w:val="20"/>
    </w:rPr>
  </w:style>
  <w:style w:type="paragraph" w:customStyle="1" w:styleId="534">
    <w:name w:val="彩色列表 - 强调文字颜色 11"/>
    <w:basedOn w:val="1"/>
    <w:qFormat/>
    <w:uiPriority w:val="0"/>
    <w:pPr>
      <w:adjustRightInd/>
      <w:ind w:firstLine="420" w:firstLineChars="200"/>
    </w:pPr>
    <w:rPr>
      <w:rFonts w:ascii="Calibri" w:hAnsi="Calibri"/>
      <w:szCs w:val="22"/>
    </w:rPr>
  </w:style>
  <w:style w:type="paragraph" w:customStyle="1" w:styleId="535">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536">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7">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38">
    <w:name w:val="Char Char Char1 Char1"/>
    <w:basedOn w:val="1"/>
    <w:qFormat/>
    <w:uiPriority w:val="6"/>
    <w:rPr>
      <w:szCs w:val="20"/>
    </w:rPr>
  </w:style>
  <w:style w:type="paragraph" w:customStyle="1" w:styleId="539">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0">
    <w:name w:val="样式 标题 2 + 宋体 左侧:  1.76 厘米 首行缩进:  0 厘米"/>
    <w:basedOn w:val="3"/>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1">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2">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3">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4">
    <w:name w:val="CM14"/>
    <w:basedOn w:val="234"/>
    <w:next w:val="234"/>
    <w:qFormat/>
    <w:uiPriority w:val="0"/>
    <w:pPr>
      <w:spacing w:after="68"/>
    </w:pPr>
    <w:rPr>
      <w:rFonts w:ascii="FHLHE E+ Futura Bk" w:eastAsia="FHLHE E+ Futura Bk" w:cs="Times New Roman"/>
      <w:color w:val="auto"/>
    </w:rPr>
  </w:style>
  <w:style w:type="paragraph" w:customStyle="1" w:styleId="545">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6">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7">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48">
    <w:name w:val="正文文字 2"/>
    <w:basedOn w:val="234"/>
    <w:next w:val="234"/>
    <w:qFormat/>
    <w:uiPriority w:val="0"/>
    <w:rPr>
      <w:rFonts w:ascii="宋体" w:eastAsia="宋体" w:cs="Times New Roman"/>
      <w:color w:val="auto"/>
    </w:rPr>
  </w:style>
  <w:style w:type="paragraph" w:customStyle="1" w:styleId="549">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0">
    <w:name w:val="Char Char1 Char"/>
    <w:basedOn w:val="1"/>
    <w:qFormat/>
    <w:uiPriority w:val="0"/>
    <w:rPr>
      <w:rFonts w:ascii="仿宋_GB2312" w:eastAsia="仿宋_GB2312"/>
      <w:b/>
      <w:sz w:val="32"/>
      <w:szCs w:val="32"/>
    </w:rPr>
  </w:style>
  <w:style w:type="paragraph" w:customStyle="1" w:styleId="551">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2">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3">
    <w:name w:val="Char Char111"/>
    <w:basedOn w:val="1"/>
    <w:qFormat/>
    <w:uiPriority w:val="0"/>
    <w:pPr>
      <w:spacing w:line="360" w:lineRule="auto"/>
    </w:pPr>
    <w:rPr>
      <w:szCs w:val="20"/>
    </w:rPr>
  </w:style>
  <w:style w:type="paragraph" w:customStyle="1" w:styleId="554">
    <w:name w:val="Char"/>
    <w:basedOn w:val="1"/>
    <w:qFormat/>
    <w:uiPriority w:val="0"/>
    <w:rPr>
      <w:rFonts w:ascii="仿宋_GB2312" w:eastAsia="仿宋_GB2312"/>
      <w:b/>
      <w:sz w:val="32"/>
      <w:szCs w:val="32"/>
    </w:rPr>
  </w:style>
  <w:style w:type="paragraph" w:customStyle="1" w:styleId="555">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6">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7">
    <w:name w:val="Char Char Char1 Char"/>
    <w:basedOn w:val="1"/>
    <w:qFormat/>
    <w:uiPriority w:val="0"/>
    <w:rPr>
      <w:szCs w:val="20"/>
    </w:rPr>
  </w:style>
  <w:style w:type="paragraph" w:customStyle="1" w:styleId="558">
    <w:name w:val="正文标准"/>
    <w:basedOn w:val="1"/>
    <w:qFormat/>
    <w:uiPriority w:val="0"/>
    <w:pPr>
      <w:adjustRightInd/>
      <w:spacing w:line="360" w:lineRule="auto"/>
      <w:ind w:firstLine="200" w:firstLineChars="200"/>
    </w:pPr>
    <w:rPr>
      <w:rFonts w:ascii="宋体" w:hAnsi="Calibri"/>
      <w:sz w:val="24"/>
    </w:rPr>
  </w:style>
  <w:style w:type="paragraph" w:customStyle="1" w:styleId="559">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0">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61">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2">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563">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4">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5">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66">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7">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68">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9">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0">
    <w:name w:val="标准有序列表（L1）"/>
    <w:basedOn w:val="5"/>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1">
    <w:name w:val="Char Char Char Char Char Char Char Char Char Char"/>
    <w:basedOn w:val="1"/>
    <w:qFormat/>
    <w:uiPriority w:val="0"/>
    <w:rPr>
      <w:rFonts w:ascii="仿宋_GB2312" w:eastAsia="仿宋_GB2312"/>
      <w:b/>
      <w:sz w:val="32"/>
      <w:szCs w:val="32"/>
    </w:rPr>
  </w:style>
  <w:style w:type="paragraph" w:customStyle="1" w:styleId="572">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3">
    <w:name w:val="_正文段落"/>
    <w:basedOn w:val="1"/>
    <w:qFormat/>
    <w:uiPriority w:val="0"/>
    <w:pPr>
      <w:adjustRightInd/>
      <w:ind w:firstLine="560"/>
    </w:pPr>
    <w:rPr>
      <w:rFonts w:ascii="仿宋_GB2312" w:hAnsi="仿宋" w:eastAsia="仿宋_GB2312"/>
      <w:kern w:val="0"/>
      <w:sz w:val="28"/>
      <w:szCs w:val="28"/>
    </w:rPr>
  </w:style>
  <w:style w:type="paragraph" w:customStyle="1" w:styleId="574">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5">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6">
    <w:name w:val="正文（首行缩进）"/>
    <w:basedOn w:val="21"/>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7">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78">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79">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0">
    <w:name w:val="Char Char Char1 Char2"/>
    <w:basedOn w:val="1"/>
    <w:qFormat/>
    <w:uiPriority w:val="0"/>
    <w:rPr>
      <w:szCs w:val="20"/>
    </w:rPr>
  </w:style>
  <w:style w:type="paragraph" w:customStyle="1" w:styleId="581">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2">
    <w:name w:val="默认段落字体 Para Char"/>
    <w:basedOn w:val="1"/>
    <w:qFormat/>
    <w:uiPriority w:val="0"/>
    <w:rPr>
      <w:rFonts w:ascii="Tahoma" w:hAnsi="Tahoma"/>
      <w:sz w:val="24"/>
      <w:szCs w:val="20"/>
    </w:rPr>
  </w:style>
  <w:style w:type="paragraph" w:customStyle="1" w:styleId="583">
    <w:name w:val="标题五"/>
    <w:basedOn w:val="1"/>
    <w:qFormat/>
    <w:uiPriority w:val="0"/>
    <w:pPr>
      <w:adjustRightInd/>
      <w:spacing w:before="156" w:beforeLines="50" w:line="360" w:lineRule="auto"/>
    </w:pPr>
    <w:rPr>
      <w:b/>
      <w:sz w:val="24"/>
    </w:rPr>
  </w:style>
  <w:style w:type="paragraph" w:customStyle="1" w:styleId="584">
    <w:name w:val="Char Char1101"/>
    <w:basedOn w:val="1"/>
    <w:qFormat/>
    <w:uiPriority w:val="0"/>
    <w:pPr>
      <w:spacing w:line="360" w:lineRule="auto"/>
    </w:pPr>
    <w:rPr>
      <w:rFonts w:ascii="Tahoma" w:hAnsi="Tahoma"/>
      <w:sz w:val="24"/>
      <w:szCs w:val="20"/>
    </w:rPr>
  </w:style>
  <w:style w:type="paragraph" w:customStyle="1" w:styleId="585">
    <w:name w:val="Char Char Char Char Char Char Char Char1"/>
    <w:basedOn w:val="1"/>
    <w:qFormat/>
    <w:uiPriority w:val="0"/>
    <w:pPr>
      <w:tabs>
        <w:tab w:val="left" w:pos="360"/>
      </w:tabs>
    </w:pPr>
    <w:rPr>
      <w:sz w:val="24"/>
      <w:szCs w:val="20"/>
    </w:rPr>
  </w:style>
  <w:style w:type="paragraph" w:customStyle="1" w:styleId="586">
    <w:name w:val="Char Char Char 字元 字元"/>
    <w:basedOn w:val="1"/>
    <w:qFormat/>
    <w:uiPriority w:val="0"/>
    <w:pPr>
      <w:adjustRightInd/>
      <w:spacing w:line="360" w:lineRule="auto"/>
      <w:ind w:firstLine="200" w:firstLineChars="200"/>
    </w:pPr>
    <w:rPr>
      <w:szCs w:val="20"/>
    </w:rPr>
  </w:style>
  <w:style w:type="paragraph" w:customStyle="1" w:styleId="587">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88">
    <w:name w:val="Char Char Char Char Char Char Char"/>
    <w:basedOn w:val="1"/>
    <w:qFormat/>
    <w:uiPriority w:val="0"/>
    <w:rPr>
      <w:rFonts w:ascii="仿宋_GB2312" w:eastAsia="仿宋_GB2312"/>
      <w:b/>
      <w:sz w:val="32"/>
      <w:szCs w:val="32"/>
    </w:rPr>
  </w:style>
  <w:style w:type="paragraph" w:customStyle="1" w:styleId="589">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0">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1">
    <w:name w:val="样式 标题 22h2L1 Heading 2H2sect 1.2H21sect 1.21H22sect 1.2..."/>
    <w:basedOn w:val="3"/>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2">
    <w:name w:val="样式6"/>
    <w:basedOn w:val="35"/>
    <w:qFormat/>
    <w:uiPriority w:val="0"/>
    <w:pPr>
      <w:spacing w:line="460" w:lineRule="exact"/>
      <w:outlineLvl w:val="2"/>
    </w:pPr>
    <w:rPr>
      <w:rFonts w:ascii="仿宋_GB2312" w:hAnsi="宋体" w:eastAsia="仿宋_GB2312"/>
      <w:b/>
      <w:bCs/>
      <w:sz w:val="24"/>
      <w:szCs w:val="24"/>
    </w:rPr>
  </w:style>
  <w:style w:type="paragraph" w:customStyle="1" w:styleId="593">
    <w:name w:val="批注框文本 Char Char"/>
    <w:basedOn w:val="1"/>
    <w:qFormat/>
    <w:uiPriority w:val="0"/>
    <w:pPr>
      <w:adjustRightInd/>
    </w:pPr>
    <w:rPr>
      <w:sz w:val="18"/>
      <w:szCs w:val="20"/>
    </w:rPr>
  </w:style>
  <w:style w:type="paragraph" w:customStyle="1" w:styleId="594">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5">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6">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597">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598">
    <w:name w:val="索引 11"/>
    <w:basedOn w:val="1"/>
    <w:next w:val="1"/>
    <w:qFormat/>
    <w:uiPriority w:val="99"/>
    <w:pPr>
      <w:adjustRightInd/>
      <w:spacing w:line="360" w:lineRule="auto"/>
    </w:pPr>
    <w:rPr>
      <w:rFonts w:ascii="仿宋_GB2312" w:eastAsia="仿宋_GB2312"/>
      <w:sz w:val="24"/>
      <w:szCs w:val="20"/>
    </w:rPr>
  </w:style>
  <w:style w:type="paragraph" w:customStyle="1" w:styleId="599">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0">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601">
    <w:name w:val="正文文字缩进项目"/>
    <w:basedOn w:val="21"/>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2">
    <w:name w:val="文档正文"/>
    <w:basedOn w:val="1"/>
    <w:qFormat/>
    <w:uiPriority w:val="0"/>
    <w:pPr>
      <w:spacing w:line="480" w:lineRule="atLeast"/>
      <w:ind w:firstLine="567"/>
      <w:textAlignment w:val="baseline"/>
    </w:pPr>
    <w:rPr>
      <w:kern w:val="0"/>
      <w:sz w:val="24"/>
      <w:szCs w:val="20"/>
    </w:rPr>
  </w:style>
  <w:style w:type="paragraph" w:customStyle="1" w:styleId="603">
    <w:name w:val="正文文字表格居中"/>
    <w:basedOn w:val="1"/>
    <w:next w:val="58"/>
    <w:qFormat/>
    <w:uiPriority w:val="0"/>
    <w:pPr>
      <w:snapToGrid w:val="0"/>
      <w:spacing w:line="360" w:lineRule="auto"/>
    </w:pPr>
    <w:rPr>
      <w:rFonts w:ascii="宋体"/>
      <w:b/>
      <w:sz w:val="24"/>
      <w:szCs w:val="20"/>
    </w:rPr>
  </w:style>
  <w:style w:type="paragraph" w:customStyle="1" w:styleId="604">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605">
    <w:name w:val="小节"/>
    <w:basedOn w:val="4"/>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6">
    <w:name w:val="Plain Text1"/>
    <w:basedOn w:val="1"/>
    <w:qFormat/>
    <w:uiPriority w:val="7"/>
    <w:pPr>
      <w:adjustRightInd/>
    </w:pPr>
    <w:rPr>
      <w:rFonts w:ascii="宋体" w:hAnsi="Courier New"/>
    </w:rPr>
  </w:style>
  <w:style w:type="paragraph" w:customStyle="1" w:styleId="607">
    <w:name w:val="Char3"/>
    <w:basedOn w:val="1"/>
    <w:qFormat/>
    <w:uiPriority w:val="0"/>
    <w:pPr>
      <w:adjustRightInd/>
    </w:pPr>
    <w:rPr>
      <w:rFonts w:ascii="仿宋_GB2312" w:eastAsia="仿宋_GB2312"/>
      <w:b/>
      <w:sz w:val="32"/>
      <w:szCs w:val="32"/>
    </w:rPr>
  </w:style>
  <w:style w:type="paragraph" w:customStyle="1" w:styleId="608">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09">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0">
    <w:name w:val="标题2"/>
    <w:basedOn w:val="3"/>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11">
    <w:name w:val="List Paragraph1"/>
    <w:basedOn w:val="1"/>
    <w:qFormat/>
    <w:uiPriority w:val="0"/>
    <w:pPr>
      <w:spacing w:line="360" w:lineRule="auto"/>
      <w:ind w:firstLine="200" w:firstLineChars="200"/>
    </w:pPr>
    <w:rPr>
      <w:rFonts w:eastAsia="楷体_GB2312" w:cs="Lucida Sans"/>
      <w:sz w:val="24"/>
    </w:rPr>
  </w:style>
  <w:style w:type="paragraph" w:customStyle="1" w:styleId="612">
    <w:name w:val="样式 标题 3标题 3 Char第二层条h33Bold Headbh章标题1小标题level_3PIM 3..."/>
    <w:basedOn w:val="4"/>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3">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4">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5">
    <w:name w:val="Char3 Char Char Char"/>
    <w:basedOn w:val="1"/>
    <w:qFormat/>
    <w:uiPriority w:val="0"/>
    <w:pPr>
      <w:widowControl/>
      <w:adjustRightInd/>
      <w:spacing w:after="160" w:line="240" w:lineRule="exact"/>
      <w:jc w:val="left"/>
    </w:pPr>
    <w:rPr>
      <w:szCs w:val="20"/>
    </w:rPr>
  </w:style>
  <w:style w:type="paragraph" w:customStyle="1" w:styleId="616">
    <w:name w:val="表格标题2"/>
    <w:basedOn w:val="617"/>
    <w:qFormat/>
    <w:uiPriority w:val="0"/>
    <w:rPr>
      <w:b/>
    </w:rPr>
  </w:style>
  <w:style w:type="paragraph" w:customStyle="1" w:styleId="617">
    <w:name w:val="表格内文"/>
    <w:basedOn w:val="1"/>
    <w:qFormat/>
    <w:uiPriority w:val="0"/>
    <w:pPr>
      <w:adjustRightInd/>
      <w:spacing w:line="360" w:lineRule="auto"/>
    </w:pPr>
    <w:rPr>
      <w:rFonts w:ascii="宋体" w:hAnsi="宋体" w:cs="宋体"/>
      <w:color w:val="000000"/>
      <w:szCs w:val="20"/>
    </w:rPr>
  </w:style>
  <w:style w:type="paragraph" w:customStyle="1" w:styleId="618">
    <w:name w:val="Char Char Char Char Char Char Char Char Char Char2"/>
    <w:basedOn w:val="1"/>
    <w:qFormat/>
    <w:uiPriority w:val="0"/>
    <w:rPr>
      <w:rFonts w:ascii="仿宋_GB2312" w:eastAsia="仿宋_GB2312"/>
      <w:b/>
      <w:sz w:val="32"/>
      <w:szCs w:val="32"/>
    </w:rPr>
  </w:style>
  <w:style w:type="paragraph" w:customStyle="1" w:styleId="619">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0">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1">
    <w:name w:val="Char Char11 Char Char Char Char Char Char Char Char Char11"/>
    <w:basedOn w:val="1"/>
    <w:qFormat/>
    <w:uiPriority w:val="0"/>
    <w:pPr>
      <w:spacing w:line="360" w:lineRule="auto"/>
    </w:pPr>
    <w:rPr>
      <w:szCs w:val="20"/>
    </w:rPr>
  </w:style>
  <w:style w:type="paragraph" w:customStyle="1" w:styleId="622">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3">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4">
    <w:name w:val="MM Topic 1"/>
    <w:basedOn w:val="2"/>
    <w:qFormat/>
    <w:uiPriority w:val="0"/>
    <w:pPr>
      <w:tabs>
        <w:tab w:val="left" w:pos="840"/>
      </w:tabs>
      <w:adjustRightInd/>
      <w:ind w:left="840" w:hanging="420"/>
    </w:pPr>
  </w:style>
  <w:style w:type="paragraph" w:customStyle="1" w:styleId="625">
    <w:name w:val="样式 标题 2标题2H2Heading 2 HiddenHeading 2 CCBSheading 22nd lev..."/>
    <w:basedOn w:val="3"/>
    <w:qFormat/>
    <w:uiPriority w:val="0"/>
    <w:pPr>
      <w:widowControl/>
      <w:spacing w:before="260" w:after="260" w:line="416" w:lineRule="auto"/>
      <w:ind w:left="0" w:firstLine="0"/>
    </w:pPr>
    <w:rPr>
      <w:rFonts w:ascii="Arial" w:hAnsi="Arial" w:eastAsia="黑体"/>
      <w:sz w:val="30"/>
      <w:szCs w:val="21"/>
    </w:rPr>
  </w:style>
  <w:style w:type="paragraph" w:customStyle="1" w:styleId="626">
    <w:name w:val="文本正文 Char"/>
    <w:basedOn w:val="1"/>
    <w:qFormat/>
    <w:uiPriority w:val="0"/>
    <w:pPr>
      <w:spacing w:line="360" w:lineRule="auto"/>
      <w:ind w:firstLine="200" w:firstLineChars="200"/>
    </w:pPr>
    <w:rPr>
      <w:kern w:val="0"/>
      <w:sz w:val="24"/>
      <w:szCs w:val="20"/>
    </w:rPr>
  </w:style>
  <w:style w:type="paragraph" w:customStyle="1" w:styleId="627">
    <w:name w:val="表格"/>
    <w:basedOn w:val="1"/>
    <w:qFormat/>
    <w:uiPriority w:val="0"/>
    <w:pPr>
      <w:snapToGrid w:val="0"/>
      <w:ind w:firstLine="42" w:firstLineChars="21"/>
    </w:pPr>
    <w:rPr>
      <w:rFonts w:ascii="宋体" w:hAnsi="宋体"/>
      <w:kern w:val="0"/>
      <w:sz w:val="20"/>
      <w:szCs w:val="20"/>
    </w:rPr>
  </w:style>
  <w:style w:type="paragraph" w:customStyle="1" w:styleId="628">
    <w:name w:val="标书标题4"/>
    <w:basedOn w:val="6"/>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29">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30">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1">
    <w:name w:val="表格项目符号 2"/>
    <w:basedOn w:val="22"/>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2">
    <w:name w:val="EB_表格"/>
    <w:basedOn w:val="1"/>
    <w:qFormat/>
    <w:uiPriority w:val="0"/>
    <w:pPr>
      <w:adjustRightInd/>
      <w:spacing w:line="300" w:lineRule="auto"/>
      <w:jc w:val="center"/>
    </w:pPr>
  </w:style>
  <w:style w:type="paragraph" w:customStyle="1" w:styleId="633">
    <w:name w:val="_Style 6"/>
    <w:basedOn w:val="1"/>
    <w:qFormat/>
    <w:uiPriority w:val="34"/>
    <w:pPr>
      <w:adjustRightInd/>
      <w:ind w:firstLine="420" w:firstLineChars="200"/>
    </w:pPr>
    <w:rPr>
      <w:rFonts w:eastAsia="仿宋_GB2312"/>
      <w:sz w:val="28"/>
    </w:rPr>
  </w:style>
  <w:style w:type="paragraph" w:customStyle="1" w:styleId="634">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5">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6">
    <w:name w:val="!大节"/>
    <w:basedOn w:val="3"/>
    <w:qFormat/>
    <w:uiPriority w:val="0"/>
    <w:pPr>
      <w:spacing w:before="260" w:after="260" w:line="415" w:lineRule="auto"/>
      <w:ind w:left="420" w:hanging="420"/>
    </w:pPr>
    <w:rPr>
      <w:rFonts w:ascii="Arial" w:hAnsi="Arial" w:eastAsia="微软雅黑"/>
      <w:lang w:val="en-US"/>
    </w:rPr>
  </w:style>
  <w:style w:type="paragraph" w:customStyle="1" w:styleId="637">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38">
    <w:name w:val="正文表标题"/>
    <w:next w:val="639"/>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3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0">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41">
    <w:name w:val="trademark"/>
    <w:qFormat/>
    <w:uiPriority w:val="0"/>
    <w:pPr>
      <w:spacing w:after="60"/>
    </w:pPr>
    <w:rPr>
      <w:rFonts w:ascii="Futura Bk" w:hAnsi="Futura Bk" w:eastAsia="宋体" w:cs="Times New Roman"/>
      <w:sz w:val="15"/>
      <w:lang w:val="en-US" w:eastAsia="en-US" w:bidi="ar-SA"/>
    </w:rPr>
  </w:style>
  <w:style w:type="paragraph" w:customStyle="1" w:styleId="642">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3">
    <w:name w:val="Char Char1 Char Char Char Char Char Char1"/>
    <w:basedOn w:val="1"/>
    <w:qFormat/>
    <w:uiPriority w:val="0"/>
    <w:rPr>
      <w:rFonts w:ascii="仿宋_GB2312" w:eastAsia="仿宋_GB2312"/>
      <w:b/>
      <w:sz w:val="32"/>
      <w:szCs w:val="20"/>
    </w:rPr>
  </w:style>
  <w:style w:type="paragraph" w:customStyle="1" w:styleId="644">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5">
    <w:name w:val="Char1 Char Char Char1"/>
    <w:basedOn w:val="1"/>
    <w:qFormat/>
    <w:uiPriority w:val="0"/>
    <w:pPr>
      <w:adjustRightInd/>
      <w:ind w:firstLine="200" w:firstLineChars="200"/>
    </w:pPr>
    <w:rPr>
      <w:rFonts w:ascii="Tahoma" w:hAnsi="Tahoma"/>
      <w:sz w:val="24"/>
      <w:szCs w:val="20"/>
    </w:rPr>
  </w:style>
  <w:style w:type="paragraph" w:customStyle="1" w:styleId="646">
    <w:name w:val="a1"/>
    <w:basedOn w:val="1"/>
    <w:qFormat/>
    <w:uiPriority w:val="0"/>
    <w:pPr>
      <w:widowControl/>
      <w:spacing w:line="300" w:lineRule="atLeast"/>
      <w:jc w:val="left"/>
    </w:pPr>
    <w:rPr>
      <w:rFonts w:ascii="宋体" w:hAnsi="宋体"/>
      <w:kern w:val="0"/>
      <w:sz w:val="18"/>
      <w:szCs w:val="20"/>
    </w:rPr>
  </w:style>
  <w:style w:type="paragraph" w:customStyle="1" w:styleId="647">
    <w:name w:val="样式7"/>
    <w:basedOn w:val="648"/>
    <w:next w:val="1"/>
    <w:qFormat/>
    <w:uiPriority w:val="0"/>
    <w:pPr>
      <w:spacing w:after="156" w:afterLines="50"/>
      <w:jc w:val="left"/>
      <w:outlineLvl w:val="3"/>
    </w:pPr>
    <w:rPr>
      <w:sz w:val="24"/>
      <w:szCs w:val="24"/>
    </w:rPr>
  </w:style>
  <w:style w:type="paragraph" w:customStyle="1" w:styleId="648">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49">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50">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1">
    <w:name w:val="样式 样式2 + 左侧:  1 字符 右侧:  1 字符"/>
    <w:basedOn w:val="459"/>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2">
    <w:name w:val="Char2 Char Char2"/>
    <w:basedOn w:val="1"/>
    <w:qFormat/>
    <w:uiPriority w:val="0"/>
    <w:pPr>
      <w:adjustRightInd/>
    </w:pPr>
    <w:rPr>
      <w:rFonts w:ascii="Tahoma" w:hAnsi="Tahoma"/>
      <w:sz w:val="24"/>
      <w:szCs w:val="20"/>
    </w:rPr>
  </w:style>
  <w:style w:type="paragraph" w:customStyle="1" w:styleId="653">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4">
    <w:name w:val="三级条标题"/>
    <w:basedOn w:val="655"/>
    <w:next w:val="639"/>
    <w:qFormat/>
    <w:uiPriority w:val="0"/>
    <w:pPr>
      <w:tabs>
        <w:tab w:val="left" w:pos="1260"/>
        <w:tab w:val="left" w:pos="1680"/>
        <w:tab w:val="left" w:pos="2100"/>
        <w:tab w:val="left" w:pos="2520"/>
      </w:tabs>
      <w:ind w:left="2520"/>
      <w:outlineLvl w:val="4"/>
    </w:pPr>
  </w:style>
  <w:style w:type="paragraph" w:customStyle="1" w:styleId="655">
    <w:name w:val="二级条标题"/>
    <w:basedOn w:val="656"/>
    <w:next w:val="639"/>
    <w:qFormat/>
    <w:uiPriority w:val="0"/>
    <w:pPr>
      <w:tabs>
        <w:tab w:val="left" w:pos="1260"/>
        <w:tab w:val="left" w:pos="1680"/>
        <w:tab w:val="left" w:pos="2100"/>
      </w:tabs>
      <w:ind w:left="0"/>
      <w:outlineLvl w:val="3"/>
    </w:pPr>
  </w:style>
  <w:style w:type="paragraph" w:customStyle="1" w:styleId="656">
    <w:name w:val="一级条标题"/>
    <w:basedOn w:val="657"/>
    <w:next w:val="639"/>
    <w:qFormat/>
    <w:uiPriority w:val="0"/>
    <w:pPr>
      <w:tabs>
        <w:tab w:val="left" w:pos="1260"/>
        <w:tab w:val="left" w:pos="1680"/>
      </w:tabs>
      <w:spacing w:before="0" w:beforeLines="0" w:after="0" w:afterLines="0"/>
      <w:ind w:left="1680"/>
      <w:outlineLvl w:val="2"/>
    </w:pPr>
  </w:style>
  <w:style w:type="paragraph" w:customStyle="1" w:styleId="657">
    <w:name w:val="章标题"/>
    <w:next w:val="639"/>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58">
    <w:name w:val="数字标题2"/>
    <w:basedOn w:val="3"/>
    <w:next w:val="1"/>
    <w:qFormat/>
    <w:uiPriority w:val="0"/>
    <w:pPr>
      <w:tabs>
        <w:tab w:val="left" w:pos="480"/>
      </w:tabs>
      <w:ind w:left="480" w:hanging="480"/>
    </w:pPr>
    <w:rPr>
      <w:rFonts w:ascii="Times New Roman" w:eastAsia="宋体"/>
      <w:i/>
      <w:sz w:val="36"/>
      <w:szCs w:val="36"/>
      <w:lang w:val="en-US"/>
    </w:rPr>
  </w:style>
  <w:style w:type="paragraph" w:customStyle="1" w:styleId="659">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60">
    <w:name w:val="样式 标题 1Level 1 HeadPIM 1Section Headh1l11Heading 0Datash..."/>
    <w:basedOn w:val="2"/>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1">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2">
    <w:name w:val="样式 标题 1章节第一层h1H"/>
    <w:basedOn w:val="2"/>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3">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4">
    <w:name w:val="正文 项目2"/>
    <w:basedOn w:val="665"/>
    <w:qFormat/>
    <w:uiPriority w:val="0"/>
    <w:pPr>
      <w:tabs>
        <w:tab w:val="left" w:pos="840"/>
      </w:tabs>
      <w:spacing w:after="0"/>
      <w:ind w:left="900"/>
    </w:pPr>
  </w:style>
  <w:style w:type="paragraph" w:customStyle="1" w:styleId="665">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6">
    <w:name w:val="Body Text 2*"/>
    <w:basedOn w:val="1"/>
    <w:qFormat/>
    <w:uiPriority w:val="6"/>
    <w:pPr>
      <w:widowControl/>
      <w:adjustRightInd/>
      <w:ind w:left="720" w:hanging="720"/>
    </w:pPr>
    <w:rPr>
      <w:color w:val="000000"/>
      <w:kern w:val="0"/>
      <w:sz w:val="24"/>
      <w:szCs w:val="20"/>
      <w:lang w:val="en-GB"/>
    </w:rPr>
  </w:style>
  <w:style w:type="paragraph" w:customStyle="1" w:styleId="667">
    <w:name w:val="表1"/>
    <w:basedOn w:val="1"/>
    <w:qFormat/>
    <w:uiPriority w:val="0"/>
    <w:pPr>
      <w:tabs>
        <w:tab w:val="left" w:pos="703"/>
      </w:tabs>
      <w:adjustRightInd/>
      <w:spacing w:line="360" w:lineRule="auto"/>
      <w:ind w:left="703"/>
      <w:jc w:val="center"/>
    </w:pPr>
  </w:style>
  <w:style w:type="paragraph" w:customStyle="1" w:styleId="668">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69">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70">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71">
    <w:name w:val="2级标题"/>
    <w:basedOn w:val="672"/>
    <w:qFormat/>
    <w:uiPriority w:val="0"/>
    <w:pPr>
      <w:jc w:val="left"/>
      <w:outlineLvl w:val="1"/>
    </w:pPr>
    <w:rPr>
      <w:rFonts w:ascii="Times New Roman" w:hAnsi="Times New Roman" w:eastAsia="仿宋"/>
      <w:sz w:val="30"/>
    </w:rPr>
  </w:style>
  <w:style w:type="paragraph" w:customStyle="1" w:styleId="672">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3">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4">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5">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6">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7">
    <w:name w:val="bullet"/>
    <w:basedOn w:val="1"/>
    <w:qFormat/>
    <w:uiPriority w:val="0"/>
    <w:pPr>
      <w:tabs>
        <w:tab w:val="left" w:pos="840"/>
      </w:tabs>
      <w:adjustRightInd/>
      <w:ind w:left="840" w:hanging="420"/>
    </w:pPr>
  </w:style>
  <w:style w:type="paragraph" w:customStyle="1" w:styleId="678">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79">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0">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1">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2">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3">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4">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5">
    <w:name w:val="MM Topic 4"/>
    <w:basedOn w:val="6"/>
    <w:qFormat/>
    <w:uiPriority w:val="0"/>
    <w:pPr>
      <w:tabs>
        <w:tab w:val="left" w:pos="2100"/>
      </w:tabs>
      <w:adjustRightInd/>
      <w:ind w:left="2100" w:hanging="420"/>
    </w:pPr>
    <w:rPr>
      <w:lang w:val="en-US"/>
    </w:rPr>
  </w:style>
  <w:style w:type="paragraph" w:customStyle="1" w:styleId="686">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687">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88">
    <w:name w:val="Char Char11 Char Char Char Char Char Char Char Char Char1"/>
    <w:basedOn w:val="1"/>
    <w:qFormat/>
    <w:uiPriority w:val="6"/>
    <w:pPr>
      <w:spacing w:line="360" w:lineRule="auto"/>
    </w:pPr>
    <w:rPr>
      <w:szCs w:val="20"/>
    </w:rPr>
  </w:style>
  <w:style w:type="paragraph" w:customStyle="1" w:styleId="689">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90">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91">
    <w:name w:val="body text bold"/>
    <w:basedOn w:val="28"/>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2">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3">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4">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5">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6">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7">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698">
    <w:name w:val="单元格居中"/>
    <w:basedOn w:val="1"/>
    <w:qFormat/>
    <w:uiPriority w:val="0"/>
    <w:pPr>
      <w:adjustRightInd/>
      <w:spacing w:line="360" w:lineRule="auto"/>
      <w:jc w:val="center"/>
    </w:pPr>
    <w:rPr>
      <w:sz w:val="24"/>
    </w:rPr>
  </w:style>
  <w:style w:type="paragraph" w:customStyle="1" w:styleId="699">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700">
    <w:name w:val="Char Char Char Char Char Char Char1"/>
    <w:basedOn w:val="1"/>
    <w:qFormat/>
    <w:uiPriority w:val="6"/>
    <w:rPr>
      <w:rFonts w:ascii="仿宋_GB2312" w:eastAsia="仿宋_GB2312"/>
      <w:b/>
      <w:sz w:val="32"/>
      <w:szCs w:val="32"/>
    </w:rPr>
  </w:style>
  <w:style w:type="paragraph" w:customStyle="1" w:styleId="701">
    <w:name w:val="正文缩进1"/>
    <w:basedOn w:val="1"/>
    <w:next w:val="21"/>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2">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3">
    <w:name w:val="Char3 Char Char Char11"/>
    <w:basedOn w:val="1"/>
    <w:qFormat/>
    <w:uiPriority w:val="0"/>
    <w:pPr>
      <w:widowControl/>
      <w:adjustRightInd/>
      <w:spacing w:after="160" w:line="240" w:lineRule="exact"/>
      <w:jc w:val="left"/>
    </w:pPr>
    <w:rPr>
      <w:szCs w:val="20"/>
    </w:rPr>
  </w:style>
  <w:style w:type="paragraph" w:customStyle="1" w:styleId="704">
    <w:name w:val="Char Char1121"/>
    <w:basedOn w:val="1"/>
    <w:qFormat/>
    <w:uiPriority w:val="0"/>
    <w:pPr>
      <w:spacing w:line="360" w:lineRule="auto"/>
    </w:pPr>
    <w:rPr>
      <w:szCs w:val="20"/>
    </w:rPr>
  </w:style>
  <w:style w:type="paragraph" w:customStyle="1" w:styleId="705">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6">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7">
    <w:name w:val="Normal0"/>
    <w:qFormat/>
    <w:uiPriority w:val="0"/>
    <w:rPr>
      <w:rFonts w:ascii="Times New Roman" w:hAnsi="Times New Roman" w:eastAsia="宋体" w:cs="Times New Roman"/>
      <w:lang w:val="en-US" w:eastAsia="en-US" w:bidi="ar-SA"/>
    </w:rPr>
  </w:style>
  <w:style w:type="paragraph" w:customStyle="1" w:styleId="708">
    <w:name w:val="带编号样式"/>
    <w:basedOn w:val="626"/>
    <w:qFormat/>
    <w:uiPriority w:val="0"/>
    <w:pPr>
      <w:tabs>
        <w:tab w:val="left" w:pos="840"/>
      </w:tabs>
      <w:snapToGrid w:val="0"/>
      <w:ind w:left="840" w:hanging="420" w:firstLineChars="0"/>
    </w:pPr>
    <w:rPr>
      <w:rFonts w:ascii="仿宋_GB2312" w:eastAsia="仿宋_GB2312"/>
      <w:color w:val="000000"/>
    </w:rPr>
  </w:style>
  <w:style w:type="paragraph" w:customStyle="1" w:styleId="709">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0">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1">
    <w:name w:val="封面"/>
    <w:basedOn w:val="1"/>
    <w:qFormat/>
    <w:uiPriority w:val="0"/>
    <w:pPr>
      <w:spacing w:line="360" w:lineRule="atLeast"/>
      <w:jc w:val="right"/>
      <w:textAlignment w:val="baseline"/>
    </w:pPr>
    <w:rPr>
      <w:rFonts w:ascii="Symbol" w:hAnsi="Symbol"/>
      <w:kern w:val="0"/>
      <w:szCs w:val="20"/>
    </w:rPr>
  </w:style>
  <w:style w:type="paragraph" w:customStyle="1" w:styleId="712">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3">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4">
    <w:name w:val="默认段落字体 Para Char Char Char1 Char"/>
    <w:basedOn w:val="1"/>
    <w:qFormat/>
    <w:uiPriority w:val="0"/>
    <w:pPr>
      <w:spacing w:line="240" w:lineRule="atLeast"/>
      <w:ind w:left="420" w:firstLine="420"/>
    </w:pPr>
    <w:rPr>
      <w:sz w:val="24"/>
    </w:rPr>
  </w:style>
  <w:style w:type="paragraph" w:customStyle="1" w:styleId="715">
    <w:name w:val="WW-正文文字缩进 2"/>
    <w:basedOn w:val="1"/>
    <w:qFormat/>
    <w:uiPriority w:val="0"/>
    <w:pPr>
      <w:suppressAutoHyphens/>
      <w:adjustRightInd/>
      <w:ind w:firstLine="420"/>
    </w:pPr>
    <w:rPr>
      <w:kern w:val="1"/>
      <w:szCs w:val="20"/>
    </w:rPr>
  </w:style>
  <w:style w:type="paragraph" w:customStyle="1" w:styleId="716">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7">
    <w:name w:val="样式 标题 2 + 四号"/>
    <w:basedOn w:val="3"/>
    <w:qFormat/>
    <w:uiPriority w:val="0"/>
    <w:pPr>
      <w:spacing w:before="120" w:after="120"/>
      <w:ind w:left="0" w:firstLine="0"/>
      <w:jc w:val="both"/>
    </w:pPr>
    <w:rPr>
      <w:rFonts w:ascii="宋体" w:hAnsi="Arial" w:eastAsia="宋体"/>
      <w:sz w:val="28"/>
      <w:lang w:val="en-US"/>
    </w:rPr>
  </w:style>
  <w:style w:type="paragraph" w:customStyle="1" w:styleId="718">
    <w:name w:val="有符号正文"/>
    <w:basedOn w:val="1"/>
    <w:qFormat/>
    <w:uiPriority w:val="0"/>
    <w:pPr>
      <w:adjustRightInd/>
      <w:spacing w:line="400" w:lineRule="exact"/>
      <w:ind w:firstLine="200" w:firstLineChars="200"/>
    </w:pPr>
    <w:rPr>
      <w:rFonts w:ascii="Arial" w:hAnsi="Arial"/>
    </w:rPr>
  </w:style>
  <w:style w:type="paragraph" w:customStyle="1" w:styleId="719">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0">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21">
    <w:name w:val="4"/>
    <w:basedOn w:val="1"/>
    <w:next w:val="39"/>
    <w:qFormat/>
    <w:uiPriority w:val="0"/>
    <w:pPr>
      <w:spacing w:after="120" w:line="480" w:lineRule="auto"/>
      <w:ind w:left="420" w:leftChars="200"/>
    </w:pPr>
    <w:rPr>
      <w:sz w:val="24"/>
      <w:szCs w:val="20"/>
    </w:rPr>
  </w:style>
  <w:style w:type="paragraph" w:customStyle="1" w:styleId="722">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3">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4">
    <w:name w:val="样式 标题 3H3 + 两端对齐"/>
    <w:basedOn w:val="4"/>
    <w:qFormat/>
    <w:uiPriority w:val="0"/>
    <w:pPr>
      <w:keepLines w:val="0"/>
      <w:spacing w:before="0" w:after="0" w:line="240" w:lineRule="auto"/>
      <w:jc w:val="left"/>
    </w:pPr>
    <w:rPr>
      <w:rFonts w:cs="宋体"/>
      <w:sz w:val="21"/>
      <w:szCs w:val="20"/>
    </w:rPr>
  </w:style>
  <w:style w:type="paragraph" w:customStyle="1" w:styleId="725">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26">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27">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28">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29">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0">
    <w:name w:val="Char Char1 Char Char Char"/>
    <w:basedOn w:val="1"/>
    <w:qFormat/>
    <w:uiPriority w:val="0"/>
    <w:rPr>
      <w:rFonts w:ascii="仿宋_GB2312" w:eastAsia="仿宋_GB2312"/>
      <w:b/>
      <w:sz w:val="32"/>
      <w:szCs w:val="20"/>
    </w:rPr>
  </w:style>
  <w:style w:type="paragraph" w:customStyle="1" w:styleId="731">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2">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3">
    <w:name w:val="Picture"/>
    <w:basedOn w:val="1"/>
    <w:next w:val="17"/>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4">
    <w:name w:val="Char Char1 Char Char Char2"/>
    <w:basedOn w:val="1"/>
    <w:qFormat/>
    <w:uiPriority w:val="0"/>
    <w:rPr>
      <w:rFonts w:ascii="仿宋_GB2312" w:eastAsia="仿宋_GB2312"/>
      <w:b/>
      <w:sz w:val="32"/>
      <w:szCs w:val="32"/>
    </w:rPr>
  </w:style>
  <w:style w:type="paragraph" w:customStyle="1" w:styleId="735">
    <w:name w:val="Char3 Char Char Char1"/>
    <w:basedOn w:val="1"/>
    <w:qFormat/>
    <w:uiPriority w:val="6"/>
    <w:pPr>
      <w:widowControl/>
      <w:adjustRightInd/>
      <w:spacing w:after="160" w:line="240" w:lineRule="exact"/>
      <w:jc w:val="left"/>
    </w:pPr>
    <w:rPr>
      <w:szCs w:val="20"/>
    </w:rPr>
  </w:style>
  <w:style w:type="paragraph" w:customStyle="1" w:styleId="736">
    <w:name w:val="Char1 Char Char Char21"/>
    <w:basedOn w:val="1"/>
    <w:qFormat/>
    <w:uiPriority w:val="0"/>
    <w:rPr>
      <w:rFonts w:ascii="Tahoma" w:hAnsi="Tahoma"/>
      <w:sz w:val="24"/>
      <w:szCs w:val="20"/>
    </w:rPr>
  </w:style>
  <w:style w:type="paragraph" w:customStyle="1" w:styleId="737">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38">
    <w:name w:val="正文（标题三）"/>
    <w:basedOn w:val="1"/>
    <w:qFormat/>
    <w:uiPriority w:val="0"/>
    <w:pPr>
      <w:spacing w:line="360" w:lineRule="auto"/>
      <w:ind w:firstLine="200" w:firstLineChars="200"/>
    </w:pPr>
    <w:rPr>
      <w:sz w:val="24"/>
    </w:rPr>
  </w:style>
  <w:style w:type="paragraph" w:customStyle="1" w:styleId="739">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40">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1">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2">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3">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4">
    <w:name w:val="Char1 Char Char Char4"/>
    <w:basedOn w:val="1"/>
    <w:qFormat/>
    <w:uiPriority w:val="0"/>
    <w:pPr>
      <w:adjustRightInd/>
      <w:ind w:firstLine="200" w:firstLineChars="200"/>
    </w:pPr>
    <w:rPr>
      <w:rFonts w:ascii="Tahoma" w:hAnsi="Tahoma"/>
      <w:sz w:val="24"/>
      <w:szCs w:val="20"/>
    </w:rPr>
  </w:style>
  <w:style w:type="paragraph" w:customStyle="1" w:styleId="745">
    <w:name w:val="_标题2"/>
    <w:basedOn w:val="712"/>
    <w:next w:val="712"/>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6">
    <w:name w:val="样式1 + (中宋体"/>
    <w:basedOn w:val="723"/>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7">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48">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49">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50">
    <w:name w:val="四号　首行缩进"/>
    <w:basedOn w:val="1"/>
    <w:qFormat/>
    <w:uiPriority w:val="0"/>
    <w:pPr>
      <w:adjustRightInd/>
      <w:spacing w:line="360" w:lineRule="auto"/>
    </w:pPr>
    <w:rPr>
      <w:rFonts w:ascii="宋体" w:hAnsi="宋体"/>
      <w:szCs w:val="20"/>
    </w:rPr>
  </w:style>
  <w:style w:type="paragraph" w:customStyle="1" w:styleId="751">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2">
    <w:name w:val="Char Char Char Char Char Char Char Char Char Char Char1 Char"/>
    <w:basedOn w:val="1"/>
    <w:qFormat/>
    <w:uiPriority w:val="0"/>
    <w:pPr>
      <w:adjustRightInd/>
    </w:pPr>
    <w:rPr>
      <w:rFonts w:ascii="Tahoma" w:hAnsi="Tahoma"/>
      <w:sz w:val="24"/>
    </w:rPr>
  </w:style>
  <w:style w:type="paragraph" w:customStyle="1" w:styleId="753">
    <w:name w:val="Char Char Char Char11"/>
    <w:basedOn w:val="1"/>
    <w:qFormat/>
    <w:uiPriority w:val="0"/>
    <w:rPr>
      <w:rFonts w:ascii="Tahoma" w:hAnsi="Tahoma"/>
      <w:sz w:val="24"/>
      <w:szCs w:val="20"/>
    </w:rPr>
  </w:style>
  <w:style w:type="paragraph" w:customStyle="1" w:styleId="754">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5">
    <w:name w:val="Char Char Char Char"/>
    <w:basedOn w:val="1"/>
    <w:qFormat/>
    <w:uiPriority w:val="0"/>
    <w:rPr>
      <w:rFonts w:ascii="Tahoma" w:hAnsi="Tahoma"/>
      <w:sz w:val="24"/>
      <w:szCs w:val="20"/>
    </w:rPr>
  </w:style>
  <w:style w:type="paragraph" w:customStyle="1" w:styleId="756">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7">
    <w:name w:val="Char19"/>
    <w:basedOn w:val="1"/>
    <w:qFormat/>
    <w:uiPriority w:val="0"/>
    <w:pPr>
      <w:adjustRightInd/>
    </w:pPr>
    <w:rPr>
      <w:szCs w:val="20"/>
    </w:rPr>
  </w:style>
  <w:style w:type="paragraph" w:customStyle="1" w:styleId="758">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59">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60">
    <w:name w:val="_Style 5"/>
    <w:basedOn w:val="1"/>
    <w:qFormat/>
    <w:uiPriority w:val="34"/>
    <w:pPr>
      <w:adjustRightInd/>
      <w:ind w:firstLine="420" w:firstLineChars="200"/>
    </w:pPr>
    <w:rPr>
      <w:rFonts w:eastAsia="仿宋_GB2312"/>
      <w:sz w:val="28"/>
    </w:rPr>
  </w:style>
  <w:style w:type="paragraph" w:customStyle="1" w:styleId="761">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2">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3">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4">
    <w:name w:val="标书表格字体格式"/>
    <w:next w:val="758"/>
    <w:qFormat/>
    <w:uiPriority w:val="0"/>
    <w:rPr>
      <w:rFonts w:ascii="Times New Roman" w:hAnsi="Times New Roman" w:eastAsia="宋体" w:cs="Times New Roman"/>
      <w:kern w:val="2"/>
      <w:sz w:val="21"/>
      <w:szCs w:val="24"/>
      <w:lang w:val="en-US" w:eastAsia="zh-CN" w:bidi="ar-SA"/>
    </w:rPr>
  </w:style>
  <w:style w:type="paragraph" w:customStyle="1" w:styleId="765">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6">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7">
    <w:name w:val="修订3"/>
    <w:qFormat/>
    <w:uiPriority w:val="0"/>
    <w:rPr>
      <w:rFonts w:ascii="Times New Roman" w:hAnsi="Times New Roman" w:eastAsia="宋体" w:cs="Times New Roman"/>
      <w:kern w:val="2"/>
      <w:sz w:val="21"/>
      <w:lang w:val="en-US" w:eastAsia="zh-CN" w:bidi="ar-SA"/>
    </w:rPr>
  </w:style>
  <w:style w:type="paragraph" w:customStyle="1" w:styleId="768">
    <w:name w:val="CSS1级正文 Char"/>
    <w:basedOn w:val="28"/>
    <w:qFormat/>
    <w:uiPriority w:val="0"/>
    <w:pPr>
      <w:autoSpaceDE/>
      <w:autoSpaceDN/>
      <w:snapToGrid w:val="0"/>
      <w:ind w:firstLine="480" w:firstLineChars="200"/>
    </w:pPr>
    <w:rPr>
      <w:rFonts w:ascii="Times New Roman"/>
      <w:szCs w:val="24"/>
      <w:lang w:val="en-US"/>
    </w:rPr>
  </w:style>
  <w:style w:type="paragraph" w:customStyle="1" w:styleId="769">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0">
    <w:name w:val="表文字"/>
    <w:qFormat/>
    <w:uiPriority w:val="0"/>
    <w:rPr>
      <w:rFonts w:ascii="宋体" w:hAnsi="Times New Roman" w:eastAsia="宋体" w:cs="Times New Roman"/>
      <w:kern w:val="2"/>
      <w:lang w:val="en-US" w:eastAsia="zh-CN" w:bidi="ar-SA"/>
    </w:rPr>
  </w:style>
  <w:style w:type="paragraph" w:customStyle="1" w:styleId="771">
    <w:name w:val="MM Title"/>
    <w:basedOn w:val="61"/>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2">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3">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4">
    <w:name w:val="Char Char Char Char Char Char Char Char2"/>
    <w:basedOn w:val="1"/>
    <w:qFormat/>
    <w:uiPriority w:val="0"/>
    <w:pPr>
      <w:tabs>
        <w:tab w:val="left" w:pos="360"/>
      </w:tabs>
    </w:pPr>
    <w:rPr>
      <w:sz w:val="24"/>
      <w:szCs w:val="20"/>
    </w:rPr>
  </w:style>
  <w:style w:type="paragraph" w:customStyle="1" w:styleId="775">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6">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77">
    <w:name w:val="中文标题 3"/>
    <w:basedOn w:val="21"/>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78">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79">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0">
    <w:name w:val="正文－恩普"/>
    <w:basedOn w:val="5"/>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81">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2">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3">
    <w:name w:val="p0"/>
    <w:basedOn w:val="1"/>
    <w:qFormat/>
    <w:uiPriority w:val="0"/>
    <w:pPr>
      <w:widowControl/>
      <w:adjustRightInd/>
    </w:pPr>
    <w:rPr>
      <w:kern w:val="0"/>
      <w:szCs w:val="21"/>
    </w:rPr>
  </w:style>
  <w:style w:type="paragraph" w:customStyle="1" w:styleId="784">
    <w:name w:val="Char6"/>
    <w:basedOn w:val="1"/>
    <w:qFormat/>
    <w:uiPriority w:val="0"/>
    <w:rPr>
      <w:rFonts w:ascii="仿宋_GB2312" w:eastAsia="仿宋_GB2312"/>
      <w:b/>
      <w:sz w:val="32"/>
      <w:szCs w:val="32"/>
    </w:rPr>
  </w:style>
  <w:style w:type="paragraph" w:customStyle="1" w:styleId="785">
    <w:name w:val="Char111"/>
    <w:basedOn w:val="1"/>
    <w:qFormat/>
    <w:uiPriority w:val="0"/>
    <w:rPr>
      <w:rFonts w:ascii="仿宋_GB2312" w:eastAsia="仿宋_GB2312"/>
      <w:b/>
      <w:sz w:val="32"/>
      <w:szCs w:val="32"/>
    </w:rPr>
  </w:style>
  <w:style w:type="paragraph" w:customStyle="1" w:styleId="786">
    <w:name w:val="标题3"/>
    <w:basedOn w:val="4"/>
    <w:next w:val="55"/>
    <w:qFormat/>
    <w:uiPriority w:val="0"/>
    <w:pPr>
      <w:tabs>
        <w:tab w:val="clear" w:pos="900"/>
      </w:tabs>
      <w:spacing w:after="0" w:line="360" w:lineRule="auto"/>
    </w:pPr>
    <w:rPr>
      <w:rFonts w:ascii="仿宋" w:hAnsi="仿宋" w:eastAsia="仿宋" w:cs="仿宋"/>
    </w:rPr>
  </w:style>
  <w:style w:type="paragraph" w:customStyle="1" w:styleId="787">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88">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89">
    <w:name w:val="Char1 Char Char Char2"/>
    <w:basedOn w:val="1"/>
    <w:qFormat/>
    <w:uiPriority w:val="0"/>
    <w:pPr>
      <w:adjustRightInd/>
      <w:ind w:firstLine="200" w:firstLineChars="200"/>
    </w:pPr>
    <w:rPr>
      <w:rFonts w:ascii="Tahoma" w:hAnsi="Tahoma"/>
      <w:sz w:val="24"/>
      <w:szCs w:val="20"/>
    </w:rPr>
  </w:style>
  <w:style w:type="paragraph" w:customStyle="1" w:styleId="790">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91">
    <w:name w:val="样式 标题 1 + 黑色 段前: 0.5 行 段后: 0.5 行1"/>
    <w:basedOn w:val="2"/>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2">
    <w:name w:val="Char Char Char Char Char Char Char2"/>
    <w:basedOn w:val="1"/>
    <w:qFormat/>
    <w:uiPriority w:val="0"/>
    <w:rPr>
      <w:rFonts w:ascii="仿宋_GB2312" w:eastAsia="仿宋_GB2312"/>
      <w:b/>
      <w:sz w:val="32"/>
      <w:szCs w:val="32"/>
    </w:rPr>
  </w:style>
  <w:style w:type="paragraph" w:customStyle="1" w:styleId="793">
    <w:name w:val="五级条标题"/>
    <w:basedOn w:val="794"/>
    <w:next w:val="639"/>
    <w:qFormat/>
    <w:uiPriority w:val="0"/>
    <w:pPr>
      <w:tabs>
        <w:tab w:val="left" w:pos="1260"/>
        <w:tab w:val="left" w:pos="1680"/>
        <w:tab w:val="left" w:pos="2100"/>
        <w:tab w:val="left" w:pos="2940"/>
        <w:tab w:val="left" w:pos="3360"/>
      </w:tabs>
      <w:ind w:left="3360"/>
      <w:outlineLvl w:val="6"/>
    </w:pPr>
  </w:style>
  <w:style w:type="paragraph" w:customStyle="1" w:styleId="794">
    <w:name w:val="四级条标题"/>
    <w:basedOn w:val="654"/>
    <w:next w:val="639"/>
    <w:qFormat/>
    <w:uiPriority w:val="0"/>
    <w:pPr>
      <w:tabs>
        <w:tab w:val="left" w:pos="2940"/>
        <w:tab w:val="clear" w:pos="2520"/>
      </w:tabs>
      <w:ind w:left="2940"/>
      <w:outlineLvl w:val="5"/>
    </w:pPr>
  </w:style>
  <w:style w:type="paragraph" w:customStyle="1" w:styleId="795">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6">
    <w:name w:val="Char23"/>
    <w:basedOn w:val="1"/>
    <w:qFormat/>
    <w:uiPriority w:val="0"/>
    <w:rPr>
      <w:rFonts w:ascii="仿宋_GB2312" w:eastAsia="仿宋_GB2312"/>
      <w:b/>
      <w:sz w:val="32"/>
      <w:szCs w:val="32"/>
    </w:rPr>
  </w:style>
  <w:style w:type="paragraph" w:customStyle="1" w:styleId="797">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798">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799">
    <w:name w:val="首行缩进"/>
    <w:basedOn w:val="1"/>
    <w:qFormat/>
    <w:uiPriority w:val="0"/>
    <w:pPr>
      <w:spacing w:line="360" w:lineRule="auto"/>
      <w:ind w:firstLine="480" w:firstLineChars="200"/>
    </w:pPr>
    <w:rPr>
      <w:rFonts w:ascii="宋体"/>
      <w:sz w:val="24"/>
      <w:szCs w:val="20"/>
    </w:rPr>
  </w:style>
  <w:style w:type="paragraph" w:customStyle="1" w:styleId="800">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801">
    <w:name w:val="单元格左对齐"/>
    <w:basedOn w:val="1"/>
    <w:qFormat/>
    <w:uiPriority w:val="0"/>
    <w:pPr>
      <w:adjustRightInd/>
      <w:spacing w:line="360" w:lineRule="auto"/>
    </w:pPr>
    <w:rPr>
      <w:sz w:val="24"/>
    </w:rPr>
  </w:style>
  <w:style w:type="paragraph" w:customStyle="1" w:styleId="802">
    <w:name w:val="正文主体"/>
    <w:basedOn w:val="623"/>
    <w:qFormat/>
    <w:uiPriority w:val="0"/>
  </w:style>
  <w:style w:type="paragraph" w:customStyle="1" w:styleId="803">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4">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5">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06">
    <w:name w:val="正文（首行缩进2字符）"/>
    <w:basedOn w:val="1"/>
    <w:qFormat/>
    <w:uiPriority w:val="0"/>
    <w:pPr>
      <w:adjustRightInd/>
      <w:spacing w:line="360" w:lineRule="auto"/>
      <w:ind w:firstLine="480" w:firstLineChars="200"/>
    </w:pPr>
    <w:rPr>
      <w:sz w:val="24"/>
      <w:szCs w:val="20"/>
    </w:rPr>
  </w:style>
  <w:style w:type="paragraph" w:customStyle="1" w:styleId="807">
    <w:name w:val="P1"/>
    <w:basedOn w:val="1"/>
    <w:qFormat/>
    <w:uiPriority w:val="0"/>
    <w:pPr>
      <w:adjustRightInd/>
      <w:spacing w:line="288" w:lineRule="auto"/>
      <w:ind w:firstLine="425" w:firstLineChars="200"/>
    </w:pPr>
  </w:style>
  <w:style w:type="paragraph" w:customStyle="1" w:styleId="808">
    <w:name w:val="列表内容"/>
    <w:basedOn w:val="1"/>
    <w:next w:val="1"/>
    <w:qFormat/>
    <w:uiPriority w:val="0"/>
    <w:pPr>
      <w:widowControl/>
      <w:tabs>
        <w:tab w:val="left" w:pos="840"/>
      </w:tabs>
      <w:ind w:left="840" w:hanging="420"/>
      <w:jc w:val="left"/>
    </w:pPr>
    <w:rPr>
      <w:kern w:val="0"/>
      <w:sz w:val="18"/>
    </w:rPr>
  </w:style>
  <w:style w:type="paragraph" w:customStyle="1" w:styleId="809">
    <w:name w:val="Char Char11 Char Char Char1"/>
    <w:basedOn w:val="1"/>
    <w:qFormat/>
    <w:uiPriority w:val="6"/>
    <w:pPr>
      <w:spacing w:line="360" w:lineRule="auto"/>
    </w:pPr>
    <w:rPr>
      <w:szCs w:val="20"/>
    </w:rPr>
  </w:style>
  <w:style w:type="paragraph" w:customStyle="1" w:styleId="810">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11">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2">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3">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4">
    <w:name w:val="正文文字缩进2字"/>
    <w:basedOn w:val="28"/>
    <w:qFormat/>
    <w:uiPriority w:val="0"/>
    <w:pPr>
      <w:autoSpaceDE/>
      <w:autoSpaceDN/>
      <w:adjustRightInd/>
      <w:spacing w:before="60" w:after="60"/>
      <w:ind w:firstLine="200" w:firstLineChars="200"/>
    </w:pPr>
    <w:rPr>
      <w:rFonts w:ascii="Times New Roman"/>
      <w:szCs w:val="20"/>
      <w:lang w:val="en-US"/>
    </w:rPr>
  </w:style>
  <w:style w:type="paragraph" w:customStyle="1" w:styleId="815">
    <w:name w:val="默认段落字体 Para Char Char Char Char"/>
    <w:basedOn w:val="1"/>
    <w:qFormat/>
    <w:uiPriority w:val="0"/>
    <w:pPr>
      <w:spacing w:line="360" w:lineRule="auto"/>
    </w:pPr>
    <w:rPr>
      <w:szCs w:val="20"/>
    </w:rPr>
  </w:style>
  <w:style w:type="paragraph" w:customStyle="1" w:styleId="816">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17">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18">
    <w:name w:val="Char2 Char Char Char2"/>
    <w:basedOn w:val="1"/>
    <w:qFormat/>
    <w:uiPriority w:val="0"/>
    <w:rPr>
      <w:rFonts w:ascii="仿宋_GB2312" w:eastAsia="仿宋_GB2312"/>
      <w:b/>
      <w:sz w:val="32"/>
      <w:szCs w:val="32"/>
    </w:rPr>
  </w:style>
  <w:style w:type="paragraph" w:customStyle="1" w:styleId="819">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20">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1">
    <w:name w:val="正文 首行缩进:  2 字符 Char"/>
    <w:basedOn w:val="1"/>
    <w:qFormat/>
    <w:uiPriority w:val="0"/>
    <w:pPr>
      <w:adjustRightInd/>
      <w:spacing w:line="360" w:lineRule="auto"/>
      <w:ind w:firstLine="480"/>
    </w:pPr>
    <w:rPr>
      <w:rFonts w:cs="宋体"/>
      <w:sz w:val="24"/>
      <w:szCs w:val="20"/>
    </w:rPr>
  </w:style>
  <w:style w:type="paragraph" w:customStyle="1" w:styleId="822">
    <w:name w:val="Char Char4 Char Char"/>
    <w:basedOn w:val="1"/>
    <w:qFormat/>
    <w:uiPriority w:val="0"/>
    <w:pPr>
      <w:widowControl/>
      <w:adjustRightInd/>
      <w:spacing w:after="160" w:line="240" w:lineRule="exact"/>
      <w:jc w:val="left"/>
    </w:pPr>
  </w:style>
  <w:style w:type="paragraph" w:customStyle="1" w:styleId="823">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4">
    <w:name w:val="Char Char11 Char Char Char2"/>
    <w:basedOn w:val="1"/>
    <w:qFormat/>
    <w:uiPriority w:val="0"/>
    <w:pPr>
      <w:spacing w:line="360" w:lineRule="auto"/>
    </w:pPr>
    <w:rPr>
      <w:szCs w:val="20"/>
    </w:rPr>
  </w:style>
  <w:style w:type="paragraph" w:customStyle="1" w:styleId="825">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6">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7">
    <w:name w:val="数字标题4"/>
    <w:basedOn w:val="6"/>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28">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29">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30">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1">
    <w:name w:val="Char311"/>
    <w:basedOn w:val="1"/>
    <w:qFormat/>
    <w:uiPriority w:val="0"/>
    <w:pPr>
      <w:adjustRightInd/>
      <w:ind w:firstLine="200" w:firstLineChars="200"/>
    </w:pPr>
    <w:rPr>
      <w:rFonts w:ascii="Tahoma" w:hAnsi="Tahoma"/>
      <w:sz w:val="24"/>
      <w:szCs w:val="20"/>
    </w:rPr>
  </w:style>
  <w:style w:type="paragraph" w:customStyle="1" w:styleId="832">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3">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4">
    <w:name w:val="正文 内标"/>
    <w:basedOn w:val="749"/>
    <w:qFormat/>
    <w:uiPriority w:val="0"/>
    <w:pPr>
      <w:tabs>
        <w:tab w:val="left" w:pos="0"/>
      </w:tabs>
      <w:ind w:left="900" w:firstLine="0" w:firstLineChars="0"/>
    </w:pPr>
  </w:style>
  <w:style w:type="paragraph" w:customStyle="1" w:styleId="835">
    <w:name w:val="Bulleted List"/>
    <w:basedOn w:val="1"/>
    <w:qFormat/>
    <w:uiPriority w:val="0"/>
    <w:pPr>
      <w:tabs>
        <w:tab w:val="left" w:pos="1260"/>
      </w:tabs>
      <w:adjustRightInd/>
      <w:ind w:left="1260" w:hanging="420"/>
    </w:pPr>
  </w:style>
  <w:style w:type="paragraph" w:customStyle="1" w:styleId="836">
    <w:name w:val="样式 正文文本缩进 2 + 仿宋_GB2312 黑色 行距: 1.5 倍行距"/>
    <w:basedOn w:val="39"/>
    <w:qFormat/>
    <w:uiPriority w:val="0"/>
    <w:pPr>
      <w:adjustRightInd/>
      <w:ind w:firstLine="560" w:firstLineChars="200"/>
      <w:textAlignment w:val="auto"/>
    </w:pPr>
    <w:rPr>
      <w:rFonts w:hAnsi="宋体" w:cs="宋体"/>
      <w:color w:val="000000"/>
      <w:kern w:val="2"/>
      <w:sz w:val="24"/>
    </w:rPr>
  </w:style>
  <w:style w:type="paragraph" w:customStyle="1" w:styleId="837">
    <w:name w:val="样式 左侧:  0.85 厘米"/>
    <w:basedOn w:val="1"/>
    <w:qFormat/>
    <w:uiPriority w:val="2"/>
    <w:pPr>
      <w:adjustRightInd/>
      <w:spacing w:line="360" w:lineRule="auto"/>
    </w:pPr>
    <w:rPr>
      <w:rFonts w:cs="宋体"/>
      <w:sz w:val="24"/>
      <w:szCs w:val="20"/>
    </w:rPr>
  </w:style>
  <w:style w:type="paragraph" w:customStyle="1" w:styleId="838">
    <w:name w:val="Char Char Char Char Char Char Char Char Char Char Char Char1 Char"/>
    <w:basedOn w:val="1"/>
    <w:qFormat/>
    <w:uiPriority w:val="0"/>
    <w:rPr>
      <w:rFonts w:ascii="Tahoma" w:hAnsi="Tahoma" w:cs="仿宋_GB2312"/>
      <w:sz w:val="24"/>
      <w:szCs w:val="20"/>
    </w:rPr>
  </w:style>
  <w:style w:type="paragraph" w:customStyle="1" w:styleId="839">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40">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1">
    <w:name w:val="模板普通正文"/>
    <w:basedOn w:val="21"/>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2">
    <w:name w:val="Char Char1 Char Char Char Char Char Char"/>
    <w:basedOn w:val="1"/>
    <w:qFormat/>
    <w:uiPriority w:val="0"/>
    <w:rPr>
      <w:rFonts w:ascii="仿宋_GB2312" w:eastAsia="仿宋_GB2312"/>
      <w:b/>
      <w:sz w:val="32"/>
      <w:szCs w:val="20"/>
    </w:rPr>
  </w:style>
  <w:style w:type="paragraph" w:customStyle="1" w:styleId="843">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4">
    <w:name w:val="Char Char1 Char Char Char Char Char Char2"/>
    <w:basedOn w:val="1"/>
    <w:qFormat/>
    <w:uiPriority w:val="0"/>
    <w:rPr>
      <w:rFonts w:ascii="仿宋_GB2312" w:eastAsia="仿宋_GB2312"/>
      <w:b/>
      <w:sz w:val="32"/>
      <w:szCs w:val="20"/>
    </w:rPr>
  </w:style>
  <w:style w:type="paragraph" w:customStyle="1" w:styleId="845">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6">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47">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48">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49">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0">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1">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2">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3">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4">
    <w:name w:val="Char31"/>
    <w:basedOn w:val="1"/>
    <w:qFormat/>
    <w:uiPriority w:val="0"/>
    <w:pPr>
      <w:adjustRightInd/>
    </w:pPr>
    <w:rPr>
      <w:rFonts w:ascii="仿宋_GB2312" w:eastAsia="仿宋_GB2312"/>
      <w:b/>
      <w:sz w:val="32"/>
      <w:szCs w:val="32"/>
    </w:rPr>
  </w:style>
  <w:style w:type="paragraph" w:customStyle="1" w:styleId="855">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856">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57">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58">
    <w:name w:val="Char Char1"/>
    <w:basedOn w:val="1"/>
    <w:qFormat/>
    <w:uiPriority w:val="0"/>
    <w:pPr>
      <w:widowControl/>
      <w:spacing w:after="160" w:line="240" w:lineRule="exact"/>
      <w:jc w:val="left"/>
    </w:pPr>
    <w:rPr>
      <w:rFonts w:eastAsia="仿宋_GB2312"/>
      <w:sz w:val="28"/>
    </w:rPr>
  </w:style>
  <w:style w:type="paragraph" w:customStyle="1" w:styleId="859">
    <w:name w:val="Char21"/>
    <w:basedOn w:val="1"/>
    <w:qFormat/>
    <w:uiPriority w:val="0"/>
    <w:pPr>
      <w:adjustRightInd/>
      <w:ind w:firstLine="200" w:firstLineChars="200"/>
    </w:pPr>
    <w:rPr>
      <w:rFonts w:ascii="仿宋_GB2312" w:eastAsia="仿宋_GB2312"/>
      <w:b/>
      <w:sz w:val="32"/>
      <w:szCs w:val="32"/>
    </w:rPr>
  </w:style>
  <w:style w:type="paragraph" w:customStyle="1" w:styleId="860">
    <w:name w:val="列表段落1"/>
    <w:basedOn w:val="1"/>
    <w:qFormat/>
    <w:uiPriority w:val="34"/>
    <w:pPr>
      <w:adjustRightInd/>
      <w:ind w:right="238" w:firstLine="420"/>
    </w:pPr>
    <w:rPr>
      <w:rFonts w:ascii="Calibri" w:hAnsi="Calibri"/>
      <w:sz w:val="24"/>
    </w:rPr>
  </w:style>
  <w:style w:type="paragraph" w:customStyle="1" w:styleId="861">
    <w:name w:val="Char Char110"/>
    <w:basedOn w:val="1"/>
    <w:qFormat/>
    <w:uiPriority w:val="6"/>
    <w:pPr>
      <w:spacing w:line="360" w:lineRule="auto"/>
    </w:pPr>
    <w:rPr>
      <w:rFonts w:ascii="Tahoma" w:hAnsi="Tahoma"/>
      <w:sz w:val="24"/>
      <w:szCs w:val="20"/>
    </w:rPr>
  </w:style>
  <w:style w:type="paragraph" w:customStyle="1" w:styleId="862">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3">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4">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5">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66">
    <w:name w:val="Char Char Char Char Char Char Char Char Char Char Char Char1 Char2"/>
    <w:basedOn w:val="1"/>
    <w:qFormat/>
    <w:uiPriority w:val="0"/>
    <w:rPr>
      <w:rFonts w:ascii="Tahoma" w:hAnsi="Tahoma" w:cs="仿宋_GB2312"/>
      <w:sz w:val="24"/>
      <w:szCs w:val="20"/>
    </w:rPr>
  </w:style>
  <w:style w:type="paragraph" w:customStyle="1" w:styleId="867">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68">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69">
    <w:name w:val="样式 列表编号 + 段后: 0.5 行"/>
    <w:basedOn w:val="16"/>
    <w:qFormat/>
    <w:uiPriority w:val="2"/>
    <w:pPr>
      <w:tabs>
        <w:tab w:val="clear" w:pos="390"/>
        <w:tab w:val="clear" w:pos="454"/>
      </w:tabs>
      <w:spacing w:after="0"/>
      <w:ind w:left="840" w:hanging="420"/>
      <w:contextualSpacing/>
    </w:pPr>
    <w:rPr>
      <w:rFonts w:cs="宋体"/>
    </w:rPr>
  </w:style>
  <w:style w:type="paragraph" w:customStyle="1" w:styleId="870">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1">
    <w:name w:val="_Style 12"/>
    <w:basedOn w:val="19"/>
    <w:qFormat/>
    <w:uiPriority w:val="0"/>
    <w:pPr>
      <w:snapToGrid w:val="0"/>
      <w:spacing w:line="360" w:lineRule="auto"/>
    </w:pPr>
  </w:style>
  <w:style w:type="paragraph" w:customStyle="1" w:styleId="872">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3">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4">
    <w:name w:val="_Style 94"/>
    <w:basedOn w:val="1"/>
    <w:next w:val="257"/>
    <w:qFormat/>
    <w:uiPriority w:val="34"/>
    <w:pPr>
      <w:adjustRightInd/>
      <w:spacing w:line="360" w:lineRule="auto"/>
      <w:ind w:firstLine="200" w:firstLineChars="200"/>
    </w:pPr>
    <w:rPr>
      <w:rFonts w:ascii="Calibri" w:hAnsi="Calibri"/>
      <w:sz w:val="28"/>
      <w:szCs w:val="20"/>
    </w:rPr>
  </w:style>
  <w:style w:type="paragraph" w:customStyle="1" w:styleId="875">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6">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77">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78">
    <w:name w:val="3级标题"/>
    <w:basedOn w:val="671"/>
    <w:qFormat/>
    <w:uiPriority w:val="0"/>
    <w:pPr>
      <w:outlineLvl w:val="2"/>
    </w:pPr>
  </w:style>
  <w:style w:type="paragraph" w:customStyle="1" w:styleId="879">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0">
    <w:name w:val="Char1 Char Char Char3"/>
    <w:basedOn w:val="1"/>
    <w:qFormat/>
    <w:uiPriority w:val="0"/>
    <w:pPr>
      <w:adjustRightInd/>
      <w:ind w:firstLine="200" w:firstLineChars="200"/>
    </w:pPr>
    <w:rPr>
      <w:rFonts w:ascii="Tahoma" w:hAnsi="Tahoma"/>
      <w:sz w:val="24"/>
      <w:szCs w:val="20"/>
    </w:rPr>
  </w:style>
  <w:style w:type="paragraph" w:customStyle="1" w:styleId="881">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2">
    <w:name w:val="MM Empty"/>
    <w:basedOn w:val="1"/>
    <w:qFormat/>
    <w:uiPriority w:val="0"/>
    <w:pPr>
      <w:adjustRightInd/>
    </w:pPr>
  </w:style>
  <w:style w:type="paragraph" w:customStyle="1" w:styleId="883">
    <w:name w:val="Char24"/>
    <w:basedOn w:val="1"/>
    <w:qFormat/>
    <w:uiPriority w:val="0"/>
    <w:rPr>
      <w:rFonts w:ascii="仿宋_GB2312" w:eastAsia="仿宋_GB2312"/>
      <w:b/>
      <w:sz w:val="32"/>
      <w:szCs w:val="32"/>
    </w:rPr>
  </w:style>
  <w:style w:type="paragraph" w:customStyle="1" w:styleId="884">
    <w:name w:val="正文箭头"/>
    <w:basedOn w:val="537"/>
    <w:qFormat/>
    <w:uiPriority w:val="0"/>
  </w:style>
  <w:style w:type="paragraph" w:customStyle="1" w:styleId="885">
    <w:name w:val="U_编号2"/>
    <w:basedOn w:val="1"/>
    <w:qFormat/>
    <w:uiPriority w:val="0"/>
    <w:pPr>
      <w:tabs>
        <w:tab w:val="left" w:pos="785"/>
      </w:tabs>
      <w:adjustRightInd/>
      <w:spacing w:beforeLines="10" w:afterLines="10" w:line="300" w:lineRule="auto"/>
    </w:pPr>
    <w:rPr>
      <w:sz w:val="24"/>
    </w:rPr>
  </w:style>
  <w:style w:type="paragraph" w:customStyle="1" w:styleId="886">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87">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88">
    <w:name w:val="标书标题3"/>
    <w:basedOn w:val="4"/>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89">
    <w:name w:val="TOC 标题11"/>
    <w:basedOn w:val="2"/>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0">
    <w:name w:val="_Style 1"/>
    <w:basedOn w:val="1"/>
    <w:qFormat/>
    <w:uiPriority w:val="34"/>
    <w:pPr>
      <w:adjustRightInd/>
      <w:ind w:firstLine="420" w:firstLineChars="200"/>
    </w:pPr>
    <w:rPr>
      <w:rFonts w:eastAsia="仿宋_GB2312"/>
      <w:sz w:val="28"/>
    </w:rPr>
  </w:style>
  <w:style w:type="paragraph" w:customStyle="1" w:styleId="891">
    <w:name w:val="表格 内容"/>
    <w:basedOn w:val="728"/>
    <w:qFormat/>
    <w:uiPriority w:val="0"/>
    <w:rPr>
      <w:b w:val="0"/>
      <w:sz w:val="20"/>
    </w:rPr>
  </w:style>
  <w:style w:type="paragraph" w:customStyle="1" w:styleId="892">
    <w:name w:val="正文首行缩进1"/>
    <w:basedOn w:val="28"/>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3">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4">
    <w:name w:val="数字标题5"/>
    <w:basedOn w:val="7"/>
    <w:next w:val="1"/>
    <w:qFormat/>
    <w:uiPriority w:val="0"/>
    <w:pPr>
      <w:tabs>
        <w:tab w:val="left" w:pos="1080"/>
      </w:tabs>
      <w:ind w:left="1080" w:hanging="1080"/>
    </w:pPr>
  </w:style>
  <w:style w:type="paragraph" w:customStyle="1" w:styleId="895">
    <w:name w:val="数字标题1"/>
    <w:basedOn w:val="2"/>
    <w:next w:val="1"/>
    <w:qFormat/>
    <w:uiPriority w:val="0"/>
    <w:pPr>
      <w:tabs>
        <w:tab w:val="left" w:pos="480"/>
      </w:tabs>
      <w:ind w:left="480" w:hanging="480"/>
    </w:pPr>
  </w:style>
  <w:style w:type="paragraph" w:customStyle="1" w:styleId="896">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897">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898">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899">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0">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1">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2">
    <w:name w:val="0"/>
    <w:basedOn w:val="1"/>
    <w:qFormat/>
    <w:uiPriority w:val="0"/>
    <w:pPr>
      <w:widowControl/>
    </w:pPr>
    <w:rPr>
      <w:kern w:val="0"/>
      <w:sz w:val="24"/>
      <w:szCs w:val="20"/>
    </w:rPr>
  </w:style>
  <w:style w:type="paragraph" w:customStyle="1" w:styleId="903">
    <w:name w:val="Char Char113"/>
    <w:basedOn w:val="1"/>
    <w:qFormat/>
    <w:uiPriority w:val="0"/>
    <w:pPr>
      <w:widowControl/>
      <w:spacing w:after="160" w:line="240" w:lineRule="exact"/>
      <w:jc w:val="left"/>
    </w:pPr>
    <w:rPr>
      <w:rFonts w:eastAsia="仿宋_GB2312"/>
      <w:sz w:val="28"/>
    </w:rPr>
  </w:style>
  <w:style w:type="paragraph" w:customStyle="1" w:styleId="904">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5">
    <w:name w:val="_Style 8"/>
    <w:basedOn w:val="1"/>
    <w:qFormat/>
    <w:uiPriority w:val="34"/>
    <w:pPr>
      <w:adjustRightInd/>
      <w:ind w:firstLine="420" w:firstLineChars="200"/>
    </w:pPr>
    <w:rPr>
      <w:rFonts w:eastAsia="仿宋_GB2312"/>
      <w:sz w:val="28"/>
    </w:rPr>
  </w:style>
  <w:style w:type="paragraph" w:customStyle="1" w:styleId="906">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07">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08">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09">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10">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1">
    <w:name w:val="Char Char112"/>
    <w:basedOn w:val="1"/>
    <w:qFormat/>
    <w:uiPriority w:val="6"/>
    <w:pPr>
      <w:widowControl/>
      <w:spacing w:after="160" w:line="240" w:lineRule="exact"/>
      <w:jc w:val="left"/>
    </w:pPr>
    <w:rPr>
      <w:rFonts w:eastAsia="仿宋_GB2312"/>
      <w:sz w:val="28"/>
    </w:rPr>
  </w:style>
  <w:style w:type="paragraph" w:customStyle="1" w:styleId="912">
    <w:name w:val="正文 图"/>
    <w:basedOn w:val="442"/>
    <w:qFormat/>
    <w:uiPriority w:val="0"/>
    <w:pPr>
      <w:adjustRightInd/>
      <w:spacing w:before="0"/>
      <w:ind w:firstLine="0"/>
      <w:jc w:val="center"/>
    </w:pPr>
    <w:rPr>
      <w:rFonts w:ascii="微软雅黑" w:hAnsi="微软雅黑"/>
    </w:rPr>
  </w:style>
  <w:style w:type="paragraph" w:customStyle="1" w:styleId="913">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4">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5">
    <w:name w:val="Thf"/>
    <w:basedOn w:val="561"/>
    <w:qFormat/>
    <w:uiPriority w:val="0"/>
    <w:pPr>
      <w:ind w:left="0"/>
    </w:pPr>
  </w:style>
  <w:style w:type="paragraph" w:customStyle="1" w:styleId="916">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17">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18">
    <w:name w:val="注释"/>
    <w:basedOn w:val="1"/>
    <w:qFormat/>
    <w:uiPriority w:val="0"/>
    <w:pPr>
      <w:adjustRightInd/>
      <w:spacing w:line="360" w:lineRule="auto"/>
      <w:ind w:firstLine="480"/>
    </w:pPr>
    <w:rPr>
      <w:sz w:val="24"/>
    </w:rPr>
  </w:style>
  <w:style w:type="table" w:customStyle="1" w:styleId="919">
    <w:name w:val="网格型2"/>
    <w:basedOn w:val="6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0">
    <w:name w:val="网格型1"/>
    <w:basedOn w:val="6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1">
    <w:name w:val="网格型6"/>
    <w:basedOn w:val="6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2">
    <w:name w:val="网格型3"/>
    <w:basedOn w:val="6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3">
    <w:name w:val="网格型4"/>
    <w:basedOn w:val="6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4">
    <w:name w:val="网格型5"/>
    <w:basedOn w:val="6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25">
    <w:name w:val="列出段落111"/>
    <w:basedOn w:val="1"/>
    <w:qFormat/>
    <w:uiPriority w:val="34"/>
    <w:pPr>
      <w:ind w:firstLine="420" w:firstLineChars="200"/>
    </w:pPr>
  </w:style>
  <w:style w:type="character" w:customStyle="1" w:styleId="926">
    <w:name w:val="交叉引用"/>
    <w:qFormat/>
    <w:uiPriority w:val="1"/>
    <w:rPr>
      <w:rFonts w:ascii="Arial" w:hAnsi="Arial" w:eastAsia="黑体"/>
      <w:snapToGrid w:val="0"/>
      <w:color w:val="0000FF"/>
      <w:kern w:val="0"/>
      <w:sz w:val="20"/>
      <w:szCs w:val="21"/>
      <w:u w:val="single"/>
      <w:lang w:val="en-US" w:eastAsia="zh-CN"/>
    </w:rPr>
  </w:style>
  <w:style w:type="character" w:customStyle="1" w:styleId="927">
    <w:name w:val="正文缩进 字符1"/>
    <w:qFormat/>
    <w:uiPriority w:val="0"/>
    <w:rPr>
      <w:rFonts w:ascii="宋体" w:eastAsia="宋体"/>
      <w:snapToGrid w:val="0"/>
      <w:color w:val="000000"/>
      <w:kern w:val="28"/>
      <w:sz w:val="28"/>
      <w:lang w:val="en-US" w:eastAsia="zh-CN" w:bidi="ar-SA"/>
    </w:rPr>
  </w:style>
  <w:style w:type="character" w:customStyle="1" w:styleId="928">
    <w:name w:val="页脚 字符1"/>
    <w:qFormat/>
    <w:locked/>
    <w:uiPriority w:val="99"/>
    <w:rPr>
      <w:kern w:val="2"/>
      <w:sz w:val="18"/>
      <w:szCs w:val="18"/>
    </w:rPr>
  </w:style>
  <w:style w:type="character" w:customStyle="1" w:styleId="929">
    <w:name w:val="页眉 字符1"/>
    <w:qFormat/>
    <w:uiPriority w:val="99"/>
    <w:rPr>
      <w:kern w:val="2"/>
      <w:sz w:val="18"/>
      <w:szCs w:val="18"/>
    </w:rPr>
  </w:style>
  <w:style w:type="character" w:customStyle="1" w:styleId="930">
    <w:name w:val="尾注文本 Char"/>
    <w:link w:val="40"/>
    <w:qFormat/>
    <w:uiPriority w:val="0"/>
    <w:rPr>
      <w:kern w:val="2"/>
      <w:sz w:val="21"/>
      <w:szCs w:val="24"/>
      <w:lang w:val="zh-CN"/>
    </w:rPr>
  </w:style>
  <w:style w:type="character" w:customStyle="1" w:styleId="931">
    <w:name w:val="无间隔 Char"/>
    <w:link w:val="482"/>
    <w:qFormat/>
    <w:uiPriority w:val="99"/>
    <w:rPr>
      <w:kern w:val="2"/>
      <w:sz w:val="21"/>
      <w:szCs w:val="22"/>
    </w:rPr>
  </w:style>
  <w:style w:type="character" w:customStyle="1" w:styleId="932">
    <w:name w:val="标准文本 Char Char"/>
    <w:link w:val="933"/>
    <w:qFormat/>
    <w:uiPriority w:val="0"/>
    <w:rPr>
      <w:rFonts w:cs="宋体"/>
      <w:kern w:val="2"/>
      <w:sz w:val="24"/>
    </w:rPr>
  </w:style>
  <w:style w:type="paragraph" w:customStyle="1" w:styleId="933">
    <w:name w:val="标准文本"/>
    <w:basedOn w:val="1"/>
    <w:link w:val="932"/>
    <w:qFormat/>
    <w:uiPriority w:val="0"/>
    <w:pPr>
      <w:adjustRightInd/>
      <w:spacing w:line="360" w:lineRule="auto"/>
      <w:ind w:firstLine="480" w:firstLineChars="200"/>
    </w:pPr>
    <w:rPr>
      <w:rFonts w:cs="宋体"/>
      <w:sz w:val="24"/>
      <w:szCs w:val="20"/>
    </w:rPr>
  </w:style>
  <w:style w:type="character" w:customStyle="1" w:styleId="934">
    <w:name w:val="Char Char213"/>
    <w:qFormat/>
    <w:uiPriority w:val="0"/>
    <w:rPr>
      <w:rFonts w:eastAsia="Century Gothic"/>
      <w:b/>
      <w:bCs/>
      <w:kern w:val="44"/>
      <w:sz w:val="32"/>
      <w:szCs w:val="44"/>
      <w:lang w:val="en-US" w:eastAsia="zh-CN" w:bidi="ar-SA"/>
    </w:rPr>
  </w:style>
  <w:style w:type="character" w:customStyle="1" w:styleId="935">
    <w:name w:val="apple-style-span"/>
    <w:qFormat/>
    <w:uiPriority w:val="0"/>
    <w:rPr>
      <w:rFonts w:ascii="Arial" w:hAnsi="Arial" w:eastAsia="黑体" w:cs="Arial"/>
      <w:snapToGrid w:val="0"/>
      <w:kern w:val="0"/>
      <w:szCs w:val="21"/>
    </w:rPr>
  </w:style>
  <w:style w:type="character" w:customStyle="1" w:styleId="936">
    <w:name w:val="15"/>
    <w:qFormat/>
    <w:uiPriority w:val="0"/>
    <w:rPr>
      <w:rFonts w:hint="default" w:ascii="Calibri" w:hAnsi="Calibri"/>
      <w:color w:val="0000FF"/>
      <w:u w:val="single"/>
    </w:rPr>
  </w:style>
  <w:style w:type="character" w:customStyle="1" w:styleId="937">
    <w:name w:val="16"/>
    <w:qFormat/>
    <w:uiPriority w:val="0"/>
    <w:rPr>
      <w:rFonts w:hint="eastAsia" w:ascii="宋体" w:hAnsi="宋体" w:eastAsia="宋体"/>
      <w:color w:val="000000"/>
      <w:sz w:val="20"/>
      <w:szCs w:val="20"/>
    </w:rPr>
  </w:style>
  <w:style w:type="character" w:customStyle="1" w:styleId="938">
    <w:name w:val="edui-unclickable"/>
    <w:qFormat/>
    <w:uiPriority w:val="0"/>
    <w:rPr>
      <w:color w:val="808080"/>
    </w:rPr>
  </w:style>
  <w:style w:type="character" w:customStyle="1" w:styleId="939">
    <w:name w:val="tpc_content1"/>
    <w:qFormat/>
    <w:uiPriority w:val="0"/>
    <w:rPr>
      <w:sz w:val="20"/>
      <w:szCs w:val="20"/>
    </w:rPr>
  </w:style>
  <w:style w:type="character" w:customStyle="1" w:styleId="940">
    <w:name w:val="正文文本缩进 字符"/>
    <w:qFormat/>
    <w:uiPriority w:val="0"/>
    <w:rPr>
      <w:rFonts w:ascii="Century Gothic" w:hAnsi="Century Gothic" w:eastAsia="Century Gothic"/>
      <w:kern w:val="2"/>
      <w:sz w:val="24"/>
      <w:lang w:val="en-US" w:eastAsia="zh-CN" w:bidi="ar-SA"/>
    </w:rPr>
  </w:style>
  <w:style w:type="character" w:customStyle="1" w:styleId="941">
    <w:name w:val="正文文本 2 字符"/>
    <w:qFormat/>
    <w:uiPriority w:val="0"/>
    <w:rPr>
      <w:rFonts w:ascii="Arial" w:hAnsi="Arial" w:eastAsia="宋体"/>
      <w:kern w:val="2"/>
      <w:sz w:val="24"/>
      <w:szCs w:val="24"/>
      <w:lang w:val="en-US" w:eastAsia="zh-CN" w:bidi="ar-SA"/>
    </w:rPr>
  </w:style>
  <w:style w:type="character" w:customStyle="1" w:styleId="942">
    <w:name w:val="edui-clickable2"/>
    <w:qFormat/>
    <w:uiPriority w:val="0"/>
    <w:rPr>
      <w:color w:val="0000FF"/>
      <w:u w:val="single"/>
    </w:rPr>
  </w:style>
  <w:style w:type="character" w:customStyle="1" w:styleId="943">
    <w:name w:val="style1"/>
    <w:qFormat/>
    <w:uiPriority w:val="0"/>
    <w:rPr>
      <w:rFonts w:ascii="Arial" w:hAnsi="Arial" w:eastAsia="黑体" w:cs="Arial"/>
      <w:snapToGrid w:val="0"/>
      <w:kern w:val="0"/>
      <w:szCs w:val="21"/>
    </w:rPr>
  </w:style>
  <w:style w:type="character" w:customStyle="1" w:styleId="944">
    <w:name w:val="zbggtop11 style5"/>
    <w:qFormat/>
    <w:uiPriority w:val="0"/>
    <w:rPr>
      <w:rFonts w:ascii="Arial" w:hAnsi="Arial" w:eastAsia="黑体" w:cs="Arial"/>
      <w:snapToGrid w:val="0"/>
      <w:kern w:val="0"/>
      <w:szCs w:val="21"/>
    </w:rPr>
  </w:style>
  <w:style w:type="character" w:customStyle="1" w:styleId="945">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6">
    <w:name w:val="bulletintext1"/>
    <w:qFormat/>
    <w:uiPriority w:val="0"/>
    <w:rPr>
      <w:color w:val="000000"/>
      <w:sz w:val="18"/>
    </w:rPr>
  </w:style>
  <w:style w:type="paragraph" w:customStyle="1" w:styleId="947">
    <w:name w:val="_Style 947"/>
    <w:basedOn w:val="1"/>
    <w:next w:val="257"/>
    <w:qFormat/>
    <w:uiPriority w:val="34"/>
    <w:pPr>
      <w:adjustRightInd/>
      <w:ind w:firstLine="420" w:firstLineChars="200"/>
    </w:pPr>
  </w:style>
  <w:style w:type="paragraph" w:customStyle="1" w:styleId="948">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49">
    <w:name w:val="纯文本2"/>
    <w:basedOn w:val="1"/>
    <w:qFormat/>
    <w:uiPriority w:val="0"/>
    <w:pPr>
      <w:adjustRightInd/>
      <w:snapToGrid w:val="0"/>
      <w:jc w:val="left"/>
    </w:pPr>
    <w:rPr>
      <w:rFonts w:ascii="Century Gothic" w:hAnsi="楷体_GB2312" w:eastAsia="Century Gothic"/>
      <w:szCs w:val="20"/>
    </w:rPr>
  </w:style>
  <w:style w:type="paragraph" w:customStyle="1" w:styleId="950">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1">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2">
    <w:name w:val="节"/>
    <w:basedOn w:val="3"/>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3">
    <w:name w:val="Blockquote"/>
    <w:basedOn w:val="1"/>
    <w:qFormat/>
    <w:uiPriority w:val="0"/>
    <w:pPr>
      <w:autoSpaceDE w:val="0"/>
      <w:autoSpaceDN w:val="0"/>
      <w:spacing w:before="100" w:after="100"/>
      <w:ind w:left="360" w:right="360"/>
      <w:jc w:val="left"/>
    </w:pPr>
    <w:rPr>
      <w:kern w:val="0"/>
      <w:sz w:val="24"/>
      <w:szCs w:val="20"/>
    </w:rPr>
  </w:style>
  <w:style w:type="paragraph" w:customStyle="1" w:styleId="954">
    <w:name w:val="p1"/>
    <w:basedOn w:val="1"/>
    <w:qFormat/>
    <w:uiPriority w:val="0"/>
    <w:pPr>
      <w:widowControl/>
      <w:adjustRightInd/>
      <w:jc w:val="left"/>
    </w:pPr>
    <w:rPr>
      <w:rFonts w:ascii=".PingFang SC" w:eastAsia=".PingFang SC"/>
      <w:color w:val="454545"/>
      <w:kern w:val="0"/>
      <w:sz w:val="18"/>
      <w:szCs w:val="18"/>
    </w:rPr>
  </w:style>
  <w:style w:type="paragraph" w:customStyle="1" w:styleId="955">
    <w:name w:val="Table Paragraph"/>
    <w:basedOn w:val="1"/>
    <w:qFormat/>
    <w:uiPriority w:val="0"/>
    <w:pPr>
      <w:adjustRightInd/>
      <w:jc w:val="left"/>
    </w:pPr>
    <w:rPr>
      <w:rFonts w:ascii="Calibri" w:hAnsi="Calibri"/>
      <w:kern w:val="0"/>
      <w:sz w:val="22"/>
      <w:szCs w:val="22"/>
      <w:lang w:eastAsia="en-US"/>
    </w:rPr>
  </w:style>
  <w:style w:type="paragraph" w:customStyle="1" w:styleId="956">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57">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58">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59">
    <w:name w:val="ksfind_class_select1"/>
    <w:basedOn w:val="71"/>
    <w:qFormat/>
    <w:uiPriority w:val="0"/>
    <w:rPr>
      <w:color w:val="000000"/>
      <w:shd w:val="clear" w:color="auto" w:fill="EFD200"/>
    </w:rPr>
  </w:style>
  <w:style w:type="character" w:customStyle="1" w:styleId="960">
    <w:name w:val="font71"/>
    <w:qFormat/>
    <w:uiPriority w:val="0"/>
    <w:rPr>
      <w:rFonts w:hint="eastAsia" w:ascii="宋体" w:hAnsi="宋体" w:eastAsia="宋体" w:cs="宋体"/>
      <w:color w:val="000000"/>
      <w:sz w:val="22"/>
      <w:szCs w:val="22"/>
      <w:u w:val="none"/>
    </w:rPr>
  </w:style>
  <w:style w:type="character" w:customStyle="1" w:styleId="961">
    <w:name w:val="font91"/>
    <w:qFormat/>
    <w:uiPriority w:val="0"/>
    <w:rPr>
      <w:rFonts w:hint="eastAsia" w:ascii="仿宋" w:hAnsi="仿宋" w:eastAsia="仿宋" w:cs="仿宋"/>
      <w:color w:val="000000"/>
      <w:sz w:val="22"/>
      <w:szCs w:val="22"/>
      <w:u w:val="none"/>
    </w:rPr>
  </w:style>
  <w:style w:type="paragraph" w:customStyle="1" w:styleId="962">
    <w:name w:val="修订4"/>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1.jpeg"/><Relationship Id="rId25" Type="http://schemas.openxmlformats.org/officeDocument/2006/relationships/theme" Target="theme/theme1.xml"/><Relationship Id="rId24" Type="http://schemas.openxmlformats.org/officeDocument/2006/relationships/footer" Target="footer12.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杭州市国内经济合作办公室</Company>
  <Pages>108</Pages>
  <Words>501</Words>
  <Characters>647</Characters>
  <Lines>379</Lines>
  <Paragraphs>106</Paragraphs>
  <TotalTime>0</TotalTime>
  <ScaleCrop>false</ScaleCrop>
  <LinksUpToDate>false</LinksUpToDate>
  <CharactersWithSpaces>830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2021-07-30T08:22:00Z</dcterms:created>
  <dc:creator>北海市政府采购中心</dc:creator>
  <cp:lastModifiedBy>haha</cp:lastModifiedBy>
  <cp:lastPrinted>2025-09-16T07:59:00Z</cp:lastPrinted>
  <dcterms:modified xsi:type="dcterms:W3CDTF">2025-09-28T07:34:35Z</dcterms:modified>
  <dc:title>北海市政府采购中心</dc:title>
  <cp:revision>2613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DF5F5D4EC59A410F8E1CF8D5877F97DF_13</vt:lpwstr>
  </property>
  <property fmtid="{D5CDD505-2E9C-101B-9397-08002B2CF9AE}" pid="5" name="KSOTemplateDocerSaveRecord">
    <vt:lpwstr>eyJoZGlkIjoiMzAxZmQzYWI0NjhhYzFiYmI0OTc3MDAxMDBmYjY5YTgiLCJ1c2VySWQiOiIxNzI5MjIzNzMzIn0=</vt:lpwstr>
  </property>
</Properties>
</file>