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5"/>
        <w:snapToGrid w:val="0"/>
        <w:spacing w:before="120" w:after="120" w:line="360" w:lineRule="auto"/>
        <w:rPr>
          <w:rFonts w:hint="eastAsia" w:ascii="宋体" w:hAnsi="宋体" w:eastAsia="宋体" w:cs="宋体"/>
          <w:b/>
          <w:bCs/>
          <w:color w:val="auto"/>
          <w:sz w:val="30"/>
          <w:szCs w:val="30"/>
          <w:highlight w:val="none"/>
        </w:rPr>
      </w:pPr>
    </w:p>
    <w:p w14:paraId="48854E46">
      <w:pPr>
        <w:pStyle w:val="35"/>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5"/>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769"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BHZC2025-G1-990267-GXKL</w:t>
            </w:r>
          </w:p>
        </w:tc>
      </w:tr>
      <w:tr w14:paraId="14ACCDB3">
        <w:tblPrEx>
          <w:tblCellMar>
            <w:top w:w="0" w:type="dxa"/>
            <w:left w:w="108" w:type="dxa"/>
            <w:bottom w:w="0" w:type="dxa"/>
            <w:right w:w="108" w:type="dxa"/>
          </w:tblCellMar>
        </w:tblPrEx>
        <w:trPr>
          <w:trHeight w:val="769"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北海市卫生学校优质中职学校和优质中职专业建设（建设急救教育基地1）</w:t>
            </w:r>
          </w:p>
        </w:tc>
      </w:tr>
      <w:tr w14:paraId="141C7477">
        <w:tblPrEx>
          <w:tblCellMar>
            <w:top w:w="0" w:type="dxa"/>
            <w:left w:w="108" w:type="dxa"/>
            <w:bottom w:w="0" w:type="dxa"/>
            <w:right w:w="108" w:type="dxa"/>
          </w:tblCellMar>
        </w:tblPrEx>
        <w:trPr>
          <w:trHeight w:val="769"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北海市卫生学校</w:t>
            </w:r>
          </w:p>
        </w:tc>
      </w:tr>
      <w:tr w14:paraId="7CC00566">
        <w:tblPrEx>
          <w:tblCellMar>
            <w:top w:w="0" w:type="dxa"/>
            <w:left w:w="108" w:type="dxa"/>
            <w:bottom w:w="0" w:type="dxa"/>
            <w:right w:w="108" w:type="dxa"/>
          </w:tblCellMar>
        </w:tblPrEx>
        <w:trPr>
          <w:trHeight w:val="781"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5"/>
              <w:spacing w:line="90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202</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10</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40"/>
          <w:szCs w:val="40"/>
          <w:highlight w:val="none"/>
        </w:rPr>
      </w:pPr>
    </w:p>
    <w:p w14:paraId="66B3E53D">
      <w:pPr>
        <w:pStyle w:val="45"/>
        <w:tabs>
          <w:tab w:val="right" w:leader="dot" w:pos="9070"/>
        </w:tabs>
        <w:spacing w:line="480" w:lineRule="auto"/>
        <w:rPr>
          <w:sz w:val="24"/>
          <w:szCs w:val="32"/>
        </w:rPr>
      </w:pPr>
      <w:bookmarkStart w:id="0" w:name="_Hlt91233176"/>
      <w:bookmarkEnd w:id="0"/>
      <w:bookmarkStart w:id="1" w:name="_Toc91899869"/>
      <w:r>
        <w:rPr>
          <w:rFonts w:hint="eastAsia" w:ascii="宋体" w:hAnsi="宋体" w:eastAsia="宋体" w:cs="宋体"/>
          <w:color w:val="auto"/>
          <w:sz w:val="96"/>
          <w:szCs w:val="96"/>
          <w:highlight w:val="none"/>
        </w:rPr>
        <w:fldChar w:fldCharType="begin"/>
      </w:r>
      <w:r>
        <w:rPr>
          <w:rFonts w:hint="eastAsia" w:ascii="宋体" w:hAnsi="宋体" w:eastAsia="宋体" w:cs="宋体"/>
          <w:color w:val="auto"/>
          <w:sz w:val="96"/>
          <w:szCs w:val="96"/>
          <w:highlight w:val="none"/>
        </w:rPr>
        <w:instrText xml:space="preserve"> TOC \o "1-1" \h \z \u </w:instrText>
      </w:r>
      <w:r>
        <w:rPr>
          <w:rFonts w:hint="eastAsia" w:ascii="宋体" w:hAnsi="宋体" w:eastAsia="宋体" w:cs="宋体"/>
          <w:color w:val="auto"/>
          <w:sz w:val="96"/>
          <w:szCs w:val="96"/>
          <w:highlight w:val="none"/>
        </w:rPr>
        <w:fldChar w:fldCharType="separate"/>
      </w: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_Toc16652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22"/>
          <w:highlight w:val="none"/>
        </w:rPr>
        <w:t>第一部分  招标公告</w:t>
      </w:r>
      <w:r>
        <w:rPr>
          <w:sz w:val="24"/>
          <w:szCs w:val="32"/>
        </w:rPr>
        <w:tab/>
      </w:r>
      <w:r>
        <w:rPr>
          <w:sz w:val="24"/>
          <w:szCs w:val="32"/>
        </w:rPr>
        <w:fldChar w:fldCharType="begin"/>
      </w:r>
      <w:r>
        <w:rPr>
          <w:sz w:val="24"/>
          <w:szCs w:val="32"/>
        </w:rPr>
        <w:instrText xml:space="preserve"> PAGEREF _Toc16652 \h </w:instrText>
      </w:r>
      <w:r>
        <w:rPr>
          <w:sz w:val="24"/>
          <w:szCs w:val="32"/>
        </w:rPr>
        <w:fldChar w:fldCharType="separate"/>
      </w:r>
      <w:r>
        <w:rPr>
          <w:sz w:val="24"/>
          <w:szCs w:val="32"/>
        </w:rPr>
        <w:t>2</w:t>
      </w:r>
      <w:r>
        <w:rPr>
          <w:sz w:val="24"/>
          <w:szCs w:val="32"/>
        </w:rPr>
        <w:fldChar w:fldCharType="end"/>
      </w:r>
      <w:r>
        <w:rPr>
          <w:rFonts w:hint="eastAsia" w:ascii="宋体" w:hAnsi="宋体" w:eastAsia="宋体" w:cs="宋体"/>
          <w:color w:val="auto"/>
          <w:sz w:val="24"/>
          <w:szCs w:val="96"/>
          <w:highlight w:val="none"/>
        </w:rPr>
        <w:fldChar w:fldCharType="end"/>
      </w:r>
    </w:p>
    <w:p w14:paraId="07FA4115">
      <w:pPr>
        <w:pStyle w:val="45"/>
        <w:tabs>
          <w:tab w:val="right" w:leader="dot" w:pos="9070"/>
        </w:tabs>
        <w:spacing w:line="480" w:lineRule="auto"/>
        <w:rPr>
          <w:sz w:val="24"/>
          <w:szCs w:val="32"/>
        </w:rPr>
      </w:pP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_Toc28256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22"/>
          <w:highlight w:val="none"/>
        </w:rPr>
        <w:t>第二部分  投标人须知</w:t>
      </w:r>
      <w:r>
        <w:rPr>
          <w:sz w:val="24"/>
          <w:szCs w:val="32"/>
        </w:rPr>
        <w:tab/>
      </w:r>
      <w:r>
        <w:rPr>
          <w:sz w:val="24"/>
          <w:szCs w:val="32"/>
        </w:rPr>
        <w:fldChar w:fldCharType="begin"/>
      </w:r>
      <w:r>
        <w:rPr>
          <w:sz w:val="24"/>
          <w:szCs w:val="32"/>
        </w:rPr>
        <w:instrText xml:space="preserve"> PAGEREF _Toc28256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color w:val="auto"/>
          <w:sz w:val="24"/>
          <w:szCs w:val="96"/>
          <w:highlight w:val="none"/>
        </w:rPr>
        <w:fldChar w:fldCharType="end"/>
      </w:r>
    </w:p>
    <w:p w14:paraId="7D8F54E2">
      <w:pPr>
        <w:pStyle w:val="45"/>
        <w:tabs>
          <w:tab w:val="right" w:leader="dot" w:pos="9070"/>
        </w:tabs>
        <w:spacing w:line="480" w:lineRule="auto"/>
        <w:rPr>
          <w:sz w:val="24"/>
          <w:szCs w:val="32"/>
        </w:rPr>
      </w:pP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_Toc27592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44"/>
          <w:highlight w:val="none"/>
        </w:rPr>
        <w:t>第三部分  采购需求</w:t>
      </w:r>
      <w:r>
        <w:rPr>
          <w:sz w:val="24"/>
          <w:szCs w:val="32"/>
        </w:rPr>
        <w:tab/>
      </w:r>
      <w:r>
        <w:rPr>
          <w:sz w:val="24"/>
          <w:szCs w:val="32"/>
        </w:rPr>
        <w:fldChar w:fldCharType="begin"/>
      </w:r>
      <w:r>
        <w:rPr>
          <w:sz w:val="24"/>
          <w:szCs w:val="32"/>
        </w:rPr>
        <w:instrText xml:space="preserve"> PAGEREF _Toc27592 \h </w:instrText>
      </w:r>
      <w:r>
        <w:rPr>
          <w:sz w:val="24"/>
          <w:szCs w:val="32"/>
        </w:rPr>
        <w:fldChar w:fldCharType="separate"/>
      </w:r>
      <w:r>
        <w:rPr>
          <w:sz w:val="24"/>
          <w:szCs w:val="32"/>
        </w:rPr>
        <w:t>25</w:t>
      </w:r>
      <w:r>
        <w:rPr>
          <w:sz w:val="24"/>
          <w:szCs w:val="32"/>
        </w:rPr>
        <w:fldChar w:fldCharType="end"/>
      </w:r>
      <w:r>
        <w:rPr>
          <w:rFonts w:hint="eastAsia" w:ascii="宋体" w:hAnsi="宋体" w:eastAsia="宋体" w:cs="宋体"/>
          <w:color w:val="auto"/>
          <w:sz w:val="24"/>
          <w:szCs w:val="96"/>
          <w:highlight w:val="none"/>
        </w:rPr>
        <w:fldChar w:fldCharType="end"/>
      </w:r>
    </w:p>
    <w:p w14:paraId="70565EC9">
      <w:pPr>
        <w:pStyle w:val="45"/>
        <w:tabs>
          <w:tab w:val="right" w:leader="dot" w:pos="9070"/>
        </w:tabs>
        <w:spacing w:line="480" w:lineRule="auto"/>
        <w:rPr>
          <w:sz w:val="24"/>
          <w:szCs w:val="32"/>
        </w:rPr>
      </w:pP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_Toc23511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44"/>
          <w:highlight w:val="none"/>
        </w:rPr>
        <w:t>第四部分  评标办法</w:t>
      </w:r>
      <w:r>
        <w:rPr>
          <w:sz w:val="24"/>
          <w:szCs w:val="32"/>
        </w:rPr>
        <w:tab/>
      </w:r>
      <w:r>
        <w:rPr>
          <w:sz w:val="24"/>
          <w:szCs w:val="32"/>
        </w:rPr>
        <w:fldChar w:fldCharType="begin"/>
      </w:r>
      <w:r>
        <w:rPr>
          <w:sz w:val="24"/>
          <w:szCs w:val="32"/>
        </w:rPr>
        <w:instrText xml:space="preserve"> PAGEREF _Toc23511 \h </w:instrText>
      </w:r>
      <w:r>
        <w:rPr>
          <w:sz w:val="24"/>
          <w:szCs w:val="32"/>
        </w:rPr>
        <w:fldChar w:fldCharType="separate"/>
      </w:r>
      <w:r>
        <w:rPr>
          <w:sz w:val="24"/>
          <w:szCs w:val="32"/>
        </w:rPr>
        <w:t>39</w:t>
      </w:r>
      <w:r>
        <w:rPr>
          <w:sz w:val="24"/>
          <w:szCs w:val="32"/>
        </w:rPr>
        <w:fldChar w:fldCharType="end"/>
      </w:r>
      <w:r>
        <w:rPr>
          <w:rFonts w:hint="eastAsia" w:ascii="宋体" w:hAnsi="宋体" w:eastAsia="宋体" w:cs="宋体"/>
          <w:color w:val="auto"/>
          <w:sz w:val="24"/>
          <w:szCs w:val="96"/>
          <w:highlight w:val="none"/>
        </w:rPr>
        <w:fldChar w:fldCharType="end"/>
      </w:r>
    </w:p>
    <w:p w14:paraId="27AA9E11">
      <w:pPr>
        <w:pStyle w:val="45"/>
        <w:tabs>
          <w:tab w:val="right" w:leader="dot" w:pos="9070"/>
        </w:tabs>
        <w:spacing w:line="480" w:lineRule="auto"/>
        <w:rPr>
          <w:sz w:val="24"/>
          <w:szCs w:val="32"/>
        </w:rPr>
      </w:pP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_Toc10632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44"/>
          <w:highlight w:val="none"/>
        </w:rPr>
        <w:t>第五部分  拟签订的合同文本</w:t>
      </w:r>
      <w:r>
        <w:rPr>
          <w:sz w:val="24"/>
          <w:szCs w:val="32"/>
        </w:rPr>
        <w:tab/>
      </w:r>
      <w:r>
        <w:rPr>
          <w:sz w:val="24"/>
          <w:szCs w:val="32"/>
        </w:rPr>
        <w:fldChar w:fldCharType="begin"/>
      </w:r>
      <w:r>
        <w:rPr>
          <w:sz w:val="24"/>
          <w:szCs w:val="32"/>
        </w:rPr>
        <w:instrText xml:space="preserve"> PAGEREF _Toc10632 \h </w:instrText>
      </w:r>
      <w:r>
        <w:rPr>
          <w:sz w:val="24"/>
          <w:szCs w:val="32"/>
        </w:rPr>
        <w:fldChar w:fldCharType="separate"/>
      </w:r>
      <w:r>
        <w:rPr>
          <w:sz w:val="24"/>
          <w:szCs w:val="32"/>
        </w:rPr>
        <w:t>51</w:t>
      </w:r>
      <w:r>
        <w:rPr>
          <w:sz w:val="24"/>
          <w:szCs w:val="32"/>
        </w:rPr>
        <w:fldChar w:fldCharType="end"/>
      </w:r>
      <w:r>
        <w:rPr>
          <w:rFonts w:hint="eastAsia" w:ascii="宋体" w:hAnsi="宋体" w:eastAsia="宋体" w:cs="宋体"/>
          <w:color w:val="auto"/>
          <w:sz w:val="24"/>
          <w:szCs w:val="96"/>
          <w:highlight w:val="none"/>
        </w:rPr>
        <w:fldChar w:fldCharType="end"/>
      </w:r>
    </w:p>
    <w:p w14:paraId="43BBA774">
      <w:pPr>
        <w:pStyle w:val="45"/>
        <w:tabs>
          <w:tab w:val="right" w:leader="dot" w:pos="9070"/>
        </w:tabs>
        <w:spacing w:line="480" w:lineRule="auto"/>
        <w:rPr>
          <w:sz w:val="24"/>
          <w:szCs w:val="32"/>
        </w:rPr>
      </w:pPr>
      <w:r>
        <w:rPr>
          <w:rFonts w:hint="eastAsia" w:ascii="宋体" w:hAnsi="宋体" w:eastAsia="宋体" w:cs="宋体"/>
          <w:color w:val="auto"/>
          <w:sz w:val="24"/>
          <w:szCs w:val="96"/>
          <w:highlight w:val="none"/>
        </w:rPr>
        <w:fldChar w:fldCharType="begin"/>
      </w:r>
      <w:r>
        <w:rPr>
          <w:rFonts w:hint="eastAsia" w:ascii="宋体" w:hAnsi="宋体" w:eastAsia="宋体" w:cs="宋体"/>
          <w:sz w:val="24"/>
          <w:szCs w:val="96"/>
          <w:highlight w:val="none"/>
        </w:rPr>
        <w:instrText xml:space="preserve"> HYPERLINK \l _Toc8906 </w:instrText>
      </w:r>
      <w:r>
        <w:rPr>
          <w:rFonts w:hint="eastAsia" w:ascii="宋体" w:hAnsi="宋体" w:eastAsia="宋体" w:cs="宋体"/>
          <w:sz w:val="24"/>
          <w:szCs w:val="96"/>
          <w:highlight w:val="none"/>
        </w:rPr>
        <w:fldChar w:fldCharType="separate"/>
      </w:r>
      <w:r>
        <w:rPr>
          <w:rFonts w:hint="eastAsia" w:ascii="宋体" w:hAnsi="宋体" w:eastAsia="宋体" w:cs="宋体"/>
          <w:sz w:val="24"/>
          <w:szCs w:val="22"/>
          <w:highlight w:val="none"/>
        </w:rPr>
        <w:t>第六部分  应提交的有关格式范例</w:t>
      </w:r>
      <w:r>
        <w:rPr>
          <w:sz w:val="24"/>
          <w:szCs w:val="32"/>
        </w:rPr>
        <w:tab/>
      </w:r>
      <w:r>
        <w:rPr>
          <w:sz w:val="24"/>
          <w:szCs w:val="32"/>
        </w:rPr>
        <w:fldChar w:fldCharType="begin"/>
      </w:r>
      <w:r>
        <w:rPr>
          <w:sz w:val="24"/>
          <w:szCs w:val="32"/>
        </w:rPr>
        <w:instrText xml:space="preserve"> PAGEREF _Toc8906 \h </w:instrText>
      </w:r>
      <w:r>
        <w:rPr>
          <w:sz w:val="24"/>
          <w:szCs w:val="32"/>
        </w:rPr>
        <w:fldChar w:fldCharType="separate"/>
      </w:r>
      <w:r>
        <w:rPr>
          <w:sz w:val="24"/>
          <w:szCs w:val="32"/>
        </w:rPr>
        <w:t>68</w:t>
      </w:r>
      <w:r>
        <w:rPr>
          <w:sz w:val="24"/>
          <w:szCs w:val="32"/>
        </w:rPr>
        <w:fldChar w:fldCharType="end"/>
      </w:r>
      <w:r>
        <w:rPr>
          <w:rFonts w:hint="eastAsia" w:ascii="宋体" w:hAnsi="宋体" w:eastAsia="宋体" w:cs="宋体"/>
          <w:color w:val="auto"/>
          <w:sz w:val="24"/>
          <w:szCs w:val="96"/>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24"/>
          <w:szCs w:val="96"/>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p w14:paraId="2486F5A5">
      <w:pPr>
        <w:spacing w:line="360" w:lineRule="auto"/>
        <w:ind w:firstLine="549" w:firstLineChars="229"/>
        <w:rPr>
          <w:rFonts w:hint="eastAsia" w:ascii="宋体" w:hAnsi="宋体" w:eastAsia="宋体" w:cs="宋体"/>
          <w:color w:val="auto"/>
          <w:sz w:val="24"/>
          <w:highlight w:val="none"/>
        </w:rPr>
      </w:pPr>
    </w:p>
    <w:p w14:paraId="175C28B3">
      <w:pPr>
        <w:spacing w:line="360" w:lineRule="auto"/>
        <w:ind w:firstLine="549" w:firstLineChars="229"/>
        <w:rPr>
          <w:rFonts w:hint="eastAsia" w:ascii="宋体" w:hAnsi="宋体" w:eastAsia="宋体" w:cs="宋体"/>
          <w:color w:val="auto"/>
          <w:sz w:val="24"/>
          <w:highlight w:val="none"/>
        </w:rPr>
      </w:pPr>
    </w:p>
    <w:p w14:paraId="3BEBFF28">
      <w:pPr>
        <w:spacing w:line="360" w:lineRule="auto"/>
        <w:rPr>
          <w:rFonts w:hint="eastAsia" w:ascii="宋体" w:hAnsi="宋体" w:eastAsia="宋体" w:cs="宋体"/>
          <w:color w:val="auto"/>
          <w:sz w:val="24"/>
          <w:highlight w:val="none"/>
        </w:rPr>
      </w:pPr>
    </w:p>
    <w:bookmarkEnd w:id="1"/>
    <w:p w14:paraId="309D736A">
      <w:pPr>
        <w:rPr>
          <w:rFonts w:hint="eastAsia" w:ascii="宋体" w:hAnsi="宋体" w:eastAsia="宋体" w:cs="宋体"/>
          <w:b/>
          <w:color w:val="auto"/>
          <w:sz w:val="36"/>
          <w:szCs w:val="20"/>
          <w:highlight w:val="none"/>
        </w:rPr>
      </w:pPr>
      <w:bookmarkStart w:id="2" w:name="_Hlt74707423"/>
      <w:bookmarkEnd w:id="2"/>
      <w:bookmarkStart w:id="3" w:name="_Hlt74729822"/>
      <w:bookmarkEnd w:id="3"/>
      <w:bookmarkStart w:id="4" w:name="_Hlt74649545"/>
      <w:bookmarkEnd w:id="4"/>
      <w:bookmarkStart w:id="5" w:name="_Hlt74728647"/>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16652"/>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北海市卫生学校优质中职学校和优质中职专业建设（建设急救教育基地1）</w:t>
      </w:r>
      <w:r>
        <w:rPr>
          <w:rFonts w:hint="eastAsia" w:ascii="宋体" w:hAnsi="宋体" w:eastAsia="宋体" w:cs="宋体"/>
          <w:color w:val="auto"/>
          <w:sz w:val="21"/>
          <w:szCs w:val="21"/>
          <w:highlight w:val="none"/>
        </w:rPr>
        <w:t>招标项目的潜在投标人应在广西政府采购云平台（https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//www.gcy.zfcg.gxzf.gov.cn/）获取（下载）招标文件，并于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BHZC2025-G1-990267-GXKL</w:t>
      </w:r>
    </w:p>
    <w:p w14:paraId="6340D530">
      <w:pPr>
        <w:spacing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eastAsia="zh-CN"/>
        </w:rPr>
        <w:t>BHZC2025-C1-01479-001、BHZC2025-C1-01479-002、BHZC2025-C1-01479-003</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北海市卫生学校优质中职学校和优质中职专业建设（建设急救教育基地1）</w:t>
      </w:r>
    </w:p>
    <w:p w14:paraId="3B70719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eastAsia="宋体" w:cs="宋体"/>
          <w:b w:val="0"/>
          <w:bCs w:val="0"/>
          <w:color w:val="auto"/>
          <w:highlight w:val="none"/>
          <w:lang w:val="en-US" w:eastAsia="zh-CN"/>
        </w:rPr>
        <w:t>1分标：人民币</w:t>
      </w:r>
      <w:r>
        <w:rPr>
          <w:rFonts w:hint="eastAsia" w:ascii="宋体" w:hAnsi="宋体" w:cs="宋体"/>
          <w:b w:val="0"/>
          <w:bCs w:val="0"/>
          <w:color w:val="auto"/>
          <w:highlight w:val="none"/>
          <w:lang w:val="en-US" w:eastAsia="zh-CN"/>
        </w:rPr>
        <w:t>30.28</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分标：人民币</w:t>
      </w:r>
      <w:r>
        <w:rPr>
          <w:rFonts w:hint="eastAsia" w:ascii="宋体" w:hAnsi="宋体" w:cs="宋体"/>
          <w:b w:val="0"/>
          <w:bCs w:val="0"/>
          <w:color w:val="auto"/>
          <w:highlight w:val="none"/>
          <w:lang w:val="en-US" w:eastAsia="zh-CN"/>
        </w:rPr>
        <w:t>6.56</w:t>
      </w:r>
      <w:r>
        <w:rPr>
          <w:rFonts w:hint="eastAsia" w:ascii="宋体" w:hAnsi="宋体" w:eastAsia="宋体" w:cs="宋体"/>
          <w:b w:val="0"/>
          <w:bCs w:val="0"/>
          <w:color w:val="auto"/>
          <w:highlight w:val="none"/>
          <w:lang w:val="en-US" w:eastAsia="zh-CN"/>
        </w:rPr>
        <w:t>万元。</w:t>
      </w:r>
    </w:p>
    <w:p w14:paraId="4B117B3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eastAsia="宋体" w:cs="宋体"/>
          <w:b w:val="0"/>
          <w:bCs w:val="0"/>
          <w:color w:val="auto"/>
          <w:highlight w:val="none"/>
          <w:lang w:val="en-US" w:eastAsia="zh-CN"/>
        </w:rPr>
        <w:t>1分标：人民币</w:t>
      </w:r>
      <w:r>
        <w:rPr>
          <w:rFonts w:hint="eastAsia" w:ascii="宋体" w:hAnsi="宋体" w:cs="宋体"/>
          <w:b w:val="0"/>
          <w:bCs w:val="0"/>
          <w:color w:val="auto"/>
          <w:highlight w:val="none"/>
          <w:lang w:val="en-US" w:eastAsia="zh-CN"/>
        </w:rPr>
        <w:t>30.28</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分标：人民币</w:t>
      </w:r>
      <w:r>
        <w:rPr>
          <w:rFonts w:hint="eastAsia" w:ascii="宋体" w:hAnsi="宋体" w:cs="宋体"/>
          <w:b w:val="0"/>
          <w:bCs w:val="0"/>
          <w:color w:val="auto"/>
          <w:highlight w:val="none"/>
          <w:lang w:val="en-US" w:eastAsia="zh-CN"/>
        </w:rPr>
        <w:t>6.56</w:t>
      </w:r>
      <w:r>
        <w:rPr>
          <w:rFonts w:hint="eastAsia" w:ascii="宋体" w:hAnsi="宋体" w:eastAsia="宋体" w:cs="宋体"/>
          <w:b w:val="0"/>
          <w:bCs w:val="0"/>
          <w:color w:val="auto"/>
          <w:highlight w:val="none"/>
          <w:lang w:val="en-US" w:eastAsia="zh-CN"/>
        </w:rPr>
        <w:t>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分标</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40" w:type="dxa"/>
            <w:noWrap w:val="0"/>
            <w:vAlign w:val="center"/>
          </w:tcPr>
          <w:p w14:paraId="3948E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AED培训机等一批</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kern w:val="0"/>
                <w:sz w:val="21"/>
                <w:szCs w:val="21"/>
                <w:highlight w:val="none"/>
                <w:lang w:val="en-US" w:eastAsia="zh-CN" w:bidi="ar"/>
              </w:rPr>
              <w:t>师资队伍建设服务</w:t>
            </w:r>
            <w:r>
              <w:rPr>
                <w:rFonts w:hint="eastAsia" w:ascii="宋体" w:hAnsi="宋体" w:eastAsia="宋体" w:cs="宋体"/>
                <w:color w:val="auto"/>
                <w:sz w:val="21"/>
                <w:szCs w:val="21"/>
                <w:highlight w:val="none"/>
                <w:lang w:val="en-US" w:eastAsia="zh-CN"/>
              </w:rPr>
              <w:t>采购</w:t>
            </w:r>
          </w:p>
        </w:tc>
        <w:tc>
          <w:tcPr>
            <w:tcW w:w="1360" w:type="dxa"/>
            <w:noWrap w:val="0"/>
            <w:vAlign w:val="center"/>
          </w:tcPr>
          <w:p w14:paraId="47952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AED培训机等一批</w:t>
            </w:r>
            <w:r>
              <w:rPr>
                <w:rFonts w:hint="eastAsia" w:ascii="宋体" w:hAnsi="宋体" w:cs="宋体"/>
                <w:color w:val="auto"/>
                <w:sz w:val="21"/>
                <w:szCs w:val="21"/>
                <w:highlight w:val="none"/>
                <w:lang w:val="en-US" w:eastAsia="zh-CN"/>
              </w:rPr>
              <w:t>设备及</w:t>
            </w:r>
            <w:r>
              <w:rPr>
                <w:rFonts w:hint="eastAsia" w:ascii="宋体" w:hAnsi="宋体" w:eastAsia="宋体" w:cs="宋体"/>
                <w:color w:val="auto"/>
                <w:kern w:val="0"/>
                <w:sz w:val="21"/>
                <w:szCs w:val="21"/>
                <w:highlight w:val="none"/>
                <w:lang w:val="en-US" w:eastAsia="zh-CN" w:bidi="ar"/>
              </w:rPr>
              <w:t>师资队伍建设服务</w:t>
            </w:r>
            <w:r>
              <w:rPr>
                <w:rFonts w:hint="eastAsia" w:ascii="宋体" w:hAnsi="宋体" w:eastAsia="宋体" w:cs="宋体"/>
                <w:color w:val="auto"/>
                <w:sz w:val="21"/>
                <w:szCs w:val="21"/>
                <w:highlight w:val="none"/>
                <w:lang w:val="en-US" w:eastAsia="zh-CN"/>
              </w:rPr>
              <w:t>采购，如需进一步了解详细内容，详见采购项目需求。</w:t>
            </w:r>
            <w:r>
              <w:rPr>
                <w:rFonts w:hint="eastAsia" w:ascii="宋体" w:hAnsi="宋体" w:eastAsia="宋体" w:cs="宋体"/>
                <w:color w:val="auto"/>
                <w:sz w:val="21"/>
                <w:szCs w:val="21"/>
                <w:highlight w:val="none"/>
              </w:rPr>
              <w:t xml:space="preserve"> </w:t>
            </w:r>
          </w:p>
        </w:tc>
      </w:tr>
      <w:tr w14:paraId="52DF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0969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40" w:type="dxa"/>
            <w:noWrap w:val="0"/>
            <w:vAlign w:val="center"/>
          </w:tcPr>
          <w:p w14:paraId="63D32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急救精品课程服务等一批服务采购</w:t>
            </w:r>
          </w:p>
        </w:tc>
        <w:tc>
          <w:tcPr>
            <w:tcW w:w="1360" w:type="dxa"/>
            <w:noWrap w:val="0"/>
            <w:vAlign w:val="center"/>
          </w:tcPr>
          <w:p w14:paraId="23C31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批</w:t>
            </w:r>
          </w:p>
        </w:tc>
        <w:tc>
          <w:tcPr>
            <w:tcW w:w="4934" w:type="dxa"/>
            <w:noWrap w:val="0"/>
            <w:vAlign w:val="center"/>
          </w:tcPr>
          <w:p w14:paraId="3E5871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Cs w:val="21"/>
                <w:highlight w:val="none"/>
                <w:lang w:val="en-US" w:eastAsia="zh-CN"/>
              </w:rPr>
              <w:t>急救精品课程服务等一批服务采购</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如需进一步了解详细内容，详见公告附件项目采购需求。</w:t>
            </w:r>
          </w:p>
        </w:tc>
      </w:tr>
    </w:tbl>
    <w:p w14:paraId="6E6E3671">
      <w:pPr>
        <w:pStyle w:val="131"/>
        <w:spacing w:before="0"/>
        <w:ind w:firstLine="480"/>
        <w:rPr>
          <w:rFonts w:hint="eastAsia" w:ascii="宋体" w:hAnsi="宋体" w:cs="宋体"/>
          <w:bCs/>
          <w:snapToGrid/>
          <w:color w:val="auto"/>
          <w:kern w:val="2"/>
          <w:sz w:val="21"/>
          <w:szCs w:val="21"/>
          <w:highlight w:val="none"/>
          <w:lang w:val="en-US" w:eastAsia="zh-CN"/>
        </w:rPr>
      </w:pPr>
      <w:r>
        <w:rPr>
          <w:rFonts w:hint="eastAsia" w:ascii="宋体" w:hAnsi="宋体" w:eastAsia="宋体" w:cs="宋体"/>
          <w:color w:val="auto"/>
          <w:sz w:val="21"/>
          <w:szCs w:val="21"/>
          <w:highlight w:val="none"/>
        </w:rPr>
        <w:t>合同履约期限：</w:t>
      </w:r>
      <w:r>
        <w:rPr>
          <w:rFonts w:hint="eastAsia" w:ascii="宋体" w:hAnsi="宋体" w:eastAsia="宋体" w:cs="宋体"/>
          <w:bCs/>
          <w:snapToGrid/>
          <w:color w:val="auto"/>
          <w:kern w:val="2"/>
          <w:sz w:val="21"/>
          <w:szCs w:val="21"/>
          <w:highlight w:val="none"/>
          <w:lang w:val="en-US" w:eastAsia="zh-CN"/>
        </w:rPr>
        <w:t>1</w:t>
      </w:r>
      <w:r>
        <w:rPr>
          <w:rFonts w:hint="eastAsia" w:ascii="宋体" w:hAnsi="宋体" w:cs="宋体"/>
          <w:bCs/>
          <w:snapToGrid/>
          <w:color w:val="auto"/>
          <w:kern w:val="2"/>
          <w:sz w:val="21"/>
          <w:szCs w:val="21"/>
          <w:highlight w:val="none"/>
          <w:lang w:val="en-US" w:eastAsia="zh-CN"/>
        </w:rPr>
        <w:t>分标:</w:t>
      </w:r>
      <w:r>
        <w:rPr>
          <w:rFonts w:hint="eastAsia" w:ascii="宋体" w:hAnsi="宋体" w:eastAsia="宋体" w:cs="宋体"/>
          <w:color w:val="auto"/>
          <w:kern w:val="2"/>
          <w:sz w:val="21"/>
          <w:szCs w:val="21"/>
          <w:highlight w:val="none"/>
          <w:u w:val="none"/>
          <w:lang w:val="en-US" w:eastAsia="zh-CN" w:bidi="ar-SA"/>
        </w:rPr>
        <w:t>自签订合同之日起</w:t>
      </w:r>
      <w:r>
        <w:rPr>
          <w:rFonts w:hint="eastAsia" w:ascii="宋体" w:hAnsi="宋体" w:cs="宋体"/>
          <w:color w:val="auto"/>
          <w:kern w:val="2"/>
          <w:sz w:val="21"/>
          <w:szCs w:val="21"/>
          <w:highlight w:val="none"/>
          <w:u w:val="none"/>
          <w:lang w:val="en-US" w:eastAsia="zh-CN" w:bidi="ar-SA"/>
        </w:rPr>
        <w:t>30</w:t>
      </w:r>
      <w:r>
        <w:rPr>
          <w:rFonts w:hint="eastAsia" w:ascii="宋体" w:hAnsi="宋体" w:eastAsia="宋体" w:cs="宋体"/>
          <w:color w:val="auto"/>
          <w:kern w:val="2"/>
          <w:sz w:val="21"/>
          <w:szCs w:val="21"/>
          <w:highlight w:val="none"/>
          <w:u w:val="none"/>
          <w:lang w:val="en-US" w:eastAsia="zh-CN" w:bidi="ar-SA"/>
        </w:rPr>
        <w:t>天内安装调试并交付使用。</w:t>
      </w:r>
    </w:p>
    <w:p w14:paraId="6D0E11D3">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bCs/>
          <w:snapToGrid/>
          <w:color w:val="auto"/>
          <w:kern w:val="2"/>
          <w:sz w:val="21"/>
          <w:szCs w:val="21"/>
          <w:highlight w:val="none"/>
          <w:lang w:val="en-US" w:eastAsia="zh-CN"/>
        </w:rPr>
        <w:t>2分标</w:t>
      </w:r>
      <w:r>
        <w:rPr>
          <w:rFonts w:hint="eastAsia" w:ascii="宋体" w:hAnsi="宋体" w:cs="宋体"/>
          <w:bCs/>
          <w:snapToGrid/>
          <w:color w:val="auto"/>
          <w:kern w:val="2"/>
          <w:sz w:val="21"/>
          <w:szCs w:val="21"/>
          <w:highlight w:val="none"/>
          <w:lang w:val="en-US" w:eastAsia="zh-CN"/>
        </w:rPr>
        <w:t>:</w:t>
      </w:r>
      <w:r>
        <w:rPr>
          <w:rFonts w:hint="eastAsia" w:ascii="宋体" w:hAnsi="宋体" w:eastAsia="宋体" w:cs="宋体"/>
          <w:color w:val="auto"/>
          <w:kern w:val="2"/>
          <w:sz w:val="21"/>
          <w:szCs w:val="21"/>
          <w:highlight w:val="none"/>
          <w:u w:val="none"/>
          <w:lang w:val="en-US" w:eastAsia="zh-CN" w:bidi="ar-SA"/>
        </w:rPr>
        <w:t>签订合同后90个日历日内。</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cs="宋体"/>
          <w:snapToGrid w:val="0"/>
          <w:color w:val="auto"/>
          <w:kern w:val="28"/>
          <w:sz w:val="21"/>
          <w:szCs w:val="21"/>
          <w:highlight w:val="none"/>
          <w:lang w:val="en-US" w:eastAsia="zh-CN"/>
        </w:rPr>
        <w:t>1分标：</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为中小企业或残疾人福利性单位或监狱企业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2分标：</w:t>
      </w:r>
      <w:r>
        <w:rPr>
          <w:rFonts w:hint="eastAsia" w:ascii="宋体" w:hAnsi="宋体" w:eastAsia="宋体" w:cs="宋体"/>
          <w:color w:val="auto"/>
          <w:sz w:val="21"/>
          <w:szCs w:val="21"/>
          <w:highlight w:val="none"/>
        </w:rPr>
        <w:t>供应商为</w:t>
      </w:r>
      <w:r>
        <w:rPr>
          <w:rFonts w:hint="eastAsia" w:ascii="宋体" w:hAnsi="宋体" w:eastAsia="宋体" w:cs="宋体"/>
          <w:color w:val="auto"/>
          <w:sz w:val="21"/>
          <w:szCs w:val="21"/>
          <w:highlight w:val="none"/>
          <w:lang w:val="en-US" w:eastAsia="zh-CN"/>
        </w:rPr>
        <w:t>小微</w:t>
      </w:r>
      <w:r>
        <w:rPr>
          <w:rFonts w:hint="eastAsia" w:ascii="宋体" w:hAnsi="宋体" w:eastAsia="宋体" w:cs="宋体"/>
          <w:color w:val="auto"/>
          <w:sz w:val="21"/>
          <w:szCs w:val="21"/>
          <w:highlight w:val="none"/>
        </w:rPr>
        <w:t>企业或残疾人福利性单位或监狱企业；</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求：1分标</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投标人</w:t>
      </w:r>
      <w:r>
        <w:rPr>
          <w:rFonts w:hint="eastAsia" w:ascii="宋体" w:hAnsi="宋体" w:cs="宋体"/>
          <w:color w:val="auto"/>
          <w:sz w:val="21"/>
          <w:szCs w:val="21"/>
          <w:highlight w:val="none"/>
          <w:lang w:val="en-US" w:eastAsia="zh-CN"/>
        </w:rPr>
        <w:t>为经销商的</w:t>
      </w:r>
      <w:r>
        <w:rPr>
          <w:rFonts w:hint="eastAsia" w:ascii="宋体" w:hAnsi="宋体" w:eastAsia="宋体" w:cs="宋体"/>
          <w:color w:val="auto"/>
          <w:sz w:val="21"/>
          <w:szCs w:val="21"/>
          <w:highlight w:val="none"/>
          <w:lang w:val="en-US" w:eastAsia="zh-CN"/>
        </w:rPr>
        <w:t>按《医疗器械监督管理条例》（国务院令第739号）医疗器械分类管理要求具备医疗器械经营许可证，且</w:t>
      </w:r>
      <w:r>
        <w:rPr>
          <w:rFonts w:hint="eastAsia" w:ascii="宋体" w:hAnsi="宋体" w:cs="宋体"/>
          <w:color w:val="auto"/>
          <w:sz w:val="21"/>
          <w:szCs w:val="21"/>
          <w:highlight w:val="none"/>
          <w:lang w:val="en-US" w:eastAsia="zh-CN"/>
        </w:rPr>
        <w:t>行政许可证上的</w:t>
      </w:r>
      <w:r>
        <w:rPr>
          <w:rFonts w:hint="eastAsia" w:ascii="宋体" w:hAnsi="宋体" w:eastAsia="宋体" w:cs="宋体"/>
          <w:color w:val="auto"/>
          <w:sz w:val="21"/>
          <w:szCs w:val="21"/>
          <w:highlight w:val="none"/>
          <w:lang w:val="en-US" w:eastAsia="zh-CN"/>
        </w:rPr>
        <w:t>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投标人为生产厂家的</w:t>
      </w:r>
      <w:r>
        <w:rPr>
          <w:rFonts w:hint="eastAsia" w:ascii="宋体" w:hAnsi="宋体" w:eastAsia="宋体" w:cs="宋体"/>
          <w:color w:val="auto"/>
          <w:sz w:val="21"/>
          <w:szCs w:val="21"/>
          <w:highlight w:val="none"/>
          <w:lang w:val="en-US" w:eastAsia="zh-CN"/>
        </w:rPr>
        <w:t>具有满足《医疗器械监督管理条例》</w:t>
      </w:r>
      <w:r>
        <w:rPr>
          <w:rFonts w:hint="eastAsia" w:ascii="宋体" w:hAnsi="宋体" w:cs="宋体"/>
          <w:color w:val="auto"/>
          <w:sz w:val="21"/>
          <w:szCs w:val="21"/>
          <w:highlight w:val="none"/>
          <w:lang w:val="en-US" w:eastAsia="zh-CN"/>
        </w:rPr>
        <w:t>要求的医疗器械生产许可证；2分标：无</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5.本项目通过广西政府采购云平台实行在线投标响应（电子投标），为确保网上操作合法、有效和安全，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28359096"/>
      <w:bookmarkStart w:id="13" w:name="_Toc35393637"/>
      <w:bookmarkStart w:id="14" w:name="_Toc35393806"/>
      <w:bookmarkStart w:id="15" w:name="_Toc2074"/>
      <w:bookmarkStart w:id="16" w:name="_Toc28359019"/>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bookmarkStart w:id="17" w:name="_Toc35393808"/>
      <w:bookmarkStart w:id="18" w:name="_Toc35393639"/>
      <w:bookmarkStart w:id="19" w:name="_Toc3367"/>
      <w:bookmarkStart w:id="20" w:name="_Toc28359098"/>
      <w:bookmarkStart w:id="21" w:name="_Toc28359021"/>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北海市卫生学校</w:t>
      </w:r>
      <w:r>
        <w:rPr>
          <w:rFonts w:hint="eastAsia" w:ascii="宋体" w:hAnsi="宋体" w:eastAsia="宋体" w:cs="宋体"/>
          <w:color w:val="auto"/>
          <w:szCs w:val="21"/>
          <w:highlight w:val="none"/>
        </w:rPr>
        <w:t xml:space="preserve"> </w:t>
      </w:r>
    </w:p>
    <w:p w14:paraId="0F897D02">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地址：北海市银海区银滩大道99号</w:t>
      </w:r>
    </w:p>
    <w:p w14:paraId="0D435548">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联系方式：</w:t>
      </w:r>
      <w:r>
        <w:rPr>
          <w:rFonts w:hint="eastAsia"/>
          <w:color w:val="auto"/>
          <w:highlight w:val="none"/>
          <w:lang w:val="en-US" w:eastAsia="zh-CN"/>
        </w:rPr>
        <w:t>何老师  0779-3931010</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5"/>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2C64E4AA">
      <w:pPr>
        <w:pStyle w:val="85"/>
        <w:ind w:left="0" w:leftChars="0" w:firstLine="0" w:firstLineChars="0"/>
        <w:jc w:val="center"/>
        <w:outlineLvl w:val="0"/>
        <w:rPr>
          <w:rFonts w:hint="eastAsia" w:ascii="宋体" w:hAnsi="宋体" w:eastAsia="宋体" w:cs="宋体"/>
          <w:b/>
          <w:color w:val="auto"/>
          <w:sz w:val="36"/>
          <w:szCs w:val="20"/>
          <w:highlight w:val="none"/>
        </w:rPr>
      </w:pPr>
      <w:bookmarkStart w:id="22" w:name="_Toc176185120"/>
      <w:bookmarkStart w:id="23" w:name="_Toc28256"/>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06"/>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6D8D4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306"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D0425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04CC6AC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属性：</w:t>
            </w:r>
            <w:r>
              <w:rPr>
                <w:rFonts w:hint="eastAsia" w:ascii="宋体" w:hAnsi="宋体" w:eastAsia="宋体" w:cs="宋体"/>
                <w:color w:val="auto"/>
                <w:sz w:val="21"/>
                <w:szCs w:val="21"/>
                <w:highlight w:val="none"/>
              </w:rPr>
              <w:t>货物类</w:t>
            </w:r>
          </w:p>
          <w:p w14:paraId="6D824860">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自动体外除颤仪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D0F05F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2分标：</w:t>
            </w:r>
            <w:r>
              <w:rPr>
                <w:rFonts w:hint="eastAsia" w:ascii="宋体" w:hAnsi="宋体" w:eastAsia="宋体" w:cs="宋体"/>
                <w:color w:val="auto"/>
                <w:kern w:val="0"/>
                <w:sz w:val="21"/>
                <w:szCs w:val="21"/>
                <w:highlight w:val="none"/>
              </w:rPr>
              <w:t>核心产品为：</w:t>
            </w:r>
            <w:r>
              <w:rPr>
                <w:rFonts w:hint="eastAsia" w:ascii="宋体" w:hAnsi="宋体" w:eastAsia="宋体" w:cs="宋体"/>
                <w:color w:val="auto"/>
                <w:sz w:val="21"/>
                <w:szCs w:val="21"/>
                <w:highlight w:val="none"/>
                <w:u w:val="single"/>
              </w:rPr>
              <w:t xml:space="preserve"> 急救精品课程服务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C584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306" w:type="dxa"/>
            <w:tcBorders>
              <w:top w:val="single" w:color="000000" w:sz="8" w:space="0"/>
              <w:left w:val="single" w:color="000000" w:sz="2" w:space="0"/>
              <w:bottom w:val="single" w:color="000000" w:sz="8" w:space="0"/>
              <w:right w:val="single" w:color="000000" w:sz="8" w:space="0"/>
            </w:tcBorders>
            <w:vAlign w:val="center"/>
          </w:tcPr>
          <w:p w14:paraId="2DFE438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1分标：</w:t>
            </w: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AED培训机等一批设备及师资队伍建设服务等采购</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3AF56932">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b/>
                <w:bCs/>
                <w:color w:val="auto"/>
                <w:kern w:val="0"/>
                <w:sz w:val="21"/>
                <w:szCs w:val="21"/>
                <w:highlight w:val="none"/>
                <w:lang w:val="en-US" w:eastAsia="zh-CN"/>
              </w:rPr>
              <w:t>2分标：</w:t>
            </w: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急救精品课程服务等一批服务采购</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其他未列明行业*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0B9F1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366D864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7759C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允许偏离的条款数量</w:t>
            </w:r>
          </w:p>
        </w:tc>
        <w:tc>
          <w:tcPr>
            <w:tcW w:w="6306" w:type="dxa"/>
            <w:tcBorders>
              <w:top w:val="single" w:color="000000" w:sz="8" w:space="0"/>
              <w:left w:val="single" w:color="000000" w:sz="2" w:space="0"/>
              <w:bottom w:val="single" w:color="000000" w:sz="8" w:space="0"/>
              <w:right w:val="single" w:color="000000" w:sz="8" w:space="0"/>
            </w:tcBorders>
            <w:vAlign w:val="center"/>
          </w:tcPr>
          <w:p w14:paraId="13B0CC0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30B04F5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技术条款评审中允许负偏离的条款数为</w:t>
            </w:r>
            <w:r>
              <w:rPr>
                <w:rFonts w:hint="eastAsia" w:ascii="宋体" w:hAnsi="宋体" w:cs="宋体"/>
                <w:color w:val="auto"/>
                <w:szCs w:val="21"/>
                <w:highlight w:val="none"/>
                <w:lang w:val="en-US" w:eastAsia="zh-CN"/>
              </w:rPr>
              <w:t>1分标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2分标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9E7E1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306"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107D189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1784820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C97FBB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306"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50C45DD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F3C0A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306"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不要求提供。</w:t>
            </w:r>
          </w:p>
          <w:p w14:paraId="6FA5047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要求提供，</w:t>
            </w:r>
          </w:p>
          <w:p w14:paraId="1ACB6D51">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2E1CD8">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4A45AE3">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009438A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591A412">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44510D59">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C100F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306"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287DAB2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p>
          <w:p w14:paraId="7894AD0D">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57AE5F4A">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54B1C971">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14261532">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216AC5DE">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right w:val="single" w:color="auto" w:sz="4" w:space="0"/>
            </w:tcBorders>
            <w:vAlign w:val="center"/>
          </w:tcPr>
          <w:p w14:paraId="466557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43" w:type="dxa"/>
            <w:vMerge w:val="restart"/>
            <w:tcBorders>
              <w:top w:val="single" w:color="000000" w:sz="8" w:space="0"/>
              <w:left w:val="single" w:color="auto" w:sz="4" w:space="0"/>
              <w:right w:val="single" w:color="000000" w:sz="8" w:space="0"/>
            </w:tcBorders>
            <w:vAlign w:val="center"/>
          </w:tcPr>
          <w:p w14:paraId="59DC4AD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306"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A0BBB7F">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continue"/>
            <w:tcBorders>
              <w:left w:val="single" w:color="auto" w:sz="4" w:space="0"/>
              <w:bottom w:val="single" w:color="auto" w:sz="4" w:space="0"/>
              <w:right w:val="single" w:color="auto" w:sz="4" w:space="0"/>
            </w:tcBorders>
            <w:vAlign w:val="center"/>
          </w:tcPr>
          <w:p w14:paraId="5F164C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2B52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306"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6B382D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3EDCCC1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0ECA81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p>
          <w:p w14:paraId="614D372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color w:val="auto"/>
                <w:sz w:val="21"/>
                <w:szCs w:val="21"/>
                <w:highlight w:val="none"/>
              </w:rPr>
              <w:t>;</w:t>
            </w:r>
          </w:p>
          <w:p w14:paraId="029523CF">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right w:val="single" w:color="000000" w:sz="2" w:space="0"/>
            </w:tcBorders>
            <w:vAlign w:val="center"/>
          </w:tcPr>
          <w:p w14:paraId="1B305C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p>
        </w:tc>
        <w:tc>
          <w:tcPr>
            <w:tcW w:w="1843" w:type="dxa"/>
            <w:tcBorders>
              <w:top w:val="single" w:color="000000" w:sz="8" w:space="0"/>
              <w:left w:val="single" w:color="000000" w:sz="2" w:space="0"/>
              <w:right w:val="single" w:color="000000" w:sz="8" w:space="0"/>
            </w:tcBorders>
            <w:vAlign w:val="center"/>
          </w:tcPr>
          <w:p w14:paraId="3126FB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306" w:type="dxa"/>
            <w:tcBorders>
              <w:top w:val="single" w:color="000000" w:sz="8" w:space="0"/>
              <w:left w:val="single" w:color="000000" w:sz="2" w:space="0"/>
              <w:right w:val="single" w:color="000000" w:sz="8" w:space="0"/>
            </w:tcBorders>
            <w:vAlign w:val="center"/>
          </w:tcPr>
          <w:p w14:paraId="4FB3654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18E49C3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中标后也可在“广西政府采购云”平台申请政采贷：操作路径：登录广西政府采购云平台-金融服务中心-【融资服务】，可在热门申请中选择产品直接申请。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843"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6306"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不接受。</w:t>
            </w:r>
          </w:p>
          <w:p w14:paraId="0785DAD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306" w:type="dxa"/>
            <w:tcBorders>
              <w:top w:val="single" w:color="auto" w:sz="4" w:space="0"/>
              <w:left w:val="single" w:color="auto" w:sz="4" w:space="0"/>
              <w:bottom w:val="single" w:color="auto" w:sz="4" w:space="0"/>
              <w:right w:val="single" w:color="auto" w:sz="4" w:space="0"/>
            </w:tcBorders>
            <w:vAlign w:val="center"/>
          </w:tcPr>
          <w:p w14:paraId="33240D0D">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auto" w:sz="4" w:space="0"/>
              <w:bottom w:val="single" w:color="auto" w:sz="4" w:space="0"/>
              <w:right w:val="single" w:color="auto" w:sz="4" w:space="0"/>
            </w:tcBorders>
            <w:vAlign w:val="center"/>
          </w:tcPr>
          <w:p w14:paraId="463A232E">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5507E58B">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4266B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6E8A4B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306" w:type="dxa"/>
            <w:tcBorders>
              <w:top w:val="single" w:color="auto" w:sz="4" w:space="0"/>
              <w:left w:val="single" w:color="auto" w:sz="4" w:space="0"/>
              <w:bottom w:val="single" w:color="auto" w:sz="4" w:space="0"/>
              <w:right w:val="single" w:color="auto" w:sz="4" w:space="0"/>
            </w:tcBorders>
            <w:vAlign w:val="center"/>
          </w:tcPr>
          <w:p w14:paraId="123D2C37">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本招标文件解释权属采购人及代理机构。</w:t>
            </w:r>
          </w:p>
        </w:tc>
      </w:tr>
    </w:tbl>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第三部分"/>
      <w:bookmarkStart w:id="25" w:name="_Toc164416483"/>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本招标文件适用于该项目的招标、投标、开标、资格审查及信用信息查询、评标、定标、合同、验收等行为（法律、法规另有规定的，从其规定）。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5"/>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5"/>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5"/>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5"/>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5"/>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5"/>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5"/>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5"/>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5"/>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提出质疑应当提交质疑函和必要的证明材料。质疑函应当包括下列内容：</w:t>
      </w:r>
    </w:p>
    <w:p w14:paraId="155B2F7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5"/>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4.3.6根据采购人与采购代理机构签订的采购委托协议，质疑答复责任主体如下：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采购人或代理机构应当协助质疑答复责任主体及时答复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的书面质疑。</w:t>
      </w:r>
    </w:p>
    <w:p w14:paraId="11D7B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.7询问或者质疑事项可能影响采购结果的，采购人应当暂停签订合同，已经签订合同的，应当中止履行合同。</w:t>
      </w:r>
    </w:p>
    <w:p w14:paraId="3007072D">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4.4投标人投诉</w:t>
      </w:r>
    </w:p>
    <w:p w14:paraId="7EB376B1">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对采购人、采购代理机构的答复不满意或者采购人、采购代理机构未在规定的时间内作出答复的，可以在答复期满后十五个工作日内向同级政府采购监督管理部门提出投诉。</w:t>
      </w:r>
    </w:p>
    <w:p w14:paraId="3786A25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投诉的事项不得超出已质疑事项的范围，基于质疑答复内容提出的投诉事项除外。</w:t>
      </w:r>
    </w:p>
    <w:p w14:paraId="71942C58">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投诉应当有明确的请求和必要的证明材料。</w:t>
      </w:r>
    </w:p>
    <w:p w14:paraId="68A981F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 以联合体形式参加政府采购活动的，其投诉应当由组成联合体的所有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5．招标文件的构成</w:t>
      </w:r>
    </w:p>
    <w:p w14:paraId="5D403934">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5"/>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5"/>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5"/>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个月依法缴纳税费或依法免缴税费的证明【从取得营业执照时间起到投标文件提交截止时间为止不足要求月数的只需提供从取得营业执照起的依法缴纳税收的相应证明文件】）；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▲（9）特定资质：</w:t>
      </w:r>
      <w:r>
        <w:rPr>
          <w:rFonts w:hint="eastAsia" w:ascii="宋体" w:hAnsi="宋体" w:eastAsia="宋体" w:cs="宋体"/>
          <w:color w:val="auto"/>
          <w:sz w:val="21"/>
          <w:szCs w:val="21"/>
          <w:highlight w:val="none"/>
          <w:lang w:val="en-US" w:eastAsia="zh-CN"/>
        </w:rPr>
        <w:t>1分标投标人</w:t>
      </w:r>
      <w:r>
        <w:rPr>
          <w:rFonts w:hint="eastAsia" w:ascii="宋体" w:hAnsi="宋体" w:cs="宋体"/>
          <w:color w:val="auto"/>
          <w:sz w:val="21"/>
          <w:szCs w:val="21"/>
          <w:highlight w:val="none"/>
          <w:lang w:val="en-US" w:eastAsia="zh-CN"/>
        </w:rPr>
        <w:t>为经销商的</w:t>
      </w:r>
      <w:r>
        <w:rPr>
          <w:rFonts w:hint="eastAsia" w:ascii="宋体" w:hAnsi="宋体" w:eastAsia="宋体" w:cs="宋体"/>
          <w:color w:val="auto"/>
          <w:sz w:val="21"/>
          <w:szCs w:val="21"/>
          <w:highlight w:val="none"/>
          <w:lang w:val="en-US" w:eastAsia="zh-CN"/>
        </w:rPr>
        <w:t>按《医疗器械监督管理条例》（国务院令第739号）医疗器械分类管理要求提供医疗器械经营许可证复印件，且</w:t>
      </w:r>
      <w:r>
        <w:rPr>
          <w:rFonts w:hint="eastAsia" w:ascii="宋体" w:hAnsi="宋体" w:cs="宋体"/>
          <w:color w:val="auto"/>
          <w:sz w:val="21"/>
          <w:szCs w:val="21"/>
          <w:highlight w:val="none"/>
          <w:lang w:val="en-US" w:eastAsia="zh-CN"/>
        </w:rPr>
        <w:t>行政许可证上面的</w:t>
      </w:r>
      <w:r>
        <w:rPr>
          <w:rFonts w:hint="eastAsia" w:ascii="宋体" w:hAnsi="宋体" w:eastAsia="宋体" w:cs="宋体"/>
          <w:color w:val="auto"/>
          <w:sz w:val="21"/>
          <w:szCs w:val="21"/>
          <w:highlight w:val="none"/>
          <w:lang w:val="en-US" w:eastAsia="zh-CN"/>
        </w:rPr>
        <w:t>经营范围必须包含采购标的[符合《医疗器械监督管理条例》第四十一条第二款规定的除外]；</w:t>
      </w:r>
      <w:r>
        <w:rPr>
          <w:rFonts w:hint="eastAsia" w:ascii="宋体" w:hAnsi="宋体" w:cs="宋体"/>
          <w:color w:val="auto"/>
          <w:sz w:val="21"/>
          <w:szCs w:val="21"/>
          <w:highlight w:val="none"/>
          <w:lang w:val="en-US" w:eastAsia="zh-CN"/>
        </w:rPr>
        <w:t>投标人为生产厂家的提供</w:t>
      </w:r>
      <w:r>
        <w:rPr>
          <w:rFonts w:hint="eastAsia" w:ascii="宋体" w:hAnsi="宋体" w:eastAsia="宋体" w:cs="宋体"/>
          <w:color w:val="auto"/>
          <w:sz w:val="21"/>
          <w:szCs w:val="21"/>
          <w:highlight w:val="none"/>
          <w:lang w:val="en-US" w:eastAsia="zh-CN"/>
        </w:rPr>
        <w:t>满足《医疗器械监督管理条例》要求的医疗器械生产许可证复印件；2分标：无</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lang w:val="en-US" w:eastAsia="zh-CN"/>
        </w:rPr>
        <w:t>。</w:t>
      </w:r>
    </w:p>
    <w:p w14:paraId="1ADB6ACF">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▲（10）1、2分标：提供中小企业声明函或者残疾人福利性单位声明函或者投标人属于监狱企业的证明材料</w:t>
      </w:r>
      <w:r>
        <w:rPr>
          <w:rFonts w:hint="eastAsia" w:ascii="宋体" w:hAnsi="宋体" w:eastAsia="宋体" w:cs="宋体"/>
          <w:b/>
          <w:bCs/>
          <w:color w:val="auto"/>
          <w:sz w:val="21"/>
          <w:szCs w:val="21"/>
          <w:highlight w:val="none"/>
          <w:lang w:val="en-US" w:eastAsia="zh-CN"/>
        </w:rPr>
        <w:t>（格式见第六部分，必须提供）；</w:t>
      </w:r>
    </w:p>
    <w:p w14:paraId="428B54FE">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投标人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或</w:t>
      </w:r>
      <w:r>
        <w:rPr>
          <w:rFonts w:hint="eastAsia" w:ascii="宋体" w:hAnsi="宋体" w:cs="宋体"/>
          <w:color w:val="auto"/>
          <w:szCs w:val="21"/>
          <w:highlight w:val="none"/>
        </w:rPr>
        <w:t>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r>
        <w:rPr>
          <w:rFonts w:hint="eastAsia" w:ascii="宋体" w:hAnsi="宋体" w:cs="宋体"/>
          <w:color w:val="auto"/>
          <w:szCs w:val="21"/>
          <w:highlight w:val="none"/>
          <w:lang w:eastAsia="zh-CN"/>
        </w:rPr>
        <w:t>。</w:t>
      </w:r>
    </w:p>
    <w:p w14:paraId="434AD78A">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注：1.（1）-（6）项材料，投标人在制作响应文件时可提供符合采购文件要求的证明材料或以书面信用承诺函（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提供了格式要求的，必须按格式内容进行填写、签章，不提供或者不按要求填写、签章的，投标无效。</w:t>
      </w:r>
    </w:p>
    <w:p w14:paraId="7B74B0D5">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投标人应当遵守诚实信用原则，如实承诺，否则属于提供虚假材料谋取中标（成交），将上报财政监管部门，按照《中华人民共和国政府采购法》第七十七条相关规定进行处罚。</w:t>
      </w:r>
    </w:p>
    <w:p w14:paraId="5F7F68B1">
      <w:pPr>
        <w:numPr>
          <w:ilvl w:val="0"/>
          <w:numId w:val="0"/>
        </w:numPr>
        <w:snapToGrid w:val="0"/>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11.</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zh-CN"/>
        </w:rPr>
        <w:t xml:space="preserve">  </w:t>
      </w:r>
      <w:r>
        <w:rPr>
          <w:rFonts w:hint="eastAsia" w:ascii="宋体" w:hAnsi="宋体" w:eastAsia="宋体" w:cs="宋体"/>
          <w:b/>
          <w:color w:val="auto"/>
          <w:sz w:val="21"/>
          <w:szCs w:val="21"/>
          <w:highlight w:val="none"/>
        </w:rPr>
        <w:t>商务技术</w:t>
      </w:r>
      <w:r>
        <w:rPr>
          <w:rFonts w:hint="eastAsia" w:ascii="宋体" w:hAnsi="宋体" w:eastAsia="宋体" w:cs="宋体"/>
          <w:b/>
          <w:color w:val="auto"/>
          <w:sz w:val="21"/>
          <w:szCs w:val="21"/>
          <w:highlight w:val="none"/>
          <w:lang w:val="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及营业执照或事业单位法人证书或执业许可证</w:t>
      </w:r>
      <w:r>
        <w:rPr>
          <w:rFonts w:hint="eastAsia" w:ascii="宋体" w:hAnsi="宋体" w:eastAsia="宋体" w:cs="宋体"/>
          <w:color w:val="auto"/>
          <w:szCs w:val="21"/>
          <w:highlight w:val="none"/>
        </w:rPr>
        <w:t>复印件）</w:t>
      </w:r>
      <w:r>
        <w:rPr>
          <w:rFonts w:hint="eastAsia" w:ascii="宋体" w:hAnsi="宋体" w:eastAsia="宋体" w:cs="宋体"/>
          <w:b/>
          <w:color w:val="auto"/>
          <w:szCs w:val="21"/>
          <w:highlight w:val="none"/>
        </w:rPr>
        <w:t>(必须提供)；</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▲（4）法定代表人(负责人)授权委托书和委托代理人身份证复印件（第二代身份证必须提供正反面复印件）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p>
    <w:p w14:paraId="1D90AD85">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（11）具备法律、行政法规规定的其他条件的证明材料(如有规定，则必须提供)</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7785C8C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857C0B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▲（4）售后服务承诺书</w:t>
      </w:r>
      <w:r>
        <w:rPr>
          <w:rFonts w:hint="eastAsia" w:ascii="宋体" w:hAnsi="宋体" w:eastAsia="宋体" w:cs="宋体"/>
          <w:b/>
          <w:bCs/>
          <w:color w:val="auto"/>
          <w:szCs w:val="21"/>
          <w:highlight w:val="none"/>
        </w:rPr>
        <w:t>(格式自拟，必须提供)</w:t>
      </w:r>
      <w:r>
        <w:rPr>
          <w:rFonts w:hint="eastAsia" w:ascii="宋体" w:hAnsi="宋体" w:eastAsia="宋体" w:cs="宋体"/>
          <w:color w:val="auto"/>
          <w:szCs w:val="21"/>
          <w:highlight w:val="none"/>
        </w:rPr>
        <w:t>；</w:t>
      </w:r>
    </w:p>
    <w:p w14:paraId="7C32E97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如有请</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 xml:space="preserve">； </w:t>
      </w:r>
      <w:bookmarkStart w:id="430" w:name="_GoBack"/>
      <w:bookmarkEnd w:id="430"/>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有格式要求的，必须按要求在规定处由法定代表人(负责人)或授权委托代理人签字并加盖电子公章。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1"/>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1"/>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1"/>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13.2为确保网上操作合法、有效和安全，投标人应当在投标截止时间前完成在“广西政府采购云平台”的身份认证，确保在电子投标过程中能够对相关数据电文进行加密和使用电子签名。</w:t>
      </w:r>
    </w:p>
    <w:p w14:paraId="0E85338B">
      <w:pPr>
        <w:pStyle w:val="131"/>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1"/>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5"/>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5"/>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5"/>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5"/>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1"/>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1"/>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1"/>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1"/>
        <w:spacing w:before="0"/>
        <w:ind w:firstLine="643"/>
        <w:rPr>
          <w:rFonts w:hint="eastAsia" w:ascii="宋体" w:hAnsi="宋体" w:eastAsia="宋体" w:cs="宋体"/>
          <w:b/>
          <w:color w:val="auto"/>
          <w:sz w:val="32"/>
          <w:highlight w:val="none"/>
        </w:rPr>
      </w:pPr>
    </w:p>
    <w:p w14:paraId="114761B1">
      <w:pPr>
        <w:pStyle w:val="131"/>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7"/>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7"/>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7"/>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7"/>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1"/>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1"/>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1"/>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1"/>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1"/>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将在资格审查时通过“信用中国”网站(www.creditchina.gov.cn)、中国政府采购网(www.ccgp.gov.cn)渠道查询投标人接受资格审查时的信用记录。</w:t>
      </w:r>
    </w:p>
    <w:p w14:paraId="69B72B0C">
      <w:pPr>
        <w:pStyle w:val="131"/>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1"/>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1"/>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1"/>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F730A58">
      <w:pPr>
        <w:pStyle w:val="85"/>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1"/>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1"/>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pStyle w:val="131"/>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2C569A26">
      <w:pPr>
        <w:pStyle w:val="131"/>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投标人和未中标投标人的评审报价及排名；项目采购采用综合评分法的，公告中标结果时应当同时公告中标投标人和未中标投标人的评审总得分及排名。鼓励发布中标结果公告时加大评审过程公开力度，但发布内容不得涉及国家秘密和商业秘密。</w:t>
      </w:r>
    </w:p>
    <w:p w14:paraId="4318E963">
      <w:pPr>
        <w:pStyle w:val="131"/>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1"/>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1"/>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1"/>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中标后可在“广西政府采购云”平台申请政采贷：操作路径：登录广西政府采购云平台-金融服务中心-【融资服务】，可在热门申请中选择产品直接申请。详见如下：</w:t>
      </w:r>
    </w:p>
    <w:p w14:paraId="1EECBB41">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9"/>
          <w:rFonts w:hint="eastAsia" w:ascii="宋体" w:hAnsi="宋体" w:eastAsia="宋体" w:cs="宋体"/>
          <w:snapToGrid/>
          <w:color w:val="auto"/>
          <w:sz w:val="21"/>
          <w:szCs w:val="21"/>
          <w:highlight w:val="none"/>
        </w:rPr>
        <w:t>https</w:t>
      </w:r>
      <w:r>
        <w:rPr>
          <w:rStyle w:val="79"/>
          <w:rFonts w:hint="eastAsia" w:cs="宋体"/>
          <w:snapToGrid/>
          <w:color w:val="auto"/>
          <w:sz w:val="21"/>
          <w:szCs w:val="21"/>
          <w:highlight w:val="none"/>
          <w:lang w:eastAsia="zh-CN"/>
        </w:rPr>
        <w:t>：</w:t>
      </w:r>
      <w:r>
        <w:rPr>
          <w:rStyle w:val="79"/>
          <w:rFonts w:hint="eastAsia" w:ascii="宋体" w:hAnsi="宋体" w:eastAsia="宋体" w:cs="宋体"/>
          <w:snapToGrid/>
          <w:color w:val="auto"/>
          <w:sz w:val="21"/>
          <w:szCs w:val="21"/>
          <w:highlight w:val="none"/>
        </w:rPr>
        <w:t>//jinrong.gcy.zfcg.gxzf.gov.cn/finance/loan/gx</w:t>
      </w:r>
      <w:r>
        <w:rPr>
          <w:rStyle w:val="7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最高3千万</w:t>
            </w:r>
          </w:p>
        </w:tc>
        <w:tc>
          <w:tcPr>
            <w:tcW w:w="993" w:type="dxa"/>
            <w:vAlign w:val="center"/>
          </w:tcPr>
          <w:p w14:paraId="667BFCB8">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50726FFB">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最高1千万（单笔提款金额达合同金额70%）</w:t>
            </w:r>
          </w:p>
        </w:tc>
        <w:tc>
          <w:tcPr>
            <w:tcW w:w="993" w:type="dxa"/>
            <w:vAlign w:val="center"/>
          </w:tcPr>
          <w:p w14:paraId="00AA49BC">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最高1千万且不超过合同金额70%</w:t>
            </w:r>
          </w:p>
        </w:tc>
        <w:tc>
          <w:tcPr>
            <w:tcW w:w="993" w:type="dxa"/>
            <w:vAlign w:val="center"/>
          </w:tcPr>
          <w:p w14:paraId="617B892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最高1千万</w:t>
            </w:r>
          </w:p>
        </w:tc>
        <w:tc>
          <w:tcPr>
            <w:tcW w:w="993" w:type="dxa"/>
            <w:vAlign w:val="center"/>
          </w:tcPr>
          <w:p w14:paraId="4A234D80">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5"/>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5"/>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5"/>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5"/>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5"/>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5"/>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1"/>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CE2ACD1">
      <w:pPr>
        <w:pStyle w:val="131"/>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6A47E202">
      <w:pPr>
        <w:pStyle w:val="131"/>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5CA3815D">
      <w:pPr>
        <w:pStyle w:val="131"/>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C12297D">
      <w:pPr>
        <w:pStyle w:val="131"/>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0B4087DE">
      <w:pPr>
        <w:pStyle w:val="131"/>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7147D5E1">
      <w:pPr>
        <w:pStyle w:val="131"/>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1"/>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030CB1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75236101"/>
      <w:bookmarkEnd w:id="29"/>
      <w:bookmarkStart w:id="30" w:name="_Hlt74730295"/>
      <w:bookmarkEnd w:id="30"/>
      <w:bookmarkStart w:id="31" w:name="_Hlt74729768"/>
      <w:bookmarkEnd w:id="31"/>
      <w:bookmarkStart w:id="32" w:name="_Hlt75236011"/>
      <w:bookmarkEnd w:id="32"/>
      <w:bookmarkStart w:id="33" w:name="_Hlt68057669"/>
      <w:bookmarkEnd w:id="33"/>
      <w:bookmarkStart w:id="34" w:name="_Hlt68073093"/>
      <w:bookmarkEnd w:id="34"/>
      <w:bookmarkStart w:id="35" w:name="_Hlt68072998"/>
      <w:bookmarkEnd w:id="35"/>
      <w:bookmarkStart w:id="36" w:name="_Hlt75236290"/>
      <w:bookmarkEnd w:id="36"/>
      <w:bookmarkStart w:id="37" w:name="_Hlt74707468"/>
      <w:bookmarkEnd w:id="37"/>
      <w:bookmarkStart w:id="38" w:name="_Hlt68072990"/>
      <w:bookmarkEnd w:id="38"/>
      <w:bookmarkStart w:id="39" w:name="_Hlt68403820"/>
      <w:bookmarkEnd w:id="39"/>
      <w:bookmarkStart w:id="40" w:name="_Hlt74714665"/>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0A05AAF3">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7FAB7F68">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115E3108">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01E04F4">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0099B45E">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59E98533">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4279FE61">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525C747F">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2D946313">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75C616F0">
      <w:pPr>
        <w:pStyle w:val="8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1F05A2D2">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2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A289D7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2582FE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C4C57E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7128AB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57E5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E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E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53186EE0">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6452A4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8945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0E51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A9287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1FA8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13BC37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C173F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BD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A8E8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C0BE8A8">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EFF5A1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B715AC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22E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BF554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B7886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78B843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046969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858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7102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A7B40D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946E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63D6D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60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7609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31A3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3D50AB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CF0D1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C7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CA6B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3CFDA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AE2EE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AEA86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C6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24BF4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6B6641F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172C4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ABC8A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63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02BB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9B472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366DFA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54E73C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714D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80AB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5DCC9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39F03EB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748D97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3B1F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33114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D4D4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B84E4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16DF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026E50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（200－100）万元×0.8％＝0.8万元</w:t>
      </w:r>
    </w:p>
    <w:p w14:paraId="0C8CA216">
      <w:pPr>
        <w:pStyle w:val="35"/>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1.5+0.8</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1.84</w:t>
      </w:r>
      <w:r>
        <w:rPr>
          <w:rFonts w:hint="eastAsia" w:ascii="宋体" w:hAnsi="宋体" w:eastAsia="宋体" w:cs="宋体"/>
          <w:color w:val="auto"/>
          <w:highlight w:val="none"/>
        </w:rPr>
        <w:t>（万元）</w:t>
      </w:r>
    </w:p>
    <w:p w14:paraId="317B76C3">
      <w:pPr>
        <w:pStyle w:val="85"/>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27592"/>
      <w:bookmarkStart w:id="42" w:name="_Toc176185121"/>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 w:val="24"/>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4E4C6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”的条款为本次采购的重要技术参数、技术性能、配置。</w:t>
      </w:r>
    </w:p>
    <w:p w14:paraId="541CDF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2151EF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31915"/>
      <w:bookmarkStart w:id="45" w:name="_Toc5689"/>
      <w:bookmarkStart w:id="46" w:name="_Toc20816"/>
      <w:r>
        <w:rPr>
          <w:rFonts w:hint="eastAsia" w:ascii="宋体" w:hAnsi="宋体" w:eastAsia="宋体" w:cs="宋体"/>
          <w:b/>
          <w:bCs/>
          <w:color w:val="auto"/>
          <w:highlight w:val="none"/>
          <w:lang w:val="en-US" w:eastAsia="zh-CN"/>
        </w:rPr>
        <w:t>1分标：</w:t>
      </w:r>
      <w:r>
        <w:rPr>
          <w:rFonts w:hint="eastAsia" w:ascii="宋体" w:hAnsi="宋体" w:cs="宋体"/>
          <w:b/>
          <w:bCs/>
          <w:color w:val="auto"/>
          <w:highlight w:val="none"/>
          <w:lang w:val="en-US" w:eastAsia="zh-CN"/>
        </w:rPr>
        <w:t>人民币30.28万元；</w:t>
      </w:r>
      <w:r>
        <w:rPr>
          <w:rFonts w:hint="eastAsia" w:ascii="宋体" w:hAnsi="宋体" w:eastAsia="宋体" w:cs="宋体"/>
          <w:b/>
          <w:bCs/>
          <w:color w:val="auto"/>
          <w:highlight w:val="none"/>
          <w:lang w:val="en-US" w:eastAsia="zh-CN"/>
        </w:rPr>
        <w:t>2分标：</w:t>
      </w:r>
      <w:r>
        <w:rPr>
          <w:rFonts w:hint="eastAsia" w:ascii="宋体" w:hAnsi="宋体" w:cs="宋体"/>
          <w:b/>
          <w:bCs/>
          <w:color w:val="auto"/>
          <w:highlight w:val="none"/>
          <w:lang w:val="en-US" w:eastAsia="zh-CN"/>
        </w:rPr>
        <w:t>人民币6.56万元；</w:t>
      </w:r>
      <w:r>
        <w:rPr>
          <w:rFonts w:hint="eastAsia" w:ascii="宋体" w:hAnsi="宋体" w:eastAsia="宋体" w:cs="宋体"/>
          <w:b/>
          <w:color w:val="auto"/>
          <w:szCs w:val="21"/>
          <w:highlight w:val="none"/>
        </w:rPr>
        <w:t>投标人的投标报价或单项报价超过采购预算或单项预算的，将导致其投标被拒绝。</w:t>
      </w:r>
    </w:p>
    <w:p w14:paraId="38A8098C">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cs="宋体"/>
          <w:b/>
          <w:color w:val="auto"/>
          <w:szCs w:val="21"/>
          <w:highlight w:val="none"/>
          <w:lang w:val="en-US" w:eastAsia="zh-CN"/>
        </w:rPr>
        <w:t>1分标：</w:t>
      </w:r>
      <w:r>
        <w:rPr>
          <w:rFonts w:hint="eastAsia" w:ascii="宋体" w:hAnsi="宋体" w:eastAsia="宋体" w:cs="宋体"/>
          <w:b/>
          <w:color w:val="auto"/>
          <w:szCs w:val="21"/>
          <w:highlight w:val="none"/>
          <w:u w:val="single"/>
        </w:rPr>
        <w:t>工业*</w:t>
      </w:r>
      <w:r>
        <w:rPr>
          <w:rFonts w:hint="eastAsia" w:ascii="宋体" w:hAnsi="宋体" w:cs="宋体"/>
          <w:b/>
          <w:color w:val="auto"/>
          <w:szCs w:val="21"/>
          <w:highlight w:val="none"/>
          <w:u w:val="none"/>
          <w:lang w:eastAsia="zh-CN"/>
        </w:rPr>
        <w:t>、</w:t>
      </w:r>
      <w:r>
        <w:rPr>
          <w:rFonts w:hint="eastAsia" w:ascii="宋体" w:hAnsi="宋体" w:cs="宋体"/>
          <w:b/>
          <w:color w:val="auto"/>
          <w:szCs w:val="21"/>
          <w:highlight w:val="none"/>
          <w:u w:val="none"/>
          <w:lang w:val="en-US" w:eastAsia="zh-CN"/>
        </w:rPr>
        <w:t>2分标：</w:t>
      </w:r>
      <w:r>
        <w:rPr>
          <w:rFonts w:hint="eastAsia" w:ascii="宋体" w:hAnsi="宋体" w:cs="宋体"/>
          <w:b/>
          <w:color w:val="auto"/>
          <w:szCs w:val="21"/>
          <w:highlight w:val="none"/>
          <w:u w:val="single"/>
          <w:lang w:val="en-US" w:eastAsia="zh-CN"/>
        </w:rPr>
        <w:t>其他未列明行业*</w:t>
      </w:r>
      <w:r>
        <w:rPr>
          <w:rFonts w:hint="eastAsia" w:ascii="宋体" w:hAnsi="宋体" w:eastAsia="宋体" w:cs="宋体"/>
          <w:b/>
          <w:color w:val="auto"/>
          <w:szCs w:val="21"/>
          <w:highlight w:val="none"/>
        </w:rPr>
        <w:t>。</w:t>
      </w:r>
      <w:bookmarkStart w:id="47" w:name="_Toc176185122"/>
    </w:p>
    <w:p w14:paraId="055F7B68">
      <w:pPr>
        <w:outlineLvl w:val="1"/>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1分标：AED培训机等一批设备及师资队伍建设服务等采购</w:t>
      </w:r>
    </w:p>
    <w:tbl>
      <w:tblPr>
        <w:tblStyle w:val="6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69"/>
        <w:gridCol w:w="1010"/>
        <w:gridCol w:w="5620"/>
        <w:gridCol w:w="1102"/>
      </w:tblGrid>
      <w:tr w14:paraId="2E3A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236" w:type="dxa"/>
            <w:gridSpan w:val="5"/>
            <w:noWrap w:val="0"/>
            <w:vAlign w:val="center"/>
          </w:tcPr>
          <w:p w14:paraId="5A42B9BD">
            <w:pPr>
              <w:keepNext w:val="0"/>
              <w:keepLines w:val="0"/>
              <w:pageBreakBefore w:val="0"/>
              <w:widowControl/>
              <w:kinsoku/>
              <w:wordWrap/>
              <w:overflowPunct/>
              <w:topLinePunct w:val="0"/>
              <w:autoSpaceDE/>
              <w:autoSpaceDN/>
              <w:bidi w:val="0"/>
              <w:adjustRightInd/>
              <w:spacing w:line="46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56E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60A9DA12">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69" w:type="dxa"/>
            <w:noWrap w:val="0"/>
            <w:vAlign w:val="center"/>
          </w:tcPr>
          <w:p w14:paraId="66F9A8F4">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1010" w:type="dxa"/>
            <w:noWrap w:val="0"/>
            <w:vAlign w:val="center"/>
          </w:tcPr>
          <w:p w14:paraId="7FC65CB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5620" w:type="dxa"/>
            <w:noWrap w:val="0"/>
            <w:vAlign w:val="center"/>
          </w:tcPr>
          <w:p w14:paraId="59EE23A1">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c>
          <w:tcPr>
            <w:tcW w:w="1102" w:type="dxa"/>
            <w:noWrap w:val="0"/>
            <w:vAlign w:val="center"/>
          </w:tcPr>
          <w:p w14:paraId="39C0BB20">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医疗器械管理分类</w:t>
            </w:r>
          </w:p>
        </w:tc>
      </w:tr>
      <w:tr w14:paraId="0FD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5" w:type="dxa"/>
            <w:noWrap w:val="0"/>
            <w:vAlign w:val="center"/>
          </w:tcPr>
          <w:p w14:paraId="54FE0401">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vertAlign w:val="baseline"/>
                <w:lang w:val="en-US" w:eastAsia="zh-CN"/>
              </w:rPr>
              <w:t>1</w:t>
            </w:r>
          </w:p>
        </w:tc>
        <w:tc>
          <w:tcPr>
            <w:tcW w:w="869" w:type="dxa"/>
            <w:noWrap w:val="0"/>
            <w:vAlign w:val="center"/>
          </w:tcPr>
          <w:p w14:paraId="6BE59556">
            <w:pPr>
              <w:keepNext w:val="0"/>
              <w:keepLines w:val="0"/>
              <w:pageBreakBefore w:val="0"/>
              <w:widowControl/>
              <w:kinsoku/>
              <w:wordWrap w:val="0"/>
              <w:overflowPunct/>
              <w:topLinePunct w:val="0"/>
              <w:autoSpaceDE/>
              <w:autoSpaceDN/>
              <w:bidi w:val="0"/>
              <w:adjustRightInd/>
              <w:snapToGri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AED培训机</w:t>
            </w:r>
          </w:p>
        </w:tc>
        <w:tc>
          <w:tcPr>
            <w:tcW w:w="1010" w:type="dxa"/>
            <w:noWrap w:val="0"/>
            <w:vAlign w:val="center"/>
          </w:tcPr>
          <w:p w14:paraId="5926E857">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10台</w:t>
            </w:r>
          </w:p>
        </w:tc>
        <w:tc>
          <w:tcPr>
            <w:tcW w:w="5620" w:type="dxa"/>
            <w:noWrap w:val="0"/>
            <w:vAlign w:val="center"/>
          </w:tcPr>
          <w:p w14:paraId="6EEF7742">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1.培训机仿制真正除颤仪尺寸大小和操作方法，整机功耗极低，工作时间长。</w:t>
            </w:r>
          </w:p>
          <w:p w14:paraId="73A1EBB2">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2.采用专用可充电电池，电池规格：12V，4500mAh。</w:t>
            </w:r>
          </w:p>
          <w:p w14:paraId="78C5D02E">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3.提示语言：支持中文（普通话），英文，俄语，支持任意语言定制。可根据实际使用环境调节音量大小。</w:t>
            </w:r>
          </w:p>
          <w:p w14:paraId="4AE52404">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3.情景模拟：可真实模拟应对紧急情况，提供≥8种情景模式，包括未接入电极片、建议电击除颤、不建议电击除颤、电池电量低、系统故障、按压速率、单/双人模式；≥8种预设情景模式，符合2020AHA/ERC国际心肺复苏指南要求。</w:t>
            </w:r>
          </w:p>
          <w:p w14:paraId="6204E9FF">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4.配备拨码式调节开关，用于设置音量、单/双人模式、按压频率、情景模式等。</w:t>
            </w:r>
          </w:p>
          <w:p w14:paraId="16FA79A9">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5.完善的操作流程动画演示，便于操作者使用。</w:t>
            </w:r>
          </w:p>
          <w:p w14:paraId="500574F5">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6.配备红外遥控器，有效使用距离大于5米，便于选择各种模式和调节功能，可模仿多种急救情况和急救过程；</w:t>
            </w:r>
          </w:p>
          <w:p w14:paraId="58FC07CB">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7.内部有心电图设置，无需外接除颤模拟器，便于培训。</w:t>
            </w:r>
          </w:p>
          <w:p w14:paraId="7CD3C24C">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8.配有成人/儿童共用电极片。</w:t>
            </w:r>
          </w:p>
          <w:p w14:paraId="5EF6C661">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9.具备状态指示灯，显示设备的正常工作状态，与AED真机相同。</w:t>
            </w:r>
          </w:p>
          <w:p w14:paraId="13B5D186">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10.培训机仿制AED真机，主机、电极片、显示窗口、配件，外型、尺寸、包装、操作方法与AED真机一致。</w:t>
            </w:r>
          </w:p>
          <w:p w14:paraId="5730372A">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11.语音提示与AED真机内容一致，音量一致；有多种语言功能（至少中、英两种语言）。</w:t>
            </w:r>
          </w:p>
          <w:p w14:paraId="6DF27DAE">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12.具备电极片是否连接的语音提示，由遥控器控制模拟连接或未连接的状态。</w:t>
            </w:r>
          </w:p>
          <w:p w14:paraId="2E38636D">
            <w:pPr>
              <w:pStyle w:val="25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13.培训机本身没有电流输出，但可模拟真正AED的各项操作，并可根据客户要求调节成多种急救训练模式，供培训使用。</w:t>
            </w:r>
          </w:p>
        </w:tc>
        <w:tc>
          <w:tcPr>
            <w:tcW w:w="1102" w:type="dxa"/>
            <w:noWrap w:val="0"/>
            <w:vAlign w:val="center"/>
          </w:tcPr>
          <w:p w14:paraId="09D3ED4D">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23F0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119DCE6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869" w:type="dxa"/>
            <w:noWrap w:val="0"/>
            <w:vAlign w:val="center"/>
          </w:tcPr>
          <w:p w14:paraId="7A35852B">
            <w:pPr>
              <w:keepNext w:val="0"/>
              <w:keepLines w:val="0"/>
              <w:pageBreakBefore w:val="0"/>
              <w:widowControl/>
              <w:kinsoku/>
              <w:wordWrap w:val="0"/>
              <w:overflowPunct/>
              <w:topLinePunct w:val="0"/>
              <w:autoSpaceDE/>
              <w:autoSpaceDN/>
              <w:bidi w:val="0"/>
              <w:adjustRightInd/>
              <w:snapToGrid/>
              <w:spacing w:line="380" w:lineRule="exact"/>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AED培训机配</w:t>
            </w:r>
            <w:r>
              <w:rPr>
                <w:rFonts w:hint="eastAsia" w:ascii="宋体" w:hAnsi="宋体" w:eastAsia="宋体" w:cs="宋体"/>
                <w:color w:val="auto"/>
                <w:kern w:val="0"/>
                <w:szCs w:val="21"/>
                <w:highlight w:val="none"/>
                <w:lang w:val="en-US" w:eastAsia="zh-CN" w:bidi="ar"/>
              </w:rPr>
              <w:t>对</w:t>
            </w:r>
            <w:r>
              <w:rPr>
                <w:rFonts w:hint="eastAsia" w:ascii="宋体" w:hAnsi="宋体" w:eastAsia="宋体" w:cs="宋体"/>
                <w:color w:val="auto"/>
                <w:kern w:val="0"/>
                <w:szCs w:val="21"/>
                <w:highlight w:val="none"/>
                <w:lang w:bidi="ar"/>
              </w:rPr>
              <w:t>电极片</w:t>
            </w:r>
          </w:p>
        </w:tc>
        <w:tc>
          <w:tcPr>
            <w:tcW w:w="1010" w:type="dxa"/>
            <w:noWrap w:val="0"/>
            <w:vAlign w:val="center"/>
          </w:tcPr>
          <w:p w14:paraId="512799B0">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4副</w:t>
            </w:r>
          </w:p>
        </w:tc>
        <w:tc>
          <w:tcPr>
            <w:tcW w:w="5620" w:type="dxa"/>
            <w:noWrap w:val="0"/>
            <w:vAlign w:val="center"/>
          </w:tcPr>
          <w:p w14:paraId="1E350E9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AED培训机</w:t>
            </w:r>
            <w:r>
              <w:rPr>
                <w:rFonts w:hint="eastAsia" w:ascii="宋体" w:hAnsi="宋体" w:eastAsia="宋体" w:cs="宋体"/>
                <w:color w:val="auto"/>
                <w:kern w:val="0"/>
                <w:sz w:val="21"/>
                <w:szCs w:val="21"/>
                <w:highlight w:val="none"/>
                <w:lang w:val="en-US" w:eastAsia="zh-CN" w:bidi="ar"/>
              </w:rPr>
              <w:t>配置电极片，每副2片。</w:t>
            </w:r>
          </w:p>
        </w:tc>
        <w:tc>
          <w:tcPr>
            <w:tcW w:w="1102" w:type="dxa"/>
            <w:noWrap w:val="0"/>
            <w:vAlign w:val="center"/>
          </w:tcPr>
          <w:p w14:paraId="1E68941D">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056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7340945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869" w:type="dxa"/>
            <w:noWrap w:val="0"/>
            <w:vAlign w:val="center"/>
          </w:tcPr>
          <w:p w14:paraId="7179FDD4">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脊柱损伤、四肢搬运</w:t>
            </w:r>
          </w:p>
          <w:p w14:paraId="22D89C36">
            <w:pPr>
              <w:keepNext w:val="0"/>
              <w:keepLines w:val="0"/>
              <w:pageBreakBefore w:val="0"/>
              <w:widowControl/>
              <w:kinsoku/>
              <w:wordWrap w:val="0"/>
              <w:overflowPunct/>
              <w:topLinePunct w:val="0"/>
              <w:autoSpaceDE/>
              <w:autoSpaceDN/>
              <w:bidi w:val="0"/>
              <w:adjustRightInd/>
              <w:snapToGri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模拟人</w:t>
            </w:r>
          </w:p>
        </w:tc>
        <w:tc>
          <w:tcPr>
            <w:tcW w:w="1010" w:type="dxa"/>
            <w:noWrap w:val="0"/>
            <w:vAlign w:val="center"/>
          </w:tcPr>
          <w:p w14:paraId="658378B6">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1个</w:t>
            </w:r>
          </w:p>
        </w:tc>
        <w:tc>
          <w:tcPr>
            <w:tcW w:w="5620" w:type="dxa"/>
            <w:noWrap w:val="0"/>
            <w:vAlign w:val="center"/>
          </w:tcPr>
          <w:p w14:paraId="7ED2AF8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模拟四肢闭合式骨折创伤。可使学生了解熟悉骨折的症状体征，并进行急救外固定训练。</w:t>
            </w:r>
          </w:p>
          <w:p w14:paraId="6C480EB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模型包括上肢前臂桡骨与尺骨和下肢胫骨与腓骨闭合式骨折创伤，以及大腿复合式创伤等。掌握创伤部位的清洗、消毒、包扎、复位、骨折固定方法和搬运等实践操作。</w:t>
            </w:r>
          </w:p>
          <w:p w14:paraId="2EEBBC1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模型也可进行脊柱损伤搬运训练。全身模拟人，四肢可活动，颈部和胸腹部可弯折。可使学生了解熟悉脊柱损伤的症状体征，并进行急救外固定训练。</w:t>
            </w:r>
          </w:p>
          <w:p w14:paraId="426CC9B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模拟人可模拟颈椎与脊柱损伤的搬运练习,在水平，斜坡等应用场景下，如果搬运动作不规范，出现以下情况时：颈部前倾角度过大；颈部后倾角度过大；颈部旋转角度过大；腰部前倾角度过大；腰部后倾角度过大；模拟人会自动声音报警，角度可根据培训要求进行快速设置。</w:t>
            </w:r>
          </w:p>
          <w:p w14:paraId="1E6CB7C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模拟人内置锂电池，正常工作时间不少于8个小时。</w:t>
            </w:r>
          </w:p>
          <w:p w14:paraId="4795D37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可</w:t>
            </w:r>
            <w:r>
              <w:rPr>
                <w:rFonts w:hint="eastAsia" w:ascii="宋体" w:hAnsi="宋体" w:eastAsia="宋体" w:cs="宋体"/>
                <w:color w:val="auto"/>
                <w:kern w:val="0"/>
                <w:sz w:val="21"/>
                <w:szCs w:val="21"/>
                <w:highlight w:val="none"/>
                <w:lang w:bidi="ar"/>
              </w:rPr>
              <w:t>配置呼吸球囊：</w:t>
            </w:r>
          </w:p>
          <w:p w14:paraId="01FA2E0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xml:space="preserve">球体采用双层设计，外壁柔软，内壁支撑球体。 </w:t>
            </w:r>
          </w:p>
          <w:p w14:paraId="7B8F16D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限压设计：球体有限压阀，可以自行限压，并导出压力，保证给气安全。</w:t>
            </w:r>
          </w:p>
          <w:p w14:paraId="3318535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 xml:space="preserve">带有固定手带，抓握球体的时候，手带可以很好的固定手部和球体，减少通气过程中的疲劳感，保证球体不会从手部脱落。 </w:t>
            </w:r>
          </w:p>
          <w:p w14:paraId="09B26EF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整体可拆解消毒，球体及配件可以全部拆解并支持在</w:t>
            </w:r>
            <w:r>
              <w:rPr>
                <w:rFonts w:hint="eastAsia" w:ascii="宋体" w:hAnsi="宋体" w:eastAsia="宋体" w:cs="宋体"/>
                <w:color w:val="auto"/>
                <w:kern w:val="0"/>
                <w:sz w:val="21"/>
                <w:szCs w:val="21"/>
                <w:highlight w:val="none"/>
                <w:lang w:val="en-US" w:eastAsia="zh-CN" w:bidi="ar"/>
              </w:rPr>
              <w:t>至少</w:t>
            </w:r>
            <w:r>
              <w:rPr>
                <w:rFonts w:hint="eastAsia" w:ascii="宋体" w:hAnsi="宋体" w:eastAsia="宋体" w:cs="宋体"/>
                <w:color w:val="auto"/>
                <w:kern w:val="0"/>
                <w:sz w:val="21"/>
                <w:szCs w:val="21"/>
                <w:highlight w:val="none"/>
                <w:lang w:bidi="ar"/>
              </w:rPr>
              <w:t xml:space="preserve">134℃的温度下接受高温高压灭菌。 </w:t>
            </w:r>
          </w:p>
          <w:p w14:paraId="590303C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面罩连接器可以360度旋转，</w:t>
            </w:r>
            <w:r>
              <w:rPr>
                <w:rFonts w:hint="eastAsia" w:ascii="宋体" w:hAnsi="宋体" w:eastAsia="宋体" w:cs="宋体"/>
                <w:color w:val="auto"/>
                <w:kern w:val="0"/>
                <w:sz w:val="21"/>
                <w:szCs w:val="21"/>
                <w:highlight w:val="none"/>
                <w:lang w:val="en-US" w:eastAsia="zh-CN" w:bidi="ar"/>
              </w:rPr>
              <w:t>便于</w:t>
            </w:r>
            <w:r>
              <w:rPr>
                <w:rFonts w:hint="eastAsia" w:ascii="宋体" w:hAnsi="宋体" w:eastAsia="宋体" w:cs="宋体"/>
                <w:color w:val="auto"/>
                <w:kern w:val="0"/>
                <w:sz w:val="21"/>
                <w:szCs w:val="21"/>
                <w:highlight w:val="none"/>
                <w:lang w:bidi="ar"/>
              </w:rPr>
              <w:t>面罩与患者贴合，球体带有铭牌可以用于悬挂和区分科室和使用者。</w:t>
            </w:r>
          </w:p>
          <w:p w14:paraId="4176DAB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技术参数：</w:t>
            </w:r>
          </w:p>
          <w:p w14:paraId="1892BED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bidi="ar"/>
              </w:rPr>
              <w:t>简易呼吸器容量：</w:t>
            </w:r>
            <w:r>
              <w:rPr>
                <w:rFonts w:hint="eastAsia"/>
                <w:color w:val="auto"/>
                <w:highlight w:val="none"/>
                <w:lang w:val="en-US" w:eastAsia="zh-CN"/>
              </w:rPr>
              <w:t>≥</w:t>
            </w:r>
            <w:r>
              <w:rPr>
                <w:rFonts w:hint="eastAsia" w:ascii="宋体" w:hAnsi="宋体" w:eastAsia="宋体" w:cs="宋体"/>
                <w:color w:val="auto"/>
                <w:kern w:val="0"/>
                <w:sz w:val="21"/>
                <w:szCs w:val="21"/>
                <w:highlight w:val="none"/>
                <w:lang w:bidi="ar"/>
              </w:rPr>
              <w:t>1300ml</w:t>
            </w:r>
            <w:r>
              <w:rPr>
                <w:rFonts w:hint="eastAsia" w:ascii="宋体" w:hAnsi="宋体" w:eastAsia="宋体" w:cs="宋体"/>
                <w:color w:val="auto"/>
                <w:kern w:val="0"/>
                <w:sz w:val="21"/>
                <w:szCs w:val="21"/>
                <w:highlight w:val="none"/>
                <w:lang w:eastAsia="zh-CN" w:bidi="ar"/>
              </w:rPr>
              <w:t>。</w:t>
            </w:r>
          </w:p>
          <w:p w14:paraId="312BC8A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bidi="ar"/>
              </w:rPr>
              <w:t>单手每搏量：</w:t>
            </w:r>
            <w:r>
              <w:rPr>
                <w:rFonts w:hint="eastAsia"/>
                <w:color w:val="auto"/>
                <w:highlight w:val="none"/>
                <w:lang w:val="en-US" w:eastAsia="zh-CN"/>
              </w:rPr>
              <w:t>≥</w:t>
            </w:r>
            <w:r>
              <w:rPr>
                <w:rFonts w:hint="eastAsia" w:ascii="宋体" w:hAnsi="宋体" w:eastAsia="宋体" w:cs="宋体"/>
                <w:color w:val="auto"/>
                <w:kern w:val="0"/>
                <w:sz w:val="21"/>
                <w:szCs w:val="21"/>
                <w:highlight w:val="none"/>
                <w:lang w:bidi="ar"/>
              </w:rPr>
              <w:t>600ml</w:t>
            </w:r>
            <w:r>
              <w:rPr>
                <w:rFonts w:hint="eastAsia" w:ascii="宋体" w:hAnsi="宋体" w:eastAsia="宋体" w:cs="宋体"/>
                <w:color w:val="auto"/>
                <w:kern w:val="0"/>
                <w:sz w:val="21"/>
                <w:szCs w:val="21"/>
                <w:highlight w:val="none"/>
                <w:lang w:eastAsia="zh-CN" w:bidi="ar"/>
              </w:rPr>
              <w:t>。</w:t>
            </w:r>
          </w:p>
          <w:p w14:paraId="3A5DCA1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kern w:val="0"/>
                <w:sz w:val="21"/>
                <w:szCs w:val="21"/>
                <w:highlight w:val="none"/>
                <w:lang w:bidi="ar"/>
              </w:rPr>
              <w:t>双手每搏量：</w:t>
            </w:r>
            <w:r>
              <w:rPr>
                <w:rFonts w:hint="eastAsia"/>
                <w:color w:val="auto"/>
                <w:highlight w:val="none"/>
                <w:lang w:val="en-US" w:eastAsia="zh-CN"/>
              </w:rPr>
              <w:t>≥</w:t>
            </w:r>
            <w:r>
              <w:rPr>
                <w:rFonts w:hint="eastAsia" w:ascii="宋体" w:hAnsi="宋体" w:eastAsia="宋体" w:cs="宋体"/>
                <w:color w:val="auto"/>
                <w:kern w:val="0"/>
                <w:sz w:val="21"/>
                <w:szCs w:val="21"/>
                <w:highlight w:val="none"/>
                <w:lang w:bidi="ar"/>
              </w:rPr>
              <w:t>1000ml</w:t>
            </w:r>
            <w:r>
              <w:rPr>
                <w:rFonts w:hint="eastAsia" w:ascii="宋体" w:hAnsi="宋体" w:eastAsia="宋体" w:cs="宋体"/>
                <w:color w:val="auto"/>
                <w:kern w:val="0"/>
                <w:sz w:val="21"/>
                <w:szCs w:val="21"/>
                <w:highlight w:val="none"/>
                <w:lang w:eastAsia="zh-CN" w:bidi="ar"/>
              </w:rPr>
              <w:t>。</w:t>
            </w:r>
          </w:p>
          <w:p w14:paraId="7E9E693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kern w:val="0"/>
                <w:sz w:val="21"/>
                <w:szCs w:val="21"/>
                <w:highlight w:val="none"/>
                <w:lang w:bidi="ar"/>
              </w:rPr>
              <w:t>限压值：70cmH</w:t>
            </w:r>
            <w:r>
              <w:rPr>
                <w:rFonts w:hint="eastAsia" w:ascii="宋体" w:hAnsi="宋体" w:eastAsia="宋体" w:cs="宋体"/>
                <w:color w:val="auto"/>
                <w:kern w:val="0"/>
                <w:sz w:val="36"/>
                <w:szCs w:val="36"/>
                <w:highlight w:val="none"/>
                <w:vertAlign w:val="subscript"/>
                <w:lang w:bidi="ar"/>
              </w:rPr>
              <w:t>2</w:t>
            </w:r>
            <w:r>
              <w:rPr>
                <w:rFonts w:hint="eastAsia" w:ascii="宋体" w:hAnsi="宋体" w:eastAsia="宋体" w:cs="宋体"/>
                <w:color w:val="auto"/>
                <w:kern w:val="0"/>
                <w:sz w:val="21"/>
                <w:szCs w:val="21"/>
                <w:highlight w:val="none"/>
                <w:lang w:bidi="ar"/>
              </w:rPr>
              <w:t>O</w:t>
            </w:r>
            <w:r>
              <w:rPr>
                <w:rFonts w:hint="eastAsia"/>
                <w:color w:val="auto"/>
                <w:highlight w:val="none"/>
                <w:lang w:val="en-US" w:eastAsia="zh-CN"/>
              </w:rPr>
              <w:t>±10</w:t>
            </w:r>
            <w:r>
              <w:rPr>
                <w:rFonts w:hint="eastAsia" w:ascii="宋体" w:hAnsi="宋体" w:eastAsia="宋体" w:cs="宋体"/>
                <w:color w:val="auto"/>
                <w:kern w:val="0"/>
                <w:sz w:val="21"/>
                <w:szCs w:val="21"/>
                <w:highlight w:val="none"/>
                <w:lang w:bidi="ar"/>
              </w:rPr>
              <w:t>cmH</w:t>
            </w:r>
            <w:r>
              <w:rPr>
                <w:rFonts w:hint="eastAsia" w:ascii="宋体" w:hAnsi="宋体" w:eastAsia="宋体" w:cs="宋体"/>
                <w:color w:val="auto"/>
                <w:kern w:val="0"/>
                <w:sz w:val="36"/>
                <w:szCs w:val="36"/>
                <w:highlight w:val="none"/>
                <w:vertAlign w:val="subscript"/>
                <w:lang w:bidi="ar"/>
              </w:rPr>
              <w:t>2</w:t>
            </w:r>
            <w:r>
              <w:rPr>
                <w:rFonts w:hint="eastAsia" w:ascii="宋体" w:hAnsi="宋体" w:eastAsia="宋体" w:cs="宋体"/>
                <w:color w:val="auto"/>
                <w:kern w:val="0"/>
                <w:sz w:val="21"/>
                <w:szCs w:val="21"/>
                <w:highlight w:val="none"/>
                <w:lang w:bidi="ar"/>
              </w:rPr>
              <w:t>O</w:t>
            </w:r>
            <w:r>
              <w:rPr>
                <w:rFonts w:hint="eastAsia" w:ascii="宋体" w:hAnsi="宋体" w:eastAsia="宋体" w:cs="宋体"/>
                <w:color w:val="auto"/>
                <w:kern w:val="0"/>
                <w:sz w:val="21"/>
                <w:szCs w:val="21"/>
                <w:highlight w:val="none"/>
                <w:lang w:eastAsia="zh-CN" w:bidi="ar"/>
              </w:rPr>
              <w:t>。</w:t>
            </w:r>
          </w:p>
          <w:p w14:paraId="70DE0F1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⑤</w:t>
            </w:r>
            <w:r>
              <w:rPr>
                <w:rFonts w:hint="eastAsia" w:ascii="宋体" w:hAnsi="宋体" w:eastAsia="宋体" w:cs="宋体"/>
                <w:color w:val="auto"/>
                <w:kern w:val="0"/>
                <w:sz w:val="21"/>
                <w:szCs w:val="21"/>
                <w:highlight w:val="none"/>
                <w:lang w:bidi="ar"/>
              </w:rPr>
              <w:t>重量：415g</w:t>
            </w:r>
            <w:r>
              <w:rPr>
                <w:rFonts w:hint="eastAsia" w:ascii="宋体" w:hAnsi="宋体" w:eastAsia="宋体" w:cs="宋体"/>
                <w:color w:val="auto"/>
                <w:kern w:val="0"/>
                <w:sz w:val="21"/>
                <w:szCs w:val="21"/>
                <w:highlight w:val="none"/>
                <w:lang w:val="en-US" w:eastAsia="zh-CN" w:bidi="ar"/>
              </w:rPr>
              <w:t>±5g</w:t>
            </w:r>
            <w:r>
              <w:rPr>
                <w:rFonts w:hint="eastAsia" w:ascii="宋体" w:hAnsi="宋体" w:eastAsia="宋体" w:cs="宋体"/>
                <w:color w:val="auto"/>
                <w:kern w:val="0"/>
                <w:sz w:val="21"/>
                <w:szCs w:val="21"/>
                <w:highlight w:val="none"/>
                <w:lang w:eastAsia="zh-CN" w:bidi="ar"/>
              </w:rPr>
              <w:t>。</w:t>
            </w:r>
          </w:p>
          <w:p w14:paraId="6A434C0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⑥</w:t>
            </w:r>
            <w:r>
              <w:rPr>
                <w:rFonts w:hint="eastAsia" w:ascii="宋体" w:hAnsi="宋体" w:eastAsia="宋体" w:cs="宋体"/>
                <w:color w:val="auto"/>
                <w:kern w:val="0"/>
                <w:sz w:val="21"/>
                <w:szCs w:val="21"/>
                <w:highlight w:val="none"/>
                <w:lang w:bidi="ar"/>
              </w:rPr>
              <w:t>储氧袋容积：</w:t>
            </w:r>
            <w:r>
              <w:rPr>
                <w:rFonts w:hint="eastAsia"/>
                <w:color w:val="auto"/>
                <w:highlight w:val="none"/>
                <w:lang w:val="en-US" w:eastAsia="zh-CN"/>
              </w:rPr>
              <w:t>≥</w:t>
            </w:r>
            <w:r>
              <w:rPr>
                <w:rFonts w:hint="eastAsia" w:ascii="宋体" w:hAnsi="宋体" w:eastAsia="宋体" w:cs="宋体"/>
                <w:color w:val="auto"/>
                <w:kern w:val="0"/>
                <w:sz w:val="21"/>
                <w:szCs w:val="21"/>
                <w:highlight w:val="none"/>
                <w:lang w:bidi="ar"/>
              </w:rPr>
              <w:t>1500ml</w:t>
            </w:r>
            <w:r>
              <w:rPr>
                <w:rFonts w:hint="eastAsia" w:ascii="宋体" w:hAnsi="宋体" w:eastAsia="宋体" w:cs="宋体"/>
                <w:color w:val="auto"/>
                <w:kern w:val="0"/>
                <w:sz w:val="21"/>
                <w:szCs w:val="21"/>
                <w:highlight w:val="none"/>
                <w:lang w:eastAsia="zh-CN" w:bidi="ar"/>
              </w:rPr>
              <w:t>。</w:t>
            </w:r>
          </w:p>
        </w:tc>
        <w:tc>
          <w:tcPr>
            <w:tcW w:w="1102" w:type="dxa"/>
            <w:noWrap w:val="0"/>
            <w:vAlign w:val="center"/>
          </w:tcPr>
          <w:p w14:paraId="23FD2CAE">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1651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564EAD4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869" w:type="dxa"/>
            <w:noWrap w:val="0"/>
            <w:vAlign w:val="center"/>
          </w:tcPr>
          <w:p w14:paraId="172B85E1">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铝合金折叠式担架</w:t>
            </w:r>
          </w:p>
          <w:p w14:paraId="38AE14F8">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（带轮）</w:t>
            </w:r>
          </w:p>
        </w:tc>
        <w:tc>
          <w:tcPr>
            <w:tcW w:w="1010" w:type="dxa"/>
            <w:noWrap w:val="0"/>
            <w:vAlign w:val="center"/>
          </w:tcPr>
          <w:p w14:paraId="40DC7EC9">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1台</w:t>
            </w:r>
          </w:p>
        </w:tc>
        <w:tc>
          <w:tcPr>
            <w:tcW w:w="5620" w:type="dxa"/>
            <w:noWrap w:val="0"/>
            <w:vAlign w:val="center"/>
          </w:tcPr>
          <w:p w14:paraId="5D49109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1.铝合金框架,牛津布面,展开长度超过1.8m,承重超过 150kg。</w:t>
            </w:r>
          </w:p>
          <w:p w14:paraId="7006F35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2.能折叠,带移动轮,</w:t>
            </w:r>
            <w:r>
              <w:rPr>
                <w:rFonts w:hint="eastAsia" w:ascii="宋体" w:hAnsi="宋体" w:eastAsia="宋体" w:cs="宋体"/>
                <w:color w:val="auto"/>
                <w:kern w:val="0"/>
                <w:sz w:val="21"/>
                <w:szCs w:val="21"/>
                <w:highlight w:val="none"/>
                <w:lang w:val="en-US" w:eastAsia="zh-CN" w:bidi="ar"/>
              </w:rPr>
              <w:t>便于</w:t>
            </w:r>
            <w:r>
              <w:rPr>
                <w:rFonts w:hint="eastAsia" w:ascii="宋体" w:hAnsi="宋体" w:eastAsia="宋体" w:cs="宋体"/>
                <w:color w:val="auto"/>
                <w:kern w:val="0"/>
                <w:sz w:val="21"/>
                <w:szCs w:val="21"/>
                <w:highlight w:val="none"/>
                <w:lang w:bidi="ar"/>
              </w:rPr>
              <w:t>操作存放。</w:t>
            </w:r>
          </w:p>
        </w:tc>
        <w:tc>
          <w:tcPr>
            <w:tcW w:w="1102" w:type="dxa"/>
            <w:noWrap w:val="0"/>
            <w:vAlign w:val="center"/>
          </w:tcPr>
          <w:p w14:paraId="3DC98DCF">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0F69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1D2CDBE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869" w:type="dxa"/>
            <w:noWrap w:val="0"/>
            <w:vAlign w:val="center"/>
          </w:tcPr>
          <w:p w14:paraId="5EA7E912">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可调式固定支具</w:t>
            </w:r>
          </w:p>
        </w:tc>
        <w:tc>
          <w:tcPr>
            <w:tcW w:w="1010" w:type="dxa"/>
            <w:noWrap w:val="0"/>
            <w:vAlign w:val="center"/>
          </w:tcPr>
          <w:p w14:paraId="1CCA9452">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1具</w:t>
            </w:r>
          </w:p>
        </w:tc>
        <w:tc>
          <w:tcPr>
            <w:tcW w:w="5620" w:type="dxa"/>
            <w:noWrap w:val="0"/>
            <w:vAlign w:val="center"/>
          </w:tcPr>
          <w:p w14:paraId="3938A8E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头部固定器可以配合多种颈托使用，也可以作为头部固定设备独立使用。整体材料无金属的设计可以让病人无需脱掉头部固定器即可进行X光透视，CT扫描，核磁共振成像检查。</w:t>
            </w:r>
          </w:p>
        </w:tc>
        <w:tc>
          <w:tcPr>
            <w:tcW w:w="1102" w:type="dxa"/>
            <w:noWrap w:val="0"/>
            <w:vAlign w:val="center"/>
          </w:tcPr>
          <w:p w14:paraId="4E67B7B6">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02F2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4AD7BE9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869" w:type="dxa"/>
            <w:noWrap w:val="0"/>
            <w:vAlign w:val="center"/>
          </w:tcPr>
          <w:p w14:paraId="08B5B4DC">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病人转移板</w:t>
            </w:r>
          </w:p>
        </w:tc>
        <w:tc>
          <w:tcPr>
            <w:tcW w:w="1010" w:type="dxa"/>
            <w:noWrap w:val="0"/>
            <w:vAlign w:val="center"/>
          </w:tcPr>
          <w:p w14:paraId="1F4D919B">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1具</w:t>
            </w:r>
          </w:p>
        </w:tc>
        <w:tc>
          <w:tcPr>
            <w:tcW w:w="5620" w:type="dxa"/>
            <w:noWrap w:val="0"/>
            <w:vAlign w:val="center"/>
          </w:tcPr>
          <w:p w14:paraId="324DDAC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用于模拟练习，病人转移板用来固定脊椎创伤，确保事故现场至医院护送病人的安全。</w:t>
            </w:r>
          </w:p>
        </w:tc>
        <w:tc>
          <w:tcPr>
            <w:tcW w:w="1102" w:type="dxa"/>
            <w:noWrap w:val="0"/>
            <w:vAlign w:val="center"/>
          </w:tcPr>
          <w:p w14:paraId="3594B7F6">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487D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74AD129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869" w:type="dxa"/>
            <w:noWrap w:val="0"/>
            <w:vAlign w:val="center"/>
          </w:tcPr>
          <w:p w14:paraId="5A3AE370">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教学用</w:t>
            </w:r>
            <w:r>
              <w:rPr>
                <w:rFonts w:hint="eastAsia" w:ascii="宋体" w:hAnsi="宋体" w:eastAsia="宋体" w:cs="宋体"/>
                <w:color w:val="auto"/>
                <w:kern w:val="0"/>
                <w:sz w:val="21"/>
                <w:szCs w:val="21"/>
                <w:highlight w:val="none"/>
                <w:lang w:val="en-US" w:eastAsia="zh-CN" w:bidi="ar"/>
              </w:rPr>
              <w:t>颈托固定器</w:t>
            </w:r>
          </w:p>
        </w:tc>
        <w:tc>
          <w:tcPr>
            <w:tcW w:w="1010" w:type="dxa"/>
            <w:noWrap w:val="0"/>
            <w:vAlign w:val="center"/>
          </w:tcPr>
          <w:p w14:paraId="5E2C6243">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1具</w:t>
            </w:r>
          </w:p>
        </w:tc>
        <w:tc>
          <w:tcPr>
            <w:tcW w:w="5620" w:type="dxa"/>
            <w:noWrap w:val="0"/>
            <w:vAlign w:val="center"/>
          </w:tcPr>
          <w:p w14:paraId="4C2C6D9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1.将颈托的四个尺寸合为一体，确保病人在任何时候都可能得到正确有尺码的颈托。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2.唯一整体可的用于固定颈椎的设备。共有4种标准成人用颈托。其16个精确调整点可按照使用人员的具体要救设置。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3.能够配合气道开口便于颈动脉监测和气管插管。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4.后方的开孔设计便于触诊和透气。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5.特有的固定锁确保颈插的稳定和对称。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6.适合对患者作X一线，CT断层扫描和核磁共振断层扫描检查。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7.可以与脊椎固定系统。　</w:t>
            </w:r>
          </w:p>
        </w:tc>
        <w:tc>
          <w:tcPr>
            <w:tcW w:w="1102" w:type="dxa"/>
            <w:noWrap w:val="0"/>
            <w:vAlign w:val="center"/>
          </w:tcPr>
          <w:p w14:paraId="5430C57E">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5E4E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1D12E25E">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869" w:type="dxa"/>
            <w:noWrap w:val="0"/>
            <w:vAlign w:val="center"/>
          </w:tcPr>
          <w:p w14:paraId="7B81192C">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自动体外除颤仪</w:t>
            </w:r>
          </w:p>
        </w:tc>
        <w:tc>
          <w:tcPr>
            <w:tcW w:w="1010" w:type="dxa"/>
            <w:noWrap w:val="0"/>
            <w:vAlign w:val="center"/>
          </w:tcPr>
          <w:p w14:paraId="1995E6EE">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4台</w:t>
            </w:r>
          </w:p>
        </w:tc>
        <w:tc>
          <w:tcPr>
            <w:tcW w:w="5620" w:type="dxa"/>
            <w:noWrap w:val="0"/>
            <w:vAlign w:val="center"/>
          </w:tcPr>
          <w:p w14:paraId="769638A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 xml:space="preserve">1.机器自身具备便携把手，便于携带。 重量≤2.6kg（含电极片和电池）便于公共场所携带使用。 </w:t>
            </w:r>
          </w:p>
          <w:p w14:paraId="496867E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 xml:space="preserve">2.提供中英文双语语音提示，可一键快速切换中英文，无需重新启动。 </w:t>
            </w:r>
          </w:p>
          <w:p w14:paraId="560824C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3.不小于7英寸彩屏，屏幕分辨率不低于780×480，有清晰的动画指导贴放多功能电极片，心肺复苏（CPR)等操作，提高对普通施救人员的操作指导、准确施救。</w:t>
            </w:r>
          </w:p>
          <w:p w14:paraId="716DC1F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.智能环境除噪：根据环境自动调整音量，适应急救现场嘈杂环境下使用。  </w:t>
            </w:r>
          </w:p>
          <w:p w14:paraId="2269FE1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.在CPR仅按压过程中持续提供操作指导和剩余按压次数提示。 </w:t>
            </w:r>
          </w:p>
          <w:p w14:paraId="1274CBF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 xml:space="preserve">.除颤采用双相波技术，除颤波形：双相指数截断波形（BTE），具备自动阻抗补偿功能。 </w:t>
            </w:r>
          </w:p>
          <w:p w14:paraId="6E8478B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.能量可递增，首次除颤没有消除室颤时，第二次和第三次电击自动使用更高级别能量。成人最大除颤能量可达 360J。</w:t>
            </w:r>
          </w:p>
          <w:p w14:paraId="20DEA87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 xml:space="preserve">.支持成人/小儿模式，且模式可一键切换。切换后机器根据选择的病人类型自动切换提示信息、除颤能量和 CPR 按压模式。 </w:t>
            </w:r>
          </w:p>
          <w:p w14:paraId="7262402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.具备自检功能：具备每日、每周、每月、每季度的设备自检和用户手动自检，可及时判断机器状态是否正常；自检反馈：根据自检结果，红灯/绿灯显示设备状态，不开机情况下可提示故障。</w:t>
            </w:r>
          </w:p>
          <w:p w14:paraId="3857C87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.数据存储：可存储 ECG 波形数据、事件数据、录音数据、急救数据（须有急救时间、CPR 持续时间、放电次数等要素）等，可存储不少于 999份自检报告。</w:t>
            </w:r>
          </w:p>
          <w:p w14:paraId="6C36C9F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.数据导出：支持USB接口，可通过外部USB闪存设备导出抢救记录数据。</w:t>
            </w:r>
          </w:p>
          <w:p w14:paraId="3363A9E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.单副电极片出厂有效期≥36个月</w:t>
            </w:r>
            <w:r>
              <w:rPr>
                <w:rFonts w:hint="eastAsia" w:ascii="宋体" w:hAnsi="宋体" w:eastAsia="宋体" w:cs="宋体"/>
                <w:color w:val="auto"/>
                <w:kern w:val="0"/>
                <w:sz w:val="21"/>
                <w:szCs w:val="21"/>
                <w:highlight w:val="none"/>
                <w:lang w:eastAsia="zh-CN" w:bidi="ar"/>
              </w:rPr>
              <w:t>。</w:t>
            </w:r>
          </w:p>
          <w:p w14:paraId="042D14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color w:val="auto"/>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.为避免误操作，设备开机后主机操作面板上的开关及按键数量≤3个</w:t>
            </w:r>
            <w:r>
              <w:rPr>
                <w:rFonts w:hint="eastAsia" w:ascii="宋体" w:hAnsi="宋体" w:eastAsia="宋体" w:cs="宋体"/>
                <w:color w:val="auto"/>
                <w:kern w:val="0"/>
                <w:sz w:val="21"/>
                <w:szCs w:val="21"/>
                <w:highlight w:val="none"/>
                <w:lang w:eastAsia="zh-CN" w:bidi="ar"/>
              </w:rPr>
              <w:t>。</w:t>
            </w:r>
          </w:p>
          <w:p w14:paraId="3480EAF9">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val="en-US" w:eastAsia="zh-CN"/>
              </w:rPr>
            </w:pPr>
            <w:r>
              <w:rPr>
                <w:rFonts w:hint="eastAsia" w:ascii="宋体" w:hAnsi="宋体" w:eastAsia="宋体" w:cs="宋体"/>
                <w:color w:val="auto"/>
                <w:kern w:val="0"/>
                <w:sz w:val="21"/>
                <w:szCs w:val="21"/>
                <w:highlight w:val="none"/>
                <w:lang w:bidi="ar"/>
              </w:rPr>
              <w:t>含壁柜</w:t>
            </w:r>
            <w:r>
              <w:rPr>
                <w:rFonts w:hint="eastAsia" w:ascii="宋体" w:hAnsi="宋体" w:cs="宋体"/>
                <w:color w:val="auto"/>
                <w:kern w:val="0"/>
                <w:sz w:val="21"/>
                <w:szCs w:val="21"/>
                <w:highlight w:val="none"/>
                <w:lang w:eastAsia="zh-CN" w:bidi="ar"/>
              </w:rPr>
              <w:t>，不锈钢材质材质:钣金、耐腐蚀，防锈静电喷涂、开门报警，尺寸≥360mm*450mm*160mm</w:t>
            </w:r>
            <w:r>
              <w:rPr>
                <w:rFonts w:hint="eastAsia" w:ascii="宋体" w:hAnsi="宋体" w:eastAsia="宋体" w:cs="宋体"/>
                <w:color w:val="auto"/>
                <w:kern w:val="0"/>
                <w:sz w:val="21"/>
                <w:szCs w:val="21"/>
                <w:highlight w:val="none"/>
                <w:lang w:bidi="ar"/>
              </w:rPr>
              <w:t>。</w:t>
            </w:r>
          </w:p>
        </w:tc>
        <w:tc>
          <w:tcPr>
            <w:tcW w:w="1102" w:type="dxa"/>
            <w:noWrap w:val="0"/>
            <w:vAlign w:val="center"/>
          </w:tcPr>
          <w:p w14:paraId="1E8127E9">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Ⅲ</w:t>
            </w:r>
          </w:p>
        </w:tc>
      </w:tr>
      <w:tr w14:paraId="1B7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78A1EAFE">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p>
        </w:tc>
        <w:tc>
          <w:tcPr>
            <w:tcW w:w="869" w:type="dxa"/>
            <w:noWrap w:val="0"/>
            <w:vAlign w:val="center"/>
          </w:tcPr>
          <w:p w14:paraId="3F34F8EB">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教学/培训急救包</w:t>
            </w:r>
          </w:p>
        </w:tc>
        <w:tc>
          <w:tcPr>
            <w:tcW w:w="1010" w:type="dxa"/>
            <w:noWrap w:val="0"/>
            <w:vAlign w:val="center"/>
          </w:tcPr>
          <w:p w14:paraId="66817B2E">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20个</w:t>
            </w:r>
          </w:p>
        </w:tc>
        <w:tc>
          <w:tcPr>
            <w:tcW w:w="5620" w:type="dxa"/>
            <w:noWrap w:val="0"/>
            <w:vAlign w:val="center"/>
          </w:tcPr>
          <w:p w14:paraId="5C57C2D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包含口罩、创可贴、酒精消毒棉片、碘伏棉签、无菌纱布块、医用胶布、烧伤敷料、无菌眼垫敷料、压缩脱脂棉、剪刀、镊子、高频救生哨、急救毯、纱布绷带、三角巾、一次性手套、其他外伤用药、医用冰袋、说明书、急救夹板。</w:t>
            </w:r>
          </w:p>
        </w:tc>
        <w:tc>
          <w:tcPr>
            <w:tcW w:w="1102" w:type="dxa"/>
            <w:noWrap w:val="0"/>
            <w:vAlign w:val="center"/>
          </w:tcPr>
          <w:p w14:paraId="396AED54">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0566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384497FC">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c>
          <w:tcPr>
            <w:tcW w:w="869" w:type="dxa"/>
            <w:noWrap w:val="0"/>
            <w:vAlign w:val="center"/>
          </w:tcPr>
          <w:p w14:paraId="213E69C3">
            <w:pPr>
              <w:keepNext w:val="0"/>
              <w:keepLines w:val="0"/>
              <w:pageBreakBefore w:val="0"/>
              <w:widowControl/>
              <w:kinsoku/>
              <w:wordWrap w:val="0"/>
              <w:overflowPunct/>
              <w:topLinePunct w:val="0"/>
              <w:autoSpaceDE/>
              <w:autoSpaceDN/>
              <w:bidi w:val="0"/>
              <w:adjustRightInd/>
              <w:snapToGri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师资队伍建设服务</w:t>
            </w:r>
          </w:p>
        </w:tc>
        <w:tc>
          <w:tcPr>
            <w:tcW w:w="1010" w:type="dxa"/>
            <w:noWrap w:val="0"/>
            <w:vAlign w:val="center"/>
          </w:tcPr>
          <w:p w14:paraId="3CA7CF45">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1项</w:t>
            </w:r>
          </w:p>
        </w:tc>
        <w:tc>
          <w:tcPr>
            <w:tcW w:w="5620" w:type="dxa"/>
            <w:noWrap w:val="0"/>
            <w:vAlign w:val="center"/>
          </w:tcPr>
          <w:p w14:paraId="76FF2928">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1.组建急救教育师资专家库。</w:t>
            </w:r>
          </w:p>
          <w:p w14:paraId="383286B9">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2.</w:t>
            </w:r>
            <w:r>
              <w:rPr>
                <w:rFonts w:hint="eastAsia" w:ascii="宋体" w:hAnsi="宋体" w:eastAsia="宋体" w:cs="宋体"/>
                <w:color w:val="auto"/>
                <w:kern w:val="0"/>
                <w:sz w:val="21"/>
                <w:szCs w:val="21"/>
                <w:highlight w:val="none"/>
                <w:lang w:val="en-US" w:eastAsia="zh-CN" w:bidi="ar"/>
              </w:rPr>
              <w:t>配备持有欧洲复苏委员会（ERC）生命支持中级及以上认证证书，具备专业急救教学资质的师资</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开展欧洲复苏委员会生命支持初级导师师资培训6人，并获取国际初级导师证书，培训课程时长</w:t>
            </w:r>
            <w:r>
              <w:rPr>
                <w:rFonts w:hint="eastAsia" w:ascii="宋体" w:hAnsi="宋体" w:eastAsia="宋体" w:cs="宋体"/>
                <w:color w:val="auto"/>
                <w:kern w:val="0"/>
                <w:sz w:val="21"/>
                <w:szCs w:val="21"/>
                <w:highlight w:val="none"/>
                <w:lang w:val="en-US" w:eastAsia="zh-CN" w:bidi="ar"/>
              </w:rPr>
              <w:t>不少于</w:t>
            </w:r>
            <w:r>
              <w:rPr>
                <w:rFonts w:hint="eastAsia" w:ascii="宋体" w:hAnsi="宋体" w:eastAsia="宋体" w:cs="宋体"/>
                <w:color w:val="auto"/>
                <w:kern w:val="0"/>
                <w:sz w:val="21"/>
                <w:szCs w:val="21"/>
                <w:highlight w:val="none"/>
                <w:lang w:eastAsia="zh-CN" w:bidi="ar"/>
              </w:rPr>
              <w:t>16小时。课程内容包含：</w:t>
            </w:r>
          </w:p>
          <w:p w14:paraId="3161176E">
            <w:pPr>
              <w:pStyle w:val="340"/>
              <w:keepNext w:val="0"/>
              <w:keepLines w:val="0"/>
              <w:pageBreakBefore w:val="0"/>
              <w:kinsoku/>
              <w:wordWrap/>
              <w:overflowPunct/>
              <w:topLinePunct w:val="0"/>
              <w:autoSpaceDE/>
              <w:autoSpaceDN/>
              <w:bidi w:val="0"/>
              <w:adjustRightInd/>
              <w:snapToGrid/>
              <w:spacing w:line="400" w:lineRule="exact"/>
              <w:ind w:left="123"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（1）中级生命支持（ILS）课程</w:t>
            </w:r>
          </w:p>
          <w:p w14:paraId="067FF48B">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eastAsia="zh-CN" w:bidi="ar"/>
              </w:rPr>
              <w:t>讲座：心脏骤停的原因及预防措施。</w:t>
            </w:r>
          </w:p>
          <w:p w14:paraId="27178876">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eastAsia="zh-CN" w:bidi="ar"/>
              </w:rPr>
              <w:t>技能培训站一：ABCDE五种路径。</w:t>
            </w:r>
          </w:p>
          <w:p w14:paraId="063CF1C2">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kern w:val="0"/>
                <w:sz w:val="21"/>
                <w:szCs w:val="21"/>
                <w:highlight w:val="none"/>
                <w:lang w:eastAsia="zh-CN" w:bidi="ar"/>
              </w:rPr>
              <w:t>演示/讲座CAS演示ALS治疗法。</w:t>
            </w:r>
          </w:p>
          <w:p w14:paraId="4179D5A5">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kern w:val="0"/>
                <w:sz w:val="21"/>
                <w:szCs w:val="21"/>
                <w:highlight w:val="none"/>
                <w:lang w:eastAsia="zh-CN" w:bidi="ar"/>
              </w:rPr>
              <w:t>技能培训站二：初期复苏和除颤。</w:t>
            </w:r>
          </w:p>
          <w:p w14:paraId="660CDF78">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⑤</w:t>
            </w:r>
            <w:r>
              <w:rPr>
                <w:rFonts w:hint="eastAsia" w:ascii="宋体" w:hAnsi="宋体" w:eastAsia="宋体" w:cs="宋体"/>
                <w:color w:val="auto"/>
                <w:kern w:val="0"/>
                <w:sz w:val="21"/>
                <w:szCs w:val="21"/>
                <w:highlight w:val="none"/>
                <w:lang w:eastAsia="zh-CN" w:bidi="ar"/>
              </w:rPr>
              <w:t>技能培训站三：气道管理和人工呼吸针对性训练。</w:t>
            </w:r>
          </w:p>
          <w:p w14:paraId="41E162CC">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⑥</w:t>
            </w:r>
            <w:r>
              <w:rPr>
                <w:rFonts w:hint="eastAsia" w:ascii="宋体" w:hAnsi="宋体" w:eastAsia="宋体" w:cs="宋体"/>
                <w:color w:val="auto"/>
                <w:kern w:val="0"/>
                <w:sz w:val="21"/>
                <w:szCs w:val="21"/>
                <w:highlight w:val="none"/>
                <w:lang w:eastAsia="zh-CN" w:bidi="ar"/>
              </w:rPr>
              <w:t>技能培训站四：CAS 讲解。</w:t>
            </w:r>
          </w:p>
          <w:p w14:paraId="0CFDB094">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（2）初级生命支持导师（BLSI）课程。</w:t>
            </w:r>
          </w:p>
          <w:p w14:paraId="423CCA7A">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eastAsia="zh-CN" w:bidi="ar"/>
              </w:rPr>
              <w:t>优秀导师具备的要求和条件。</w:t>
            </w:r>
          </w:p>
          <w:p w14:paraId="6D18F37E">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eastAsia="zh-CN" w:bidi="ar"/>
              </w:rPr>
              <w:t>课程的导师外在条件需具备的要求。</w:t>
            </w:r>
          </w:p>
          <w:p w14:paraId="1E2F5E55">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kern w:val="0"/>
                <w:sz w:val="21"/>
                <w:szCs w:val="21"/>
                <w:highlight w:val="none"/>
                <w:lang w:eastAsia="zh-CN" w:bidi="ar"/>
              </w:rPr>
              <w:t>课程导师把课程内容传递给学员并让学员考核通过的技巧。</w:t>
            </w:r>
          </w:p>
          <w:p w14:paraId="539F7563">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④</w:t>
            </w:r>
            <w:r>
              <w:rPr>
                <w:rFonts w:hint="eastAsia" w:ascii="宋体" w:hAnsi="宋体" w:eastAsia="宋体" w:cs="宋体"/>
                <w:color w:val="auto"/>
                <w:kern w:val="0"/>
                <w:sz w:val="21"/>
                <w:szCs w:val="21"/>
                <w:highlight w:val="none"/>
                <w:lang w:eastAsia="zh-CN" w:bidi="ar"/>
              </w:rPr>
              <w:t>理论讲解的注意事项和要求。</w:t>
            </w:r>
          </w:p>
          <w:p w14:paraId="4A570802">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⑤</w:t>
            </w:r>
            <w:r>
              <w:rPr>
                <w:rFonts w:hint="eastAsia" w:ascii="宋体" w:hAnsi="宋体" w:eastAsia="宋体" w:cs="宋体"/>
                <w:color w:val="auto"/>
                <w:kern w:val="0"/>
                <w:sz w:val="21"/>
                <w:szCs w:val="21"/>
                <w:highlight w:val="none"/>
                <w:lang w:eastAsia="zh-CN" w:bidi="ar"/>
              </w:rPr>
              <w:t>实操课程讲解的要求和注意事项。</w:t>
            </w:r>
          </w:p>
          <w:p w14:paraId="61C3331B">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⑥</w:t>
            </w:r>
            <w:r>
              <w:rPr>
                <w:rFonts w:hint="eastAsia" w:ascii="宋体" w:hAnsi="宋体" w:eastAsia="宋体" w:cs="宋体"/>
                <w:color w:val="auto"/>
                <w:kern w:val="0"/>
                <w:sz w:val="21"/>
                <w:szCs w:val="21"/>
                <w:highlight w:val="none"/>
                <w:lang w:eastAsia="zh-CN" w:bidi="ar"/>
              </w:rPr>
              <w:t>课程导师上课的流程讲解。</w:t>
            </w:r>
          </w:p>
          <w:p w14:paraId="4310C93E">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⑦</w:t>
            </w:r>
            <w:r>
              <w:rPr>
                <w:rFonts w:hint="eastAsia" w:ascii="宋体" w:hAnsi="宋体" w:eastAsia="宋体" w:cs="宋体"/>
                <w:color w:val="auto"/>
                <w:kern w:val="0"/>
                <w:sz w:val="21"/>
                <w:szCs w:val="21"/>
                <w:highlight w:val="none"/>
                <w:lang w:eastAsia="zh-CN" w:bidi="ar"/>
              </w:rPr>
              <w:t>课程导师证书发放的要求讲解。</w:t>
            </w:r>
          </w:p>
          <w:p w14:paraId="33CA1F26">
            <w:pPr>
              <w:pStyle w:val="340"/>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⑧</w:t>
            </w:r>
            <w:r>
              <w:rPr>
                <w:rFonts w:hint="eastAsia" w:ascii="宋体" w:hAnsi="宋体" w:eastAsia="宋体" w:cs="宋体"/>
                <w:color w:val="auto"/>
                <w:kern w:val="0"/>
                <w:sz w:val="21"/>
                <w:szCs w:val="21"/>
                <w:highlight w:val="none"/>
                <w:lang w:eastAsia="zh-CN" w:bidi="ar"/>
              </w:rPr>
              <w:t>课程导师学员信息收集要求讲解。</w:t>
            </w:r>
          </w:p>
          <w:p w14:paraId="1EE95BD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⑨</w:t>
            </w:r>
            <w:r>
              <w:rPr>
                <w:rFonts w:hint="eastAsia" w:ascii="宋体" w:hAnsi="宋体" w:eastAsia="宋体" w:cs="宋体"/>
                <w:color w:val="auto"/>
                <w:kern w:val="0"/>
                <w:sz w:val="21"/>
                <w:szCs w:val="21"/>
                <w:highlight w:val="none"/>
                <w:lang w:eastAsia="zh-CN" w:bidi="ar"/>
              </w:rPr>
              <w:t>候选导师实操讲解、考核。</w:t>
            </w:r>
          </w:p>
        </w:tc>
        <w:tc>
          <w:tcPr>
            <w:tcW w:w="1102" w:type="dxa"/>
            <w:noWrap w:val="0"/>
            <w:vAlign w:val="center"/>
          </w:tcPr>
          <w:p w14:paraId="503873C5">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236F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1CBCB77A">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w:t>
            </w:r>
          </w:p>
        </w:tc>
        <w:tc>
          <w:tcPr>
            <w:tcW w:w="869" w:type="dxa"/>
            <w:noWrap w:val="0"/>
            <w:vAlign w:val="center"/>
          </w:tcPr>
          <w:p w14:paraId="68F233F7">
            <w:pPr>
              <w:keepNext w:val="0"/>
              <w:keepLines w:val="0"/>
              <w:pageBreakBefore w:val="0"/>
              <w:widowControl/>
              <w:kinsoku/>
              <w:wordWrap w:val="0"/>
              <w:overflowPunct/>
              <w:topLinePunct w:val="0"/>
              <w:autoSpaceDE/>
              <w:autoSpaceDN/>
              <w:bidi w:val="0"/>
              <w:adjustRightInd/>
              <w:snapToGri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校本教材</w:t>
            </w:r>
          </w:p>
        </w:tc>
        <w:tc>
          <w:tcPr>
            <w:tcW w:w="1010" w:type="dxa"/>
            <w:noWrap w:val="0"/>
            <w:vAlign w:val="center"/>
          </w:tcPr>
          <w:p w14:paraId="7347EE82">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w:t>
            </w:r>
          </w:p>
        </w:tc>
        <w:tc>
          <w:tcPr>
            <w:tcW w:w="5620" w:type="dxa"/>
            <w:noWrap w:val="0"/>
            <w:vAlign w:val="center"/>
          </w:tcPr>
          <w:p w14:paraId="5174E1B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学校的急救教学</w:t>
            </w:r>
            <w:r>
              <w:rPr>
                <w:rFonts w:hint="eastAsia" w:ascii="宋体" w:hAnsi="宋体" w:eastAsia="宋体" w:cs="宋体"/>
                <w:color w:val="auto"/>
                <w:sz w:val="21"/>
                <w:szCs w:val="21"/>
                <w:highlight w:val="none"/>
              </w:rPr>
              <w:t>培训内容编写《医疗应急处理虚拟实训课程包》、《虚拟仿真实训手册》。</w:t>
            </w:r>
          </w:p>
          <w:p w14:paraId="292DEA1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校本教材内容结合技能操作能力培训以及技能教育为主，开发2本培训用校本教材；</w:t>
            </w:r>
            <w:r>
              <w:rPr>
                <w:rFonts w:hint="eastAsia" w:ascii="宋体" w:hAnsi="宋体" w:cs="宋体"/>
                <w:color w:val="auto"/>
                <w:sz w:val="21"/>
                <w:szCs w:val="21"/>
                <w:highlight w:val="none"/>
                <w:lang w:val="en-US" w:eastAsia="zh-CN"/>
              </w:rPr>
              <w:t>协助学校进行</w:t>
            </w:r>
            <w:r>
              <w:rPr>
                <w:rFonts w:hint="eastAsia" w:ascii="宋体" w:hAnsi="宋体" w:eastAsia="宋体" w:cs="宋体"/>
                <w:color w:val="auto"/>
                <w:sz w:val="21"/>
                <w:szCs w:val="21"/>
                <w:highlight w:val="none"/>
              </w:rPr>
              <w:t>校本教材</w:t>
            </w:r>
            <w:r>
              <w:rPr>
                <w:rFonts w:hint="eastAsia" w:ascii="宋体" w:hAnsi="宋体" w:cs="宋体"/>
                <w:color w:val="auto"/>
                <w:sz w:val="21"/>
                <w:szCs w:val="21"/>
                <w:highlight w:val="none"/>
                <w:lang w:val="en-US" w:eastAsia="zh-CN"/>
              </w:rPr>
              <w:t>编写</w:t>
            </w:r>
            <w:r>
              <w:rPr>
                <w:rFonts w:hint="eastAsia" w:ascii="宋体" w:hAnsi="宋体" w:eastAsia="宋体" w:cs="宋体"/>
                <w:color w:val="auto"/>
                <w:sz w:val="21"/>
                <w:szCs w:val="21"/>
                <w:highlight w:val="none"/>
              </w:rPr>
              <w:t>“基于岗位能力为核心”的一体化课程体系，促进学校特色校本教材规范、有序的建设，满足对学生岗位职业能力培养的需求，满足学生对操作能力岗位的职业能力的培养。</w:t>
            </w:r>
          </w:p>
        </w:tc>
        <w:tc>
          <w:tcPr>
            <w:tcW w:w="1102" w:type="dxa"/>
            <w:noWrap w:val="0"/>
            <w:vAlign w:val="center"/>
          </w:tcPr>
          <w:p w14:paraId="7CBAAE28">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6DF1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35" w:type="dxa"/>
            <w:noWrap w:val="0"/>
            <w:vAlign w:val="center"/>
          </w:tcPr>
          <w:p w14:paraId="5F4C33A5">
            <w:pPr>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w:t>
            </w:r>
          </w:p>
        </w:tc>
        <w:tc>
          <w:tcPr>
            <w:tcW w:w="869" w:type="dxa"/>
            <w:noWrap w:val="0"/>
            <w:vAlign w:val="center"/>
          </w:tcPr>
          <w:p w14:paraId="4E6A6AF9">
            <w:pPr>
              <w:keepNext w:val="0"/>
              <w:keepLines w:val="0"/>
              <w:pageBreakBefore w:val="0"/>
              <w:widowControl/>
              <w:kinsoku/>
              <w:wordWrap w:val="0"/>
              <w:overflowPunct/>
              <w:topLinePunct w:val="0"/>
              <w:autoSpaceDE/>
              <w:autoSpaceDN/>
              <w:bidi w:val="0"/>
              <w:adjustRightInd/>
              <w:snapToGri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急救文化建设</w:t>
            </w:r>
          </w:p>
        </w:tc>
        <w:tc>
          <w:tcPr>
            <w:tcW w:w="1010" w:type="dxa"/>
            <w:noWrap w:val="0"/>
            <w:vAlign w:val="center"/>
          </w:tcPr>
          <w:p w14:paraId="0B8115A2">
            <w:pPr>
              <w:keepNext w:val="0"/>
              <w:keepLines w:val="0"/>
              <w:pageBreakBefore w:val="0"/>
              <w:widowControl/>
              <w:kinsoku/>
              <w:wordWrap/>
              <w:overflowPunct/>
              <w:topLinePunct w:val="0"/>
              <w:autoSpaceDE/>
              <w:autoSpaceDN/>
              <w:bidi w:val="0"/>
              <w:adjustRightInd/>
              <w:spacing w:line="38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1项</w:t>
            </w:r>
          </w:p>
        </w:tc>
        <w:tc>
          <w:tcPr>
            <w:tcW w:w="5620" w:type="dxa"/>
            <w:noWrap w:val="0"/>
            <w:vAlign w:val="center"/>
          </w:tcPr>
          <w:p w14:paraId="59A577A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3栋实训楼1楼走廊约300平方米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具体以实际测量为准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的急救文化建设。 </w:t>
            </w:r>
          </w:p>
          <w:p w14:paraId="292540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w:t>
            </w:r>
          </w:p>
          <w:p w14:paraId="7B56E87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1.主题展示墙 </w:t>
            </w:r>
          </w:p>
          <w:p w14:paraId="39E5825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内容围绕急救历史、急救重要性、常见急救场景等设计，画面风格需简洁明了、色彩搭配协调，具有教育性和视觉吸引力。 </w:t>
            </w:r>
          </w:p>
          <w:p w14:paraId="58AA563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采用高清UV喷绘工艺制作，材质选用厚度≥3mm的PVC板，表面覆哑光保护膜，防刮耐磨。 </w:t>
            </w:r>
          </w:p>
          <w:p w14:paraId="10C786A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展示墙总面积不少于50平方米，包含图文排版设计、制作及安装(具体面积可根据实际情况调整) 。</w:t>
            </w:r>
          </w:p>
          <w:p w14:paraId="652EE5B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2.互动知识展板 </w:t>
            </w:r>
          </w:p>
          <w:p w14:paraId="1E3E459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设置6块可更换内容的互动展板，用于展示急救知识、技能操作步骤等，采用磁吸式或插槽式设计，</w:t>
            </w:r>
            <w:r>
              <w:rPr>
                <w:rFonts w:hint="eastAsia" w:ascii="宋体" w:hAnsi="宋体" w:eastAsia="宋体" w:cs="宋体"/>
                <w:color w:val="auto"/>
                <w:sz w:val="21"/>
                <w:szCs w:val="21"/>
                <w:highlight w:val="none"/>
                <w:lang w:val="en-US" w:eastAsia="zh-CN"/>
              </w:rPr>
              <w:t>便于</w:t>
            </w:r>
            <w:r>
              <w:rPr>
                <w:rFonts w:hint="eastAsia" w:ascii="宋体" w:hAnsi="宋体" w:eastAsia="宋体" w:cs="宋体"/>
                <w:color w:val="auto"/>
                <w:sz w:val="21"/>
                <w:szCs w:val="21"/>
                <w:highlight w:val="none"/>
              </w:rPr>
              <w:t xml:space="preserve">后续更新内容。 </w:t>
            </w:r>
          </w:p>
          <w:p w14:paraId="1592BFD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展板材质选用铝合金边框，厚度≥2cm，面板为亚克力板，画面采用丝网印刷工艺，色彩鲜艳，经久耐用。 </w:t>
            </w:r>
          </w:p>
          <w:p w14:paraId="6207E5E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每块展板尺寸约1.2m×2m（最终尺寸以现场沟通为准），需包含设计、制作及安装。 </w:t>
            </w:r>
          </w:p>
          <w:p w14:paraId="3536479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3.文化标识牌 </w:t>
            </w:r>
          </w:p>
          <w:p w14:paraId="403C7EA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在走廊合适位置设置急救文化标识牌（如急救标语、温馨提示等），数量8个。 </w:t>
            </w:r>
          </w:p>
          <w:p w14:paraId="000CBA0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材质采用不锈钢激光切割，表面进行烤漆处理，颜色根据整体设计风格搭配，尺寸根据实际需求定制，确保牢固安装。 </w:t>
            </w:r>
          </w:p>
          <w:p w14:paraId="0CF196C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4.操作流程指引牌 </w:t>
            </w:r>
          </w:p>
          <w:p w14:paraId="74137929">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针对实训室各类急救设备和操作流程，制作相应的指引牌，数量8个。 </w:t>
            </w:r>
          </w:p>
          <w:p w14:paraId="30F9909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指引牌采用亚克力雕刻工艺，内置LED灯带（暖白色光），夜间可清晰展示内容，尺寸根据实际需求定制，需包含设计、制作及安装。 </w:t>
            </w:r>
          </w:p>
          <w:p w14:paraId="4F3466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5.荣誉展示区 </w:t>
            </w:r>
          </w:p>
          <w:p w14:paraId="2321D0C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设置荣誉展示区，用于展示学校在急救技能竞赛、培训成果等方面的荣誉，面积约5平方米（最终尺寸以现场沟通为准）。 </w:t>
            </w:r>
          </w:p>
          <w:p w14:paraId="6EDCD20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采用展柜搭配玻璃柜门设计，展柜需稳固、防潮，内部设置可调节层板，方便展示不同规格的奖杯、证书等物品，包含设计、制作及安装。</w:t>
            </w:r>
          </w:p>
        </w:tc>
        <w:tc>
          <w:tcPr>
            <w:tcW w:w="1102" w:type="dxa"/>
            <w:noWrap w:val="0"/>
            <w:vAlign w:val="center"/>
          </w:tcPr>
          <w:p w14:paraId="16091851">
            <w:pPr>
              <w:keepNext w:val="0"/>
              <w:keepLines w:val="0"/>
              <w:pageBreakBefore w:val="0"/>
              <w:widowControl/>
              <w:kinsoku/>
              <w:wordWrap/>
              <w:overflowPunct/>
              <w:topLinePunct w:val="0"/>
              <w:autoSpaceDE/>
              <w:autoSpaceDN/>
              <w:bidi w:val="0"/>
              <w:adjustRightInd/>
              <w:spacing w:line="400" w:lineRule="exact"/>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p>
        </w:tc>
      </w:tr>
      <w:tr w14:paraId="12B1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5"/>
            <w:noWrap w:val="0"/>
            <w:vAlign w:val="center"/>
          </w:tcPr>
          <w:p w14:paraId="39B8D81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21FA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740F5924">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vertAlign w:val="baseline"/>
                <w:lang w:eastAsia="zh-CN"/>
              </w:rPr>
              <w:t>质保期</w:t>
            </w:r>
          </w:p>
        </w:tc>
        <w:tc>
          <w:tcPr>
            <w:tcW w:w="7732" w:type="dxa"/>
            <w:gridSpan w:val="3"/>
            <w:noWrap w:val="0"/>
            <w:vAlign w:val="center"/>
          </w:tcPr>
          <w:p w14:paraId="448422F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按国家有关产品“三包”规定执行“三包”，自交付验收合格之日起质保期不少于12个月，项目需求中有特殊要求的，按项目需求执行。</w:t>
            </w:r>
          </w:p>
        </w:tc>
      </w:tr>
      <w:tr w14:paraId="4B06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58937DDD">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32" w:type="dxa"/>
            <w:gridSpan w:val="3"/>
            <w:noWrap w:val="0"/>
            <w:vAlign w:val="center"/>
          </w:tcPr>
          <w:p w14:paraId="5D82558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1.交货时间：自签订合同之日起</w:t>
            </w:r>
            <w:r>
              <w:rPr>
                <w:rFonts w:hint="eastAsia" w:ascii="宋体" w:hAnsi="宋体" w:cs="宋体"/>
                <w:color w:val="auto"/>
                <w:kern w:val="2"/>
                <w:sz w:val="21"/>
                <w:szCs w:val="21"/>
                <w:highlight w:val="none"/>
                <w:u w:val="none"/>
                <w:lang w:val="en-US" w:eastAsia="zh-CN" w:bidi="ar-SA"/>
              </w:rPr>
              <w:t>30</w:t>
            </w:r>
            <w:r>
              <w:rPr>
                <w:rFonts w:hint="eastAsia" w:ascii="宋体" w:hAnsi="宋体" w:eastAsia="宋体" w:cs="宋体"/>
                <w:color w:val="auto"/>
                <w:kern w:val="2"/>
                <w:sz w:val="21"/>
                <w:szCs w:val="21"/>
                <w:highlight w:val="none"/>
                <w:u w:val="none"/>
                <w:lang w:val="en-US" w:eastAsia="zh-CN" w:bidi="ar-SA"/>
              </w:rPr>
              <w:t>天内安装调试并交付使用。</w:t>
            </w:r>
          </w:p>
          <w:p w14:paraId="64581E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2.交付地点：北海市</w:t>
            </w:r>
            <w:r>
              <w:rPr>
                <w:rFonts w:hint="eastAsia" w:ascii="宋体" w:hAnsi="宋体" w:cs="宋体"/>
                <w:color w:val="auto"/>
                <w:kern w:val="2"/>
                <w:sz w:val="21"/>
                <w:szCs w:val="21"/>
                <w:highlight w:val="none"/>
                <w:u w:val="none"/>
                <w:lang w:val="en-US" w:eastAsia="zh-CN" w:bidi="ar-SA"/>
              </w:rPr>
              <w:t>招标人</w:t>
            </w:r>
            <w:r>
              <w:rPr>
                <w:rFonts w:hint="eastAsia" w:ascii="宋体" w:hAnsi="宋体" w:eastAsia="宋体" w:cs="宋体"/>
                <w:color w:val="auto"/>
                <w:kern w:val="2"/>
                <w:sz w:val="21"/>
                <w:szCs w:val="21"/>
                <w:highlight w:val="none"/>
                <w:u w:val="none"/>
                <w:lang w:val="en-US" w:eastAsia="zh-CN" w:bidi="ar-SA"/>
              </w:rPr>
              <w:t>指定地点。</w:t>
            </w:r>
          </w:p>
        </w:tc>
      </w:tr>
      <w:tr w14:paraId="6D29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504" w:type="dxa"/>
            <w:gridSpan w:val="2"/>
            <w:noWrap w:val="0"/>
            <w:vAlign w:val="center"/>
          </w:tcPr>
          <w:p w14:paraId="26826DCF">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32" w:type="dxa"/>
            <w:gridSpan w:val="3"/>
            <w:noWrap w:val="0"/>
            <w:vAlign w:val="center"/>
          </w:tcPr>
          <w:p w14:paraId="44B913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合同签订后10个工作日内采购人向中标人支付中标金额的50%，剩余中标金额的50%在验收合格后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081C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2CCA5CA2">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32" w:type="dxa"/>
            <w:gridSpan w:val="3"/>
            <w:noWrap w:val="0"/>
            <w:vAlign w:val="center"/>
          </w:tcPr>
          <w:p w14:paraId="4095D9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1.免费送货上门、安装、调试，免费培训使用人员和维护人员，售后服务人员现场免费培训操作人员到能熟练操作（保证使用人员正常操作产品的各种功能；提供培训时长、内容等说明）。</w:t>
            </w:r>
          </w:p>
          <w:p w14:paraId="2DA50BF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796C35C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项目在安装调试过程中，中标人应派专业技术人员对施工进行同步指导，并负责全套机组的调试运行，达到验收要求。负责派合格的工程师到现场进行设备安装、调试，达到正常运作要求，保证机器正常使用。在保质期内，中标人应提供7*24小时现场保修和技术支持服务，设备出现问题或招标人有服务需求的，中标人应接到故障通知后在6小时内到</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指定现场，按国家及行业标准对故障进行及时处理；在8小时内不能解决的，供应商须在24小时内提供与原设备技术参数要求相同或高于原设备技术参数要求的备用产品，以保证</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的正常工作</w:t>
            </w:r>
            <w:r>
              <w:rPr>
                <w:rFonts w:hint="eastAsia" w:ascii="宋体" w:hAnsi="宋体" w:cs="宋体"/>
                <w:color w:val="auto"/>
                <w:sz w:val="21"/>
                <w:szCs w:val="21"/>
                <w:highlight w:val="none"/>
                <w:u w:val="none"/>
                <w:lang w:val="en-US" w:eastAsia="zh-CN"/>
              </w:rPr>
              <w:t>；如诊断为硬件故障，应携带备件并进行现场更换，承诺尽力在最短时间内恢复正常运行，如果中标人在接到通知后的24个小时内未作出响应，招标人有权另行委托第三方进行维修或者处理，且中标人仍需继续承担质保责任，由于故障所造成的全部损失由成交中标人承担</w:t>
            </w:r>
            <w:r>
              <w:rPr>
                <w:rFonts w:hint="eastAsia" w:ascii="宋体" w:hAnsi="宋体" w:eastAsia="宋体" w:cs="宋体"/>
                <w:color w:val="auto"/>
                <w:sz w:val="21"/>
                <w:szCs w:val="21"/>
                <w:highlight w:val="none"/>
                <w:u w:val="none"/>
                <w:lang w:val="en-US" w:eastAsia="zh-CN"/>
              </w:rPr>
              <w:t>。质保期内免费提供维护和保养服务并提供技术援助电话和售后服务电话，维修、换货中所有产生的一切费用由中标方承担。超过质量保证期的货物，中标人提供</w:t>
            </w:r>
            <w:r>
              <w:rPr>
                <w:rFonts w:hint="eastAsia" w:ascii="宋体" w:hAnsi="宋体" w:cs="宋体"/>
                <w:color w:val="auto"/>
                <w:sz w:val="21"/>
                <w:szCs w:val="21"/>
                <w:highlight w:val="none"/>
                <w:u w:val="none"/>
                <w:lang w:val="en-US" w:eastAsia="zh-CN"/>
              </w:rPr>
              <w:t>终身</w:t>
            </w:r>
            <w:r>
              <w:rPr>
                <w:rFonts w:hint="eastAsia" w:ascii="宋体" w:hAnsi="宋体" w:eastAsia="宋体" w:cs="宋体"/>
                <w:color w:val="auto"/>
                <w:sz w:val="21"/>
                <w:szCs w:val="21"/>
                <w:highlight w:val="none"/>
                <w:u w:val="none"/>
                <w:lang w:val="en-US" w:eastAsia="zh-CN"/>
              </w:rPr>
              <w:t>、保养服务，维修时只收部件成本费。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修理，并提供优惠价格的配件和服务。</w:t>
            </w:r>
          </w:p>
          <w:p w14:paraId="199D7E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3.中标人随时优惠提供备品备件，优惠提供产品更新、改造服务。</w:t>
            </w:r>
          </w:p>
          <w:p w14:paraId="52CBFC2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4.承诺提供保修服务须原厂保修。</w:t>
            </w:r>
          </w:p>
          <w:p w14:paraId="6848EB7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.中标人提供24小时365天免费维修服务热线支持。每半年进行一次定期回访，回访后5个工作日内向</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提供书面售后情况记录汇总表、售后情况记录表。</w:t>
            </w:r>
          </w:p>
          <w:p w14:paraId="74099F6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.提供中文操作手册、维护手册、维修手册、软件备份、故障代码表、备件清单、零部件、维修密码等维护维修必需的材料和信息。</w:t>
            </w:r>
          </w:p>
          <w:p w14:paraId="0DC887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.售后服务承诺书中根据</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的实际情况对质量保证及售后服务方案做出详细服务承诺、提供详细的保养计划。</w:t>
            </w:r>
          </w:p>
          <w:p w14:paraId="754CBB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.在保质期满后，中标人应提供备件和维修服务。</w:t>
            </w:r>
          </w:p>
          <w:p w14:paraId="62E39E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9.投标人承诺中标后能随时响应招标人需要，为招标人提出合理意见或建议的方案计划，并能够针对性地改进产品及服务。</w:t>
            </w:r>
          </w:p>
          <w:p w14:paraId="052E2C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 w:val="21"/>
                <w:szCs w:val="21"/>
                <w:highlight w:val="none"/>
                <w:u w:val="none"/>
                <w:lang w:val="en-US" w:eastAsia="zh-CN"/>
              </w:rPr>
              <w:t>10.质保期内，中标人应提供符合要求的产品质保、维修服务并免除配件费、人工费、拆装费等一切售后服务费用。</w:t>
            </w:r>
          </w:p>
        </w:tc>
      </w:tr>
      <w:tr w14:paraId="5D15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6FF980F0">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质量要求</w:t>
            </w:r>
          </w:p>
        </w:tc>
        <w:tc>
          <w:tcPr>
            <w:tcW w:w="7732" w:type="dxa"/>
            <w:gridSpan w:val="3"/>
            <w:noWrap w:val="0"/>
            <w:vAlign w:val="center"/>
          </w:tcPr>
          <w:p w14:paraId="17CA1F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w:t>
            </w:r>
          </w:p>
          <w:p w14:paraId="5CA5890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2.投标人所提供的货物型号、技术规格、技术参数等质量必须与招投标文件和承诺相一致。</w:t>
            </w:r>
          </w:p>
          <w:p w14:paraId="4431172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3.投标人所提供的货物必须是全新、未使用的原装产品，且在正常安装、使用和保养条件下，其使用寿命期内各项指标均达到质量要求。</w:t>
            </w:r>
          </w:p>
          <w:p w14:paraId="4944A8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4.货物交付时验收范围包括标签、型号、规格、数量、货物包装、外观质量、软件介质、配件、货物装箱清单等方面内容，文件或技术资料应当清晰、准确和完整。</w:t>
            </w:r>
          </w:p>
          <w:p w14:paraId="4D84DE9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测试及检验：检验和测试在产品使用地进行；如果任何被检验或测试的产品不能满足采购要求的，招标人可以拒绝接受该产品，中标人需承担被招标人终止合同的一切风险和费用。</w:t>
            </w:r>
          </w:p>
        </w:tc>
      </w:tr>
      <w:tr w14:paraId="6F1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4A65B274">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验收要求</w:t>
            </w:r>
          </w:p>
        </w:tc>
        <w:tc>
          <w:tcPr>
            <w:tcW w:w="7732" w:type="dxa"/>
            <w:gridSpan w:val="3"/>
            <w:noWrap w:val="0"/>
            <w:vAlign w:val="center"/>
          </w:tcPr>
          <w:p w14:paraId="758456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1.招标人</w:t>
            </w:r>
            <w:r>
              <w:rPr>
                <w:rFonts w:hint="eastAsia" w:ascii="宋体" w:hAnsi="宋体" w:eastAsia="宋体" w:cs="宋体"/>
                <w:color w:val="auto"/>
                <w:sz w:val="21"/>
                <w:szCs w:val="21"/>
                <w:highlight w:val="none"/>
                <w:u w:val="none"/>
                <w:lang w:val="en-US" w:eastAsia="zh-CN"/>
              </w:rPr>
              <w:t>对中标人提交的货物依据招标文件上的技术规格要求和国家有关质量标准进行现场初步验收，外观、说明书符合招标文件技术要求的，给予签收，初步验收不合格的不予签收。货到后，</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应当在到货（安装、调试完）后</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个工作日内进行验收。中标人将产品送达招标人指定地点并出具到货验收单，招标人对货物的验收仅作为对货物外包装、数量和规定的表面查验，并不视为招标人对货物质量的认可或者免除/减轻中标人责任或义务。货物运到交货场，中标人应派出工人到达货物使用现场与招标人管理人员协调安装事宜，有关安装费用由中标人承担。</w:t>
            </w:r>
          </w:p>
          <w:p w14:paraId="4332AF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由</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中标人双方共同现场验收，并出具验收文书。有必要时可委托第三方或具有相关资质的第三方检测机构（具备质量技术监督部门或市场监督管理部门颁发的计量认证资质CMA）开展采购项目验收工作。如随机抽取的货物检测报告结果不合格的，则视为货物不合格，须按</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要求及时整改，如因此过程耽误交货时间导致</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不能及时接受货物、安装货物、使用货物造成损失的，中标人承担由此所造成全部损失。</w:t>
            </w:r>
          </w:p>
          <w:p w14:paraId="6E94EC9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.本次采购货物在完成所有安装调试并经</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验收前，商品的丢失、损害或毁坏等风险由中标供应商承担。中标供应商组织安装调试期间应做到安全安装调试，不损坏</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的设备设施，否则，应承担由于自身安全措施不力所造成的事故责任和造成的损失。中标人交货前应对产品作出全面检查和对验收文件进行整理，并列出清单，作为</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收货验收和使用的技术条件依据，检验的结果应随货物交</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w:t>
            </w:r>
          </w:p>
          <w:p w14:paraId="1944FFE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对中标人提供的货物在使用前进行调试时，中标人须负责安装并培训</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的使用操作人员，直到符合技术要求，</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才做最终验收。</w:t>
            </w:r>
          </w:p>
          <w:p w14:paraId="22410F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4.对技术复杂的货物，</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可请国家认可的专业检测机构参与初步验收及最终验收，并由其出具质量检测报告。</w:t>
            </w:r>
          </w:p>
          <w:p w14:paraId="70AA3C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5.项目实施过程中，非中标人责任发生不可履约情况的，中标人须立即通知</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，且在5个工作日内提交书面情况说明及应对措施给</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w:t>
            </w:r>
          </w:p>
          <w:p w14:paraId="7C3DBE6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6.验收时中标人必须在现场，验收完毕后作出验收结果报告；验收费用由中标人负责。</w:t>
            </w:r>
          </w:p>
          <w:p w14:paraId="500B4B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7.其余未尽事项按相关法律规定及售后服务承诺书及招标、投标文件相应约定办理。</w:t>
            </w:r>
          </w:p>
        </w:tc>
      </w:tr>
      <w:tr w14:paraId="4569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4" w:type="dxa"/>
            <w:gridSpan w:val="2"/>
            <w:noWrap w:val="0"/>
            <w:vAlign w:val="center"/>
          </w:tcPr>
          <w:p w14:paraId="3A49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包装方式</w:t>
            </w:r>
          </w:p>
        </w:tc>
        <w:tc>
          <w:tcPr>
            <w:tcW w:w="7732" w:type="dxa"/>
            <w:gridSpan w:val="3"/>
            <w:noWrap w:val="0"/>
            <w:vAlign w:val="center"/>
          </w:tcPr>
          <w:p w14:paraId="2CD7FD6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 xml:space="preserve">中标人应提供货物运至合同规定的最终目的地所需要的包装，以防止货物在转运中损坏或变质。这类包装应采取防潮、防晒、防锈、防腐蚀、防震动及防止其它损坏的必要保护措施，从而保护货物能够经受多次搬运、装卸及内陆的长途运输。中标人应承担由于其包装或其防护措施不妥而引起货物锈蚀、损坏或丢失的任何损失的责任或费用。 </w:t>
            </w:r>
          </w:p>
        </w:tc>
      </w:tr>
      <w:tr w14:paraId="475F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5"/>
            <w:noWrap w:val="0"/>
            <w:vAlign w:val="center"/>
          </w:tcPr>
          <w:p w14:paraId="3B09653A">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421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3A1894C6">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政策性加</w:t>
            </w:r>
          </w:p>
          <w:p w14:paraId="5EC5F3B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分条件</w:t>
            </w:r>
          </w:p>
        </w:tc>
        <w:tc>
          <w:tcPr>
            <w:tcW w:w="7732" w:type="dxa"/>
            <w:gridSpan w:val="3"/>
            <w:noWrap w:val="0"/>
            <w:vAlign w:val="center"/>
          </w:tcPr>
          <w:p w14:paraId="350C06EA">
            <w:pPr>
              <w:keepNext w:val="0"/>
              <w:keepLines w:val="0"/>
              <w:pageBreakBefore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符合节能环保等国家政策要求等</w:t>
            </w:r>
          </w:p>
        </w:tc>
      </w:tr>
      <w:tr w14:paraId="079A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46C1C04E">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资料证明</w:t>
            </w:r>
          </w:p>
          <w:p w14:paraId="591BF30D">
            <w:pPr>
              <w:keepNext w:val="0"/>
              <w:keepLines w:val="0"/>
              <w:pageBreakBefore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文件</w:t>
            </w:r>
          </w:p>
        </w:tc>
        <w:tc>
          <w:tcPr>
            <w:tcW w:w="7732" w:type="dxa"/>
            <w:gridSpan w:val="3"/>
            <w:noWrap w:val="0"/>
            <w:vAlign w:val="center"/>
          </w:tcPr>
          <w:p w14:paraId="266D58BE">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时若有，请提供由产品厂家编写的、完整的、中文版的性能参数描述等有关说明文件或产品彩页。当投标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投标人自行打印并加盖厂家公章的彩色说明文件。</w:t>
            </w:r>
          </w:p>
          <w:p w14:paraId="02B65EA6">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▲2.采购需求中的医疗器械产品，属于Ⅲ类医疗器械</w:t>
            </w:r>
            <w:r>
              <w:rPr>
                <w:rFonts w:hint="eastAsia" w:ascii="宋体" w:hAnsi="宋体" w:cs="宋体"/>
                <w:b/>
                <w:bCs/>
                <w:color w:val="auto"/>
                <w:kern w:val="2"/>
                <w:sz w:val="21"/>
                <w:szCs w:val="21"/>
                <w:highlight w:val="none"/>
                <w:lang w:val="en-US" w:eastAsia="zh-CN" w:bidi="ar-SA"/>
              </w:rPr>
              <w:t>的</w:t>
            </w:r>
            <w:r>
              <w:rPr>
                <w:rFonts w:hint="eastAsia" w:ascii="宋体" w:hAnsi="宋体" w:eastAsia="宋体" w:cs="宋体"/>
                <w:b/>
                <w:bCs/>
                <w:color w:val="auto"/>
                <w:kern w:val="2"/>
                <w:sz w:val="21"/>
                <w:szCs w:val="21"/>
                <w:highlight w:val="none"/>
                <w:lang w:val="en-US" w:eastAsia="zh-CN" w:bidi="ar-SA"/>
              </w:rPr>
              <w:t>，投标人投标时须提供中华人民共和国医疗器械产品注册证复印件，投标人不是生产厂家的还须提供产品生产厂家的营业执照、医疗器械生产许可证复印件。</w:t>
            </w:r>
          </w:p>
        </w:tc>
      </w:tr>
      <w:tr w14:paraId="706B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2F56816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32" w:type="dxa"/>
            <w:gridSpan w:val="3"/>
            <w:noWrap w:val="0"/>
            <w:vAlign w:val="center"/>
          </w:tcPr>
          <w:p w14:paraId="5476DB7A">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w:t>
            </w:r>
            <w:r>
              <w:rPr>
                <w:rFonts w:hint="eastAsia" w:ascii="宋体" w:hAnsi="宋体" w:eastAsia="宋体" w:cs="宋体"/>
                <w:color w:val="auto"/>
                <w:sz w:val="21"/>
                <w:szCs w:val="21"/>
                <w:highlight w:val="none"/>
                <w:lang w:val="en-US" w:eastAsia="zh-CN"/>
              </w:rPr>
              <w:t>装饰装修、</w:t>
            </w:r>
            <w:r>
              <w:rPr>
                <w:rFonts w:hint="eastAsia" w:ascii="宋体" w:hAnsi="宋体" w:eastAsia="宋体" w:cs="宋体"/>
                <w:color w:val="auto"/>
                <w:sz w:val="21"/>
                <w:szCs w:val="21"/>
                <w:highlight w:val="none"/>
              </w:rPr>
              <w:t>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0513C95D">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527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4" w:type="dxa"/>
            <w:gridSpan w:val="2"/>
            <w:noWrap w:val="0"/>
            <w:vAlign w:val="center"/>
          </w:tcPr>
          <w:p w14:paraId="4050795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cs="宋体"/>
                <w:b/>
                <w:bCs/>
                <w:color w:val="auto"/>
                <w:sz w:val="21"/>
                <w:szCs w:val="21"/>
                <w:highlight w:val="none"/>
                <w:lang w:val="en-US" w:eastAsia="zh-CN"/>
              </w:rPr>
              <w:t>说明</w:t>
            </w:r>
          </w:p>
        </w:tc>
        <w:tc>
          <w:tcPr>
            <w:tcW w:w="7732" w:type="dxa"/>
            <w:gridSpan w:val="3"/>
            <w:noWrap w:val="0"/>
            <w:vAlign w:val="center"/>
          </w:tcPr>
          <w:p w14:paraId="575E108A">
            <w:pPr>
              <w:wordWrap w:val="0"/>
              <w:adjustRightInd w:val="0"/>
              <w:snapToGrid w:val="0"/>
              <w:spacing w:line="360" w:lineRule="exact"/>
              <w:rPr>
                <w:rFonts w:hint="eastAsia" w:ascii="宋体" w:hAnsi="宋体" w:eastAsia="宋体" w:cs="宋体"/>
                <w:b/>
                <w:bCs/>
                <w:color w:val="auto"/>
                <w:sz w:val="21"/>
                <w:szCs w:val="21"/>
                <w:highlight w:val="none"/>
                <w:lang w:val="en-US" w:eastAsia="zh-CN"/>
              </w:rPr>
            </w:pPr>
            <w:r>
              <w:rPr>
                <w:rFonts w:hint="eastAsia" w:ascii="MS Gothic" w:hAnsi="MS Gothic" w:eastAsia="宋体" w:cs="宋体"/>
                <w:color w:val="auto"/>
                <w:kern w:val="0"/>
                <w:sz w:val="21"/>
                <w:szCs w:val="21"/>
                <w:highlight w:val="none"/>
                <w:lang w:val="en-US" w:eastAsia="zh-CN" w:bidi="ar-SA"/>
              </w:rPr>
              <w:t>☐</w:t>
            </w:r>
            <w:r>
              <w:rPr>
                <w:rFonts w:hint="eastAsia" w:ascii="宋体" w:hAnsi="宋体" w:cs="宋体"/>
                <w:color w:val="auto"/>
                <w:szCs w:val="21"/>
                <w:highlight w:val="none"/>
              </w:rPr>
              <w:t>本</w:t>
            </w:r>
            <w:r>
              <w:rPr>
                <w:rFonts w:hint="eastAsia" w:ascii="宋体" w:hAnsi="宋体" w:eastAsia="宋体" w:cs="宋体"/>
                <w:color w:val="auto"/>
                <w:sz w:val="21"/>
                <w:szCs w:val="21"/>
                <w:highlight w:val="none"/>
                <w:lang w:val="en-US" w:eastAsia="zh-CN"/>
              </w:rPr>
              <w:t>标项产品已按规定办妥进口产品采购审核手续，投标产品可选用进口产品；但如选用进口产品时必须为全套原装进口全新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w:t>
            </w:r>
            <w:r>
              <w:rPr>
                <w:rFonts w:hint="eastAsia" w:ascii="宋体" w:hAnsi="宋体" w:cs="宋体"/>
                <w:color w:val="auto"/>
                <w:sz w:val="21"/>
                <w:szCs w:val="21"/>
                <w:highlight w:val="none"/>
                <w:lang w:val="en-US" w:eastAsia="zh-CN"/>
              </w:rPr>
              <w:t>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154461DE">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r w14:paraId="69BF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04" w:type="dxa"/>
            <w:gridSpan w:val="2"/>
            <w:noWrap w:val="0"/>
            <w:vAlign w:val="center"/>
          </w:tcPr>
          <w:p w14:paraId="29DB77F0">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32" w:type="dxa"/>
            <w:gridSpan w:val="3"/>
            <w:noWrap w:val="0"/>
            <w:vAlign w:val="center"/>
          </w:tcPr>
          <w:p w14:paraId="18CD8B23">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bCs/>
                <w:color w:val="auto"/>
                <w:sz w:val="21"/>
                <w:szCs w:val="21"/>
                <w:highlight w:val="none"/>
                <w:lang w:val="en-US" w:eastAsia="zh-CN"/>
              </w:rPr>
              <w:t>自动</w:t>
            </w:r>
            <w:r>
              <w:rPr>
                <w:rFonts w:hint="eastAsia" w:ascii="宋体" w:hAnsi="宋体" w:eastAsia="宋体" w:cs="宋体"/>
                <w:b/>
                <w:bCs/>
                <w:color w:val="auto"/>
                <w:sz w:val="21"/>
                <w:szCs w:val="21"/>
                <w:highlight w:val="none"/>
                <w:lang w:val="en-US" w:eastAsia="zh-CN"/>
              </w:rPr>
              <w:t>体外除颤仪，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7F71D295">
      <w:pPr>
        <w:outlineLvl w:val="9"/>
        <w:rPr>
          <w:rFonts w:hint="eastAsia" w:ascii="宋体" w:hAnsi="宋体" w:eastAsia="宋体" w:cs="宋体"/>
          <w:b/>
          <w:color w:val="auto"/>
          <w:szCs w:val="21"/>
          <w:highlight w:val="none"/>
          <w:lang w:val="en-US" w:eastAsia="zh-CN"/>
        </w:rPr>
      </w:pPr>
    </w:p>
    <w:p w14:paraId="41C4BB47">
      <w:pP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br w:type="page"/>
      </w:r>
    </w:p>
    <w:p w14:paraId="72A44048">
      <w:pPr>
        <w:outlineLvl w:val="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2分标：</w:t>
      </w:r>
      <w:r>
        <w:rPr>
          <w:rFonts w:hint="eastAsia" w:ascii="宋体" w:hAnsi="宋体" w:eastAsia="宋体" w:cs="宋体"/>
          <w:b/>
          <w:bCs/>
          <w:color w:val="auto"/>
          <w:sz w:val="21"/>
          <w:szCs w:val="21"/>
          <w:highlight w:val="none"/>
        </w:rPr>
        <w:t>急救精品课程</w:t>
      </w:r>
      <w:r>
        <w:rPr>
          <w:rFonts w:hint="eastAsia" w:ascii="宋体" w:hAnsi="宋体" w:eastAsia="宋体" w:cs="宋体"/>
          <w:b/>
          <w:bCs/>
          <w:color w:val="auto"/>
          <w:sz w:val="21"/>
          <w:szCs w:val="21"/>
          <w:highlight w:val="none"/>
          <w:lang w:val="en-US" w:eastAsia="zh-CN"/>
        </w:rPr>
        <w:t>服务等一批服务采购</w:t>
      </w:r>
    </w:p>
    <w:tbl>
      <w:tblPr>
        <w:tblStyle w:val="6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74"/>
        <w:gridCol w:w="464"/>
        <w:gridCol w:w="910"/>
        <w:gridCol w:w="6353"/>
      </w:tblGrid>
      <w:tr w14:paraId="5CAA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9236" w:type="dxa"/>
            <w:gridSpan w:val="5"/>
            <w:noWrap w:val="0"/>
            <w:vAlign w:val="center"/>
          </w:tcPr>
          <w:p w14:paraId="2641398D">
            <w:pPr>
              <w:keepNext w:val="0"/>
              <w:keepLines w:val="0"/>
              <w:pageBreakBefore w:val="0"/>
              <w:widowControl/>
              <w:kinsoku/>
              <w:wordWrap/>
              <w:overflowPunct/>
              <w:topLinePunct w:val="0"/>
              <w:autoSpaceDE/>
              <w:autoSpaceDN/>
              <w:bidi w:val="0"/>
              <w:adjustRightInd/>
              <w:spacing w:line="460" w:lineRule="exact"/>
              <w:jc w:val="both"/>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技术要求</w:t>
            </w:r>
          </w:p>
        </w:tc>
      </w:tr>
      <w:tr w14:paraId="0561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635" w:type="dxa"/>
            <w:noWrap w:val="0"/>
            <w:vAlign w:val="center"/>
          </w:tcPr>
          <w:p w14:paraId="5162E9DE">
            <w:pPr>
              <w:keepNext w:val="0"/>
              <w:keepLines w:val="0"/>
              <w:pageBreakBefore w:val="0"/>
              <w:widowControl/>
              <w:kinsoku/>
              <w:wordWrap/>
              <w:overflowPunct/>
              <w:topLinePunct w:val="0"/>
              <w:autoSpaceDE/>
              <w:autoSpaceDN/>
              <w:bidi w:val="0"/>
              <w:adjustRightInd/>
              <w:spacing w:line="46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38" w:type="dxa"/>
            <w:gridSpan w:val="2"/>
            <w:noWrap w:val="0"/>
            <w:vAlign w:val="center"/>
          </w:tcPr>
          <w:p w14:paraId="62B4A24E">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标的名称</w:t>
            </w:r>
          </w:p>
        </w:tc>
        <w:tc>
          <w:tcPr>
            <w:tcW w:w="910" w:type="dxa"/>
            <w:noWrap w:val="0"/>
            <w:vAlign w:val="center"/>
          </w:tcPr>
          <w:p w14:paraId="3254AB85">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r>
              <w:rPr>
                <w:rFonts w:hint="eastAsia" w:ascii="宋体" w:hAnsi="宋体" w:eastAsia="宋体" w:cs="宋体"/>
                <w:b/>
                <w:bCs/>
                <w:color w:val="auto"/>
                <w:kern w:val="0"/>
                <w:sz w:val="21"/>
                <w:szCs w:val="21"/>
                <w:highlight w:val="none"/>
                <w:lang w:val="en-US" w:eastAsia="zh-CN"/>
              </w:rPr>
              <w:t>及单位</w:t>
            </w:r>
          </w:p>
        </w:tc>
        <w:tc>
          <w:tcPr>
            <w:tcW w:w="6353" w:type="dxa"/>
            <w:noWrap w:val="0"/>
            <w:vAlign w:val="center"/>
          </w:tcPr>
          <w:p w14:paraId="05683DE4">
            <w:pPr>
              <w:keepNext w:val="0"/>
              <w:keepLines w:val="0"/>
              <w:pageBreakBefore w:val="0"/>
              <w:widowControl/>
              <w:kinsoku/>
              <w:wordWrap/>
              <w:overflowPunct/>
              <w:topLinePunct w:val="0"/>
              <w:autoSpaceDE/>
              <w:autoSpaceDN/>
              <w:bidi w:val="0"/>
              <w:adjustRightIn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参数要求</w:t>
            </w:r>
          </w:p>
        </w:tc>
      </w:tr>
      <w:tr w14:paraId="4678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275470AE">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vertAlign w:val="baseline"/>
                <w:lang w:val="en-US" w:eastAsia="zh-CN"/>
              </w:rPr>
              <w:t>1</w:t>
            </w:r>
          </w:p>
        </w:tc>
        <w:tc>
          <w:tcPr>
            <w:tcW w:w="1338" w:type="dxa"/>
            <w:gridSpan w:val="2"/>
            <w:noWrap w:val="0"/>
            <w:vAlign w:val="center"/>
          </w:tcPr>
          <w:p w14:paraId="0CE313E4">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急救精品课程</w:t>
            </w:r>
            <w:r>
              <w:rPr>
                <w:rFonts w:hint="eastAsia" w:ascii="宋体" w:hAnsi="宋体" w:eastAsia="宋体" w:cs="宋体"/>
                <w:color w:val="auto"/>
                <w:sz w:val="21"/>
                <w:szCs w:val="21"/>
                <w:highlight w:val="none"/>
                <w:lang w:val="en-US" w:eastAsia="zh-CN"/>
              </w:rPr>
              <w:t>服务</w:t>
            </w:r>
          </w:p>
        </w:tc>
        <w:tc>
          <w:tcPr>
            <w:tcW w:w="910" w:type="dxa"/>
            <w:noWrap w:val="0"/>
            <w:vAlign w:val="center"/>
          </w:tcPr>
          <w:p w14:paraId="4077F614">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1项</w:t>
            </w:r>
          </w:p>
        </w:tc>
        <w:tc>
          <w:tcPr>
            <w:tcW w:w="6353" w:type="dxa"/>
            <w:noWrap w:val="0"/>
            <w:vAlign w:val="center"/>
          </w:tcPr>
          <w:p w14:paraId="5C4A005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1.协助完成精品课程摄影与内容审核：</w:t>
            </w:r>
          </w:p>
          <w:p w14:paraId="60CFB3F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（1）协助学校完成课程实景拍摄服务，含校园场景（操场、实验室、教室等）取景，配备专业摄影团队，拍摄设备符合1080P分辨率标准；</w:t>
            </w:r>
          </w:p>
          <w:p w14:paraId="14C75F9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聘请三甲医院急诊科副主任及以上职称专家或急救机构高级急救师（持有相应的高级急救师资格证书）进行课程全流程审核，提供专家审核报告（需含专家资质证明复印件），确保内容涵盖急救理论、操作流程、案例模拟模块，且符合最新《急救医学指南》《校园急救规范》等专业标准。</w:t>
            </w:r>
          </w:p>
          <w:p w14:paraId="4F01CFE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2.课程核心参数</w:t>
            </w:r>
          </w:p>
          <w:p w14:paraId="3DE9760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（1）内容形式：包含动画演示、实景拍摄、交互测试。</w:t>
            </w:r>
          </w:p>
          <w:p w14:paraId="204F781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（2）语言与时长：支持4种完整语言版本，无内容遗漏；总时长≥120分钟，适配校园碎片化教学。</w:t>
            </w:r>
          </w:p>
          <w:p w14:paraId="1B34749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（3）技术适配：画面分辨率≥1080P，支持PC端、移动端、微信小程序多终端适配。</w:t>
            </w:r>
          </w:p>
          <w:p w14:paraId="76C85CD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（4）离线功能：支持多终端离线缓存。</w:t>
            </w:r>
          </w:p>
        </w:tc>
      </w:tr>
      <w:tr w14:paraId="5D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35" w:type="dxa"/>
            <w:noWrap w:val="0"/>
            <w:vAlign w:val="center"/>
          </w:tcPr>
          <w:p w14:paraId="5D6A8C81">
            <w:pPr>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338" w:type="dxa"/>
            <w:gridSpan w:val="2"/>
            <w:noWrap w:val="0"/>
            <w:vAlign w:val="center"/>
          </w:tcPr>
          <w:p w14:paraId="3DB56CFF">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发明专利申报及含成果转化</w:t>
            </w:r>
            <w:r>
              <w:rPr>
                <w:rFonts w:hint="eastAsia" w:ascii="宋体" w:hAnsi="宋体" w:eastAsia="宋体" w:cs="宋体"/>
                <w:color w:val="auto"/>
                <w:sz w:val="21"/>
                <w:szCs w:val="21"/>
                <w:highlight w:val="none"/>
                <w:lang w:val="en-US" w:eastAsia="zh-CN"/>
              </w:rPr>
              <w:t>服务</w:t>
            </w:r>
          </w:p>
        </w:tc>
        <w:tc>
          <w:tcPr>
            <w:tcW w:w="910" w:type="dxa"/>
            <w:noWrap w:val="0"/>
            <w:vAlign w:val="center"/>
          </w:tcPr>
          <w:p w14:paraId="0CE076B1">
            <w:pPr>
              <w:keepNext w:val="0"/>
              <w:keepLines/>
              <w:pageBreakBefore w:val="0"/>
              <w:widowControl w:val="0"/>
              <w:suppressLineNumbers w:val="0"/>
              <w:kinsoku/>
              <w:wordWrap w:val="0"/>
              <w:overflowPunct/>
              <w:topLinePunct w:val="0"/>
              <w:autoSpaceDE/>
              <w:autoSpaceDN/>
              <w:bidi w:val="0"/>
              <w:snapToGrid/>
              <w:spacing w:line="400" w:lineRule="exact"/>
              <w:jc w:val="center"/>
              <w:textAlignment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kern w:val="2"/>
                <w:sz w:val="21"/>
                <w:szCs w:val="21"/>
                <w:highlight w:val="none"/>
                <w:vertAlign w:val="baseline"/>
                <w:lang w:val="en-US" w:eastAsia="zh-CN" w:bidi="ar-SA"/>
              </w:rPr>
              <w:t>1项</w:t>
            </w:r>
          </w:p>
        </w:tc>
        <w:tc>
          <w:tcPr>
            <w:tcW w:w="6353" w:type="dxa"/>
            <w:noWrap w:val="0"/>
            <w:vAlign w:val="bottom"/>
          </w:tcPr>
          <w:p w14:paraId="253D2E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1.协助学校与专利代理机构沟通，保障专利（包含三项专利申报：一种海滨急救包、一种无人机AED专用运输箱体、一种肺活量训练装置）申请全流程规范推进，确保专利申请工作顺利完成。</w:t>
            </w:r>
          </w:p>
          <w:p w14:paraId="728F48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2.服务范围：覆盖学校本次拟申请专利的全部流程。</w:t>
            </w:r>
          </w:p>
          <w:p w14:paraId="6F377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3.服务期限：自合同签订之日起至本次专利获得授权证书或全部驳回且相关资料归档完成止，最长不超过24个月。</w:t>
            </w:r>
          </w:p>
          <w:p w14:paraId="453AF5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5.服务地点：学校指定地点（含线上沟通场景）。</w:t>
            </w:r>
          </w:p>
          <w:p w14:paraId="767DCE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6.核心服务内容</w:t>
            </w:r>
          </w:p>
          <w:p w14:paraId="0146E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（1）前期沟通与需求对接：协助代理机构明确学校专利技术核心、保护范围及申请目标。</w:t>
            </w:r>
          </w:p>
          <w:p w14:paraId="7F31A4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（2）协助代理机构进行技术挖掘，梳理学校教学、科研过程中的创新点，形成专利申请初步方案。</w:t>
            </w:r>
          </w:p>
          <w:p w14:paraId="42C312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（3）协助代理机构核查学校专利申请所需基础资料资料完整性与合规性。</w:t>
            </w:r>
          </w:p>
          <w:p w14:paraId="39E79D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7.申请流程推进与协调，跟踪专利代理机构工作进度，及时反馈情况。</w:t>
            </w:r>
          </w:p>
          <w:p w14:paraId="10BB48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8.“一种肺活量训练装置”成果转化服务</w:t>
            </w:r>
          </w:p>
          <w:p w14:paraId="3DDA7A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（1）转化前期：结合专利技术特点，适配的生产企业/教育机构，明确转化合作模式。</w:t>
            </w:r>
          </w:p>
          <w:p w14:paraId="7620D7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（2）转化推进：协助学校与合作方制定转化实施方案，解决技术适配问题。</w:t>
            </w:r>
          </w:p>
          <w:p w14:paraId="71CCE9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（3）转化落地：跟踪生产/应用进度，装置生产完成后，协助学校进行样品验收（核对技术参数与专利一致性）。</w:t>
            </w:r>
          </w:p>
          <w:p w14:paraId="452889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9.保密要求：与学校签订《保密协议》，对服务过程中接触的学校技术资料、专利方案等商业秘密及隐私信息严格保密。</w:t>
            </w:r>
          </w:p>
        </w:tc>
      </w:tr>
      <w:tr w14:paraId="5306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6" w:type="dxa"/>
            <w:gridSpan w:val="5"/>
            <w:noWrap w:val="0"/>
            <w:vAlign w:val="center"/>
          </w:tcPr>
          <w:p w14:paraId="2D75099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商务要求</w:t>
            </w:r>
          </w:p>
        </w:tc>
      </w:tr>
      <w:tr w14:paraId="0078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509" w:type="dxa"/>
            <w:gridSpan w:val="2"/>
            <w:noWrap w:val="0"/>
            <w:vAlign w:val="center"/>
          </w:tcPr>
          <w:p w14:paraId="32436721">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vertAlign w:val="baseline"/>
                <w:lang w:val="en-US" w:eastAsia="zh-CN"/>
              </w:rPr>
              <w:t>跟踪服务要求</w:t>
            </w:r>
          </w:p>
        </w:tc>
        <w:tc>
          <w:tcPr>
            <w:tcW w:w="7727" w:type="dxa"/>
            <w:gridSpan w:val="3"/>
            <w:noWrap w:val="0"/>
            <w:vAlign w:val="center"/>
          </w:tcPr>
          <w:p w14:paraId="5DF245CE">
            <w:pPr>
              <w:keepNext w:val="0"/>
              <w:keepLines w:val="0"/>
              <w:pageBreakBefore w:val="0"/>
              <w:kinsoku/>
              <w:wordWrap/>
              <w:overflowPunct/>
              <w:topLinePunct w:val="0"/>
              <w:autoSpaceDE/>
              <w:autoSpaceDN/>
              <w:bidi w:val="0"/>
              <w:adjustRightInd/>
              <w:spacing w:line="460" w:lineRule="exact"/>
              <w:jc w:val="left"/>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自验收合格之日起1年，质保期内免费提供终端适配维护</w:t>
            </w:r>
            <w:r>
              <w:rPr>
                <w:rFonts w:hint="eastAsia" w:ascii="宋体" w:hAnsi="宋体" w:cs="宋体"/>
                <w:color w:val="auto"/>
                <w:sz w:val="21"/>
                <w:szCs w:val="21"/>
                <w:highlight w:val="none"/>
                <w:u w:val="none"/>
                <w:lang w:val="en-US" w:eastAsia="zh-CN"/>
              </w:rPr>
              <w:t>。</w:t>
            </w:r>
          </w:p>
        </w:tc>
      </w:tr>
      <w:tr w14:paraId="677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18A4A0D3">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交货时间及地点</w:t>
            </w:r>
          </w:p>
        </w:tc>
        <w:tc>
          <w:tcPr>
            <w:tcW w:w="7727" w:type="dxa"/>
            <w:gridSpan w:val="3"/>
            <w:noWrap w:val="0"/>
            <w:vAlign w:val="center"/>
          </w:tcPr>
          <w:p w14:paraId="3E0CB9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交货时间：签订合同后90个日历日内。</w:t>
            </w:r>
          </w:p>
          <w:p w14:paraId="2C9901D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2.交付地点：</w:t>
            </w:r>
            <w:r>
              <w:rPr>
                <w:rFonts w:hint="eastAsia" w:ascii="宋体" w:hAnsi="宋体" w:cs="宋体"/>
                <w:color w:val="auto"/>
                <w:kern w:val="2"/>
                <w:sz w:val="21"/>
                <w:szCs w:val="21"/>
                <w:highlight w:val="none"/>
                <w:u w:val="none"/>
                <w:lang w:val="en-US" w:eastAsia="zh-CN" w:bidi="ar-SA"/>
              </w:rPr>
              <w:t>由招标人</w:t>
            </w:r>
            <w:r>
              <w:rPr>
                <w:rFonts w:hint="eastAsia" w:ascii="宋体" w:hAnsi="宋体" w:eastAsia="宋体" w:cs="宋体"/>
                <w:color w:val="auto"/>
                <w:kern w:val="2"/>
                <w:sz w:val="21"/>
                <w:szCs w:val="21"/>
                <w:highlight w:val="none"/>
                <w:u w:val="none"/>
                <w:lang w:val="en-US" w:eastAsia="zh-CN" w:bidi="ar-SA"/>
              </w:rPr>
              <w:t>指定</w:t>
            </w:r>
            <w:r>
              <w:rPr>
                <w:rFonts w:hint="eastAsia" w:ascii="宋体" w:hAnsi="宋体" w:cs="宋体"/>
                <w:color w:val="auto"/>
                <w:kern w:val="2"/>
                <w:sz w:val="21"/>
                <w:szCs w:val="21"/>
                <w:highlight w:val="none"/>
                <w:u w:val="none"/>
                <w:lang w:val="en-US" w:eastAsia="zh-CN" w:bidi="ar-SA"/>
              </w:rPr>
              <w:t>。</w:t>
            </w:r>
          </w:p>
        </w:tc>
      </w:tr>
      <w:tr w14:paraId="568B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9" w:type="dxa"/>
            <w:gridSpan w:val="2"/>
            <w:noWrap w:val="0"/>
            <w:vAlign w:val="center"/>
          </w:tcPr>
          <w:p w14:paraId="0AA6C526">
            <w:pPr>
              <w:keepNext w:val="0"/>
              <w:keepLines w:val="0"/>
              <w:pageBreakBefore w:val="0"/>
              <w:kinsoku/>
              <w:wordWrap/>
              <w:overflowPunct/>
              <w:topLinePunct w:val="0"/>
              <w:autoSpaceDE/>
              <w:autoSpaceDN/>
              <w:bidi w:val="0"/>
              <w:adjustRightInd/>
              <w:spacing w:line="46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u w:val="none"/>
                <w:lang w:val="en-US" w:eastAsia="zh-CN"/>
              </w:rPr>
              <w:t>付款方式</w:t>
            </w:r>
          </w:p>
        </w:tc>
        <w:tc>
          <w:tcPr>
            <w:tcW w:w="7727" w:type="dxa"/>
            <w:gridSpan w:val="3"/>
            <w:noWrap w:val="0"/>
            <w:vAlign w:val="center"/>
          </w:tcPr>
          <w:p w14:paraId="3D49CD4C">
            <w:pPr>
              <w:keepNext w:val="0"/>
              <w:keepLines w:val="0"/>
              <w:pageBreakBefore w:val="0"/>
              <w:kinsoku/>
              <w:wordWrap/>
              <w:overflowPunct/>
              <w:topLinePunct w:val="0"/>
              <w:autoSpaceDE/>
              <w:autoSpaceDN/>
              <w:bidi w:val="0"/>
              <w:adjustRightInd/>
              <w:spacing w:line="460" w:lineRule="exact"/>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kern w:val="2"/>
                <w:sz w:val="21"/>
                <w:szCs w:val="21"/>
                <w:highlight w:val="none"/>
                <w:u w:val="none"/>
                <w:lang w:val="en-US" w:eastAsia="zh-CN" w:bidi="ar-SA"/>
              </w:rPr>
              <w:t>合同签订后10个工作日内采购人向中标人支付中标金额的50%，剩余中标金额的50%在验收合格后支付（验收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1A76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54747C9E">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rPr>
              <w:t>售后技术服务要求</w:t>
            </w:r>
          </w:p>
        </w:tc>
        <w:tc>
          <w:tcPr>
            <w:tcW w:w="7727" w:type="dxa"/>
            <w:gridSpan w:val="3"/>
            <w:noWrap w:val="0"/>
            <w:vAlign w:val="center"/>
          </w:tcPr>
          <w:p w14:paraId="32BE4D28">
            <w:pPr>
              <w:pStyle w:val="28"/>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1.服务响应：接到故障通知（如缓存失败、播放卡顿）后4小时内远程响应，24小时内解决；远程无法解决的，3个工作日内派技术人员到</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指定现场处理。</w:t>
            </w:r>
          </w:p>
          <w:p w14:paraId="21F73887">
            <w:pPr>
              <w:pStyle w:val="28"/>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在合同履行期限内任何需要协助的问题，中标人应无条件对服务出现的问题负责处理解决并承担一切费用。</w:t>
            </w:r>
          </w:p>
          <w:p w14:paraId="69A1C13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.中标人所提供的服务须符合本项目采购需求及投标文件具体承诺内容（完成项目目标任务）。</w:t>
            </w:r>
          </w:p>
          <w:p w14:paraId="48CF87B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.售后服务承诺书中根据</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的实际情况对质量保证及售后服务方案做出详细服务承诺、提供详细的</w:t>
            </w:r>
            <w:r>
              <w:rPr>
                <w:rFonts w:hint="eastAsia" w:ascii="宋体" w:hAnsi="宋体" w:cs="宋体"/>
                <w:color w:val="auto"/>
                <w:sz w:val="21"/>
                <w:szCs w:val="21"/>
                <w:highlight w:val="none"/>
                <w:u w:val="none"/>
                <w:lang w:val="en-US" w:eastAsia="zh-CN"/>
              </w:rPr>
              <w:t>方案</w:t>
            </w:r>
            <w:r>
              <w:rPr>
                <w:rFonts w:hint="eastAsia" w:ascii="宋体" w:hAnsi="宋体" w:eastAsia="宋体" w:cs="宋体"/>
                <w:color w:val="auto"/>
                <w:sz w:val="21"/>
                <w:szCs w:val="21"/>
                <w:highlight w:val="none"/>
                <w:u w:val="none"/>
                <w:lang w:val="en-US" w:eastAsia="zh-CN"/>
              </w:rPr>
              <w:t>。</w:t>
            </w:r>
          </w:p>
        </w:tc>
      </w:tr>
      <w:tr w14:paraId="2C6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02DC38FF">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sz w:val="21"/>
                <w:szCs w:val="21"/>
                <w:highlight w:val="none"/>
                <w:lang w:val="en-US" w:eastAsia="zh-CN"/>
              </w:rPr>
              <w:t>服务质量</w:t>
            </w:r>
            <w:r>
              <w:rPr>
                <w:rFonts w:hint="eastAsia" w:ascii="宋体" w:hAnsi="宋体" w:eastAsia="宋体" w:cs="宋体"/>
                <w:b/>
                <w:bCs/>
                <w:color w:val="auto"/>
                <w:sz w:val="21"/>
                <w:szCs w:val="21"/>
                <w:highlight w:val="none"/>
              </w:rPr>
              <w:t>要求</w:t>
            </w:r>
          </w:p>
        </w:tc>
        <w:tc>
          <w:tcPr>
            <w:tcW w:w="7727" w:type="dxa"/>
            <w:gridSpan w:val="3"/>
            <w:noWrap w:val="0"/>
            <w:vAlign w:val="center"/>
          </w:tcPr>
          <w:p w14:paraId="40BBA811">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w:t>
            </w:r>
            <w:r>
              <w:rPr>
                <w:rFonts w:hint="eastAsia" w:ascii="宋体" w:hAnsi="宋体" w:eastAsia="宋体" w:cs="宋体"/>
                <w:bCs/>
                <w:color w:val="auto"/>
                <w:kern w:val="2"/>
                <w:sz w:val="21"/>
                <w:szCs w:val="21"/>
                <w:highlight w:val="none"/>
                <w:lang w:val="en-US" w:eastAsia="zh-CN" w:bidi="ar-SA"/>
              </w:rPr>
              <w:t>中标人</w:t>
            </w:r>
            <w:r>
              <w:rPr>
                <w:rFonts w:hint="eastAsia" w:ascii="宋体" w:hAnsi="宋体" w:eastAsia="宋体" w:cs="宋体"/>
                <w:color w:val="auto"/>
                <w:sz w:val="21"/>
                <w:szCs w:val="21"/>
                <w:highlight w:val="none"/>
              </w:rPr>
              <w:t>提供的服务应符合</w:t>
            </w:r>
            <w:r>
              <w:rPr>
                <w:rFonts w:hint="eastAsia" w:ascii="宋体" w:hAnsi="宋体" w:eastAsia="宋体" w:cs="宋体"/>
                <w:color w:val="auto"/>
                <w:sz w:val="21"/>
                <w:szCs w:val="21"/>
                <w:highlight w:val="none"/>
                <w:lang w:val="en-US" w:eastAsia="zh-CN"/>
              </w:rPr>
              <w:t>招标文件要求</w:t>
            </w:r>
            <w:r>
              <w:rPr>
                <w:rFonts w:hint="eastAsia" w:ascii="宋体" w:hAnsi="宋体" w:eastAsia="宋体" w:cs="宋体"/>
                <w:color w:val="auto"/>
                <w:sz w:val="21"/>
                <w:szCs w:val="21"/>
                <w:highlight w:val="none"/>
              </w:rPr>
              <w:t>。</w:t>
            </w:r>
          </w:p>
          <w:p w14:paraId="5B15F0D2">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擅自转包、分包，或以任何形式与第三方进行合作的属违约，一经查实，</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应承担违约责任，</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有权解除合同。</w:t>
            </w:r>
          </w:p>
          <w:p w14:paraId="2D04E50A">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在提供服务过程中，对所接触到的所有信息负有保密义务，</w:t>
            </w:r>
            <w:r>
              <w:rPr>
                <w:rFonts w:hint="eastAsia" w:ascii="宋体" w:hAnsi="宋体" w:eastAsia="宋体" w:cs="宋体"/>
                <w:color w:val="auto"/>
                <w:kern w:val="0"/>
                <w:sz w:val="21"/>
                <w:szCs w:val="21"/>
                <w:highlight w:val="none"/>
                <w:lang w:val="en-US" w:eastAsia="zh-CN"/>
              </w:rPr>
              <w:t>不得透露项目相关信息</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在项目实施过程中获取的各类技术文件、信息或招标人提供的内部资料、技术文档和信息，未经招标人许可，不得以任何形式泄露给第三方。签订合同时须提供保密承诺函。</w:t>
            </w:r>
          </w:p>
        </w:tc>
      </w:tr>
      <w:tr w14:paraId="4DBB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09" w:type="dxa"/>
            <w:gridSpan w:val="2"/>
            <w:noWrap w:val="0"/>
            <w:vAlign w:val="center"/>
          </w:tcPr>
          <w:p w14:paraId="145C4693">
            <w:pPr>
              <w:keepNext w:val="0"/>
              <w:keepLines w:val="0"/>
              <w:pageBreakBefore w:val="0"/>
              <w:kinsoku/>
              <w:wordWrap/>
              <w:overflowPunct/>
              <w:topLinePunct w:val="0"/>
              <w:autoSpaceDE/>
              <w:autoSpaceDN/>
              <w:bidi w:val="0"/>
              <w:spacing w:beforeAutospacing="0" w:afterAutospacing="0" w:line="400" w:lineRule="exact"/>
              <w:jc w:val="center"/>
              <w:textAlignment w:val="auto"/>
              <w:outlineLvl w:val="9"/>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val="0"/>
                <w:color w:val="auto"/>
                <w:sz w:val="21"/>
                <w:szCs w:val="21"/>
                <w:highlight w:val="none"/>
                <w:lang w:val="en-US" w:eastAsia="zh-CN"/>
              </w:rPr>
              <w:t>服务</w:t>
            </w:r>
            <w:r>
              <w:rPr>
                <w:rFonts w:hint="eastAsia" w:ascii="宋体" w:hAnsi="宋体" w:eastAsia="宋体" w:cs="宋体"/>
                <w:b/>
                <w:bCs/>
                <w:color w:val="auto"/>
                <w:sz w:val="21"/>
                <w:szCs w:val="21"/>
                <w:highlight w:val="none"/>
              </w:rPr>
              <w:t>验收</w:t>
            </w:r>
            <w:r>
              <w:rPr>
                <w:rFonts w:hint="eastAsia" w:ascii="宋体" w:hAnsi="宋体" w:eastAsia="宋体" w:cs="宋体"/>
                <w:b/>
                <w:bCs/>
                <w:color w:val="auto"/>
                <w:sz w:val="21"/>
                <w:szCs w:val="21"/>
                <w:highlight w:val="none"/>
                <w:lang w:val="en-US" w:eastAsia="zh-CN"/>
              </w:rPr>
              <w:t>要求</w:t>
            </w:r>
          </w:p>
        </w:tc>
        <w:tc>
          <w:tcPr>
            <w:tcW w:w="7727" w:type="dxa"/>
            <w:gridSpan w:val="3"/>
            <w:noWrap w:val="0"/>
            <w:vAlign w:val="center"/>
          </w:tcPr>
          <w:p w14:paraId="77B96210">
            <w:pPr>
              <w:pStyle w:val="20"/>
              <w:keepNext w:val="0"/>
              <w:keepLines w:val="0"/>
              <w:pageBreakBefore w:val="0"/>
              <w:kinsoku/>
              <w:wordWrap/>
              <w:overflowPunct/>
              <w:topLinePunct w:val="0"/>
              <w:autoSpaceDE/>
              <w:autoSpaceDN/>
              <w:bidi w:val="0"/>
              <w:spacing w:line="400" w:lineRule="exact"/>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1.服务成果验收依据招标文件要求、投标文件承诺内容以及国家和行业验收规范要求及合同中的相关条款。</w:t>
            </w:r>
          </w:p>
          <w:p w14:paraId="0673BE75">
            <w:pPr>
              <w:pStyle w:val="35"/>
              <w:keepNext w:val="0"/>
              <w:keepLines w:val="0"/>
              <w:pageBreakBefore w:val="0"/>
              <w:widowControl/>
              <w:kinsoku/>
              <w:wordWrap/>
              <w:overflowPunct/>
              <w:topLinePunct w:val="0"/>
              <w:autoSpaceDE/>
              <w:autoSpaceDN/>
              <w:bidi w:val="0"/>
              <w:snapToGrid/>
              <w:spacing w:beforeAutospacing="0" w:afterAutospacing="0" w:line="400" w:lineRule="exact"/>
              <w:jc w:val="both"/>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如发现中标人不符合招标人要求进行服务的，按相关规定做违约处理，中标人承担所有责任和费用，招标人保留进一步追究责任的权利。</w:t>
            </w:r>
          </w:p>
        </w:tc>
      </w:tr>
      <w:tr w14:paraId="3BCF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9" w:type="dxa"/>
            <w:gridSpan w:val="2"/>
            <w:noWrap w:val="0"/>
            <w:vAlign w:val="center"/>
          </w:tcPr>
          <w:p w14:paraId="4E195095">
            <w:pPr>
              <w:keepNext w:val="0"/>
              <w:keepLines w:val="0"/>
              <w:pageBreakBefore w:val="0"/>
              <w:kinsoku/>
              <w:wordWrap/>
              <w:overflowPunct/>
              <w:topLinePunct w:val="0"/>
              <w:autoSpaceDE/>
              <w:autoSpaceDN/>
              <w:bidi w:val="0"/>
              <w:spacing w:beforeAutospacing="0" w:afterAutospacing="0"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其他要求</w:t>
            </w:r>
          </w:p>
        </w:tc>
        <w:tc>
          <w:tcPr>
            <w:tcW w:w="7727" w:type="dxa"/>
            <w:gridSpan w:val="3"/>
            <w:noWrap w:val="0"/>
            <w:vAlign w:val="center"/>
          </w:tcPr>
          <w:p w14:paraId="5E3A3D6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所有工作人员在合约期间如发生任何人身意外（生病、伤亡事故）、事故、触犯法律法规，违反行业规范（包括劳动用工制度、发生劳资纠纷、规章制度等、因过失造成他人人身伤亡的）、或损坏设施和物品</w:t>
            </w:r>
            <w:r>
              <w:rPr>
                <w:rFonts w:hint="eastAsia" w:ascii="宋体" w:hAnsi="宋体" w:eastAsia="宋体" w:cs="宋体"/>
                <w:color w:val="auto"/>
                <w:sz w:val="21"/>
                <w:szCs w:val="21"/>
                <w:highlight w:val="none"/>
                <w:lang w:val="en-US" w:eastAsia="zh-CN"/>
              </w:rPr>
              <w:t>等全部情形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均</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负责处理并承担经济</w:t>
            </w:r>
            <w:r>
              <w:rPr>
                <w:rFonts w:hint="eastAsia" w:ascii="宋体" w:hAnsi="宋体" w:eastAsia="宋体" w:cs="宋体"/>
                <w:color w:val="auto"/>
                <w:sz w:val="21"/>
                <w:szCs w:val="21"/>
                <w:highlight w:val="none"/>
                <w:lang w:val="en-US" w:eastAsia="zh-CN"/>
              </w:rPr>
              <w:t>损失</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法律</w:t>
            </w:r>
            <w:r>
              <w:rPr>
                <w:rFonts w:hint="eastAsia" w:ascii="宋体" w:hAnsi="宋体" w:eastAsia="宋体" w:cs="宋体"/>
                <w:color w:val="auto"/>
                <w:sz w:val="21"/>
                <w:szCs w:val="21"/>
                <w:highlight w:val="none"/>
              </w:rPr>
              <w:t>责任。</w:t>
            </w:r>
          </w:p>
          <w:p w14:paraId="48652CE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的最终报价即为签订合同价格，由招标人与</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签订采购合同，并按</w:t>
            </w:r>
            <w:r>
              <w:rPr>
                <w:rFonts w:hint="eastAsia" w:ascii="宋体" w:hAnsi="宋体" w:eastAsia="宋体" w:cs="宋体"/>
                <w:b w:val="0"/>
                <w:bCs w:val="0"/>
                <w:color w:val="auto"/>
                <w:sz w:val="21"/>
                <w:szCs w:val="21"/>
                <w:highlight w:val="none"/>
                <w:lang w:val="en-US" w:eastAsia="zh-CN"/>
              </w:rPr>
              <w:t>招标文件要求和投标文件</w:t>
            </w:r>
            <w:r>
              <w:rPr>
                <w:rFonts w:hint="eastAsia" w:ascii="宋体" w:hAnsi="宋体" w:eastAsia="宋体" w:cs="宋体"/>
                <w:color w:val="auto"/>
                <w:sz w:val="21"/>
                <w:szCs w:val="21"/>
                <w:highlight w:val="none"/>
                <w:lang w:val="en-US" w:eastAsia="zh-CN"/>
              </w:rPr>
              <w:t>承诺的内容履行合同。</w:t>
            </w:r>
          </w:p>
          <w:p w14:paraId="6AB174A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w:t>
            </w:r>
            <w:r>
              <w:rPr>
                <w:rFonts w:hint="eastAsia" w:ascii="宋体" w:hAnsi="宋体" w:eastAsia="宋体" w:cs="宋体"/>
                <w:b w:val="0"/>
                <w:bCs w:val="0"/>
                <w:color w:val="auto"/>
                <w:sz w:val="21"/>
                <w:szCs w:val="21"/>
                <w:highlight w:val="none"/>
                <w:lang w:val="en-US" w:eastAsia="zh-CN"/>
              </w:rPr>
              <w:t>必须对应提交每项工作履行和完成情况佐证单。</w:t>
            </w:r>
          </w:p>
          <w:p w14:paraId="4CB561B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一旦</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不得以任何理由拒签合同或者拒绝履行合同（不可抗力除外），否则将上报财政部门，列入失信名单，由此给招标人造成经济损失的，还应进行经济赔偿。</w:t>
            </w:r>
          </w:p>
          <w:p w14:paraId="680690B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5.如合同履约过程中发生政府采购资金变化等问题，</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与</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协商解决。</w:t>
            </w:r>
          </w:p>
        </w:tc>
      </w:tr>
      <w:tr w14:paraId="73FD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36" w:type="dxa"/>
            <w:gridSpan w:val="5"/>
            <w:noWrap w:val="0"/>
            <w:vAlign w:val="center"/>
          </w:tcPr>
          <w:p w14:paraId="2703D8B3">
            <w:pPr>
              <w:pStyle w:val="35"/>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投标人资信要求</w:t>
            </w:r>
          </w:p>
        </w:tc>
      </w:tr>
      <w:tr w14:paraId="371A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09" w:type="dxa"/>
            <w:gridSpan w:val="2"/>
            <w:noWrap w:val="0"/>
            <w:vAlign w:val="center"/>
          </w:tcPr>
          <w:p w14:paraId="717B57D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u w:val="none"/>
                <w:lang w:val="en-US" w:eastAsia="zh-CN"/>
              </w:rPr>
              <w:t>投标报价要求</w:t>
            </w:r>
          </w:p>
        </w:tc>
        <w:tc>
          <w:tcPr>
            <w:tcW w:w="7727" w:type="dxa"/>
            <w:gridSpan w:val="3"/>
            <w:noWrap w:val="0"/>
            <w:vAlign w:val="center"/>
          </w:tcPr>
          <w:p w14:paraId="09B8878B">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b w:val="0"/>
                <w:bCs w:val="0"/>
                <w:color w:val="auto"/>
                <w:sz w:val="21"/>
                <w:szCs w:val="21"/>
                <w:highlight w:val="none"/>
                <w:lang w:val="en-US" w:eastAsia="zh-CN"/>
              </w:rPr>
              <w:t>技术支持、售后服务</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r>
              <w:rPr>
                <w:rFonts w:hint="eastAsia" w:ascii="宋体" w:hAnsi="宋体" w:eastAsia="宋体" w:cs="宋体"/>
                <w:color w:val="auto"/>
                <w:sz w:val="21"/>
                <w:szCs w:val="21"/>
                <w:highlight w:val="none"/>
                <w:u w:val="none"/>
                <w:lang w:val="en-US" w:eastAsia="zh-CN"/>
              </w:rPr>
              <w:t>；</w:t>
            </w:r>
          </w:p>
          <w:p w14:paraId="23F2E3F5">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00A0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509" w:type="dxa"/>
            <w:gridSpan w:val="2"/>
            <w:noWrap w:val="0"/>
            <w:vAlign w:val="center"/>
          </w:tcPr>
          <w:p w14:paraId="2E64F6DA">
            <w:pPr>
              <w:keepNext w:val="0"/>
              <w:keepLines w:val="0"/>
              <w:pageBreakBefore w:val="0"/>
              <w:kinsoku/>
              <w:wordWrap/>
              <w:overflowPunct/>
              <w:topLinePunct w:val="0"/>
              <w:autoSpaceDE/>
              <w:autoSpaceDN/>
              <w:bidi w:val="0"/>
              <w:adjustRightInd/>
              <w:snapToGrid/>
              <w:spacing w:line="460" w:lineRule="exact"/>
              <w:ind w:left="0" w:left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▲核心产品</w:t>
            </w:r>
          </w:p>
        </w:tc>
        <w:tc>
          <w:tcPr>
            <w:tcW w:w="7727" w:type="dxa"/>
            <w:gridSpan w:val="3"/>
            <w:noWrap w:val="0"/>
            <w:vAlign w:val="center"/>
          </w:tcPr>
          <w:p w14:paraId="3819F34D">
            <w:pPr>
              <w:keepNext w:val="0"/>
              <w:keepLines w:val="0"/>
              <w:pageBreakBefore w:val="0"/>
              <w:kinsoku/>
              <w:wordWrap/>
              <w:overflowPunct/>
              <w:topLinePunct w:val="0"/>
              <w:autoSpaceDE/>
              <w:autoSpaceDN/>
              <w:bidi w:val="0"/>
              <w:adjustRightInd/>
              <w:snapToGrid/>
              <w:spacing w:line="460" w:lineRule="exact"/>
              <w:ind w:left="0" w:left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急救精品课程服务，核心产品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w:t>
            </w:r>
          </w:p>
        </w:tc>
      </w:tr>
    </w:tbl>
    <w:p w14:paraId="00CA1AD9">
      <w:pPr>
        <w:rPr>
          <w:rFonts w:hint="eastAsia" w:ascii="宋体" w:hAnsi="宋体" w:eastAsia="宋体" w:cs="宋体"/>
          <w:b/>
          <w:color w:val="auto"/>
          <w:szCs w:val="21"/>
          <w:highlight w:val="none"/>
          <w:lang w:val="en-US" w:eastAsia="zh-CN"/>
        </w:rPr>
      </w:pPr>
    </w:p>
    <w:p w14:paraId="0D56BCA1">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4E7C81">
      <w:pPr>
        <w:spacing w:line="360" w:lineRule="auto"/>
        <w:jc w:val="center"/>
        <w:outlineLvl w:val="0"/>
        <w:rPr>
          <w:rFonts w:hint="eastAsia" w:ascii="宋体" w:hAnsi="宋体" w:eastAsia="宋体" w:cs="宋体"/>
          <w:b/>
          <w:color w:val="auto"/>
          <w:sz w:val="36"/>
          <w:szCs w:val="36"/>
          <w:highlight w:val="none"/>
        </w:rPr>
      </w:pPr>
      <w:bookmarkStart w:id="48" w:name="_Toc23511"/>
      <w:r>
        <w:rPr>
          <w:rFonts w:hint="eastAsia" w:ascii="宋体" w:hAnsi="宋体" w:eastAsia="宋体" w:cs="宋体"/>
          <w:b/>
          <w:color w:val="auto"/>
          <w:sz w:val="36"/>
          <w:szCs w:val="36"/>
          <w:highlight w:val="none"/>
        </w:rPr>
        <w:t xml:space="preserve">第四部分  </w:t>
      </w:r>
      <w:bookmarkStart w:id="49" w:name="_Toc184313262"/>
      <w:bookmarkEnd w:id="49"/>
      <w:bookmarkStart w:id="50" w:name="_Toc184312111"/>
      <w:bookmarkEnd w:id="50"/>
      <w:bookmarkStart w:id="51" w:name="_Toc184312078"/>
      <w:bookmarkEnd w:id="51"/>
      <w:bookmarkStart w:id="52" w:name="_Toc184313293"/>
      <w:bookmarkEnd w:id="52"/>
      <w:bookmarkStart w:id="53" w:name="_Toc184310341"/>
      <w:bookmarkEnd w:id="53"/>
      <w:bookmarkStart w:id="54" w:name="_Toc184310284"/>
      <w:bookmarkEnd w:id="54"/>
      <w:bookmarkStart w:id="55" w:name="_Toc184314429"/>
      <w:bookmarkEnd w:id="55"/>
      <w:bookmarkStart w:id="56" w:name="_Toc184310275"/>
      <w:bookmarkEnd w:id="56"/>
      <w:bookmarkStart w:id="57" w:name="_Toc184314476"/>
      <w:bookmarkEnd w:id="57"/>
      <w:bookmarkStart w:id="58" w:name="_Toc184313286"/>
      <w:bookmarkEnd w:id="58"/>
      <w:bookmarkStart w:id="59" w:name="_Toc184314426"/>
      <w:bookmarkEnd w:id="59"/>
      <w:bookmarkStart w:id="60" w:name="_Toc184310328"/>
      <w:bookmarkEnd w:id="60"/>
      <w:bookmarkStart w:id="61" w:name="_Toc184312127"/>
      <w:bookmarkEnd w:id="61"/>
      <w:bookmarkStart w:id="62" w:name="_Toc184314432"/>
      <w:bookmarkEnd w:id="62"/>
      <w:bookmarkStart w:id="63" w:name="_Toc184312113"/>
      <w:bookmarkEnd w:id="63"/>
      <w:bookmarkStart w:id="64" w:name="_Toc184313302"/>
      <w:bookmarkEnd w:id="64"/>
      <w:bookmarkStart w:id="65" w:name="_Toc184308100"/>
      <w:bookmarkEnd w:id="65"/>
      <w:bookmarkStart w:id="66" w:name="_Toc184312136"/>
      <w:bookmarkEnd w:id="66"/>
      <w:bookmarkStart w:id="67" w:name="_Toc184314421"/>
      <w:bookmarkEnd w:id="67"/>
      <w:bookmarkStart w:id="68" w:name="_Toc184310292"/>
      <w:bookmarkEnd w:id="68"/>
      <w:bookmarkStart w:id="69" w:name="_Toc184310295"/>
      <w:bookmarkEnd w:id="69"/>
      <w:bookmarkStart w:id="70" w:name="_Toc184313305"/>
      <w:bookmarkEnd w:id="70"/>
      <w:bookmarkStart w:id="71" w:name="_Toc184312101"/>
      <w:bookmarkEnd w:id="71"/>
      <w:bookmarkStart w:id="72" w:name="_Toc184313278"/>
      <w:bookmarkEnd w:id="72"/>
      <w:bookmarkStart w:id="73" w:name="_Toc184314410"/>
      <w:bookmarkEnd w:id="73"/>
      <w:bookmarkStart w:id="74" w:name="_Toc184313289"/>
      <w:bookmarkEnd w:id="74"/>
      <w:bookmarkStart w:id="75" w:name="_Toc184313254"/>
      <w:bookmarkEnd w:id="75"/>
      <w:bookmarkStart w:id="76" w:name="_Toc184312128"/>
      <w:bookmarkEnd w:id="76"/>
      <w:bookmarkStart w:id="77" w:name="_Toc184313299"/>
      <w:bookmarkEnd w:id="77"/>
      <w:bookmarkStart w:id="78" w:name="_Toc184314451"/>
      <w:bookmarkEnd w:id="78"/>
      <w:bookmarkStart w:id="79" w:name="_Toc184308059"/>
      <w:bookmarkEnd w:id="79"/>
      <w:bookmarkStart w:id="80" w:name="_Toc184314438"/>
      <w:bookmarkEnd w:id="80"/>
      <w:bookmarkStart w:id="81" w:name="_Toc184314444"/>
      <w:bookmarkEnd w:id="81"/>
      <w:bookmarkStart w:id="82" w:name="_Toc184313296"/>
      <w:bookmarkEnd w:id="82"/>
      <w:bookmarkStart w:id="83" w:name="_Toc184314448"/>
      <w:bookmarkEnd w:id="83"/>
      <w:bookmarkStart w:id="84" w:name="_Toc184308081"/>
      <w:bookmarkEnd w:id="84"/>
      <w:bookmarkStart w:id="85" w:name="_Toc184310321"/>
      <w:bookmarkEnd w:id="85"/>
      <w:bookmarkStart w:id="86" w:name="_Toc184314458"/>
      <w:bookmarkEnd w:id="86"/>
      <w:bookmarkStart w:id="87" w:name="_Toc184314440"/>
      <w:bookmarkEnd w:id="87"/>
      <w:bookmarkStart w:id="88" w:name="_Toc184313240"/>
      <w:bookmarkEnd w:id="88"/>
      <w:bookmarkStart w:id="89" w:name="_Toc184308069"/>
      <w:bookmarkEnd w:id="89"/>
      <w:bookmarkStart w:id="90" w:name="_Toc184314436"/>
      <w:bookmarkEnd w:id="90"/>
      <w:bookmarkStart w:id="91" w:name="_Toc184308039"/>
      <w:bookmarkEnd w:id="91"/>
      <w:bookmarkStart w:id="92" w:name="_Toc184308080"/>
      <w:bookmarkEnd w:id="92"/>
      <w:bookmarkStart w:id="93" w:name="_Toc184313280"/>
      <w:bookmarkEnd w:id="93"/>
      <w:bookmarkStart w:id="94" w:name="_Toc184308103"/>
      <w:bookmarkEnd w:id="94"/>
      <w:bookmarkStart w:id="95" w:name="_Toc184312077"/>
      <w:bookmarkEnd w:id="95"/>
      <w:bookmarkStart w:id="96" w:name="_Toc184314468"/>
      <w:bookmarkEnd w:id="96"/>
      <w:bookmarkStart w:id="97" w:name="_Toc184312093"/>
      <w:bookmarkEnd w:id="97"/>
      <w:bookmarkStart w:id="98" w:name="_Toc184314414"/>
      <w:bookmarkEnd w:id="98"/>
      <w:bookmarkStart w:id="99" w:name="_Toc184314466"/>
      <w:bookmarkEnd w:id="99"/>
      <w:bookmarkStart w:id="100" w:name="_Toc184314423"/>
      <w:bookmarkEnd w:id="100"/>
      <w:bookmarkStart w:id="101" w:name="_Toc184313309"/>
      <w:bookmarkEnd w:id="101"/>
      <w:bookmarkStart w:id="102" w:name="_Toc184310316"/>
      <w:bookmarkEnd w:id="102"/>
      <w:bookmarkStart w:id="103" w:name="_Toc184314439"/>
      <w:bookmarkEnd w:id="103"/>
      <w:bookmarkStart w:id="104" w:name="_Toc184312072"/>
      <w:bookmarkEnd w:id="104"/>
      <w:bookmarkStart w:id="105" w:name="_Toc184313256"/>
      <w:bookmarkEnd w:id="105"/>
      <w:bookmarkStart w:id="106" w:name="_Toc184308089"/>
      <w:bookmarkEnd w:id="106"/>
      <w:bookmarkStart w:id="107" w:name="_Toc184313245"/>
      <w:bookmarkEnd w:id="107"/>
      <w:bookmarkStart w:id="108" w:name="_Toc184313261"/>
      <w:bookmarkEnd w:id="108"/>
      <w:bookmarkStart w:id="109" w:name="_Toc184314442"/>
      <w:bookmarkEnd w:id="109"/>
      <w:bookmarkStart w:id="110" w:name="_Toc184312086"/>
      <w:bookmarkEnd w:id="110"/>
      <w:bookmarkStart w:id="111" w:name="_Toc184312071"/>
      <w:bookmarkEnd w:id="111"/>
      <w:bookmarkStart w:id="112" w:name="_Toc184314445"/>
      <w:bookmarkEnd w:id="112"/>
      <w:bookmarkStart w:id="113" w:name="_Toc184310315"/>
      <w:bookmarkEnd w:id="113"/>
      <w:bookmarkStart w:id="114" w:name="_Toc184310318"/>
      <w:bookmarkEnd w:id="114"/>
      <w:bookmarkStart w:id="115" w:name="_Toc184314482"/>
      <w:bookmarkEnd w:id="115"/>
      <w:bookmarkStart w:id="116" w:name="_Toc184308063"/>
      <w:bookmarkEnd w:id="116"/>
      <w:bookmarkStart w:id="117" w:name="_Toc184312119"/>
      <w:bookmarkEnd w:id="117"/>
      <w:bookmarkStart w:id="118" w:name="_Toc184308108"/>
      <w:bookmarkEnd w:id="118"/>
      <w:bookmarkStart w:id="119" w:name="_Toc184314473"/>
      <w:bookmarkEnd w:id="119"/>
      <w:bookmarkStart w:id="120" w:name="_Toc184312087"/>
      <w:bookmarkEnd w:id="120"/>
      <w:bookmarkStart w:id="121" w:name="_Toc184308104"/>
      <w:bookmarkEnd w:id="121"/>
      <w:bookmarkStart w:id="122" w:name="_Toc184310333"/>
      <w:bookmarkEnd w:id="122"/>
      <w:bookmarkStart w:id="123" w:name="_Toc184313297"/>
      <w:bookmarkEnd w:id="123"/>
      <w:bookmarkStart w:id="124" w:name="_Toc184312132"/>
      <w:bookmarkEnd w:id="124"/>
      <w:bookmarkStart w:id="125" w:name="_Toc184310317"/>
      <w:bookmarkEnd w:id="125"/>
      <w:bookmarkStart w:id="126" w:name="_Toc184310277"/>
      <w:bookmarkEnd w:id="126"/>
      <w:bookmarkStart w:id="127" w:name="_Toc184310334"/>
      <w:bookmarkEnd w:id="127"/>
      <w:bookmarkStart w:id="128" w:name="_Toc184313301"/>
      <w:bookmarkEnd w:id="128"/>
      <w:bookmarkStart w:id="129" w:name="_Toc184312090"/>
      <w:bookmarkEnd w:id="129"/>
      <w:bookmarkStart w:id="130" w:name="_Toc184314416"/>
      <w:bookmarkEnd w:id="130"/>
      <w:bookmarkStart w:id="131" w:name="_Toc184308102"/>
      <w:bookmarkEnd w:id="131"/>
      <w:bookmarkStart w:id="132" w:name="_Toc184310286"/>
      <w:bookmarkEnd w:id="132"/>
      <w:bookmarkStart w:id="133" w:name="_Toc184314417"/>
      <w:bookmarkEnd w:id="133"/>
      <w:bookmarkStart w:id="134" w:name="_Toc184313265"/>
      <w:bookmarkEnd w:id="134"/>
      <w:bookmarkStart w:id="135" w:name="_Toc184313269"/>
      <w:bookmarkEnd w:id="135"/>
      <w:bookmarkStart w:id="136" w:name="_Toc184310337"/>
      <w:bookmarkEnd w:id="136"/>
      <w:bookmarkStart w:id="137" w:name="_Toc184312129"/>
      <w:bookmarkEnd w:id="137"/>
      <w:bookmarkStart w:id="138" w:name="_Toc184312089"/>
      <w:bookmarkEnd w:id="138"/>
      <w:bookmarkStart w:id="139" w:name="_Toc184310301"/>
      <w:bookmarkEnd w:id="139"/>
      <w:bookmarkStart w:id="140" w:name="_Toc184308041"/>
      <w:bookmarkEnd w:id="140"/>
      <w:bookmarkStart w:id="141" w:name="_Toc184312130"/>
      <w:bookmarkEnd w:id="141"/>
      <w:bookmarkStart w:id="142" w:name="_Toc184308073"/>
      <w:bookmarkEnd w:id="142"/>
      <w:bookmarkStart w:id="143" w:name="_Toc184308082"/>
      <w:bookmarkEnd w:id="143"/>
      <w:bookmarkStart w:id="144" w:name="_Toc184312085"/>
      <w:bookmarkEnd w:id="144"/>
      <w:bookmarkStart w:id="145" w:name="_Toc184308098"/>
      <w:bookmarkEnd w:id="145"/>
      <w:bookmarkStart w:id="146" w:name="_Toc184313304"/>
      <w:bookmarkEnd w:id="146"/>
      <w:bookmarkStart w:id="147" w:name="_Toc184308095"/>
      <w:bookmarkEnd w:id="147"/>
      <w:bookmarkStart w:id="148" w:name="_Toc184312069"/>
      <w:bookmarkEnd w:id="148"/>
      <w:bookmarkStart w:id="149" w:name="_Toc184310290"/>
      <w:bookmarkEnd w:id="149"/>
      <w:bookmarkStart w:id="150" w:name="_Toc184308084"/>
      <w:bookmarkEnd w:id="150"/>
      <w:bookmarkStart w:id="151" w:name="_Toc184313252"/>
      <w:bookmarkEnd w:id="151"/>
      <w:bookmarkStart w:id="152" w:name="_Toc184313300"/>
      <w:bookmarkEnd w:id="152"/>
      <w:bookmarkStart w:id="153" w:name="_Toc184310287"/>
      <w:bookmarkEnd w:id="153"/>
      <w:bookmarkStart w:id="154" w:name="_Toc184308064"/>
      <w:bookmarkEnd w:id="154"/>
      <w:bookmarkStart w:id="155" w:name="_Toc184312074"/>
      <w:bookmarkEnd w:id="155"/>
      <w:bookmarkStart w:id="156" w:name="_Toc184312125"/>
      <w:bookmarkEnd w:id="156"/>
      <w:bookmarkStart w:id="157" w:name="_Toc184313263"/>
      <w:bookmarkEnd w:id="157"/>
      <w:bookmarkStart w:id="158" w:name="_Toc184313275"/>
      <w:bookmarkEnd w:id="158"/>
      <w:bookmarkStart w:id="159" w:name="_Toc184310300"/>
      <w:bookmarkEnd w:id="159"/>
      <w:bookmarkStart w:id="160" w:name="_Toc184313310"/>
      <w:bookmarkEnd w:id="160"/>
      <w:bookmarkStart w:id="161" w:name="_Toc184310340"/>
      <w:bookmarkEnd w:id="161"/>
      <w:bookmarkStart w:id="162" w:name="_Toc184314455"/>
      <w:bookmarkEnd w:id="162"/>
      <w:bookmarkStart w:id="163" w:name="_Toc184314450"/>
      <w:bookmarkEnd w:id="163"/>
      <w:bookmarkStart w:id="164" w:name="_Toc184308042"/>
      <w:bookmarkEnd w:id="164"/>
      <w:bookmarkStart w:id="165" w:name="_Toc184313273"/>
      <w:bookmarkEnd w:id="165"/>
      <w:bookmarkStart w:id="166" w:name="_Toc184310320"/>
      <w:bookmarkEnd w:id="166"/>
      <w:bookmarkStart w:id="167" w:name="_Toc184312126"/>
      <w:bookmarkEnd w:id="167"/>
      <w:bookmarkStart w:id="168" w:name="_Toc184310304"/>
      <w:bookmarkEnd w:id="168"/>
      <w:bookmarkStart w:id="169" w:name="_Toc184314418"/>
      <w:bookmarkEnd w:id="169"/>
      <w:bookmarkStart w:id="170" w:name="_Toc184310331"/>
      <w:bookmarkEnd w:id="170"/>
      <w:bookmarkStart w:id="171" w:name="_Toc184310306"/>
      <w:bookmarkEnd w:id="171"/>
      <w:bookmarkStart w:id="172" w:name="_Toc184310276"/>
      <w:bookmarkEnd w:id="172"/>
      <w:bookmarkStart w:id="173" w:name="_Toc184310330"/>
      <w:bookmarkEnd w:id="173"/>
      <w:bookmarkStart w:id="174" w:name="_Toc184313282"/>
      <w:bookmarkEnd w:id="174"/>
      <w:bookmarkStart w:id="175" w:name="_Toc184308091"/>
      <w:bookmarkEnd w:id="175"/>
      <w:bookmarkStart w:id="176" w:name="_Toc184308101"/>
      <w:bookmarkEnd w:id="176"/>
      <w:bookmarkStart w:id="177" w:name="_Toc184308070"/>
      <w:bookmarkEnd w:id="177"/>
      <w:bookmarkStart w:id="178" w:name="_Toc184313303"/>
      <w:bookmarkEnd w:id="178"/>
      <w:bookmarkStart w:id="179" w:name="_Toc184314453"/>
      <w:bookmarkEnd w:id="179"/>
      <w:bookmarkStart w:id="180" w:name="_Toc184313274"/>
      <w:bookmarkEnd w:id="180"/>
      <w:bookmarkStart w:id="181" w:name="_Toc184310322"/>
      <w:bookmarkEnd w:id="181"/>
      <w:bookmarkStart w:id="182" w:name="_Toc184314437"/>
      <w:bookmarkEnd w:id="182"/>
      <w:bookmarkStart w:id="183" w:name="_Toc184312121"/>
      <w:bookmarkEnd w:id="183"/>
      <w:bookmarkStart w:id="184" w:name="_Toc184308048"/>
      <w:bookmarkEnd w:id="184"/>
      <w:bookmarkStart w:id="185" w:name="_Toc184312079"/>
      <w:bookmarkEnd w:id="185"/>
      <w:bookmarkStart w:id="186" w:name="_Toc184312091"/>
      <w:bookmarkEnd w:id="186"/>
      <w:bookmarkStart w:id="187" w:name="_Toc184310297"/>
      <w:bookmarkEnd w:id="187"/>
      <w:bookmarkStart w:id="188" w:name="_Toc184314427"/>
      <w:bookmarkEnd w:id="188"/>
      <w:bookmarkStart w:id="189" w:name="_Toc184313253"/>
      <w:bookmarkEnd w:id="189"/>
      <w:bookmarkStart w:id="190" w:name="_Toc184312134"/>
      <w:bookmarkEnd w:id="190"/>
      <w:bookmarkStart w:id="191" w:name="_Toc184312073"/>
      <w:bookmarkEnd w:id="191"/>
      <w:bookmarkStart w:id="192" w:name="_Toc184313251"/>
      <w:bookmarkEnd w:id="192"/>
      <w:bookmarkStart w:id="193" w:name="_Toc184314479"/>
      <w:bookmarkEnd w:id="193"/>
      <w:bookmarkStart w:id="194" w:name="_Toc184314412"/>
      <w:bookmarkEnd w:id="194"/>
      <w:bookmarkStart w:id="195" w:name="_Toc184312081"/>
      <w:bookmarkEnd w:id="195"/>
      <w:bookmarkStart w:id="196" w:name="_Toc184310307"/>
      <w:bookmarkEnd w:id="196"/>
      <w:bookmarkStart w:id="197" w:name="_Toc184312112"/>
      <w:bookmarkEnd w:id="197"/>
      <w:bookmarkStart w:id="198" w:name="_Toc184310329"/>
      <w:bookmarkEnd w:id="198"/>
      <w:bookmarkStart w:id="199" w:name="_Toc184310342"/>
      <w:bookmarkEnd w:id="199"/>
      <w:bookmarkStart w:id="200" w:name="_Toc184308083"/>
      <w:bookmarkEnd w:id="200"/>
      <w:bookmarkStart w:id="201" w:name="_Toc184313281"/>
      <w:bookmarkEnd w:id="201"/>
      <w:bookmarkStart w:id="202" w:name="_Toc184308072"/>
      <w:bookmarkEnd w:id="202"/>
      <w:bookmarkStart w:id="203" w:name="_Toc184314431"/>
      <w:bookmarkEnd w:id="203"/>
      <w:bookmarkStart w:id="204" w:name="_Toc184308099"/>
      <w:bookmarkEnd w:id="204"/>
      <w:bookmarkStart w:id="205" w:name="_Toc184308079"/>
      <w:bookmarkEnd w:id="205"/>
      <w:bookmarkStart w:id="206" w:name="_Toc184308106"/>
      <w:bookmarkEnd w:id="206"/>
      <w:bookmarkStart w:id="207" w:name="_Toc184312102"/>
      <w:bookmarkEnd w:id="207"/>
      <w:bookmarkStart w:id="208" w:name="_Toc184314446"/>
      <w:bookmarkEnd w:id="208"/>
      <w:bookmarkStart w:id="209" w:name="_Toc184314460"/>
      <w:bookmarkEnd w:id="209"/>
      <w:bookmarkStart w:id="210" w:name="_Toc184308062"/>
      <w:bookmarkEnd w:id="210"/>
      <w:bookmarkStart w:id="211" w:name="_Toc184310288"/>
      <w:bookmarkEnd w:id="211"/>
      <w:bookmarkStart w:id="212" w:name="_Toc184314478"/>
      <w:bookmarkEnd w:id="212"/>
      <w:bookmarkStart w:id="213" w:name="_Toc184310314"/>
      <w:bookmarkEnd w:id="213"/>
      <w:bookmarkStart w:id="214" w:name="_Toc184310281"/>
      <w:bookmarkEnd w:id="214"/>
      <w:bookmarkStart w:id="215" w:name="_Toc184314411"/>
      <w:bookmarkEnd w:id="215"/>
      <w:bookmarkStart w:id="216" w:name="_Toc184314443"/>
      <w:bookmarkEnd w:id="216"/>
      <w:bookmarkStart w:id="217" w:name="_Toc184310338"/>
      <w:bookmarkEnd w:id="217"/>
      <w:bookmarkStart w:id="218" w:name="_Toc184314457"/>
      <w:bookmarkEnd w:id="218"/>
      <w:bookmarkStart w:id="219" w:name="_Toc184313267"/>
      <w:bookmarkEnd w:id="219"/>
      <w:bookmarkStart w:id="220" w:name="_Toc184313258"/>
      <w:bookmarkEnd w:id="220"/>
      <w:bookmarkStart w:id="221" w:name="_Toc184308057"/>
      <w:bookmarkEnd w:id="221"/>
      <w:bookmarkStart w:id="222" w:name="_Toc184310285"/>
      <w:bookmarkEnd w:id="222"/>
      <w:bookmarkStart w:id="223" w:name="_Toc184308052"/>
      <w:bookmarkEnd w:id="223"/>
      <w:bookmarkStart w:id="224" w:name="_Toc184312115"/>
      <w:bookmarkEnd w:id="224"/>
      <w:bookmarkStart w:id="225" w:name="_Toc184312139"/>
      <w:bookmarkEnd w:id="225"/>
      <w:bookmarkStart w:id="226" w:name="_Toc184313277"/>
      <w:bookmarkEnd w:id="226"/>
      <w:bookmarkStart w:id="227" w:name="_Toc184313295"/>
      <w:bookmarkEnd w:id="227"/>
      <w:bookmarkStart w:id="228" w:name="_Toc184312094"/>
      <w:bookmarkEnd w:id="228"/>
      <w:bookmarkStart w:id="229" w:name="_Toc184310294"/>
      <w:bookmarkEnd w:id="229"/>
      <w:bookmarkStart w:id="230" w:name="_Toc184313238"/>
      <w:bookmarkEnd w:id="230"/>
      <w:bookmarkStart w:id="231" w:name="_Toc184313284"/>
      <w:bookmarkEnd w:id="231"/>
      <w:bookmarkStart w:id="232" w:name="_Toc184314424"/>
      <w:bookmarkEnd w:id="232"/>
      <w:bookmarkStart w:id="233" w:name="_Toc184308061"/>
      <w:bookmarkEnd w:id="233"/>
      <w:bookmarkStart w:id="234" w:name="_Toc184313308"/>
      <w:bookmarkEnd w:id="234"/>
      <w:bookmarkStart w:id="235" w:name="_Toc184314449"/>
      <w:bookmarkEnd w:id="235"/>
      <w:bookmarkStart w:id="236" w:name="_Toc184314433"/>
      <w:bookmarkEnd w:id="236"/>
      <w:bookmarkStart w:id="237" w:name="_Toc184313255"/>
      <w:bookmarkEnd w:id="237"/>
      <w:bookmarkStart w:id="238" w:name="_Toc184310336"/>
      <w:bookmarkEnd w:id="238"/>
      <w:bookmarkStart w:id="239" w:name="_Toc184314425"/>
      <w:bookmarkEnd w:id="239"/>
      <w:bookmarkStart w:id="240" w:name="_Toc184308088"/>
      <w:bookmarkEnd w:id="240"/>
      <w:bookmarkStart w:id="241" w:name="_Toc184312103"/>
      <w:bookmarkEnd w:id="241"/>
      <w:bookmarkStart w:id="242" w:name="_Toc184308090"/>
      <w:bookmarkEnd w:id="242"/>
      <w:bookmarkStart w:id="243" w:name="_Toc184308093"/>
      <w:bookmarkEnd w:id="243"/>
      <w:bookmarkStart w:id="244" w:name="_Toc184314420"/>
      <w:bookmarkEnd w:id="244"/>
      <w:bookmarkStart w:id="245" w:name="_Toc184310344"/>
      <w:bookmarkEnd w:id="245"/>
      <w:bookmarkStart w:id="246" w:name="_Toc184314452"/>
      <w:bookmarkEnd w:id="246"/>
      <w:bookmarkStart w:id="247" w:name="_Toc184312114"/>
      <w:bookmarkEnd w:id="247"/>
      <w:bookmarkStart w:id="248" w:name="_Toc184313288"/>
      <w:bookmarkEnd w:id="248"/>
      <w:bookmarkStart w:id="249" w:name="_Toc184312088"/>
      <w:bookmarkEnd w:id="249"/>
      <w:bookmarkStart w:id="250" w:name="_Toc184314472"/>
      <w:bookmarkEnd w:id="250"/>
      <w:bookmarkStart w:id="251" w:name="_Toc184310343"/>
      <w:bookmarkEnd w:id="251"/>
      <w:bookmarkStart w:id="252" w:name="_Toc184308056"/>
      <w:bookmarkEnd w:id="252"/>
      <w:bookmarkStart w:id="253" w:name="_Toc184313287"/>
      <w:bookmarkEnd w:id="253"/>
      <w:bookmarkStart w:id="254" w:name="_Toc184314441"/>
      <w:bookmarkEnd w:id="254"/>
      <w:bookmarkStart w:id="255" w:name="_Toc184312099"/>
      <w:bookmarkEnd w:id="255"/>
      <w:bookmarkStart w:id="256" w:name="_Toc184312118"/>
      <w:bookmarkEnd w:id="256"/>
      <w:bookmarkStart w:id="257" w:name="_Toc184312117"/>
      <w:bookmarkEnd w:id="257"/>
      <w:bookmarkStart w:id="258" w:name="_Toc184310279"/>
      <w:bookmarkEnd w:id="258"/>
      <w:bookmarkStart w:id="259" w:name="_Toc184308045"/>
      <w:bookmarkEnd w:id="259"/>
      <w:bookmarkStart w:id="260" w:name="_Toc184313259"/>
      <w:bookmarkEnd w:id="260"/>
      <w:bookmarkStart w:id="261" w:name="_Toc184308049"/>
      <w:bookmarkEnd w:id="261"/>
      <w:bookmarkStart w:id="262" w:name="_Toc184308050"/>
      <w:bookmarkEnd w:id="262"/>
      <w:bookmarkStart w:id="263" w:name="_Toc184313307"/>
      <w:bookmarkEnd w:id="263"/>
      <w:bookmarkStart w:id="264" w:name="_Toc184313249"/>
      <w:bookmarkEnd w:id="264"/>
      <w:bookmarkStart w:id="265" w:name="_Toc184308038"/>
      <w:bookmarkEnd w:id="265"/>
      <w:bookmarkStart w:id="266" w:name="_Toc184314456"/>
      <w:bookmarkEnd w:id="266"/>
      <w:bookmarkStart w:id="267" w:name="_Toc184314477"/>
      <w:bookmarkEnd w:id="267"/>
      <w:bookmarkStart w:id="268" w:name="_Toc184310298"/>
      <w:bookmarkEnd w:id="268"/>
      <w:bookmarkStart w:id="269" w:name="_Toc184314434"/>
      <w:bookmarkEnd w:id="269"/>
      <w:bookmarkStart w:id="270" w:name="_Toc184312076"/>
      <w:bookmarkEnd w:id="270"/>
      <w:bookmarkStart w:id="271" w:name="_Toc184314462"/>
      <w:bookmarkEnd w:id="271"/>
      <w:bookmarkStart w:id="272" w:name="_Toc184313239"/>
      <w:bookmarkEnd w:id="272"/>
      <w:bookmarkStart w:id="273" w:name="_Toc184310326"/>
      <w:bookmarkEnd w:id="273"/>
      <w:bookmarkStart w:id="274" w:name="_Toc184312083"/>
      <w:bookmarkEnd w:id="274"/>
      <w:bookmarkStart w:id="275" w:name="_Toc184314469"/>
      <w:bookmarkEnd w:id="275"/>
      <w:bookmarkStart w:id="276" w:name="_Toc184310280"/>
      <w:bookmarkEnd w:id="276"/>
      <w:bookmarkStart w:id="277" w:name="_Toc184308055"/>
      <w:bookmarkEnd w:id="277"/>
      <w:bookmarkStart w:id="278" w:name="_Toc184310302"/>
      <w:bookmarkEnd w:id="278"/>
      <w:bookmarkStart w:id="279" w:name="_Toc184312133"/>
      <w:bookmarkEnd w:id="279"/>
      <w:bookmarkStart w:id="280" w:name="_Toc184312137"/>
      <w:bookmarkEnd w:id="280"/>
      <w:bookmarkStart w:id="281" w:name="_Toc184313248"/>
      <w:bookmarkEnd w:id="281"/>
      <w:bookmarkStart w:id="282" w:name="_Toc184310335"/>
      <w:bookmarkEnd w:id="282"/>
      <w:bookmarkStart w:id="283" w:name="_Toc184312135"/>
      <w:bookmarkEnd w:id="283"/>
      <w:bookmarkStart w:id="284" w:name="_Toc184308097"/>
      <w:bookmarkEnd w:id="284"/>
      <w:bookmarkStart w:id="285" w:name="_Toc184313292"/>
      <w:bookmarkEnd w:id="285"/>
      <w:bookmarkStart w:id="286" w:name="_Toc184308053"/>
      <w:bookmarkEnd w:id="286"/>
      <w:bookmarkStart w:id="287" w:name="_Toc184308036"/>
      <w:bookmarkEnd w:id="287"/>
      <w:bookmarkStart w:id="288" w:name="_Toc184314454"/>
      <w:bookmarkEnd w:id="288"/>
      <w:bookmarkStart w:id="289" w:name="_Toc184312104"/>
      <w:bookmarkEnd w:id="289"/>
      <w:bookmarkStart w:id="290" w:name="_Toc184314435"/>
      <w:bookmarkEnd w:id="290"/>
      <w:bookmarkStart w:id="291" w:name="_Toc184310323"/>
      <w:bookmarkEnd w:id="291"/>
      <w:bookmarkStart w:id="292" w:name="_Toc184314475"/>
      <w:bookmarkEnd w:id="292"/>
      <w:bookmarkStart w:id="293" w:name="_Toc184308094"/>
      <w:bookmarkEnd w:id="293"/>
      <w:bookmarkStart w:id="294" w:name="_Toc184313242"/>
      <w:bookmarkEnd w:id="294"/>
      <w:bookmarkStart w:id="295" w:name="_Toc184312122"/>
      <w:bookmarkEnd w:id="295"/>
      <w:bookmarkStart w:id="296" w:name="_Toc184308066"/>
      <w:bookmarkEnd w:id="296"/>
      <w:bookmarkStart w:id="297" w:name="_Toc184313246"/>
      <w:bookmarkEnd w:id="297"/>
      <w:bookmarkStart w:id="298" w:name="_Toc184313306"/>
      <w:bookmarkEnd w:id="298"/>
      <w:bookmarkStart w:id="299" w:name="_Toc184310325"/>
      <w:bookmarkEnd w:id="299"/>
      <w:bookmarkStart w:id="300" w:name="_Toc184313270"/>
      <w:bookmarkEnd w:id="300"/>
      <w:bookmarkStart w:id="301" w:name="_Toc184310339"/>
      <w:bookmarkEnd w:id="301"/>
      <w:bookmarkStart w:id="302" w:name="_Toc184310308"/>
      <w:bookmarkEnd w:id="302"/>
      <w:bookmarkStart w:id="303" w:name="_Toc184312116"/>
      <w:bookmarkEnd w:id="303"/>
      <w:bookmarkStart w:id="304" w:name="_Toc184313243"/>
      <w:bookmarkEnd w:id="304"/>
      <w:bookmarkStart w:id="305" w:name="_Toc184313298"/>
      <w:bookmarkEnd w:id="305"/>
      <w:bookmarkStart w:id="306" w:name="_Toc184312067"/>
      <w:bookmarkEnd w:id="306"/>
      <w:bookmarkStart w:id="307" w:name="_Toc184313271"/>
      <w:bookmarkEnd w:id="307"/>
      <w:bookmarkStart w:id="308" w:name="_Toc184308051"/>
      <w:bookmarkEnd w:id="308"/>
      <w:bookmarkStart w:id="309" w:name="_Toc184312131"/>
      <w:bookmarkEnd w:id="309"/>
      <w:bookmarkStart w:id="310" w:name="_Toc184314470"/>
      <w:bookmarkEnd w:id="310"/>
      <w:bookmarkStart w:id="311" w:name="_Toc184310296"/>
      <w:bookmarkEnd w:id="311"/>
      <w:bookmarkStart w:id="312" w:name="_Toc184310327"/>
      <w:bookmarkEnd w:id="312"/>
      <w:bookmarkStart w:id="313" w:name="_Toc184314419"/>
      <w:bookmarkEnd w:id="313"/>
      <w:bookmarkStart w:id="314" w:name="_Toc184310274"/>
      <w:bookmarkEnd w:id="314"/>
      <w:bookmarkStart w:id="315" w:name="_Toc184313241"/>
      <w:bookmarkEnd w:id="315"/>
      <w:bookmarkStart w:id="316" w:name="_Toc184313244"/>
      <w:bookmarkEnd w:id="316"/>
      <w:bookmarkStart w:id="317" w:name="_Toc184310312"/>
      <w:bookmarkEnd w:id="317"/>
      <w:bookmarkStart w:id="318" w:name="_Toc184313268"/>
      <w:bookmarkEnd w:id="318"/>
      <w:bookmarkStart w:id="319" w:name="_Toc184312106"/>
      <w:bookmarkEnd w:id="319"/>
      <w:bookmarkStart w:id="320" w:name="_Toc184308107"/>
      <w:bookmarkEnd w:id="320"/>
      <w:bookmarkStart w:id="321" w:name="_Toc184314447"/>
      <w:bookmarkEnd w:id="321"/>
      <w:bookmarkStart w:id="322" w:name="_Toc184313291"/>
      <w:bookmarkEnd w:id="322"/>
      <w:bookmarkStart w:id="323" w:name="_Toc184313257"/>
      <w:bookmarkEnd w:id="323"/>
      <w:bookmarkStart w:id="324" w:name="_Toc184312082"/>
      <w:bookmarkEnd w:id="324"/>
      <w:bookmarkStart w:id="325" w:name="_Toc184308087"/>
      <w:bookmarkEnd w:id="325"/>
      <w:bookmarkStart w:id="326" w:name="_Toc184312107"/>
      <w:bookmarkEnd w:id="326"/>
      <w:bookmarkStart w:id="327" w:name="_Toc184308037"/>
      <w:bookmarkEnd w:id="327"/>
      <w:bookmarkStart w:id="328" w:name="_Toc184314430"/>
      <w:bookmarkEnd w:id="328"/>
      <w:bookmarkStart w:id="329" w:name="_Toc184313266"/>
      <w:bookmarkEnd w:id="329"/>
      <w:bookmarkStart w:id="330" w:name="_Toc184312075"/>
      <w:bookmarkEnd w:id="330"/>
      <w:bookmarkStart w:id="331" w:name="_Toc184314413"/>
      <w:bookmarkEnd w:id="331"/>
      <w:bookmarkStart w:id="332" w:name="_Toc184313276"/>
      <w:bookmarkEnd w:id="332"/>
      <w:bookmarkStart w:id="333" w:name="_Toc184310291"/>
      <w:bookmarkEnd w:id="333"/>
      <w:bookmarkStart w:id="334" w:name="_Toc184310278"/>
      <w:bookmarkEnd w:id="334"/>
      <w:bookmarkStart w:id="335" w:name="_Toc184308044"/>
      <w:bookmarkEnd w:id="335"/>
      <w:bookmarkStart w:id="336" w:name="_Toc184313247"/>
      <w:bookmarkEnd w:id="336"/>
      <w:bookmarkStart w:id="337" w:name="_Toc184312092"/>
      <w:bookmarkEnd w:id="337"/>
      <w:bookmarkStart w:id="338" w:name="_Toc184308040"/>
      <w:bookmarkEnd w:id="338"/>
      <w:bookmarkStart w:id="339" w:name="_Toc184313290"/>
      <w:bookmarkEnd w:id="339"/>
      <w:bookmarkStart w:id="340" w:name="_Toc184312109"/>
      <w:bookmarkEnd w:id="340"/>
      <w:bookmarkStart w:id="341" w:name="_Toc184313272"/>
      <w:bookmarkEnd w:id="341"/>
      <w:bookmarkStart w:id="342" w:name="_Toc184312097"/>
      <w:bookmarkEnd w:id="342"/>
      <w:bookmarkStart w:id="343" w:name="_Toc184312080"/>
      <w:bookmarkEnd w:id="343"/>
      <w:bookmarkStart w:id="344" w:name="_Toc184313279"/>
      <w:bookmarkEnd w:id="344"/>
      <w:bookmarkStart w:id="345" w:name="_Toc184314480"/>
      <w:bookmarkEnd w:id="345"/>
      <w:bookmarkStart w:id="346" w:name="_Toc184314422"/>
      <w:bookmarkEnd w:id="346"/>
      <w:bookmarkStart w:id="347" w:name="_Toc184310289"/>
      <w:bookmarkEnd w:id="347"/>
      <w:bookmarkStart w:id="348" w:name="_Toc184314415"/>
      <w:bookmarkEnd w:id="348"/>
      <w:bookmarkStart w:id="349" w:name="_Toc184312124"/>
      <w:bookmarkEnd w:id="349"/>
      <w:bookmarkStart w:id="350" w:name="_Toc184308092"/>
      <w:bookmarkEnd w:id="350"/>
      <w:bookmarkStart w:id="351" w:name="_Toc184314465"/>
      <w:bookmarkEnd w:id="351"/>
      <w:bookmarkStart w:id="352" w:name="_Toc184310310"/>
      <w:bookmarkEnd w:id="352"/>
      <w:bookmarkStart w:id="353" w:name="_Toc184314459"/>
      <w:bookmarkEnd w:id="353"/>
      <w:bookmarkStart w:id="354" w:name="_Toc184312110"/>
      <w:bookmarkEnd w:id="354"/>
      <w:bookmarkStart w:id="355" w:name="_Toc184308054"/>
      <w:bookmarkEnd w:id="355"/>
      <w:bookmarkStart w:id="356" w:name="_Toc184308075"/>
      <w:bookmarkEnd w:id="356"/>
      <w:bookmarkStart w:id="357" w:name="_Toc184314467"/>
      <w:bookmarkEnd w:id="357"/>
      <w:bookmarkStart w:id="358" w:name="_Toc184310273"/>
      <w:bookmarkEnd w:id="358"/>
      <w:bookmarkStart w:id="359" w:name="_Toc184314481"/>
      <w:bookmarkEnd w:id="359"/>
      <w:bookmarkStart w:id="360" w:name="_Toc184310313"/>
      <w:bookmarkEnd w:id="360"/>
      <w:bookmarkStart w:id="361" w:name="_Toc184308043"/>
      <w:bookmarkEnd w:id="361"/>
      <w:bookmarkStart w:id="362" w:name="_Toc184310272"/>
      <w:bookmarkEnd w:id="362"/>
      <w:bookmarkStart w:id="363" w:name="_Toc184312084"/>
      <w:bookmarkEnd w:id="363"/>
      <w:bookmarkStart w:id="364" w:name="_Toc184310332"/>
      <w:bookmarkEnd w:id="364"/>
      <w:bookmarkStart w:id="365" w:name="_Toc184308096"/>
      <w:bookmarkEnd w:id="365"/>
      <w:bookmarkStart w:id="366" w:name="_Toc184310293"/>
      <w:bookmarkEnd w:id="366"/>
      <w:bookmarkStart w:id="367" w:name="_Toc184314471"/>
      <w:bookmarkEnd w:id="367"/>
      <w:bookmarkStart w:id="368" w:name="_Toc184312095"/>
      <w:bookmarkEnd w:id="368"/>
      <w:bookmarkStart w:id="369" w:name="_Toc184310311"/>
      <w:bookmarkEnd w:id="369"/>
      <w:bookmarkStart w:id="370" w:name="_Toc184308105"/>
      <w:bookmarkEnd w:id="370"/>
      <w:bookmarkStart w:id="371" w:name="_Toc184312098"/>
      <w:bookmarkEnd w:id="371"/>
      <w:bookmarkStart w:id="372" w:name="_Toc184312068"/>
      <w:bookmarkEnd w:id="372"/>
      <w:bookmarkStart w:id="373" w:name="_Toc184308078"/>
      <w:bookmarkEnd w:id="373"/>
      <w:bookmarkStart w:id="374" w:name="_Toc184308086"/>
      <w:bookmarkEnd w:id="374"/>
      <w:bookmarkStart w:id="375" w:name="_Toc184308060"/>
      <w:bookmarkEnd w:id="375"/>
      <w:bookmarkStart w:id="376" w:name="_Toc184312096"/>
      <w:bookmarkEnd w:id="376"/>
      <w:bookmarkStart w:id="377" w:name="_Toc184308067"/>
      <w:bookmarkEnd w:id="377"/>
      <w:bookmarkStart w:id="378" w:name="_Toc184314461"/>
      <w:bookmarkEnd w:id="378"/>
      <w:bookmarkStart w:id="379" w:name="_Toc184308085"/>
      <w:bookmarkEnd w:id="379"/>
      <w:bookmarkStart w:id="380" w:name="_Toc184312100"/>
      <w:bookmarkEnd w:id="380"/>
      <w:bookmarkStart w:id="381" w:name="_Toc184313250"/>
      <w:bookmarkEnd w:id="381"/>
      <w:bookmarkStart w:id="382" w:name="_Toc184314464"/>
      <w:bookmarkEnd w:id="382"/>
      <w:bookmarkStart w:id="383" w:name="_Toc184308077"/>
      <w:bookmarkEnd w:id="383"/>
      <w:bookmarkStart w:id="384" w:name="_Toc184313294"/>
      <w:bookmarkEnd w:id="384"/>
      <w:bookmarkStart w:id="385" w:name="_Toc184308068"/>
      <w:bookmarkEnd w:id="385"/>
      <w:bookmarkStart w:id="386" w:name="_Toc184312108"/>
      <w:bookmarkEnd w:id="386"/>
      <w:bookmarkStart w:id="387" w:name="_Toc184312105"/>
      <w:bookmarkEnd w:id="387"/>
      <w:bookmarkStart w:id="388" w:name="_Toc184310305"/>
      <w:bookmarkEnd w:id="388"/>
      <w:bookmarkStart w:id="389" w:name="_Toc184314428"/>
      <w:bookmarkEnd w:id="389"/>
      <w:bookmarkStart w:id="390" w:name="_Toc184308065"/>
      <w:bookmarkEnd w:id="390"/>
      <w:bookmarkStart w:id="391" w:name="_Toc184310283"/>
      <w:bookmarkEnd w:id="391"/>
      <w:bookmarkStart w:id="392" w:name="_Toc184310324"/>
      <w:bookmarkEnd w:id="392"/>
      <w:bookmarkStart w:id="393" w:name="_Toc184308058"/>
      <w:bookmarkEnd w:id="393"/>
      <w:bookmarkStart w:id="394" w:name="_Toc184308071"/>
      <w:bookmarkEnd w:id="394"/>
      <w:bookmarkStart w:id="395" w:name="_Toc184310309"/>
      <w:bookmarkEnd w:id="395"/>
      <w:bookmarkStart w:id="396" w:name="_Toc184308046"/>
      <w:bookmarkEnd w:id="396"/>
      <w:bookmarkStart w:id="397" w:name="_Toc184312120"/>
      <w:bookmarkEnd w:id="397"/>
      <w:bookmarkStart w:id="398" w:name="_Toc184308074"/>
      <w:bookmarkEnd w:id="398"/>
      <w:bookmarkStart w:id="399" w:name="_Toc184314474"/>
      <w:bookmarkEnd w:id="399"/>
      <w:bookmarkStart w:id="400" w:name="_Toc184310319"/>
      <w:bookmarkEnd w:id="400"/>
      <w:bookmarkStart w:id="401" w:name="_Toc184313264"/>
      <w:bookmarkEnd w:id="401"/>
      <w:bookmarkStart w:id="402" w:name="_Toc184313283"/>
      <w:bookmarkEnd w:id="402"/>
      <w:bookmarkStart w:id="403" w:name="_Toc184314463"/>
      <w:bookmarkEnd w:id="403"/>
      <w:bookmarkStart w:id="404" w:name="_Toc184312123"/>
      <w:bookmarkEnd w:id="404"/>
      <w:bookmarkStart w:id="405" w:name="_Toc184308076"/>
      <w:bookmarkEnd w:id="405"/>
      <w:bookmarkStart w:id="406" w:name="_Toc184313260"/>
      <w:bookmarkEnd w:id="406"/>
      <w:bookmarkStart w:id="407" w:name="_Toc184313285"/>
      <w:bookmarkEnd w:id="407"/>
      <w:bookmarkStart w:id="408" w:name="_Toc184310282"/>
      <w:bookmarkEnd w:id="408"/>
      <w:bookmarkStart w:id="409" w:name="_Toc184310299"/>
      <w:bookmarkEnd w:id="409"/>
      <w:bookmarkStart w:id="410" w:name="_Toc184312070"/>
      <w:bookmarkEnd w:id="410"/>
      <w:bookmarkStart w:id="411" w:name="_Toc184310303"/>
      <w:bookmarkEnd w:id="411"/>
      <w:bookmarkStart w:id="412" w:name="_Toc184308047"/>
      <w:bookmarkEnd w:id="412"/>
      <w:bookmarkStart w:id="413" w:name="_Toc184312138"/>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7F3EE837">
      <w:pPr>
        <w:snapToGrid w:val="0"/>
        <w:spacing w:line="360" w:lineRule="auto"/>
        <w:jc w:val="both"/>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以下评分办法适用于1分标：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6F75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3CEC08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noWrap w:val="0"/>
            <w:vAlign w:val="center"/>
          </w:tcPr>
          <w:p w14:paraId="0000F05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noWrap w:val="0"/>
            <w:vAlign w:val="center"/>
          </w:tcPr>
          <w:p w14:paraId="24549BF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noWrap w:val="0"/>
            <w:vAlign w:val="center"/>
          </w:tcPr>
          <w:p w14:paraId="12E30DF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1611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noWrap w:val="0"/>
            <w:vAlign w:val="center"/>
          </w:tcPr>
          <w:p w14:paraId="45E491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5772" w:type="dxa"/>
            <w:noWrap w:val="0"/>
            <w:vAlign w:val="center"/>
          </w:tcPr>
          <w:p w14:paraId="094586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价格分</w:t>
            </w:r>
          </w:p>
        </w:tc>
        <w:tc>
          <w:tcPr>
            <w:tcW w:w="1950" w:type="dxa"/>
            <w:gridSpan w:val="2"/>
            <w:noWrap w:val="0"/>
            <w:vAlign w:val="center"/>
          </w:tcPr>
          <w:p w14:paraId="6783F64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30分</w:t>
            </w:r>
          </w:p>
        </w:tc>
      </w:tr>
      <w:tr w14:paraId="578C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6EC3A37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noWrap w:val="0"/>
            <w:vAlign w:val="center"/>
          </w:tcPr>
          <w:p w14:paraId="76F42CDA">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4415129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color w:val="auto"/>
                <w:sz w:val="21"/>
                <w:szCs w:val="21"/>
                <w:highlight w:val="none"/>
                <w:lang w:val="en-US" w:eastAsia="zh-CN"/>
              </w:rPr>
              <w:t>本项目为专门面向中小企业采购的项目，按照《政府采购促进中小企业发展管理办法》（财库〔2020〕46号）的规定，对投标人最后报价不再执行价格评审优惠的扶持政策。</w:t>
            </w:r>
          </w:p>
          <w:p w14:paraId="2F665CE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（2）满足招标文件要求且评标报价最低的评标报价为评标基准价，基准价得分为30分。</w:t>
            </w:r>
          </w:p>
          <w:p w14:paraId="54F2804F">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）某投标人价格分 =（评标基准价÷某投标人评标报价）×30分。</w:t>
            </w:r>
          </w:p>
        </w:tc>
        <w:tc>
          <w:tcPr>
            <w:tcW w:w="845" w:type="dxa"/>
            <w:noWrap w:val="0"/>
            <w:vAlign w:val="center"/>
          </w:tcPr>
          <w:p w14:paraId="2E5C0D2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noWrap w:val="0"/>
            <w:vAlign w:val="center"/>
          </w:tcPr>
          <w:p w14:paraId="5074F30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4A9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noWrap w:val="0"/>
            <w:vAlign w:val="center"/>
          </w:tcPr>
          <w:p w14:paraId="473112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5772" w:type="dxa"/>
            <w:noWrap w:val="0"/>
            <w:vAlign w:val="center"/>
          </w:tcPr>
          <w:p w14:paraId="4C71E9E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技术分</w:t>
            </w:r>
          </w:p>
        </w:tc>
        <w:tc>
          <w:tcPr>
            <w:tcW w:w="1950" w:type="dxa"/>
            <w:gridSpan w:val="2"/>
            <w:noWrap w:val="0"/>
            <w:vAlign w:val="center"/>
          </w:tcPr>
          <w:p w14:paraId="369F38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70</w:t>
            </w:r>
            <w:r>
              <w:rPr>
                <w:rFonts w:hint="eastAsia" w:ascii="宋体" w:hAnsi="宋体" w:eastAsia="宋体" w:cs="宋体"/>
                <w:b/>
                <w:bCs/>
                <w:color w:val="auto"/>
                <w:highlight w:val="none"/>
                <w:lang w:val="en-US" w:eastAsia="zh-CN"/>
              </w:rPr>
              <w:t>分</w:t>
            </w:r>
          </w:p>
        </w:tc>
      </w:tr>
      <w:tr w14:paraId="597D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889" w:type="dxa"/>
            <w:noWrap w:val="0"/>
            <w:vAlign w:val="center"/>
          </w:tcPr>
          <w:p w14:paraId="20AFD3A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5772" w:type="dxa"/>
            <w:noWrap w:val="0"/>
            <w:vAlign w:val="center"/>
          </w:tcPr>
          <w:p w14:paraId="3879701B">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6E448785">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重要技术参数、性能、配置（指采购项目需求标注“◆”的技术参数及配置）每提供一项重要技术参数、性能、配置响应招标文件要求的相关证明材料（</w:t>
            </w:r>
            <w:r>
              <w:rPr>
                <w:rFonts w:hint="eastAsia" w:ascii="宋体" w:hAnsi="宋体" w:cs="宋体"/>
                <w:b w:val="0"/>
                <w:bCs/>
                <w:color w:val="auto"/>
                <w:sz w:val="21"/>
                <w:szCs w:val="21"/>
                <w:highlight w:val="none"/>
                <w:lang w:val="en-US" w:eastAsia="zh-CN"/>
              </w:rPr>
              <w:t>相关证明材料可以是具有相关资质</w:t>
            </w:r>
            <w:r>
              <w:rPr>
                <w:rFonts w:hint="eastAsia" w:ascii="宋体" w:hAnsi="宋体" w:eastAsia="宋体" w:cs="宋体"/>
                <w:b w:val="0"/>
                <w:bCs/>
                <w:color w:val="auto"/>
                <w:sz w:val="21"/>
                <w:szCs w:val="21"/>
                <w:highlight w:val="none"/>
                <w:lang w:val="en-US" w:eastAsia="zh-CN"/>
              </w:rPr>
              <w:t>第三方机构检测报告等能体现具体参数的证明材料复印件并加盖投标人公章）</w:t>
            </w:r>
            <w:r>
              <w:rPr>
                <w:rFonts w:hint="eastAsia" w:ascii="宋体" w:hAnsi="宋体" w:cs="宋体"/>
                <w:b w:val="0"/>
                <w:bCs/>
                <w:color w:val="auto"/>
                <w:sz w:val="21"/>
                <w:szCs w:val="21"/>
                <w:highlight w:val="none"/>
                <w:lang w:val="en-US" w:eastAsia="zh-CN"/>
              </w:rPr>
              <w:t>得3</w:t>
            </w:r>
            <w:r>
              <w:rPr>
                <w:rFonts w:hint="eastAsia" w:ascii="宋体" w:hAnsi="宋体" w:eastAsia="宋体" w:cs="宋体"/>
                <w:b w:val="0"/>
                <w:bCs/>
                <w:color w:val="auto"/>
                <w:sz w:val="21"/>
                <w:szCs w:val="21"/>
                <w:highlight w:val="none"/>
                <w:lang w:val="en-US" w:eastAsia="zh-CN"/>
              </w:rPr>
              <w:t>分，满分</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eastAsia="zh-CN"/>
              </w:rPr>
              <w:t>分。</w:t>
            </w:r>
          </w:p>
          <w:p w14:paraId="75AE709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highlight w:val="none"/>
              </w:rPr>
            </w:pPr>
            <w:r>
              <w:rPr>
                <w:rFonts w:hint="eastAsia" w:ascii="宋体" w:hAnsi="宋体" w:eastAsia="宋体" w:cs="宋体"/>
                <w:b/>
                <w:bCs w:val="0"/>
                <w:color w:val="auto"/>
                <w:sz w:val="21"/>
                <w:szCs w:val="21"/>
                <w:highlight w:val="none"/>
                <w:lang w:val="en-US" w:eastAsia="zh-CN"/>
              </w:rPr>
              <w:t>说明：</w:t>
            </w: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 xml:space="preserve">3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noWrap w:val="0"/>
            <w:vAlign w:val="center"/>
          </w:tcPr>
          <w:p w14:paraId="2BE17EA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6BA56F8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22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55AF504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5772" w:type="dxa"/>
            <w:noWrap w:val="0"/>
            <w:vAlign w:val="center"/>
          </w:tcPr>
          <w:p w14:paraId="5F6588E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398A497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65272FB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w:t>
            </w:r>
            <w:r>
              <w:rPr>
                <w:rFonts w:hint="eastAsia" w:ascii="宋体" w:hAnsi="宋体" w:eastAsia="宋体" w:cs="宋体"/>
                <w:color w:val="auto"/>
                <w:sz w:val="21"/>
                <w:szCs w:val="21"/>
                <w:highlight w:val="none"/>
                <w:lang w:eastAsia="zh-CN"/>
              </w:rPr>
              <w:t>。</w:t>
            </w:r>
          </w:p>
          <w:p w14:paraId="5B44783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w:t>
            </w:r>
            <w:r>
              <w:rPr>
                <w:rFonts w:hint="eastAsia" w:ascii="宋体" w:hAnsi="宋体" w:eastAsia="宋体" w:cs="宋体"/>
                <w:color w:val="auto"/>
                <w:sz w:val="21"/>
                <w:szCs w:val="21"/>
                <w:highlight w:val="none"/>
              </w:rPr>
              <w:t>。</w:t>
            </w:r>
          </w:p>
          <w:p w14:paraId="4C6835C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p>
          <w:p w14:paraId="600889F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val="en-US" w:eastAsia="zh-CN"/>
              </w:rPr>
              <w:t>、项目管理框架、技术管理构架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对本项目的风险预见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风险应对措施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有实施进度说明，</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的安装、验收的各阶段有详细的方案说明。</w:t>
            </w:r>
          </w:p>
        </w:tc>
        <w:tc>
          <w:tcPr>
            <w:tcW w:w="845" w:type="dxa"/>
            <w:noWrap w:val="0"/>
            <w:vAlign w:val="center"/>
          </w:tcPr>
          <w:p w14:paraId="06562E2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4C2A82B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70F3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1BF0E5D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5772" w:type="dxa"/>
            <w:noWrap w:val="0"/>
            <w:vAlign w:val="center"/>
          </w:tcPr>
          <w:p w14:paraId="7564E5E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拟投入人员</w:t>
            </w:r>
            <w:r>
              <w:rPr>
                <w:rFonts w:hint="eastAsia" w:ascii="宋体" w:hAnsi="宋体" w:eastAsia="宋体" w:cs="宋体"/>
                <w:b/>
                <w:bCs/>
                <w:color w:val="auto"/>
                <w:sz w:val="21"/>
                <w:szCs w:val="21"/>
                <w:highlight w:val="none"/>
                <w:lang w:val="en-US" w:eastAsia="zh-CN"/>
              </w:rPr>
              <w:t>方案</w:t>
            </w:r>
          </w:p>
          <w:p w14:paraId="2346A44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w:t>
            </w:r>
            <w:r>
              <w:rPr>
                <w:rFonts w:hint="eastAsia" w:ascii="宋体" w:hAnsi="宋体" w:cs="宋体"/>
                <w:b w:val="0"/>
                <w:bCs w:val="0"/>
                <w:color w:val="auto"/>
                <w:sz w:val="21"/>
                <w:szCs w:val="21"/>
                <w:highlight w:val="none"/>
                <w:lang w:val="en-US" w:eastAsia="zh-CN"/>
              </w:rPr>
              <w:t>拟投入人员</w:t>
            </w:r>
            <w:r>
              <w:rPr>
                <w:rFonts w:hint="eastAsia" w:ascii="宋体" w:hAnsi="宋体" w:eastAsia="宋体" w:cs="宋体"/>
                <w:b w:val="0"/>
                <w:bCs w:val="0"/>
                <w:color w:val="auto"/>
                <w:sz w:val="21"/>
                <w:szCs w:val="21"/>
                <w:highlight w:val="none"/>
              </w:rPr>
              <w:t>方案不得分。</w:t>
            </w:r>
          </w:p>
          <w:p w14:paraId="3E0D231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37897B0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拟投入人员</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5423A53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拟投入人员</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p>
          <w:p w14:paraId="57E7CC59">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五档（</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val="0"/>
                <w:bCs w:val="0"/>
                <w:color w:val="auto"/>
                <w:sz w:val="21"/>
                <w:szCs w:val="21"/>
                <w:highlight w:val="none"/>
              </w:rPr>
              <w:t>提供</w:t>
            </w:r>
            <w:r>
              <w:rPr>
                <w:rFonts w:hint="eastAsia" w:ascii="宋体" w:hAnsi="宋体" w:cs="宋体"/>
                <w:b w:val="0"/>
                <w:bCs w:val="0"/>
                <w:color w:val="auto"/>
                <w:sz w:val="21"/>
                <w:szCs w:val="21"/>
                <w:highlight w:val="none"/>
                <w:lang w:val="en-US" w:eastAsia="zh-CN"/>
              </w:rPr>
              <w:t>拟投入人员</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岗位职责；制定</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人员规划安排表，有技术管理机构及人员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人员投入完全满足本项目总体要求。</w:t>
            </w:r>
          </w:p>
        </w:tc>
        <w:tc>
          <w:tcPr>
            <w:tcW w:w="845" w:type="dxa"/>
            <w:noWrap w:val="0"/>
            <w:vAlign w:val="center"/>
          </w:tcPr>
          <w:p w14:paraId="3908506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56A65B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A4B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7E7DB57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5772" w:type="dxa"/>
            <w:noWrap w:val="0"/>
            <w:vAlign w:val="center"/>
          </w:tcPr>
          <w:p w14:paraId="21B163B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7E5492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33174A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设备标准操作方法、设备使用注意事项</w:t>
            </w:r>
            <w:r>
              <w:rPr>
                <w:rFonts w:hint="eastAsia" w:ascii="宋体" w:hAnsi="宋体" w:eastAsia="宋体" w:cs="宋体"/>
                <w:color w:val="auto"/>
                <w:sz w:val="21"/>
                <w:szCs w:val="21"/>
                <w:highlight w:val="none"/>
              </w:rPr>
              <w:t>。</w:t>
            </w:r>
          </w:p>
          <w:p w14:paraId="361611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设备标准操作方法、设备使用注意事项、设备基础维护知识。</w:t>
            </w:r>
          </w:p>
          <w:p w14:paraId="7637A7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rPr>
              <w:t>。</w:t>
            </w:r>
          </w:p>
          <w:p w14:paraId="1E1ED77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设备操作、使用及维护培训方案，方案内容具有详细的设备操作、使用及维护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p>
        </w:tc>
        <w:tc>
          <w:tcPr>
            <w:tcW w:w="845" w:type="dxa"/>
            <w:noWrap w:val="0"/>
            <w:vAlign w:val="center"/>
          </w:tcPr>
          <w:p w14:paraId="1C92443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p>
        </w:tc>
        <w:tc>
          <w:tcPr>
            <w:tcW w:w="1105" w:type="dxa"/>
            <w:noWrap w:val="0"/>
            <w:vAlign w:val="center"/>
          </w:tcPr>
          <w:p w14:paraId="2BF68B4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4A9F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4D00E0E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5772" w:type="dxa"/>
            <w:noWrap w:val="0"/>
            <w:vAlign w:val="center"/>
          </w:tcPr>
          <w:p w14:paraId="7BC71AE0">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0CB6072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w:t>
            </w:r>
            <w:r>
              <w:rPr>
                <w:rFonts w:hint="eastAsia" w:ascii="宋体" w:hAnsi="宋体" w:eastAsia="宋体" w:cs="宋体"/>
                <w:color w:val="auto"/>
                <w:sz w:val="21"/>
                <w:szCs w:val="21"/>
                <w:highlight w:val="none"/>
                <w:u w:val="none"/>
                <w:lang w:val="en-US" w:eastAsia="zh-CN"/>
              </w:rPr>
              <w:t>投标人应提供7*24小时现场保修和技术支持服务，设备出现问题或招标人有服务需求的，投标人应接到故障通知后在6小时内到</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指定现场，按国家及行业标准对故障进行及时处理；在8小时内不能解决的，供应商须在24小时内提供与原设备技术参数要求相同或高于原设备技术参数要求的备用产品，以保证招标人的正常工作</w:t>
            </w:r>
            <w:r>
              <w:rPr>
                <w:rFonts w:hint="eastAsia" w:ascii="宋体" w:hAnsi="宋体" w:cs="宋体"/>
                <w:color w:val="auto"/>
                <w:sz w:val="21"/>
                <w:szCs w:val="21"/>
                <w:highlight w:val="none"/>
                <w:u w:val="none"/>
                <w:lang w:val="en-US" w:eastAsia="zh-CN"/>
              </w:rPr>
              <w:t>；如诊断为硬件故障，应携带备件并进行现场更换，承诺尽力在最短时间内恢复正常运行，投标人应提供同档次的代用品或提供免费替换服务</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4791FBD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w:t>
            </w:r>
            <w:r>
              <w:rPr>
                <w:rFonts w:hint="eastAsia" w:ascii="宋体" w:hAnsi="宋体" w:eastAsia="宋体" w:cs="宋体"/>
                <w:color w:val="auto"/>
                <w:sz w:val="21"/>
                <w:szCs w:val="21"/>
                <w:highlight w:val="none"/>
                <w:u w:val="none"/>
                <w:lang w:val="en-US" w:eastAsia="zh-CN"/>
              </w:rPr>
              <w:t>投标人应提供7*24小时现场保修和技术支持服务，设备出现问题或招标人有服务需求的，投标人应接到故障通知后在5小时内到</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指定现场，按国家及行业标准对故障进行及时处理；在7小时内不能解决的，供应商须在22小时内提供与原设备技术参数要求相同或高于原设备技术参数要求的备用产品，以保证招标人的正常工作</w:t>
            </w:r>
            <w:r>
              <w:rPr>
                <w:rFonts w:hint="eastAsia" w:ascii="宋体" w:hAnsi="宋体" w:cs="宋体"/>
                <w:color w:val="auto"/>
                <w:sz w:val="21"/>
                <w:szCs w:val="21"/>
                <w:highlight w:val="none"/>
                <w:u w:val="none"/>
                <w:lang w:val="en-US" w:eastAsia="zh-CN"/>
              </w:rPr>
              <w:t>；如诊断为硬件故障，应携带备件并进行现场更换，承诺尽力在最短时间内恢复正常运行，</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提供服务流程（包括故障处理、上门维护、紧急维护、重要服务、电话维护、主动巡检），提供应急预案，提供技术服务表单（包括客户服务报告、客户服务质量考核评估、服务满意度调查单、电话回访记录单）。</w:t>
            </w:r>
          </w:p>
          <w:p w14:paraId="019B61E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w:t>
            </w:r>
            <w:r>
              <w:rPr>
                <w:rFonts w:hint="eastAsia" w:ascii="宋体" w:hAnsi="宋体" w:eastAsia="宋体" w:cs="宋体"/>
                <w:color w:val="auto"/>
                <w:sz w:val="21"/>
                <w:szCs w:val="21"/>
                <w:highlight w:val="none"/>
                <w:u w:val="none"/>
                <w:lang w:val="en-US" w:eastAsia="zh-CN"/>
              </w:rPr>
              <w:t>投标人应提供7*24小时现场保修和技术支持服务，设备出现问题或招标人有服务需求的，投标人应接到故障通知后在4小时内到</w:t>
            </w:r>
            <w:r>
              <w:rPr>
                <w:rFonts w:hint="eastAsia" w:ascii="宋体" w:hAnsi="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lang w:val="en-US" w:eastAsia="zh-CN"/>
              </w:rPr>
              <w:t>指定现场，按国家及行业标准对故障进行及时处理；在6小时内不能解决的，供应商须在20小时内提供与原设备技术参数要求相同或高于原设备技术参数要求的备用产品，以保证招标人的正常工作</w:t>
            </w:r>
            <w:r>
              <w:rPr>
                <w:rFonts w:hint="eastAsia" w:ascii="宋体" w:hAnsi="宋体" w:cs="宋体"/>
                <w:color w:val="auto"/>
                <w:sz w:val="21"/>
                <w:szCs w:val="21"/>
                <w:highlight w:val="none"/>
                <w:u w:val="none"/>
                <w:lang w:val="en-US" w:eastAsia="zh-CN"/>
              </w:rPr>
              <w:t>；如诊断为硬件故障，应携带备件并进行现场更换，承诺尽力在最短时间内恢复正常运行，</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服务流程（包括故障处理、上门维护、紧急维护、重要服务、电话维护、主动巡检），产品的售后服务机构，提供应急预案，提供技术服务表单（包括客户服务报告、客户服务质量考核评估、服务满意度调查单、电话回访记录单）整体方案</w:t>
            </w:r>
            <w:r>
              <w:rPr>
                <w:rFonts w:hint="eastAsia" w:ascii="宋体" w:hAnsi="宋体" w:cs="宋体"/>
                <w:color w:val="auto"/>
                <w:sz w:val="21"/>
                <w:szCs w:val="21"/>
                <w:highlight w:val="none"/>
                <w:lang w:val="en-US" w:eastAsia="zh-CN"/>
              </w:rPr>
              <w:t>满足</w:t>
            </w:r>
            <w:r>
              <w:rPr>
                <w:rFonts w:hint="eastAsia" w:ascii="宋体" w:hAnsi="宋体" w:eastAsia="宋体" w:cs="宋体"/>
                <w:color w:val="auto"/>
                <w:sz w:val="21"/>
                <w:szCs w:val="21"/>
                <w:highlight w:val="none"/>
              </w:rPr>
              <w:t>用户需求。</w:t>
            </w:r>
          </w:p>
        </w:tc>
        <w:tc>
          <w:tcPr>
            <w:tcW w:w="845" w:type="dxa"/>
            <w:noWrap w:val="0"/>
            <w:vAlign w:val="center"/>
          </w:tcPr>
          <w:p w14:paraId="3EDA91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3FE9E57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338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286EBBDA">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w:t>
            </w:r>
          </w:p>
        </w:tc>
        <w:tc>
          <w:tcPr>
            <w:tcW w:w="5772" w:type="dxa"/>
            <w:noWrap w:val="0"/>
            <w:vAlign w:val="center"/>
          </w:tcPr>
          <w:p w14:paraId="5C791A1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highlight w:val="none"/>
              </w:rPr>
            </w:pPr>
            <w:bookmarkStart w:id="414" w:name="OLE_LINK55"/>
            <w:bookmarkStart w:id="415" w:name="OLE_LINK54"/>
            <w:r>
              <w:rPr>
                <w:rFonts w:hint="eastAsia" w:ascii="宋体" w:hAnsi="宋体" w:eastAsia="宋体" w:cs="宋体"/>
                <w:bCs/>
                <w:color w:val="auto"/>
                <w:szCs w:val="21"/>
                <w:highlight w:val="none"/>
                <w:lang w:val="en-US" w:eastAsia="zh-CN"/>
              </w:rPr>
              <w:t>投标</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lang w:val="en-US" w:eastAsia="zh-CN"/>
              </w:rPr>
              <w:t>自20</w:t>
            </w:r>
            <w:r>
              <w:rPr>
                <w:rFonts w:hint="eastAsia" w:ascii="宋体" w:hAnsi="宋体" w:cs="宋体"/>
                <w:bCs/>
                <w:color w:val="auto"/>
                <w:szCs w:val="21"/>
                <w:highlight w:val="none"/>
                <w:lang w:val="en-US" w:eastAsia="zh-CN"/>
              </w:rPr>
              <w:t>21</w:t>
            </w:r>
            <w:r>
              <w:rPr>
                <w:rFonts w:hint="eastAsia" w:ascii="宋体" w:hAnsi="宋体" w:eastAsia="宋体" w:cs="宋体"/>
                <w:bCs/>
                <w:color w:val="auto"/>
                <w:szCs w:val="21"/>
                <w:highlight w:val="none"/>
                <w:lang w:val="en-US" w:eastAsia="zh-CN"/>
              </w:rPr>
              <w:t>年1月1日</w:t>
            </w:r>
            <w:r>
              <w:rPr>
                <w:rFonts w:hint="eastAsia" w:ascii="宋体" w:hAnsi="宋体" w:cs="宋体"/>
                <w:bCs/>
                <w:color w:val="auto"/>
                <w:szCs w:val="21"/>
                <w:highlight w:val="none"/>
                <w:lang w:val="en-US" w:eastAsia="zh-CN"/>
              </w:rPr>
              <w:t>起</w:t>
            </w:r>
            <w:r>
              <w:rPr>
                <w:rFonts w:hint="eastAsia" w:ascii="宋体" w:hAnsi="宋体" w:eastAsia="宋体" w:cs="宋体"/>
                <w:bCs/>
                <w:color w:val="auto"/>
                <w:szCs w:val="21"/>
                <w:highlight w:val="none"/>
                <w:lang w:val="en-US" w:eastAsia="zh-CN"/>
              </w:rPr>
              <w:t>至投标截止日</w:t>
            </w:r>
            <w:r>
              <w:rPr>
                <w:rFonts w:hint="eastAsia" w:ascii="宋体" w:hAnsi="宋体" w:cs="宋体"/>
                <w:bCs/>
                <w:color w:val="auto"/>
                <w:szCs w:val="21"/>
                <w:highlight w:val="none"/>
                <w:lang w:val="en-US" w:eastAsia="zh-CN"/>
              </w:rPr>
              <w:t>止</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lang w:val="en-US" w:eastAsia="zh-CN"/>
              </w:rPr>
              <w:t>关于本次采购内容有关的项目业绩</w:t>
            </w:r>
            <w:r>
              <w:rPr>
                <w:rFonts w:hint="eastAsia" w:ascii="宋体" w:hAnsi="宋体" w:eastAsia="宋体" w:cs="宋体"/>
                <w:bCs/>
                <w:color w:val="auto"/>
                <w:szCs w:val="21"/>
                <w:highlight w:val="none"/>
                <w:lang w:val="en-US" w:eastAsia="zh-CN"/>
              </w:rPr>
              <w:t>，每提供一个项目业绩得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分，满分4分</w:t>
            </w:r>
            <w:r>
              <w:rPr>
                <w:rFonts w:hint="eastAsia" w:ascii="宋体" w:hAnsi="宋体" w:eastAsia="宋体" w:cs="宋体"/>
                <w:b/>
                <w:bCs w:val="0"/>
                <w:color w:val="auto"/>
                <w:szCs w:val="21"/>
                <w:highlight w:val="none"/>
                <w:lang w:val="en-US" w:eastAsia="zh-CN"/>
              </w:rPr>
              <w:t>（投标时须提供中标（成交）通知书或中标（成交）合同复印件并加盖</w:t>
            </w:r>
            <w:r>
              <w:rPr>
                <w:rFonts w:hint="eastAsia" w:ascii="宋体" w:hAnsi="宋体" w:eastAsia="宋体" w:cs="宋体"/>
                <w:b/>
                <w:bCs w:val="0"/>
                <w:color w:val="auto"/>
                <w:kern w:val="2"/>
                <w:sz w:val="21"/>
                <w:szCs w:val="21"/>
                <w:highlight w:val="none"/>
                <w:lang w:val="en-US" w:eastAsia="zh-CN" w:bidi="ar"/>
              </w:rPr>
              <w:t>投标人</w:t>
            </w:r>
            <w:r>
              <w:rPr>
                <w:rFonts w:hint="eastAsia" w:ascii="宋体" w:hAnsi="宋体" w:eastAsia="宋体" w:cs="Times New Roman"/>
                <w:b/>
                <w:bCs/>
                <w:color w:val="auto"/>
                <w:kern w:val="2"/>
                <w:sz w:val="21"/>
                <w:szCs w:val="21"/>
                <w:highlight w:val="none"/>
                <w:lang w:val="en-US" w:eastAsia="zh-CN" w:bidi="ar-SA"/>
              </w:rPr>
              <w:t>电子</w:t>
            </w:r>
            <w:r>
              <w:rPr>
                <w:rFonts w:hint="eastAsia" w:ascii="宋体" w:hAnsi="宋体" w:eastAsia="宋体" w:cs="宋体"/>
                <w:b/>
                <w:bCs w:val="0"/>
                <w:color w:val="auto"/>
                <w:kern w:val="2"/>
                <w:sz w:val="21"/>
                <w:szCs w:val="21"/>
                <w:highlight w:val="none"/>
                <w:lang w:val="en-US" w:eastAsia="zh-CN" w:bidi="ar"/>
              </w:rPr>
              <w:t>公章，具体合同签订时间或中标通知书签发日期为准</w:t>
            </w:r>
            <w:r>
              <w:rPr>
                <w:rFonts w:hint="eastAsia" w:ascii="宋体" w:hAnsi="宋体" w:eastAsia="宋体" w:cs="宋体"/>
                <w:b/>
                <w:bCs w:val="0"/>
                <w:color w:val="auto"/>
                <w:szCs w:val="21"/>
                <w:highlight w:val="none"/>
                <w:lang w:val="en-US" w:eastAsia="zh-CN"/>
              </w:rPr>
              <w:t>）</w:t>
            </w:r>
            <w:r>
              <w:rPr>
                <w:rFonts w:hint="eastAsia" w:ascii="宋体" w:hAnsi="宋体" w:eastAsia="宋体" w:cs="宋体"/>
                <w:bCs/>
                <w:color w:val="auto"/>
                <w:szCs w:val="21"/>
                <w:highlight w:val="none"/>
                <w:lang w:val="en-US" w:eastAsia="zh-CN"/>
              </w:rPr>
              <w:t>。</w:t>
            </w:r>
            <w:bookmarkEnd w:id="414"/>
            <w:bookmarkEnd w:id="415"/>
          </w:p>
        </w:tc>
        <w:tc>
          <w:tcPr>
            <w:tcW w:w="845" w:type="dxa"/>
            <w:noWrap w:val="0"/>
            <w:vAlign w:val="center"/>
          </w:tcPr>
          <w:p w14:paraId="3E45552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4分</w:t>
            </w:r>
          </w:p>
        </w:tc>
        <w:tc>
          <w:tcPr>
            <w:tcW w:w="1105" w:type="dxa"/>
            <w:noWrap w:val="0"/>
            <w:vAlign w:val="center"/>
          </w:tcPr>
          <w:p w14:paraId="7AA731E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业绩分</w:t>
            </w:r>
          </w:p>
        </w:tc>
      </w:tr>
    </w:tbl>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067D2604">
      <w:pPr>
        <w:rPr>
          <w:rFonts w:hint="eastAsia" w:ascii="宋体" w:hAnsi="宋体" w:eastAsia="宋体" w:cs="宋体"/>
          <w:b/>
          <w:color w:val="auto"/>
          <w:sz w:val="32"/>
          <w:highlight w:val="none"/>
        </w:rPr>
      </w:pPr>
    </w:p>
    <w:p w14:paraId="3818A410">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32"/>
          <w:highlight w:val="none"/>
        </w:rPr>
        <w:br w:type="page"/>
      </w:r>
    </w:p>
    <w:p w14:paraId="1AB1DD59">
      <w:pPr>
        <w:snapToGrid w:val="0"/>
        <w:spacing w:line="360" w:lineRule="auto"/>
        <w:jc w:val="both"/>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以下评分办法适用于</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06D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6629ADC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noWrap w:val="0"/>
            <w:vAlign w:val="center"/>
          </w:tcPr>
          <w:p w14:paraId="724790F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noWrap w:val="0"/>
            <w:vAlign w:val="center"/>
          </w:tcPr>
          <w:p w14:paraId="1007F78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noWrap w:val="0"/>
            <w:vAlign w:val="center"/>
          </w:tcPr>
          <w:p w14:paraId="6FC6517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2B65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noWrap w:val="0"/>
            <w:vAlign w:val="center"/>
          </w:tcPr>
          <w:p w14:paraId="2184EFB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p>
        </w:tc>
        <w:tc>
          <w:tcPr>
            <w:tcW w:w="5772" w:type="dxa"/>
            <w:noWrap w:val="0"/>
            <w:vAlign w:val="center"/>
          </w:tcPr>
          <w:p w14:paraId="30FE721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价格分</w:t>
            </w:r>
          </w:p>
        </w:tc>
        <w:tc>
          <w:tcPr>
            <w:tcW w:w="1950" w:type="dxa"/>
            <w:gridSpan w:val="2"/>
            <w:noWrap w:val="0"/>
            <w:vAlign w:val="center"/>
          </w:tcPr>
          <w:p w14:paraId="53A1D93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30分</w:t>
            </w:r>
          </w:p>
        </w:tc>
      </w:tr>
      <w:tr w14:paraId="09A5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644245C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noWrap w:val="0"/>
            <w:vAlign w:val="center"/>
          </w:tcPr>
          <w:p w14:paraId="2501FFB4">
            <w:pPr>
              <w:pStyle w:val="4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668888C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color w:val="auto"/>
                <w:sz w:val="21"/>
                <w:szCs w:val="21"/>
                <w:highlight w:val="none"/>
                <w:lang w:val="en-US" w:eastAsia="zh-CN"/>
              </w:rPr>
              <w:t>本项目为专门面向小微企业采购的项目，按照《政府采购促进中小企业发展管理办法》（财库〔2020〕46号）的规定，对投标人最后报价不再执行价格评审优惠的扶持政策。</w:t>
            </w:r>
          </w:p>
          <w:p w14:paraId="6F77BF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（2）满足招标文件要求且评标报价最低的评标报价为评标基准价，基准价得分为30分。</w:t>
            </w:r>
          </w:p>
          <w:p w14:paraId="177A08F9">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）某投标人价格分 =（评标基准价÷某投标人评标报价）×30分。</w:t>
            </w:r>
          </w:p>
        </w:tc>
        <w:tc>
          <w:tcPr>
            <w:tcW w:w="845" w:type="dxa"/>
            <w:noWrap w:val="0"/>
            <w:vAlign w:val="center"/>
          </w:tcPr>
          <w:p w14:paraId="1724241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105" w:type="dxa"/>
            <w:noWrap w:val="0"/>
            <w:vAlign w:val="center"/>
          </w:tcPr>
          <w:p w14:paraId="1F436F9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1A37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noWrap w:val="0"/>
            <w:vAlign w:val="center"/>
          </w:tcPr>
          <w:p w14:paraId="6786DDA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w:t>
            </w:r>
          </w:p>
        </w:tc>
        <w:tc>
          <w:tcPr>
            <w:tcW w:w="5772" w:type="dxa"/>
            <w:noWrap w:val="0"/>
            <w:vAlign w:val="center"/>
          </w:tcPr>
          <w:p w14:paraId="0632EA4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技术分</w:t>
            </w:r>
          </w:p>
        </w:tc>
        <w:tc>
          <w:tcPr>
            <w:tcW w:w="1950" w:type="dxa"/>
            <w:gridSpan w:val="2"/>
            <w:noWrap w:val="0"/>
            <w:vAlign w:val="center"/>
          </w:tcPr>
          <w:p w14:paraId="5EF8FB9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70</w:t>
            </w:r>
            <w:r>
              <w:rPr>
                <w:rFonts w:hint="eastAsia" w:ascii="宋体" w:hAnsi="宋体" w:eastAsia="宋体" w:cs="宋体"/>
                <w:b/>
                <w:bCs/>
                <w:color w:val="auto"/>
                <w:highlight w:val="none"/>
                <w:lang w:val="en-US" w:eastAsia="zh-CN"/>
              </w:rPr>
              <w:t>分</w:t>
            </w:r>
          </w:p>
        </w:tc>
      </w:tr>
      <w:tr w14:paraId="5A4E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043DFA0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5772" w:type="dxa"/>
            <w:noWrap w:val="0"/>
            <w:vAlign w:val="center"/>
          </w:tcPr>
          <w:p w14:paraId="7A8BCC5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对本项目的认识、理解方案</w:t>
            </w:r>
          </w:p>
          <w:p w14:paraId="3E29EA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供应商未提供</w:t>
            </w:r>
            <w:r>
              <w:rPr>
                <w:rFonts w:hint="eastAsia" w:ascii="宋体" w:hAnsi="宋体" w:eastAsia="宋体" w:cs="宋体"/>
                <w:b w:val="0"/>
                <w:bCs w:val="0"/>
                <w:color w:val="auto"/>
                <w:sz w:val="21"/>
                <w:szCs w:val="21"/>
                <w:highlight w:val="none"/>
              </w:rPr>
              <w:t>对本项目的认识、理解</w:t>
            </w:r>
            <w:r>
              <w:rPr>
                <w:rFonts w:hint="eastAsia" w:ascii="宋体" w:hAnsi="宋体" w:eastAsia="宋体" w:cs="宋体"/>
                <w:b w:val="0"/>
                <w:bCs w:val="0"/>
                <w:color w:val="auto"/>
                <w:sz w:val="21"/>
                <w:szCs w:val="21"/>
                <w:highlight w:val="none"/>
                <w:lang w:val="en-US" w:eastAsia="zh-CN"/>
              </w:rPr>
              <w:t>方案不得分。</w:t>
            </w:r>
          </w:p>
          <w:p w14:paraId="45A58F4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rPr>
              <w:t>对</w:t>
            </w:r>
            <w:r>
              <w:rPr>
                <w:rFonts w:hint="eastAsia" w:ascii="宋体" w:hAnsi="宋体" w:eastAsia="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val="en-US" w:eastAsia="zh-CN"/>
              </w:rPr>
              <w:t>有基本的认识、</w:t>
            </w:r>
            <w:r>
              <w:rPr>
                <w:rFonts w:hint="eastAsia" w:ascii="宋体" w:hAnsi="宋体" w:eastAsia="宋体" w:cs="宋体"/>
                <w:bCs/>
                <w:color w:val="auto"/>
                <w:sz w:val="21"/>
                <w:szCs w:val="21"/>
                <w:highlight w:val="none"/>
              </w:rPr>
              <w:t>理解，</w:t>
            </w:r>
            <w:r>
              <w:rPr>
                <w:rFonts w:hint="eastAsia" w:ascii="Times New Roman" w:hAnsi="Times New Roman" w:eastAsia="宋体" w:cs="Times New Roman"/>
                <w:color w:val="auto"/>
                <w:highlight w:val="none"/>
                <w:lang w:val="en-US" w:eastAsia="zh-CN"/>
              </w:rPr>
              <w:t>能根据项目采购需求</w:t>
            </w:r>
            <w:r>
              <w:rPr>
                <w:rFonts w:hint="eastAsia" w:ascii="Times New Roman" w:hAnsi="Times New Roman" w:eastAsia="宋体" w:cs="Times New Roman"/>
                <w:color w:val="auto"/>
                <w:highlight w:val="none"/>
              </w:rPr>
              <w:t>分析本项目的重</w:t>
            </w:r>
            <w:r>
              <w:rPr>
                <w:rFonts w:hint="eastAsia" w:ascii="Times New Roman" w:hAnsi="Times New Roman" w:eastAsia="宋体" w:cs="Times New Roman"/>
                <w:color w:val="auto"/>
                <w:highlight w:val="none"/>
                <w:lang w:eastAsia="zh-CN"/>
              </w:rPr>
              <w:t>点、</w:t>
            </w:r>
            <w:r>
              <w:rPr>
                <w:rFonts w:hint="eastAsia" w:ascii="Times New Roman" w:hAnsi="Times New Roman" w:eastAsia="宋体" w:cs="Times New Roman"/>
                <w:color w:val="auto"/>
                <w:highlight w:val="none"/>
              </w:rPr>
              <w:t>难点</w:t>
            </w:r>
            <w:r>
              <w:rPr>
                <w:rFonts w:hint="eastAsia" w:ascii="宋体" w:hAnsi="宋体" w:eastAsia="宋体" w:cs="宋体"/>
                <w:bCs/>
                <w:color w:val="auto"/>
                <w:sz w:val="21"/>
                <w:szCs w:val="21"/>
                <w:highlight w:val="none"/>
                <w:lang w:eastAsia="zh-CN"/>
              </w:rPr>
              <w:t>。</w:t>
            </w:r>
          </w:p>
          <w:p w14:paraId="03038D3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Cs/>
                <w:color w:val="auto"/>
                <w:sz w:val="21"/>
                <w:szCs w:val="21"/>
                <w:highlight w:val="none"/>
                <w:lang w:val="en-US" w:eastAsia="zh-CN"/>
              </w:rPr>
              <w:t>本项目有基本的</w:t>
            </w:r>
            <w:r>
              <w:rPr>
                <w:rFonts w:hint="eastAsia" w:ascii="宋体" w:hAnsi="宋体" w:eastAsia="宋体" w:cs="宋体"/>
                <w:bCs/>
                <w:color w:val="auto"/>
                <w:sz w:val="21"/>
                <w:szCs w:val="21"/>
                <w:highlight w:val="none"/>
              </w:rPr>
              <w:t>认识、理解</w:t>
            </w:r>
            <w:r>
              <w:rPr>
                <w:rFonts w:hint="eastAsia" w:ascii="宋体" w:hAnsi="宋体" w:eastAsia="宋体" w:cs="宋体"/>
                <w:bCs/>
                <w:color w:val="auto"/>
                <w:sz w:val="21"/>
                <w:szCs w:val="21"/>
                <w:highlight w:val="none"/>
                <w:lang w:eastAsia="zh-CN"/>
              </w:rPr>
              <w:t>，</w:t>
            </w:r>
            <w:r>
              <w:rPr>
                <w:rFonts w:hint="eastAsia" w:ascii="Times New Roman" w:hAnsi="Times New Roman" w:eastAsia="宋体" w:cs="Times New Roman"/>
                <w:color w:val="auto"/>
                <w:highlight w:val="none"/>
                <w:lang w:val="en-US" w:eastAsia="zh-CN"/>
              </w:rPr>
              <w:t>能根据项目采购需求详细</w:t>
            </w:r>
            <w:r>
              <w:rPr>
                <w:rFonts w:hint="eastAsia" w:ascii="Times New Roman" w:hAnsi="Times New Roman" w:eastAsia="宋体" w:cs="Times New Roman"/>
                <w:color w:val="auto"/>
                <w:highlight w:val="none"/>
              </w:rPr>
              <w:t>分析本项目的重</w:t>
            </w:r>
            <w:r>
              <w:rPr>
                <w:rFonts w:hint="eastAsia" w:ascii="Times New Roman" w:hAnsi="Times New Roman" w:eastAsia="宋体" w:cs="Times New Roman"/>
                <w:color w:val="auto"/>
                <w:highlight w:val="none"/>
                <w:lang w:eastAsia="zh-CN"/>
              </w:rPr>
              <w:t>点、</w:t>
            </w:r>
            <w:r>
              <w:rPr>
                <w:rFonts w:hint="eastAsia" w:ascii="Times New Roman" w:hAnsi="Times New Roman" w:eastAsia="宋体" w:cs="Times New Roman"/>
                <w:color w:val="auto"/>
                <w:highlight w:val="none"/>
              </w:rPr>
              <w:t>难点，</w:t>
            </w:r>
            <w:r>
              <w:rPr>
                <w:rFonts w:hint="eastAsia" w:ascii="Times New Roman" w:hAnsi="Times New Roman" w:eastAsia="宋体" w:cs="Times New Roman"/>
                <w:color w:val="auto"/>
                <w:highlight w:val="none"/>
                <w:lang w:val="en-US" w:eastAsia="zh-CN"/>
              </w:rPr>
              <w:t>并提供动画演示、实景拍摄、交互测试、发明专利申报框架。</w:t>
            </w:r>
          </w:p>
          <w:p w14:paraId="06660E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分）：</w:t>
            </w:r>
            <w:r>
              <w:rPr>
                <w:rFonts w:hint="eastAsia" w:ascii="宋体" w:hAnsi="宋体" w:eastAsia="宋体" w:cs="宋体"/>
                <w:bCs/>
                <w:color w:val="auto"/>
                <w:sz w:val="21"/>
                <w:szCs w:val="21"/>
                <w:highlight w:val="none"/>
                <w:lang w:val="en-US" w:eastAsia="zh-CN"/>
              </w:rPr>
              <w:t>对本项目的</w:t>
            </w:r>
            <w:r>
              <w:rPr>
                <w:rFonts w:hint="eastAsia" w:ascii="宋体" w:hAnsi="宋体" w:eastAsia="宋体" w:cs="宋体"/>
                <w:bCs/>
                <w:color w:val="auto"/>
                <w:sz w:val="21"/>
                <w:szCs w:val="21"/>
                <w:highlight w:val="none"/>
              </w:rPr>
              <w:t>认识、理解</w:t>
            </w:r>
            <w:r>
              <w:rPr>
                <w:rFonts w:hint="eastAsia" w:ascii="宋体" w:hAnsi="宋体" w:eastAsia="宋体" w:cs="宋体"/>
                <w:bCs/>
                <w:color w:val="auto"/>
                <w:sz w:val="21"/>
                <w:szCs w:val="21"/>
                <w:highlight w:val="none"/>
                <w:lang w:val="en-US" w:eastAsia="zh-CN"/>
              </w:rPr>
              <w:t>深入，</w:t>
            </w:r>
            <w:r>
              <w:rPr>
                <w:rFonts w:hint="eastAsia" w:ascii="Times New Roman" w:hAnsi="Times New Roman" w:eastAsia="宋体" w:cs="Times New Roman"/>
                <w:color w:val="auto"/>
                <w:highlight w:val="none"/>
                <w:lang w:val="en-US" w:eastAsia="zh-CN"/>
              </w:rPr>
              <w:t>能根据项目采购需求详细</w:t>
            </w:r>
            <w:r>
              <w:rPr>
                <w:rFonts w:hint="eastAsia" w:ascii="Times New Roman" w:hAnsi="Times New Roman" w:eastAsia="宋体" w:cs="Times New Roman"/>
                <w:color w:val="auto"/>
                <w:highlight w:val="none"/>
              </w:rPr>
              <w:t>分析本项目的重</w:t>
            </w:r>
            <w:r>
              <w:rPr>
                <w:rFonts w:hint="eastAsia" w:ascii="Times New Roman" w:hAnsi="Times New Roman" w:eastAsia="宋体" w:cs="Times New Roman"/>
                <w:color w:val="auto"/>
                <w:highlight w:val="none"/>
                <w:lang w:eastAsia="zh-CN"/>
              </w:rPr>
              <w:t>点、</w:t>
            </w:r>
            <w:r>
              <w:rPr>
                <w:rFonts w:hint="eastAsia" w:ascii="Times New Roman" w:hAnsi="Times New Roman" w:eastAsia="宋体" w:cs="Times New Roman"/>
                <w:color w:val="auto"/>
                <w:highlight w:val="none"/>
              </w:rPr>
              <w:t>难点，</w:t>
            </w:r>
            <w:r>
              <w:rPr>
                <w:rFonts w:hint="eastAsia" w:ascii="Times New Roman" w:hAnsi="Times New Roman" w:eastAsia="宋体" w:cs="Times New Roman"/>
                <w:color w:val="auto"/>
                <w:highlight w:val="none"/>
                <w:lang w:val="en-US" w:eastAsia="zh-CN"/>
              </w:rPr>
              <w:t>并提供动画演示、实景拍摄、交互测试、发明专利申报框架，提供服务时遇到的困难时候的应对措施。</w:t>
            </w:r>
          </w:p>
          <w:p w14:paraId="408CFD8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档（</w:t>
            </w:r>
            <w:r>
              <w:rPr>
                <w:rFonts w:hint="eastAsia" w:ascii="宋体" w:hAnsi="宋体" w:eastAsia="宋体" w:cs="宋体"/>
                <w:b/>
                <w:bCs/>
                <w:color w:val="auto"/>
                <w:kern w:val="0"/>
                <w:sz w:val="21"/>
                <w:szCs w:val="21"/>
                <w:highlight w:val="none"/>
                <w:lang w:val="en-US" w:eastAsia="zh-CN"/>
              </w:rPr>
              <w:t>12</w:t>
            </w:r>
            <w:r>
              <w:rPr>
                <w:rFonts w:hint="eastAsia" w:ascii="宋体" w:hAnsi="宋体" w:eastAsia="宋体" w:cs="宋体"/>
                <w:b/>
                <w:bCs/>
                <w:color w:val="auto"/>
                <w:kern w:val="0"/>
                <w:sz w:val="21"/>
                <w:szCs w:val="21"/>
                <w:highlight w:val="none"/>
              </w:rPr>
              <w:t>分）：</w:t>
            </w:r>
            <w:r>
              <w:rPr>
                <w:rFonts w:hint="eastAsia" w:ascii="宋体" w:hAnsi="宋体" w:eastAsia="宋体" w:cs="宋体"/>
                <w:bCs/>
                <w:color w:val="auto"/>
                <w:sz w:val="21"/>
                <w:szCs w:val="21"/>
                <w:highlight w:val="none"/>
                <w:lang w:val="en-US" w:eastAsia="zh-CN"/>
              </w:rPr>
              <w:t>对本项目的</w:t>
            </w:r>
            <w:r>
              <w:rPr>
                <w:rFonts w:hint="eastAsia" w:ascii="宋体" w:hAnsi="宋体" w:eastAsia="宋体" w:cs="宋体"/>
                <w:bCs/>
                <w:color w:val="auto"/>
                <w:sz w:val="21"/>
                <w:szCs w:val="21"/>
                <w:highlight w:val="none"/>
              </w:rPr>
              <w:t>认识、理解</w:t>
            </w:r>
            <w:r>
              <w:rPr>
                <w:rFonts w:hint="eastAsia" w:ascii="宋体" w:hAnsi="宋体" w:eastAsia="宋体" w:cs="宋体"/>
                <w:bCs/>
                <w:color w:val="auto"/>
                <w:sz w:val="21"/>
                <w:szCs w:val="21"/>
                <w:highlight w:val="none"/>
                <w:lang w:val="en-US" w:eastAsia="zh-CN"/>
              </w:rPr>
              <w:t>深入，</w:t>
            </w:r>
            <w:r>
              <w:rPr>
                <w:rFonts w:hint="eastAsia" w:ascii="Times New Roman" w:hAnsi="Times New Roman" w:eastAsia="宋体" w:cs="Times New Roman"/>
                <w:color w:val="auto"/>
                <w:highlight w:val="none"/>
                <w:lang w:val="en-US" w:eastAsia="zh-CN"/>
              </w:rPr>
              <w:t>能根据项目采购需求详细</w:t>
            </w:r>
            <w:r>
              <w:rPr>
                <w:rFonts w:hint="eastAsia" w:ascii="Times New Roman" w:hAnsi="Times New Roman" w:eastAsia="宋体" w:cs="Times New Roman"/>
                <w:color w:val="auto"/>
                <w:highlight w:val="none"/>
              </w:rPr>
              <w:t>分析本项目的重</w:t>
            </w:r>
            <w:r>
              <w:rPr>
                <w:rFonts w:hint="eastAsia" w:ascii="Times New Roman" w:hAnsi="Times New Roman" w:eastAsia="宋体" w:cs="Times New Roman"/>
                <w:color w:val="auto"/>
                <w:highlight w:val="none"/>
                <w:lang w:eastAsia="zh-CN"/>
              </w:rPr>
              <w:t>点、</w:t>
            </w:r>
            <w:r>
              <w:rPr>
                <w:rFonts w:hint="eastAsia" w:ascii="Times New Roman" w:hAnsi="Times New Roman" w:eastAsia="宋体" w:cs="Times New Roman"/>
                <w:color w:val="auto"/>
                <w:highlight w:val="none"/>
              </w:rPr>
              <w:t>难点，</w:t>
            </w:r>
            <w:r>
              <w:rPr>
                <w:rFonts w:hint="eastAsia" w:ascii="Times New Roman" w:hAnsi="Times New Roman" w:eastAsia="宋体" w:cs="Times New Roman"/>
                <w:color w:val="auto"/>
                <w:highlight w:val="none"/>
                <w:lang w:val="en-US" w:eastAsia="zh-CN"/>
              </w:rPr>
              <w:t>并提供动画演示、实景拍摄、交互测试、发明专利申报框架，提供服务时遇到的困难时的应对措施</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能提出适用本项目的服务理念，对</w:t>
            </w:r>
            <w:r>
              <w:rPr>
                <w:rFonts w:hint="eastAsia"/>
                <w:color w:val="auto"/>
                <w:kern w:val="0"/>
                <w:sz w:val="21"/>
                <w:szCs w:val="21"/>
                <w:highlight w:val="none"/>
                <w:lang w:val="en-US" w:eastAsia="zh-CN"/>
              </w:rPr>
              <w:t>服务</w:t>
            </w:r>
            <w:r>
              <w:rPr>
                <w:rFonts w:hint="eastAsia" w:ascii="宋体" w:hAnsi="宋体" w:eastAsia="宋体" w:cs="宋体"/>
                <w:bCs/>
                <w:color w:val="auto"/>
                <w:sz w:val="21"/>
                <w:szCs w:val="21"/>
                <w:highlight w:val="none"/>
                <w:lang w:val="en-US" w:eastAsia="zh-CN"/>
              </w:rPr>
              <w:t>目标有独到见解</w:t>
            </w:r>
            <w:r>
              <w:rPr>
                <w:rFonts w:hint="eastAsia" w:ascii="宋体" w:hAnsi="宋体" w:eastAsia="宋体" w:cs="宋体"/>
                <w:bCs/>
                <w:color w:val="auto"/>
                <w:sz w:val="21"/>
                <w:szCs w:val="21"/>
                <w:highlight w:val="none"/>
              </w:rPr>
              <w:t xml:space="preserve">。  </w:t>
            </w:r>
          </w:p>
        </w:tc>
        <w:tc>
          <w:tcPr>
            <w:tcW w:w="845" w:type="dxa"/>
            <w:noWrap w:val="0"/>
            <w:vAlign w:val="center"/>
          </w:tcPr>
          <w:p w14:paraId="5229167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1BF0FC7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主</w:t>
            </w:r>
            <w:r>
              <w:rPr>
                <w:rFonts w:hint="eastAsia" w:ascii="宋体" w:hAnsi="宋体" w:eastAsia="宋体" w:cs="宋体"/>
                <w:color w:val="auto"/>
                <w:sz w:val="21"/>
                <w:szCs w:val="21"/>
                <w:highlight w:val="none"/>
                <w:lang w:val="en-US" w:eastAsia="zh-CN"/>
              </w:rPr>
              <w:t>观分</w:t>
            </w:r>
          </w:p>
        </w:tc>
      </w:tr>
      <w:tr w14:paraId="0A4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1FD7433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5772" w:type="dxa"/>
            <w:noWrap w:val="0"/>
            <w:vAlign w:val="center"/>
          </w:tcPr>
          <w:p w14:paraId="26F55FD8">
            <w:pPr>
              <w:keepNext w:val="0"/>
              <w:keepLines w:val="0"/>
              <w:pageBreakBefore w:val="0"/>
              <w:kinsoku/>
              <w:wordWrap/>
              <w:overflowPunct/>
              <w:topLinePunct w:val="0"/>
              <w:autoSpaceDE w:val="0"/>
              <w:autoSpaceDN w:val="0"/>
              <w:bidi w:val="0"/>
              <w:adjustRightInd w:val="0"/>
              <w:spacing w:line="400" w:lineRule="exact"/>
              <w:jc w:val="left"/>
              <w:textAlignment w:val="auto"/>
              <w:rPr>
                <w:rFonts w:hint="default" w:ascii="宋体" w:hAnsi="宋体"/>
                <w:b/>
                <w:bCs w:val="0"/>
                <w:color w:val="auto"/>
                <w:kern w:val="0"/>
                <w:szCs w:val="21"/>
                <w:highlight w:val="none"/>
                <w:lang w:val="en-US" w:eastAsia="zh-CN"/>
              </w:rPr>
            </w:pPr>
            <w:r>
              <w:rPr>
                <w:rFonts w:hint="eastAsia" w:ascii="宋体" w:hAnsi="宋体"/>
                <w:b/>
                <w:bCs w:val="0"/>
                <w:color w:val="auto"/>
                <w:kern w:val="0"/>
                <w:szCs w:val="21"/>
                <w:highlight w:val="none"/>
                <w:lang w:val="en-US" w:eastAsia="zh-CN"/>
              </w:rPr>
              <w:t>项目实施方案</w:t>
            </w:r>
          </w:p>
          <w:p w14:paraId="4F024EAF">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Times New Roman" w:hAnsi="Times New Roman" w:cs="Times New Roman"/>
                <w:b/>
                <w:bCs/>
                <w:color w:val="auto"/>
                <w:kern w:val="0"/>
                <w:szCs w:val="21"/>
                <w:highlight w:val="none"/>
                <w:lang w:val="en-US" w:eastAsia="zh-CN"/>
              </w:rPr>
            </w:pPr>
            <w:r>
              <w:rPr>
                <w:rFonts w:hint="eastAsia" w:ascii="宋体" w:hAnsi="宋体"/>
                <w:b/>
                <w:bCs w:val="0"/>
                <w:color w:val="auto"/>
                <w:kern w:val="0"/>
                <w:szCs w:val="21"/>
                <w:highlight w:val="none"/>
                <w:lang w:eastAsia="zh-CN"/>
              </w:rPr>
              <w:t>一档（</w:t>
            </w:r>
            <w:r>
              <w:rPr>
                <w:rFonts w:hint="eastAsia" w:ascii="宋体" w:hAnsi="宋体"/>
                <w:b/>
                <w:bCs w:val="0"/>
                <w:color w:val="auto"/>
                <w:kern w:val="0"/>
                <w:szCs w:val="21"/>
                <w:highlight w:val="none"/>
                <w:lang w:val="en-US" w:eastAsia="zh-CN"/>
              </w:rPr>
              <w:t>0分</w:t>
            </w:r>
            <w:r>
              <w:rPr>
                <w:rFonts w:hint="eastAsia" w:ascii="宋体" w:hAnsi="宋体"/>
                <w:b/>
                <w:bCs w:val="0"/>
                <w:color w:val="auto"/>
                <w:kern w:val="0"/>
                <w:szCs w:val="21"/>
                <w:highlight w:val="none"/>
                <w:lang w:eastAsia="zh-CN"/>
              </w:rPr>
              <w:t>）：</w:t>
            </w:r>
            <w:r>
              <w:rPr>
                <w:rFonts w:hint="eastAsia" w:ascii="宋体" w:hAnsi="宋体"/>
                <w:b w:val="0"/>
                <w:bCs/>
                <w:color w:val="auto"/>
                <w:kern w:val="0"/>
                <w:szCs w:val="21"/>
                <w:highlight w:val="none"/>
                <w:lang w:eastAsia="zh-CN"/>
              </w:rPr>
              <w:t>未在投标文件中提供</w:t>
            </w:r>
            <w:r>
              <w:rPr>
                <w:rFonts w:hint="eastAsia" w:ascii="宋体" w:hAnsi="宋体"/>
                <w:b w:val="0"/>
                <w:bCs/>
                <w:color w:val="auto"/>
                <w:kern w:val="0"/>
                <w:szCs w:val="21"/>
                <w:highlight w:val="none"/>
                <w:lang w:val="en-US" w:eastAsia="zh-CN"/>
              </w:rPr>
              <w:t>项目实施</w:t>
            </w:r>
            <w:r>
              <w:rPr>
                <w:rFonts w:hint="eastAsia" w:ascii="宋体" w:hAnsi="宋体"/>
                <w:b w:val="0"/>
                <w:bCs/>
                <w:color w:val="auto"/>
                <w:kern w:val="0"/>
                <w:szCs w:val="21"/>
                <w:highlight w:val="none"/>
                <w:lang w:eastAsia="zh-CN"/>
              </w:rPr>
              <w:t>方案的不得</w:t>
            </w:r>
            <w:r>
              <w:rPr>
                <w:rFonts w:hint="eastAsia" w:ascii="宋体" w:hAnsi="宋体"/>
                <w:b w:val="0"/>
                <w:bCs/>
                <w:color w:val="auto"/>
                <w:kern w:val="0"/>
                <w:szCs w:val="21"/>
                <w:highlight w:val="none"/>
                <w:lang w:val="en-US" w:eastAsia="zh-CN"/>
              </w:rPr>
              <w:t>分。</w:t>
            </w:r>
          </w:p>
          <w:p w14:paraId="3B1BE1FB">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2"/>
                <w:sz w:val="21"/>
                <w:szCs w:val="21"/>
                <w:highlight w:val="none"/>
                <w:lang w:val="zh-CN" w:eastAsia="zh-CN" w:bidi="ar-SA"/>
              </w:rPr>
            </w:pPr>
            <w:r>
              <w:rPr>
                <w:rFonts w:hint="eastAsia" w:ascii="Times New Roman" w:hAnsi="Times New Roman" w:cs="Times New Roman"/>
                <w:b/>
                <w:bCs/>
                <w:color w:val="auto"/>
                <w:kern w:val="0"/>
                <w:szCs w:val="21"/>
                <w:highlight w:val="none"/>
                <w:lang w:eastAsia="zh-CN"/>
              </w:rPr>
              <w:t>二</w:t>
            </w:r>
            <w:r>
              <w:rPr>
                <w:rFonts w:hint="eastAsia" w:ascii="宋体" w:hAnsi="宋体" w:eastAsia="宋体" w:cs="宋体"/>
                <w:b/>
                <w:bCs/>
                <w:color w:val="auto"/>
                <w:kern w:val="2"/>
                <w:sz w:val="21"/>
                <w:szCs w:val="21"/>
                <w:highlight w:val="none"/>
                <w:lang w:val="zh-CN" w:eastAsia="zh-CN" w:bidi="ar-SA"/>
              </w:rPr>
              <w:t>档（</w:t>
            </w: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zh-CN" w:eastAsia="zh-CN" w:bidi="ar-SA"/>
              </w:rPr>
              <w:t>分）：</w:t>
            </w:r>
            <w:r>
              <w:rPr>
                <w:rFonts w:hint="eastAsia" w:ascii="宋体" w:hAnsi="宋体"/>
                <w:b w:val="0"/>
                <w:bCs/>
                <w:color w:val="auto"/>
                <w:kern w:val="0"/>
                <w:szCs w:val="21"/>
                <w:highlight w:val="none"/>
                <w:lang w:eastAsia="zh-CN"/>
              </w:rPr>
              <w:t>提供服务方案</w:t>
            </w:r>
            <w:r>
              <w:rPr>
                <w:rFonts w:hint="eastAsia" w:ascii="宋体" w:hAnsi="宋体" w:eastAsia="宋体" w:cs="宋体"/>
                <w:bCs/>
                <w:color w:val="auto"/>
                <w:sz w:val="21"/>
                <w:szCs w:val="21"/>
                <w:highlight w:val="none"/>
              </w:rPr>
              <w:t>，</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管理措施、具体</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实施流程。</w:t>
            </w:r>
          </w:p>
          <w:p w14:paraId="5CADF556">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bCs w:val="0"/>
                <w:color w:val="auto"/>
                <w:kern w:val="2"/>
                <w:sz w:val="21"/>
                <w:szCs w:val="21"/>
                <w:highlight w:val="none"/>
                <w:lang w:val="zh-CN" w:eastAsia="zh-CN" w:bidi="ar-SA"/>
              </w:rPr>
              <w:t>三档（</w:t>
            </w:r>
            <w:r>
              <w:rPr>
                <w:rFonts w:hint="eastAsia" w:ascii="宋体" w:hAnsi="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zh-CN" w:eastAsia="zh-CN" w:bidi="ar-SA"/>
              </w:rPr>
              <w:t>分）：</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管理措施、具体</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实施流程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实现</w:t>
            </w:r>
            <w:r>
              <w:rPr>
                <w:rFonts w:hint="eastAsia" w:ascii="宋体" w:hAnsi="宋体" w:eastAsia="宋体" w:cs="宋体"/>
                <w:color w:val="auto"/>
                <w:sz w:val="21"/>
                <w:szCs w:val="21"/>
                <w:highlight w:val="none"/>
                <w:lang w:val="en-US" w:eastAsia="zh-CN"/>
              </w:rPr>
              <w:t>项目各目标的</w:t>
            </w:r>
            <w:r>
              <w:rPr>
                <w:rFonts w:hint="eastAsia" w:ascii="宋体" w:hAnsi="宋体" w:eastAsia="宋体" w:cs="宋体"/>
                <w:color w:val="auto"/>
                <w:sz w:val="21"/>
                <w:szCs w:val="21"/>
                <w:highlight w:val="none"/>
              </w:rPr>
              <w:t>进度安排。</w:t>
            </w:r>
          </w:p>
          <w:p w14:paraId="5CAC0A8F">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bCs w:val="0"/>
                <w:color w:val="auto"/>
                <w:kern w:val="2"/>
                <w:sz w:val="21"/>
                <w:szCs w:val="21"/>
                <w:highlight w:val="none"/>
                <w:lang w:val="zh-CN" w:eastAsia="zh-CN" w:bidi="ar-SA"/>
              </w:rPr>
              <w:t>四档（</w:t>
            </w:r>
            <w:r>
              <w:rPr>
                <w:rFonts w:hint="eastAsia" w:ascii="宋体" w:hAnsi="宋体" w:cs="宋体"/>
                <w:b/>
                <w:bCs w:val="0"/>
                <w:color w:val="auto"/>
                <w:kern w:val="2"/>
                <w:sz w:val="21"/>
                <w:szCs w:val="21"/>
                <w:highlight w:val="none"/>
                <w:lang w:val="en-US" w:eastAsia="zh-CN" w:bidi="ar-SA"/>
              </w:rPr>
              <w:t>15</w:t>
            </w:r>
            <w:r>
              <w:rPr>
                <w:rFonts w:hint="eastAsia" w:ascii="宋体" w:hAnsi="宋体" w:eastAsia="宋体" w:cs="宋体"/>
                <w:b/>
                <w:bCs w:val="0"/>
                <w:color w:val="auto"/>
                <w:kern w:val="2"/>
                <w:sz w:val="21"/>
                <w:szCs w:val="21"/>
                <w:highlight w:val="none"/>
                <w:lang w:val="zh-CN" w:eastAsia="zh-CN" w:bidi="ar-SA"/>
              </w:rPr>
              <w:t>分）：</w:t>
            </w:r>
            <w:r>
              <w:rPr>
                <w:rFonts w:hint="eastAsia" w:ascii="宋体" w:hAnsi="宋体"/>
                <w:b w:val="0"/>
                <w:bCs/>
                <w:color w:val="auto"/>
                <w:kern w:val="0"/>
                <w:szCs w:val="21"/>
                <w:highlight w:val="none"/>
                <w:lang w:eastAsia="zh-CN"/>
              </w:rPr>
              <w:t>提供</w:t>
            </w:r>
            <w:r>
              <w:rPr>
                <w:rFonts w:hint="eastAsia" w:ascii="宋体" w:hAnsi="宋体"/>
                <w:b w:val="0"/>
                <w:bCs/>
                <w:color w:val="auto"/>
                <w:kern w:val="0"/>
                <w:szCs w:val="21"/>
                <w:highlight w:val="none"/>
                <w:lang w:val="en-US" w:eastAsia="zh-CN"/>
              </w:rPr>
              <w:t>项目实施</w:t>
            </w:r>
            <w:r>
              <w:rPr>
                <w:rFonts w:hint="eastAsia" w:ascii="宋体" w:hAnsi="宋体"/>
                <w:b w:val="0"/>
                <w:bCs/>
                <w:color w:val="auto"/>
                <w:kern w:val="0"/>
                <w:szCs w:val="21"/>
                <w:highlight w:val="none"/>
                <w:lang w:eastAsia="zh-CN"/>
              </w:rPr>
              <w:t>方案</w:t>
            </w:r>
            <w:r>
              <w:rPr>
                <w:rFonts w:hint="eastAsia" w:ascii="宋体" w:hAnsi="宋体" w:eastAsia="宋体" w:cs="宋体"/>
                <w:bCs/>
                <w:color w:val="auto"/>
                <w:sz w:val="21"/>
                <w:szCs w:val="21"/>
                <w:highlight w:val="none"/>
              </w:rPr>
              <w:t>，</w:t>
            </w:r>
            <w:r>
              <w:rPr>
                <w:rFonts w:hint="eastAsia" w:ascii="宋体" w:hAnsi="宋体" w:eastAsia="宋体" w:cs="宋体"/>
                <w:b w:val="0"/>
                <w:bCs w:val="0"/>
                <w:color w:val="auto"/>
                <w:sz w:val="21"/>
                <w:szCs w:val="21"/>
                <w:highlight w:val="none"/>
                <w:lang w:val="en-US" w:eastAsia="zh-CN"/>
              </w:rPr>
              <w:t>具有项目</w:t>
            </w:r>
            <w:r>
              <w:rPr>
                <w:rFonts w:hint="eastAsia" w:ascii="宋体" w:hAnsi="宋体" w:eastAsia="宋体" w:cs="宋体"/>
                <w:color w:val="auto"/>
                <w:sz w:val="21"/>
                <w:szCs w:val="21"/>
                <w:highlight w:val="none"/>
              </w:rPr>
              <w:t>管理措施、具体</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实施流程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color w:val="auto"/>
                <w:sz w:val="21"/>
                <w:szCs w:val="21"/>
                <w:highlight w:val="none"/>
              </w:rPr>
              <w:t>进度安排、实现</w:t>
            </w:r>
            <w:r>
              <w:rPr>
                <w:rFonts w:hint="eastAsia" w:ascii="宋体" w:hAnsi="宋体" w:eastAsia="宋体" w:cs="宋体"/>
                <w:color w:val="auto"/>
                <w:sz w:val="21"/>
                <w:szCs w:val="21"/>
                <w:highlight w:val="none"/>
                <w:lang w:val="en-US" w:eastAsia="zh-CN"/>
              </w:rPr>
              <w:t>项目各目标的</w:t>
            </w:r>
            <w:r>
              <w:rPr>
                <w:rFonts w:hint="eastAsia" w:ascii="宋体" w:hAnsi="宋体" w:eastAsia="宋体" w:cs="宋体"/>
                <w:color w:val="auto"/>
                <w:sz w:val="21"/>
                <w:szCs w:val="21"/>
                <w:highlight w:val="none"/>
              </w:rPr>
              <w:t>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具有项目</w:t>
            </w:r>
            <w:r>
              <w:rPr>
                <w:rFonts w:hint="eastAsia" w:ascii="宋体" w:hAnsi="宋体" w:eastAsia="宋体" w:cs="宋体"/>
                <w:color w:val="auto"/>
                <w:sz w:val="21"/>
                <w:szCs w:val="21"/>
                <w:highlight w:val="none"/>
              </w:rPr>
              <w:t>风险防范措施，</w:t>
            </w:r>
            <w:r>
              <w:rPr>
                <w:rFonts w:hint="eastAsia" w:ascii="宋体" w:hAnsi="宋体" w:eastAsia="宋体" w:cs="宋体"/>
                <w:color w:val="auto"/>
                <w:sz w:val="21"/>
                <w:szCs w:val="21"/>
                <w:highlight w:val="none"/>
                <w:lang w:val="en-US" w:eastAsia="zh-CN"/>
              </w:rPr>
              <w:t>能说明实施各个阶段工作安排和进度计划</w:t>
            </w:r>
            <w:r>
              <w:rPr>
                <w:rFonts w:hint="eastAsia" w:ascii="宋体" w:hAnsi="宋体" w:eastAsia="宋体" w:cs="宋体"/>
                <w:color w:val="auto"/>
                <w:sz w:val="21"/>
                <w:szCs w:val="21"/>
                <w:highlight w:val="none"/>
              </w:rPr>
              <w:t>。</w:t>
            </w:r>
          </w:p>
          <w:p w14:paraId="2BBE219A">
            <w:pPr>
              <w:pStyle w:val="33"/>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zh-CN" w:eastAsia="zh-CN" w:bidi="ar-SA"/>
              </w:rPr>
              <w:t>五档（</w:t>
            </w:r>
            <w:r>
              <w:rPr>
                <w:rFonts w:hint="eastAsia" w:ascii="宋体" w:hAnsi="宋体" w:cs="宋体"/>
                <w:b/>
                <w:bCs w:val="0"/>
                <w:color w:val="auto"/>
                <w:kern w:val="2"/>
                <w:sz w:val="21"/>
                <w:szCs w:val="21"/>
                <w:highlight w:val="none"/>
                <w:lang w:val="en-US" w:eastAsia="zh-CN" w:bidi="ar-SA"/>
              </w:rPr>
              <w:t>20</w:t>
            </w:r>
            <w:r>
              <w:rPr>
                <w:rFonts w:hint="eastAsia" w:ascii="宋体" w:hAnsi="宋体" w:eastAsia="宋体" w:cs="宋体"/>
                <w:b/>
                <w:bCs w:val="0"/>
                <w:color w:val="auto"/>
                <w:kern w:val="2"/>
                <w:sz w:val="21"/>
                <w:szCs w:val="21"/>
                <w:highlight w:val="none"/>
                <w:lang w:val="zh-CN" w:eastAsia="zh-CN" w:bidi="ar-SA"/>
              </w:rPr>
              <w:t>分）：</w:t>
            </w:r>
            <w:r>
              <w:rPr>
                <w:rFonts w:hint="eastAsia" w:ascii="宋体" w:hAnsi="宋体" w:eastAsia="宋体" w:cs="宋体"/>
                <w:b w:val="0"/>
                <w:bCs/>
                <w:color w:val="auto"/>
                <w:kern w:val="2"/>
                <w:sz w:val="21"/>
                <w:szCs w:val="21"/>
                <w:highlight w:val="none"/>
                <w:lang w:val="zh-CN" w:eastAsia="zh-CN" w:bidi="ar-SA"/>
              </w:rPr>
              <w:t>提供项目实施方案，具有项目管理措施、具体项目实施流程，具有项目进度安排、实现各项目目标的进度安排、具有风险防范措施，能说明实施各个阶段工作安排和进度计划，具有项目建设总体框架方案、工期管控、项目质量保证措施，有项目管理组织机构图。</w:t>
            </w:r>
          </w:p>
        </w:tc>
        <w:tc>
          <w:tcPr>
            <w:tcW w:w="845" w:type="dxa"/>
            <w:noWrap w:val="0"/>
            <w:vAlign w:val="center"/>
          </w:tcPr>
          <w:p w14:paraId="19BE248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2DFC4E5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BDB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1E14186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5772" w:type="dxa"/>
            <w:noWrap w:val="0"/>
            <w:vAlign w:val="center"/>
          </w:tcPr>
          <w:p w14:paraId="4A2F2D36">
            <w:pPr>
              <w:keepNext w:val="0"/>
              <w:keepLines w:val="0"/>
              <w:pageBreakBefore w:val="0"/>
              <w:kinsoku/>
              <w:wordWrap/>
              <w:overflowPunct/>
              <w:topLinePunct w:val="0"/>
              <w:autoSpaceDE/>
              <w:autoSpaceDN/>
              <w:bidi w:val="0"/>
              <w:snapToGrid/>
              <w:spacing w:line="4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应急方案</w:t>
            </w:r>
          </w:p>
          <w:p w14:paraId="375F817D">
            <w:pPr>
              <w:keepNext w:val="0"/>
              <w:keepLines w:val="0"/>
              <w:pageBreakBefore w:val="0"/>
              <w:kinsoku/>
              <w:wordWrap/>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hAnsi="宋体" w:cs="宋体"/>
                <w:bCs/>
                <w:color w:val="auto"/>
                <w:sz w:val="21"/>
                <w:szCs w:val="21"/>
                <w:highlight w:val="none"/>
                <w:lang w:val="en-US" w:eastAsia="zh-CN"/>
              </w:rPr>
              <w:t>投标文件</w:t>
            </w:r>
            <w:r>
              <w:rPr>
                <w:rFonts w:hint="eastAsia" w:ascii="宋体" w:hAnsi="宋体" w:eastAsia="宋体" w:cs="宋体"/>
                <w:bCs/>
                <w:color w:val="auto"/>
                <w:sz w:val="21"/>
                <w:szCs w:val="21"/>
                <w:highlight w:val="none"/>
                <w:lang w:val="en-US" w:eastAsia="zh-CN"/>
              </w:rPr>
              <w:t>中未提供</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不得分。</w:t>
            </w:r>
          </w:p>
          <w:p w14:paraId="7ED9E3E5">
            <w:pPr>
              <w:keepNext w:val="0"/>
              <w:keepLines w:val="0"/>
              <w:pageBreakBefore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提供有应急方案，</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eastAsia="zh-CN"/>
              </w:rPr>
              <w:t>应急处理实施计划。</w:t>
            </w:r>
          </w:p>
          <w:p w14:paraId="7284410F">
            <w:pPr>
              <w:keepNext w:val="0"/>
              <w:keepLines w:val="0"/>
              <w:pageBreakBefore w:val="0"/>
              <w:kinsoku/>
              <w:wordWrap/>
              <w:overflowPunct/>
              <w:topLinePunct w:val="0"/>
              <w:autoSpaceDE/>
              <w:autoSpaceDN/>
              <w:bidi w:val="0"/>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提供有应急方案，</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eastAsia="zh-CN"/>
              </w:rPr>
              <w:t>应急处理实施计划、人员调配与处理方案。</w:t>
            </w:r>
          </w:p>
          <w:p w14:paraId="71EC8DC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10.5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提供有应急方案，</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应急处理实施计划、</w:t>
            </w:r>
            <w:r>
              <w:rPr>
                <w:rFonts w:hint="eastAsia" w:ascii="宋体" w:hAnsi="宋体" w:eastAsia="宋体" w:cs="宋体"/>
                <w:b w:val="0"/>
                <w:bCs w:val="0"/>
                <w:color w:val="auto"/>
                <w:sz w:val="21"/>
                <w:szCs w:val="21"/>
                <w:highlight w:val="none"/>
                <w:lang w:val="en-US" w:eastAsia="zh-CN"/>
              </w:rPr>
              <w:t>人员调配与处理方案，</w:t>
            </w:r>
            <w:r>
              <w:rPr>
                <w:rFonts w:hint="eastAsia" w:ascii="宋体" w:hAnsi="宋体" w:eastAsia="宋体" w:cs="宋体"/>
                <w:color w:val="auto"/>
                <w:sz w:val="21"/>
                <w:szCs w:val="21"/>
                <w:highlight w:val="none"/>
                <w:lang w:val="en-US" w:eastAsia="zh-CN"/>
              </w:rPr>
              <w:t>具有</w:t>
            </w:r>
            <w:r>
              <w:rPr>
                <w:rFonts w:hint="eastAsia" w:ascii="宋体" w:hAnsi="宋体" w:eastAsia="宋体" w:cs="宋体"/>
                <w:b w:val="0"/>
                <w:bCs w:val="0"/>
                <w:color w:val="auto"/>
                <w:sz w:val="21"/>
                <w:szCs w:val="21"/>
                <w:highlight w:val="none"/>
                <w:lang w:val="en-US" w:eastAsia="zh-CN"/>
              </w:rPr>
              <w:t>各专项突发事件的解决措施</w:t>
            </w:r>
            <w:r>
              <w:rPr>
                <w:rFonts w:hint="eastAsia" w:ascii="宋体" w:hAnsi="宋体" w:eastAsia="宋体" w:cs="宋体"/>
                <w:color w:val="auto"/>
                <w:sz w:val="21"/>
                <w:szCs w:val="21"/>
                <w:highlight w:val="none"/>
                <w:lang w:val="en-US" w:eastAsia="zh-CN"/>
              </w:rPr>
              <w:t>；为本项目设置应急团队。</w:t>
            </w:r>
          </w:p>
          <w:p w14:paraId="618C64C3">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提供有应急方案，</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应急处理实施计划、</w:t>
            </w:r>
            <w:r>
              <w:rPr>
                <w:rFonts w:hint="eastAsia" w:ascii="宋体" w:hAnsi="宋体" w:eastAsia="宋体" w:cs="宋体"/>
                <w:b w:val="0"/>
                <w:bCs w:val="0"/>
                <w:color w:val="auto"/>
                <w:sz w:val="21"/>
                <w:szCs w:val="21"/>
                <w:highlight w:val="none"/>
                <w:lang w:val="en-US" w:eastAsia="zh-CN"/>
              </w:rPr>
              <w:t>人员调配与处理方案，</w:t>
            </w:r>
            <w:r>
              <w:rPr>
                <w:rFonts w:hint="eastAsia" w:ascii="宋体" w:hAnsi="宋体" w:eastAsia="宋体" w:cs="宋体"/>
                <w:color w:val="auto"/>
                <w:sz w:val="21"/>
                <w:szCs w:val="21"/>
                <w:highlight w:val="none"/>
                <w:lang w:val="en-US" w:eastAsia="zh-CN"/>
              </w:rPr>
              <w:t>具有</w:t>
            </w:r>
            <w:r>
              <w:rPr>
                <w:rFonts w:hint="eastAsia" w:ascii="宋体" w:hAnsi="宋体" w:eastAsia="宋体" w:cs="宋体"/>
                <w:b w:val="0"/>
                <w:bCs w:val="0"/>
                <w:color w:val="auto"/>
                <w:sz w:val="21"/>
                <w:szCs w:val="21"/>
                <w:highlight w:val="none"/>
                <w:lang w:val="en-US" w:eastAsia="zh-CN"/>
              </w:rPr>
              <w:t>各专项突发事件的解决措施；</w:t>
            </w:r>
            <w:r>
              <w:rPr>
                <w:rFonts w:hint="eastAsia" w:ascii="宋体" w:hAnsi="宋体" w:eastAsia="宋体" w:cs="宋体"/>
                <w:color w:val="auto"/>
                <w:sz w:val="21"/>
                <w:szCs w:val="21"/>
                <w:highlight w:val="none"/>
                <w:lang w:val="en-US" w:eastAsia="zh-CN"/>
              </w:rPr>
              <w:t>为本项目设置应急团队，</w:t>
            </w:r>
            <w:r>
              <w:rPr>
                <w:rFonts w:hint="eastAsia" w:ascii="宋体" w:hAnsi="宋体" w:eastAsia="宋体" w:cs="宋体"/>
                <w:color w:val="auto"/>
                <w:sz w:val="21"/>
                <w:szCs w:val="21"/>
                <w:highlight w:val="none"/>
                <w:lang w:val="en-US" w:eastAsia="zh-CN" w:bidi="zh-CN"/>
              </w:rPr>
              <w:t>配置有机动人员用于紧急事件处理，</w:t>
            </w:r>
            <w:r>
              <w:rPr>
                <w:rFonts w:hint="eastAsia" w:ascii="宋体" w:hAnsi="宋体" w:cs="宋体"/>
                <w:color w:val="auto"/>
                <w:sz w:val="21"/>
                <w:szCs w:val="21"/>
                <w:highlight w:val="none"/>
                <w:lang w:val="en-US" w:eastAsia="zh-CN" w:bidi="zh-CN"/>
              </w:rPr>
              <w:t>具有</w:t>
            </w:r>
            <w:r>
              <w:rPr>
                <w:rFonts w:hint="eastAsia" w:ascii="宋体" w:hAnsi="宋体" w:eastAsia="宋体" w:cs="宋体"/>
                <w:color w:val="auto"/>
                <w:sz w:val="21"/>
                <w:szCs w:val="21"/>
                <w:highlight w:val="none"/>
                <w:lang w:val="en-US" w:eastAsia="zh-CN" w:bidi="zh-CN"/>
              </w:rPr>
              <w:t>应急处理，保证后期运维人员充足</w:t>
            </w:r>
            <w:r>
              <w:rPr>
                <w:rFonts w:hint="eastAsia" w:ascii="宋体" w:hAnsi="宋体" w:eastAsia="宋体" w:cs="宋体"/>
                <w:color w:val="auto"/>
                <w:sz w:val="21"/>
                <w:szCs w:val="21"/>
                <w:highlight w:val="none"/>
                <w:lang w:val="en-US" w:eastAsia="zh-CN"/>
              </w:rPr>
              <w:t>。</w:t>
            </w:r>
          </w:p>
        </w:tc>
        <w:tc>
          <w:tcPr>
            <w:tcW w:w="845" w:type="dxa"/>
            <w:noWrap w:val="0"/>
            <w:vAlign w:val="center"/>
          </w:tcPr>
          <w:p w14:paraId="69114E9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726B89E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278D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087F390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5772" w:type="dxa"/>
            <w:noWrap w:val="0"/>
            <w:vAlign w:val="center"/>
          </w:tcPr>
          <w:p w14:paraId="4EBB48FC">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拟投入实施人员方案</w:t>
            </w:r>
          </w:p>
          <w:p w14:paraId="246D8DAE">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一档（0分）：</w:t>
            </w:r>
            <w:r>
              <w:rPr>
                <w:rFonts w:hint="eastAsia" w:hAnsi="宋体" w:cs="宋体"/>
                <w:b w:val="0"/>
                <w:bCs/>
                <w:color w:val="auto"/>
                <w:sz w:val="21"/>
                <w:szCs w:val="21"/>
                <w:highlight w:val="none"/>
                <w:lang w:val="en-US" w:eastAsia="zh-CN"/>
              </w:rPr>
              <w:t>投标文件</w:t>
            </w:r>
            <w:r>
              <w:rPr>
                <w:rFonts w:hint="eastAsia" w:ascii="宋体" w:hAnsi="宋体" w:eastAsia="宋体" w:cs="宋体"/>
                <w:b w:val="0"/>
                <w:bCs/>
                <w:color w:val="auto"/>
                <w:sz w:val="21"/>
                <w:szCs w:val="21"/>
                <w:highlight w:val="none"/>
                <w:lang w:val="en-US" w:eastAsia="zh-CN"/>
              </w:rPr>
              <w:t>中</w:t>
            </w:r>
            <w:r>
              <w:rPr>
                <w:rFonts w:hint="eastAsia" w:ascii="宋体" w:hAnsi="宋体" w:eastAsia="宋体" w:cs="宋体"/>
                <w:b w:val="0"/>
                <w:bCs/>
                <w:color w:val="auto"/>
                <w:kern w:val="2"/>
                <w:sz w:val="21"/>
                <w:szCs w:val="21"/>
                <w:highlight w:val="none"/>
                <w:lang w:val="en-US" w:eastAsia="zh-CN"/>
              </w:rPr>
              <w:t>未提供</w:t>
            </w:r>
            <w:r>
              <w:rPr>
                <w:rFonts w:hint="eastAsia" w:ascii="宋体" w:hAnsi="宋体" w:eastAsia="宋体" w:cs="宋体"/>
                <w:b w:val="0"/>
                <w:bCs/>
                <w:color w:val="auto"/>
                <w:sz w:val="21"/>
                <w:szCs w:val="21"/>
                <w:highlight w:val="none"/>
                <w:lang w:val="en-US" w:eastAsia="zh-CN"/>
              </w:rPr>
              <w:t>拟投入实施人员方案</w:t>
            </w:r>
            <w:r>
              <w:rPr>
                <w:rFonts w:hint="eastAsia" w:ascii="宋体" w:hAnsi="宋体" w:eastAsia="宋体" w:cs="宋体"/>
                <w:b w:val="0"/>
                <w:bCs/>
                <w:color w:val="auto"/>
                <w:kern w:val="2"/>
                <w:sz w:val="21"/>
                <w:szCs w:val="21"/>
                <w:highlight w:val="none"/>
                <w:lang w:val="en-US" w:eastAsia="zh-CN"/>
              </w:rPr>
              <w:t>不得分。</w:t>
            </w:r>
          </w:p>
          <w:p w14:paraId="39FF2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二档（5分）：</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投入实施人员方案</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Cs w:val="21"/>
                <w:highlight w:val="none"/>
                <w:lang w:val="en-US" w:eastAsia="zh-CN"/>
              </w:rPr>
              <w:t>具有各岗位技术</w:t>
            </w:r>
            <w:r>
              <w:rPr>
                <w:rFonts w:hint="eastAsia" w:ascii="宋体" w:hAnsi="宋体" w:eastAsia="宋体" w:cs="宋体"/>
                <w:bCs/>
                <w:color w:val="auto"/>
                <w:szCs w:val="21"/>
                <w:highlight w:val="none"/>
                <w:lang w:val="en-US" w:eastAsia="zh-CN"/>
              </w:rPr>
              <w:t>人员组成架构，具有负责指导项目建设的负责人、汇总资料岗位的人员。</w:t>
            </w:r>
          </w:p>
          <w:p w14:paraId="355829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三档（10分）：</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投入实施人员方案</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Cs w:val="21"/>
                <w:highlight w:val="none"/>
                <w:lang w:val="en-US" w:eastAsia="zh-CN"/>
              </w:rPr>
              <w:t>具有各岗位技术</w:t>
            </w:r>
            <w:r>
              <w:rPr>
                <w:rFonts w:hint="eastAsia" w:ascii="宋体" w:hAnsi="宋体" w:eastAsia="宋体" w:cs="宋体"/>
                <w:bCs/>
                <w:color w:val="auto"/>
                <w:szCs w:val="21"/>
                <w:highlight w:val="none"/>
                <w:lang w:val="en-US" w:eastAsia="zh-CN"/>
              </w:rPr>
              <w:t>人员组成架构，具有负责指导项目建设的负责人、</w:t>
            </w:r>
            <w:r>
              <w:rPr>
                <w:rFonts w:hint="eastAsia" w:ascii="宋体" w:hAnsi="宋体" w:cs="宋体"/>
                <w:bCs/>
                <w:color w:val="auto"/>
                <w:szCs w:val="21"/>
                <w:highlight w:val="none"/>
                <w:lang w:val="en-US" w:eastAsia="zh-CN"/>
              </w:rPr>
              <w:t>制作动画、</w:t>
            </w:r>
            <w:r>
              <w:rPr>
                <w:rFonts w:hint="eastAsia" w:ascii="宋体" w:hAnsi="宋体" w:eastAsia="宋体" w:cs="宋体"/>
                <w:bCs/>
                <w:color w:val="auto"/>
                <w:szCs w:val="21"/>
                <w:highlight w:val="none"/>
                <w:lang w:val="en-US" w:eastAsia="zh-CN"/>
              </w:rPr>
              <w:t>汇总资料岗位的人员，具有各人员岗位的工作职责、管理组织架构。</w:t>
            </w:r>
          </w:p>
          <w:p w14:paraId="4ADC2C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四档（15分）：</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投入实施人员方案</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Cs w:val="21"/>
                <w:highlight w:val="none"/>
                <w:lang w:val="en-US" w:eastAsia="zh-CN"/>
              </w:rPr>
              <w:t>具有各岗位技术</w:t>
            </w:r>
            <w:r>
              <w:rPr>
                <w:rFonts w:hint="eastAsia" w:ascii="宋体" w:hAnsi="宋体" w:eastAsia="宋体" w:cs="宋体"/>
                <w:bCs/>
                <w:color w:val="auto"/>
                <w:szCs w:val="21"/>
                <w:highlight w:val="none"/>
                <w:lang w:val="en-US" w:eastAsia="zh-CN"/>
              </w:rPr>
              <w:t>人员组成架构，具有负责指导项目建设的负责人、</w:t>
            </w:r>
            <w:r>
              <w:rPr>
                <w:rFonts w:hint="eastAsia" w:ascii="宋体" w:hAnsi="宋体" w:cs="宋体"/>
                <w:bCs/>
                <w:color w:val="auto"/>
                <w:szCs w:val="21"/>
                <w:highlight w:val="none"/>
                <w:lang w:val="en-US" w:eastAsia="zh-CN"/>
              </w:rPr>
              <w:t>制作动画、</w:t>
            </w:r>
            <w:r>
              <w:rPr>
                <w:rFonts w:hint="eastAsia" w:ascii="宋体" w:hAnsi="宋体" w:eastAsia="宋体" w:cs="宋体"/>
                <w:bCs/>
                <w:color w:val="auto"/>
                <w:szCs w:val="21"/>
                <w:highlight w:val="none"/>
                <w:lang w:val="en-US" w:eastAsia="zh-CN"/>
              </w:rPr>
              <w:t>汇总资料岗位的人员，具有各人员岗位的工作职责、管理组织架构，具有各岗位工作人员</w:t>
            </w:r>
            <w:r>
              <w:rPr>
                <w:rFonts w:hint="eastAsia" w:ascii="宋体" w:hAnsi="宋体" w:eastAsia="宋体" w:cs="宋体"/>
                <w:color w:val="auto"/>
                <w:sz w:val="21"/>
                <w:szCs w:val="21"/>
                <w:highlight w:val="none"/>
                <w:lang w:val="en-US" w:eastAsia="zh-CN"/>
              </w:rPr>
              <w:t>服务响应</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服务响应</w:t>
            </w:r>
            <w:r>
              <w:rPr>
                <w:rFonts w:hint="eastAsia" w:ascii="宋体" w:hAnsi="宋体" w:eastAsia="宋体" w:cs="宋体"/>
                <w:color w:val="auto"/>
                <w:sz w:val="21"/>
                <w:szCs w:val="21"/>
                <w:highlight w:val="none"/>
              </w:rPr>
              <w:t>流程</w:t>
            </w:r>
            <w:r>
              <w:rPr>
                <w:rFonts w:hint="eastAsia" w:ascii="宋体" w:hAnsi="宋体" w:eastAsia="宋体" w:cs="宋体"/>
                <w:bCs/>
                <w:color w:val="auto"/>
                <w:szCs w:val="21"/>
                <w:highlight w:val="none"/>
                <w:lang w:val="en-US" w:eastAsia="zh-CN"/>
              </w:rPr>
              <w:t>。</w:t>
            </w:r>
          </w:p>
          <w:p w14:paraId="37050AE3">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五档（20分）：</w:t>
            </w:r>
            <w:r>
              <w:rPr>
                <w:rFonts w:hint="eastAsia" w:ascii="宋体" w:hAnsi="宋体" w:eastAsia="宋体" w:cs="宋体"/>
                <w:color w:val="auto"/>
                <w:sz w:val="21"/>
                <w:szCs w:val="21"/>
                <w:highlight w:val="none"/>
                <w:lang w:eastAsia="zh-CN"/>
              </w:rPr>
              <w:t>提供有</w:t>
            </w:r>
            <w:r>
              <w:rPr>
                <w:rFonts w:hint="eastAsia" w:ascii="宋体" w:hAnsi="宋体" w:eastAsia="宋体" w:cs="宋体"/>
                <w:color w:val="auto"/>
                <w:sz w:val="21"/>
                <w:szCs w:val="21"/>
                <w:highlight w:val="none"/>
                <w:lang w:val="en-US" w:eastAsia="zh-CN"/>
              </w:rPr>
              <w:t>投入实施人员方案</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Cs w:val="21"/>
                <w:highlight w:val="none"/>
                <w:lang w:val="en-US" w:eastAsia="zh-CN"/>
              </w:rPr>
              <w:t>具有各岗位技术</w:t>
            </w:r>
            <w:r>
              <w:rPr>
                <w:rFonts w:hint="eastAsia" w:ascii="宋体" w:hAnsi="宋体" w:eastAsia="宋体" w:cs="宋体"/>
                <w:bCs/>
                <w:color w:val="auto"/>
                <w:szCs w:val="21"/>
                <w:highlight w:val="none"/>
                <w:lang w:val="en-US" w:eastAsia="zh-CN"/>
              </w:rPr>
              <w:t>人员组成架构，具有负责指导项目建设的负责人、</w:t>
            </w:r>
            <w:r>
              <w:rPr>
                <w:rFonts w:hint="eastAsia" w:ascii="宋体" w:hAnsi="宋体" w:cs="宋体"/>
                <w:bCs/>
                <w:color w:val="auto"/>
                <w:szCs w:val="21"/>
                <w:highlight w:val="none"/>
                <w:lang w:val="en-US" w:eastAsia="zh-CN"/>
              </w:rPr>
              <w:t>制作动画、</w:t>
            </w:r>
            <w:r>
              <w:rPr>
                <w:rFonts w:hint="eastAsia" w:ascii="宋体" w:hAnsi="宋体" w:eastAsia="宋体" w:cs="宋体"/>
                <w:bCs/>
                <w:color w:val="auto"/>
                <w:szCs w:val="21"/>
                <w:highlight w:val="none"/>
                <w:lang w:val="en-US" w:eastAsia="zh-CN"/>
              </w:rPr>
              <w:t>汇总资料、发明专利申报岗位的人员，具有各人员岗位的工作职责、管理组织架构，具有各岗位工作人员</w:t>
            </w:r>
            <w:r>
              <w:rPr>
                <w:rFonts w:hint="eastAsia" w:ascii="宋体" w:hAnsi="宋体" w:eastAsia="宋体" w:cs="宋体"/>
                <w:color w:val="auto"/>
                <w:sz w:val="21"/>
                <w:szCs w:val="21"/>
                <w:highlight w:val="none"/>
                <w:lang w:val="en-US" w:eastAsia="zh-CN"/>
              </w:rPr>
              <w:t>服务响应</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服务响应</w:t>
            </w:r>
            <w:r>
              <w:rPr>
                <w:rFonts w:hint="eastAsia" w:ascii="宋体" w:hAnsi="宋体" w:eastAsia="宋体" w:cs="宋体"/>
                <w:color w:val="auto"/>
                <w:sz w:val="21"/>
                <w:szCs w:val="21"/>
                <w:highlight w:val="none"/>
              </w:rPr>
              <w:t>流程</w:t>
            </w:r>
            <w:r>
              <w:rPr>
                <w:rFonts w:hint="eastAsia" w:ascii="宋体" w:hAnsi="宋体" w:eastAsia="宋体" w:cs="宋体"/>
                <w:bCs/>
                <w:color w:val="auto"/>
                <w:szCs w:val="21"/>
                <w:highlight w:val="none"/>
                <w:lang w:val="en-US" w:eastAsia="zh-CN"/>
              </w:rPr>
              <w:t>，并细化各技术人员岗位的工作措施，具有督查小组，对所有技术人员的工作进行监督检查。</w:t>
            </w:r>
          </w:p>
        </w:tc>
        <w:tc>
          <w:tcPr>
            <w:tcW w:w="845" w:type="dxa"/>
            <w:noWrap w:val="0"/>
            <w:vAlign w:val="center"/>
          </w:tcPr>
          <w:p w14:paraId="5202A8C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105" w:type="dxa"/>
            <w:noWrap w:val="0"/>
            <w:vAlign w:val="center"/>
          </w:tcPr>
          <w:p w14:paraId="4E00B6D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3880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noWrap w:val="0"/>
            <w:vAlign w:val="center"/>
          </w:tcPr>
          <w:p w14:paraId="5A87308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5772" w:type="dxa"/>
            <w:noWrap w:val="0"/>
            <w:vAlign w:val="center"/>
          </w:tcPr>
          <w:p w14:paraId="5CDC1ABF">
            <w:pPr>
              <w:keepNext w:val="0"/>
              <w:keepLines w:val="0"/>
              <w:pageBreakBefore w:val="0"/>
              <w:kinsoku/>
              <w:wordWrap/>
              <w:overflowPunct/>
              <w:topLinePunct w:val="0"/>
              <w:autoSpaceDE/>
              <w:autoSpaceDN/>
              <w:bidi w:val="0"/>
              <w:snapToGrid/>
              <w:spacing w:line="400" w:lineRule="exact"/>
              <w:outlineLvl w:val="9"/>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业绩分</w:t>
            </w:r>
          </w:p>
          <w:p w14:paraId="0D85EE68">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投标</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lang w:val="en-US" w:eastAsia="zh-CN"/>
              </w:rPr>
              <w:t>自20</w:t>
            </w:r>
            <w:r>
              <w:rPr>
                <w:rFonts w:hint="eastAsia" w:ascii="宋体" w:hAnsi="宋体" w:cs="宋体"/>
                <w:bCs/>
                <w:color w:val="auto"/>
                <w:szCs w:val="21"/>
                <w:highlight w:val="none"/>
                <w:lang w:val="en-US" w:eastAsia="zh-CN"/>
              </w:rPr>
              <w:t>21</w:t>
            </w:r>
            <w:r>
              <w:rPr>
                <w:rFonts w:hint="eastAsia" w:ascii="宋体" w:hAnsi="宋体" w:eastAsia="宋体" w:cs="宋体"/>
                <w:bCs/>
                <w:color w:val="auto"/>
                <w:szCs w:val="21"/>
                <w:highlight w:val="none"/>
                <w:lang w:val="en-US" w:eastAsia="zh-CN"/>
              </w:rPr>
              <w:t>年1月1日</w:t>
            </w:r>
            <w:r>
              <w:rPr>
                <w:rFonts w:hint="eastAsia" w:ascii="宋体" w:hAnsi="宋体" w:cs="宋体"/>
                <w:bCs/>
                <w:color w:val="auto"/>
                <w:szCs w:val="21"/>
                <w:highlight w:val="none"/>
                <w:lang w:val="en-US" w:eastAsia="zh-CN"/>
              </w:rPr>
              <w:t>起</w:t>
            </w:r>
            <w:r>
              <w:rPr>
                <w:rFonts w:hint="eastAsia" w:ascii="宋体" w:hAnsi="宋体" w:eastAsia="宋体" w:cs="宋体"/>
                <w:bCs/>
                <w:color w:val="auto"/>
                <w:szCs w:val="21"/>
                <w:highlight w:val="none"/>
                <w:lang w:val="en-US" w:eastAsia="zh-CN"/>
              </w:rPr>
              <w:t>至投标截止日</w:t>
            </w:r>
            <w:r>
              <w:rPr>
                <w:rFonts w:hint="eastAsia" w:ascii="宋体" w:hAnsi="宋体" w:cs="宋体"/>
                <w:bCs/>
                <w:color w:val="auto"/>
                <w:szCs w:val="21"/>
                <w:highlight w:val="none"/>
                <w:lang w:val="en-US" w:eastAsia="zh-CN"/>
              </w:rPr>
              <w:t>止</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lang w:val="en-US" w:eastAsia="zh-CN"/>
              </w:rPr>
              <w:t>关于本次采购内容有关的项目业绩</w:t>
            </w:r>
            <w:r>
              <w:rPr>
                <w:rFonts w:hint="eastAsia" w:ascii="宋体" w:hAnsi="宋体" w:eastAsia="宋体" w:cs="宋体"/>
                <w:bCs/>
                <w:color w:val="auto"/>
                <w:szCs w:val="21"/>
                <w:highlight w:val="none"/>
                <w:lang w:val="en-US" w:eastAsia="zh-CN"/>
              </w:rPr>
              <w:t>，每提供一个项目业绩得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分，满分4分</w:t>
            </w:r>
            <w:r>
              <w:rPr>
                <w:rFonts w:hint="eastAsia" w:ascii="宋体" w:hAnsi="宋体" w:eastAsia="宋体" w:cs="宋体"/>
                <w:b/>
                <w:bCs w:val="0"/>
                <w:color w:val="auto"/>
                <w:szCs w:val="21"/>
                <w:highlight w:val="none"/>
                <w:lang w:val="en-US" w:eastAsia="zh-CN"/>
              </w:rPr>
              <w:t>（投标时须提供中标（成交）通知书或中标（成交）合同复印件并加盖</w:t>
            </w:r>
            <w:r>
              <w:rPr>
                <w:rFonts w:hint="eastAsia" w:ascii="宋体" w:hAnsi="宋体" w:eastAsia="宋体" w:cs="宋体"/>
                <w:b/>
                <w:bCs w:val="0"/>
                <w:color w:val="auto"/>
                <w:kern w:val="2"/>
                <w:sz w:val="21"/>
                <w:szCs w:val="21"/>
                <w:highlight w:val="none"/>
                <w:lang w:val="en-US" w:eastAsia="zh-CN" w:bidi="ar"/>
              </w:rPr>
              <w:t>投标人</w:t>
            </w:r>
            <w:r>
              <w:rPr>
                <w:rFonts w:hint="eastAsia" w:ascii="宋体" w:hAnsi="宋体" w:eastAsia="宋体" w:cs="Times New Roman"/>
                <w:b/>
                <w:bCs/>
                <w:color w:val="auto"/>
                <w:kern w:val="2"/>
                <w:sz w:val="21"/>
                <w:szCs w:val="21"/>
                <w:highlight w:val="none"/>
                <w:lang w:val="en-US" w:eastAsia="zh-CN" w:bidi="ar-SA"/>
              </w:rPr>
              <w:t>电子</w:t>
            </w:r>
            <w:r>
              <w:rPr>
                <w:rFonts w:hint="eastAsia" w:ascii="宋体" w:hAnsi="宋体" w:eastAsia="宋体" w:cs="宋体"/>
                <w:b/>
                <w:bCs w:val="0"/>
                <w:color w:val="auto"/>
                <w:kern w:val="2"/>
                <w:sz w:val="21"/>
                <w:szCs w:val="21"/>
                <w:highlight w:val="none"/>
                <w:lang w:val="en-US" w:eastAsia="zh-CN" w:bidi="ar"/>
              </w:rPr>
              <w:t>公章，具体合同签订时间或中标通知书签发日期为准</w:t>
            </w:r>
            <w:r>
              <w:rPr>
                <w:rFonts w:hint="eastAsia" w:ascii="宋体" w:hAnsi="宋体" w:eastAsia="宋体" w:cs="宋体"/>
                <w:b/>
                <w:bCs w:val="0"/>
                <w:color w:val="auto"/>
                <w:szCs w:val="21"/>
                <w:highlight w:val="none"/>
                <w:lang w:val="en-US" w:eastAsia="zh-CN"/>
              </w:rPr>
              <w:t>）</w:t>
            </w:r>
            <w:r>
              <w:rPr>
                <w:rFonts w:hint="eastAsia" w:ascii="宋体" w:hAnsi="宋体" w:eastAsia="宋体" w:cs="宋体"/>
                <w:bCs/>
                <w:color w:val="auto"/>
                <w:szCs w:val="21"/>
                <w:highlight w:val="none"/>
                <w:lang w:val="en-US" w:eastAsia="zh-CN"/>
              </w:rPr>
              <w:t>。</w:t>
            </w:r>
          </w:p>
        </w:tc>
        <w:tc>
          <w:tcPr>
            <w:tcW w:w="845" w:type="dxa"/>
            <w:noWrap w:val="0"/>
            <w:vAlign w:val="center"/>
          </w:tcPr>
          <w:p w14:paraId="4E6A1A3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105" w:type="dxa"/>
            <w:noWrap w:val="0"/>
            <w:vAlign w:val="center"/>
          </w:tcPr>
          <w:p w14:paraId="73A5A9D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w:t>
            </w:r>
            <w:r>
              <w:rPr>
                <w:rFonts w:hint="eastAsia" w:ascii="宋体" w:hAnsi="宋体" w:eastAsia="宋体" w:cs="宋体"/>
                <w:color w:val="auto"/>
                <w:sz w:val="21"/>
                <w:szCs w:val="21"/>
                <w:highlight w:val="none"/>
                <w:lang w:val="en-US" w:eastAsia="zh-CN"/>
              </w:rPr>
              <w:t>观分</w:t>
            </w:r>
          </w:p>
        </w:tc>
      </w:tr>
    </w:tbl>
    <w:p w14:paraId="0F2A0E5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75BA5541">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1.本项目采用的评标方法</w:t>
      </w:r>
      <w:r>
        <w:rPr>
          <w:rFonts w:hint="eastAsia" w:ascii="宋体" w:hAnsi="宋体" w:cs="宋体"/>
          <w:b/>
          <w:color w:val="auto"/>
          <w:kern w:val="0"/>
          <w:sz w:val="21"/>
          <w:szCs w:val="21"/>
          <w:highlight w:val="none"/>
          <w:lang w:eastAsia="zh-CN"/>
        </w:rPr>
        <w:t>：</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A</w:t>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B最低评标价法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1"/>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35822D71">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p>
    <w:p w14:paraId="1721FB62">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p>
    <w:p w14:paraId="48015456">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p>
    <w:p w14:paraId="3BAC9861">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48BB83A4">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8C5A0EC">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276BDD36">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544E0A0D">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F4EC133">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 </w:t>
      </w:r>
    </w:p>
    <w:p w14:paraId="525A33C4">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（1）投标（响应）报价低于全部通过符合性审查供应商投标（响应）报价平均值 50%的，即投标（响应）报价&lt;全部通过符合性审查供应商投标（响应）报价平均值×50%； </w:t>
      </w:r>
    </w:p>
    <w:p w14:paraId="69EB4A17">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（2）投标（响应）报价低于通过符合性审查且报价次低供应商投标（响应）报价 50%的，即投标（响应）报价&lt;通过符合性审查且报价次低供应商投标（响应）报价×50%； </w:t>
      </w:r>
    </w:p>
    <w:p w14:paraId="27CF02A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（3）投标（响应）报价低于采购项目最高限价 45%的，即投标（响应）报价&lt;采购项目最高限价×45%； </w:t>
      </w:r>
    </w:p>
    <w:p w14:paraId="35FE64C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1"/>
        <w:spacing w:before="0"/>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1"/>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6B7C93B">
      <w:pPr>
        <w:pStyle w:val="131"/>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4.2.6投标文件出现不是唯一的、有选择性投标报价的;</w:t>
      </w:r>
    </w:p>
    <w:p w14:paraId="16BE096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4.2.7投标报价超过招标文件中规定的预算金额或者最高限价的;</w:t>
      </w:r>
    </w:p>
    <w:p w14:paraId="194AF19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5"/>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投标文件不满足招标文件的其它实质性要求的；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4.2.14法律、法规、规章（适用本市的）及省级以上规范性文件（适用本市的）规定的其他无效情形。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5"/>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6" w:name="第五部分"/>
      <w:bookmarkStart w:id="417" w:name="_Toc86217003"/>
    </w:p>
    <w:p w14:paraId="67796B00">
      <w:pPr>
        <w:pStyle w:val="85"/>
        <w:rPr>
          <w:rFonts w:hint="eastAsia" w:ascii="宋体" w:hAnsi="宋体" w:eastAsia="宋体" w:cs="宋体"/>
          <w:color w:val="auto"/>
          <w:highlight w:val="none"/>
        </w:rPr>
      </w:pPr>
      <w:r>
        <w:rPr>
          <w:rFonts w:hint="eastAsia" w:ascii="宋体" w:hAnsi="宋体" w:eastAsia="宋体" w:cs="宋体"/>
          <w:b/>
          <w:color w:val="auto"/>
          <w:sz w:val="36"/>
          <w:szCs w:val="36"/>
          <w:highlight w:val="none"/>
        </w:rPr>
        <w:t xml:space="preserve">    </w:t>
      </w:r>
    </w:p>
    <w:p w14:paraId="0B79C4D7">
      <w:pPr>
        <w:spacing w:line="360" w:lineRule="auto"/>
        <w:jc w:val="center"/>
        <w:outlineLvl w:val="0"/>
        <w:rPr>
          <w:rFonts w:hint="eastAsia" w:ascii="宋体" w:hAnsi="宋体" w:eastAsia="宋体" w:cs="宋体"/>
          <w:b/>
          <w:color w:val="auto"/>
          <w:sz w:val="36"/>
          <w:szCs w:val="36"/>
          <w:highlight w:val="none"/>
        </w:rPr>
      </w:pPr>
      <w:bookmarkStart w:id="418" w:name="_Toc10632"/>
      <w:bookmarkStart w:id="419" w:name="_Toc176185125"/>
      <w:r>
        <w:rPr>
          <w:rFonts w:hint="eastAsia" w:ascii="宋体" w:hAnsi="宋体" w:eastAsia="宋体" w:cs="宋体"/>
          <w:b/>
          <w:color w:val="auto"/>
          <w:sz w:val="36"/>
          <w:szCs w:val="36"/>
          <w:highlight w:val="none"/>
        </w:rPr>
        <w:t>第五部分  拟签订的合同文本</w:t>
      </w:r>
      <w:bookmarkEnd w:id="418"/>
      <w:bookmarkEnd w:id="419"/>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20"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p w14:paraId="6B14FA1F">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14:paraId="3B1CA4E0">
      <w:pPr>
        <w:adjustRightInd/>
        <w:jc w:val="center"/>
        <w:rPr>
          <w:rFonts w:hint="eastAsia" w:ascii="宋体" w:hAnsi="宋体" w:eastAsia="宋体" w:cs="宋体"/>
          <w:b/>
          <w:bCs/>
          <w:color w:val="auto"/>
          <w:spacing w:val="-20"/>
          <w:kern w:val="44"/>
          <w:sz w:val="48"/>
          <w:szCs w:val="48"/>
          <w:highlight w:val="none"/>
        </w:rPr>
      </w:pPr>
    </w:p>
    <w:p w14:paraId="3F61F893">
      <w:pPr>
        <w:adjustRightInd/>
        <w:rPr>
          <w:rFonts w:hint="eastAsia" w:ascii="宋体" w:hAnsi="宋体" w:eastAsia="宋体" w:cs="宋体"/>
          <w:b/>
          <w:bCs/>
          <w:color w:val="auto"/>
          <w:spacing w:val="-20"/>
          <w:kern w:val="44"/>
          <w:sz w:val="40"/>
          <w:szCs w:val="40"/>
          <w:highlight w:val="none"/>
        </w:rPr>
      </w:pPr>
    </w:p>
    <w:p w14:paraId="1293C82D">
      <w:pPr>
        <w:adjustRightInd/>
        <w:rPr>
          <w:rFonts w:hint="eastAsia" w:ascii="宋体" w:hAnsi="宋体" w:eastAsia="宋体" w:cs="宋体"/>
          <w:b/>
          <w:bCs/>
          <w:color w:val="auto"/>
          <w:spacing w:val="-20"/>
          <w:kern w:val="44"/>
          <w:sz w:val="40"/>
          <w:szCs w:val="40"/>
          <w:highlight w:val="none"/>
        </w:rPr>
      </w:pPr>
    </w:p>
    <w:p w14:paraId="6FE62519">
      <w:pPr>
        <w:adjustRightInd/>
        <w:rPr>
          <w:rFonts w:hint="eastAsia" w:ascii="宋体" w:hAnsi="宋体" w:eastAsia="宋体" w:cs="宋体"/>
          <w:b/>
          <w:bCs/>
          <w:color w:val="auto"/>
          <w:spacing w:val="-20"/>
          <w:kern w:val="44"/>
          <w:sz w:val="40"/>
          <w:szCs w:val="40"/>
          <w:highlight w:val="none"/>
        </w:rPr>
      </w:pPr>
    </w:p>
    <w:p w14:paraId="1871D519">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北海市卫生学校优质中职学校和优质中职专业建设（建设急救教育基地1）</w:t>
      </w:r>
      <w:r>
        <w:rPr>
          <w:rFonts w:hint="eastAsia" w:ascii="宋体" w:hAnsi="宋体" w:eastAsia="宋体" w:cs="宋体"/>
          <w:color w:val="auto"/>
          <w:sz w:val="32"/>
          <w:szCs w:val="32"/>
          <w:highlight w:val="none"/>
          <w:u w:val="single"/>
        </w:rPr>
        <w:t xml:space="preserve">  </w:t>
      </w:r>
    </w:p>
    <w:p w14:paraId="13D04A4D">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278368D0">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lang w:eastAsia="zh-CN"/>
        </w:rPr>
        <w:t>北海市卫生学校</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C8F00EB">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70E7B467">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    年     月     日</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none"/>
        </w:rPr>
        <w:t xml:space="preserve">         </w:t>
      </w:r>
      <w:r>
        <w:rPr>
          <w:rFonts w:hint="eastAsia" w:ascii="宋体" w:hAnsi="宋体" w:eastAsia="宋体" w:cs="宋体"/>
          <w:color w:val="auto"/>
          <w:sz w:val="32"/>
          <w:szCs w:val="32"/>
          <w:highlight w:val="none"/>
          <w:u w:val="single"/>
        </w:rPr>
        <w:t xml:space="preserve">             </w:t>
      </w:r>
    </w:p>
    <w:p w14:paraId="76CD88A7">
      <w:pPr>
        <w:adjustRightInd/>
        <w:rPr>
          <w:rFonts w:hint="eastAsia" w:ascii="宋体" w:hAnsi="宋体" w:eastAsia="宋体" w:cs="宋体"/>
          <w:color w:val="auto"/>
          <w:highlight w:val="none"/>
        </w:rPr>
      </w:pPr>
    </w:p>
    <w:p w14:paraId="1697F154">
      <w:pPr>
        <w:adjustRightInd/>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44"/>
          <w:szCs w:val="44"/>
          <w:highlight w:val="none"/>
        </w:rPr>
        <w:br w:type="page"/>
      </w:r>
      <w:bookmarkEnd w:id="420"/>
      <w:bookmarkStart w:id="421" w:name="_Toc22209"/>
      <w:r>
        <w:rPr>
          <w:rFonts w:hint="eastAsia" w:ascii="宋体" w:hAnsi="宋体" w:eastAsia="宋体" w:cs="宋体"/>
          <w:color w:val="auto"/>
          <w:sz w:val="21"/>
          <w:szCs w:val="21"/>
          <w:highlight w:val="none"/>
        </w:rPr>
        <w:t>第一节 政府采购合同协议书</w:t>
      </w:r>
      <w:bookmarkEnd w:id="421"/>
    </w:p>
    <w:p w14:paraId="5D32AC94">
      <w:pPr>
        <w:pStyle w:val="85"/>
        <w:outlineLvl w:val="9"/>
        <w:rPr>
          <w:rFonts w:hint="eastAsia" w:ascii="宋体" w:hAnsi="宋体" w:eastAsia="宋体" w:cs="宋体"/>
          <w:color w:val="auto"/>
          <w:sz w:val="21"/>
          <w:szCs w:val="21"/>
          <w:highlight w:val="none"/>
        </w:rPr>
      </w:pPr>
    </w:p>
    <w:p w14:paraId="3C5CFAC7">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北海市卫生学校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1B35263E">
      <w:pPr>
        <w:pStyle w:val="85"/>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乙方1（全称）：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479BD828">
      <w:pPr>
        <w:adjustRightInd/>
        <w:spacing w:line="400" w:lineRule="exact"/>
        <w:outlineLvl w:val="9"/>
        <w:rPr>
          <w:rFonts w:hint="eastAsia" w:ascii="宋体" w:hAnsi="宋体" w:eastAsia="宋体" w:cs="宋体"/>
          <w:color w:val="auto"/>
          <w:sz w:val="21"/>
          <w:szCs w:val="21"/>
          <w:highlight w:val="none"/>
        </w:rPr>
      </w:pPr>
    </w:p>
    <w:p w14:paraId="7E42AAFB">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1DC14F4">
      <w:pPr>
        <w:pStyle w:val="85"/>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1DA7ACE3">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北海市卫生学校优质中职学校和优质中职专业建设（建设急救教育基地1）</w:t>
      </w:r>
      <w:r>
        <w:rPr>
          <w:rFonts w:hint="eastAsia" w:ascii="宋体" w:hAnsi="宋体" w:eastAsia="宋体" w:cs="宋体"/>
          <w:color w:val="auto"/>
          <w:sz w:val="21"/>
          <w:szCs w:val="21"/>
          <w:highlight w:val="none"/>
          <w:u w:val="single"/>
        </w:rPr>
        <w:t xml:space="preserve">  </w:t>
      </w:r>
    </w:p>
    <w:p w14:paraId="6F19117D">
      <w:pPr>
        <w:pStyle w:val="85"/>
        <w:ind w:firstLine="945" w:firstLine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BHZC2025-G1-990267-GXKL</w:t>
      </w:r>
      <w:r>
        <w:rPr>
          <w:rFonts w:hint="eastAsia" w:ascii="宋体" w:hAnsi="宋体" w:eastAsia="宋体" w:cs="宋体"/>
          <w:color w:val="auto"/>
          <w:sz w:val="21"/>
          <w:szCs w:val="21"/>
          <w:highlight w:val="none"/>
          <w:u w:val="single"/>
        </w:rPr>
        <w:t xml:space="preserve">  </w:t>
      </w:r>
    </w:p>
    <w:p w14:paraId="58617AE1">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579149">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2866C2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17F44F">
      <w:pPr>
        <w:pStyle w:val="85"/>
        <w:ind w:firstLine="420" w:firstLineChars="200"/>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09F53469">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431435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分散采购</w:t>
      </w:r>
    </w:p>
    <w:p w14:paraId="18FDB6F4">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竞争性磋商</w:t>
      </w:r>
    </w:p>
    <w:p w14:paraId="4D6C4E09">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41AD803">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6C0ABB0F">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37718C9">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60FB3696">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43E7220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5456E51F">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E582ABA">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009513E6">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5E3CE083">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9A6D267">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1F1468C">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小微型企业  </w:t>
      </w:r>
    </w:p>
    <w:p w14:paraId="4E677D47">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p>
    <w:p w14:paraId="68C31FCC">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07895307">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F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部分由外国投资者投资</w:t>
      </w:r>
    </w:p>
    <w:p w14:paraId="6775D8EF">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3E0FC3CF">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7BC7F6E">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59D3B2">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75C495DF">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4FDF6E3B">
      <w:pPr>
        <w:pStyle w:val="85"/>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AEEF9B5">
      <w:pPr>
        <w:pStyle w:val="85"/>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677088D7">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51B20FE">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A7065D5">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6D6C7E55">
      <w:pPr>
        <w:pStyle w:val="85"/>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329DD7BC">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13DADD2E">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55CC36A8">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673A68E">
      <w:pPr>
        <w:pStyle w:val="85"/>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08B80433">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54AF51AC">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1B262C59">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不涉及</w:t>
      </w:r>
    </w:p>
    <w:p w14:paraId="56E4748D">
      <w:pPr>
        <w:pStyle w:val="85"/>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625522B3">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131106B4">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58A3BEF1">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4A84DA6F">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3822192">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FADA548">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0E5C2A19">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F0FE"/>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C1FDB64">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1F9C2A85">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5DE0C1FE">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合同签订后10个工作日内</w:t>
      </w:r>
      <w:r>
        <w:rPr>
          <w:rFonts w:hint="eastAsia" w:cs="宋体"/>
          <w:color w:val="auto"/>
          <w:sz w:val="21"/>
          <w:szCs w:val="21"/>
          <w:highlight w:val="none"/>
          <w:u w:val="single"/>
          <w:lang w:val="en-US" w:eastAsia="zh-CN"/>
        </w:rPr>
        <w:t>甲方向乙方</w:t>
      </w:r>
      <w:r>
        <w:rPr>
          <w:rFonts w:hint="eastAsia" w:ascii="宋体" w:hAnsi="宋体" w:eastAsia="宋体" w:cs="宋体"/>
          <w:color w:val="auto"/>
          <w:sz w:val="21"/>
          <w:szCs w:val="21"/>
          <w:highlight w:val="none"/>
          <w:u w:val="single"/>
        </w:rPr>
        <w:t>支付</w:t>
      </w:r>
      <w:r>
        <w:rPr>
          <w:rFonts w:hint="eastAsia" w:cs="宋体"/>
          <w:color w:val="auto"/>
          <w:sz w:val="21"/>
          <w:szCs w:val="21"/>
          <w:highlight w:val="none"/>
          <w:u w:val="single"/>
          <w:lang w:val="en-US" w:eastAsia="zh-CN"/>
        </w:rPr>
        <w:t>合同</w:t>
      </w:r>
      <w:r>
        <w:rPr>
          <w:rFonts w:hint="eastAsia" w:ascii="宋体" w:hAnsi="宋体" w:eastAsia="宋体" w:cs="宋体"/>
          <w:color w:val="auto"/>
          <w:sz w:val="21"/>
          <w:szCs w:val="21"/>
          <w:highlight w:val="none"/>
          <w:u w:val="single"/>
        </w:rPr>
        <w:t>金额的50%，剩余</w:t>
      </w:r>
      <w:r>
        <w:rPr>
          <w:rFonts w:hint="eastAsia" w:cs="宋体"/>
          <w:color w:val="auto"/>
          <w:sz w:val="21"/>
          <w:szCs w:val="21"/>
          <w:highlight w:val="none"/>
          <w:u w:val="single"/>
          <w:lang w:val="en-US" w:eastAsia="zh-CN"/>
        </w:rPr>
        <w:t>合同</w:t>
      </w:r>
      <w:r>
        <w:rPr>
          <w:rFonts w:hint="eastAsia" w:ascii="宋体" w:hAnsi="宋体" w:eastAsia="宋体" w:cs="宋体"/>
          <w:color w:val="auto"/>
          <w:sz w:val="21"/>
          <w:szCs w:val="21"/>
          <w:highlight w:val="none"/>
          <w:u w:val="single"/>
        </w:rPr>
        <w:t>金额的</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0%在验收合格后支付。（验收后，</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付款前，</w:t>
      </w:r>
      <w:r>
        <w:rPr>
          <w:rFonts w:hint="eastAsia"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应向</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开具等额有效的增值税发票。</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未收到发票的，有权不予以支付相应款项直至</w:t>
      </w:r>
      <w:r>
        <w:rPr>
          <w:rFonts w:hint="eastAsia" w:cs="宋体"/>
          <w:color w:val="auto"/>
          <w:sz w:val="21"/>
          <w:szCs w:val="21"/>
          <w:highlight w:val="none"/>
          <w:u w:val="single"/>
          <w:lang w:val="en-US" w:eastAsia="zh-CN"/>
        </w:rPr>
        <w:t>乙方</w:t>
      </w:r>
      <w:r>
        <w:rPr>
          <w:rFonts w:hint="eastAsia" w:ascii="宋体" w:hAnsi="宋体" w:eastAsia="宋体" w:cs="宋体"/>
          <w:color w:val="auto"/>
          <w:sz w:val="21"/>
          <w:szCs w:val="21"/>
          <w:highlight w:val="none"/>
          <w:u w:val="single"/>
        </w:rPr>
        <w:t xml:space="preserve">提供合格发票，并不承担延迟付款责任，发票认证通过是付款的必要前提之一）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签订合同后10个工作日内，</w:t>
      </w:r>
      <w:r>
        <w:rPr>
          <w:rFonts w:hint="eastAsia" w:ascii="宋体" w:hAnsi="宋体" w:eastAsia="宋体" w:cs="宋体"/>
          <w:color w:val="auto"/>
          <w:sz w:val="21"/>
          <w:szCs w:val="21"/>
          <w:highlight w:val="none"/>
          <w:u w:val="single"/>
          <w:lang w:val="en-US" w:eastAsia="zh-CN"/>
        </w:rPr>
        <w:t>甲方向乙方支付合同</w:t>
      </w:r>
      <w:r>
        <w:rPr>
          <w:rFonts w:hint="eastAsia" w:ascii="宋体" w:hAnsi="宋体" w:eastAsia="宋体" w:cs="宋体"/>
          <w:color w:val="auto"/>
          <w:sz w:val="21"/>
          <w:szCs w:val="21"/>
          <w:highlight w:val="none"/>
          <w:u w:val="single"/>
        </w:rPr>
        <w:t>总金额的</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4FC05FCE">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E3F8788">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37DCBF">
      <w:pPr>
        <w:pStyle w:val="85"/>
        <w:ind w:firstLineChars="200"/>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07FE3E4C">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宋体"/>
          <w:color w:val="auto"/>
          <w:sz w:val="21"/>
          <w:szCs w:val="21"/>
          <w:highlight w:val="none"/>
          <w:lang w:eastAsia="zh-CN"/>
        </w:rPr>
        <w:t>，按国家有关产品“三包”规定执行“三包”，自交付验收合格之日起质保期不少于12个月，项目需求中有特殊要求的，按项目需求执行。提供终身维护和保养服务，保修期内出现故障，需派出技术工程师到达现场处理故障，并承担一切费用，保修期外发生维修只收材料成本费</w:t>
      </w:r>
      <w:r>
        <w:rPr>
          <w:rFonts w:hint="eastAsia" w:ascii="宋体" w:hAnsi="宋体" w:eastAsia="宋体" w:cs="宋体"/>
          <w:color w:val="auto"/>
          <w:sz w:val="21"/>
          <w:szCs w:val="21"/>
          <w:highlight w:val="none"/>
        </w:rPr>
        <w:t>。</w:t>
      </w:r>
    </w:p>
    <w:p w14:paraId="586AF1D0">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32804C35">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20AC096">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p>
    <w:p w14:paraId="1C9EE82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p>
    <w:p w14:paraId="702C6D08">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p>
    <w:p w14:paraId="0D7A7BEC">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p>
    <w:p w14:paraId="17E6A1A5">
      <w:pPr>
        <w:pStyle w:val="85"/>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31CA6029">
      <w:pPr>
        <w:pStyle w:val="85"/>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3C7C964E">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委托第三方组织</w:t>
      </w:r>
    </w:p>
    <w:p w14:paraId="56F26DEE">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2AA5D8C3">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B897B64">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94E01E">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B096CF8">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A8DE992">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0118AD">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7159BDF">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6651568">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71F9AA90">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eastAsia="宋体" w:cs="宋体"/>
          <w:bCs/>
          <w:color w:val="auto"/>
          <w:sz w:val="21"/>
          <w:szCs w:val="21"/>
          <w:highlight w:val="none"/>
          <w:u w:val="single"/>
          <w:lang w:val="en-US" w:eastAsia="zh-CN"/>
        </w:rPr>
        <w:t>5个工作</w:t>
      </w:r>
      <w:r>
        <w:rPr>
          <w:rFonts w:hint="eastAsia" w:ascii="宋体" w:hAnsi="宋体" w:eastAsia="宋体" w:cs="宋体"/>
          <w:bCs/>
          <w:color w:val="auto"/>
          <w:sz w:val="21"/>
          <w:szCs w:val="21"/>
          <w:highlight w:val="none"/>
          <w:u w:val="single"/>
        </w:rPr>
        <w:t xml:space="preserve">日内组织验收） </w:t>
      </w:r>
    </w:p>
    <w:p w14:paraId="42355841">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一次性验收         </w:t>
      </w:r>
    </w:p>
    <w:p w14:paraId="228D4A1F">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3F17AF70">
      <w:pPr>
        <w:pStyle w:val="85"/>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先进行名称、数量、品牌、型号的初步验收，在对设备的技术性能进行验收。</w:t>
      </w:r>
      <w:r>
        <w:rPr>
          <w:rFonts w:hint="eastAsia" w:ascii="宋体" w:hAnsi="宋体" w:eastAsia="宋体" w:cs="宋体"/>
          <w:bCs/>
          <w:color w:val="auto"/>
          <w:sz w:val="21"/>
          <w:szCs w:val="21"/>
          <w:highlight w:val="none"/>
          <w:u w:val="single"/>
        </w:rPr>
        <w:t xml:space="preserve">  </w:t>
      </w:r>
    </w:p>
    <w:p w14:paraId="6F883B8C">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35ED5377">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4B5319CB">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8B43168">
      <w:pPr>
        <w:pStyle w:val="85"/>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70792FA">
      <w:pPr>
        <w:pStyle w:val="85"/>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0E85B771">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489A36D">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03B651B">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31BCA5E3">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7A73EF3">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30B66FBD">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6FC0A5F7">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248C92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4F41A1CC">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4E32D5C">
      <w:pPr>
        <w:pStyle w:val="85"/>
        <w:ind w:firstLineChars="200"/>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cs="宋体"/>
          <w:b/>
          <w:color w:val="auto"/>
          <w:sz w:val="21"/>
          <w:szCs w:val="21"/>
          <w:highlight w:val="none"/>
          <w:lang w:val="en-US" w:eastAsia="zh-CN"/>
        </w:rPr>
        <w:t>售后技术服务要求</w:t>
      </w:r>
    </w:p>
    <w:p w14:paraId="06E65C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免费送货上门、免费为用户安装、调试仪器；售后服务人员现场免费培训操作人员到能熟练操作（保证使用人员正常操作产品的各种功能；提供培训时长、内容等说明）。</w:t>
      </w:r>
    </w:p>
    <w:p w14:paraId="3ECDCD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售后服务：</w:t>
      </w:r>
    </w:p>
    <w:p w14:paraId="1E29B9B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val="en-US" w:eastAsia="zh-CN"/>
        </w:rPr>
        <w:t>项目在安装调试过程中，</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应派专业技术人员对施工进行同步指导，并负责全套机组的调试运行，达到验收要求。负责派合格的工程师到现场进行设备安装、调试，达到正常运作要求，保证机器正常使用。在保质期内，设备出现问题或</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有服务需求的，</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小时内响应，应在三个工作日内到达仪器现场；一般问题应在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小时内解决，一周内未维修好的重大问题或其它无法迅速解决的问题须提供性能相同或更优的备用机给</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使用，并在提供备用机一周内解决或提出明确解决方案。质保期内免费提供维护和保养服务并提供技术援助电话和售后服务电话，维修、换货中所有产生的一切费用由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承担。质保期外要求终身维护，零配件只收取成本费。</w:t>
      </w:r>
    </w:p>
    <w:p w14:paraId="5E8302D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 xml:space="preserve">  （3）</w:t>
      </w:r>
      <w:r>
        <w:rPr>
          <w:rFonts w:hint="eastAsia" w:ascii="宋体" w:hAnsi="宋体" w:eastAsia="宋体" w:cs="宋体"/>
          <w:color w:val="auto"/>
          <w:sz w:val="21"/>
          <w:szCs w:val="21"/>
          <w:highlight w:val="none"/>
          <w:u w:val="none"/>
          <w:lang w:val="en-US" w:eastAsia="zh-CN"/>
        </w:rPr>
        <w:t>免费开放该设备所有数字接口，并配合接入医院信息系统，接入信息系统端口费用由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支付。如有需要时</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免费提供医院信息系统对接的接口转换装置。</w:t>
      </w:r>
    </w:p>
    <w:p w14:paraId="79C1E34C">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设备生产时间：乙方提供不符合本合同规定的货物，或提供货物生产日期自合同签订之日超过六个月(国产）的库存货物，</w:t>
      </w:r>
      <w:r>
        <w:rPr>
          <w:rFonts w:hint="eastAsia" w:ascii="宋体" w:hAnsi="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lang w:val="en-US" w:eastAsia="zh-CN"/>
        </w:rPr>
        <w:t>有权拒绝接受。</w:t>
      </w:r>
    </w:p>
    <w:p w14:paraId="076AC4D7">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承诺提供保修服务须原厂保修。</w:t>
      </w:r>
    </w:p>
    <w:p w14:paraId="41964BCA">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（6）乙方</w:t>
      </w:r>
      <w:r>
        <w:rPr>
          <w:rFonts w:hint="eastAsia" w:ascii="宋体" w:hAnsi="宋体" w:eastAsia="宋体" w:cs="宋体"/>
          <w:color w:val="auto"/>
          <w:sz w:val="21"/>
          <w:szCs w:val="21"/>
          <w:highlight w:val="none"/>
          <w:u w:val="none"/>
          <w:lang w:val="en-US" w:eastAsia="zh-CN"/>
        </w:rPr>
        <w:t>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w:t>
      </w:r>
    </w:p>
    <w:p w14:paraId="370D5345">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val="en-US" w:eastAsia="zh-CN"/>
        </w:rPr>
        <w:t>提供中文操作手册、维护手册、维修手册、软件备份、故障代码表、备件清单、零部件、维修密码等维护维修必需的材料和信息。</w:t>
      </w:r>
    </w:p>
    <w:p w14:paraId="5538F2E3">
      <w:pPr>
        <w:keepNext w:val="0"/>
        <w:keepLines w:val="0"/>
        <w:pageBreakBefore w:val="0"/>
        <w:widowControl w:val="0"/>
        <w:kinsoku/>
        <w:wordWrap w:val="0"/>
        <w:overflowPunct/>
        <w:topLinePunct w:val="0"/>
        <w:autoSpaceDE/>
        <w:autoSpaceDN/>
        <w:bidi w:val="0"/>
        <w:adjustRightInd/>
        <w:snapToGrid/>
        <w:spacing w:line="400" w:lineRule="exact"/>
        <w:ind w:firstLine="210" w:firstLineChars="1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售后服务承诺书中根据采购方的实际情况对质量保证及售后服务方案做出详细服务承诺、提供详细的保养计划。</w:t>
      </w:r>
    </w:p>
    <w:p w14:paraId="4CAB868A">
      <w:pPr>
        <w:keepNext w:val="0"/>
        <w:keepLines w:val="0"/>
        <w:pageBreakBefore w:val="0"/>
        <w:widowControl w:val="0"/>
        <w:kinsoku/>
        <w:wordWrap w:val="0"/>
        <w:overflowPunct/>
        <w:topLinePunct w:val="0"/>
        <w:autoSpaceDE/>
        <w:autoSpaceDN/>
        <w:bidi w:val="0"/>
        <w:snapToGrid/>
        <w:ind w:firstLine="210" w:firstLineChars="100"/>
        <w:textAlignment w:val="auto"/>
        <w:rPr>
          <w:color w:val="auto"/>
          <w:highlight w:val="none"/>
        </w:rPr>
      </w:pPr>
      <w:r>
        <w:rPr>
          <w:rFonts w:hint="eastAsia" w:ascii="宋体" w:hAnsi="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val="en-US" w:eastAsia="zh-CN"/>
        </w:rPr>
        <w:t>在保质期满后，</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应提供备件和维修服务。</w:t>
      </w:r>
    </w:p>
    <w:p w14:paraId="7FC76B9E">
      <w:pPr>
        <w:pStyle w:val="85"/>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6B299F08">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2B604FE">
      <w:pPr>
        <w:pStyle w:val="85"/>
        <w:ind w:firstLineChars="200"/>
        <w:outlineLvl w:val="9"/>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54C35266">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p w14:paraId="287EE00A">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A13065">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91202B4">
      <w:pPr>
        <w:pStyle w:val="85"/>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2FB898D6">
      <w:pPr>
        <w:pStyle w:val="85"/>
        <w:outlineLvl w:val="9"/>
        <w:rPr>
          <w:rFonts w:hint="eastAsia" w:ascii="宋体" w:hAnsi="宋体" w:eastAsia="宋体" w:cs="宋体"/>
          <w:color w:val="auto"/>
          <w:highlight w:val="none"/>
        </w:rPr>
      </w:pPr>
    </w:p>
    <w:p w14:paraId="2DDD9850">
      <w:pPr>
        <w:pStyle w:val="85"/>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51751F3">
      <w:pPr>
        <w:adjustRightInd/>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FFBBC1">
      <w:pPr>
        <w:adjustRightInd/>
        <w:ind w:firstLine="420" w:firstLineChars="200"/>
        <w:outlineLvl w:val="9"/>
        <w:rPr>
          <w:rFonts w:hint="eastAsia" w:ascii="宋体" w:hAnsi="宋体" w:eastAsia="宋体" w:cs="宋体"/>
          <w:color w:val="auto"/>
          <w:szCs w:val="21"/>
          <w:highlight w:val="none"/>
        </w:rPr>
      </w:pPr>
    </w:p>
    <w:tbl>
      <w:tblPr>
        <w:tblStyle w:val="6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auto"/>
                <w:spacing w:val="20"/>
                <w:sz w:val="21"/>
                <w:szCs w:val="21"/>
                <w:highlight w:val="none"/>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6223B71">
            <w:pPr>
              <w:snapToGrid w:val="0"/>
              <w:spacing w:line="360" w:lineRule="auto"/>
              <w:ind w:firstLine="100" w:firstLineChars="48"/>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E585F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auto"/>
                <w:sz w:val="21"/>
                <w:szCs w:val="21"/>
                <w:highlight w:val="none"/>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auto"/>
                <w:spacing w:val="20"/>
                <w:sz w:val="21"/>
                <w:szCs w:val="21"/>
                <w:highlight w:val="none"/>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auto"/>
                <w:spacing w:val="20"/>
                <w:sz w:val="21"/>
                <w:szCs w:val="21"/>
                <w:highlight w:val="none"/>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auto"/>
                <w:spacing w:val="20"/>
                <w:sz w:val="21"/>
                <w:szCs w:val="21"/>
                <w:highlight w:val="none"/>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auto"/>
                <w:spacing w:val="20"/>
                <w:sz w:val="21"/>
                <w:szCs w:val="21"/>
                <w:highlight w:val="none"/>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auto"/>
                <w:spacing w:val="20"/>
                <w:sz w:val="21"/>
                <w:szCs w:val="21"/>
                <w:highlight w:val="none"/>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auto"/>
                <w:spacing w:val="20"/>
                <w:sz w:val="21"/>
                <w:szCs w:val="21"/>
                <w:highlight w:val="none"/>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auto"/>
                <w:spacing w:val="20"/>
                <w:sz w:val="21"/>
                <w:szCs w:val="21"/>
                <w:highlight w:val="none"/>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auto"/>
                <w:spacing w:val="20"/>
                <w:sz w:val="21"/>
                <w:szCs w:val="21"/>
                <w:highlight w:val="none"/>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u w:val="single"/>
        </w:rPr>
        <w:br w:type="page"/>
      </w:r>
      <w:bookmarkStart w:id="422" w:name="_Toc27624"/>
      <w:r>
        <w:rPr>
          <w:rFonts w:hint="eastAsia" w:ascii="宋体" w:hAnsi="宋体" w:eastAsia="宋体" w:cs="宋体"/>
          <w:color w:val="auto"/>
          <w:sz w:val="21"/>
          <w:szCs w:val="21"/>
          <w:highlight w:val="none"/>
        </w:rPr>
        <w:t>第二节 政府采购合同通用条款</w:t>
      </w:r>
      <w:bookmarkEnd w:id="422"/>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（以下称乙方）是指参加政府采购活动并且中标（成交），向采购人提供合同约定的货物及其相关服务的法人、非法人组织或者自然人。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5E51090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B54197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19FD3520">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431031F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1155C8D3">
      <w:pPr>
        <w:snapToGrid w:val="0"/>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423"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23"/>
      <w:r>
        <w:rPr>
          <w:rFonts w:hint="eastAsia" w:ascii="宋体" w:hAnsi="宋体" w:eastAsia="宋体" w:cs="宋体"/>
          <w:color w:val="auto"/>
          <w:sz w:val="21"/>
          <w:szCs w:val="21"/>
          <w:highlight w:val="none"/>
        </w:rPr>
        <w:t>。</w:t>
      </w:r>
    </w:p>
    <w:p w14:paraId="53D59D12">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8112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5F398F53">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8BC52F2">
      <w:pPr>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77A283A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178337A">
      <w:pPr>
        <w:autoSpaceDE w:val="0"/>
        <w:autoSpaceDN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（5）依照法律、行政法规的规定或者按照</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4369A12C">
      <w:pPr>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38F998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7D45E07">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43743FA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E3EAA77">
      <w:pPr>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6FA5CBEA">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 选择仲裁的，应在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中明确仲裁机构及仲裁地；通过诉讼方式解决的，可以在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4587E8FF">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0007D8B9">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22.3本合同一方给另一方的通知均应采用书面形式，传真或快递送到本合同中规定的对方的地址和办理签收手续。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2759DD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D9DE3A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424" w:name="_Toc20313"/>
      <w:r>
        <w:rPr>
          <w:rFonts w:hint="eastAsia" w:ascii="宋体" w:hAnsi="宋体" w:eastAsia="宋体" w:cs="宋体"/>
          <w:color w:val="auto"/>
          <w:sz w:val="21"/>
          <w:szCs w:val="21"/>
          <w:highlight w:val="none"/>
        </w:rPr>
        <w:br w:type="page"/>
      </w:r>
    </w:p>
    <w:p w14:paraId="13EE0F7F">
      <w:pPr>
        <w:keepNext/>
        <w:keepLines/>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 政府采购合同专用条款</w:t>
      </w:r>
      <w:bookmarkEnd w:id="424"/>
    </w:p>
    <w:tbl>
      <w:tblPr>
        <w:tblStyle w:val="65"/>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118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EB2B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B010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BFA891">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E098AE">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甲方先履行</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C123A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eastAsia" w:ascii="宋体" w:hAnsi="宋体" w:eastAsia="宋体" w:cs="宋体"/>
                <w:color w:val="auto"/>
                <w:sz w:val="21"/>
                <w:szCs w:val="21"/>
                <w:highlight w:val="none"/>
                <w:lang w:val="en-US" w:eastAsia="zh-CN"/>
              </w:rPr>
            </w:pP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554A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48D5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1B74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EE6F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457B36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auto"/>
                <w:sz w:val="21"/>
                <w:szCs w:val="21"/>
                <w:highlight w:val="none"/>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69C307E">
            <w:pPr>
              <w:widowControl/>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auto"/>
                <w:sz w:val="21"/>
                <w:szCs w:val="21"/>
                <w:highlight w:val="none"/>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4BD2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9F0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AD54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2D1E6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auto"/>
                <w:sz w:val="21"/>
                <w:szCs w:val="21"/>
                <w:highlight w:val="none"/>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B9DA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auto"/>
                <w:sz w:val="21"/>
                <w:szCs w:val="21"/>
                <w:highlight w:val="none"/>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F900B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5"/>
              <w:adjustRightInd w:val="0"/>
              <w:snapToGrid w:val="0"/>
              <w:spacing w:line="400" w:lineRule="exact"/>
              <w:ind w:firstLine="420" w:firstLineChars="200"/>
              <w:rPr>
                <w:rFonts w:hint="eastAsia" w:ascii="宋体" w:hAnsi="宋体" w:eastAsia="宋体" w:cs="宋体"/>
                <w:color w:val="auto"/>
                <w:sz w:val="21"/>
                <w:szCs w:val="21"/>
                <w:highlight w:val="none"/>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32F7C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修理、重作、更换相关具体规定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免费修理和更换零部件。对达不到技术要求者，根据实际情况，经双方协商，可按以下办法处理：</w:t>
            </w:r>
          </w:p>
          <w:p w14:paraId="2A57034D">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41AF5A65">
            <w:pPr>
              <w:pStyle w:val="35"/>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DE8293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ED13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天对方有权解除合同，违约方承担因此给对方造成经济损失；甲方延期付货款的，乙方有权每日向甲方索赔延期货款额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滞纳金，但滞纳金累计不得超过延期货款额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F6278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C96D5A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4.乙方提供的货物在质量保证期内，因设计、工艺或材料的缺陷和其它质量原因造成的问题，由乙方负责，费用从设备尾款中扣除，不足另补。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5.其它违约行为按违约货款额5%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451E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lang w:val="en-US" w:eastAsia="zh-CN"/>
              </w:rPr>
              <w:t>2</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1147692F">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32FE3EBD">
            <w:pPr>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甲方所在地</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F3C33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auto"/>
                <w:sz w:val="21"/>
                <w:szCs w:val="21"/>
                <w:highlight w:val="none"/>
              </w:rPr>
            </w:pPr>
          </w:p>
        </w:tc>
      </w:tr>
    </w:tbl>
    <w:p w14:paraId="2BE5365F">
      <w:pPr>
        <w:adjustRightInd/>
        <w:rPr>
          <w:rFonts w:hint="eastAsia" w:ascii="宋体" w:hAnsi="宋体" w:eastAsia="宋体" w:cs="宋体"/>
          <w:color w:val="auto"/>
          <w:highlight w:val="none"/>
        </w:rPr>
      </w:pP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5" w:name="_Toc8906"/>
      <w:bookmarkStart w:id="426" w:name="_Toc176185126"/>
      <w:r>
        <w:rPr>
          <w:rFonts w:hint="eastAsia" w:ascii="宋体" w:hAnsi="宋体" w:eastAsia="宋体" w:cs="宋体"/>
          <w:b/>
          <w:color w:val="auto"/>
          <w:sz w:val="36"/>
          <w:szCs w:val="20"/>
          <w:highlight w:val="none"/>
        </w:rPr>
        <w:t>第六部分</w:t>
      </w:r>
      <w:bookmarkEnd w:id="416"/>
      <w:r>
        <w:rPr>
          <w:rFonts w:hint="eastAsia" w:ascii="宋体" w:hAnsi="宋体" w:eastAsia="宋体" w:cs="宋体"/>
          <w:b/>
          <w:color w:val="auto"/>
          <w:sz w:val="36"/>
          <w:szCs w:val="20"/>
          <w:highlight w:val="none"/>
        </w:rPr>
        <w:t xml:space="preserve"> </w:t>
      </w:r>
      <w:bookmarkEnd w:id="417"/>
      <w:r>
        <w:rPr>
          <w:rFonts w:hint="eastAsia" w:ascii="宋体" w:hAnsi="宋体" w:eastAsia="宋体" w:cs="宋体"/>
          <w:b/>
          <w:color w:val="auto"/>
          <w:sz w:val="36"/>
          <w:szCs w:val="20"/>
          <w:highlight w:val="none"/>
        </w:rPr>
        <w:t xml:space="preserve"> 应提交的有关格式范例</w:t>
      </w:r>
      <w:bookmarkEnd w:id="425"/>
      <w:bookmarkEnd w:id="426"/>
    </w:p>
    <w:p w14:paraId="1CC988AE">
      <w:pPr>
        <w:pStyle w:val="85"/>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5"/>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2、法人或者其他组织的具有营业执照或者事业单位法人证书或者执业许可证复印件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64"/>
        <w:rPr>
          <w:rFonts w:hint="eastAsia" w:ascii="宋体" w:hAnsi="宋体" w:eastAsia="宋体" w:cs="宋体"/>
          <w:color w:val="auto"/>
          <w:highlight w:val="none"/>
        </w:rPr>
      </w:pPr>
    </w:p>
    <w:tbl>
      <w:tblPr>
        <w:tblStyle w:val="6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63"/>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5"/>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0"/>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63"/>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63"/>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（4）法定代表人(负责人)授权委托书和委托代理人身份证复印件…………（页码）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5"/>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关于“投标费用”、“合同分包”、“合同转包”、“履约保证金”的实质性要求，并承诺严格按照招标文件要求履行。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自有的知识产权，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5"/>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5"/>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5"/>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63"/>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8"/>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8"/>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8"/>
        <w:spacing w:line="360" w:lineRule="exact"/>
        <w:ind w:firstLine="422"/>
        <w:jc w:val="both"/>
        <w:rPr>
          <w:rFonts w:hint="eastAsia" w:ascii="宋体" w:hAnsi="宋体" w:eastAsia="宋体" w:cs="宋体"/>
          <w:color w:val="auto"/>
          <w:highlight w:val="none"/>
        </w:rPr>
      </w:pPr>
      <w:r>
        <w:rPr>
          <w:rFonts w:hint="eastAsia" w:ascii="宋体" w:hAnsi="宋体" w:eastAsia="宋体" w:cs="宋体"/>
          <w:bCs/>
          <w:color w:val="auto"/>
          <w:kern w:val="2"/>
          <w:sz w:val="21"/>
          <w:szCs w:val="24"/>
          <w:highlight w:val="none"/>
          <w:lang w:val="en-US" w:eastAsia="zh-CN" w:bidi="ar-SA"/>
        </w:rPr>
        <w:t>4、企业法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5、政府采购业务联系人：姓名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投标人名称(电子公章)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5"/>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1"/>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3E679BFC">
      <w:pPr>
        <w:spacing w:line="360" w:lineRule="auto"/>
        <w:jc w:val="both"/>
        <w:rPr>
          <w:rFonts w:hint="default" w:ascii="宋体" w:hAnsi="宋体" w:eastAsia="宋体" w:cs="宋体"/>
          <w:b/>
          <w:color w:val="auto"/>
          <w:spacing w:val="6"/>
          <w:sz w:val="28"/>
          <w:szCs w:val="28"/>
          <w:highlight w:val="none"/>
          <w:lang w:val="en-US" w:eastAsia="zh-CN"/>
        </w:rPr>
      </w:pPr>
      <w:r>
        <w:rPr>
          <w:rFonts w:hint="eastAsia" w:ascii="宋体" w:hAnsi="宋体" w:cs="宋体"/>
          <w:b/>
          <w:color w:val="auto"/>
          <w:spacing w:val="6"/>
          <w:sz w:val="28"/>
          <w:szCs w:val="28"/>
          <w:highlight w:val="none"/>
          <w:lang w:val="en-US" w:eastAsia="zh-CN"/>
        </w:rPr>
        <w:t>以下格式适用于1分标</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cs="宋体"/>
          <w:b/>
          <w:color w:val="auto"/>
          <w:spacing w:val="6"/>
          <w:sz w:val="28"/>
          <w:szCs w:val="28"/>
          <w:highlight w:val="none"/>
          <w:lang w:val="en-US" w:eastAsia="zh-CN"/>
        </w:rPr>
        <w:t>货物</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2018470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1C91302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4437B62">
      <w:pPr>
        <w:spacing w:line="360" w:lineRule="auto"/>
        <w:jc w:val="left"/>
        <w:rPr>
          <w:rFonts w:hint="eastAsia" w:ascii="宋体" w:hAnsi="宋体" w:cs="宋体"/>
          <w:b/>
          <w:color w:val="auto"/>
          <w:spacing w:val="6"/>
          <w:sz w:val="28"/>
          <w:szCs w:val="28"/>
          <w:highlight w:val="none"/>
          <w:lang w:val="en-US" w:eastAsia="zh-CN"/>
        </w:rPr>
      </w:pPr>
      <w:r>
        <w:rPr>
          <w:rFonts w:hint="eastAsia" w:ascii="宋体" w:hAnsi="宋体" w:cs="宋体"/>
          <w:b/>
          <w:color w:val="auto"/>
          <w:spacing w:val="6"/>
          <w:sz w:val="28"/>
          <w:szCs w:val="28"/>
          <w:highlight w:val="none"/>
          <w:lang w:val="en-US" w:eastAsia="zh-CN"/>
        </w:rPr>
        <w:t>以下格式适用于2分标</w:t>
      </w:r>
    </w:p>
    <w:p w14:paraId="39492F1F">
      <w:pPr>
        <w:spacing w:line="360" w:lineRule="auto"/>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中小企业声明函（服务）</w:t>
      </w:r>
    </w:p>
    <w:p w14:paraId="16B9A3D0">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5D067B2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 xml:space="preserve"> ；承接企业为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57C5F8A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 xml:space="preserve">（采购文件中明确的所属行业） </w:t>
      </w:r>
      <w:r>
        <w:rPr>
          <w:rFonts w:hint="eastAsia" w:ascii="宋体" w:hAnsi="宋体" w:eastAsia="宋体" w:cs="宋体"/>
          <w:color w:val="auto"/>
          <w:sz w:val="24"/>
          <w:highlight w:val="none"/>
        </w:rPr>
        <w:t xml:space="preserve">；承接企业为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63B1818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81E627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DA969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E920905">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7CAF74DC">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F55FFBF">
      <w:pPr>
        <w:spacing w:line="360" w:lineRule="auto"/>
        <w:ind w:right="420"/>
        <w:rPr>
          <w:rFonts w:hint="eastAsia" w:ascii="宋体" w:hAnsi="宋体" w:eastAsia="宋体" w:cs="宋体"/>
          <w:color w:val="auto"/>
          <w:sz w:val="24"/>
          <w:highlight w:val="none"/>
        </w:rPr>
      </w:pPr>
    </w:p>
    <w:p w14:paraId="03A1AD7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w:t>
      </w:r>
    </w:p>
    <w:p w14:paraId="416E1EF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0656F525">
      <w:pPr>
        <w:spacing w:line="360" w:lineRule="auto"/>
        <w:jc w:val="both"/>
        <w:rPr>
          <w:rFonts w:hint="default" w:ascii="宋体" w:hAnsi="宋体" w:cs="宋体"/>
          <w:b/>
          <w:color w:val="auto"/>
          <w:spacing w:val="6"/>
          <w:sz w:val="28"/>
          <w:szCs w:val="28"/>
          <w:highlight w:val="none"/>
          <w:lang w:val="en-US" w:eastAsia="zh-CN"/>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F7A1EA0">
      <w:pPr>
        <w:widowControl/>
        <w:spacing w:before="120" w:beforeLines="50" w:after="120" w:afterLines="50"/>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1.大型、中型和小型企业须同时满足所列指标的下限，否则下划一档；微型企业只须满足所列指标中的一项即可。</w:t>
      </w:r>
    </w:p>
    <w:p w14:paraId="268F44F4">
      <w:pPr>
        <w:pStyle w:val="35"/>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5"/>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5"/>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5"/>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5"/>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5"/>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5"/>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5"/>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5"/>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5"/>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5"/>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5"/>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5"/>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5"/>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5"/>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5"/>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5"/>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5"/>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5"/>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5"/>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5"/>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授权代表（签字或电子签名）：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5"/>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5"/>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5"/>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3"/>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63"/>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（投标人名称）提交投标文件(其中资格文件一份；资信及商务文件、技术文件、投标报价文件一份)。</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5"/>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63"/>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63"/>
        <w:numPr>
          <w:ilvl w:val="0"/>
          <w:numId w:val="4"/>
        </w:numPr>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投标报价明细表</w:t>
      </w:r>
    </w:p>
    <w:p w14:paraId="6587F263">
      <w:pPr>
        <w:pStyle w:val="63"/>
        <w:numPr>
          <w:ilvl w:val="0"/>
          <w:numId w:val="0"/>
        </w:numPr>
        <w:ind w:leftChars="0"/>
        <w:rPr>
          <w:rFonts w:hint="default" w:ascii="宋体" w:hAnsi="宋体" w:eastAsia="宋体" w:cs="宋体"/>
          <w:b/>
          <w:snapToGrid/>
          <w:color w:val="auto"/>
          <w:kern w:val="0"/>
          <w:sz w:val="32"/>
          <w:szCs w:val="32"/>
          <w:highlight w:val="none"/>
          <w:lang w:val="en-US" w:eastAsia="zh-CN" w:bidi="ar-SA"/>
        </w:rPr>
      </w:pPr>
      <w:r>
        <w:rPr>
          <w:rFonts w:hint="eastAsia" w:hAnsi="宋体" w:cs="宋体"/>
          <w:b/>
          <w:snapToGrid/>
          <w:color w:val="auto"/>
          <w:kern w:val="0"/>
          <w:sz w:val="32"/>
          <w:szCs w:val="32"/>
          <w:highlight w:val="none"/>
          <w:lang w:val="en-US" w:eastAsia="zh-CN" w:bidi="ar-SA"/>
        </w:rPr>
        <w:t>以下投标报价明细表适用于1分标</w:t>
      </w:r>
    </w:p>
    <w:p w14:paraId="2A9CE29E">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主机和标准附件</w:t>
            </w: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专用耗材（如有）</w:t>
            </w: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776EA293">
      <w:pP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3842FC44">
      <w:pPr>
        <w:pStyle w:val="63"/>
        <w:numPr>
          <w:ilvl w:val="0"/>
          <w:numId w:val="0"/>
        </w:numPr>
        <w:ind w:leftChars="0"/>
        <w:rPr>
          <w:rFonts w:hint="default" w:ascii="宋体" w:hAnsi="宋体" w:eastAsia="宋体" w:cs="宋体"/>
          <w:b/>
          <w:snapToGrid/>
          <w:color w:val="auto"/>
          <w:kern w:val="0"/>
          <w:sz w:val="32"/>
          <w:szCs w:val="32"/>
          <w:highlight w:val="none"/>
          <w:lang w:val="en-US" w:eastAsia="zh-CN" w:bidi="ar-SA"/>
        </w:rPr>
      </w:pPr>
      <w:r>
        <w:rPr>
          <w:rFonts w:hint="eastAsia" w:hAnsi="宋体" w:cs="宋体"/>
          <w:b/>
          <w:snapToGrid/>
          <w:color w:val="auto"/>
          <w:kern w:val="0"/>
          <w:sz w:val="32"/>
          <w:szCs w:val="32"/>
          <w:highlight w:val="none"/>
          <w:lang w:val="en-US" w:eastAsia="zh-CN" w:bidi="ar-SA"/>
        </w:rPr>
        <w:t>以下投标报价明细表适用于2分标</w:t>
      </w:r>
    </w:p>
    <w:p w14:paraId="7B103CF3">
      <w:pPr>
        <w:pStyle w:val="35"/>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0340059A">
      <w:pPr>
        <w:pStyle w:val="35"/>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264"/>
        <w:gridCol w:w="1594"/>
        <w:gridCol w:w="1556"/>
        <w:gridCol w:w="1843"/>
      </w:tblGrid>
      <w:tr w14:paraId="18C8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03F4658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5CB3D9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3D968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264" w:type="dxa"/>
            <w:noWrap w:val="0"/>
            <w:vAlign w:val="center"/>
          </w:tcPr>
          <w:p w14:paraId="6A7F0F3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594" w:type="dxa"/>
            <w:noWrap w:val="0"/>
            <w:vAlign w:val="center"/>
          </w:tcPr>
          <w:p w14:paraId="3A47F1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556" w:type="dxa"/>
            <w:noWrap w:val="0"/>
            <w:vAlign w:val="center"/>
          </w:tcPr>
          <w:p w14:paraId="18F406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4A1CC8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843" w:type="dxa"/>
            <w:noWrap w:val="0"/>
            <w:vAlign w:val="center"/>
          </w:tcPr>
          <w:p w14:paraId="1ABEBD2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672F08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563C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61B97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4A4AB448">
            <w:pPr>
              <w:adjustRightInd w:val="0"/>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主机和标准附件</w:t>
            </w:r>
          </w:p>
        </w:tc>
        <w:tc>
          <w:tcPr>
            <w:tcW w:w="1264" w:type="dxa"/>
            <w:noWrap w:val="0"/>
            <w:vAlign w:val="top"/>
          </w:tcPr>
          <w:p w14:paraId="0F5BFC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94" w:type="dxa"/>
            <w:noWrap w:val="0"/>
            <w:vAlign w:val="top"/>
          </w:tcPr>
          <w:p w14:paraId="34FDAC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56" w:type="dxa"/>
            <w:noWrap w:val="0"/>
            <w:vAlign w:val="center"/>
          </w:tcPr>
          <w:p w14:paraId="657EF1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843" w:type="dxa"/>
            <w:noWrap w:val="0"/>
            <w:vAlign w:val="center"/>
          </w:tcPr>
          <w:p w14:paraId="12813F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58B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161919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68A5EE14">
            <w:pPr>
              <w:adjustRightInd w:val="0"/>
              <w:snapToGrid w:val="0"/>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专用耗材（如有）</w:t>
            </w:r>
          </w:p>
        </w:tc>
        <w:tc>
          <w:tcPr>
            <w:tcW w:w="1264" w:type="dxa"/>
            <w:noWrap w:val="0"/>
            <w:vAlign w:val="top"/>
          </w:tcPr>
          <w:p w14:paraId="6FECB78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94" w:type="dxa"/>
            <w:noWrap w:val="0"/>
            <w:vAlign w:val="top"/>
          </w:tcPr>
          <w:p w14:paraId="1B7C7B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56" w:type="dxa"/>
            <w:noWrap w:val="0"/>
            <w:vAlign w:val="center"/>
          </w:tcPr>
          <w:p w14:paraId="7389D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843" w:type="dxa"/>
            <w:noWrap w:val="0"/>
            <w:vAlign w:val="center"/>
          </w:tcPr>
          <w:p w14:paraId="1E6C92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30B2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CB9B8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5308E5CD">
            <w:pPr>
              <w:adjustRightInd w:val="0"/>
              <w:snapToGrid w:val="0"/>
              <w:spacing w:line="400" w:lineRule="exact"/>
              <w:jc w:val="center"/>
              <w:rPr>
                <w:rFonts w:hint="eastAsia" w:ascii="宋体" w:hAnsi="宋体" w:eastAsia="宋体" w:cs="宋体"/>
                <w:color w:val="auto"/>
                <w:szCs w:val="21"/>
                <w:highlight w:val="none"/>
              </w:rPr>
            </w:pPr>
          </w:p>
        </w:tc>
        <w:tc>
          <w:tcPr>
            <w:tcW w:w="1264" w:type="dxa"/>
            <w:noWrap w:val="0"/>
            <w:vAlign w:val="top"/>
          </w:tcPr>
          <w:p w14:paraId="662AC7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94" w:type="dxa"/>
            <w:noWrap w:val="0"/>
            <w:vAlign w:val="top"/>
          </w:tcPr>
          <w:p w14:paraId="25397BC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56" w:type="dxa"/>
            <w:noWrap w:val="0"/>
            <w:vAlign w:val="center"/>
          </w:tcPr>
          <w:p w14:paraId="35F646B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843" w:type="dxa"/>
            <w:noWrap w:val="0"/>
            <w:vAlign w:val="center"/>
          </w:tcPr>
          <w:p w14:paraId="1C7542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7CB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33A346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0DF7CE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264" w:type="dxa"/>
            <w:noWrap w:val="0"/>
            <w:vAlign w:val="top"/>
          </w:tcPr>
          <w:p w14:paraId="747658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94" w:type="dxa"/>
            <w:noWrap w:val="0"/>
            <w:vAlign w:val="top"/>
          </w:tcPr>
          <w:p w14:paraId="0EF5490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556" w:type="dxa"/>
            <w:noWrap w:val="0"/>
            <w:vAlign w:val="center"/>
          </w:tcPr>
          <w:p w14:paraId="1A56BE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843" w:type="dxa"/>
            <w:noWrap w:val="0"/>
            <w:vAlign w:val="center"/>
          </w:tcPr>
          <w:p w14:paraId="059AA3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94A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936" w:type="dxa"/>
            <w:gridSpan w:val="6"/>
            <w:noWrap w:val="0"/>
            <w:vAlign w:val="center"/>
          </w:tcPr>
          <w:p w14:paraId="2F8C0A2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590BBC8F">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7D043E4">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2.投标报价为投标人在招标人指定地点交付所投产品时所产生的一切费用总和；包括人工费、服务费、技术支持、售后服务等成本、税金及利润</w:t>
      </w:r>
      <w:r>
        <w:rPr>
          <w:rFonts w:hint="eastAsia" w:ascii="宋体" w:hAnsi="宋体" w:eastAsia="宋体" w:cs="宋体"/>
          <w:color w:val="auto"/>
          <w:sz w:val="21"/>
          <w:szCs w:val="21"/>
          <w:highlight w:val="none"/>
          <w:lang w:val="en-US" w:eastAsia="zh-CN"/>
        </w:rPr>
        <w:t>。</w:t>
      </w:r>
    </w:p>
    <w:p w14:paraId="6A5272E9">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1889F5AC">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1D542997">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4FAE2854">
      <w:pPr>
        <w:rPr>
          <w:rFonts w:hint="eastAsia" w:ascii="宋体" w:hAnsi="宋体" w:eastAsia="宋体" w:cs="宋体"/>
          <w:color w:val="auto"/>
          <w:kern w:val="2"/>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2"/>
          <w:sz w:val="32"/>
          <w:szCs w:val="32"/>
          <w:highlight w:val="none"/>
        </w:rPr>
        <w:br w:type="page"/>
      </w:r>
    </w:p>
    <w:p w14:paraId="13A31F89">
      <w:pPr>
        <w:pStyle w:val="693"/>
        <w:keepNext w:val="0"/>
        <w:pageBreakBefore w:val="0"/>
        <w:tabs>
          <w:tab w:val="clear" w:pos="720"/>
        </w:tabs>
        <w:snapToGrid w:val="0"/>
        <w:spacing w:before="120" w:after="120"/>
        <w:ind w:firstLine="643"/>
        <w:jc w:val="both"/>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5"/>
        <w:numPr>
          <w:ilvl w:val="0"/>
          <w:numId w:val="4"/>
        </w:numPr>
        <w:ind w:left="0" w:leftChars="0" w:firstLine="0" w:firstLineChars="0"/>
        <w:jc w:val="left"/>
        <w:rPr>
          <w:rFonts w:hint="eastAsia" w:ascii="宋体" w:hAnsi="宋体" w:eastAsia="宋体" w:cs="宋体"/>
          <w:b/>
          <w:color w:val="auto"/>
          <w:sz w:val="32"/>
          <w:szCs w:val="32"/>
          <w:highlight w:val="none"/>
        </w:rPr>
      </w:pPr>
      <w:bookmarkStart w:id="427" w:name="_Toc176185127"/>
      <w:r>
        <w:rPr>
          <w:rFonts w:hint="eastAsia" w:ascii="宋体" w:hAnsi="宋体" w:eastAsia="宋体" w:cs="宋体"/>
          <w:b/>
          <w:color w:val="auto"/>
          <w:sz w:val="32"/>
          <w:szCs w:val="32"/>
          <w:highlight w:val="none"/>
        </w:rPr>
        <w:t>开标一览表（报价表）</w:t>
      </w:r>
      <w:bookmarkEnd w:id="427"/>
    </w:p>
    <w:p w14:paraId="2E32FD00">
      <w:pPr>
        <w:pStyle w:val="85"/>
        <w:numPr>
          <w:ilvl w:val="0"/>
          <w:numId w:val="0"/>
        </w:numPr>
        <w:ind w:leftChars="0"/>
        <w:jc w:val="left"/>
        <w:rPr>
          <w:rFonts w:hint="default" w:ascii="宋体" w:hAnsi="宋体" w:eastAsia="宋体" w:cs="宋体"/>
          <w:b/>
          <w:color w:val="auto"/>
          <w:sz w:val="32"/>
          <w:szCs w:val="32"/>
          <w:highlight w:val="none"/>
          <w:lang w:val="en-US" w:eastAsia="zh-CN"/>
        </w:rPr>
      </w:pPr>
      <w:r>
        <w:rPr>
          <w:rFonts w:hint="eastAsia" w:cs="宋体"/>
          <w:b/>
          <w:color w:val="auto"/>
          <w:sz w:val="32"/>
          <w:szCs w:val="32"/>
          <w:highlight w:val="none"/>
          <w:lang w:val="en-US" w:eastAsia="zh-CN"/>
        </w:rPr>
        <w:t>以下开标一览表（报价表）适用于1分标</w:t>
      </w:r>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5"/>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332FA32">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43A42D">
      <w:pPr>
        <w:pStyle w:val="85"/>
        <w:numPr>
          <w:ilvl w:val="0"/>
          <w:numId w:val="0"/>
        </w:numPr>
        <w:ind w:leftChars="0"/>
        <w:jc w:val="left"/>
        <w:rPr>
          <w:rFonts w:hint="default" w:ascii="宋体" w:hAnsi="宋体" w:eastAsia="宋体" w:cs="宋体"/>
          <w:b/>
          <w:color w:val="auto"/>
          <w:sz w:val="32"/>
          <w:szCs w:val="32"/>
          <w:highlight w:val="none"/>
          <w:lang w:val="en-US" w:eastAsia="zh-CN"/>
        </w:rPr>
      </w:pPr>
      <w:r>
        <w:rPr>
          <w:rFonts w:hint="eastAsia" w:cs="宋体"/>
          <w:b/>
          <w:color w:val="auto"/>
          <w:sz w:val="32"/>
          <w:szCs w:val="32"/>
          <w:highlight w:val="none"/>
          <w:lang w:val="en-US" w:eastAsia="zh-CN"/>
        </w:rPr>
        <w:t>以下开标一览表（报价表）适用于2分标</w:t>
      </w:r>
    </w:p>
    <w:p w14:paraId="6CC5B47A">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A24109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D3F97E5">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3B0995AF">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5"/>
        <w:tblW w:w="11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184"/>
        <w:gridCol w:w="993"/>
        <w:gridCol w:w="1559"/>
        <w:gridCol w:w="1984"/>
        <w:gridCol w:w="3119"/>
      </w:tblGrid>
      <w:tr w14:paraId="1538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89" w:type="dxa"/>
            <w:vAlign w:val="center"/>
          </w:tcPr>
          <w:p w14:paraId="2A9C894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184" w:type="dxa"/>
            <w:vAlign w:val="center"/>
          </w:tcPr>
          <w:p w14:paraId="5C5277A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993" w:type="dxa"/>
            <w:vAlign w:val="center"/>
          </w:tcPr>
          <w:p w14:paraId="513117D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4265C14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277A289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60BC71DB">
            <w:pPr>
              <w:spacing w:line="360" w:lineRule="auto"/>
              <w:jc w:val="center"/>
              <w:rPr>
                <w:rFonts w:hint="eastAsia" w:ascii="宋体" w:hAnsi="宋体" w:eastAsia="宋体" w:cs="宋体"/>
                <w:b/>
                <w:color w:val="auto"/>
                <w:sz w:val="21"/>
                <w:szCs w:val="21"/>
                <w:highlight w:val="none"/>
              </w:rPr>
            </w:pPr>
          </w:p>
          <w:p w14:paraId="55449A1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3FCBFFD6">
            <w:pPr>
              <w:spacing w:line="360" w:lineRule="auto"/>
              <w:jc w:val="center"/>
              <w:rPr>
                <w:rFonts w:hint="eastAsia" w:ascii="宋体" w:hAnsi="宋体" w:eastAsia="宋体" w:cs="宋体"/>
                <w:b/>
                <w:color w:val="auto"/>
                <w:sz w:val="21"/>
                <w:szCs w:val="21"/>
                <w:highlight w:val="none"/>
              </w:rPr>
            </w:pPr>
          </w:p>
        </w:tc>
      </w:tr>
      <w:tr w14:paraId="3A8D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89" w:type="dxa"/>
            <w:vAlign w:val="center"/>
          </w:tcPr>
          <w:p w14:paraId="708392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4" w:type="dxa"/>
            <w:vAlign w:val="center"/>
          </w:tcPr>
          <w:p w14:paraId="2FC6E0F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993" w:type="dxa"/>
            <w:vAlign w:val="center"/>
          </w:tcPr>
          <w:p w14:paraId="238E671A">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807FBE9">
            <w:pPr>
              <w:spacing w:line="360" w:lineRule="auto"/>
              <w:jc w:val="center"/>
              <w:rPr>
                <w:rFonts w:hint="eastAsia" w:ascii="宋体" w:hAnsi="宋体" w:eastAsia="宋体" w:cs="宋体"/>
                <w:color w:val="auto"/>
                <w:sz w:val="21"/>
                <w:szCs w:val="21"/>
                <w:highlight w:val="none"/>
              </w:rPr>
            </w:pPr>
          </w:p>
        </w:tc>
        <w:tc>
          <w:tcPr>
            <w:tcW w:w="1984" w:type="dxa"/>
            <w:vAlign w:val="center"/>
          </w:tcPr>
          <w:p w14:paraId="7B3909EC">
            <w:pPr>
              <w:spacing w:line="360" w:lineRule="auto"/>
              <w:jc w:val="center"/>
              <w:rPr>
                <w:rFonts w:hint="eastAsia" w:ascii="宋体" w:hAnsi="宋体" w:eastAsia="宋体" w:cs="宋体"/>
                <w:color w:val="auto"/>
                <w:sz w:val="21"/>
                <w:szCs w:val="21"/>
                <w:highlight w:val="none"/>
              </w:rPr>
            </w:pPr>
          </w:p>
        </w:tc>
        <w:tc>
          <w:tcPr>
            <w:tcW w:w="3119" w:type="dxa"/>
            <w:vAlign w:val="center"/>
          </w:tcPr>
          <w:p w14:paraId="03D834FE">
            <w:pPr>
              <w:spacing w:line="360" w:lineRule="auto"/>
              <w:jc w:val="center"/>
              <w:rPr>
                <w:rFonts w:hint="eastAsia" w:ascii="宋体" w:hAnsi="宋体" w:eastAsia="宋体" w:cs="宋体"/>
                <w:color w:val="auto"/>
                <w:sz w:val="21"/>
                <w:szCs w:val="21"/>
                <w:highlight w:val="none"/>
              </w:rPr>
            </w:pPr>
          </w:p>
        </w:tc>
      </w:tr>
      <w:tr w14:paraId="0E2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9" w:type="dxa"/>
            <w:vAlign w:val="center"/>
          </w:tcPr>
          <w:p w14:paraId="0867D47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84" w:type="dxa"/>
            <w:vAlign w:val="center"/>
          </w:tcPr>
          <w:p w14:paraId="49EE2DE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993" w:type="dxa"/>
            <w:vAlign w:val="center"/>
          </w:tcPr>
          <w:p w14:paraId="0A5C86DD">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591996F">
            <w:pPr>
              <w:spacing w:line="360" w:lineRule="auto"/>
              <w:jc w:val="center"/>
              <w:rPr>
                <w:rFonts w:hint="eastAsia" w:ascii="宋体" w:hAnsi="宋体" w:eastAsia="宋体" w:cs="宋体"/>
                <w:color w:val="auto"/>
                <w:sz w:val="21"/>
                <w:szCs w:val="21"/>
                <w:highlight w:val="none"/>
              </w:rPr>
            </w:pPr>
          </w:p>
        </w:tc>
        <w:tc>
          <w:tcPr>
            <w:tcW w:w="1984" w:type="dxa"/>
            <w:vAlign w:val="center"/>
          </w:tcPr>
          <w:p w14:paraId="2E5B06E5">
            <w:pPr>
              <w:spacing w:line="360" w:lineRule="auto"/>
              <w:jc w:val="center"/>
              <w:rPr>
                <w:rFonts w:hint="eastAsia" w:ascii="宋体" w:hAnsi="宋体" w:eastAsia="宋体" w:cs="宋体"/>
                <w:color w:val="auto"/>
                <w:sz w:val="21"/>
                <w:szCs w:val="21"/>
                <w:highlight w:val="none"/>
              </w:rPr>
            </w:pPr>
          </w:p>
        </w:tc>
        <w:tc>
          <w:tcPr>
            <w:tcW w:w="3119" w:type="dxa"/>
            <w:vAlign w:val="center"/>
          </w:tcPr>
          <w:p w14:paraId="57BA0DDD">
            <w:pPr>
              <w:spacing w:line="360" w:lineRule="auto"/>
              <w:jc w:val="center"/>
              <w:rPr>
                <w:rFonts w:hint="eastAsia" w:ascii="宋体" w:hAnsi="宋体" w:eastAsia="宋体" w:cs="宋体"/>
                <w:color w:val="auto"/>
                <w:sz w:val="21"/>
                <w:szCs w:val="21"/>
                <w:highlight w:val="none"/>
              </w:rPr>
            </w:pPr>
          </w:p>
        </w:tc>
      </w:tr>
      <w:tr w14:paraId="2BEC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9" w:type="dxa"/>
            <w:vAlign w:val="center"/>
          </w:tcPr>
          <w:p w14:paraId="5A03277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84" w:type="dxa"/>
            <w:vAlign w:val="center"/>
          </w:tcPr>
          <w:p w14:paraId="0CB5B16C">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08ECA3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463F990">
            <w:pPr>
              <w:spacing w:line="360" w:lineRule="auto"/>
              <w:jc w:val="center"/>
              <w:rPr>
                <w:rFonts w:hint="eastAsia" w:ascii="宋体" w:hAnsi="宋体" w:eastAsia="宋体" w:cs="宋体"/>
                <w:color w:val="auto"/>
                <w:sz w:val="21"/>
                <w:szCs w:val="21"/>
                <w:highlight w:val="none"/>
              </w:rPr>
            </w:pPr>
          </w:p>
        </w:tc>
        <w:tc>
          <w:tcPr>
            <w:tcW w:w="1984" w:type="dxa"/>
            <w:vAlign w:val="center"/>
          </w:tcPr>
          <w:p w14:paraId="2CEAE403">
            <w:pPr>
              <w:spacing w:line="360" w:lineRule="auto"/>
              <w:jc w:val="center"/>
              <w:rPr>
                <w:rFonts w:hint="eastAsia" w:ascii="宋体" w:hAnsi="宋体" w:eastAsia="宋体" w:cs="宋体"/>
                <w:color w:val="auto"/>
                <w:sz w:val="21"/>
                <w:szCs w:val="21"/>
                <w:highlight w:val="none"/>
              </w:rPr>
            </w:pPr>
          </w:p>
        </w:tc>
        <w:tc>
          <w:tcPr>
            <w:tcW w:w="3119" w:type="dxa"/>
            <w:vAlign w:val="center"/>
          </w:tcPr>
          <w:p w14:paraId="221FBCB6">
            <w:pPr>
              <w:spacing w:line="360" w:lineRule="auto"/>
              <w:jc w:val="center"/>
              <w:rPr>
                <w:rFonts w:hint="eastAsia" w:ascii="宋体" w:hAnsi="宋体" w:eastAsia="宋体" w:cs="宋体"/>
                <w:color w:val="auto"/>
                <w:sz w:val="21"/>
                <w:szCs w:val="21"/>
                <w:highlight w:val="none"/>
              </w:rPr>
            </w:pPr>
          </w:p>
        </w:tc>
      </w:tr>
      <w:tr w14:paraId="5580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9" w:type="dxa"/>
            <w:vAlign w:val="center"/>
          </w:tcPr>
          <w:p w14:paraId="17631397">
            <w:pPr>
              <w:spacing w:line="360" w:lineRule="auto"/>
              <w:jc w:val="center"/>
              <w:rPr>
                <w:rFonts w:hint="eastAsia" w:ascii="宋体" w:hAnsi="宋体" w:eastAsia="宋体" w:cs="宋体"/>
                <w:color w:val="auto"/>
                <w:sz w:val="21"/>
                <w:szCs w:val="21"/>
                <w:highlight w:val="none"/>
              </w:rPr>
            </w:pPr>
          </w:p>
        </w:tc>
        <w:tc>
          <w:tcPr>
            <w:tcW w:w="2184" w:type="dxa"/>
            <w:vAlign w:val="center"/>
          </w:tcPr>
          <w:p w14:paraId="2DA61BE5">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2E4ECE9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146548C">
            <w:pPr>
              <w:spacing w:line="360" w:lineRule="auto"/>
              <w:jc w:val="center"/>
              <w:rPr>
                <w:rFonts w:hint="eastAsia" w:ascii="宋体" w:hAnsi="宋体" w:eastAsia="宋体" w:cs="宋体"/>
                <w:color w:val="auto"/>
                <w:sz w:val="21"/>
                <w:szCs w:val="21"/>
                <w:highlight w:val="none"/>
              </w:rPr>
            </w:pPr>
          </w:p>
        </w:tc>
        <w:tc>
          <w:tcPr>
            <w:tcW w:w="1984" w:type="dxa"/>
            <w:vAlign w:val="center"/>
          </w:tcPr>
          <w:p w14:paraId="13373114">
            <w:pPr>
              <w:spacing w:line="360" w:lineRule="auto"/>
              <w:jc w:val="center"/>
              <w:rPr>
                <w:rFonts w:hint="eastAsia" w:ascii="宋体" w:hAnsi="宋体" w:eastAsia="宋体" w:cs="宋体"/>
                <w:color w:val="auto"/>
                <w:sz w:val="21"/>
                <w:szCs w:val="21"/>
                <w:highlight w:val="none"/>
              </w:rPr>
            </w:pPr>
          </w:p>
        </w:tc>
        <w:tc>
          <w:tcPr>
            <w:tcW w:w="3119" w:type="dxa"/>
            <w:vAlign w:val="center"/>
          </w:tcPr>
          <w:p w14:paraId="7C2DB161">
            <w:pPr>
              <w:spacing w:line="360" w:lineRule="auto"/>
              <w:jc w:val="center"/>
              <w:rPr>
                <w:rFonts w:hint="eastAsia" w:ascii="宋体" w:hAnsi="宋体" w:eastAsia="宋体" w:cs="宋体"/>
                <w:color w:val="auto"/>
                <w:sz w:val="21"/>
                <w:szCs w:val="21"/>
                <w:highlight w:val="none"/>
              </w:rPr>
            </w:pPr>
          </w:p>
        </w:tc>
      </w:tr>
      <w:tr w14:paraId="3F84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89" w:type="dxa"/>
            <w:vAlign w:val="center"/>
          </w:tcPr>
          <w:p w14:paraId="32904F75">
            <w:pPr>
              <w:spacing w:line="360" w:lineRule="auto"/>
              <w:jc w:val="center"/>
              <w:rPr>
                <w:rFonts w:hint="eastAsia" w:ascii="宋体" w:hAnsi="宋体" w:eastAsia="宋体" w:cs="宋体"/>
                <w:color w:val="auto"/>
                <w:sz w:val="21"/>
                <w:szCs w:val="21"/>
                <w:highlight w:val="none"/>
              </w:rPr>
            </w:pPr>
          </w:p>
        </w:tc>
        <w:tc>
          <w:tcPr>
            <w:tcW w:w="2184" w:type="dxa"/>
            <w:vAlign w:val="center"/>
          </w:tcPr>
          <w:p w14:paraId="6864B81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0280D5DA">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8C62624">
            <w:pPr>
              <w:spacing w:line="360" w:lineRule="auto"/>
              <w:jc w:val="center"/>
              <w:rPr>
                <w:rFonts w:hint="eastAsia" w:ascii="宋体" w:hAnsi="宋体" w:eastAsia="宋体" w:cs="宋体"/>
                <w:color w:val="auto"/>
                <w:sz w:val="21"/>
                <w:szCs w:val="21"/>
                <w:highlight w:val="none"/>
              </w:rPr>
            </w:pPr>
          </w:p>
        </w:tc>
        <w:tc>
          <w:tcPr>
            <w:tcW w:w="1984" w:type="dxa"/>
            <w:vAlign w:val="center"/>
          </w:tcPr>
          <w:p w14:paraId="649955A6">
            <w:pPr>
              <w:spacing w:line="360" w:lineRule="auto"/>
              <w:jc w:val="center"/>
              <w:rPr>
                <w:rFonts w:hint="eastAsia" w:ascii="宋体" w:hAnsi="宋体" w:eastAsia="宋体" w:cs="宋体"/>
                <w:color w:val="auto"/>
                <w:sz w:val="21"/>
                <w:szCs w:val="21"/>
                <w:highlight w:val="none"/>
              </w:rPr>
            </w:pPr>
          </w:p>
        </w:tc>
        <w:tc>
          <w:tcPr>
            <w:tcW w:w="3119" w:type="dxa"/>
            <w:vAlign w:val="center"/>
          </w:tcPr>
          <w:p w14:paraId="645A25F9">
            <w:pPr>
              <w:spacing w:line="360" w:lineRule="auto"/>
              <w:jc w:val="center"/>
              <w:rPr>
                <w:rFonts w:hint="eastAsia" w:ascii="宋体" w:hAnsi="宋体" w:eastAsia="宋体" w:cs="宋体"/>
                <w:color w:val="auto"/>
                <w:sz w:val="21"/>
                <w:szCs w:val="21"/>
                <w:highlight w:val="none"/>
              </w:rPr>
            </w:pPr>
          </w:p>
        </w:tc>
      </w:tr>
      <w:tr w14:paraId="39AF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73" w:type="dxa"/>
            <w:gridSpan w:val="2"/>
            <w:vAlign w:val="center"/>
          </w:tcPr>
          <w:p w14:paraId="41381E7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764651F1">
            <w:pPr>
              <w:spacing w:line="360" w:lineRule="auto"/>
              <w:jc w:val="center"/>
              <w:rPr>
                <w:rFonts w:hint="eastAsia" w:ascii="宋体" w:hAnsi="宋体" w:eastAsia="宋体" w:cs="宋体"/>
                <w:color w:val="auto"/>
                <w:sz w:val="21"/>
                <w:szCs w:val="21"/>
                <w:highlight w:val="none"/>
              </w:rPr>
            </w:pPr>
          </w:p>
        </w:tc>
      </w:tr>
      <w:tr w14:paraId="3B32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373" w:type="dxa"/>
            <w:gridSpan w:val="2"/>
            <w:vAlign w:val="center"/>
          </w:tcPr>
          <w:p w14:paraId="25B5722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43B2B1FC">
            <w:pPr>
              <w:spacing w:line="360" w:lineRule="auto"/>
              <w:jc w:val="center"/>
              <w:rPr>
                <w:rFonts w:hint="eastAsia" w:ascii="宋体" w:hAnsi="宋体" w:eastAsia="宋体" w:cs="宋体"/>
                <w:color w:val="auto"/>
                <w:sz w:val="21"/>
                <w:szCs w:val="21"/>
                <w:highlight w:val="none"/>
              </w:rPr>
            </w:pPr>
          </w:p>
        </w:tc>
      </w:tr>
    </w:tbl>
    <w:p w14:paraId="63BC348E">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19A755A">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0CECB1B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40959B2D">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3、特别提示：采购代理机构将对项目名称和项目编号，中标投标人名称、地址和中标金额，主要中标标的名称、品牌（如果有）、规格型号、数量、单价等予以公示。</w:t>
      </w:r>
    </w:p>
    <w:p w14:paraId="07C0C3F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2E3C14F">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C678FE">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79178C57">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214FA0FB">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C41E9AA">
      <w:pPr>
        <w:spacing w:line="360" w:lineRule="auto"/>
        <w:ind w:firstLine="482" w:firstLineChars="200"/>
        <w:rPr>
          <w:rFonts w:hint="eastAsia" w:ascii="宋体" w:hAnsi="宋体" w:eastAsia="宋体" w:cs="宋体"/>
          <w:b/>
          <w:color w:val="auto"/>
          <w:kern w:val="0"/>
          <w:sz w:val="24"/>
          <w:highlight w:val="none"/>
        </w:rPr>
      </w:pPr>
    </w:p>
    <w:p w14:paraId="302E4BC1">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070BAC90">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3"/>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3"/>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8" w:name="_Hlk101131882"/>
      <w:r>
        <w:rPr>
          <w:rFonts w:hint="eastAsia" w:ascii="宋体" w:hAnsi="宋体" w:eastAsia="宋体" w:cs="宋体"/>
          <w:color w:val="auto"/>
          <w:kern w:val="0"/>
          <w:sz w:val="24"/>
          <w:highlight w:val="none"/>
          <w:u w:val="single"/>
        </w:rPr>
        <w:t>联合体成员X,……</w:t>
      </w:r>
      <w:bookmarkEnd w:id="428"/>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9"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9"/>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3E6ABDC">
      <w:pPr>
        <w:snapToGrid w:val="0"/>
        <w:spacing w:line="360" w:lineRule="auto"/>
        <w:ind w:firstLine="5040" w:firstLineChars="2100"/>
        <w:rPr>
          <w:rStyle w:val="84"/>
          <w:rFonts w:hint="eastAsia" w:ascii="宋体" w:hAnsi="宋体" w:eastAsia="宋体" w:cs="宋体"/>
          <w:color w:val="auto"/>
          <w:highlight w:val="none"/>
        </w:rPr>
      </w:pPr>
      <w:r>
        <w:rPr>
          <w:rStyle w:val="84"/>
          <w:rFonts w:hint="eastAsia" w:ascii="宋体" w:hAnsi="宋体" w:eastAsia="宋体" w:cs="宋体"/>
          <w:color w:val="auto"/>
          <w:highlight w:val="none"/>
        </w:rPr>
        <w:t>法定代表人（负责人） (签名)：</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4"/>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法定代表人（负责人） (签名)：</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5"/>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4"/>
          <w:rFonts w:hint="eastAsia" w:ascii="宋体" w:hAnsi="宋体" w:eastAsia="宋体" w:cs="宋体"/>
          <w:color w:val="auto"/>
          <w:highlight w:val="none"/>
        </w:rPr>
        <w:t>法定代表人（负责人） (签名)：</w:t>
      </w:r>
      <w:r>
        <w:rPr>
          <w:rFonts w:hint="eastAsia" w:ascii="宋体" w:hAnsi="宋体" w:eastAsia="宋体" w:cs="宋体"/>
          <w:color w:val="auto"/>
          <w:kern w:val="0"/>
          <w:sz w:val="24"/>
          <w:highlight w:val="none"/>
          <w:lang w:val="zh-CN"/>
        </w:rPr>
        <w:t>分包投标人名称(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p>
    <w:p w14:paraId="13E348EA">
      <w:pPr>
        <w:pStyle w:val="85"/>
        <w:ind w:firstLine="5760" w:firstLineChars="2400"/>
        <w:rPr>
          <w:rFonts w:hint="eastAsia" w:ascii="宋体" w:hAnsi="宋体" w:eastAsia="宋体" w:cs="宋体"/>
          <w:color w:val="auto"/>
          <w:highlight w:val="none"/>
        </w:rPr>
      </w:pPr>
      <w:r>
        <w:rPr>
          <w:rStyle w:val="84"/>
          <w:rFonts w:hint="eastAsia" w:ascii="宋体" w:hAnsi="宋体" w:eastAsia="宋体" w:cs="宋体"/>
          <w:color w:val="auto"/>
          <w:highlight w:val="none"/>
        </w:rPr>
        <w:t>法定代表人（负责人） (签名)：</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63AAEE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28C7B8B4">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2"/>
      <w:framePr w:wrap="around" w:vAnchor="text" w:hAnchor="margin" w:xAlign="right" w:y="1"/>
      <w:rPr>
        <w:rStyle w:val="75"/>
      </w:rPr>
    </w:pPr>
    <w:r>
      <w:fldChar w:fldCharType="begin"/>
    </w:r>
    <w:r>
      <w:rPr>
        <w:rStyle w:val="75"/>
      </w:rPr>
      <w:instrText xml:space="preserve">PAGE  </w:instrText>
    </w:r>
    <w:r>
      <w:fldChar w:fldCharType="end"/>
    </w:r>
  </w:p>
  <w:p w14:paraId="69A0141C">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2"/>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025AB">
                          <w:pPr>
                            <w:pStyle w:val="42"/>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A025AB">
                    <w:pPr>
                      <w:pStyle w:val="42"/>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2"/>
      <w:framePr w:wrap="around" w:vAnchor="text" w:hAnchor="margin" w:xAlign="right" w:y="1"/>
      <w:rPr>
        <w:rStyle w:val="75"/>
      </w:rPr>
    </w:pPr>
    <w:r>
      <w:fldChar w:fldCharType="begin"/>
    </w:r>
    <w:r>
      <w:rPr>
        <w:rStyle w:val="75"/>
      </w:rPr>
      <w:instrText xml:space="preserve">PAGE  </w:instrText>
    </w:r>
    <w:r>
      <w:fldChar w:fldCharType="end"/>
    </w:r>
  </w:p>
  <w:p w14:paraId="62E10DD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2"/>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7FF8">
                          <w:pPr>
                            <w:pStyle w:val="4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597FF8">
                    <w:pPr>
                      <w:pStyle w:val="4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4059">
    <w:pPr>
      <w:pStyle w:val="42"/>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CD5F9">
                          <w:pPr>
                            <w:pStyle w:val="4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CD5F9">
                    <w:pPr>
                      <w:pStyle w:val="4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C7AA">
    <w:pPr>
      <w:pStyle w:val="42"/>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14F1">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B14F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2"/>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8D49">
                          <w:pPr>
                            <w:pStyle w:val="4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FD8D49">
                    <w:pPr>
                      <w:pStyle w:val="42"/>
                    </w:pPr>
                    <w:r>
                      <w:fldChar w:fldCharType="begin"/>
                    </w:r>
                    <w:r>
                      <w:instrText xml:space="preserve"> PAGE  \* MERGEFORMAT </w:instrText>
                    </w:r>
                    <w:r>
                      <w:fldChar w:fldCharType="separate"/>
                    </w:r>
                    <w:r>
                      <w:t>68</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E25EB">
                          <w:pPr>
                            <w:pStyle w:val="4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AE25EB">
                    <w:pPr>
                      <w:pStyle w:val="42"/>
                    </w:pPr>
                    <w:r>
                      <w:fldChar w:fldCharType="begin"/>
                    </w:r>
                    <w:r>
                      <w:instrText xml:space="preserve"> PAGE  \* MERGEFORMAT </w:instrText>
                    </w:r>
                    <w:r>
                      <w:fldChar w:fldCharType="separate"/>
                    </w:r>
                    <w:r>
                      <w:t>67</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52B32">
                          <w:pPr>
                            <w:pStyle w:val="42"/>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752B32">
                    <w:pPr>
                      <w:pStyle w:val="42"/>
                    </w:pPr>
                    <w:r>
                      <w:fldChar w:fldCharType="begin"/>
                    </w:r>
                    <w:r>
                      <w:instrText xml:space="preserve"> PAGE  \* MERGEFORMAT </w:instrText>
                    </w:r>
                    <w:r>
                      <w:fldChar w:fldCharType="separate"/>
                    </w:r>
                    <w:r>
                      <w:t>112</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2"/>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86F62">
                          <w:pPr>
                            <w:pStyle w:val="42"/>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C86F62">
                    <w:pPr>
                      <w:pStyle w:val="42"/>
                    </w:pPr>
                    <w:r>
                      <w:fldChar w:fldCharType="begin"/>
                    </w:r>
                    <w:r>
                      <w:instrText xml:space="preserve"> PAGE  \* MERGEFORMAT </w:instrText>
                    </w:r>
                    <w:r>
                      <w:fldChar w:fldCharType="separate"/>
                    </w:r>
                    <w:r>
                      <w:t>111</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2"/>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4FA0F">
                          <w:pPr>
                            <w:pStyle w:val="42"/>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B4FA0F">
                    <w:pPr>
                      <w:pStyle w:val="42"/>
                    </w:pPr>
                    <w:r>
                      <w:fldChar w:fldCharType="begin"/>
                    </w:r>
                    <w:r>
                      <w:instrText xml:space="preserve"> PAGE  \* MERGEFORMAT </w:instrText>
                    </w:r>
                    <w:r>
                      <w:fldChar w:fldCharType="separate"/>
                    </w:r>
                    <w:r>
                      <w:t>118</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2"/>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0E87">
                          <w:pPr>
                            <w:pStyle w:val="42"/>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70E87">
                    <w:pPr>
                      <w:pStyle w:val="42"/>
                    </w:pPr>
                    <w:r>
                      <w:fldChar w:fldCharType="begin"/>
                    </w:r>
                    <w:r>
                      <w:instrText xml:space="preserve"> PAGE  \* MERGEFORMAT </w:instrText>
                    </w:r>
                    <w:r>
                      <w:fldChar w:fldCharType="separate"/>
                    </w:r>
                    <w:r>
                      <w:t>116</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3"/>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3"/>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3"/>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3"/>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3"/>
      <w:pBdr>
        <w:bottom w:val="none" w:color="auto" w:sz="0" w:space="1"/>
      </w:pBdr>
    </w:pPr>
    <w:r>
      <w:t></w:t>
    </w:r>
    <w:r>
      <w:rPr>
        <w:rFonts w:hint="eastAsia"/>
      </w:rPr>
      <w:t xml:space="preserve">         </w:t>
    </w:r>
  </w:p>
  <w:p w14:paraId="54148DE3">
    <w:pPr>
      <w:pStyle w:val="43"/>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3"/>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3"/>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3"/>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3"/>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3"/>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0771DD54"/>
    <w:multiLevelType w:val="singleLevel"/>
    <w:tmpl w:val="0771DD54"/>
    <w:lvl w:ilvl="0" w:tentative="0">
      <w:start w:val="2"/>
      <w:numFmt w:val="chineseCounting"/>
      <w:suff w:val="nothing"/>
      <w:lvlText w:val="%1、"/>
      <w:lvlJc w:val="left"/>
      <w:rPr>
        <w:rFonts w:hint="eastAsia"/>
      </w:rPr>
    </w:lvl>
  </w:abstractNum>
  <w:abstractNum w:abstractNumId="2">
    <w:nsid w:val="224CFDCA"/>
    <w:multiLevelType w:val="singleLevel"/>
    <w:tmpl w:val="224CFDCA"/>
    <w:lvl w:ilvl="0" w:tentative="0">
      <w:start w:val="14"/>
      <w:numFmt w:val="decimal"/>
      <w:lvlText w:val="%1."/>
      <w:lvlJc w:val="left"/>
      <w:pPr>
        <w:tabs>
          <w:tab w:val="left" w:pos="312"/>
        </w:tabs>
      </w:pPr>
    </w:lvl>
  </w:abstractNum>
  <w:abstractNum w:abstractNumId="3">
    <w:nsid w:val="292BF72A"/>
    <w:multiLevelType w:val="singleLevel"/>
    <w:tmpl w:val="292BF72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53138"/>
    <w:rsid w:val="01A729B4"/>
    <w:rsid w:val="01B37585"/>
    <w:rsid w:val="01D55165"/>
    <w:rsid w:val="01DF6BF8"/>
    <w:rsid w:val="01EC2C57"/>
    <w:rsid w:val="025F0711"/>
    <w:rsid w:val="026B2E25"/>
    <w:rsid w:val="02824D4D"/>
    <w:rsid w:val="02DC4B10"/>
    <w:rsid w:val="02DD76CE"/>
    <w:rsid w:val="02F36323"/>
    <w:rsid w:val="02F5619C"/>
    <w:rsid w:val="03126034"/>
    <w:rsid w:val="0326446A"/>
    <w:rsid w:val="032D5555"/>
    <w:rsid w:val="036634D2"/>
    <w:rsid w:val="03DD35E4"/>
    <w:rsid w:val="04076900"/>
    <w:rsid w:val="041A5A3B"/>
    <w:rsid w:val="042311BA"/>
    <w:rsid w:val="042B157A"/>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1D74AA"/>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864B98"/>
    <w:rsid w:val="0AA374A5"/>
    <w:rsid w:val="0AAB7649"/>
    <w:rsid w:val="0ABC5606"/>
    <w:rsid w:val="0B04049C"/>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783B1C"/>
    <w:rsid w:val="0C8445DA"/>
    <w:rsid w:val="0C87121B"/>
    <w:rsid w:val="0CC007F7"/>
    <w:rsid w:val="0CC617AC"/>
    <w:rsid w:val="0CE618DF"/>
    <w:rsid w:val="0CFE707A"/>
    <w:rsid w:val="0D063BDA"/>
    <w:rsid w:val="0D08375F"/>
    <w:rsid w:val="0D184CFB"/>
    <w:rsid w:val="0D4A7419"/>
    <w:rsid w:val="0D791EB1"/>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2F86"/>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20E3"/>
    <w:rsid w:val="118963A1"/>
    <w:rsid w:val="11C6522A"/>
    <w:rsid w:val="11E104CC"/>
    <w:rsid w:val="11E20309"/>
    <w:rsid w:val="12255233"/>
    <w:rsid w:val="12530213"/>
    <w:rsid w:val="127723A9"/>
    <w:rsid w:val="12862074"/>
    <w:rsid w:val="12883966"/>
    <w:rsid w:val="129E45B4"/>
    <w:rsid w:val="12C72E91"/>
    <w:rsid w:val="12D81596"/>
    <w:rsid w:val="13072A44"/>
    <w:rsid w:val="134D1A2C"/>
    <w:rsid w:val="135F4BE2"/>
    <w:rsid w:val="139B1A0A"/>
    <w:rsid w:val="139D25C7"/>
    <w:rsid w:val="13BF3CE4"/>
    <w:rsid w:val="141008D8"/>
    <w:rsid w:val="14125FE6"/>
    <w:rsid w:val="142A5567"/>
    <w:rsid w:val="146D271E"/>
    <w:rsid w:val="14982588"/>
    <w:rsid w:val="149A5AD9"/>
    <w:rsid w:val="14A7619D"/>
    <w:rsid w:val="150536C3"/>
    <w:rsid w:val="15082937"/>
    <w:rsid w:val="150C1963"/>
    <w:rsid w:val="151447A0"/>
    <w:rsid w:val="154A6454"/>
    <w:rsid w:val="156A1844"/>
    <w:rsid w:val="15762120"/>
    <w:rsid w:val="158F18CB"/>
    <w:rsid w:val="16866F97"/>
    <w:rsid w:val="16A8729C"/>
    <w:rsid w:val="16B33777"/>
    <w:rsid w:val="16BC70A7"/>
    <w:rsid w:val="16C6339E"/>
    <w:rsid w:val="17065B0B"/>
    <w:rsid w:val="170F1C7E"/>
    <w:rsid w:val="172F2D79"/>
    <w:rsid w:val="17557BEF"/>
    <w:rsid w:val="17AA41C9"/>
    <w:rsid w:val="17D31922"/>
    <w:rsid w:val="17D349C1"/>
    <w:rsid w:val="18244F26"/>
    <w:rsid w:val="1830729E"/>
    <w:rsid w:val="185F4F64"/>
    <w:rsid w:val="1870062C"/>
    <w:rsid w:val="18817102"/>
    <w:rsid w:val="18830A15"/>
    <w:rsid w:val="18852B28"/>
    <w:rsid w:val="188B5321"/>
    <w:rsid w:val="19932372"/>
    <w:rsid w:val="19A20DD5"/>
    <w:rsid w:val="19AE03F1"/>
    <w:rsid w:val="19D55BD0"/>
    <w:rsid w:val="1A071A03"/>
    <w:rsid w:val="1A1F16AE"/>
    <w:rsid w:val="1A3B5C77"/>
    <w:rsid w:val="1A4A34E3"/>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88086E"/>
    <w:rsid w:val="1CA7512B"/>
    <w:rsid w:val="1CB953C5"/>
    <w:rsid w:val="1D266CE1"/>
    <w:rsid w:val="1D3963AF"/>
    <w:rsid w:val="1D6A673C"/>
    <w:rsid w:val="1D712256"/>
    <w:rsid w:val="1D9247AE"/>
    <w:rsid w:val="1DA43C40"/>
    <w:rsid w:val="1DB567EC"/>
    <w:rsid w:val="1DD72678"/>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23080C"/>
    <w:rsid w:val="1F5771FF"/>
    <w:rsid w:val="1FD52574"/>
    <w:rsid w:val="1FE868A9"/>
    <w:rsid w:val="20034907"/>
    <w:rsid w:val="20173E4B"/>
    <w:rsid w:val="204E48BC"/>
    <w:rsid w:val="208921B3"/>
    <w:rsid w:val="20973DEB"/>
    <w:rsid w:val="20B26522"/>
    <w:rsid w:val="20B44310"/>
    <w:rsid w:val="211116EB"/>
    <w:rsid w:val="214D44F3"/>
    <w:rsid w:val="216133FC"/>
    <w:rsid w:val="217955C5"/>
    <w:rsid w:val="21D56769"/>
    <w:rsid w:val="21E52EF3"/>
    <w:rsid w:val="21FB5D7B"/>
    <w:rsid w:val="22015E94"/>
    <w:rsid w:val="220B1C3D"/>
    <w:rsid w:val="221D1D20"/>
    <w:rsid w:val="22334A87"/>
    <w:rsid w:val="22BE6801"/>
    <w:rsid w:val="233500BF"/>
    <w:rsid w:val="23377FF7"/>
    <w:rsid w:val="236B425F"/>
    <w:rsid w:val="23836192"/>
    <w:rsid w:val="23901F29"/>
    <w:rsid w:val="23990758"/>
    <w:rsid w:val="239C0061"/>
    <w:rsid w:val="23B908A4"/>
    <w:rsid w:val="23DF640C"/>
    <w:rsid w:val="23E95BEF"/>
    <w:rsid w:val="23FD0064"/>
    <w:rsid w:val="245375B0"/>
    <w:rsid w:val="24642C0A"/>
    <w:rsid w:val="2494222D"/>
    <w:rsid w:val="24B22173"/>
    <w:rsid w:val="24B95AD9"/>
    <w:rsid w:val="24BE24DA"/>
    <w:rsid w:val="24CF5825"/>
    <w:rsid w:val="24D636C4"/>
    <w:rsid w:val="24D663E6"/>
    <w:rsid w:val="24D77F2B"/>
    <w:rsid w:val="251B0465"/>
    <w:rsid w:val="25761767"/>
    <w:rsid w:val="258B00E2"/>
    <w:rsid w:val="259E33ED"/>
    <w:rsid w:val="25A917A6"/>
    <w:rsid w:val="25AD641C"/>
    <w:rsid w:val="25BE27CC"/>
    <w:rsid w:val="25F74A5C"/>
    <w:rsid w:val="2628662C"/>
    <w:rsid w:val="262D45DE"/>
    <w:rsid w:val="26871DC8"/>
    <w:rsid w:val="26A53EF9"/>
    <w:rsid w:val="26A94201"/>
    <w:rsid w:val="26AC274F"/>
    <w:rsid w:val="26DD7481"/>
    <w:rsid w:val="27044A29"/>
    <w:rsid w:val="271D34C8"/>
    <w:rsid w:val="276142BF"/>
    <w:rsid w:val="27783712"/>
    <w:rsid w:val="277B168E"/>
    <w:rsid w:val="27907362"/>
    <w:rsid w:val="28333E1D"/>
    <w:rsid w:val="28454BD6"/>
    <w:rsid w:val="28455253"/>
    <w:rsid w:val="28551971"/>
    <w:rsid w:val="285B1C53"/>
    <w:rsid w:val="289F7086"/>
    <w:rsid w:val="28B25C35"/>
    <w:rsid w:val="28C32028"/>
    <w:rsid w:val="28CC490F"/>
    <w:rsid w:val="28DE40AA"/>
    <w:rsid w:val="29345E77"/>
    <w:rsid w:val="294C65AD"/>
    <w:rsid w:val="29806583"/>
    <w:rsid w:val="298B3C4C"/>
    <w:rsid w:val="29F26D24"/>
    <w:rsid w:val="2A15033F"/>
    <w:rsid w:val="2A1662C1"/>
    <w:rsid w:val="2A1C7367"/>
    <w:rsid w:val="2A2815FA"/>
    <w:rsid w:val="2A2D2A4A"/>
    <w:rsid w:val="2A6D6092"/>
    <w:rsid w:val="2A7D76B4"/>
    <w:rsid w:val="2AEF458E"/>
    <w:rsid w:val="2B437463"/>
    <w:rsid w:val="2B70514E"/>
    <w:rsid w:val="2B7807EE"/>
    <w:rsid w:val="2B884F7D"/>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262B12"/>
    <w:rsid w:val="2E3C1B78"/>
    <w:rsid w:val="2E4B082A"/>
    <w:rsid w:val="2E5D4E86"/>
    <w:rsid w:val="2E5D790B"/>
    <w:rsid w:val="2E9A3C18"/>
    <w:rsid w:val="2EBB0FEE"/>
    <w:rsid w:val="2EBF2F22"/>
    <w:rsid w:val="2EC63002"/>
    <w:rsid w:val="2F0A6B38"/>
    <w:rsid w:val="2F794705"/>
    <w:rsid w:val="2F946CCB"/>
    <w:rsid w:val="2F972DDE"/>
    <w:rsid w:val="2FD25781"/>
    <w:rsid w:val="2FDC745C"/>
    <w:rsid w:val="2FFD7934"/>
    <w:rsid w:val="306F2C53"/>
    <w:rsid w:val="30733ACD"/>
    <w:rsid w:val="308C3862"/>
    <w:rsid w:val="309379D8"/>
    <w:rsid w:val="30A270F7"/>
    <w:rsid w:val="30DF1478"/>
    <w:rsid w:val="30EC586F"/>
    <w:rsid w:val="311A5A74"/>
    <w:rsid w:val="319C6071"/>
    <w:rsid w:val="31AC537E"/>
    <w:rsid w:val="31C12394"/>
    <w:rsid w:val="31E3679B"/>
    <w:rsid w:val="31E732FD"/>
    <w:rsid w:val="32517576"/>
    <w:rsid w:val="32BE5C2C"/>
    <w:rsid w:val="32FB6478"/>
    <w:rsid w:val="33263B3F"/>
    <w:rsid w:val="336963EB"/>
    <w:rsid w:val="33816EEB"/>
    <w:rsid w:val="338373A5"/>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63A3B40"/>
    <w:rsid w:val="365302AE"/>
    <w:rsid w:val="36607A0A"/>
    <w:rsid w:val="366E227C"/>
    <w:rsid w:val="366F2E0D"/>
    <w:rsid w:val="367B6A5C"/>
    <w:rsid w:val="36A74ADA"/>
    <w:rsid w:val="36AD60D5"/>
    <w:rsid w:val="36B224F9"/>
    <w:rsid w:val="36EC0CC9"/>
    <w:rsid w:val="37123B84"/>
    <w:rsid w:val="373F410B"/>
    <w:rsid w:val="37B73FD0"/>
    <w:rsid w:val="37EE7094"/>
    <w:rsid w:val="37FA26C7"/>
    <w:rsid w:val="38296C89"/>
    <w:rsid w:val="383002EB"/>
    <w:rsid w:val="38586797"/>
    <w:rsid w:val="385D15DF"/>
    <w:rsid w:val="388778F1"/>
    <w:rsid w:val="38BC0149"/>
    <w:rsid w:val="38D87D1C"/>
    <w:rsid w:val="39094D4C"/>
    <w:rsid w:val="39636459"/>
    <w:rsid w:val="396B7F6C"/>
    <w:rsid w:val="39B417A9"/>
    <w:rsid w:val="39E62367"/>
    <w:rsid w:val="39FC5695"/>
    <w:rsid w:val="3A006D8E"/>
    <w:rsid w:val="3A3651E5"/>
    <w:rsid w:val="3A744481"/>
    <w:rsid w:val="3A8C7BEF"/>
    <w:rsid w:val="3A906246"/>
    <w:rsid w:val="3B2349B7"/>
    <w:rsid w:val="3B386EF0"/>
    <w:rsid w:val="3B616CFF"/>
    <w:rsid w:val="3B6259F6"/>
    <w:rsid w:val="3B976654"/>
    <w:rsid w:val="3BC01EFC"/>
    <w:rsid w:val="3BC907C3"/>
    <w:rsid w:val="3BCA786A"/>
    <w:rsid w:val="3BD31E2F"/>
    <w:rsid w:val="3BF15831"/>
    <w:rsid w:val="3C105946"/>
    <w:rsid w:val="3C471448"/>
    <w:rsid w:val="3C5F759A"/>
    <w:rsid w:val="3C6C525A"/>
    <w:rsid w:val="3CCE23CB"/>
    <w:rsid w:val="3CD17D17"/>
    <w:rsid w:val="3CE33B06"/>
    <w:rsid w:val="3D3C7F39"/>
    <w:rsid w:val="3D440F09"/>
    <w:rsid w:val="3D4504A0"/>
    <w:rsid w:val="3D8734BB"/>
    <w:rsid w:val="3D9A11D4"/>
    <w:rsid w:val="3DA16D89"/>
    <w:rsid w:val="3DA364BE"/>
    <w:rsid w:val="3DAA0180"/>
    <w:rsid w:val="3DD75DF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FF545D"/>
    <w:rsid w:val="410067C8"/>
    <w:rsid w:val="41133F2D"/>
    <w:rsid w:val="4188379D"/>
    <w:rsid w:val="418F0D2A"/>
    <w:rsid w:val="41D01505"/>
    <w:rsid w:val="42164036"/>
    <w:rsid w:val="42474939"/>
    <w:rsid w:val="424C3C57"/>
    <w:rsid w:val="42613FF3"/>
    <w:rsid w:val="42660D96"/>
    <w:rsid w:val="428667D2"/>
    <w:rsid w:val="42CD1CE0"/>
    <w:rsid w:val="42E1381E"/>
    <w:rsid w:val="42ED6459"/>
    <w:rsid w:val="42FE58DD"/>
    <w:rsid w:val="43014BA5"/>
    <w:rsid w:val="43174B3D"/>
    <w:rsid w:val="434B790E"/>
    <w:rsid w:val="4360274F"/>
    <w:rsid w:val="43977AB6"/>
    <w:rsid w:val="43A3342B"/>
    <w:rsid w:val="43C77C27"/>
    <w:rsid w:val="43DE09EE"/>
    <w:rsid w:val="43FD266F"/>
    <w:rsid w:val="44002FAD"/>
    <w:rsid w:val="449101DD"/>
    <w:rsid w:val="44B019A5"/>
    <w:rsid w:val="44DE1391"/>
    <w:rsid w:val="451B225C"/>
    <w:rsid w:val="452410C9"/>
    <w:rsid w:val="45317DFB"/>
    <w:rsid w:val="455B3AB6"/>
    <w:rsid w:val="456D3CE4"/>
    <w:rsid w:val="4579042C"/>
    <w:rsid w:val="457F0571"/>
    <w:rsid w:val="45851176"/>
    <w:rsid w:val="45C63B94"/>
    <w:rsid w:val="45D46B6F"/>
    <w:rsid w:val="460E7DA5"/>
    <w:rsid w:val="46422483"/>
    <w:rsid w:val="4659254A"/>
    <w:rsid w:val="465B0637"/>
    <w:rsid w:val="465E3F0D"/>
    <w:rsid w:val="466A16E6"/>
    <w:rsid w:val="46893F2B"/>
    <w:rsid w:val="46C4686E"/>
    <w:rsid w:val="4760647F"/>
    <w:rsid w:val="477B778F"/>
    <w:rsid w:val="478203EC"/>
    <w:rsid w:val="47B025FA"/>
    <w:rsid w:val="47E86EEE"/>
    <w:rsid w:val="4809698F"/>
    <w:rsid w:val="4811697D"/>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C44B03"/>
    <w:rsid w:val="4BEE2503"/>
    <w:rsid w:val="4C245A30"/>
    <w:rsid w:val="4CB6685F"/>
    <w:rsid w:val="4CB9595F"/>
    <w:rsid w:val="4CC367FE"/>
    <w:rsid w:val="4D077F3C"/>
    <w:rsid w:val="4D093881"/>
    <w:rsid w:val="4D123355"/>
    <w:rsid w:val="4D2A3B31"/>
    <w:rsid w:val="4D312C52"/>
    <w:rsid w:val="4D905305"/>
    <w:rsid w:val="4D964A72"/>
    <w:rsid w:val="4D9C1254"/>
    <w:rsid w:val="4E793892"/>
    <w:rsid w:val="4E800872"/>
    <w:rsid w:val="4EA824BA"/>
    <w:rsid w:val="4EC569ED"/>
    <w:rsid w:val="4ED50EA1"/>
    <w:rsid w:val="4EEC050C"/>
    <w:rsid w:val="4F104EC3"/>
    <w:rsid w:val="4F211FAF"/>
    <w:rsid w:val="4F47354A"/>
    <w:rsid w:val="4F911C54"/>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990A97"/>
    <w:rsid w:val="52A25790"/>
    <w:rsid w:val="52A96B6F"/>
    <w:rsid w:val="52B45975"/>
    <w:rsid w:val="52D94AA4"/>
    <w:rsid w:val="52EA3A62"/>
    <w:rsid w:val="52F50BB8"/>
    <w:rsid w:val="53097272"/>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70651"/>
    <w:rsid w:val="562763BA"/>
    <w:rsid w:val="56374888"/>
    <w:rsid w:val="566B6D1E"/>
    <w:rsid w:val="56A9758B"/>
    <w:rsid w:val="57032A2C"/>
    <w:rsid w:val="570F5219"/>
    <w:rsid w:val="575D12B5"/>
    <w:rsid w:val="57610A87"/>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8FE3D82"/>
    <w:rsid w:val="59166304"/>
    <w:rsid w:val="595E1678"/>
    <w:rsid w:val="596D5BD4"/>
    <w:rsid w:val="597E3DD8"/>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7905DF"/>
    <w:rsid w:val="5D7E2D63"/>
    <w:rsid w:val="5D891B7B"/>
    <w:rsid w:val="5DAD38EE"/>
    <w:rsid w:val="5DC343D6"/>
    <w:rsid w:val="5DE034FD"/>
    <w:rsid w:val="5E006862"/>
    <w:rsid w:val="5E0207B9"/>
    <w:rsid w:val="5E1834A1"/>
    <w:rsid w:val="5E261785"/>
    <w:rsid w:val="5E4A7017"/>
    <w:rsid w:val="5E552BBA"/>
    <w:rsid w:val="5E611C10"/>
    <w:rsid w:val="5E7A0F3F"/>
    <w:rsid w:val="5EFC7377"/>
    <w:rsid w:val="5F06174D"/>
    <w:rsid w:val="5F2E3C3E"/>
    <w:rsid w:val="5F3A3602"/>
    <w:rsid w:val="5F45733B"/>
    <w:rsid w:val="5F6277C6"/>
    <w:rsid w:val="5F6D0B1D"/>
    <w:rsid w:val="5F8D0B82"/>
    <w:rsid w:val="5FA171DD"/>
    <w:rsid w:val="5FCC5339"/>
    <w:rsid w:val="5FE34A5B"/>
    <w:rsid w:val="5FEE3226"/>
    <w:rsid w:val="5FF2674B"/>
    <w:rsid w:val="5FFE1E36"/>
    <w:rsid w:val="60232584"/>
    <w:rsid w:val="602B12B5"/>
    <w:rsid w:val="60581F2D"/>
    <w:rsid w:val="607330CE"/>
    <w:rsid w:val="60825176"/>
    <w:rsid w:val="609F2AC4"/>
    <w:rsid w:val="60FA2EE8"/>
    <w:rsid w:val="61054A27"/>
    <w:rsid w:val="610A52BC"/>
    <w:rsid w:val="611D2366"/>
    <w:rsid w:val="61421856"/>
    <w:rsid w:val="615227C4"/>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240056"/>
    <w:rsid w:val="643E143A"/>
    <w:rsid w:val="64491666"/>
    <w:rsid w:val="648B6EEF"/>
    <w:rsid w:val="64C158BF"/>
    <w:rsid w:val="64CE2EAA"/>
    <w:rsid w:val="653C3090"/>
    <w:rsid w:val="654923D5"/>
    <w:rsid w:val="65854376"/>
    <w:rsid w:val="658767BE"/>
    <w:rsid w:val="65892531"/>
    <w:rsid w:val="66195831"/>
    <w:rsid w:val="662E75B1"/>
    <w:rsid w:val="66342C2E"/>
    <w:rsid w:val="663E784C"/>
    <w:rsid w:val="668B6A45"/>
    <w:rsid w:val="66952ECC"/>
    <w:rsid w:val="67087B42"/>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C38A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6FFC54D5"/>
    <w:rsid w:val="707723D0"/>
    <w:rsid w:val="70980188"/>
    <w:rsid w:val="70F5661B"/>
    <w:rsid w:val="71136A90"/>
    <w:rsid w:val="71360107"/>
    <w:rsid w:val="713B688E"/>
    <w:rsid w:val="71D43752"/>
    <w:rsid w:val="71F1796A"/>
    <w:rsid w:val="72154626"/>
    <w:rsid w:val="72262B5D"/>
    <w:rsid w:val="72283FF7"/>
    <w:rsid w:val="722E7212"/>
    <w:rsid w:val="723A0474"/>
    <w:rsid w:val="725923E4"/>
    <w:rsid w:val="72864BF7"/>
    <w:rsid w:val="729023FC"/>
    <w:rsid w:val="7315171E"/>
    <w:rsid w:val="73C0646E"/>
    <w:rsid w:val="73E77B7E"/>
    <w:rsid w:val="74010BD4"/>
    <w:rsid w:val="740215BD"/>
    <w:rsid w:val="74065409"/>
    <w:rsid w:val="740B2A1F"/>
    <w:rsid w:val="742222F5"/>
    <w:rsid w:val="74476126"/>
    <w:rsid w:val="746A059A"/>
    <w:rsid w:val="74706664"/>
    <w:rsid w:val="747F3682"/>
    <w:rsid w:val="748D49FE"/>
    <w:rsid w:val="749C4185"/>
    <w:rsid w:val="74C85E76"/>
    <w:rsid w:val="75067759"/>
    <w:rsid w:val="751C1388"/>
    <w:rsid w:val="752E6DCD"/>
    <w:rsid w:val="7551380D"/>
    <w:rsid w:val="75600BE5"/>
    <w:rsid w:val="7564475C"/>
    <w:rsid w:val="7583797F"/>
    <w:rsid w:val="75A1531A"/>
    <w:rsid w:val="75D20F1D"/>
    <w:rsid w:val="75DA2C18"/>
    <w:rsid w:val="75F54412"/>
    <w:rsid w:val="761D08E0"/>
    <w:rsid w:val="765D347C"/>
    <w:rsid w:val="76826699"/>
    <w:rsid w:val="76B42462"/>
    <w:rsid w:val="76C87133"/>
    <w:rsid w:val="76CD08D5"/>
    <w:rsid w:val="76DB4B92"/>
    <w:rsid w:val="76E05D92"/>
    <w:rsid w:val="77052AA4"/>
    <w:rsid w:val="77136511"/>
    <w:rsid w:val="77183DD1"/>
    <w:rsid w:val="771C7B64"/>
    <w:rsid w:val="77340A39"/>
    <w:rsid w:val="77351FD0"/>
    <w:rsid w:val="77472422"/>
    <w:rsid w:val="776A13F0"/>
    <w:rsid w:val="777F31F2"/>
    <w:rsid w:val="77D1700D"/>
    <w:rsid w:val="77D32794"/>
    <w:rsid w:val="77D84854"/>
    <w:rsid w:val="77EC04CC"/>
    <w:rsid w:val="77F24622"/>
    <w:rsid w:val="78775729"/>
    <w:rsid w:val="788F3C1F"/>
    <w:rsid w:val="78A42DB0"/>
    <w:rsid w:val="78A656AB"/>
    <w:rsid w:val="78B2245C"/>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C10F6"/>
    <w:rsid w:val="7C853BEA"/>
    <w:rsid w:val="7C881368"/>
    <w:rsid w:val="7CE27788"/>
    <w:rsid w:val="7D0A375A"/>
    <w:rsid w:val="7D0C32F1"/>
    <w:rsid w:val="7D0F408D"/>
    <w:rsid w:val="7D491C6C"/>
    <w:rsid w:val="7D5429C0"/>
    <w:rsid w:val="7D6E6D43"/>
    <w:rsid w:val="7D910A1B"/>
    <w:rsid w:val="7DB57A34"/>
    <w:rsid w:val="7DE60973"/>
    <w:rsid w:val="7DE9072C"/>
    <w:rsid w:val="7DEF0916"/>
    <w:rsid w:val="7DFA111A"/>
    <w:rsid w:val="7E1E5218"/>
    <w:rsid w:val="7E9A4E1F"/>
    <w:rsid w:val="7EA7723A"/>
    <w:rsid w:val="7EF56FBB"/>
    <w:rsid w:val="7F0768EB"/>
    <w:rsid w:val="7F143BEC"/>
    <w:rsid w:val="7F402581"/>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next w:val="21"/>
    <w:link w:val="344"/>
    <w:qFormat/>
    <w:uiPriority w:val="99"/>
    <w:pPr>
      <w:jc w:val="left"/>
    </w:pPr>
  </w:style>
  <w:style w:type="paragraph" w:styleId="21">
    <w:name w:val="Body Text Indent"/>
    <w:basedOn w:val="1"/>
    <w:next w:val="22"/>
    <w:link w:val="265"/>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8"/>
    <w:qFormat/>
    <w:uiPriority w:val="0"/>
    <w:rPr>
      <w:rFonts w:ascii="仿宋_GB2312" w:eastAsia="仿宋_GB2312"/>
      <w:sz w:val="28"/>
      <w:szCs w:val="20"/>
    </w:rPr>
  </w:style>
  <w:style w:type="paragraph" w:styleId="26">
    <w:name w:val="Body Text 3"/>
    <w:basedOn w:val="1"/>
    <w:link w:val="330"/>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9">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index 4"/>
    <w:basedOn w:val="1"/>
    <w:next w:val="1"/>
    <w:unhideWhenUsed/>
    <w:qFormat/>
    <w:uiPriority w:val="99"/>
    <w:rPr>
      <w:b/>
      <w:sz w:val="24"/>
      <w:lang w:val="zh-CN"/>
    </w:rPr>
  </w:style>
  <w:style w:type="paragraph" w:styleId="34">
    <w:name w:val="toc 5"/>
    <w:basedOn w:val="1"/>
    <w:next w:val="1"/>
    <w:qFormat/>
    <w:uiPriority w:val="0"/>
    <w:pPr>
      <w:ind w:left="1680" w:leftChars="800"/>
    </w:pPr>
  </w:style>
  <w:style w:type="paragraph" w:styleId="35">
    <w:name w:val="Plain Text"/>
    <w:basedOn w:val="1"/>
    <w:next w:val="6"/>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8"/>
    <w:qFormat/>
    <w:uiPriority w:val="0"/>
    <w:pPr>
      <w:spacing w:line="360" w:lineRule="auto"/>
      <w:ind w:firstLine="601"/>
      <w:textAlignment w:val="baseline"/>
    </w:pPr>
    <w:rPr>
      <w:rFonts w:ascii="宋体"/>
      <w:kern w:val="0"/>
      <w:sz w:val="28"/>
      <w:szCs w:val="20"/>
    </w:rPr>
  </w:style>
  <w:style w:type="paragraph" w:styleId="40">
    <w:name w:val="endnote text"/>
    <w:basedOn w:val="1"/>
    <w:link w:val="931"/>
    <w:qFormat/>
    <w:uiPriority w:val="0"/>
    <w:rPr>
      <w:lang w:val="zh-CN"/>
    </w:rPr>
  </w:style>
  <w:style w:type="paragraph" w:styleId="41">
    <w:name w:val="Balloon Text"/>
    <w:basedOn w:val="1"/>
    <w:link w:val="188"/>
    <w:qFormat/>
    <w:uiPriority w:val="0"/>
    <w:rPr>
      <w:sz w:val="18"/>
      <w:szCs w:val="18"/>
    </w:rPr>
  </w:style>
  <w:style w:type="paragraph" w:styleId="42">
    <w:name w:val="footer"/>
    <w:basedOn w:val="1"/>
    <w:next w:val="1"/>
    <w:link w:val="383"/>
    <w:qFormat/>
    <w:uiPriority w:val="99"/>
    <w:pPr>
      <w:tabs>
        <w:tab w:val="center" w:pos="4153"/>
        <w:tab w:val="right" w:pos="8306"/>
      </w:tabs>
      <w:snapToGrid w:val="0"/>
      <w:jc w:val="left"/>
    </w:pPr>
    <w:rPr>
      <w:sz w:val="18"/>
      <w:szCs w:val="18"/>
    </w:rPr>
  </w:style>
  <w:style w:type="paragraph" w:styleId="43">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39"/>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5"/>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2"/>
    <w:qFormat/>
    <w:uiPriority w:val="0"/>
    <w:pPr>
      <w:spacing w:after="120" w:line="480" w:lineRule="auto"/>
    </w:pPr>
  </w:style>
  <w:style w:type="paragraph" w:styleId="59">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0"/>
    <w:next w:val="20"/>
    <w:link w:val="96"/>
    <w:qFormat/>
    <w:uiPriority w:val="0"/>
    <w:rPr>
      <w:b/>
      <w:bCs/>
    </w:rPr>
  </w:style>
  <w:style w:type="paragraph" w:styleId="63">
    <w:name w:val="Body Text First Indent"/>
    <w:basedOn w:val="28"/>
    <w:link w:val="321"/>
    <w:qFormat/>
    <w:uiPriority w:val="0"/>
    <w:pPr>
      <w:ind w:firstLine="420"/>
    </w:pPr>
    <w:rPr>
      <w:rFonts w:hAnsi="Calibri" w:cs="Times New Roman"/>
      <w:snapToGrid/>
      <w:szCs w:val="20"/>
    </w:rPr>
  </w:style>
  <w:style w:type="paragraph" w:styleId="64">
    <w:name w:val="Body Text First Indent 2"/>
    <w:basedOn w:val="1"/>
    <w:link w:val="121"/>
    <w:qFormat/>
    <w:uiPriority w:val="0"/>
    <w:pPr>
      <w:adjustRightInd/>
      <w:spacing w:after="120" w:line="240" w:lineRule="auto"/>
      <w:ind w:left="420" w:leftChars="200" w:firstLine="210"/>
    </w:pPr>
    <w:rPr>
      <w:sz w:val="21"/>
    </w:rPr>
  </w:style>
  <w:style w:type="table" w:styleId="66">
    <w:name w:val="Table Grid"/>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2"/>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4"/>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2"/>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2"/>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1"/>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1"/>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5"/>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9"/>
    <w:qFormat/>
    <w:uiPriority w:val="0"/>
    <w:rPr>
      <w:rFonts w:ascii="黑体" w:hAnsi="Courier New" w:eastAsia="黑体"/>
    </w:rPr>
  </w:style>
  <w:style w:type="character" w:customStyle="1" w:styleId="302">
    <w:name w:val="正文文本 2 Char1"/>
    <w:link w:val="58"/>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9"/>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2"/>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3"/>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6"/>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qFormat/>
    <w:uiPriority w:val="0"/>
    <w:rPr>
      <w:kern w:val="2"/>
      <w:sz w:val="21"/>
      <w:szCs w:val="24"/>
    </w:rPr>
  </w:style>
  <w:style w:type="character" w:customStyle="1" w:styleId="345">
    <w:name w:val="签名 Char"/>
    <w:link w:val="44"/>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5"/>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2"/>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3"/>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2"/>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1">
    <w:name w:val="gray6"/>
    <w:basedOn w:val="72"/>
    <w:qFormat/>
    <w:uiPriority w:val="0"/>
    <w:rPr>
      <w:rFonts w:ascii="Arial" w:hAnsi="Arial" w:eastAsia="黑体" w:cs="Arial"/>
      <w:snapToGrid w:val="0"/>
      <w:kern w:val="0"/>
      <w:szCs w:val="21"/>
    </w:rPr>
  </w:style>
  <w:style w:type="character" w:customStyle="1" w:styleId="432">
    <w:name w:val="hui"/>
    <w:basedOn w:val="72"/>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8"/>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9"/>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40"/>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2"/>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111</Pages>
  <Words>181</Words>
  <Characters>240</Characters>
  <Lines>379</Lines>
  <Paragraphs>106</Paragraphs>
  <TotalTime>210</TotalTime>
  <ScaleCrop>false</ScaleCrop>
  <LinksUpToDate>false</LinksUpToDate>
  <CharactersWithSpaces>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2024-09-09T12:13:00Z</cp:lastPrinted>
  <dcterms:modified xsi:type="dcterms:W3CDTF">2025-10-21T08:30:12Z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12DFBFFDCF06466692CA6435F6913873_13</vt:lpwstr>
  </property>
  <property fmtid="{D5CDD505-2E9C-101B-9397-08002B2CF9AE}" pid="5" name="KSOTemplateDocerSaveRecord">
    <vt:lpwstr>eyJoZGlkIjoiMzAxZmQzYWI0NjhhYzFiYmI0OTc3MDAxMDBmYjY5YTgiLCJ1c2VySWQiOiI3MjI3NTU4NDQifQ==</vt:lpwstr>
  </property>
</Properties>
</file>