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62D71">
      <w:pPr>
        <w:spacing w:before="165" w:beforeLines="50" w:line="360" w:lineRule="auto"/>
        <w:jc w:val="center"/>
        <w:rPr>
          <w:rFonts w:ascii="宋体" w:hAnsi="宋体" w:eastAsia="宋体" w:cs="Times New Roman"/>
          <w:color w:val="auto"/>
          <w:sz w:val="52"/>
          <w:szCs w:val="52"/>
          <w:highlight w:val="none"/>
        </w:rPr>
      </w:pPr>
    </w:p>
    <w:p w14:paraId="594AA627">
      <w:pPr>
        <w:spacing w:before="165" w:beforeLines="50" w:line="360" w:lineRule="auto"/>
        <w:jc w:val="center"/>
        <w:rPr>
          <w:rFonts w:hint="eastAsia" w:ascii="宋体" w:hAnsi="宋体" w:eastAsia="宋体" w:cs="Times New Roman"/>
          <w:color w:val="auto"/>
          <w:sz w:val="52"/>
          <w:szCs w:val="52"/>
          <w:highlight w:val="none"/>
        </w:rPr>
      </w:pPr>
      <w:r>
        <w:rPr>
          <w:rFonts w:hint="eastAsia" w:ascii="宋体" w:hAnsi="宋体" w:eastAsia="宋体" w:cs="Times New Roman"/>
          <w:color w:val="auto"/>
          <w:sz w:val="52"/>
          <w:szCs w:val="52"/>
          <w:highlight w:val="none"/>
        </w:rPr>
        <w:t>公开招标文件（服务类）</w:t>
      </w:r>
    </w:p>
    <w:p w14:paraId="510331FF">
      <w:pPr>
        <w:spacing w:before="165" w:beforeLines="50" w:line="360" w:lineRule="auto"/>
        <w:jc w:val="right"/>
        <w:rPr>
          <w:rFonts w:hint="eastAsia" w:ascii="仿宋_GB2312" w:hAnsi="宋体" w:eastAsia="仿宋_GB2312" w:cs="Times New Roman"/>
          <w:b/>
          <w:color w:val="auto"/>
          <w:sz w:val="48"/>
          <w:szCs w:val="48"/>
          <w:highlight w:val="none"/>
        </w:rPr>
      </w:pPr>
    </w:p>
    <w:p w14:paraId="6F2EE9AD">
      <w:pPr>
        <w:spacing w:before="165" w:beforeLines="50" w:line="360" w:lineRule="auto"/>
        <w:jc w:val="center"/>
        <w:rPr>
          <w:rFonts w:hint="eastAsia" w:ascii="仿宋_GB2312" w:hAnsi="宋体" w:eastAsia="仿宋_GB2312" w:cs="Times New Roman"/>
          <w:b/>
          <w:color w:val="auto"/>
          <w:sz w:val="48"/>
          <w:szCs w:val="48"/>
          <w:highlight w:val="none"/>
        </w:rPr>
      </w:pPr>
    </w:p>
    <w:p w14:paraId="22ACF760">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招 标 文 件</w:t>
      </w:r>
    </w:p>
    <w:p w14:paraId="79F930AE">
      <w:pPr>
        <w:snapToGrid w:val="0"/>
        <w:spacing w:before="165" w:beforeLines="50" w:line="360" w:lineRule="auto"/>
        <w:jc w:val="center"/>
        <w:rPr>
          <w:rFonts w:hint="eastAsia" w:ascii="仿宋_GB2312" w:hAnsi="宋体" w:eastAsia="仿宋_GB2312" w:cs="Times New Roman"/>
          <w:color w:val="auto"/>
          <w:sz w:val="30"/>
          <w:szCs w:val="72"/>
          <w:highlight w:val="none"/>
        </w:rPr>
      </w:pPr>
      <w:r>
        <w:rPr>
          <w:rFonts w:hint="eastAsia" w:ascii="仿宋_GB2312" w:hAnsi="宋体" w:eastAsia="仿宋_GB2312" w:cs="Times New Roman"/>
          <w:color w:val="auto"/>
          <w:sz w:val="30"/>
          <w:szCs w:val="72"/>
          <w:highlight w:val="none"/>
        </w:rPr>
        <w:t>（全流程电子化评标）</w:t>
      </w:r>
    </w:p>
    <w:p w14:paraId="301DADB6">
      <w:pPr>
        <w:snapToGrid w:val="0"/>
        <w:spacing w:before="165" w:beforeLines="50" w:line="360" w:lineRule="auto"/>
        <w:rPr>
          <w:rFonts w:hint="eastAsia" w:ascii="仿宋_GB2312" w:hAnsi="宋体" w:eastAsia="仿宋_GB2312" w:cs="Times New Roman"/>
          <w:color w:val="auto"/>
          <w:sz w:val="30"/>
          <w:szCs w:val="72"/>
          <w:highlight w:val="none"/>
        </w:rPr>
      </w:pPr>
    </w:p>
    <w:p w14:paraId="7A9F7F85">
      <w:pPr>
        <w:pStyle w:val="15"/>
        <w:snapToGrid w:val="0"/>
        <w:spacing w:before="50" w:after="120" w:line="360" w:lineRule="auto"/>
        <w:ind w:firstLine="2711" w:firstLineChars="900"/>
        <w:jc w:val="both"/>
        <w:rPr>
          <w:rFonts w:hint="eastAsia" w:ascii="宋体" w:hAnsi="宋体" w:eastAsia="宋体" w:cs="宋体"/>
          <w:b/>
          <w:bCs/>
          <w:color w:val="auto"/>
          <w:sz w:val="30"/>
          <w:szCs w:val="30"/>
          <w:highlight w:val="none"/>
        </w:rPr>
      </w:pPr>
    </w:p>
    <w:p w14:paraId="4BABB7E3">
      <w:pPr>
        <w:pStyle w:val="15"/>
        <w:snapToGrid w:val="0"/>
        <w:spacing w:before="50" w:after="120" w:line="360" w:lineRule="auto"/>
        <w:jc w:val="both"/>
        <w:rPr>
          <w:rFonts w:hint="eastAsia" w:ascii="宋体" w:hAnsi="宋体" w:eastAsia="宋体" w:cs="宋体"/>
          <w:b w:val="0"/>
          <w:bCs w:val="0"/>
          <w:color w:val="auto"/>
          <w:sz w:val="30"/>
          <w:szCs w:val="30"/>
          <w:highlight w:val="non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lang w:eastAsia="zh-CN"/>
        </w:rPr>
        <w:t>梧州市人民警察训练学校2025年至2026年食堂食材配送服务采购项目</w:t>
      </w:r>
    </w:p>
    <w:p w14:paraId="3800A909">
      <w:pPr>
        <w:pStyle w:val="15"/>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100"/>
          <w:sz w:val="30"/>
          <w:szCs w:val="30"/>
          <w:highlight w:val="none"/>
          <w:lang w:eastAsia="zh-CN"/>
        </w:rPr>
        <w:t>项目编号：</w:t>
      </w:r>
      <w:r>
        <w:rPr>
          <w:rFonts w:hint="eastAsia" w:hAnsi="宋体" w:cs="宋体"/>
          <w:b/>
          <w:bCs/>
          <w:color w:val="auto"/>
          <w:w w:val="100"/>
          <w:sz w:val="30"/>
          <w:szCs w:val="30"/>
          <w:highlight w:val="none"/>
          <w:lang w:eastAsia="zh-CN"/>
        </w:rPr>
        <w:t>WZZC2025-G3-990241-GXKL</w:t>
      </w:r>
    </w:p>
    <w:p w14:paraId="1076508F">
      <w:pPr>
        <w:widowControl w:val="0"/>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 xml:space="preserve">采购人：梧州市人民警察训练学校 </w:t>
      </w:r>
    </w:p>
    <w:p w14:paraId="2627A86A">
      <w:pPr>
        <w:widowControl w:val="0"/>
        <w:snapToGrid w:val="0"/>
        <w:spacing w:before="50" w:after="120" w:line="360" w:lineRule="auto"/>
        <w:jc w:val="both"/>
        <w:rPr>
          <w:rFonts w:hint="eastAsia" w:ascii="宋体" w:hAnsi="宋体" w:eastAsia="宋体" w:cs="宋体"/>
          <w:b/>
          <w:bCs/>
          <w:color w:val="auto"/>
          <w:w w:val="95"/>
          <w:kern w:val="2"/>
          <w:sz w:val="30"/>
          <w:szCs w:val="30"/>
          <w:highlight w:val="none"/>
          <w:lang w:val="en-US" w:eastAsia="zh-CN" w:bidi="ar-SA"/>
        </w:rPr>
      </w:pPr>
      <w:r>
        <w:rPr>
          <w:rFonts w:hint="eastAsia" w:ascii="宋体" w:hAnsi="宋体" w:eastAsia="宋体" w:cs="宋体"/>
          <w:b/>
          <w:bCs/>
          <w:color w:val="auto"/>
          <w:w w:val="95"/>
          <w:kern w:val="2"/>
          <w:sz w:val="30"/>
          <w:szCs w:val="30"/>
          <w:highlight w:val="none"/>
          <w:lang w:val="en-US" w:eastAsia="zh-CN" w:bidi="ar-SA"/>
        </w:rPr>
        <w:t>采购代理机构：</w:t>
      </w:r>
      <w:bookmarkStart w:id="0" w:name="PO_3000001866_PM031"/>
      <w:r>
        <w:rPr>
          <w:rFonts w:hint="eastAsia" w:ascii="宋体" w:hAnsi="宋体" w:eastAsia="宋体" w:cs="宋体"/>
          <w:b/>
          <w:bCs/>
          <w:color w:val="auto"/>
          <w:w w:val="95"/>
          <w:kern w:val="2"/>
          <w:sz w:val="30"/>
          <w:szCs w:val="30"/>
          <w:highlight w:val="none"/>
          <w:lang w:val="en-US" w:eastAsia="zh-CN" w:bidi="ar-SA"/>
        </w:rPr>
        <w:t>广西科联招标中心有限公司</w:t>
      </w:r>
      <w:bookmarkEnd w:id="0"/>
    </w:p>
    <w:p w14:paraId="4F88AEC9">
      <w:pPr>
        <w:pStyle w:val="15"/>
        <w:snapToGrid w:val="0"/>
        <w:spacing w:before="50" w:after="120" w:line="360" w:lineRule="auto"/>
        <w:ind w:firstLine="4006" w:firstLineChars="1400"/>
        <w:jc w:val="both"/>
        <w:rPr>
          <w:rFonts w:hint="eastAsia" w:ascii="宋体" w:hAnsi="宋体" w:eastAsia="宋体" w:cs="宋体"/>
          <w:b/>
          <w:bCs/>
          <w:color w:val="auto"/>
          <w:w w:val="95"/>
          <w:kern w:val="2"/>
          <w:sz w:val="30"/>
          <w:szCs w:val="30"/>
          <w:highlight w:val="none"/>
          <w:lang w:val="en-US" w:eastAsia="zh-CN" w:bidi="ar-SA"/>
        </w:rPr>
      </w:pPr>
    </w:p>
    <w:p w14:paraId="2AD70453">
      <w:pPr>
        <w:pStyle w:val="15"/>
        <w:snapToGrid w:val="0"/>
        <w:spacing w:before="50" w:after="120" w:line="360" w:lineRule="auto"/>
        <w:ind w:firstLine="4006" w:firstLineChars="1400"/>
        <w:jc w:val="both"/>
        <w:rPr>
          <w:rFonts w:hint="eastAsia" w:ascii="宋体" w:hAnsi="宋体" w:eastAsia="宋体" w:cs="宋体"/>
          <w:b/>
          <w:bCs/>
          <w:color w:val="auto"/>
          <w:w w:val="95"/>
          <w:sz w:val="30"/>
          <w:szCs w:val="30"/>
          <w:highlight w:val="none"/>
        </w:rPr>
      </w:pPr>
      <w:r>
        <w:rPr>
          <w:rFonts w:hint="eastAsia" w:hAnsi="宋体" w:cs="宋体"/>
          <w:b/>
          <w:bCs/>
          <w:color w:val="auto"/>
          <w:w w:val="95"/>
          <w:kern w:val="2"/>
          <w:sz w:val="30"/>
          <w:szCs w:val="30"/>
          <w:highlight w:val="none"/>
          <w:lang w:val="en-US" w:eastAsia="zh-CN" w:bidi="ar-SA"/>
        </w:rPr>
        <w:t xml:space="preserve"> 2025年9月26</w:t>
      </w:r>
      <w:r>
        <w:rPr>
          <w:rFonts w:hint="eastAsia" w:ascii="宋体" w:hAnsi="宋体" w:eastAsia="宋体" w:cs="宋体"/>
          <w:b/>
          <w:bCs/>
          <w:color w:val="auto"/>
          <w:w w:val="95"/>
          <w:kern w:val="2"/>
          <w:sz w:val="30"/>
          <w:szCs w:val="30"/>
          <w:highlight w:val="none"/>
          <w:lang w:val="en-US" w:eastAsia="zh-CN" w:bidi="ar-SA"/>
        </w:rPr>
        <w:t>日</w:t>
      </w:r>
    </w:p>
    <w:p w14:paraId="6D14E6A3">
      <w:pPr>
        <w:widowControl/>
        <w:spacing w:line="360" w:lineRule="auto"/>
        <w:jc w:val="both"/>
        <w:rPr>
          <w:rFonts w:hint="eastAsia" w:ascii="宋体" w:hAnsi="宋体" w:eastAsia="宋体" w:cs="宋体"/>
          <w:b/>
          <w:bCs/>
          <w:color w:val="auto"/>
          <w:w w:val="95"/>
          <w:sz w:val="30"/>
          <w:szCs w:val="30"/>
          <w:highlight w:val="none"/>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337E9C25">
      <w:pPr>
        <w:pStyle w:val="17"/>
        <w:rPr>
          <w:rFonts w:hint="eastAsia"/>
          <w:color w:val="auto"/>
          <w:highlight w:val="none"/>
        </w:rPr>
      </w:pPr>
    </w:p>
    <w:p w14:paraId="13F737A0">
      <w:pPr>
        <w:rPr>
          <w:rFonts w:hint="eastAsia" w:ascii="Times New Roman" w:hAnsi="Times New Roman" w:eastAsia="宋体" w:cs="Times New Roman"/>
          <w:b/>
          <w:color w:val="auto"/>
          <w:sz w:val="48"/>
          <w:szCs w:val="48"/>
          <w:highlight w:val="none"/>
        </w:rPr>
      </w:pPr>
    </w:p>
    <w:p w14:paraId="70404690">
      <w:pPr>
        <w:jc w:val="center"/>
        <w:rPr>
          <w:rFonts w:ascii="Times New Roman" w:hAnsi="Times New Roman" w:eastAsia="宋体" w:cs="Times New Roman"/>
          <w:b/>
          <w:color w:val="auto"/>
          <w:sz w:val="48"/>
          <w:szCs w:val="48"/>
          <w:highlight w:val="none"/>
        </w:rPr>
      </w:pPr>
      <w:r>
        <w:rPr>
          <w:rFonts w:hint="eastAsia" w:ascii="Times New Roman" w:hAnsi="Times New Roman" w:eastAsia="宋体" w:cs="Times New Roman"/>
          <w:b/>
          <w:color w:val="auto"/>
          <w:sz w:val="48"/>
          <w:szCs w:val="48"/>
          <w:highlight w:val="none"/>
        </w:rPr>
        <w:t>目</w:t>
      </w:r>
      <w:r>
        <w:rPr>
          <w:rFonts w:ascii="Times New Roman" w:hAnsi="Times New Roman" w:eastAsia="宋体" w:cs="Times New Roman"/>
          <w:b/>
          <w:color w:val="auto"/>
          <w:sz w:val="48"/>
          <w:szCs w:val="48"/>
          <w:highlight w:val="none"/>
        </w:rPr>
        <w:t xml:space="preserve">     </w:t>
      </w:r>
      <w:r>
        <w:rPr>
          <w:rFonts w:hint="eastAsia" w:ascii="Times New Roman" w:hAnsi="Times New Roman" w:eastAsia="宋体" w:cs="Times New Roman"/>
          <w:b/>
          <w:color w:val="auto"/>
          <w:sz w:val="48"/>
          <w:szCs w:val="48"/>
          <w:highlight w:val="none"/>
        </w:rPr>
        <w:t>录</w:t>
      </w:r>
    </w:p>
    <w:p w14:paraId="727C6943">
      <w:pPr>
        <w:pStyle w:val="19"/>
        <w:tabs>
          <w:tab w:val="right" w:leader="dot" w:pos="9637"/>
        </w:tabs>
        <w:rPr>
          <w:color w:val="auto"/>
          <w:highlight w:val="none"/>
        </w:rPr>
      </w:pPr>
    </w:p>
    <w:p w14:paraId="5D3EC6F3">
      <w:pPr>
        <w:pStyle w:val="19"/>
        <w:tabs>
          <w:tab w:val="right" w:leader="dot" w:pos="9637"/>
        </w:tabs>
        <w:rPr>
          <w:rFonts w:hint="eastAsia" w:ascii="宋体" w:hAnsi="宋体" w:eastAsia="宋体" w:cs="宋体"/>
          <w:color w:val="auto"/>
          <w:sz w:val="24"/>
          <w:szCs w:val="24"/>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_Toc16222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3BCF57">
      <w:pPr>
        <w:pStyle w:val="19"/>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1AE9C9">
      <w:pPr>
        <w:pStyle w:val="19"/>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_Toc15364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60F71">
      <w:pPr>
        <w:pStyle w:val="19"/>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eastAsia="zh-CN"/>
        </w:rPr>
        <w:t>评标方法和评标标准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_Toc10034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C3DBCF9">
      <w:pPr>
        <w:pStyle w:val="19"/>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_Toc32021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0B3633">
      <w:pPr>
        <w:pStyle w:val="19"/>
        <w:tabs>
          <w:tab w:val="right" w:leader="dot" w:pos="9637"/>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70907B">
      <w:pPr>
        <w:pStyle w:val="19"/>
        <w:tabs>
          <w:tab w:val="right" w:leader="dot" w:pos="9637"/>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 质疑、投诉材料格式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4EB5B4">
      <w:pPr>
        <w:pStyle w:val="15"/>
        <w:jc w:val="center"/>
        <w:rPr>
          <w:rFonts w:hint="eastAsia" w:eastAsia="宋体" w:cs="Times New Roman"/>
          <w:color w:val="auto"/>
          <w:highlight w:val="none"/>
        </w:rPr>
      </w:pPr>
      <w:r>
        <w:rPr>
          <w:color w:val="auto"/>
          <w:highlight w:val="none"/>
        </w:rPr>
        <w:fldChar w:fldCharType="end"/>
      </w:r>
      <w:r>
        <w:rPr>
          <w:rFonts w:hint="eastAsia" w:eastAsia="宋体" w:cs="Times New Roman"/>
          <w:color w:val="auto"/>
          <w:highlight w:val="none"/>
        </w:rPr>
        <w:tab/>
      </w:r>
      <w:bookmarkStart w:id="1" w:name="_Toc532545041"/>
    </w:p>
    <w:p w14:paraId="0E092505">
      <w:pPr>
        <w:rPr>
          <w:rFonts w:hint="eastAsia" w:eastAsia="宋体" w:cs="Times New Roman"/>
          <w:color w:val="auto"/>
          <w:highlight w:val="none"/>
        </w:rPr>
      </w:pPr>
      <w:r>
        <w:rPr>
          <w:rFonts w:hint="eastAsia" w:eastAsia="宋体" w:cs="Times New Roman"/>
          <w:color w:val="auto"/>
          <w:highlight w:val="none"/>
        </w:rPr>
        <w:br w:type="page"/>
      </w:r>
    </w:p>
    <w:p w14:paraId="4F3569E1">
      <w:pPr>
        <w:pStyle w:val="15"/>
        <w:jc w:val="center"/>
        <w:outlineLvl w:val="0"/>
        <w:rPr>
          <w:rFonts w:hint="eastAsia" w:ascii="Times New Roman" w:hAnsi="Times New Roman" w:eastAsia="宋体" w:cs="Times New Roman"/>
          <w:b/>
          <w:color w:val="auto"/>
          <w:sz w:val="36"/>
          <w:szCs w:val="20"/>
          <w:highlight w:val="none"/>
          <w:lang w:val="en-US" w:eastAsia="zh-CN"/>
        </w:rPr>
      </w:pPr>
      <w:bookmarkStart w:id="2" w:name="_Toc11500"/>
      <w:bookmarkStart w:id="3" w:name="_Toc20258"/>
      <w:bookmarkStart w:id="4" w:name="_Toc8345"/>
      <w:bookmarkStart w:id="5" w:name="_Toc16222"/>
      <w:bookmarkStart w:id="6" w:name="_Toc19537"/>
      <w:bookmarkStart w:id="7" w:name="_Toc12228"/>
      <w:bookmarkStart w:id="8" w:name="_Toc9949"/>
      <w:bookmarkStart w:id="9" w:name="_Toc16576"/>
      <w:bookmarkStart w:id="10" w:name="_Toc18707"/>
      <w:bookmarkStart w:id="11" w:name="_Toc184"/>
      <w:bookmarkStart w:id="12" w:name="_Toc18459"/>
      <w:r>
        <w:rPr>
          <w:rFonts w:hint="eastAsia" w:ascii="Times New Roman" w:hAnsi="Times New Roman" w:eastAsia="宋体" w:cs="Times New Roman"/>
          <w:b/>
          <w:color w:val="auto"/>
          <w:sz w:val="36"/>
          <w:highlight w:val="none"/>
        </w:rPr>
        <w:t>第一章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r>
        <w:rPr>
          <w:rFonts w:hint="eastAsia" w:ascii="Times New Roman" w:hAnsi="Times New Roman" w:cs="Times New Roman"/>
          <w:b/>
          <w:color w:val="auto"/>
          <w:sz w:val="36"/>
          <w:highlight w:val="none"/>
          <w:lang w:eastAsia="zh-CN"/>
        </w:rPr>
        <w:t>（</w:t>
      </w:r>
      <w:r>
        <w:rPr>
          <w:rFonts w:hint="eastAsia" w:ascii="Times New Roman" w:hAnsi="Times New Roman" w:cs="Times New Roman"/>
          <w:b/>
          <w:color w:val="auto"/>
          <w:sz w:val="36"/>
          <w:highlight w:val="none"/>
          <w:lang w:val="en-US" w:eastAsia="zh-CN"/>
        </w:rPr>
        <w:t>本项目采用远程异地评标</w:t>
      </w:r>
      <w:r>
        <w:rPr>
          <w:rFonts w:hint="eastAsia" w:ascii="Times New Roman" w:hAnsi="Times New Roman" w:cs="Times New Roman"/>
          <w:b/>
          <w:color w:val="auto"/>
          <w:sz w:val="36"/>
          <w:highlight w:val="none"/>
          <w:lang w:eastAsia="zh-CN"/>
        </w:rPr>
        <w:t>）</w:t>
      </w:r>
    </w:p>
    <w:p w14:paraId="08E23FD9">
      <w:pPr>
        <w:pStyle w:val="15"/>
        <w:jc w:val="center"/>
        <w:rPr>
          <w:rFonts w:hint="eastAsia" w:ascii="Times New Roman" w:hAnsi="Times New Roman" w:eastAsia="宋体" w:cs="Times New Roman"/>
          <w:b/>
          <w:color w:val="auto"/>
          <w:sz w:val="30"/>
          <w:szCs w:val="30"/>
          <w:highlight w:val="none"/>
        </w:rPr>
      </w:pPr>
    </w:p>
    <w:p w14:paraId="6BE70CA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9CF48A5">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梧州市人民警察训练学校2025年至2026年食堂食材配送服务采购项目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 w:val="24"/>
          <w:szCs w:val="24"/>
          <w:highlight w:val="none"/>
        </w:rPr>
        <w:t>（</w:t>
      </w:r>
      <w:r>
        <w:rPr>
          <w:rFonts w:hint="eastAsia" w:ascii="宋体" w:hAnsi="宋体" w:eastAsia="宋体" w:cs="宋体"/>
          <w:b w:val="0"/>
          <w:bCs w:val="0"/>
          <w:i w:val="0"/>
          <w:caps w:val="0"/>
          <w:color w:val="auto"/>
          <w:spacing w:val="0"/>
          <w:sz w:val="24"/>
          <w:szCs w:val="24"/>
          <w:highlight w:val="none"/>
        </w:rPr>
        <w:t>https://www.gcy.zfcg.gxzf.gov.cn/</w:t>
      </w:r>
      <w:r>
        <w:rPr>
          <w:rFonts w:hint="eastAsia" w:ascii="宋体" w:hAnsi="宋体" w:cs="宋体"/>
          <w:color w:val="auto"/>
          <w:sz w:val="24"/>
          <w:szCs w:val="24"/>
          <w:highlight w:val="none"/>
        </w:rPr>
        <w:t>）</w:t>
      </w:r>
      <w:r>
        <w:rPr>
          <w:rFonts w:hint="eastAsia" w:ascii="宋体" w:hAnsi="宋体" w:eastAsia="宋体" w:cs="宋体"/>
          <w:color w:val="auto"/>
          <w:sz w:val="21"/>
          <w:szCs w:val="21"/>
          <w:highlight w:val="none"/>
        </w:rPr>
        <w:t>获取招标文件，并于</w:t>
      </w:r>
      <w:bookmarkStart w:id="13" w:name="PO_3000001867_PM015"/>
      <w:bookmarkStart w:id="14" w:name="PO_3000001866_PM015"/>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val="en-US" w:eastAsia="zh-CN"/>
        </w:rPr>
        <w:t>025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lang w:eastAsia="zh-CN"/>
        </w:rPr>
        <w:t>点</w:t>
      </w:r>
      <w:r>
        <w:rPr>
          <w:rFonts w:hint="eastAsia" w:ascii="宋体" w:hAnsi="宋体" w:cs="宋体"/>
          <w:color w:val="auto"/>
          <w:szCs w:val="21"/>
          <w:highlight w:val="none"/>
          <w:u w:val="single"/>
          <w:lang w:val="en-US" w:eastAsia="zh-CN"/>
        </w:rPr>
        <w:t xml:space="preserve"> 30分</w:t>
      </w:r>
      <w:bookmarkEnd w:id="13"/>
      <w:bookmarkEnd w:id="14"/>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递交投标文件。</w:t>
      </w:r>
    </w:p>
    <w:p w14:paraId="125DE2E5">
      <w:pPr>
        <w:spacing w:line="360" w:lineRule="auto"/>
        <w:rPr>
          <w:rFonts w:hint="eastAsia" w:ascii="黑体" w:hAnsi="黑体" w:eastAsia="黑体" w:cs="Times New Roman"/>
          <w:b/>
          <w:bCs/>
          <w:color w:val="auto"/>
          <w:sz w:val="24"/>
          <w:highlight w:val="none"/>
        </w:rPr>
      </w:pPr>
      <w:bookmarkStart w:id="15" w:name="_Toc28359079"/>
      <w:bookmarkStart w:id="16" w:name="_Toc35393790"/>
      <w:bookmarkStart w:id="17" w:name="_Toc28359002"/>
      <w:bookmarkStart w:id="18" w:name="_Toc35393621"/>
      <w:bookmarkStart w:id="19" w:name="_Hlk24379207"/>
      <w:r>
        <w:rPr>
          <w:rFonts w:hint="eastAsia" w:ascii="黑体" w:hAnsi="黑体" w:eastAsia="黑体" w:cs="Times New Roman"/>
          <w:b/>
          <w:bCs/>
          <w:color w:val="auto"/>
          <w:sz w:val="24"/>
          <w:highlight w:val="none"/>
        </w:rPr>
        <w:t>一、项目基本情况</w:t>
      </w:r>
      <w:bookmarkEnd w:id="15"/>
      <w:bookmarkEnd w:id="16"/>
      <w:bookmarkEnd w:id="17"/>
      <w:bookmarkEnd w:id="18"/>
    </w:p>
    <w:p w14:paraId="0F4D0527">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项目编号：</w:t>
      </w:r>
      <w:r>
        <w:rPr>
          <w:rFonts w:hint="eastAsia" w:ascii="宋体" w:hAnsi="宋体" w:cs="Times New Roman"/>
          <w:b w:val="0"/>
          <w:bCs w:val="0"/>
          <w:color w:val="auto"/>
          <w:szCs w:val="21"/>
          <w:highlight w:val="none"/>
          <w:lang w:eastAsia="zh-CN"/>
        </w:rPr>
        <w:t>WZZC2025-G3-990241-GXKL</w:t>
      </w:r>
      <w:r>
        <w:rPr>
          <w:rFonts w:hint="eastAsia" w:ascii="宋体" w:hAnsi="宋体" w:cs="Times New Roman"/>
          <w:color w:val="auto"/>
          <w:szCs w:val="21"/>
          <w:highlight w:val="none"/>
          <w:lang w:val="en-US" w:eastAsia="zh-CN"/>
        </w:rPr>
        <w:t xml:space="preserve"> </w:t>
      </w:r>
    </w:p>
    <w:p w14:paraId="1DB6A7EB">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eastAsia="宋体" w:cs="Times New Roman"/>
          <w:b w:val="0"/>
          <w:bCs w:val="0"/>
          <w:color w:val="auto"/>
          <w:szCs w:val="21"/>
          <w:highlight w:val="none"/>
        </w:rPr>
        <w:t>项目名称：</w:t>
      </w:r>
      <w:bookmarkEnd w:id="19"/>
      <w:r>
        <w:rPr>
          <w:rFonts w:hint="eastAsia" w:ascii="宋体" w:hAnsi="宋体" w:cs="Times New Roman"/>
          <w:b w:val="0"/>
          <w:bCs w:val="0"/>
          <w:color w:val="auto"/>
          <w:szCs w:val="21"/>
          <w:highlight w:val="none"/>
          <w:lang w:eastAsia="zh-CN"/>
        </w:rPr>
        <w:t>梧州市人民警察训练学校2025年至2026年食堂食材配送服务采购项目</w:t>
      </w:r>
      <w:r>
        <w:rPr>
          <w:rFonts w:hint="eastAsia" w:ascii="宋体" w:hAnsi="宋体" w:cs="Times New Roman"/>
          <w:color w:val="auto"/>
          <w:szCs w:val="21"/>
          <w:highlight w:val="none"/>
          <w:lang w:val="en-US" w:eastAsia="zh-CN"/>
        </w:rPr>
        <w:t xml:space="preserve"> </w:t>
      </w:r>
    </w:p>
    <w:p w14:paraId="2699A429">
      <w:pPr>
        <w:spacing w:line="360" w:lineRule="auto"/>
        <w:ind w:firstLine="420" w:firstLineChars="200"/>
        <w:rPr>
          <w:rFonts w:hint="eastAsia" w:ascii="宋体" w:hAnsi="宋体" w:cs="宋体"/>
          <w:color w:val="auto"/>
          <w:szCs w:val="21"/>
          <w:highlight w:val="none"/>
          <w:u w:val="single"/>
        </w:rPr>
      </w:pPr>
      <w:r>
        <w:rPr>
          <w:rFonts w:hint="eastAsia" w:ascii="宋体" w:hAnsi="宋体" w:eastAsia="宋体" w:cs="Times New Roman"/>
          <w:b w:val="0"/>
          <w:bCs w:val="0"/>
          <w:color w:val="auto"/>
          <w:szCs w:val="21"/>
          <w:highlight w:val="none"/>
        </w:rPr>
        <w:t>预算金额：</w:t>
      </w:r>
      <w:bookmarkStart w:id="20" w:name="PO_3000001867_PM001392"/>
      <w:r>
        <w:rPr>
          <w:rFonts w:hint="eastAsia" w:ascii="宋体" w:hAnsi="宋体" w:cs="宋体"/>
          <w:color w:val="auto"/>
          <w:szCs w:val="21"/>
          <w:highlight w:val="none"/>
          <w:lang w:eastAsia="zh-CN"/>
        </w:rPr>
        <w:t>（大写）</w:t>
      </w:r>
      <w:r>
        <w:rPr>
          <w:rFonts w:hint="eastAsia" w:ascii="宋体" w:hAnsi="宋体" w:cs="宋体"/>
          <w:color w:val="auto"/>
          <w:szCs w:val="21"/>
          <w:highlight w:val="none"/>
          <w:u w:val="none"/>
          <w:lang w:eastAsia="zh-CN"/>
        </w:rPr>
        <w:t>人民币</w:t>
      </w:r>
      <w:r>
        <w:rPr>
          <w:rFonts w:hint="eastAsia" w:ascii="宋体" w:hAnsi="宋体" w:cs="宋体"/>
          <w:color w:val="auto"/>
          <w:szCs w:val="21"/>
          <w:highlight w:val="none"/>
          <w:u w:val="none"/>
          <w:lang w:val="en-US" w:eastAsia="zh-CN"/>
        </w:rPr>
        <w:t>肆佰伍拾万元整</w:t>
      </w:r>
      <w:r>
        <w:rPr>
          <w:rFonts w:hint="eastAsia" w:ascii="宋体" w:hAnsi="宋体" w:cs="宋体"/>
          <w:color w:val="auto"/>
          <w:szCs w:val="21"/>
          <w:highlight w:val="none"/>
          <w:u w:val="none"/>
          <w:lang w:eastAsia="zh-CN"/>
        </w:rPr>
        <w:t>（小写）</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450万</w:t>
      </w:r>
      <w:r>
        <w:rPr>
          <w:rFonts w:hint="eastAsia"/>
          <w:color w:val="auto"/>
          <w:highlight w:val="none"/>
          <w:lang w:eastAsia="zh-CN"/>
        </w:rPr>
        <w:t>元</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Cs w:val="21"/>
          <w:highlight w:val="none"/>
          <w:lang w:eastAsia="zh-CN"/>
        </w:rPr>
        <w:t>。</w:t>
      </w:r>
    </w:p>
    <w:bookmarkEnd w:id="20"/>
    <w:p w14:paraId="2AC789E9">
      <w:pPr>
        <w:spacing w:line="360" w:lineRule="auto"/>
        <w:ind w:firstLine="420" w:firstLineChars="200"/>
        <w:rPr>
          <w:rFonts w:hint="default" w:ascii="宋体" w:hAnsi="宋体" w:eastAsia="宋体" w:cs="Times New Roman"/>
          <w:color w:val="auto"/>
          <w:szCs w:val="21"/>
          <w:highlight w:val="none"/>
          <w:u w:val="single"/>
          <w:lang w:val="en-US" w:eastAsia="zh-CN"/>
        </w:rPr>
      </w:pPr>
      <w:r>
        <w:rPr>
          <w:rFonts w:hint="eastAsia" w:ascii="宋体" w:hAnsi="宋体" w:eastAsia="宋体" w:cs="Times New Roman"/>
          <w:b w:val="0"/>
          <w:bCs w:val="0"/>
          <w:color w:val="auto"/>
          <w:szCs w:val="21"/>
          <w:highlight w:val="none"/>
          <w:lang w:eastAsia="zh-CN"/>
        </w:rPr>
        <w:t>最高限价（如有）：</w:t>
      </w:r>
      <w:r>
        <w:rPr>
          <w:rFonts w:hint="eastAsia" w:ascii="宋体" w:hAnsi="宋体" w:cs="Times New Roman"/>
          <w:b w:val="0"/>
          <w:bCs w:val="0"/>
          <w:color w:val="auto"/>
          <w:szCs w:val="21"/>
          <w:highlight w:val="none"/>
          <w:lang w:val="en-US" w:eastAsia="zh-CN"/>
        </w:rPr>
        <w:t>450万元</w:t>
      </w:r>
    </w:p>
    <w:p w14:paraId="25173F8C">
      <w:pPr>
        <w:spacing w:line="360" w:lineRule="auto"/>
        <w:ind w:firstLine="420" w:firstLineChars="200"/>
        <w:rPr>
          <w:rFonts w:hint="eastAsia" w:ascii="宋体" w:hAnsi="宋体" w:cs="宋体"/>
          <w:color w:val="auto"/>
          <w:szCs w:val="21"/>
          <w:highlight w:val="none"/>
        </w:rPr>
      </w:pPr>
      <w:r>
        <w:rPr>
          <w:rFonts w:hint="eastAsia" w:ascii="宋体" w:hAnsi="宋体" w:eastAsia="宋体" w:cs="Times New Roman"/>
          <w:b w:val="0"/>
          <w:bCs w:val="0"/>
          <w:color w:val="auto"/>
          <w:szCs w:val="21"/>
          <w:highlight w:val="none"/>
        </w:rPr>
        <w:t>采购需求：</w:t>
      </w:r>
      <w:r>
        <w:rPr>
          <w:rFonts w:hint="eastAsia" w:ascii="宋体" w:hAnsi="宋体" w:cs="宋体"/>
          <w:color w:val="auto"/>
          <w:szCs w:val="21"/>
          <w:highlight w:val="none"/>
        </w:rPr>
        <w:t xml:space="preserve"> </w:t>
      </w:r>
      <w:bookmarkStart w:id="21" w:name="PO_3000001867_PM004"/>
    </w:p>
    <w:tbl>
      <w:tblPr>
        <w:tblStyle w:val="23"/>
        <w:tblW w:w="9480" w:type="dxa"/>
        <w:jc w:val="center"/>
        <w:tblLayout w:type="autofit"/>
        <w:tblCellMar>
          <w:top w:w="0" w:type="dxa"/>
          <w:left w:w="0" w:type="dxa"/>
          <w:bottom w:w="0" w:type="dxa"/>
          <w:right w:w="0" w:type="dxa"/>
        </w:tblCellMar>
      </w:tblPr>
      <w:tblGrid>
        <w:gridCol w:w="1580"/>
        <w:gridCol w:w="1580"/>
        <w:gridCol w:w="1580"/>
        <w:gridCol w:w="4740"/>
      </w:tblGrid>
      <w:tr w14:paraId="5BB8FA58">
        <w:tblPrEx>
          <w:tblCellMar>
            <w:top w:w="0" w:type="dxa"/>
            <w:left w:w="0" w:type="dxa"/>
            <w:bottom w:w="0" w:type="dxa"/>
            <w:right w:w="0" w:type="dxa"/>
          </w:tblCellMar>
        </w:tblPrEx>
        <w:trPr>
          <w:trHeight w:val="570"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25C53">
            <w:pPr>
              <w:keepNext w:val="0"/>
              <w:keepLines w:val="0"/>
              <w:widowControl/>
              <w:suppressLineNumbers w:val="0"/>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货品名称</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82518">
            <w:pPr>
              <w:keepNext w:val="0"/>
              <w:keepLines w:val="0"/>
              <w:widowControl/>
              <w:suppressLineNumbers w:val="0"/>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单位</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C1460">
            <w:pPr>
              <w:keepNext w:val="0"/>
              <w:keepLines w:val="0"/>
              <w:widowControl/>
              <w:suppressLineNumbers w:val="0"/>
              <w:jc w:val="center"/>
              <w:textAlignment w:val="center"/>
              <w:rPr>
                <w:rFonts w:hint="eastAsia" w:ascii="黑体" w:hAnsi="宋体" w:eastAsia="黑体" w:cs="黑体"/>
                <w:i w:val="0"/>
                <w:color w:val="auto"/>
                <w:sz w:val="24"/>
                <w:szCs w:val="24"/>
                <w:highlight w:val="none"/>
                <w:u w:val="none"/>
              </w:rPr>
            </w:pPr>
            <w:r>
              <w:rPr>
                <w:rFonts w:hint="eastAsia" w:ascii="宋体" w:hAnsi="宋体" w:cs="宋体"/>
                <w:bCs/>
                <w:color w:val="auto"/>
                <w:kern w:val="0"/>
                <w:szCs w:val="21"/>
                <w:highlight w:val="none"/>
                <w:lang w:bidi="ar"/>
              </w:rPr>
              <w:t>上限控制单价，投标报价不能超过此单价(元)</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D7BC0">
            <w:pPr>
              <w:keepNext w:val="0"/>
              <w:keepLines w:val="0"/>
              <w:widowControl/>
              <w:suppressLineNumbers w:val="0"/>
              <w:jc w:val="center"/>
              <w:textAlignment w:val="center"/>
              <w:rPr>
                <w:rFonts w:hint="eastAsia" w:ascii="黑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bidi="ar"/>
              </w:rPr>
              <w:t>服务技术要求</w:t>
            </w:r>
          </w:p>
        </w:tc>
      </w:tr>
      <w:tr w14:paraId="09EAD257">
        <w:tblPrEx>
          <w:tblCellMar>
            <w:top w:w="0" w:type="dxa"/>
            <w:left w:w="0" w:type="dxa"/>
            <w:bottom w:w="0" w:type="dxa"/>
            <w:right w:w="0" w:type="dxa"/>
          </w:tblCellMar>
        </w:tblPrEx>
        <w:trPr>
          <w:trHeight w:val="90"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37312B">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（鲜）光鸡</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E3717F">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FE7EDA">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34.5</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96C69">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去毛去内脏、清洗斩块，新鲜非冷冻品，1.7千克以上/只，眼球饱满、平坦或稍凹陷，皮肤有光泽，肌肉切面有光泽，并有该禽固有色泽，外表微干或微湿润、不粘手，有弹性，肌肉指压后的凹陷立即恢复，具有该禽固有的气味。</w:t>
            </w:r>
          </w:p>
        </w:tc>
      </w:tr>
      <w:tr w14:paraId="41AA33C7">
        <w:tblPrEx>
          <w:tblCellMar>
            <w:top w:w="0" w:type="dxa"/>
            <w:left w:w="0" w:type="dxa"/>
            <w:bottom w:w="0" w:type="dxa"/>
            <w:right w:w="0" w:type="dxa"/>
          </w:tblCellMar>
        </w:tblPrEx>
        <w:trPr>
          <w:trHeight w:val="810"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C1320F">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白切鸡</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01394">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215DAC">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59E602">
            <w:pP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熟菜。选用优质鲜鸡，烹饪加工，要求口感、味道鲜香，斩块、</w:t>
            </w:r>
            <w:r>
              <w:rPr>
                <w:rFonts w:hint="eastAsia" w:ascii="宋体" w:hAnsi="宋体" w:cs="宋体"/>
                <w:i w:val="0"/>
                <w:color w:val="auto"/>
                <w:sz w:val="20"/>
                <w:szCs w:val="20"/>
                <w:highlight w:val="none"/>
                <w:u w:val="none"/>
                <w:lang w:val="en-US" w:eastAsia="zh-CN"/>
              </w:rPr>
              <w:t>专车配送</w:t>
            </w:r>
            <w:r>
              <w:rPr>
                <w:rFonts w:hint="eastAsia" w:ascii="宋体" w:hAnsi="宋体" w:eastAsia="宋体" w:cs="宋体"/>
                <w:i w:val="0"/>
                <w:color w:val="auto"/>
                <w:sz w:val="20"/>
                <w:szCs w:val="20"/>
                <w:highlight w:val="none"/>
                <w:u w:val="none"/>
                <w:lang w:val="en-US" w:eastAsia="zh-CN"/>
              </w:rPr>
              <w:t>。</w:t>
            </w:r>
          </w:p>
        </w:tc>
      </w:tr>
      <w:tr w14:paraId="0AF1341C">
        <w:tblPrEx>
          <w:tblCellMar>
            <w:top w:w="0" w:type="dxa"/>
            <w:left w:w="0" w:type="dxa"/>
            <w:bottom w:w="0" w:type="dxa"/>
            <w:right w:w="0" w:type="dxa"/>
          </w:tblCellMar>
        </w:tblPrEx>
        <w:trPr>
          <w:trHeight w:val="444"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FBB0B">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鸡杂</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CE884">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千克</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FE552">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C67CC">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新鲜，</w:t>
            </w:r>
            <w:r>
              <w:rPr>
                <w:rFonts w:hint="eastAsia"/>
                <w:color w:val="auto"/>
                <w:highlight w:val="none"/>
                <w:lang w:eastAsia="zh-CN"/>
              </w:rPr>
              <w:t>包</w:t>
            </w:r>
            <w:r>
              <w:rPr>
                <w:rFonts w:hint="eastAsia" w:ascii="宋体" w:hAnsi="宋体" w:cs="宋体"/>
                <w:i w:val="0"/>
                <w:color w:val="auto"/>
                <w:kern w:val="0"/>
                <w:sz w:val="20"/>
                <w:szCs w:val="20"/>
                <w:highlight w:val="none"/>
                <w:u w:val="none"/>
                <w:lang w:val="en-US" w:eastAsia="zh-CN" w:bidi="ar"/>
              </w:rPr>
              <w:t>含</w:t>
            </w:r>
            <w:r>
              <w:rPr>
                <w:rFonts w:hint="eastAsia" w:ascii="宋体" w:hAnsi="宋体" w:eastAsia="宋体" w:cs="宋体"/>
                <w:i w:val="0"/>
                <w:color w:val="auto"/>
                <w:kern w:val="0"/>
                <w:sz w:val="20"/>
                <w:szCs w:val="20"/>
                <w:highlight w:val="none"/>
                <w:u w:val="none"/>
                <w:lang w:val="en-US" w:eastAsia="zh-CN" w:bidi="ar"/>
              </w:rPr>
              <w:t>鸡心、鸡肠、鸡肝、鸡胗等</w:t>
            </w:r>
          </w:p>
        </w:tc>
      </w:tr>
      <w:tr w14:paraId="5BA5FECA">
        <w:tblPrEx>
          <w:tblCellMar>
            <w:top w:w="0" w:type="dxa"/>
            <w:left w:w="0" w:type="dxa"/>
            <w:bottom w:w="0" w:type="dxa"/>
            <w:right w:w="0" w:type="dxa"/>
          </w:tblCellMar>
        </w:tblPrEx>
        <w:trPr>
          <w:trHeight w:val="444" w:hRule="atLeast"/>
          <w:jc w:val="center"/>
        </w:trPr>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AA64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316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57898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w:t>
            </w:r>
          </w:p>
        </w:tc>
        <w:tc>
          <w:tcPr>
            <w:tcW w:w="3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D955DC">
            <w:pPr>
              <w:keepNext w:val="0"/>
              <w:keepLines w:val="0"/>
              <w:widowControl/>
              <w:suppressLineNumbers w:val="0"/>
              <w:jc w:val="left"/>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w:t>
            </w:r>
          </w:p>
        </w:tc>
      </w:tr>
    </w:tbl>
    <w:p w14:paraId="178561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具体采购内容</w:t>
      </w:r>
      <w:r>
        <w:rPr>
          <w:rFonts w:hint="eastAsia" w:ascii="宋体" w:hAnsi="宋体" w:cs="宋体"/>
          <w:color w:val="auto"/>
          <w:szCs w:val="21"/>
          <w:highlight w:val="none"/>
        </w:rPr>
        <w:t>详见招标文件）</w:t>
      </w:r>
      <w:r>
        <w:rPr>
          <w:rFonts w:hint="eastAsia" w:ascii="宋体" w:hAnsi="宋体" w:cs="宋体"/>
          <w:color w:val="auto"/>
          <w:szCs w:val="21"/>
          <w:highlight w:val="none"/>
          <w:lang w:eastAsia="zh-CN"/>
        </w:rPr>
        <w:t xml:space="preserve"> </w:t>
      </w:r>
      <w:bookmarkEnd w:id="21"/>
    </w:p>
    <w:p w14:paraId="58FAC39B">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合同履</w:t>
      </w:r>
      <w:r>
        <w:rPr>
          <w:rFonts w:hint="eastAsia" w:ascii="宋体" w:hAnsi="宋体" w:cs="Times New Roman"/>
          <w:color w:val="auto"/>
          <w:szCs w:val="21"/>
          <w:highlight w:val="none"/>
          <w:lang w:eastAsia="zh-CN"/>
        </w:rPr>
        <w:t>行</w:t>
      </w:r>
      <w:r>
        <w:rPr>
          <w:rFonts w:hint="eastAsia" w:ascii="宋体" w:hAnsi="宋体" w:eastAsia="宋体" w:cs="Times New Roman"/>
          <w:color w:val="auto"/>
          <w:szCs w:val="21"/>
          <w:highlight w:val="none"/>
          <w:lang w:eastAsia="zh-CN"/>
        </w:rPr>
        <w:t>期限：自合同签订之日起壹年</w:t>
      </w:r>
    </w:p>
    <w:p w14:paraId="19FB327D">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本</w:t>
      </w:r>
      <w:r>
        <w:rPr>
          <w:rFonts w:hint="eastAsia" w:ascii="宋体" w:hAnsi="宋体" w:cs="Times New Roman"/>
          <w:color w:val="auto"/>
          <w:szCs w:val="21"/>
          <w:highlight w:val="none"/>
          <w:lang w:eastAsia="zh-CN"/>
        </w:rPr>
        <w:t>项目</w:t>
      </w:r>
      <w:r>
        <w:rPr>
          <w:rFonts w:hint="eastAsia"/>
          <w:color w:val="auto"/>
          <w:highlight w:val="none"/>
          <w:lang w:eastAsia="zh-CN"/>
        </w:rPr>
        <w:t>是否</w:t>
      </w:r>
      <w:r>
        <w:rPr>
          <w:rFonts w:hint="eastAsia" w:ascii="宋体" w:hAnsi="宋体" w:eastAsia="宋体" w:cs="Times New Roman"/>
          <w:color w:val="auto"/>
          <w:szCs w:val="21"/>
          <w:highlight w:val="none"/>
          <w:lang w:eastAsia="zh-CN"/>
        </w:rPr>
        <w:t>接受联合体投标</w:t>
      </w:r>
      <w:r>
        <w:rPr>
          <w:rFonts w:hint="eastAsia" w:ascii="宋体" w:hAnsi="宋体" w:cs="宋体"/>
          <w:color w:val="auto"/>
          <w:szCs w:val="21"/>
          <w:highlight w:val="none"/>
        </w:rPr>
        <w:t>：□是/</w:t>
      </w: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6BCD003B">
      <w:pPr>
        <w:spacing w:line="360" w:lineRule="auto"/>
        <w:rPr>
          <w:rFonts w:hint="eastAsia" w:ascii="黑体" w:hAnsi="黑体" w:eastAsia="黑体" w:cs="Times New Roman"/>
          <w:b/>
          <w:bCs/>
          <w:color w:val="auto"/>
          <w:sz w:val="24"/>
          <w:highlight w:val="none"/>
        </w:rPr>
      </w:pPr>
      <w:bookmarkStart w:id="22" w:name="_Toc28359080"/>
      <w:bookmarkStart w:id="23" w:name="_Toc35393791"/>
      <w:bookmarkStart w:id="24" w:name="_Toc28359003"/>
      <w:bookmarkStart w:id="25" w:name="_Toc35393622"/>
      <w:r>
        <w:rPr>
          <w:rFonts w:hint="eastAsia" w:ascii="黑体" w:hAnsi="黑体" w:eastAsia="黑体" w:cs="Times New Roman"/>
          <w:b/>
          <w:bCs/>
          <w:color w:val="auto"/>
          <w:sz w:val="24"/>
          <w:highlight w:val="none"/>
        </w:rPr>
        <w:t>二、</w:t>
      </w:r>
      <w:r>
        <w:rPr>
          <w:rFonts w:hint="eastAsia" w:ascii="黑体" w:hAnsi="黑体" w:eastAsia="黑体" w:cs="Times New Roman"/>
          <w:b/>
          <w:bCs/>
          <w:color w:val="auto"/>
          <w:sz w:val="24"/>
          <w:highlight w:val="none"/>
          <w:lang w:eastAsia="zh-CN"/>
        </w:rPr>
        <w:t>申请</w:t>
      </w:r>
      <w:r>
        <w:rPr>
          <w:rFonts w:hint="eastAsia" w:ascii="黑体" w:hAnsi="黑体" w:eastAsia="黑体" w:cs="Times New Roman"/>
          <w:b/>
          <w:bCs/>
          <w:color w:val="auto"/>
          <w:sz w:val="24"/>
          <w:highlight w:val="none"/>
        </w:rPr>
        <w:t>人的资格要求：</w:t>
      </w:r>
      <w:bookmarkEnd w:id="22"/>
      <w:bookmarkEnd w:id="23"/>
      <w:bookmarkEnd w:id="24"/>
      <w:bookmarkEnd w:id="25"/>
      <w:bookmarkStart w:id="437" w:name="_GoBack"/>
      <w:bookmarkEnd w:id="437"/>
    </w:p>
    <w:p w14:paraId="4684527A">
      <w:pPr>
        <w:spacing w:line="360" w:lineRule="auto"/>
        <w:ind w:firstLine="420" w:firstLineChars="200"/>
        <w:rPr>
          <w:rFonts w:hint="eastAsia" w:ascii="宋体" w:hAnsi="宋体" w:eastAsia="宋体" w:cs="Times New Roman"/>
          <w:color w:val="auto"/>
          <w:szCs w:val="21"/>
          <w:highlight w:val="none"/>
          <w:lang w:eastAsia="zh-CN"/>
        </w:rPr>
      </w:pPr>
      <w:bookmarkStart w:id="26" w:name="_Toc28359081"/>
      <w:bookmarkStart w:id="27" w:name="_Toc28359004"/>
      <w:r>
        <w:rPr>
          <w:rFonts w:hint="eastAsia" w:ascii="宋体" w:hAnsi="宋体" w:eastAsia="宋体" w:cs="Times New Roman"/>
          <w:color w:val="auto"/>
          <w:szCs w:val="21"/>
          <w:highlight w:val="none"/>
        </w:rPr>
        <w:t>1.满足《中华人民共和国政府采购法》第二十二条规定</w:t>
      </w:r>
      <w:r>
        <w:rPr>
          <w:rFonts w:hint="eastAsia" w:ascii="宋体" w:hAnsi="宋体" w:cs="Times New Roman"/>
          <w:color w:val="auto"/>
          <w:szCs w:val="21"/>
          <w:highlight w:val="none"/>
          <w:lang w:eastAsia="zh-CN"/>
        </w:rPr>
        <w:t>；</w:t>
      </w:r>
    </w:p>
    <w:p w14:paraId="185BFFA7">
      <w:pPr>
        <w:spacing w:line="360" w:lineRule="auto"/>
        <w:ind w:firstLine="420" w:firstLineChars="200"/>
        <w:rPr>
          <w:rFonts w:hint="eastAsia" w:ascii="宋体" w:hAnsi="宋体" w:eastAsia="宋体" w:cs="宋体"/>
          <w:i w:val="0"/>
          <w:iCs w:val="0"/>
          <w:color w:val="auto"/>
          <w:szCs w:val="21"/>
          <w:highlight w:val="none"/>
          <w:u w:val="single"/>
        </w:rPr>
      </w:pPr>
      <w:r>
        <w:rPr>
          <w:rFonts w:hint="eastAsia" w:ascii="宋体" w:hAnsi="宋体" w:eastAsia="宋体" w:cs="Times New Roman"/>
          <w:color w:val="auto"/>
          <w:szCs w:val="21"/>
          <w:highlight w:val="none"/>
        </w:rPr>
        <w:t>2.落实政府采购政策需满足的资格要求：</w:t>
      </w:r>
      <w:r>
        <w:rPr>
          <w:rFonts w:hint="eastAsia" w:ascii="宋体" w:hAnsi="宋体" w:cs="宋体"/>
          <w:i w:val="0"/>
          <w:iCs w:val="0"/>
          <w:color w:val="auto"/>
          <w:szCs w:val="21"/>
          <w:highlight w:val="none"/>
          <w:u w:val="single"/>
          <w:lang w:val="en-US" w:eastAsia="zh-CN"/>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5FCDA6F6">
      <w:pPr>
        <w:spacing w:line="360" w:lineRule="auto"/>
        <w:ind w:firstLine="420" w:firstLineChars="200"/>
        <w:jc w:val="left"/>
        <w:rPr>
          <w:rFonts w:hint="eastAsia" w:ascii="仿宋_GB2312" w:hAnsi="方正仿宋_GB2312" w:eastAsia="宋体" w:cs="方正仿宋_GB2312"/>
          <w:color w:val="auto"/>
          <w:sz w:val="32"/>
          <w:szCs w:val="32"/>
          <w:highlight w:val="none"/>
          <w:lang w:val="en-US" w:eastAsia="zh-CN"/>
        </w:rPr>
      </w:pPr>
      <w:r>
        <w:rPr>
          <w:rFonts w:hint="eastAsia" w:ascii="宋体" w:hAnsi="宋体" w:eastAsia="宋体" w:cs="Times New Roman"/>
          <w:color w:val="auto"/>
          <w:szCs w:val="21"/>
          <w:highlight w:val="none"/>
        </w:rPr>
        <w:t>3.本项目的特定资格要求：</w:t>
      </w:r>
      <w:r>
        <w:rPr>
          <w:rFonts w:hint="eastAsia" w:ascii="宋体" w:hAnsi="宋体" w:eastAsia="宋体" w:cs="Times New Roman"/>
          <w:color w:val="auto"/>
          <w:szCs w:val="21"/>
          <w:highlight w:val="none"/>
          <w:lang w:eastAsia="zh-CN"/>
        </w:rPr>
        <w:t>具备有效的</w:t>
      </w:r>
      <w:r>
        <w:rPr>
          <w:rFonts w:hint="eastAsia" w:ascii="宋体" w:hAnsi="宋体" w:eastAsia="宋体" w:cs="Times New Roman"/>
          <w:color w:val="auto"/>
          <w:szCs w:val="21"/>
          <w:highlight w:val="none"/>
        </w:rPr>
        <w:t>《食品经营许可证》</w:t>
      </w:r>
      <w:r>
        <w:rPr>
          <w:rFonts w:hint="eastAsia"/>
          <w:color w:val="auto"/>
          <w:highlight w:val="none"/>
          <w:lang w:val="en-US" w:eastAsia="zh-CN"/>
        </w:rPr>
        <w:t>。</w:t>
      </w:r>
    </w:p>
    <w:p w14:paraId="21441DAB">
      <w:pPr>
        <w:spacing w:line="360" w:lineRule="auto"/>
        <w:ind w:firstLine="420" w:firstLineChars="200"/>
        <w:rPr>
          <w:rFonts w:hint="eastAsia" w:ascii="宋体" w:hAnsi="宋体" w:eastAsia="宋体" w:cs="Times New Roman"/>
          <w:color w:val="auto"/>
          <w:szCs w:val="21"/>
          <w:highlight w:val="none"/>
        </w:rPr>
      </w:pPr>
    </w:p>
    <w:p w14:paraId="1722A3C9">
      <w:pPr>
        <w:spacing w:line="360" w:lineRule="auto"/>
        <w:rPr>
          <w:rFonts w:hint="eastAsia" w:ascii="黑体" w:hAnsi="黑体" w:eastAsia="黑体" w:cs="Times New Roman"/>
          <w:b/>
          <w:bCs/>
          <w:color w:val="auto"/>
          <w:sz w:val="24"/>
          <w:highlight w:val="none"/>
        </w:rPr>
      </w:pPr>
      <w:bookmarkStart w:id="28" w:name="_Toc35393623"/>
      <w:bookmarkStart w:id="29" w:name="_Toc35393792"/>
      <w:r>
        <w:rPr>
          <w:rFonts w:hint="eastAsia" w:ascii="黑体" w:hAnsi="黑体" w:eastAsia="黑体" w:cs="Times New Roman"/>
          <w:b/>
          <w:bCs/>
          <w:color w:val="auto"/>
          <w:sz w:val="24"/>
          <w:highlight w:val="none"/>
        </w:rPr>
        <w:t>三、获取招标文件</w:t>
      </w:r>
      <w:bookmarkEnd w:id="26"/>
      <w:bookmarkEnd w:id="27"/>
      <w:bookmarkEnd w:id="28"/>
      <w:bookmarkEnd w:id="29"/>
    </w:p>
    <w:p w14:paraId="45951A91">
      <w:pPr>
        <w:snapToGrid w:val="0"/>
        <w:spacing w:line="360" w:lineRule="auto"/>
        <w:ind w:firstLine="472" w:firstLineChars="225"/>
        <w:rPr>
          <w:rFonts w:hint="eastAsia" w:ascii="宋体" w:hAnsi="宋体" w:eastAsia="宋体" w:cs="Times New Roman"/>
          <w:color w:val="auto"/>
          <w:szCs w:val="21"/>
          <w:highlight w:val="none"/>
        </w:rPr>
      </w:pPr>
      <w:bookmarkStart w:id="30" w:name="_Toc28359005"/>
      <w:bookmarkStart w:id="31" w:name="_Toc28359082"/>
      <w:bookmarkStart w:id="32" w:name="_Toc35393793"/>
      <w:bookmarkStart w:id="33" w:name="_Toc35393624"/>
      <w:r>
        <w:rPr>
          <w:rFonts w:hint="eastAsia" w:ascii="宋体" w:hAnsi="宋体" w:eastAsia="宋体" w:cs="Times New Roman"/>
          <w:color w:val="auto"/>
          <w:szCs w:val="21"/>
          <w:highlight w:val="none"/>
        </w:rPr>
        <w:t>时间：</w:t>
      </w:r>
      <w:r>
        <w:rPr>
          <w:rFonts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9</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26</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2025</w:t>
      </w:r>
      <w:r>
        <w:rPr>
          <w:rFonts w:hint="eastAsia" w:ascii="宋体" w:hAnsi="宋体" w:cs="宋体"/>
          <w:bCs/>
          <w:color w:val="auto"/>
          <w:kern w:val="0"/>
          <w:szCs w:val="21"/>
          <w:highlight w:val="none"/>
          <w:u w:val="single"/>
        </w:rPr>
        <w:t xml:space="preserve"> 年</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10</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lang w:val="en-US" w:eastAsia="zh-CN"/>
        </w:rPr>
        <w:t xml:space="preserve">  </w:t>
      </w:r>
      <w:r>
        <w:rPr>
          <w:rFonts w:hint="eastAsia" w:ascii="宋体" w:hAnsi="宋体" w:cs="宋体"/>
          <w:bCs/>
          <w:color w:val="auto"/>
          <w:kern w:val="0"/>
          <w:szCs w:val="21"/>
          <w:highlight w:val="none"/>
          <w:u w:val="single"/>
          <w:lang w:val="en-US" w:eastAsia="zh-CN"/>
        </w:rPr>
        <w:t>0时</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lang w:val="en-US" w:eastAsia="zh-CN"/>
        </w:rPr>
        <w:t xml:space="preserve">11：59时 </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lang w:val="en-US" w:eastAsia="zh-CN"/>
        </w:rPr>
        <w:t>12时</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val="en-US" w:eastAsia="zh-CN"/>
        </w:rPr>
        <w:t>23：59时</w:t>
      </w:r>
      <w:r>
        <w:rPr>
          <w:rFonts w:hint="eastAsia" w:ascii="宋体" w:hAnsi="宋体" w:eastAsia="宋体" w:cs="Times New Roman"/>
          <w:color w:val="auto"/>
          <w:szCs w:val="21"/>
          <w:highlight w:val="none"/>
        </w:rPr>
        <w:t>（北京时间，法定节假日除外）。</w:t>
      </w:r>
    </w:p>
    <w:p w14:paraId="6B50D0B4">
      <w:pPr>
        <w:snapToGrid w:val="0"/>
        <w:spacing w:line="360" w:lineRule="auto"/>
        <w:ind w:firstLine="472" w:firstLineChars="225"/>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地点</w:t>
      </w:r>
      <w:r>
        <w:rPr>
          <w:rFonts w:hint="eastAsia" w:ascii="宋体" w:hAnsi="宋体" w:cs="Times New Roman"/>
          <w:color w:val="auto"/>
          <w:szCs w:val="21"/>
          <w:highlight w:val="none"/>
          <w:lang w:eastAsia="zh-CN"/>
        </w:rPr>
        <w:t>：</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6"/>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p>
    <w:p w14:paraId="79208F68">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方式:网上下载。本项目不发放纸质文件，</w:t>
      </w:r>
      <w:r>
        <w:rPr>
          <w:rFonts w:hint="eastAsia" w:ascii="宋体" w:hAnsi="宋体" w:cs="宋体"/>
          <w:color w:val="auto"/>
          <w:szCs w:val="21"/>
          <w:highlight w:val="none"/>
          <w:lang w:eastAsia="zh-CN"/>
        </w:rPr>
        <w:t>潜在投标人</w:t>
      </w:r>
      <w:r>
        <w:rPr>
          <w:rFonts w:hint="eastAsia" w:ascii="宋体" w:hAnsi="宋体" w:eastAsia="宋体" w:cs="Times New Roman"/>
          <w:color w:val="auto"/>
          <w:szCs w:val="21"/>
          <w:highlight w:val="none"/>
        </w:rPr>
        <w:t>可自行在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宋体"/>
          <w:color w:val="auto"/>
          <w:szCs w:val="21"/>
          <w:highlight w:val="none"/>
        </w:rPr>
        <w:t>（</w:t>
      </w:r>
      <w:r>
        <w:rPr>
          <w:rStyle w:val="26"/>
          <w:rFonts w:hint="eastAsia" w:ascii="宋体" w:hAnsi="宋体" w:eastAsia="宋体" w:cs="宋体"/>
          <w:b w:val="0"/>
          <w:bCs/>
          <w:i w:val="0"/>
          <w:caps w:val="0"/>
          <w:color w:val="auto"/>
          <w:spacing w:val="0"/>
          <w:sz w:val="21"/>
          <w:szCs w:val="21"/>
          <w:highlight w:val="none"/>
        </w:rPr>
        <w:t>https://www.gcy.zfcg.gxzf.gov.cn/</w:t>
      </w:r>
      <w:r>
        <w:rPr>
          <w:rFonts w:hint="eastAsia" w:ascii="宋体" w:hAnsi="宋体" w:cs="宋体"/>
          <w:color w:val="auto"/>
          <w:szCs w:val="21"/>
          <w:highlight w:val="none"/>
        </w:rPr>
        <w:t>）</w:t>
      </w:r>
      <w:r>
        <w:rPr>
          <w:rFonts w:hint="eastAsia" w:ascii="宋体" w:hAnsi="宋体" w:eastAsia="宋体" w:cs="Times New Roman"/>
          <w:color w:val="auto"/>
          <w:szCs w:val="21"/>
          <w:highlight w:val="none"/>
        </w:rPr>
        <w:t>下载招标文件（操作路径：登录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-项目采购-获取采购文件-找到本项目-点击“申请获取采购文件”），电子投标文件制作需要基于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获取的招标文件编制。</w:t>
      </w:r>
    </w:p>
    <w:p w14:paraId="2B79BF80">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w:t>
      </w:r>
      <w:r>
        <w:rPr>
          <w:rFonts w:hint="eastAsia" w:ascii="宋体" w:hAnsi="宋体" w:cs="宋体"/>
          <w:color w:val="auto"/>
          <w:szCs w:val="21"/>
          <w:highlight w:val="none"/>
          <w:lang w:eastAsia="zh-CN"/>
        </w:rPr>
        <w:t>人民币</w:t>
      </w:r>
      <w:r>
        <w:rPr>
          <w:rFonts w:hint="eastAsia" w:ascii="宋体" w:hAnsi="宋体" w:cs="宋体"/>
          <w:color w:val="auto"/>
          <w:szCs w:val="21"/>
          <w:highlight w:val="none"/>
        </w:rPr>
        <w:t>0元</w:t>
      </w:r>
    </w:p>
    <w:p w14:paraId="4A100A10">
      <w:pPr>
        <w:spacing w:line="360" w:lineRule="auto"/>
        <w:rPr>
          <w:rFonts w:hint="eastAsia" w:ascii="黑体" w:hAnsi="黑体" w:eastAsia="黑体" w:cs="Times New Roman"/>
          <w:b/>
          <w:bCs/>
          <w:color w:val="auto"/>
          <w:sz w:val="24"/>
          <w:highlight w:val="none"/>
        </w:rPr>
      </w:pPr>
      <w:r>
        <w:rPr>
          <w:rFonts w:hint="eastAsia" w:ascii="黑体" w:hAnsi="黑体" w:eastAsia="黑体" w:cs="Times New Roman"/>
          <w:b/>
          <w:bCs/>
          <w:color w:val="auto"/>
          <w:sz w:val="24"/>
          <w:highlight w:val="none"/>
        </w:rPr>
        <w:t>四、提交投标文件</w:t>
      </w:r>
      <w:bookmarkEnd w:id="30"/>
      <w:bookmarkEnd w:id="31"/>
      <w:r>
        <w:rPr>
          <w:rFonts w:hint="eastAsia" w:ascii="黑体" w:hAnsi="黑体" w:eastAsia="黑体" w:cs="Times New Roman"/>
          <w:b/>
          <w:bCs/>
          <w:color w:val="auto"/>
          <w:sz w:val="24"/>
          <w:highlight w:val="none"/>
        </w:rPr>
        <w:t>截止时间、开标时间和地点</w:t>
      </w:r>
      <w:bookmarkEnd w:id="32"/>
      <w:bookmarkEnd w:id="33"/>
    </w:p>
    <w:p w14:paraId="62F3544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1、提交投标文件截止时间和开标时间：</w:t>
      </w:r>
      <w:bookmarkStart w:id="34" w:name="PO_3000001867_PM015_1"/>
      <w:r>
        <w:rPr>
          <w:rFonts w:hint="eastAsia" w:ascii="宋体" w:hAnsi="宋体" w:cs="宋体"/>
          <w:bCs/>
          <w:color w:val="auto"/>
          <w:szCs w:val="21"/>
          <w:highlight w:val="none"/>
          <w:u w:val="single"/>
          <w:lang w:val="en-US" w:eastAsia="zh-CN"/>
        </w:rPr>
        <w:t xml:space="preserve"> 2025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10</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20</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9点30分</w:t>
      </w:r>
      <w:r>
        <w:rPr>
          <w:rFonts w:hint="eastAsia" w:ascii="宋体" w:hAnsi="宋体" w:cs="宋体"/>
          <w:bCs/>
          <w:color w:val="auto"/>
          <w:szCs w:val="21"/>
          <w:highlight w:val="none"/>
        </w:rPr>
        <w:t>（北京时间）</w:t>
      </w:r>
    </w:p>
    <w:bookmarkEnd w:id="34"/>
    <w:p w14:paraId="5E29FC4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提交投标文件</w:t>
      </w:r>
      <w:r>
        <w:rPr>
          <w:rFonts w:hint="eastAsia" w:ascii="宋体" w:hAnsi="宋体" w:cs="宋体"/>
          <w:color w:val="auto"/>
          <w:szCs w:val="21"/>
          <w:highlight w:val="none"/>
        </w:rPr>
        <w:t xml:space="preserve">和开标地点：广西政府采购云平台（https：//www.gcy.zfcg.gxzf.gov.cn） </w:t>
      </w:r>
    </w:p>
    <w:p w14:paraId="5855BF1B">
      <w:pPr>
        <w:spacing w:line="360" w:lineRule="auto"/>
        <w:rPr>
          <w:rFonts w:hint="eastAsia" w:ascii="黑体" w:hAnsi="黑体" w:eastAsia="黑体" w:cs="Times New Roman"/>
          <w:b/>
          <w:bCs/>
          <w:color w:val="auto"/>
          <w:sz w:val="24"/>
          <w:highlight w:val="none"/>
        </w:rPr>
      </w:pPr>
      <w:bookmarkStart w:id="35" w:name="_Toc35393625"/>
      <w:bookmarkStart w:id="36" w:name="_Toc28359007"/>
      <w:bookmarkStart w:id="37" w:name="_Toc28359084"/>
      <w:bookmarkStart w:id="38" w:name="_Toc35393794"/>
      <w:r>
        <w:rPr>
          <w:rFonts w:hint="eastAsia" w:ascii="黑体" w:hAnsi="黑体" w:eastAsia="黑体" w:cs="Times New Roman"/>
          <w:b/>
          <w:bCs/>
          <w:color w:val="auto"/>
          <w:sz w:val="24"/>
          <w:highlight w:val="none"/>
        </w:rPr>
        <w:t>五、公告期限</w:t>
      </w:r>
      <w:bookmarkEnd w:id="35"/>
      <w:bookmarkEnd w:id="36"/>
      <w:bookmarkEnd w:id="37"/>
      <w:bookmarkEnd w:id="38"/>
    </w:p>
    <w:p w14:paraId="01AA35D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11A3CC37">
      <w:pPr>
        <w:spacing w:line="360" w:lineRule="auto"/>
        <w:rPr>
          <w:rFonts w:hint="eastAsia" w:ascii="黑体" w:hAnsi="黑体" w:eastAsia="黑体" w:cs="Times New Roman"/>
          <w:b/>
          <w:bCs/>
          <w:color w:val="auto"/>
          <w:sz w:val="24"/>
          <w:highlight w:val="none"/>
        </w:rPr>
      </w:pPr>
      <w:bookmarkStart w:id="39" w:name="_Toc35393795"/>
      <w:bookmarkStart w:id="40" w:name="_Toc35393626"/>
      <w:r>
        <w:rPr>
          <w:rFonts w:hint="eastAsia" w:ascii="黑体" w:hAnsi="黑体" w:eastAsia="黑体" w:cs="Times New Roman"/>
          <w:b/>
          <w:bCs/>
          <w:color w:val="auto"/>
          <w:sz w:val="24"/>
          <w:highlight w:val="none"/>
        </w:rPr>
        <w:t>六、其他补充事宜</w:t>
      </w:r>
      <w:bookmarkEnd w:id="39"/>
      <w:bookmarkEnd w:id="40"/>
    </w:p>
    <w:p w14:paraId="5CAC3B2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1.投标保证金：</w:t>
      </w:r>
    </w:p>
    <w:p w14:paraId="790DA356">
      <w:pPr>
        <w:spacing w:line="360" w:lineRule="auto"/>
        <w:ind w:firstLine="843" w:firstLineChars="40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lang w:eastAsia="zh-CN"/>
        </w:rPr>
        <w:t>投标保证金。</w:t>
      </w:r>
    </w:p>
    <w:p w14:paraId="35FAB723">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.网上查询地址</w:t>
      </w:r>
    </w:p>
    <w:p w14:paraId="6EDDB30C">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fldChar w:fldCharType="begin"/>
      </w:r>
      <w:r>
        <w:rPr>
          <w:rFonts w:hint="eastAsia" w:ascii="宋体" w:hAnsi="宋体" w:eastAsia="宋体" w:cs="宋体"/>
          <w:color w:val="auto"/>
          <w:kern w:val="0"/>
          <w:szCs w:val="21"/>
          <w:highlight w:val="none"/>
          <w:lang w:val="en-US" w:eastAsia="zh-CN"/>
        </w:rPr>
        <w:instrText xml:space="preserve"> HYPERLINK "http://www.ccgp.gov.cn/（中国政府采购网）、http:/zfcg.gxzf.gov.cn/(广西政府采购网)。" </w:instrText>
      </w:r>
      <w:r>
        <w:rPr>
          <w:rFonts w:hint="eastAsia" w:ascii="宋体" w:hAnsi="宋体" w:eastAsia="宋体" w:cs="宋体"/>
          <w:color w:val="auto"/>
          <w:kern w:val="0"/>
          <w:szCs w:val="21"/>
          <w:highlight w:val="none"/>
          <w:lang w:val="en-US" w:eastAsia="zh-CN"/>
        </w:rPr>
        <w:fldChar w:fldCharType="separate"/>
      </w:r>
      <w:r>
        <w:rPr>
          <w:rFonts w:hint="eastAsia" w:ascii="宋体" w:hAnsi="宋体" w:eastAsia="宋体" w:cs="宋体"/>
          <w:color w:val="auto"/>
          <w:kern w:val="0"/>
          <w:szCs w:val="21"/>
          <w:highlight w:val="none"/>
          <w:lang w:val="en-US" w:eastAsia="zh-CN"/>
        </w:rPr>
        <w:t>中国政府采购网</w:t>
      </w:r>
      <w:r>
        <w:rPr>
          <w:rFonts w:hint="eastAsia" w:ascii="宋体" w:hAnsi="宋体" w:cs="宋体"/>
          <w:color w:val="auto"/>
          <w:kern w:val="0"/>
          <w:szCs w:val="21"/>
          <w:highlight w:val="none"/>
          <w:lang w:val="en-US" w:eastAsia="zh-CN"/>
        </w:rPr>
        <w:t>(www.ccgp.gov.cn)</w:t>
      </w:r>
      <w:r>
        <w:rPr>
          <w:rFonts w:hint="eastAsia" w:ascii="宋体" w:hAnsi="宋体" w:eastAsia="宋体" w:cs="宋体"/>
          <w:color w:val="auto"/>
          <w:kern w:val="0"/>
          <w:szCs w:val="21"/>
          <w:highlight w:val="none"/>
          <w:lang w:val="en-US" w:eastAsia="zh-CN"/>
        </w:rPr>
        <w:t>、广西壮族自治区政府采购网</w:t>
      </w:r>
      <w:r>
        <w:rPr>
          <w:rFonts w:hint="eastAsia" w:ascii="宋体" w:hAnsi="宋体" w:eastAsia="宋体" w:cs="宋体"/>
          <w:color w:val="auto"/>
          <w:sz w:val="24"/>
          <w:szCs w:val="28"/>
          <w:highlight w:val="none"/>
        </w:rPr>
        <w:t>（http://zfcg.gxzf.gov.cn）</w:t>
      </w:r>
      <w:r>
        <w:rPr>
          <w:rFonts w:hint="eastAsia" w:ascii="宋体" w:hAnsi="宋体" w:eastAsia="宋体" w:cs="宋体"/>
          <w:color w:val="auto"/>
          <w:kern w:val="0"/>
          <w:szCs w:val="21"/>
          <w:highlight w:val="none"/>
          <w:lang w:val="en-US" w:eastAsia="zh-CN"/>
        </w:rPr>
        <w:t>、梧州市政府采购网</w:t>
      </w:r>
      <w:r>
        <w:rPr>
          <w:rFonts w:hint="eastAsia" w:ascii="宋体" w:hAnsi="宋体" w:cs="宋体"/>
          <w:color w:val="auto"/>
          <w:kern w:val="0"/>
          <w:szCs w:val="21"/>
          <w:highlight w:val="none"/>
          <w:lang w:val="en-US" w:eastAsia="zh-CN"/>
        </w:rPr>
        <w:t>(117.141.250.58:10030/web/cgw/index.ptl)</w:t>
      </w:r>
      <w:r>
        <w:rPr>
          <w:rFonts w:hint="eastAsia" w:ascii="宋体" w:hAnsi="宋体" w:eastAsia="宋体" w:cs="宋体"/>
          <w:color w:val="auto"/>
          <w:kern w:val="0"/>
          <w:szCs w:val="21"/>
          <w:highlight w:val="none"/>
          <w:lang w:val="en-US" w:eastAsia="zh-CN"/>
        </w:rPr>
        <w:t>、全国公共资源交易平台(广西·梧州)</w:t>
      </w:r>
      <w:r>
        <w:rPr>
          <w:rStyle w:val="29"/>
          <w:rFonts w:ascii="宋体" w:hAnsi="宋体" w:eastAsia="宋体" w:cs="宋体"/>
          <w:color w:val="auto"/>
          <w:sz w:val="24"/>
          <w:szCs w:val="24"/>
          <w:highlight w:val="none"/>
        </w:rPr>
        <w:t>(gxzf.gov.cn</w:t>
      </w:r>
      <w:r>
        <w:rPr>
          <w:rStyle w:val="29"/>
          <w:rFonts w:hint="eastAsia" w:ascii="宋体" w:hAnsi="宋体" w:eastAsia="宋体" w:cs="宋体"/>
          <w:color w:val="auto"/>
          <w:sz w:val="24"/>
          <w:szCs w:val="24"/>
          <w:highlight w:val="none"/>
          <w:lang w:val="en-US" w:eastAsia="zh-CN"/>
        </w:rPr>
        <w:t>/</w:t>
      </w:r>
      <w:r>
        <w:rPr>
          <w:rStyle w:val="29"/>
          <w:rFonts w:hint="eastAsia" w:ascii="宋体" w:hAnsi="宋体" w:eastAsia="宋体" w:cs="宋体"/>
          <w:color w:val="auto"/>
          <w:sz w:val="24"/>
          <w:szCs w:val="24"/>
          <w:highlight w:val="none"/>
        </w:rPr>
        <w:t>wzggzy/</w:t>
      </w:r>
      <w:r>
        <w:rPr>
          <w:rStyle w:val="29"/>
          <w:rFonts w:ascii="宋体" w:hAnsi="宋体" w:eastAsia="宋体" w:cs="宋体"/>
          <w:color w:val="auto"/>
          <w:sz w:val="24"/>
          <w:szCs w:val="24"/>
          <w:highlight w:val="none"/>
        </w:rPr>
        <w:t>)</w:t>
      </w:r>
      <w:r>
        <w:rPr>
          <w:rStyle w:val="29"/>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fldChar w:fldCharType="end"/>
      </w:r>
    </w:p>
    <w:p w14:paraId="6D959E48">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 本项目需要落实的政府采购政策：</w:t>
      </w:r>
    </w:p>
    <w:p w14:paraId="39D17545">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21946CE2">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02E0663E">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（3）强制采购节能产品；优先采购节能产品、环境标志产品。</w:t>
      </w:r>
    </w:p>
    <w:p w14:paraId="76E4C313">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（4）政府采购促进残疾人就业政策。</w:t>
      </w:r>
    </w:p>
    <w:p w14:paraId="10D5A1DD">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（5）政府采购支持监狱企业发展。</w:t>
      </w:r>
    </w:p>
    <w:p w14:paraId="73C4BAE7">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val="en-US"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EF14B0">
      <w:pPr>
        <w:spacing w:line="360" w:lineRule="auto"/>
        <w:ind w:firstLine="315" w:firstLineChars="150"/>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kern w:val="0"/>
          <w:szCs w:val="21"/>
          <w:highlight w:val="none"/>
          <w:lang w:val="en-US" w:eastAsia="zh-CN"/>
        </w:rPr>
        <w:t>、政府采购严重违法失信行为记录名单及其他不符合《中华人民共和国政府采购法》第二十二条规定条件的供应商，不得参与政府采购活动。</w:t>
      </w:r>
    </w:p>
    <w:p w14:paraId="58D50F50">
      <w:pPr>
        <w:spacing w:line="360" w:lineRule="auto"/>
        <w:ind w:firstLine="316" w:firstLineChars="150"/>
        <w:rPr>
          <w:rFonts w:hint="default"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lang w:eastAsia="zh-CN"/>
        </w:rPr>
        <w:t>.</w:t>
      </w:r>
      <w:r>
        <w:rPr>
          <w:rFonts w:hint="eastAsia" w:ascii="宋体" w:hAnsi="宋体" w:cs="宋体"/>
          <w:b/>
          <w:bCs/>
          <w:color w:val="auto"/>
          <w:szCs w:val="21"/>
          <w:highlight w:val="none"/>
        </w:rPr>
        <w:t>在线投标</w:t>
      </w:r>
      <w:r>
        <w:rPr>
          <w:rFonts w:hint="eastAsia" w:ascii="宋体" w:hAnsi="宋体" w:cs="宋体"/>
          <w:b/>
          <w:bCs/>
          <w:color w:val="auto"/>
          <w:szCs w:val="21"/>
          <w:highlight w:val="none"/>
          <w:lang w:eastAsia="zh-CN"/>
        </w:rPr>
        <w:t>的有关</w:t>
      </w:r>
      <w:r>
        <w:rPr>
          <w:rFonts w:hint="eastAsia" w:ascii="宋体" w:hAnsi="宋体" w:cs="宋体"/>
          <w:b/>
          <w:bCs/>
          <w:color w:val="auto"/>
          <w:szCs w:val="21"/>
          <w:highlight w:val="none"/>
        </w:rPr>
        <w:t>说明</w:t>
      </w:r>
      <w:r>
        <w:rPr>
          <w:rFonts w:hint="eastAsia" w:ascii="宋体" w:hAnsi="宋体" w:eastAsia="宋体" w:cs="宋体"/>
          <w:b/>
          <w:bCs/>
          <w:color w:val="auto"/>
          <w:kern w:val="0"/>
          <w:szCs w:val="21"/>
          <w:highlight w:val="none"/>
        </w:rPr>
        <w:t>：</w:t>
      </w:r>
    </w:p>
    <w:p w14:paraId="62EB9097">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color w:val="auto"/>
          <w:szCs w:val="21"/>
          <w:highlight w:val="none"/>
        </w:rPr>
        <w:t>（1）投标文件提交方式：本项目为全流程电子化项目，通过</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Times New Roman"/>
          <w:b w:val="0"/>
          <w:bCs w:val="0"/>
          <w:color w:val="auto"/>
          <w:szCs w:val="21"/>
          <w:highlight w:val="none"/>
          <w:u w:val="none"/>
        </w:rPr>
        <w:t>实行在线电子投标，供应商应先安装</w:t>
      </w:r>
      <w:r>
        <w:rPr>
          <w:rFonts w:hint="eastAsia" w:ascii="宋体" w:hAnsi="宋体" w:cs="宋体"/>
          <w:b w:val="0"/>
          <w:bCs w:val="0"/>
          <w:color w:val="auto"/>
          <w:sz w:val="21"/>
          <w:szCs w:val="21"/>
          <w:highlight w:val="none"/>
          <w:lang w:val="en-US" w:eastAsia="zh-CN"/>
        </w:rPr>
        <w:t>广西政府采购云平台新版客户端</w:t>
      </w:r>
      <w:r>
        <w:rPr>
          <w:rFonts w:hint="eastAsia" w:ascii="宋体" w:hAnsi="宋体" w:cs="宋体"/>
          <w:color w:val="auto"/>
          <w:szCs w:val="21"/>
          <w:highlight w:val="none"/>
        </w:rPr>
        <w:t>（新版</w:t>
      </w:r>
      <w:r>
        <w:rPr>
          <w:rFonts w:hint="eastAsia" w:ascii="宋体" w:hAnsi="宋体" w:eastAsia="宋体" w:cs="宋体"/>
          <w:i w:val="0"/>
          <w:caps w:val="0"/>
          <w:color w:val="auto"/>
          <w:spacing w:val="0"/>
          <w:sz w:val="21"/>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Times New Roman"/>
          <w:b w:val="0"/>
          <w:bCs w:val="0"/>
          <w:color w:val="auto"/>
          <w:szCs w:val="21"/>
          <w:highlight w:val="none"/>
          <w:u w:val="none"/>
        </w:rPr>
        <w:t>，并按照本项目招标文件和</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的要求编制、加密后在投标截止时间前通过网络上传至</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val="0"/>
          <w:bCs w:val="0"/>
          <w:color w:val="auto"/>
          <w:szCs w:val="21"/>
          <w:highlight w:val="none"/>
          <w:u w:val="none"/>
        </w:rPr>
        <w:t>，</w:t>
      </w:r>
      <w:r>
        <w:rPr>
          <w:rFonts w:hint="eastAsia" w:ascii="宋体" w:hAnsi="宋体" w:cs="Times New Roman"/>
          <w:b/>
          <w:bCs/>
          <w:color w:val="auto"/>
          <w:szCs w:val="21"/>
          <w:highlight w:val="none"/>
          <w:u w:val="none"/>
          <w:lang w:eastAsia="zh-CN"/>
        </w:rPr>
        <w:t>投标人</w:t>
      </w:r>
      <w:r>
        <w:rPr>
          <w:rFonts w:hint="eastAsia" w:ascii="宋体" w:hAnsi="宋体" w:eastAsia="宋体" w:cs="Times New Roman"/>
          <w:b/>
          <w:bCs/>
          <w:color w:val="auto"/>
          <w:szCs w:val="21"/>
          <w:highlight w:val="none"/>
          <w:u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
          <w:bCs/>
          <w:color w:val="auto"/>
          <w:szCs w:val="21"/>
          <w:highlight w:val="none"/>
          <w:u w:val="none"/>
        </w:rPr>
        <w:t>提交电子版投标文件时，请填写参加远程开标活动经办人联系方式</w:t>
      </w:r>
      <w:r>
        <w:rPr>
          <w:rFonts w:hint="eastAsia" w:ascii="宋体" w:hAnsi="宋体" w:eastAsia="宋体" w:cs="Times New Roman"/>
          <w:b w:val="0"/>
          <w:bCs w:val="0"/>
          <w:color w:val="auto"/>
          <w:szCs w:val="21"/>
          <w:highlight w:val="none"/>
          <w:u w:val="none"/>
        </w:rPr>
        <w:t>。</w:t>
      </w:r>
    </w:p>
    <w:p w14:paraId="26B75A1D">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（2）未进行网上注册并办理数字证书（CA认证）的供应商将无法参与本项目政府采购活动，潜在</w:t>
      </w:r>
      <w:r>
        <w:rPr>
          <w:rFonts w:hint="eastAsia" w:ascii="宋体" w:hAnsi="宋体" w:cs="Times New Roman"/>
          <w:b w:val="0"/>
          <w:bCs w:val="0"/>
          <w:color w:val="auto"/>
          <w:szCs w:val="21"/>
          <w:highlight w:val="none"/>
          <w:u w:val="none"/>
          <w:lang w:eastAsia="zh-CN"/>
        </w:rPr>
        <w:t>投标人</w:t>
      </w:r>
      <w:r>
        <w:rPr>
          <w:rFonts w:hint="eastAsia" w:ascii="宋体" w:hAnsi="宋体" w:eastAsia="宋体" w:cs="Times New Roman"/>
          <w:b w:val="0"/>
          <w:bCs w:val="0"/>
          <w:color w:val="auto"/>
          <w:szCs w:val="21"/>
          <w:highlight w:val="none"/>
          <w:u w:val="none"/>
        </w:rPr>
        <w:t>应当在投标截止时间前，完成电子交易平台上的CA数字证书办理及投标文件的提交。</w:t>
      </w:r>
    </w:p>
    <w:p w14:paraId="75FD60D9">
      <w:pPr>
        <w:widowControl/>
        <w:spacing w:line="360" w:lineRule="auto"/>
        <w:ind w:firstLine="420" w:firstLineChars="200"/>
        <w:jc w:val="left"/>
        <w:rPr>
          <w:rFonts w:hint="eastAsia" w:ascii="宋体" w:hAnsi="宋体" w:eastAsia="宋体" w:cs="Times New Roman"/>
          <w:b w:val="0"/>
          <w:bCs w:val="0"/>
          <w:color w:val="auto"/>
          <w:szCs w:val="21"/>
          <w:highlight w:val="none"/>
          <w:u w:val="none"/>
        </w:rPr>
      </w:pPr>
      <w:r>
        <w:rPr>
          <w:rFonts w:hint="eastAsia" w:ascii="宋体" w:hAnsi="宋体" w:eastAsia="宋体" w:cs="Times New Roman"/>
          <w:b w:val="0"/>
          <w:bCs w:val="0"/>
          <w:color w:val="auto"/>
          <w:szCs w:val="21"/>
          <w:highlight w:val="none"/>
          <w:u w:val="none"/>
        </w:rPr>
        <w:t>（3）为确保网上操作合法、有效和安全，请投标</w:t>
      </w:r>
      <w:r>
        <w:rPr>
          <w:rFonts w:hint="eastAsia" w:ascii="宋体" w:hAnsi="宋体" w:cs="Times New Roman"/>
          <w:b w:val="0"/>
          <w:bCs w:val="0"/>
          <w:color w:val="auto"/>
          <w:szCs w:val="21"/>
          <w:highlight w:val="none"/>
          <w:u w:val="none"/>
          <w:lang w:eastAsia="zh-CN"/>
        </w:rPr>
        <w:t>人</w:t>
      </w:r>
      <w:r>
        <w:rPr>
          <w:rFonts w:hint="eastAsia" w:ascii="宋体" w:hAnsi="宋体" w:eastAsia="宋体" w:cs="Times New Roman"/>
          <w:b w:val="0"/>
          <w:bCs w:val="0"/>
          <w:color w:val="auto"/>
          <w:szCs w:val="21"/>
          <w:highlight w:val="none"/>
          <w:u w:val="none"/>
        </w:rPr>
        <w:t>确保在电子投标过程中能够对相关数据电文进行加密和使用电子签章，妥善保管CA数字证书并使用有效的CA数字证书参与整个招标活动。</w:t>
      </w:r>
    </w:p>
    <w:p w14:paraId="53AD270A">
      <w:pPr>
        <w:spacing w:line="360" w:lineRule="auto"/>
        <w:ind w:firstLine="422" w:firstLineChars="200"/>
        <w:rPr>
          <w:rFonts w:hint="eastAsia" w:ascii="宋体" w:hAnsi="宋体" w:eastAsia="宋体" w:cs="Times New Roman"/>
          <w:b/>
          <w:bCs/>
          <w:color w:val="auto"/>
          <w:szCs w:val="21"/>
          <w:highlight w:val="none"/>
          <w:u w:val="none"/>
        </w:rPr>
      </w:pPr>
      <w:r>
        <w:rPr>
          <w:rFonts w:hint="eastAsia" w:ascii="宋体" w:hAnsi="宋体" w:eastAsia="宋体" w:cs="Times New Roman"/>
          <w:b/>
          <w:bCs/>
          <w:color w:val="auto"/>
          <w:szCs w:val="21"/>
          <w:highlight w:val="none"/>
          <w:u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Times New Roman"/>
          <w:b/>
          <w:bCs/>
          <w:color w:val="auto"/>
          <w:sz w:val="21"/>
          <w:szCs w:val="21"/>
          <w:highlight w:val="none"/>
          <w:u w:val="none"/>
          <w:lang w:val="en-US" w:eastAsia="zh-CN"/>
        </w:rPr>
        <w:t>广西政府采购云平台</w:t>
      </w:r>
      <w:r>
        <w:rPr>
          <w:rFonts w:hint="eastAsia" w:ascii="宋体" w:hAnsi="宋体" w:eastAsia="宋体" w:cs="Times New Roman"/>
          <w:b/>
          <w:bCs/>
          <w:color w:val="auto"/>
          <w:szCs w:val="21"/>
          <w:highlight w:val="none"/>
          <w:u w:val="none"/>
        </w:rPr>
        <w:t>将予以拒收。</w:t>
      </w:r>
    </w:p>
    <w:p w14:paraId="429C5F6C">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）CA证书在线解密：</w:t>
      </w:r>
      <w:r>
        <w:rPr>
          <w:rFonts w:hint="eastAsia" w:ascii="宋体" w:hAnsi="宋体" w:cs="宋体"/>
          <w:color w:val="auto"/>
          <w:kern w:val="0"/>
          <w:szCs w:val="21"/>
          <w:highlight w:val="none"/>
          <w:lang w:eastAsia="zh-CN"/>
        </w:rPr>
        <w:t>投标人</w:t>
      </w:r>
      <w:r>
        <w:rPr>
          <w:rFonts w:hint="eastAsia" w:ascii="宋体" w:hAnsi="宋体" w:eastAsia="宋体" w:cs="宋体"/>
          <w:color w:val="auto"/>
          <w:kern w:val="0"/>
          <w:szCs w:val="21"/>
          <w:highlight w:val="none"/>
        </w:rPr>
        <w:t>投标时，需携带制作投标文件时用来加密的有效数字证书（CA认证）登录</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w:t>
      </w:r>
    </w:p>
    <w:p w14:paraId="404E476A">
      <w:pPr>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）若对项目采购电子交易系统操作有疑问，可登录</w:t>
      </w:r>
      <w:r>
        <w:rPr>
          <w:rFonts w:hint="eastAsia" w:ascii="宋体" w:hAnsi="宋体" w:cs="宋体"/>
          <w:b w:val="0"/>
          <w:bCs w:val="0"/>
          <w:color w:val="auto"/>
          <w:sz w:val="21"/>
          <w:szCs w:val="21"/>
          <w:highlight w:val="none"/>
          <w:lang w:val="en-US" w:eastAsia="zh-CN"/>
        </w:rPr>
        <w:t>广西政府采购云平台（https://www.gcy.zfcg.gxzf.gov.cn/）</w:t>
      </w:r>
      <w:r>
        <w:rPr>
          <w:rFonts w:hint="eastAsia" w:ascii="宋体" w:hAnsi="宋体" w:eastAsia="宋体" w:cs="宋体"/>
          <w:color w:val="auto"/>
          <w:kern w:val="0"/>
          <w:szCs w:val="21"/>
          <w:highlight w:val="none"/>
          <w:lang w:eastAsia="zh-CN"/>
        </w:rPr>
        <w:t>，点击右侧咨询小采，获取采小蜜智能服务管家帮助，或拨打</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lang w:eastAsia="zh-CN"/>
        </w:rPr>
        <w:t>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lang w:eastAsia="zh-CN"/>
        </w:rPr>
        <w:t>获取热线服务帮助。</w:t>
      </w:r>
    </w:p>
    <w:p w14:paraId="5A36E2A2">
      <w:pPr>
        <w:spacing w:line="360" w:lineRule="auto"/>
        <w:rPr>
          <w:rFonts w:hint="eastAsia" w:ascii="黑体" w:hAnsi="黑体" w:eastAsia="黑体" w:cs="Times New Roman"/>
          <w:b/>
          <w:bCs/>
          <w:color w:val="auto"/>
          <w:sz w:val="24"/>
          <w:highlight w:val="none"/>
        </w:rPr>
      </w:pPr>
      <w:bookmarkStart w:id="41" w:name="_Toc28359008"/>
      <w:bookmarkStart w:id="42" w:name="_Toc35393796"/>
      <w:bookmarkStart w:id="43" w:name="_Toc28359085"/>
      <w:bookmarkStart w:id="44" w:name="_Toc35393627"/>
      <w:r>
        <w:rPr>
          <w:rFonts w:hint="eastAsia" w:ascii="黑体" w:hAnsi="黑体" w:eastAsia="黑体" w:cs="Times New Roman"/>
          <w:b/>
          <w:bCs/>
          <w:color w:val="auto"/>
          <w:sz w:val="24"/>
          <w:highlight w:val="none"/>
        </w:rPr>
        <w:t>七、对本次招标提出询问，请按以下方式联系。</w:t>
      </w:r>
      <w:bookmarkEnd w:id="41"/>
      <w:bookmarkEnd w:id="42"/>
      <w:bookmarkEnd w:id="43"/>
      <w:bookmarkEnd w:id="44"/>
    </w:p>
    <w:p w14:paraId="06441AA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1.采购人信息</w:t>
      </w:r>
    </w:p>
    <w:p w14:paraId="06B0A805">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名称：</w:t>
      </w:r>
      <w:r>
        <w:rPr>
          <w:rFonts w:hint="eastAsia" w:ascii="宋体" w:hAnsi="宋体" w:cs="宋体"/>
          <w:color w:val="auto"/>
          <w:kern w:val="0"/>
          <w:szCs w:val="21"/>
          <w:highlight w:val="none"/>
          <w:u w:val="single"/>
          <w:lang w:eastAsia="zh-CN"/>
        </w:rPr>
        <w:t xml:space="preserve"> </w:t>
      </w:r>
      <w:r>
        <w:rPr>
          <w:rFonts w:hint="eastAsia" w:ascii="宋体" w:hAnsi="宋体" w:cs="宋体"/>
          <w:color w:val="auto"/>
          <w:kern w:val="0"/>
          <w:szCs w:val="21"/>
          <w:highlight w:val="none"/>
          <w:u w:val="single"/>
          <w:lang w:val="en-US" w:eastAsia="zh-CN"/>
        </w:rPr>
        <w:t xml:space="preserve"> 梧州市人民警察训练学校  </w:t>
      </w:r>
    </w:p>
    <w:p w14:paraId="1A4DC08B">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color w:val="auto"/>
          <w:kern w:val="0"/>
          <w:szCs w:val="21"/>
          <w:highlight w:val="none"/>
          <w:u w:val="single"/>
          <w:lang w:eastAsia="zh-CN"/>
        </w:rPr>
        <w:t xml:space="preserve"> 梧州市万秀区西江四路66号</w:t>
      </w:r>
      <w:r>
        <w:rPr>
          <w:rFonts w:hint="eastAsia" w:ascii="宋体" w:hAnsi="宋体" w:cs="宋体"/>
          <w:color w:val="auto"/>
          <w:kern w:val="0"/>
          <w:szCs w:val="21"/>
          <w:highlight w:val="none"/>
          <w:u w:val="single"/>
          <w:lang w:val="en-US" w:eastAsia="zh-CN"/>
        </w:rPr>
        <w:t xml:space="preserve">   </w:t>
      </w:r>
    </w:p>
    <w:p w14:paraId="7485E423">
      <w:pPr>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联系方式：</w:t>
      </w:r>
      <w:r>
        <w:rPr>
          <w:rFonts w:hint="eastAsia" w:ascii="宋体" w:hAnsi="宋体" w:cs="宋体"/>
          <w:color w:val="auto"/>
          <w:kern w:val="0"/>
          <w:szCs w:val="21"/>
          <w:highlight w:val="none"/>
          <w:lang w:eastAsia="zh-CN"/>
        </w:rPr>
        <w:t>姚家静</w:t>
      </w:r>
      <w:r>
        <w:rPr>
          <w:rFonts w:hint="eastAsia" w:ascii="宋体" w:hAnsi="宋体" w:cs="宋体"/>
          <w:color w:val="auto"/>
          <w:kern w:val="0"/>
          <w:szCs w:val="21"/>
          <w:highlight w:val="none"/>
          <w:lang w:val="en-US" w:eastAsia="zh-CN"/>
        </w:rPr>
        <w:t xml:space="preserve">  0774-</w:t>
      </w:r>
      <w:r>
        <w:rPr>
          <w:rFonts w:hint="eastAsia" w:ascii="宋体" w:hAnsi="宋体" w:eastAsia="宋体" w:cs="宋体"/>
          <w:color w:val="auto"/>
          <w:kern w:val="0"/>
          <w:szCs w:val="21"/>
          <w:highlight w:val="none"/>
        </w:rPr>
        <w:t>389</w:t>
      </w:r>
      <w:r>
        <w:rPr>
          <w:rFonts w:hint="eastAsia" w:ascii="宋体" w:hAnsi="宋体" w:eastAsia="宋体" w:cs="宋体"/>
          <w:color w:val="auto"/>
          <w:kern w:val="0"/>
          <w:szCs w:val="21"/>
          <w:highlight w:val="none"/>
          <w:u w:val="none"/>
        </w:rPr>
        <w:t>8306</w:t>
      </w:r>
      <w:r>
        <w:rPr>
          <w:rFonts w:hint="eastAsia" w:ascii="宋体" w:hAnsi="宋体" w:cs="宋体"/>
          <w:color w:val="auto"/>
          <w:kern w:val="0"/>
          <w:szCs w:val="21"/>
          <w:highlight w:val="none"/>
          <w:u w:val="none"/>
          <w:lang w:eastAsia="zh-CN"/>
        </w:rPr>
        <w:t xml:space="preserve"> </w:t>
      </w:r>
      <w:r>
        <w:rPr>
          <w:rFonts w:hint="eastAsia" w:ascii="宋体" w:hAnsi="宋体" w:cs="宋体"/>
          <w:color w:val="auto"/>
          <w:kern w:val="0"/>
          <w:szCs w:val="21"/>
          <w:highlight w:val="none"/>
          <w:u w:val="none"/>
          <w:lang w:val="en-US" w:eastAsia="zh-CN"/>
        </w:rPr>
        <w:t xml:space="preserve">     </w:t>
      </w:r>
    </w:p>
    <w:p w14:paraId="36F82014">
      <w:pPr>
        <w:spacing w:line="380" w:lineRule="exact"/>
        <w:ind w:left="0" w:lef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525CE543">
      <w:pPr>
        <w:spacing w:line="24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名    称：广西科联招标中心有限公司　　　　　　　　　　　　</w:t>
      </w:r>
    </w:p>
    <w:p w14:paraId="60C03C61">
      <w:pPr>
        <w:spacing w:line="24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地　　址：梧州市新兴二路116号华光大厦六楼　　　　　　　　　　　</w:t>
      </w:r>
    </w:p>
    <w:p w14:paraId="783F52BB">
      <w:pPr>
        <w:spacing w:line="380" w:lineRule="exact"/>
        <w:ind w:firstLine="420" w:firstLineChars="200"/>
        <w:rPr>
          <w:rFonts w:hint="eastAsia" w:ascii="宋体" w:hAnsi="宋体" w:eastAsia="宋体" w:cs="宋体"/>
          <w:color w:val="auto"/>
          <w:szCs w:val="21"/>
          <w:highlight w:val="none"/>
        </w:rPr>
      </w:pPr>
      <w:r>
        <w:rPr>
          <w:rFonts w:hint="eastAsia" w:ascii="宋体" w:hAnsi="宋体"/>
          <w:bCs/>
          <w:color w:val="auto"/>
          <w:szCs w:val="21"/>
          <w:highlight w:val="none"/>
        </w:rPr>
        <w:t>联系方式：　</w:t>
      </w:r>
      <w:r>
        <w:rPr>
          <w:rFonts w:hint="eastAsia" w:ascii="宋体" w:hAnsi="宋体"/>
          <w:bCs/>
          <w:color w:val="auto"/>
          <w:szCs w:val="21"/>
          <w:highlight w:val="none"/>
          <w:lang w:eastAsia="zh-CN"/>
        </w:rPr>
        <w:t>吴华东</w:t>
      </w:r>
      <w:r>
        <w:rPr>
          <w:rFonts w:hint="eastAsia" w:ascii="宋体" w:hAnsi="宋体"/>
          <w:bCs/>
          <w:color w:val="auto"/>
          <w:szCs w:val="21"/>
          <w:highlight w:val="none"/>
        </w:rPr>
        <w:t>　　　</w:t>
      </w:r>
      <w:r>
        <w:rPr>
          <w:rFonts w:hint="eastAsia" w:ascii="宋体" w:hAnsi="宋体"/>
          <w:bCs/>
          <w:color w:val="auto"/>
          <w:szCs w:val="21"/>
          <w:highlight w:val="none"/>
          <w:lang w:val="en-US" w:eastAsia="zh-CN"/>
        </w:rPr>
        <w:t>17777405988</w:t>
      </w:r>
      <w:r>
        <w:rPr>
          <w:rFonts w:hint="eastAsia" w:ascii="宋体" w:hAnsi="宋体"/>
          <w:bCs/>
          <w:color w:val="auto"/>
          <w:szCs w:val="21"/>
          <w:highlight w:val="none"/>
        </w:rPr>
        <w:t>　</w:t>
      </w:r>
    </w:p>
    <w:p w14:paraId="0A41282D">
      <w:pPr>
        <w:numPr>
          <w:ilvl w:val="0"/>
          <w:numId w:val="1"/>
        </w:num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w:t>
      </w:r>
    </w:p>
    <w:p w14:paraId="78EA8DC8">
      <w:pPr>
        <w:numPr>
          <w:ilvl w:val="-1"/>
          <w:numId w:val="0"/>
        </w:num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bCs/>
          <w:color w:val="auto"/>
          <w:szCs w:val="21"/>
          <w:highlight w:val="none"/>
          <w:lang w:eastAsia="zh-CN"/>
        </w:rPr>
        <w:t>吴华东</w:t>
      </w:r>
    </w:p>
    <w:p w14:paraId="0DFA8999">
      <w:pPr>
        <w:spacing w:line="380" w:lineRule="exact"/>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电    话：</w:t>
      </w:r>
      <w:r>
        <w:rPr>
          <w:rFonts w:hint="eastAsia" w:ascii="宋体" w:hAnsi="宋体"/>
          <w:bCs/>
          <w:color w:val="auto"/>
          <w:szCs w:val="21"/>
          <w:highlight w:val="none"/>
          <w:lang w:val="en-US" w:eastAsia="zh-CN"/>
        </w:rPr>
        <w:t>17777405988</w:t>
      </w:r>
    </w:p>
    <w:p w14:paraId="7C17953F">
      <w:pPr>
        <w:widowControl/>
        <w:spacing w:line="360" w:lineRule="auto"/>
        <w:jc w:val="left"/>
        <w:rPr>
          <w:rFonts w:ascii="宋体" w:hAnsi="宋体" w:cs="宋体"/>
          <w:color w:val="auto"/>
          <w:sz w:val="24"/>
          <w:highlight w:val="none"/>
          <w:lang w:val="zh-CN"/>
        </w:rPr>
      </w:pPr>
    </w:p>
    <w:p w14:paraId="5D41ADEF">
      <w:pPr>
        <w:pStyle w:val="2"/>
        <w:rPr>
          <w:rFonts w:ascii="宋体" w:hAnsi="宋体" w:cs="宋体"/>
          <w:color w:val="auto"/>
          <w:sz w:val="24"/>
          <w:highlight w:val="none"/>
          <w:lang w:val="zh-CN"/>
        </w:rPr>
      </w:pPr>
    </w:p>
    <w:p w14:paraId="00B04BC1">
      <w:pPr>
        <w:pStyle w:val="2"/>
        <w:rPr>
          <w:rFonts w:ascii="宋体" w:hAnsi="宋体" w:cs="宋体"/>
          <w:color w:val="auto"/>
          <w:sz w:val="24"/>
          <w:highlight w:val="none"/>
          <w:lang w:val="zh-CN"/>
        </w:rPr>
      </w:pPr>
    </w:p>
    <w:p w14:paraId="56A9ECBB">
      <w:pPr>
        <w:pStyle w:val="2"/>
        <w:rPr>
          <w:rFonts w:ascii="宋体" w:hAnsi="宋体" w:cs="宋体"/>
          <w:color w:val="auto"/>
          <w:sz w:val="24"/>
          <w:highlight w:val="none"/>
          <w:lang w:val="zh-CN"/>
        </w:rPr>
      </w:pPr>
    </w:p>
    <w:p w14:paraId="699E0CAB">
      <w:pPr>
        <w:pStyle w:val="2"/>
        <w:rPr>
          <w:rFonts w:hint="default" w:ascii="宋体" w:hAnsi="宋体" w:eastAsia="宋体" w:cs="宋体"/>
          <w:color w:val="auto"/>
          <w:sz w:val="24"/>
          <w:highlight w:val="none"/>
          <w:lang w:val="en-US" w:eastAsia="zh-CN"/>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r>
        <w:rPr>
          <w:rFonts w:hint="eastAsia" w:ascii="宋体" w:hAnsi="宋体" w:cs="宋体"/>
          <w:color w:val="auto"/>
          <w:sz w:val="24"/>
          <w:highlight w:val="none"/>
          <w:lang w:val="en-US" w:eastAsia="zh-CN"/>
        </w:rPr>
        <w:t xml:space="preserve">     </w:t>
      </w:r>
    </w:p>
    <w:p w14:paraId="616B6ACF">
      <w:pPr>
        <w:pStyle w:val="15"/>
        <w:jc w:val="center"/>
        <w:outlineLvl w:val="0"/>
        <w:rPr>
          <w:rFonts w:hint="eastAsia" w:ascii="Times New Roman" w:hAnsi="Times New Roman" w:eastAsia="宋体" w:cs="Times New Roman"/>
          <w:b/>
          <w:color w:val="auto"/>
          <w:sz w:val="36"/>
          <w:highlight w:val="none"/>
        </w:rPr>
      </w:pPr>
      <w:bookmarkStart w:id="45" w:name="_Toc532545042"/>
      <w:bookmarkStart w:id="46" w:name="_Toc13449"/>
      <w:bookmarkStart w:id="47" w:name="_Toc8382"/>
      <w:bookmarkStart w:id="48" w:name="_Toc21081"/>
      <w:bookmarkStart w:id="49" w:name="_Toc32573"/>
      <w:bookmarkStart w:id="50" w:name="_Toc4483"/>
      <w:bookmarkStart w:id="51" w:name="_Toc17621"/>
      <w:bookmarkStart w:id="52" w:name="_Toc22408"/>
      <w:bookmarkStart w:id="53" w:name="_Toc7337"/>
      <w:bookmarkStart w:id="54" w:name="_Toc7686"/>
      <w:bookmarkStart w:id="55" w:name="_Toc24210"/>
      <w:bookmarkStart w:id="56" w:name="_Toc937"/>
      <w:bookmarkStart w:id="57" w:name="_Toc28689"/>
      <w:bookmarkStart w:id="58" w:name="_Toc2299"/>
      <w:r>
        <w:rPr>
          <w:rFonts w:hint="eastAsia" w:ascii="Times New Roman" w:hAnsi="Times New Roman" w:eastAsia="宋体" w:cs="Times New Roman"/>
          <w:b/>
          <w:color w:val="auto"/>
          <w:sz w:val="36"/>
          <w:highlight w:val="none"/>
        </w:rPr>
        <w:t>第二章</w:t>
      </w:r>
      <w:r>
        <w:rPr>
          <w:rFonts w:ascii="Times New Roman" w:hAnsi="Times New Roman" w:eastAsia="宋体" w:cs="Times New Roman"/>
          <w:b/>
          <w:color w:val="auto"/>
          <w:sz w:val="36"/>
          <w:highlight w:val="none"/>
        </w:rPr>
        <w:t xml:space="preserve">  </w:t>
      </w:r>
      <w:bookmarkEnd w:id="45"/>
      <w:r>
        <w:rPr>
          <w:rFonts w:hint="eastAsia" w:ascii="Times New Roman" w:hAnsi="Times New Roman" w:eastAsia="宋体" w:cs="Times New Roman"/>
          <w:b/>
          <w:color w:val="auto"/>
          <w:sz w:val="36"/>
          <w:highlight w:val="none"/>
        </w:rPr>
        <w:t>采购需求</w:t>
      </w:r>
      <w:bookmarkEnd w:id="46"/>
      <w:bookmarkEnd w:id="47"/>
      <w:bookmarkEnd w:id="48"/>
      <w:bookmarkEnd w:id="49"/>
      <w:bookmarkEnd w:id="50"/>
      <w:bookmarkEnd w:id="51"/>
      <w:bookmarkEnd w:id="52"/>
      <w:bookmarkEnd w:id="53"/>
      <w:bookmarkEnd w:id="54"/>
      <w:bookmarkEnd w:id="55"/>
      <w:bookmarkEnd w:id="56"/>
      <w:bookmarkEnd w:id="57"/>
      <w:bookmarkEnd w:id="58"/>
    </w:p>
    <w:p w14:paraId="5AF58956">
      <w:pPr>
        <w:adjustRightInd w:val="0"/>
        <w:spacing w:line="340" w:lineRule="exact"/>
        <w:rPr>
          <w:rFonts w:ascii="Times New Roman" w:hAnsi="宋体" w:eastAsia="宋体" w:cs="Times New Roman"/>
          <w:b/>
          <w:color w:val="auto"/>
          <w:szCs w:val="21"/>
          <w:highlight w:val="none"/>
        </w:rPr>
      </w:pPr>
    </w:p>
    <w:p w14:paraId="5A2A1E82">
      <w:pPr>
        <w:adjustRightInd w:val="0"/>
        <w:spacing w:line="340" w:lineRule="exact"/>
        <w:rPr>
          <w:rFonts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14:paraId="2AE80718">
      <w:pPr>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1. 为落实政府采购政策需满足的要求</w:t>
      </w:r>
      <w:r>
        <w:rPr>
          <w:rFonts w:hint="eastAsia" w:ascii="宋体" w:hAnsi="宋体" w:cs="宋体"/>
          <w:color w:val="auto"/>
          <w:highlight w:val="none"/>
          <w:lang w:eastAsia="zh-CN"/>
        </w:rPr>
        <w:t>：</w:t>
      </w:r>
    </w:p>
    <w:p w14:paraId="50AF768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（1）本招标文件所称中小企业必须符合《政府采购促进中小企业发展管理办法》（财库〔2020〕46号）的规定。</w:t>
      </w:r>
    </w:p>
    <w:p w14:paraId="386D16A0">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eastAsia="宋体" w:cs="宋体"/>
          <w:b/>
          <w:bCs/>
          <w:color w:val="auto"/>
          <w:szCs w:val="21"/>
          <w:highlight w:val="none"/>
        </w:rPr>
        <w:t>投标人的投标货物必须使用政府强制采购的节能产品，投标人必须在投标文件中提供所投标产品</w:t>
      </w:r>
      <w:r>
        <w:rPr>
          <w:rFonts w:hint="eastAsia" w:ascii="宋体" w:hAnsi="宋体" w:cs="宋体"/>
          <w:b/>
          <w:bCs/>
          <w:color w:val="auto"/>
          <w:szCs w:val="21"/>
          <w:highlight w:val="none"/>
        </w:rPr>
        <w:t>有效期内</w:t>
      </w:r>
      <w:r>
        <w:rPr>
          <w:rFonts w:hint="eastAsia" w:ascii="宋体" w:hAnsi="宋体" w:eastAsia="宋体" w:cs="宋体"/>
          <w:b/>
          <w:bCs/>
          <w:color w:val="auto"/>
          <w:szCs w:val="21"/>
          <w:highlight w:val="none"/>
        </w:rPr>
        <w:t>的节能产品认证证书复印件（加盖</w:t>
      </w:r>
      <w:r>
        <w:rPr>
          <w:rFonts w:hint="eastAsia" w:ascii="宋体" w:hAnsi="宋体" w:cs="宋体"/>
          <w:b/>
          <w:bCs/>
          <w:color w:val="auto"/>
          <w:szCs w:val="21"/>
          <w:highlight w:val="none"/>
          <w:lang w:eastAsia="zh-CN"/>
        </w:rPr>
        <w:t>投标人公章</w:t>
      </w:r>
      <w:r>
        <w:rPr>
          <w:rFonts w:hint="eastAsia" w:ascii="宋体" w:hAnsi="宋体" w:eastAsia="宋体" w:cs="宋体"/>
          <w:b/>
          <w:bCs/>
          <w:color w:val="auto"/>
          <w:szCs w:val="21"/>
          <w:highlight w:val="none"/>
        </w:rPr>
        <w:t>），否则投标文件作无效处理</w:t>
      </w:r>
      <w:r>
        <w:rPr>
          <w:rFonts w:hint="eastAsia" w:ascii="宋体" w:hAnsi="宋体" w:eastAsia="宋体" w:cs="宋体"/>
          <w:color w:val="auto"/>
          <w:szCs w:val="21"/>
          <w:highlight w:val="none"/>
        </w:rPr>
        <w:t>。如本项目包含的货物属于品目清单内非标注“★”的产品时，应优先采购，具体详见“第四章 评标方法和评标标准”。</w:t>
      </w:r>
    </w:p>
    <w:p w14:paraId="484347A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14:paraId="3986912E">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本</w:t>
      </w:r>
      <w:r>
        <w:rPr>
          <w:rFonts w:hint="eastAsia" w:ascii="宋体" w:hAnsi="宋体" w:eastAsia="宋体" w:cs="宋体"/>
          <w:color w:val="auto"/>
          <w:szCs w:val="21"/>
          <w:highlight w:val="none"/>
        </w:rPr>
        <w:t>服务项目中伴随货物的，</w:t>
      </w:r>
      <w:r>
        <w:rPr>
          <w:rFonts w:hint="eastAsia" w:ascii="宋体" w:hAnsi="宋体" w:cs="宋体"/>
          <w:color w:val="auto"/>
          <w:szCs w:val="21"/>
          <w:highlight w:val="none"/>
        </w:rPr>
        <w:t>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参数</w:t>
      </w:r>
      <w:r>
        <w:rPr>
          <w:rFonts w:hint="eastAsia" w:ascii="宋体" w:hAnsi="宋体" w:cs="宋体"/>
          <w:color w:val="auto"/>
          <w:szCs w:val="21"/>
          <w:highlight w:val="none"/>
          <w:lang w:eastAsia="zh-CN"/>
        </w:rPr>
        <w:t>及配置</w:t>
      </w:r>
      <w:r>
        <w:rPr>
          <w:rFonts w:hint="eastAsia" w:ascii="宋体" w:hAnsi="宋体" w:cs="宋体"/>
          <w:color w:val="auto"/>
          <w:szCs w:val="21"/>
          <w:highlight w:val="none"/>
        </w:rPr>
        <w:t>必须满足</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要求。</w:t>
      </w:r>
    </w:p>
    <w:p w14:paraId="36D074B4">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25791033">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65FD603B">
      <w:pPr>
        <w:tabs>
          <w:tab w:val="left" w:pos="180"/>
          <w:tab w:val="left" w:pos="1620"/>
        </w:tabs>
        <w:spacing w:line="420" w:lineRule="exact"/>
        <w:ind w:firstLine="420" w:firstLineChars="200"/>
        <w:jc w:val="left"/>
        <w:rPr>
          <w:rFonts w:hint="eastAsia" w:ascii="宋体" w:hAnsi="宋体" w:eastAsia="宋体" w:cs="宋体"/>
          <w:color w:val="auto"/>
          <w:highlight w:val="none"/>
          <w:u w:val="single"/>
          <w:lang w:val="en-US" w:eastAsia="zh-CN"/>
        </w:rPr>
      </w:pP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.采购标的对应的中小企业划分标准所属行业</w:t>
      </w:r>
      <w:r>
        <w:rPr>
          <w:rFonts w:hint="eastAsia" w:ascii="宋体" w:hAnsi="宋体" w:cs="宋体"/>
          <w:color w:val="auto"/>
          <w:highlight w:val="none"/>
          <w:lang w:val="en-US" w:eastAsia="zh-CN"/>
        </w:rPr>
        <w:t>名称</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批发</w:t>
      </w:r>
      <w:r>
        <w:rPr>
          <w:rFonts w:hint="eastAsia" w:ascii="宋体" w:hAnsi="宋体" w:eastAsia="宋体" w:cs="宋体"/>
          <w:color w:val="auto"/>
          <w:highlight w:val="none"/>
          <w:u w:val="single"/>
          <w:lang w:val="en-US" w:eastAsia="zh-CN"/>
        </w:rPr>
        <w:t xml:space="preserve">业 </w:t>
      </w:r>
    </w:p>
    <w:p w14:paraId="18C34569">
      <w:pPr>
        <w:tabs>
          <w:tab w:val="left" w:pos="180"/>
          <w:tab w:val="left" w:pos="1620"/>
        </w:tabs>
        <w:spacing w:line="420" w:lineRule="exact"/>
        <w:ind w:firstLine="420" w:firstLineChars="200"/>
        <w:jc w:val="left"/>
        <w:rPr>
          <w:rFonts w:hint="eastAsia" w:ascii="宋体" w:hAnsi="宋体" w:cs="宋体"/>
          <w:color w:val="auto"/>
          <w:highlight w:val="none"/>
        </w:rPr>
      </w:pPr>
    </w:p>
    <w:p w14:paraId="1E9063E9">
      <w:pP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tbl>
      <w:tblPr>
        <w:tblStyle w:val="2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2614"/>
        <w:gridCol w:w="1868"/>
        <w:gridCol w:w="2469"/>
        <w:gridCol w:w="2015"/>
      </w:tblGrid>
      <w:tr w14:paraId="3489A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5FFE45EA">
            <w:pPr>
              <w:spacing w:line="320" w:lineRule="exact"/>
              <w:jc w:val="left"/>
              <w:rPr>
                <w:rFonts w:hint="eastAsia" w:ascii="仿宋_GB2312" w:hAnsi="宋体" w:eastAsia="宋体" w:cs="Arial"/>
                <w:b/>
                <w:color w:val="auto"/>
                <w:sz w:val="32"/>
                <w:szCs w:val="32"/>
                <w:highlight w:val="none"/>
                <w:lang w:val="en-US" w:eastAsia="zh-CN"/>
              </w:rPr>
            </w:pPr>
            <w:r>
              <w:rPr>
                <w:rFonts w:hint="eastAsia" w:ascii="宋体" w:hAnsi="宋体" w:eastAsia="宋体" w:cs="宋体"/>
                <w:color w:val="auto"/>
                <w:sz w:val="21"/>
                <w:szCs w:val="21"/>
                <w:highlight w:val="none"/>
                <w:lang w:eastAsia="zh-CN"/>
              </w:rPr>
              <w:t>分标：</w:t>
            </w:r>
            <w:r>
              <w:rPr>
                <w:rFonts w:hint="eastAsia"/>
                <w:color w:val="auto"/>
                <w:highlight w:val="none"/>
                <w:lang w:val="en-US" w:eastAsia="zh-CN"/>
              </w:rPr>
              <w:t>无</w:t>
            </w:r>
          </w:p>
        </w:tc>
      </w:tr>
      <w:tr w14:paraId="2CAD9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top"/>
          </w:tcPr>
          <w:p w14:paraId="470C4924">
            <w:pPr>
              <w:jc w:val="center"/>
              <w:rPr>
                <w:rFonts w:hint="eastAsia" w:ascii="宋体" w:hAnsi="宋体" w:eastAsia="宋体" w:cs="宋体"/>
                <w:b/>
                <w:color w:val="auto"/>
                <w:sz w:val="21"/>
                <w:szCs w:val="21"/>
                <w:highlight w:val="none"/>
              </w:rPr>
            </w:pPr>
          </w:p>
          <w:p w14:paraId="3FAAB323">
            <w:pPr>
              <w:jc w:val="center"/>
              <w:rPr>
                <w:rFonts w:hint="eastAsia" w:ascii="宋体" w:hAnsi="宋体" w:eastAsia="宋体" w:cs="宋体"/>
                <w:b/>
                <w:color w:val="auto"/>
                <w:sz w:val="21"/>
                <w:szCs w:val="21"/>
                <w:highlight w:val="none"/>
              </w:rPr>
            </w:pPr>
          </w:p>
          <w:p w14:paraId="6B06D176">
            <w:pPr>
              <w:jc w:val="center"/>
              <w:rPr>
                <w:rFonts w:ascii="宋体" w:hAnsi="宋体" w:cs="宋体"/>
                <w:color w:val="auto"/>
                <w:szCs w:val="21"/>
                <w:highlight w:val="none"/>
              </w:rPr>
            </w:pPr>
            <w:r>
              <w:rPr>
                <w:rFonts w:hint="eastAsia" w:ascii="宋体" w:hAnsi="宋体" w:eastAsia="宋体" w:cs="宋体"/>
                <w:b/>
                <w:color w:val="auto"/>
                <w:sz w:val="21"/>
                <w:szCs w:val="21"/>
                <w:highlight w:val="none"/>
                <w:lang w:eastAsia="zh-CN"/>
              </w:rPr>
              <w:t>服务要求</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743DF9">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7CA50FF1">
            <w:pPr>
              <w:jc w:val="center"/>
              <w:rPr>
                <w:rFonts w:ascii="宋体" w:hAnsi="宋体" w:cs="宋体"/>
                <w:color w:val="auto"/>
                <w:szCs w:val="21"/>
                <w:highlight w:val="none"/>
              </w:rPr>
            </w:pPr>
            <w:r>
              <w:rPr>
                <w:rFonts w:hint="eastAsia"/>
                <w:color w:val="auto"/>
                <w:highlight w:val="none"/>
                <w:lang w:val="en-US" w:eastAsia="zh-CN"/>
              </w:rPr>
              <w:t>标的名称</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005895AB">
            <w:pPr>
              <w:jc w:val="center"/>
              <w:rPr>
                <w:rFonts w:hint="eastAsia" w:ascii="宋体" w:hAnsi="宋体" w:cs="宋体"/>
                <w:color w:val="auto"/>
                <w:szCs w:val="21"/>
                <w:highlight w:val="none"/>
              </w:rPr>
            </w:pPr>
          </w:p>
          <w:p w14:paraId="4E4B2B2A">
            <w:pPr>
              <w:jc w:val="center"/>
              <w:rPr>
                <w:rFonts w:ascii="宋体" w:hAnsi="宋体" w:cs="宋体"/>
                <w:color w:val="auto"/>
                <w:szCs w:val="21"/>
                <w:highlight w:val="none"/>
              </w:rPr>
            </w:pPr>
            <w:r>
              <w:rPr>
                <w:rFonts w:hint="eastAsia" w:ascii="宋体" w:hAnsi="宋体" w:cs="宋体"/>
                <w:color w:val="auto"/>
                <w:szCs w:val="21"/>
                <w:highlight w:val="none"/>
              </w:rPr>
              <w:t>数量及单位</w:t>
            </w:r>
          </w:p>
          <w:p w14:paraId="46FAD41D">
            <w:pPr>
              <w:jc w:val="center"/>
              <w:rPr>
                <w:rFonts w:ascii="宋体" w:hAnsi="宋体" w:cs="宋体"/>
                <w:color w:val="auto"/>
                <w:szCs w:val="21"/>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1B92CE6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内容</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F437570">
            <w:pPr>
              <w:jc w:val="center"/>
              <w:rPr>
                <w:rFonts w:ascii="宋体" w:hAnsi="宋体" w:cs="宋体"/>
                <w:color w:val="auto"/>
                <w:szCs w:val="21"/>
                <w:highlight w:val="none"/>
              </w:rPr>
            </w:pPr>
          </w:p>
          <w:p w14:paraId="67E7C7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 w:val="16"/>
                <w:szCs w:val="16"/>
                <w:highlight w:val="none"/>
              </w:rPr>
            </w:pPr>
            <w:r>
              <w:rPr>
                <w:rFonts w:hint="eastAsia" w:ascii="宋体" w:hAnsi="宋体" w:cs="宋体"/>
                <w:color w:val="auto"/>
                <w:sz w:val="18"/>
                <w:szCs w:val="18"/>
                <w:highlight w:val="none"/>
              </w:rPr>
              <w:t>中小企业划分标准所属行业名称（行业名称及划分见本章附件</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w:t>
            </w:r>
          </w:p>
        </w:tc>
      </w:tr>
      <w:tr w14:paraId="3054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1D348332">
            <w:pPr>
              <w:spacing w:line="240" w:lineRule="exact"/>
              <w:jc w:val="center"/>
              <w:rPr>
                <w:rFonts w:ascii="宋体" w:hAnsi="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410042FE">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7A2D42F2">
            <w:pPr>
              <w:widowControl w:val="0"/>
              <w:spacing w:before="120" w:after="120" w:line="400" w:lineRule="exact"/>
              <w:ind w:firstLine="0" w:firstLineChars="0"/>
              <w:jc w:val="center"/>
              <w:rPr>
                <w:rFonts w:hint="eastAsia" w:ascii="宋体" w:hAnsi="Courier New" w:eastAsia="宋体" w:cs="Times New Roman"/>
                <w:b w:val="0"/>
                <w:bCs/>
                <w:caps/>
                <w:color w:val="auto"/>
                <w:kern w:val="2"/>
                <w:sz w:val="20"/>
                <w:szCs w:val="20"/>
                <w:highlight w:val="none"/>
                <w:lang w:val="en-US" w:eastAsia="zh-CN" w:bidi="ar-SA"/>
              </w:rPr>
            </w:pPr>
            <w:r>
              <w:rPr>
                <w:rFonts w:hint="eastAsia" w:cs="Times New Roman"/>
                <w:color w:val="auto"/>
                <w:sz w:val="21"/>
                <w:szCs w:val="24"/>
                <w:highlight w:val="none"/>
                <w:lang w:eastAsia="zh-CN"/>
              </w:rPr>
              <w:t>梧州市人民警察训练学校2025年至2026年食堂食材配送服务采购项目</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425A8154">
            <w:pPr>
              <w:spacing w:line="2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2469" w:type="dxa"/>
            <w:tcBorders>
              <w:top w:val="single" w:color="auto" w:sz="4" w:space="0"/>
              <w:left w:val="single" w:color="auto" w:sz="4" w:space="0"/>
              <w:bottom w:val="single" w:color="auto" w:sz="4" w:space="0"/>
              <w:right w:val="single" w:color="auto" w:sz="4" w:space="0"/>
            </w:tcBorders>
            <w:noWrap w:val="0"/>
            <w:vAlign w:val="center"/>
          </w:tcPr>
          <w:p w14:paraId="363A92B5">
            <w:pPr>
              <w:pStyle w:val="9"/>
              <w:ind w:left="0" w:firstLine="0" w:firstLineChars="0"/>
              <w:rPr>
                <w:rFonts w:hint="default" w:eastAsia="宋体"/>
                <w:color w:val="auto"/>
                <w:highlight w:val="none"/>
                <w:lang w:val="en-US" w:eastAsia="zh-CN"/>
              </w:rPr>
            </w:pPr>
            <w:r>
              <w:rPr>
                <w:rFonts w:hint="eastAsia"/>
                <w:color w:val="auto"/>
                <w:highlight w:val="none"/>
                <w:lang w:eastAsia="zh-CN"/>
              </w:rPr>
              <w:t>食堂食材采购配送服务，详见技术要求表（后附）</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7CC1AF0">
            <w:pPr>
              <w:jc w:val="center"/>
              <w:rPr>
                <w:rFonts w:hint="eastAsia" w:ascii="宋体" w:hAnsi="宋体" w:cs="宋体"/>
                <w:color w:val="auto"/>
                <w:kern w:val="0"/>
                <w:szCs w:val="21"/>
                <w:highlight w:val="none"/>
              </w:rPr>
            </w:pPr>
            <w:r>
              <w:rPr>
                <w:rFonts w:hint="eastAsia" w:ascii="宋体" w:hAnsi="宋体" w:cs="宋体"/>
                <w:color w:val="auto"/>
                <w:highlight w:val="none"/>
                <w:u w:val="single"/>
                <w:lang w:val="en-US" w:eastAsia="zh-CN"/>
              </w:rPr>
              <w:t>批发</w:t>
            </w:r>
            <w:r>
              <w:rPr>
                <w:rFonts w:hint="eastAsia" w:ascii="宋体" w:hAnsi="宋体" w:eastAsia="宋体" w:cs="宋体"/>
                <w:color w:val="auto"/>
                <w:highlight w:val="none"/>
                <w:u w:val="single"/>
                <w:lang w:val="en-US" w:eastAsia="zh-CN"/>
              </w:rPr>
              <w:t>业</w:t>
            </w:r>
          </w:p>
        </w:tc>
      </w:tr>
      <w:tr w14:paraId="0678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0DE8FF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Cs w:val="21"/>
                <w:highlight w:val="none"/>
              </w:rPr>
            </w:pPr>
            <w:r>
              <w:rPr>
                <w:rFonts w:hint="eastAsia" w:ascii="宋体" w:hAnsi="宋体" w:cs="宋体"/>
                <w:color w:val="auto"/>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200491B6">
            <w:pPr>
              <w:ind w:firstLineChars="116"/>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 xml:space="preserve">  </w:t>
            </w:r>
            <w:r>
              <w:rPr>
                <w:rFonts w:hint="eastAsia" w:ascii="宋体" w:hAnsi="宋体" w:eastAsia="宋体" w:cs="宋体"/>
                <w:snapToGrid w:val="0"/>
                <w:color w:val="auto"/>
                <w:kern w:val="0"/>
                <w:sz w:val="21"/>
                <w:szCs w:val="21"/>
                <w:highlight w:val="none"/>
                <w:lang w:val="en-US" w:eastAsia="en-US" w:bidi="ar-SA"/>
              </w:rPr>
              <w:t>（一）</w:t>
            </w:r>
            <w:r>
              <w:rPr>
                <w:rFonts w:hint="eastAsia" w:ascii="宋体" w:hAnsi="宋体" w:eastAsia="宋体" w:cs="宋体"/>
                <w:color w:val="auto"/>
                <w:sz w:val="21"/>
                <w:szCs w:val="21"/>
                <w:highlight w:val="none"/>
              </w:rPr>
              <w:t>报价要求</w:t>
            </w:r>
          </w:p>
          <w:p w14:paraId="6F4595EA">
            <w:pPr>
              <w:pStyle w:val="15"/>
              <w:numPr>
                <w:ilvl w:val="-1"/>
                <w:numId w:val="0"/>
              </w:numPr>
              <w:spacing w:line="36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5FD09DC8">
            <w:pPr>
              <w:pStyle w:val="15"/>
              <w:numPr>
                <w:ilvl w:val="-1"/>
                <w:numId w:val="0"/>
              </w:numPr>
              <w:spacing w:line="36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（2）包含货物及所需附件的购置费、包装费、运输费、人工费、保险费、各种税费、资料费、验收费、售后服务费及合同实施过程中的不可预见费用等全部费用；</w:t>
            </w:r>
          </w:p>
          <w:p w14:paraId="16720A58">
            <w:pPr>
              <w:pStyle w:val="15"/>
              <w:numPr>
                <w:ilvl w:val="0"/>
                <w:numId w:val="0"/>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en-US" w:bidi="ar-SA"/>
              </w:rPr>
              <w:t>（二）</w:t>
            </w:r>
            <w:r>
              <w:rPr>
                <w:rFonts w:hint="eastAsia" w:ascii="宋体" w:hAnsi="宋体" w:eastAsia="宋体" w:cs="宋体"/>
                <w:color w:val="auto"/>
                <w:sz w:val="21"/>
                <w:szCs w:val="21"/>
                <w:highlight w:val="none"/>
              </w:rPr>
              <w:t>合同签订期：自</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通知书发出之日起</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日内。</w:t>
            </w:r>
          </w:p>
          <w:p w14:paraId="55C5F7F6">
            <w:pPr>
              <w:pStyle w:val="15"/>
              <w:numPr>
                <w:ilvl w:val="0"/>
                <w:numId w:val="0"/>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lang w:val="en-US" w:eastAsia="en-US" w:bidi="ar-SA"/>
              </w:rPr>
              <w:t>（三）</w:t>
            </w: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lang w:eastAsia="zh-CN"/>
              </w:rPr>
              <w:t>自签订合同</w:t>
            </w:r>
            <w:r>
              <w:rPr>
                <w:rFonts w:hint="eastAsia" w:hAnsi="宋体" w:cs="宋体"/>
                <w:color w:val="auto"/>
                <w:sz w:val="21"/>
                <w:szCs w:val="21"/>
                <w:highlight w:val="none"/>
                <w:lang w:eastAsia="zh-CN"/>
              </w:rPr>
              <w:t>之日</w:t>
            </w:r>
            <w:r>
              <w:rPr>
                <w:rFonts w:hint="eastAsia" w:ascii="宋体" w:hAnsi="宋体" w:eastAsia="宋体" w:cs="宋体"/>
                <w:color w:val="auto"/>
                <w:sz w:val="21"/>
                <w:szCs w:val="21"/>
                <w:highlight w:val="none"/>
                <w:lang w:eastAsia="zh-CN"/>
              </w:rPr>
              <w:t>起</w:t>
            </w:r>
            <w:r>
              <w:rPr>
                <w:rFonts w:hint="eastAsia" w:hAnsi="宋体" w:cs="宋体"/>
                <w:color w:val="auto"/>
                <w:sz w:val="21"/>
                <w:szCs w:val="21"/>
                <w:highlight w:val="none"/>
                <w:lang w:val="en-US" w:eastAsia="zh-CN"/>
              </w:rPr>
              <w:t>12个月</w:t>
            </w:r>
            <w:r>
              <w:rPr>
                <w:rFonts w:hint="eastAsia" w:ascii="宋体" w:hAnsi="宋体" w:eastAsia="宋体" w:cs="宋体"/>
                <w:color w:val="auto"/>
                <w:sz w:val="21"/>
                <w:szCs w:val="21"/>
                <w:highlight w:val="none"/>
              </w:rPr>
              <w:t>。</w:t>
            </w:r>
          </w:p>
          <w:p w14:paraId="31456976">
            <w:pPr>
              <w:pStyle w:val="15"/>
              <w:numPr>
                <w:ilvl w:val="0"/>
                <w:numId w:val="0"/>
              </w:numPr>
              <w:spacing w:line="360" w:lineRule="atLeast"/>
              <w:ind w:firstLine="245" w:firstLineChars="116"/>
              <w:rPr>
                <w:rFonts w:hint="eastAsia" w:ascii="宋体" w:hAnsi="宋体" w:eastAsia="宋体" w:cs="宋体"/>
                <w:b/>
                <w:bCs/>
                <w:color w:val="auto"/>
                <w:sz w:val="21"/>
                <w:szCs w:val="21"/>
                <w:highlight w:val="none"/>
                <w:lang w:eastAsia="zh-CN"/>
              </w:rPr>
            </w:pPr>
            <w:r>
              <w:rPr>
                <w:rFonts w:hint="eastAsia" w:ascii="宋体" w:hAnsi="宋体" w:eastAsia="宋体" w:cs="宋体"/>
                <w:b/>
                <w:bCs/>
                <w:snapToGrid w:val="0"/>
                <w:color w:val="auto"/>
                <w:kern w:val="0"/>
                <w:sz w:val="21"/>
                <w:szCs w:val="21"/>
                <w:highlight w:val="none"/>
                <w:lang w:val="en-US" w:eastAsia="zh-CN" w:bidi="ar-SA"/>
              </w:rPr>
              <w:t>（四）</w:t>
            </w:r>
            <w:r>
              <w:rPr>
                <w:rFonts w:hint="eastAsia" w:ascii="宋体" w:hAnsi="宋体" w:eastAsia="宋体" w:cs="宋体"/>
                <w:b/>
                <w:bCs/>
                <w:color w:val="auto"/>
                <w:sz w:val="21"/>
                <w:szCs w:val="21"/>
                <w:highlight w:val="none"/>
              </w:rPr>
              <w:t>付款方式：</w:t>
            </w:r>
          </w:p>
          <w:p w14:paraId="031AE953">
            <w:pPr>
              <w:pStyle w:val="15"/>
              <w:numPr>
                <w:ilvl w:val="0"/>
                <w:numId w:val="2"/>
              </w:numPr>
              <w:spacing w:line="360"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供应商次月</w:t>
            </w:r>
            <w:r>
              <w:rPr>
                <w:rFonts w:hint="eastAsia" w:ascii="宋体" w:hAnsi="宋体" w:eastAsia="宋体" w:cs="宋体"/>
                <w:b/>
                <w:bCs/>
                <w:color w:val="auto"/>
                <w:sz w:val="21"/>
                <w:szCs w:val="21"/>
                <w:highlight w:val="none"/>
                <w:lang w:val="en-US" w:eastAsia="zh-CN"/>
              </w:rPr>
              <w:t>1日</w:t>
            </w:r>
            <w:r>
              <w:rPr>
                <w:rFonts w:hint="eastAsia" w:ascii="宋体" w:hAnsi="宋体" w:eastAsia="宋体" w:cs="宋体"/>
                <w:b/>
                <w:bCs/>
                <w:color w:val="auto"/>
                <w:sz w:val="21"/>
                <w:szCs w:val="21"/>
                <w:highlight w:val="none"/>
                <w:lang w:eastAsia="zh-CN"/>
              </w:rPr>
              <w:t>提交上月供货清单，采购人收到</w:t>
            </w:r>
            <w:r>
              <w:rPr>
                <w:rFonts w:hint="eastAsia" w:ascii="宋体" w:hAnsi="宋体" w:eastAsia="宋体" w:cs="宋体"/>
                <w:b/>
                <w:bCs/>
                <w:color w:val="auto"/>
                <w:sz w:val="21"/>
                <w:szCs w:val="21"/>
                <w:highlight w:val="none"/>
              </w:rPr>
              <w:t>供应商递交</w:t>
            </w:r>
            <w:r>
              <w:rPr>
                <w:rFonts w:hint="eastAsia" w:ascii="宋体" w:hAnsi="宋体" w:eastAsia="宋体" w:cs="宋体"/>
                <w:b/>
                <w:bCs/>
                <w:color w:val="auto"/>
                <w:sz w:val="21"/>
                <w:szCs w:val="21"/>
                <w:highlight w:val="none"/>
                <w:lang w:eastAsia="zh-CN"/>
              </w:rPr>
              <w:t>的</w:t>
            </w:r>
            <w:r>
              <w:rPr>
                <w:rFonts w:hint="eastAsia" w:ascii="宋体" w:hAnsi="宋体" w:eastAsia="宋体" w:cs="宋体"/>
                <w:b/>
                <w:bCs/>
                <w:color w:val="auto"/>
                <w:sz w:val="21"/>
                <w:szCs w:val="21"/>
                <w:highlight w:val="none"/>
              </w:rPr>
              <w:t>资料通过审核</w:t>
            </w:r>
            <w:r>
              <w:rPr>
                <w:rFonts w:hint="eastAsia" w:ascii="宋体" w:hAnsi="宋体" w:eastAsia="宋体" w:cs="宋体"/>
                <w:b/>
                <w:bCs/>
                <w:color w:val="auto"/>
                <w:sz w:val="21"/>
                <w:szCs w:val="21"/>
                <w:highlight w:val="none"/>
                <w:lang w:eastAsia="zh-CN"/>
              </w:rPr>
              <w:t>确认无误</w:t>
            </w:r>
            <w:r>
              <w:rPr>
                <w:rFonts w:hint="eastAsia" w:ascii="宋体" w:hAnsi="宋体" w:eastAsia="宋体" w:cs="宋体"/>
                <w:b/>
                <w:bCs/>
                <w:color w:val="auto"/>
                <w:sz w:val="21"/>
                <w:szCs w:val="21"/>
                <w:highlight w:val="none"/>
              </w:rPr>
              <w:t>后</w:t>
            </w:r>
            <w:r>
              <w:rPr>
                <w:rFonts w:hint="eastAsia" w:ascii="宋体" w:hAnsi="宋体" w:eastAsia="宋体" w:cs="宋体"/>
                <w:b/>
                <w:bCs/>
                <w:color w:val="auto"/>
                <w:sz w:val="21"/>
                <w:szCs w:val="21"/>
                <w:highlight w:val="none"/>
                <w:lang w:eastAsia="zh-CN"/>
              </w:rPr>
              <w:t>通知供应商</w:t>
            </w:r>
            <w:r>
              <w:rPr>
                <w:rFonts w:hint="eastAsia" w:ascii="宋体" w:hAnsi="宋体" w:eastAsia="宋体" w:cs="宋体"/>
                <w:b/>
                <w:bCs/>
                <w:color w:val="auto"/>
                <w:sz w:val="21"/>
                <w:szCs w:val="21"/>
                <w:highlight w:val="none"/>
                <w:lang w:val="en-US" w:eastAsia="zh-CN"/>
              </w:rPr>
              <w:t>，供应商次月5日前</w:t>
            </w:r>
            <w:r>
              <w:rPr>
                <w:rFonts w:hint="eastAsia" w:ascii="宋体" w:hAnsi="宋体" w:eastAsia="宋体" w:cs="宋体"/>
                <w:b/>
                <w:bCs/>
                <w:color w:val="auto"/>
                <w:sz w:val="21"/>
                <w:szCs w:val="21"/>
                <w:highlight w:val="none"/>
              </w:rPr>
              <w:t>按照采购人财务规定出具与中标</w:t>
            </w:r>
            <w:r>
              <w:rPr>
                <w:rFonts w:hint="eastAsia" w:ascii="宋体" w:hAnsi="宋体" w:eastAsia="宋体" w:cs="宋体"/>
                <w:b/>
                <w:bCs/>
                <w:color w:val="auto"/>
                <w:sz w:val="21"/>
                <w:szCs w:val="21"/>
                <w:highlight w:val="none"/>
                <w:lang w:eastAsia="zh-CN"/>
              </w:rPr>
              <w:t>（成交）</w:t>
            </w:r>
            <w:r>
              <w:rPr>
                <w:rFonts w:hint="eastAsia" w:ascii="宋体" w:hAnsi="宋体" w:eastAsia="宋体" w:cs="宋体"/>
                <w:b/>
                <w:bCs/>
                <w:color w:val="auto"/>
                <w:sz w:val="21"/>
                <w:szCs w:val="21"/>
                <w:highlight w:val="none"/>
              </w:rPr>
              <w:t>供应商为名头的正式发票，</w:t>
            </w:r>
            <w:r>
              <w:rPr>
                <w:rFonts w:hint="eastAsia" w:ascii="宋体" w:hAnsi="宋体" w:eastAsia="宋体" w:cs="宋体"/>
                <w:b/>
                <w:bCs/>
                <w:color w:val="auto"/>
                <w:sz w:val="21"/>
                <w:szCs w:val="21"/>
                <w:highlight w:val="none"/>
                <w:lang w:eastAsia="zh-CN"/>
              </w:rPr>
              <w:t>采购人</w:t>
            </w:r>
            <w:r>
              <w:rPr>
                <w:rFonts w:hint="eastAsia" w:ascii="宋体" w:hAnsi="宋体" w:eastAsia="宋体" w:cs="宋体"/>
                <w:b/>
                <w:bCs/>
                <w:color w:val="auto"/>
                <w:sz w:val="21"/>
                <w:szCs w:val="21"/>
                <w:highlight w:val="none"/>
                <w:lang w:val="en-US" w:eastAsia="zh-CN"/>
              </w:rPr>
              <w:t>次月15日前</w:t>
            </w:r>
            <w:r>
              <w:rPr>
                <w:rFonts w:hint="eastAsia" w:ascii="宋体" w:hAnsi="宋体" w:eastAsia="宋体" w:cs="宋体"/>
                <w:b/>
                <w:bCs/>
                <w:color w:val="auto"/>
                <w:sz w:val="21"/>
                <w:szCs w:val="21"/>
                <w:highlight w:val="none"/>
              </w:rPr>
              <w:t>进行公对公账户转账，每月结算金额按照实际供货数量计算。</w:t>
            </w:r>
          </w:p>
          <w:p w14:paraId="199E7F88">
            <w:pPr>
              <w:pStyle w:val="15"/>
              <w:numPr>
                <w:ilvl w:val="0"/>
                <w:numId w:val="2"/>
              </w:numPr>
              <w:spacing w:line="360"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中标</w:t>
            </w:r>
            <w:r>
              <w:rPr>
                <w:rFonts w:hint="eastAsia" w:ascii="宋体" w:hAnsi="宋体" w:eastAsia="宋体" w:cs="宋体"/>
                <w:b/>
                <w:bCs/>
                <w:color w:val="auto"/>
                <w:sz w:val="21"/>
                <w:szCs w:val="21"/>
                <w:highlight w:val="none"/>
                <w:lang w:eastAsia="zh-CN"/>
              </w:rPr>
              <w:t>（成交）</w:t>
            </w:r>
            <w:r>
              <w:rPr>
                <w:rFonts w:hint="eastAsia" w:ascii="宋体" w:hAnsi="宋体" w:eastAsia="宋体" w:cs="宋体"/>
                <w:b/>
                <w:bCs/>
                <w:color w:val="auto"/>
                <w:sz w:val="21"/>
                <w:szCs w:val="21"/>
                <w:highlight w:val="none"/>
              </w:rPr>
              <w:t>供应商不能按时按质按量供货（不可抗拒因素除外，如自然灾害等），影响采购人正常供餐的，则按采购人当天的实际损失从当批或当月结算价款中扣除。</w:t>
            </w:r>
          </w:p>
          <w:p w14:paraId="62650C15">
            <w:pPr>
              <w:pStyle w:val="15"/>
              <w:numPr>
                <w:ilvl w:val="0"/>
                <w:numId w:val="2"/>
              </w:numPr>
              <w:spacing w:line="360" w:lineRule="atLeas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因中标</w:t>
            </w:r>
            <w:r>
              <w:rPr>
                <w:rFonts w:hint="eastAsia" w:ascii="宋体" w:hAnsi="宋体" w:eastAsia="宋体" w:cs="宋体"/>
                <w:b/>
                <w:bCs/>
                <w:color w:val="auto"/>
                <w:sz w:val="21"/>
                <w:szCs w:val="21"/>
                <w:highlight w:val="none"/>
                <w:lang w:eastAsia="zh-CN"/>
              </w:rPr>
              <w:t>（成交）</w:t>
            </w:r>
            <w:r>
              <w:rPr>
                <w:rFonts w:hint="eastAsia" w:ascii="宋体" w:hAnsi="宋体" w:eastAsia="宋体" w:cs="宋体"/>
                <w:b/>
                <w:bCs/>
                <w:color w:val="auto"/>
                <w:sz w:val="21"/>
                <w:szCs w:val="21"/>
                <w:highlight w:val="none"/>
              </w:rPr>
              <w:t>供应商供应的食品质量问题，导致采购人发生食物中毒等食品安全事故的由中标</w:t>
            </w:r>
            <w:r>
              <w:rPr>
                <w:rFonts w:hint="eastAsia" w:ascii="宋体" w:hAnsi="宋体" w:eastAsia="宋体" w:cs="宋体"/>
                <w:b/>
                <w:bCs/>
                <w:color w:val="auto"/>
                <w:sz w:val="21"/>
                <w:szCs w:val="21"/>
                <w:highlight w:val="none"/>
                <w:lang w:eastAsia="zh-CN"/>
              </w:rPr>
              <w:t>（成交）</w:t>
            </w:r>
            <w:r>
              <w:rPr>
                <w:rFonts w:hint="eastAsia" w:ascii="宋体" w:hAnsi="宋体" w:eastAsia="宋体" w:cs="宋体"/>
                <w:b/>
                <w:bCs/>
                <w:color w:val="auto"/>
                <w:sz w:val="21"/>
                <w:szCs w:val="21"/>
                <w:highlight w:val="none"/>
              </w:rPr>
              <w:t>供应商承担全部损失及相关责任。</w:t>
            </w:r>
          </w:p>
          <w:p w14:paraId="77ED39F0">
            <w:pPr>
              <w:spacing w:line="360" w:lineRule="exact"/>
              <w:ind w:firstLine="0" w:firstLineChars="0"/>
              <w:rPr>
                <w:rFonts w:hint="eastAsia" w:ascii="宋体" w:hAnsi="宋体" w:cs="宋体"/>
                <w:b/>
                <w:bCs/>
                <w:color w:val="auto"/>
                <w:spacing w:val="0"/>
                <w:kern w:val="0"/>
                <w:sz w:val="21"/>
                <w:szCs w:val="21"/>
                <w:highlight w:val="none"/>
              </w:rPr>
            </w:pPr>
            <w:r>
              <w:rPr>
                <w:rFonts w:hint="eastAsia" w:ascii="宋体" w:hAnsi="宋体" w:eastAsia="宋体" w:cs="宋体"/>
                <w:b/>
                <w:bCs/>
                <w:color w:val="auto"/>
                <w:spacing w:val="0"/>
                <w:kern w:val="0"/>
                <w:sz w:val="21"/>
                <w:szCs w:val="21"/>
                <w:highlight w:val="none"/>
                <w:lang w:eastAsia="zh-CN"/>
              </w:rPr>
              <w:t>（五）</w:t>
            </w:r>
            <w:r>
              <w:rPr>
                <w:rFonts w:hint="eastAsia" w:ascii="宋体" w:hAnsi="宋体" w:cs="宋体"/>
                <w:b/>
                <w:bCs/>
                <w:color w:val="auto"/>
                <w:spacing w:val="0"/>
                <w:kern w:val="0"/>
                <w:sz w:val="21"/>
                <w:szCs w:val="21"/>
                <w:highlight w:val="none"/>
              </w:rPr>
              <w:t>食品配送及验收要求</w:t>
            </w:r>
          </w:p>
          <w:p w14:paraId="5054BB72">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具备24小时内供应</w:t>
            </w:r>
            <w:r>
              <w:rPr>
                <w:rFonts w:hint="eastAsia" w:ascii="宋体" w:hAnsi="宋体" w:cs="宋体"/>
                <w:b w:val="0"/>
                <w:bCs w:val="0"/>
                <w:color w:val="auto"/>
                <w:szCs w:val="21"/>
                <w:highlight w:val="none"/>
                <w:lang w:eastAsia="zh-CN"/>
              </w:rPr>
              <w:t>采购人</w:t>
            </w:r>
            <w:r>
              <w:rPr>
                <w:rFonts w:hint="eastAsia" w:ascii="宋体" w:hAnsi="宋体" w:cs="宋体"/>
                <w:b w:val="0"/>
                <w:bCs w:val="0"/>
                <w:color w:val="auto"/>
                <w:szCs w:val="21"/>
                <w:highlight w:val="none"/>
              </w:rPr>
              <w:t>所需货物的能力。</w:t>
            </w:r>
          </w:p>
          <w:p w14:paraId="45F09EBA">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）中标人</w:t>
            </w:r>
            <w:r>
              <w:rPr>
                <w:rFonts w:hint="eastAsia" w:ascii="宋体" w:hAnsi="宋体" w:cs="宋体"/>
                <w:b w:val="0"/>
                <w:bCs w:val="0"/>
                <w:color w:val="auto"/>
                <w:szCs w:val="21"/>
                <w:highlight w:val="none"/>
              </w:rPr>
              <w:t>按</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人要求提供梧州市人民警察训练学校食堂配送的时间是：一般每天固定上午配送一次，上午配送时间为0</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时00分前到达，如食材配送不足则下午需再配送一次，下午配送时间为15时30分前到达</w:t>
            </w:r>
            <w:r>
              <w:rPr>
                <w:rFonts w:hint="eastAsia" w:ascii="宋体" w:hAnsi="宋体" w:cs="宋体"/>
                <w:b w:val="0"/>
                <w:bCs w:val="0"/>
                <w:color w:val="auto"/>
                <w:szCs w:val="21"/>
                <w:highlight w:val="none"/>
                <w:lang w:eastAsia="zh-CN"/>
              </w:rPr>
              <w:t>；特殊情况下，</w:t>
            </w:r>
            <w:r>
              <w:rPr>
                <w:rFonts w:hint="eastAsia" w:ascii="宋体" w:hAnsi="宋体" w:cs="宋体"/>
                <w:b w:val="0"/>
                <w:bCs w:val="0"/>
                <w:color w:val="auto"/>
                <w:szCs w:val="21"/>
                <w:highlight w:val="none"/>
              </w:rPr>
              <w:t>货物送达时限、货物品种、数量等</w:t>
            </w:r>
            <w:r>
              <w:rPr>
                <w:rFonts w:hint="eastAsia" w:ascii="宋体" w:hAnsi="宋体" w:cs="宋体"/>
                <w:b w:val="0"/>
                <w:bCs w:val="0"/>
                <w:color w:val="auto"/>
                <w:szCs w:val="21"/>
                <w:highlight w:val="none"/>
                <w:lang w:eastAsia="zh-CN"/>
              </w:rPr>
              <w:t>会做出适当调整</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eastAsia="zh-CN"/>
              </w:rPr>
              <w:t>中标人应按要求</w:t>
            </w:r>
            <w:r>
              <w:rPr>
                <w:rFonts w:hint="eastAsia" w:ascii="宋体" w:hAnsi="宋体" w:cs="宋体"/>
                <w:b w:val="0"/>
                <w:bCs w:val="0"/>
                <w:color w:val="auto"/>
                <w:szCs w:val="21"/>
                <w:highlight w:val="none"/>
              </w:rPr>
              <w:t>配送到</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人指定地点（因就餐人员的不确定性和食材的特性，发生紧急补货时随叫随到，需做到1小时送达）。</w:t>
            </w:r>
          </w:p>
          <w:p w14:paraId="6E465F9F">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因就餐人员的不确定性和食材的特性或如遇到不可抗力情况不能如期提供食材配送，须提前2小时通知</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人并解决问题，由此产生的一切责任均由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标人承担。如有特殊情况</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标人应随叫随送。</w:t>
            </w:r>
          </w:p>
          <w:p w14:paraId="12876A2E">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人每天要对所采购食品实行双人验收制度，按照食品质量要求进行签字验收。</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标人将食品送至</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人指定地点后，由</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人对货物的品种、质量、数量、规格等进行逐项验收。</w:t>
            </w:r>
          </w:p>
          <w:p w14:paraId="38A58288">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标人按合同向</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人配送优质、安全的食品，每次供货，必须向</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人食堂提供带有供货商盖章（或签字）的配送清单和其他票证及食品价格。</w:t>
            </w:r>
          </w:p>
          <w:p w14:paraId="44802A59">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验收中若发现所供货物质量与合同约定、</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标人承诺的产品质量保证不符的，由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标人无条件收回所供应的食品，造成的损失及后果由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标人负责，并需在2小时内更换补充到位当批次所需货物；验收中若发现货物数量、质量不符合要求的，可要求</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标人在2小时内补充到位，验收以</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人及</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标人双方核准的净重过称数为准作为结算数量。验收合格后须双方签字确认。</w:t>
            </w:r>
          </w:p>
          <w:p w14:paraId="03E5D31D">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若</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标人执意不更换补充不通过验收的货物，</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人有权按此货物当期结算价格对</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标人进行违约条款处理。</w:t>
            </w:r>
          </w:p>
          <w:p w14:paraId="07B9C93C">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人必须每天</w:t>
            </w:r>
            <w:r>
              <w:rPr>
                <w:rFonts w:hint="eastAsia" w:ascii="宋体" w:hAnsi="宋体" w:cs="宋体"/>
                <w:b w:val="0"/>
                <w:bCs w:val="0"/>
                <w:color w:val="auto"/>
                <w:szCs w:val="21"/>
                <w:highlight w:val="none"/>
                <w:lang w:val="en-US" w:eastAsia="zh-CN"/>
              </w:rPr>
              <w:t>18</w:t>
            </w:r>
            <w:r>
              <w:rPr>
                <w:rFonts w:hint="eastAsia" w:ascii="宋体" w:hAnsi="宋体" w:cs="宋体"/>
                <w:b w:val="0"/>
                <w:bCs w:val="0"/>
                <w:color w:val="auto"/>
                <w:szCs w:val="21"/>
                <w:highlight w:val="none"/>
              </w:rPr>
              <w:t>：00点前将食堂第二天所需的各类食品原材料的数量向</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标人以书面或者微信、QQ图片等方式提交订货计划，说明购货品种、规格、数量、供货日期时间及其它需要说明的事项。如遇特殊情况，双方必须至少提前一天协商解决好。</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标人要认真核对订货计划并按</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人订货计划准备好各类食品原材料，并将食品原材料分别在与</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人约定的时间前送到</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人指定地点。肉、禽等鲜活食品必须当日配送，其余食品原料可视</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人实际需求酌情配送，但必须确保</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人食品新鲜、优质、安全可靠。</w:t>
            </w:r>
          </w:p>
          <w:p w14:paraId="1ED0C70F">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9</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可根据水果生产季节、天气、市场价格等情况协商调整订单的品种和数量。</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标人必须能保证提供丰富的水果品种供</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人选择。</w:t>
            </w:r>
          </w:p>
          <w:p w14:paraId="38413A8A">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10</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标人送货人员必须为</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标人本单位员工（送货时须佩戴</w:t>
            </w:r>
            <w:r>
              <w:rPr>
                <w:rFonts w:hint="eastAsia" w:ascii="宋体" w:hAnsi="宋体" w:cs="宋体"/>
                <w:b w:val="0"/>
                <w:bCs w:val="0"/>
                <w:color w:val="auto"/>
                <w:szCs w:val="21"/>
                <w:highlight w:val="none"/>
                <w:lang w:eastAsia="zh-CN"/>
              </w:rPr>
              <w:t>中标人</w:t>
            </w:r>
            <w:r>
              <w:rPr>
                <w:rFonts w:hint="eastAsia" w:ascii="宋体" w:hAnsi="宋体" w:cs="宋体"/>
                <w:b w:val="0"/>
                <w:bCs w:val="0"/>
                <w:color w:val="auto"/>
                <w:szCs w:val="21"/>
                <w:highlight w:val="none"/>
              </w:rPr>
              <w:t>工作证，</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标人每季度向</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人提供</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标人为其员工缴纳的当期的社保证明及有效的健康证进行备案）。</w:t>
            </w:r>
          </w:p>
          <w:p w14:paraId="5F9AACA1">
            <w:pPr>
              <w:wordWrap/>
              <w:spacing w:line="360" w:lineRule="exact"/>
              <w:ind w:firstLine="0" w:firstLineChars="0"/>
              <w:jc w:val="left"/>
              <w:rPr>
                <w:rFonts w:hint="eastAsia" w:ascii="宋体" w:hAnsi="宋体" w:eastAsia="宋体" w:cs="宋体"/>
                <w:b/>
                <w:bCs/>
                <w:color w:val="auto"/>
                <w:kern w:val="0"/>
                <w:sz w:val="21"/>
                <w:szCs w:val="21"/>
                <w:highlight w:val="none"/>
                <w:lang w:val="en-US" w:eastAsia="zh-CN"/>
              </w:rPr>
            </w:pPr>
          </w:p>
          <w:p w14:paraId="6F9567C0">
            <w:pPr>
              <w:wordWrap/>
              <w:spacing w:line="360" w:lineRule="exact"/>
              <w:ind w:firstLine="0" w:firstLineChars="0"/>
              <w:jc w:val="left"/>
              <w:rPr>
                <w:rFonts w:hint="eastAsia" w:ascii="宋体" w:hAnsi="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（六）</w:t>
            </w:r>
            <w:r>
              <w:rPr>
                <w:rFonts w:hint="eastAsia" w:ascii="宋体" w:hAnsi="宋体" w:cs="宋体"/>
                <w:b/>
                <w:bCs/>
                <w:color w:val="auto"/>
                <w:kern w:val="0"/>
                <w:sz w:val="21"/>
                <w:szCs w:val="21"/>
                <w:highlight w:val="none"/>
              </w:rPr>
              <w:t>安全责任要求</w:t>
            </w:r>
          </w:p>
          <w:p w14:paraId="0864C093">
            <w:pPr>
              <w:wordWrap w:val="0"/>
              <w:spacing w:line="360" w:lineRule="exact"/>
              <w:ind w:firstLine="0" w:firstLineChars="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标人须每天随货提供所供主要农产品、肉类等的农残检验结果、药物检验结果、检验检疫结果等证明资料及检测记录单原件供</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人审查备案。</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人每天对</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标人供应食品进行感官检验和抽样检测，若发现食品质量、规格等不合格的，</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标人必须无条件退货或按</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人规定时限内重新换货，不得影响</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人正常保障。因食品质量引发的其它问题，由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标人承担</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人全部损失，发生重大问题的依法追究法律责任。验收标准应符合国家、地方、行业有关的标准。</w:t>
            </w:r>
          </w:p>
          <w:p w14:paraId="07CAD38C">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如因</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标人所送货物造成食物中毒等事故，</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标人应承担全部责任并立即终止合同协议，同时通过法律途径追究责任。</w:t>
            </w:r>
          </w:p>
          <w:p w14:paraId="0F0B55E0">
            <w:pPr>
              <w:spacing w:line="360" w:lineRule="exact"/>
              <w:ind w:firstLine="0" w:firstLineChars="0"/>
              <w:jc w:val="left"/>
              <w:rPr>
                <w:rFonts w:hint="eastAsia" w:ascii="宋体" w:hAnsi="宋体" w:eastAsia="宋体" w:cs="宋体"/>
                <w:b/>
                <w:bCs/>
                <w:color w:val="auto"/>
                <w:kern w:val="0"/>
                <w:sz w:val="21"/>
                <w:szCs w:val="21"/>
                <w:highlight w:val="none"/>
                <w:lang w:val="en-US" w:eastAsia="zh-CN"/>
              </w:rPr>
            </w:pPr>
          </w:p>
          <w:p w14:paraId="45FE61C8">
            <w:pPr>
              <w:spacing w:line="360" w:lineRule="exact"/>
              <w:ind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（七）</w:t>
            </w:r>
            <w:r>
              <w:rPr>
                <w:rFonts w:hint="eastAsia" w:ascii="宋体" w:hAnsi="宋体" w:cs="宋体"/>
                <w:b/>
                <w:bCs/>
                <w:color w:val="auto"/>
                <w:kern w:val="0"/>
                <w:sz w:val="21"/>
                <w:szCs w:val="21"/>
                <w:highlight w:val="none"/>
              </w:rPr>
              <w:t>人员、车辆基本要求</w:t>
            </w:r>
          </w:p>
          <w:p w14:paraId="2283B163">
            <w:pPr>
              <w:pStyle w:val="17"/>
              <w:rPr>
                <w:rFonts w:hint="eastAsia" w:ascii="宋体" w:hAnsi="宋体" w:cs="宋体"/>
                <w:color w:val="auto"/>
                <w:sz w:val="21"/>
                <w:szCs w:val="21"/>
                <w:highlight w:val="none"/>
                <w:lang w:eastAsia="zh-CN"/>
              </w:rPr>
            </w:pPr>
          </w:p>
          <w:p w14:paraId="25133920">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为本项目配备不少于1名专职对接</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人的项目经理；</w:t>
            </w:r>
          </w:p>
          <w:p w14:paraId="466B0D37">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送货车辆是专用，货厢可封闭，运输前后应对运输工具及时清洗消毒，防止污染产品。</w:t>
            </w:r>
          </w:p>
          <w:p w14:paraId="0918268A">
            <w:pPr>
              <w:spacing w:line="360" w:lineRule="exact"/>
              <w:ind w:firstLine="0" w:firstLineChars="0"/>
              <w:jc w:val="left"/>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人员、车辆进入采购人验货区、或库区等区域，要服从相关的安全、现场管理等相关的管理制度。</w:t>
            </w:r>
          </w:p>
          <w:p w14:paraId="1E129476">
            <w:pPr>
              <w:spacing w:line="360" w:lineRule="exact"/>
              <w:ind w:firstLine="0" w:firstLineChars="0"/>
              <w:jc w:val="left"/>
              <w:rPr>
                <w:rFonts w:hint="eastAsia" w:ascii="宋体" w:hAnsi="宋体" w:eastAsia="宋体" w:cs="宋体"/>
                <w:color w:val="auto"/>
                <w:sz w:val="21"/>
                <w:szCs w:val="21"/>
                <w:highlight w:val="none"/>
              </w:rPr>
            </w:pPr>
          </w:p>
          <w:p w14:paraId="36472E25">
            <w:pPr>
              <w:spacing w:line="360" w:lineRule="exact"/>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lang w:eastAsia="zh-CN"/>
              </w:rPr>
              <w:t>）</w:t>
            </w:r>
            <w:r>
              <w:rPr>
                <w:rFonts w:hint="eastAsia" w:ascii="宋体" w:hAnsi="宋体" w:eastAsia="宋体" w:cs="宋体"/>
                <w:color w:val="auto"/>
                <w:sz w:val="21"/>
                <w:szCs w:val="21"/>
                <w:highlight w:val="none"/>
              </w:rPr>
              <w:t>价格调整机制</w:t>
            </w:r>
          </w:p>
          <w:p w14:paraId="677F307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食品原料采购价格的确定采用“随行就市”方式。</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时，各投标人根据各食品原料的市场行情进行报价。中标后，若该食品原料的市场价格浮动超过±10%则进行价格调整，中标人或采购人书面提出调价函通知对方，经双方协商讨论决定价格。当采购人需要临时采购“采购一览表”以外的产品时，</w:t>
            </w:r>
            <w:r>
              <w:rPr>
                <w:rFonts w:hint="eastAsia" w:ascii="宋体" w:hAnsi="宋体" w:cs="宋体"/>
                <w:color w:val="auto"/>
                <w:sz w:val="21"/>
                <w:szCs w:val="21"/>
                <w:highlight w:val="none"/>
                <w:lang w:eastAsia="zh-CN"/>
              </w:rPr>
              <w:t>中</w:t>
            </w:r>
            <w:r>
              <w:rPr>
                <w:rFonts w:hint="eastAsia" w:ascii="宋体" w:hAnsi="宋体" w:cs="宋体"/>
                <w:color w:val="auto"/>
                <w:szCs w:val="21"/>
                <w:highlight w:val="none"/>
                <w:lang w:eastAsia="zh-CN"/>
              </w:rPr>
              <w:t>标人</w:t>
            </w:r>
            <w:r>
              <w:rPr>
                <w:rFonts w:hint="eastAsia" w:ascii="宋体" w:hAnsi="宋体" w:eastAsia="宋体" w:cs="宋体"/>
                <w:color w:val="auto"/>
                <w:sz w:val="21"/>
                <w:szCs w:val="21"/>
                <w:highlight w:val="none"/>
              </w:rPr>
              <w:t>配送食品原料价格必须按照“随行就市、保本微利”为原则，以广西梧州市发展和改革委员公布的最新一次“市场价格监测-梧州市市场应急价格监测表”作参照（表中没有列出的品目参考单价可按市场价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共同进行市场调查确定一次的单价作为参考单价），合同期间采购人可根据上级机关的通知及本单位的管理实际需要调整、停止采购的部分物品项目。</w:t>
            </w:r>
          </w:p>
          <w:p w14:paraId="471001CE">
            <w:pPr>
              <w:pStyle w:val="17"/>
              <w:rPr>
                <w:rFonts w:hint="eastAsia" w:ascii="宋体" w:hAnsi="宋体" w:cs="宋体"/>
                <w:color w:val="auto"/>
                <w:sz w:val="21"/>
                <w:szCs w:val="21"/>
                <w:highlight w:val="none"/>
              </w:rPr>
            </w:pPr>
          </w:p>
          <w:p w14:paraId="750D6A5F">
            <w:pPr>
              <w:pStyle w:val="15"/>
              <w:spacing w:line="360" w:lineRule="atLeas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配送企业必须建立并严格执行各专项制度：</w:t>
            </w:r>
          </w:p>
          <w:p w14:paraId="347A8D38">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1、《食品安全突发事件应急处理预案》；</w:t>
            </w:r>
          </w:p>
          <w:p w14:paraId="4F8695ED">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2、《送货不达应急处理预案》；</w:t>
            </w:r>
          </w:p>
          <w:p w14:paraId="06A33A83">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3、《食品准入台账登记制度》； </w:t>
            </w:r>
          </w:p>
          <w:p w14:paraId="6EF4C47D">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4、《进货查验和不合格食品下柜、召回、销毁制度》； </w:t>
            </w:r>
          </w:p>
          <w:p w14:paraId="47425FEE">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5、《食品卫生安全检查制度》； </w:t>
            </w:r>
          </w:p>
          <w:p w14:paraId="0DF41FD1">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6、《食品仓储管理制度》；</w:t>
            </w:r>
          </w:p>
          <w:p w14:paraId="101B1438">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7、《食品留样管理制度》；</w:t>
            </w:r>
          </w:p>
          <w:p w14:paraId="5409D210">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8、《消费投诉处理和食品卫生安全承诺制度》； </w:t>
            </w:r>
          </w:p>
          <w:p w14:paraId="1562BDBD">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9、《从业人员安全知识培训制度》；</w:t>
            </w:r>
          </w:p>
          <w:p w14:paraId="36F3FC79">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10、《从业人员健康和卫生管理制度》；</w:t>
            </w:r>
          </w:p>
          <w:p w14:paraId="7D4C6342">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11、《财务管理制度》；</w:t>
            </w:r>
          </w:p>
          <w:p w14:paraId="2732254C">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12、《岗位责任制度》。</w:t>
            </w:r>
          </w:p>
          <w:p w14:paraId="055D5F64">
            <w:pPr>
              <w:spacing w:line="360" w:lineRule="atLeast"/>
              <w:ind w:firstLine="245" w:firstLineChars="11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十</w:t>
            </w:r>
            <w:r>
              <w:rPr>
                <w:rFonts w:hint="eastAsia" w:ascii="宋体" w:hAnsi="宋体" w:eastAsia="宋体" w:cs="宋体"/>
                <w:b/>
                <w:bCs/>
                <w:color w:val="auto"/>
                <w:sz w:val="21"/>
                <w:szCs w:val="21"/>
                <w:highlight w:val="none"/>
              </w:rPr>
              <w:t>）各类产品的验收标准：</w:t>
            </w:r>
          </w:p>
          <w:p w14:paraId="0B38968E">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肉类产品的验收：肉类产品的验收工作由采购人专员及供应商共同进行。供应商提供的产品须经过采购人验收人员的感官检验、外观检验和试用检验，若产品外观、包装、形式不符合要求、感官检验不能达到食品卫生要求，当即拒收；供应商不能满足产品的质量及售后服务要求时，采购人有权进行处罚或终止合同。</w:t>
            </w:r>
          </w:p>
          <w:p w14:paraId="4E7A8749">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工作的一般程序为：根据肉类产品采购清单的具体要求，对所购产品进行清点、外观检查以及对物料的各项指标和性能进行实测，并逐项记录。检测结束后，验收人员在验收单上签字。对未能通过验收的，一律退货、更换直至验收合格。</w:t>
            </w:r>
          </w:p>
          <w:p w14:paraId="1253E38D">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2、肉类产品安全质量：</w:t>
            </w:r>
          </w:p>
          <w:p w14:paraId="7B5DA331">
            <w:pPr>
              <w:numPr>
                <w:ilvl w:val="0"/>
                <w:numId w:val="3"/>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产品质量监督检验所提供的质量标准，供应商提供的产品必须是经过质量监督管理部门检验并取得合格证明的产品，每批次产品应提供可朔源的上一级供应商，有需要时，提供时应交存货物质量合格证明、产品质量检测合格报告或检疫报告复印件。猪肉、牛肉、鲜鸡鸭、鸡副产品必须具有动物检验检疫证明。</w:t>
            </w:r>
          </w:p>
          <w:p w14:paraId="036755AE">
            <w:pPr>
              <w:numPr>
                <w:ilvl w:val="0"/>
                <w:numId w:val="3"/>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严格遵守《食品安全法》和《动物检疫法》等相关规定，所提供的产品是合格安全的产品，一经发现供应以下肉类产品，采购人除全部退货外，将立即取消供货单位的供货资格，供应商并承担由此造成的经济责任和法律责任。</w:t>
            </w:r>
          </w:p>
          <w:p w14:paraId="1553A9B0">
            <w:pPr>
              <w:pStyle w:val="4"/>
              <w:numPr>
                <w:ilvl w:val="0"/>
                <w:numId w:val="4"/>
              </w:numPr>
              <w:spacing w:line="360" w:lineRule="atLeast"/>
              <w:ind w:firstLine="243" w:firstLineChars="116"/>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腐败变质、油脂酸败、霉变、生虫、污秽不洁、混有异物或其他感官性状异常，对人体健康有害的；</w:t>
            </w:r>
          </w:p>
          <w:p w14:paraId="1CB36E87">
            <w:pPr>
              <w:numPr>
                <w:ilvl w:val="0"/>
                <w:numId w:val="4"/>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含有毒、有害物质或者被有害物质污染，对人体健康有害的；</w:t>
            </w:r>
          </w:p>
          <w:p w14:paraId="47BE9F04">
            <w:pPr>
              <w:pStyle w:val="4"/>
              <w:numPr>
                <w:ilvl w:val="0"/>
                <w:numId w:val="4"/>
              </w:numPr>
              <w:spacing w:line="360" w:lineRule="atLeast"/>
              <w:ind w:firstLine="243" w:firstLineChars="116"/>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含有致病性寄生虫、微生物或者微生物含量超过国家限定标准的；</w:t>
            </w:r>
          </w:p>
          <w:p w14:paraId="56EE6936">
            <w:pPr>
              <w:numPr>
                <w:ilvl w:val="0"/>
                <w:numId w:val="4"/>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未经动物检疫部门检疫、检验或者检疫、检验不合格的肉类及其制品；</w:t>
            </w:r>
          </w:p>
          <w:p w14:paraId="5C7BACD1">
            <w:pPr>
              <w:numPr>
                <w:ilvl w:val="0"/>
                <w:numId w:val="4"/>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病死、毒死或者死因不明的禽、蓄、兽、水产动物等及其制品；</w:t>
            </w:r>
          </w:p>
          <w:p w14:paraId="337BD720">
            <w:pPr>
              <w:numPr>
                <w:ilvl w:val="0"/>
                <w:numId w:val="4"/>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掺假、掺杂、伪造，影响营养、卫生的；</w:t>
            </w:r>
          </w:p>
          <w:p w14:paraId="32502477">
            <w:pPr>
              <w:numPr>
                <w:ilvl w:val="0"/>
                <w:numId w:val="4"/>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用非食品原料加工的，加入非食品用化学物质或者将非食品当作食品的；</w:t>
            </w:r>
          </w:p>
          <w:p w14:paraId="5340E8E2">
            <w:pPr>
              <w:numPr>
                <w:ilvl w:val="0"/>
                <w:numId w:val="4"/>
              </w:num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超过保质期限的。</w:t>
            </w:r>
          </w:p>
          <w:p w14:paraId="564E50E7">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蔬菜类产品的验收：蔬菜类产品的验收工作由采购人专员及供应商共同进行。供应商提供的产品须经过采购人验收人员的感官检验、外观检验和试用检验，若产品外观、包装、形式不符合要求、感官检验不能达到食品卫生要求，当即拒收；供应商不能满足产品的质量及售后服务要求时，采购人有权进行处罚或终止合同。</w:t>
            </w:r>
          </w:p>
          <w:p w14:paraId="79A03EF2">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工作的一般程序为：根据蔬菜类产品采购清单的具体要求，对所购产品进行清点、外观检查以及对物料的各项指标和性能进行实测，并逐项记录。检测结束后，验收人员在验收单上签字。对未能通过验收的，一律退货、更换直至验收合格。</w:t>
            </w:r>
          </w:p>
          <w:p w14:paraId="6D88564B">
            <w:pPr>
              <w:spacing w:line="36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4、蔬菜类产品安全质量：</w:t>
            </w:r>
          </w:p>
          <w:p w14:paraId="60A61471">
            <w:pPr>
              <w:spacing w:line="360" w:lineRule="atLeast"/>
              <w:ind w:firstLine="453" w:firstLineChars="2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（1）依据产品质量监督检验所提供的质量标准，供应商提供的产品必须是经得起质量监督管理部门检验的产品。</w:t>
            </w:r>
          </w:p>
          <w:p w14:paraId="48AB9333">
            <w:pPr>
              <w:spacing w:line="360" w:lineRule="atLeast"/>
              <w:ind w:firstLine="453" w:firstLineChars="2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应商应严格遵守《食品安全法》和《食品中农药最大残留限量》等相关规定，所提供的产品是合格安全的产品，一经发现供应以下蔬菜类产品，采购人除全部退货外，将立即取消供货单位的供货资格，供应商并承担由此造成的经济责任和法律责任。</w:t>
            </w:r>
          </w:p>
          <w:p w14:paraId="4DF0D9B0">
            <w:pPr>
              <w:pStyle w:val="4"/>
              <w:spacing w:line="360" w:lineRule="atLeast"/>
              <w:ind w:firstLine="453" w:firstLineChars="21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a）腐败变质、油脂酸败、霉变、生虫、污秽不洁、混有异物或其他感官性状异常，对人体健康有害的；</w:t>
            </w:r>
          </w:p>
          <w:p w14:paraId="196C9FD5">
            <w:pPr>
              <w:spacing w:line="360" w:lineRule="atLeast"/>
              <w:ind w:firstLine="453" w:firstLineChars="2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b）含有毒、有害物质或者被有害物质污染，对人体健康有害的；</w:t>
            </w:r>
          </w:p>
          <w:p w14:paraId="56F74C91">
            <w:pPr>
              <w:pStyle w:val="4"/>
              <w:spacing w:line="360" w:lineRule="atLeast"/>
              <w:ind w:firstLine="453" w:firstLineChars="21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c）含有致病性寄生虫、微生物或者微生物含量超过国家限定标准的；</w:t>
            </w:r>
          </w:p>
          <w:p w14:paraId="4DBB8F39">
            <w:pPr>
              <w:pStyle w:val="4"/>
              <w:spacing w:line="360" w:lineRule="atLeast"/>
              <w:ind w:firstLine="453" w:firstLineChars="21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d）掺假、掺杂、伪造，影响营养、卫生的；</w:t>
            </w:r>
          </w:p>
          <w:p w14:paraId="089428A3">
            <w:pPr>
              <w:pStyle w:val="4"/>
              <w:spacing w:line="360" w:lineRule="atLeast"/>
              <w:ind w:firstLine="453" w:firstLineChars="21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e）用非食品原料加工的，加入非食品用化学物质或者将非食品当作食品的；</w:t>
            </w:r>
          </w:p>
          <w:p w14:paraId="6CA20E61">
            <w:pPr>
              <w:pStyle w:val="4"/>
              <w:spacing w:line="360" w:lineRule="atLeast"/>
              <w:ind w:firstLine="453" w:firstLineChars="21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f）超过保质期限的。</w:t>
            </w:r>
          </w:p>
          <w:p w14:paraId="7A5F2B38">
            <w:pPr>
              <w:spacing w:line="360" w:lineRule="atLeas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其他食材（食品）产品的验收：其他食材（食品）产品的验收工作由采购人专员及供应商共同进行。供应商提供的产品须经过采购人验收人员的感官检验、外观检验和试用检验，若产品外观、包装、形式不符合要求、感官检验不能达到食品卫生要求，当即拒收；供应商不能满足产品的质量及售后服务要求时，采购人有权进行处罚或终止合同。</w:t>
            </w:r>
          </w:p>
          <w:p w14:paraId="7A8E0825">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验收工作的一般程序为：根据其他食材（食品）产品采购清单的具体要求，对所购产品进行清点、外观检查以及对物料的各项指标和性能进行实测，并逐项记录。检测结束后，验收人员在验收单上签字。对未能通过验收的，一律退货、更换直至验收合格。</w:t>
            </w:r>
          </w:p>
          <w:p w14:paraId="0BB443D9">
            <w:pPr>
              <w:spacing w:line="36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6、其他食材（食品）产品安全质量：供应商应严格遵守《食品安全法》等相关规定，所提供的产品是合格安全的产品，一经发现供应以下产品，采购人除全部退货外，将立即取消供货单位的供货资格，供应商并承担由此造成的经济责任和法律责任。其中，供应方所提供大米、食用油必须有明显“QS”标志。日用、食品类产品必须具有“QS” 食品质量认证标志或标明生产许可证编号。</w:t>
            </w:r>
          </w:p>
          <w:p w14:paraId="0ECB6862">
            <w:pPr>
              <w:pStyle w:val="4"/>
              <w:spacing w:line="360" w:lineRule="atLeast"/>
              <w:ind w:firstLine="243" w:firstLineChars="116"/>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a）腐败变质、油脂酸败、霉变、生虫、污秽不洁、混有异物或其他感官性状异常，对人体健康有害的；</w:t>
            </w:r>
          </w:p>
          <w:p w14:paraId="42B2464D">
            <w:pPr>
              <w:spacing w:line="360" w:lineRule="atLeast"/>
              <w:ind w:firstLine="243" w:firstLineChars="1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b）含有毒、有害物质或者被有害物质污染，对人体健康有害的；</w:t>
            </w:r>
          </w:p>
          <w:p w14:paraId="3241A9E6">
            <w:pPr>
              <w:spacing w:line="360" w:lineRule="atLeast"/>
              <w:ind w:firstLine="243" w:firstLineChars="1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c）含有致病性寄生虫、微生物或者微生物含量超过国家限定标准的；</w:t>
            </w:r>
          </w:p>
          <w:p w14:paraId="5DE52D0F">
            <w:pPr>
              <w:spacing w:line="360" w:lineRule="atLeast"/>
              <w:ind w:firstLine="243" w:firstLineChars="1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d）掺假、掺杂、伪造，影响营养、卫生的；</w:t>
            </w:r>
          </w:p>
          <w:p w14:paraId="465B5B1C">
            <w:pPr>
              <w:spacing w:line="360" w:lineRule="atLeast"/>
              <w:ind w:firstLine="243" w:firstLineChars="11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e）用非食品原料加工的，加入非食品用化学物质或者将非食品当作食品的；</w:t>
            </w:r>
          </w:p>
          <w:p w14:paraId="480D7E12">
            <w:p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f）超过保质期限的。</w:t>
            </w:r>
          </w:p>
          <w:p w14:paraId="6C77961B">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宋体" w:hAnsi="宋体" w:eastAsia="宋体" w:cs="宋体"/>
                <w:color w:val="auto"/>
                <w:kern w:val="2"/>
                <w:sz w:val="21"/>
                <w:szCs w:val="21"/>
                <w:highlight w:val="none"/>
                <w:lang w:val="en-US" w:eastAsia="zh-CN" w:bidi="ar-SA"/>
              </w:rPr>
            </w:pPr>
          </w:p>
        </w:tc>
      </w:tr>
    </w:tbl>
    <w:p w14:paraId="706E4B05">
      <w:pPr>
        <w:spacing w:line="320" w:lineRule="exact"/>
        <w:rPr>
          <w:rFonts w:hint="eastAsia" w:ascii="宋体" w:hAnsi="宋体" w:eastAsia="宋体" w:cs="Times New Roman"/>
          <w:color w:val="auto"/>
          <w:highlight w:val="none"/>
        </w:rPr>
      </w:pPr>
    </w:p>
    <w:p w14:paraId="23FF767C">
      <w:pPr>
        <w:spacing w:line="560" w:lineRule="exact"/>
        <w:ind w:firstLine="420" w:firstLineChars="200"/>
        <w:jc w:val="left"/>
        <w:rPr>
          <w:rFonts w:hint="eastAsia" w:ascii="仿宋_GB2312" w:hAnsi="方正仿宋_GB2312" w:eastAsia="仿宋_GB2312" w:cs="方正仿宋_GB2312"/>
          <w:b/>
          <w:bCs/>
          <w:color w:val="auto"/>
          <w:sz w:val="32"/>
          <w:szCs w:val="32"/>
          <w:highlight w:val="none"/>
          <w:lang w:eastAsia="zh-CN"/>
        </w:rPr>
      </w:pPr>
      <w:r>
        <w:rPr>
          <w:rFonts w:hint="eastAsia"/>
          <w:color w:val="auto"/>
          <w:highlight w:val="none"/>
        </w:rPr>
        <w:br w:type="page"/>
      </w:r>
      <w:r>
        <w:rPr>
          <w:rFonts w:ascii="Times New Roman" w:hAnsi="宋体" w:eastAsia="宋体" w:cs="Times New Roman"/>
          <w:color w:val="auto"/>
          <w:highlight w:val="none"/>
        </w:rPr>
        <w:t xml:space="preserve"> </w:t>
      </w:r>
      <w:r>
        <w:rPr>
          <w:rFonts w:hint="eastAsia" w:ascii="仿宋_GB2312" w:hAnsi="方正仿宋_GB2312" w:eastAsia="仿宋_GB2312" w:cs="方正仿宋_GB2312"/>
          <w:b/>
          <w:bCs/>
          <w:color w:val="auto"/>
          <w:sz w:val="32"/>
          <w:szCs w:val="32"/>
          <w:highlight w:val="none"/>
        </w:rPr>
        <w:t>技术要求</w:t>
      </w:r>
      <w:r>
        <w:rPr>
          <w:rFonts w:hint="eastAsia" w:ascii="仿宋_GB2312" w:hAnsi="方正仿宋_GB2312" w:eastAsia="仿宋_GB2312" w:cs="方正仿宋_GB2312"/>
          <w:b/>
          <w:bCs/>
          <w:color w:val="auto"/>
          <w:sz w:val="32"/>
          <w:szCs w:val="32"/>
          <w:highlight w:val="none"/>
          <w:lang w:eastAsia="zh-CN"/>
        </w:rPr>
        <w:t>表</w:t>
      </w:r>
    </w:p>
    <w:tbl>
      <w:tblPr>
        <w:tblStyle w:val="23"/>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1932"/>
        <w:gridCol w:w="1307"/>
        <w:gridCol w:w="4388"/>
        <w:gridCol w:w="1081"/>
      </w:tblGrid>
      <w:tr w14:paraId="45BA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D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B4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货品名称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ED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货物来源标准</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9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技术</w:t>
            </w:r>
            <w:r>
              <w:rPr>
                <w:rFonts w:hint="eastAsia" w:ascii="宋体" w:hAnsi="宋体" w:eastAsia="宋体" w:cs="宋体"/>
                <w:i w:val="0"/>
                <w:iCs w:val="0"/>
                <w:color w:val="auto"/>
                <w:kern w:val="0"/>
                <w:sz w:val="22"/>
                <w:szCs w:val="22"/>
                <w:highlight w:val="none"/>
                <w:u w:val="none"/>
                <w:lang w:val="en-US" w:eastAsia="zh-CN" w:bidi="ar"/>
              </w:rPr>
              <w:t>参数标准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1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r>
      <w:tr w14:paraId="070F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1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78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（鲜）光鸡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6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去内脏、清洗斩块，新鲜非冷冻品，1.7千克以上/只，眼球饱满、平坦或稍凹陷，皮肤有光泽，肌肉切面有光泽，并有该禽固有色泽，外表微干或微湿润、不粘手，有弹性，肌肉指压后的凹陷立即恢复，具有该禽固有的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760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A9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B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白切鸡（熟）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9C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1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熟菜。选用优质鲜鸡，烹饪加工，要求口感、味道鲜香，斩块、</w:t>
            </w:r>
            <w:r>
              <w:rPr>
                <w:rFonts w:hint="eastAsia" w:ascii="宋体" w:hAnsi="宋体" w:cs="宋体"/>
                <w:i w:val="0"/>
                <w:iCs w:val="0"/>
                <w:color w:val="auto"/>
                <w:kern w:val="0"/>
                <w:sz w:val="22"/>
                <w:szCs w:val="22"/>
                <w:highlight w:val="none"/>
                <w:u w:val="none"/>
                <w:lang w:val="en-US" w:eastAsia="zh-CN" w:bidi="ar"/>
              </w:rPr>
              <w:t>专车配送</w:t>
            </w:r>
            <w:r>
              <w:rPr>
                <w:rFonts w:hint="eastAsia" w:ascii="宋体" w:hAnsi="宋体" w:eastAsia="宋体" w:cs="宋体"/>
                <w:i w:val="0"/>
                <w:iCs w:val="0"/>
                <w:color w:val="auto"/>
                <w:kern w:val="0"/>
                <w:sz w:val="22"/>
                <w:szCs w:val="22"/>
                <w:highlight w:val="none"/>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C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B9C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8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F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鸡杂</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C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0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新鲜，份量有鸡心、鸡肠、鸡肝、鸡胗等</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7C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EA2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1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2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鸡爪（凤爪）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D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8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长度一般不超过9厘米，宽度不超过4厘米，一对鸡爪的重量应在35克至60克之间，应呈现出浅黄色，无色斑、血迹或其他异物。表面应光滑、没有损伤和病变，没有气味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E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914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5B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37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鸡蛋、皮蛋、咸蛋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7B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8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完整新鲜，中大鸡蛋，母鸡产出不超过7天的鸡蛋，鸡蛋表面清洁，不破损，不变质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2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219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1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C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2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完整新鲜.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82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909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FBB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6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A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9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完整新鲜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E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282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B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D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鸡中翅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0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8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完整新鲜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9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C63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4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5E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鸡胸肉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2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9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3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5DB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9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A5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小鸡腿</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C8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B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E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D6C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2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5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炸凤爪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02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B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2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4AD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B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1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5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BE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FE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FA2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9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D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鹌鹑蛋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CD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3A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近似圆形，个体小，一般在5克左右，表面有棕褐色的斑点。新鲜蛋壳较硬，不易碎。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3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523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2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7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大鸡腿</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05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A9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外表应该干燥且有少量水分，肉质紧实。颜色通常呈现白色或淡黄色，外表有光泽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2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AD3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6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9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古典鸡（熟食）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2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0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肉质细嫩，味道鲜美，具有浓郁的鸡肉味，皮薄骨细，皮下脂肪适度，使得肉质既鲜美又富有弹性。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4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3253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F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1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鸡骨架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6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5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肉质滑嫩，脂肪较少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AF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A35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2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EE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C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3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鸡肾在形态上呈卵形，略小于鸽蛋，颜色乳白，质地细嫩，外有筋膜包裹，颜色较艳亮且表面光滑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E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8FE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1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6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1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2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A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5C8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DD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6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扇鸡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5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5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养殖200-240天，重5-6斤。</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A7C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8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DA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鲜鸡爪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A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7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肉地紧密，富有弹性，表面微干或略显湿润且不黏手。</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C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33AC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7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B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D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养鸡畜牧户或农贸市场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3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重3-4斤，养足200天以上。</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6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41D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B0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F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新鲜鸡胸肉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2F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E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肉质紧致，有轻微的弹性，按压后能迅速恢复原状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88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243D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F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73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D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6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去内脏、清洗斩块，新鲜非冷冻品，2千克以上/只，眼球饱满、平坦或稍凹陷，皮肤有光泽，肌肉切面有光泽，并有该禽固有色泽，外表微干或微湿润、不粘手，有弹性，肌肉指压后的凹陷立即恢复，具有该禽固有的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FCA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4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E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鸭掌</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F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B8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冰鲜，肉皮色泽白亮并且富有光泽，无残留黄</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51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857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5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2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A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皮色雁黄、脚掌厚实，肉质紧实骨骼较硬。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8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CBB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A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E2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C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5FB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熟食。体型饱满、颜色均匀，呈枣红色，焦黄，无血染痕迹，皮质厚，皮层酥脆，外焦里嫩，入口即化。</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4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FC42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F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0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扒鸭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0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9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香，脆、鲜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1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118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1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B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麻子鸭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5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体型适中且较为匀称，饲养3 - 6个月。</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7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C22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E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5F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青头鸭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5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1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饲养80天以上，嘴巴鲜黄色，颈部发亮，毛色柔顺。</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0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C4E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A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6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B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4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雁黄色的皮肤和深黄色的脚。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7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69F9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6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CD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无骨鸭掌</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2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4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8C4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B1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1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53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呈乳白色，粘液多，异味较轻，具有韧性，不带粪便及污物</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9F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54CE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0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1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6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2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新鲜，表皮光滑且有弹性，颜色呈现自然的淡黄色，按压时能感受到弹性。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8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D90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6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5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8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4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新鲜饱满，色泽油亮自然。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5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0E6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8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0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鸭心</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B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0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鸭心肉为红棕色，肉质丰厚耐嚼</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1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CA3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8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D7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5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C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肉质紧致，鲜美。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5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84A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3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1D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乳鸽</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5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畜牧户或农贸市场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67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肉质紧致，鲜美。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2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79D01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46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C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9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A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去毛去内脏、清洗斩块，新鲜，带肉的排骨，排骨带少量肉，不带肥油，厚实，完整，不得剔降，骨肉不分离；瘦肉部分应该呈现出红色或者粉红色，光泽比较鲜艳，流出的液体较少。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9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BEC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B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2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3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1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去内脏、清洗斩块，新鲜，肌肉有光泽，红色均匀，脂肪乳白色，纤维清晰，有坚韧性，指压后凹陷立即恢复，外表微湿润，不粘手，具有鲜猪肉固有的气味，无异味，煮熟后肉汤澄清透明，脂肪团聚于表面。猪肉盖有检疫合格印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D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123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6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1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五花肉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A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3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新鲜，逐层胖瘦两色相间。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4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C26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0D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F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9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新鲜，肉是没有任何臭味道的,只是有一点肉味，骨头的地方干部粘稠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F2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C42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A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D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2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5D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新鲜无异味，富有弹性和光泽的，颜色为白色，稍稍带有一点浅黄色</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AB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A27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1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2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6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1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新鲜无异味，呈粉红色，具有光泽和弹性，无寄生虫及异味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7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F23E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4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D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B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5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新鲜，呈乳白或 淡黄色，表面光滑无毛，肉 弹性好，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64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25F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2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C9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大肠头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C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7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冰鲜无异味，形态条状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6C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204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EF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9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猪红</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9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8C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新鲜，颜色鲜红，切成方块，质地似果冻</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8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516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F4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8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猪油渣</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D2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新鲜，颜色金黄色粒状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6E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35A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94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B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肥叉烧（瘦）</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7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77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新鲜，色泽鲜明香味四溢</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A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9A0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9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00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炸扣肉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A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A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扣肉皮金黄酥脆、虎皮起泡，味道鲜香，半成品。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9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BAE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8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0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卤猪耳（熟食）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2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0F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新鲜，口感香脆爽口。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B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8E4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A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9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烧腩（熟食）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4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新鲜，皮肥瘦均匀，口感酥脆可口。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63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5CF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7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1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猪瘦肉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1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7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新鲜，肌肉有光泽，红色均匀，外表微干或微湿润，手指按压弹性好，有鲜猪肉特有的正常气味。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7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E839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0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5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6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外表光滑完整，有弹性，色泽深红或红中稍暗</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5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F6D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3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9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9B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C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新鲜，颜色粉嫩，表面带有明显血丝，摸起来光滑柔顺厚实。</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E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A3E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6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猪大肠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8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4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新鲜，颜色粉嫩，摸起来光滑柔顺厚实。</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E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7AE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3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61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猪大利</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49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1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新鲜，肉质坚实，无骨、无筋膜、韧带，煮熟后无纤维质感。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3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928D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5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4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卤猪大利（熟食）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A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B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新鲜，口感香脆爽口。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B7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3B2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8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F4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瘦肉丁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9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1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新鲜，肌肉有光泽，红色均匀，外表微干或微湿润，手指按压弹性好，有鲜猪肉特有的正常气味。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A8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285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D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6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瘦肉片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1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6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新鲜，肌肉有光泽，红色均匀，外表微干或微湿润，手指按压弹性好，有鲜猪肉特有的正常气味。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5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F45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4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6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瘦肉丝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8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7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新鲜，肌肉有光泽，红色均匀，外表微干或微湿润，手指按压弹性好，有鲜猪肉特有的正常气味。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E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5ED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8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4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猪小肚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6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6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新鲜，表皮光滑、颜色红润，无赘生物为佳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4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B70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6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5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西肚（猪皮）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C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68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外观光滑，颜色自然，气味清香、细腻有弹性。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3D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914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0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A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肥猪肉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7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21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外观光滑，颜色自然。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0B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645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4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0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广式腊肉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B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4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鲜艳有光泽，呈鲜红或暗红色，脂肪透明或乳白色，外观干爽，结实紧密，坚韧有弹性，气味鲜香。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7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4CE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0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9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广式腊肠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4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4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鲜艳有光泽，呈鲜红或暗红色，脂肪透明或乳白色，外观干爽，结实紧密，坚韧有弹性，气味鲜香。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2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E0F0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5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D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卤猪头肉（熟食）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92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F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新鲜，口感香脆爽口。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D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5D8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2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8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狮子头（肉丸）</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6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5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按照国家规定的肉丸中肉的含量应大于等于65%，蛋白质含量大于等于12%，淀粉含量应小于等于10%。含肉量高，表面看起来粗糙，颜色白里透着淡黄，用手捏捏不破，有一定弹性，筋道爽口为佳。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D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BF60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E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8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ED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1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新鲜，骨头两头大中间小，具有淡淡的肉香味，颜色自然，肉质干燥不粘手。</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A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853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7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B6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里脊肉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5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4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6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EEC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3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6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猪筒骨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9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7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67C3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76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猪横利</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4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2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4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11A3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A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F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猪脚尖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9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51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3D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A99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9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8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猪头骨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4C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C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8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AF91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A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猪尾巴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B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4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B1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180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8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6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猪尾骨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3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4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21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D7E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D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C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6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0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A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8B1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43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9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竹肠（熟食）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2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F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8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247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A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7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熟牛杂（熟食）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40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5B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肉质紧实有弹性，颜色顺滑无异味，口感筋道爽口。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3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518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4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7C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6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89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去毛去内脏、清洗斩块，新鲜，肉色深红、肉质有弹性、指压陷部分立刻恢复，切面有光泽及微湿润，极小渗出物；具有浓郁的牛肉气味，脂肪白色或乳白色，无寄生虫，无注水。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9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275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0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0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7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0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冰鲜无异味，形态完整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1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8F5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7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D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牛肉丸</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1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0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含肉量高，表面看起来粗糙，颜色白里透着淡黄，用手捏捏不破，有一定弹性，筋道爽口为佳。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E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D2C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A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2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牛仔骨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9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0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冰鲜无异味，肉厚肉质鲜嫩，油花多。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B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03B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B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0E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牛腩</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6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9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新鲜，淡黄色或粉红色，有光泽，纹理清晰有弹性，脂肪均匀。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4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919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55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B7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熟牛腩（熟食）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3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肉质新鲜，口感紧实有弹性，颜色顺滑无异味，口感筋道爽口。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A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7CD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B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B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2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F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51D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2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牛展</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2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A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C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067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9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C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鲜牛排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25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8E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2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456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4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5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斩羊肉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BE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9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新鲜，无添加无注水，呈鲜红色。肌肉丰满，柔软有单行，脂肪含量适中，分布均匀，肉细、紧凑、色鲜，羊肉膻味小。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B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743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35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B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鱿鱼须</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6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冰鲜，褐色带斑点，表皮光亮富有弹性，肉质紧实。</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C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118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4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A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净土鲫鱼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1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0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新鲜，大小适中，鱼身颜色较白，略带黄色，鱼鳞发亮不掉麟，去内脏。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4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7C0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6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0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5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86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新鲜，鱼鳃鲜红，鱼眼突出、水润，有少许鱼腥味，鱼肉有弹性。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F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90D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E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6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鱼仔</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1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0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新鲜，眼睛明亮、鱼皮光滑、湿润，肉质紧实，无异味。鱼的眼睛应明亮，无混浊或凹陷；鱼的尾巴应湿润，无干燥或脱落的鳞片。</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837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9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5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净黄蜂鱼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3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90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去内脏、清洗斩块，新鲜，肌肉有光泽，纤维清晰，有坚韧性，指压后凹陷立即恢复，外表微湿润，不粘手，无异味，煮熟后肉汤澄清透明。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5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EC5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2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A5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柴鱼碎（鳕鱼干）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D7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B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色泽淡浅，纹路清晰细致，且应完整而不细碎。优质的柴鱼片入口即化，鲜味十足。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C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BDD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D2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3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皖鱼腩</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D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F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去内脏、清洗斩块，新鲜，肌肉有光泽，纤维清晰，有坚韧性，指压后凹陷立即恢复，外表微湿润，不粘手，无异味，煮熟后肉汤澄清透明。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2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A719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9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D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净白鲳鱼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C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B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D6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272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0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C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净白鳝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F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7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BF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74A6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D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5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8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F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6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9BC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B8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A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净多宝鱼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BE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2F3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60F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9F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9A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净骨鱼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1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4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5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582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1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D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净桂花鱼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7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6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1F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DEB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4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3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红杉鱼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0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5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7FA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F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0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花边鱼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5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8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F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5ED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4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0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99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F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5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1B6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8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8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龙利鱼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A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A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D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8DB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0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净鲈鱼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F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5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10A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2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7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净钳鱼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3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F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D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302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CB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5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净石斑鱼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F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7F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6BA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4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D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鳕鱼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1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D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D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6D9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E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5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鱼脊肉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8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6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A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64A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1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2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1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A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E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3A6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0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7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鱼丸</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7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2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7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1D6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E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D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竹节虾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11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1A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新鲜，活力充沛，大小均匀。虾背部通常有黑白相间的花纹，整体颜色略微泛红，且虾头颜色与身体颜色保持一致。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6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51D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0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F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小河虾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A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F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新鲜，活力充沛，大小均匀。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B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608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94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大河虾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4C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5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7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A8E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B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A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九节虾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9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A1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6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95E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8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3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罗氏虾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9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4B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C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AE0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F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F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小白菜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8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56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优质的白菜叶柄肥厚，叶端卷缩而互相结成球朵，分量重，无虫眼和黑斑。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8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B01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5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A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大白菜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0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43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新鲜，不发蔫，翠绿无黄叶。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D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BEB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17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2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本地菜心</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5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13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6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1F2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4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A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芥菜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51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C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6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829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0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上海青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7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5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B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F60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B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BA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空心菜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83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C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7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CE3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1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6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9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0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C6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A44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76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D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D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2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32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B4F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2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5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C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B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A1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CDB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4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2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菠菜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3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9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新鲜，形态好，色泽正常；可带根，无枯黄叶、病叶、泥土、明显机械伤和病虫害伤；无烧心焦边、腐烂等现象。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5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138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B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2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红薯叶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C7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E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F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6C6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A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D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圆白菜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A2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4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新鲜，叶球为圆形，呈浅绿色。直径15cm-20cm左右,外叶去除。</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5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E71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6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A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豌豆苗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45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6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新鲜，大叶茎直、新鲜肥嫩的，以叶身鲜嫩呈深绿色，呈小巧形状。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84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7F9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A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B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西洋菜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1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3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4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2BF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8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A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茼蒿</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4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A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新鲜，茼蒿颜色以水嫩、深绿色为佳，叶宽大，缺刻浅，吃口软糯。</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19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EC3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9A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3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B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F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新鲜，形态好，色泽正常；茎基部削平，无枯黄叶、病叶、泥土、明显机械伤和病虫害伤；无烧心焦边、腐烂等现象。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E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C80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B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B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芥兰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B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0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新鲜，苔叶细嫩浓绿，无黄叶，叶片完整，没有枯黄及开花现象。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D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0CC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14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B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西兰花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C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F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无托叶，可带主茎，花球青绿色、无紫花、无枯蕾现象。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E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18C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F6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2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甜玉米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D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C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新鲜，不发蔫，翠绿无黄叶，无干叶子，花丝呈现固有的颜色(有的绿色，有的白色) 。玉米粒没有塌陷，饱满有光，颗粒整齐，表面光滑。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5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8B8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5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5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莴笋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1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3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新鲜，外表不弯曲、大小整齐、没有烂叶、不抽苔，皮较薄、水分充足、笋条没有焉萎。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4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B27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4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7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4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D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叶翠绿，无主分支少，根细，茎挺直、脆，芹香味浓，水分充足。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5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CCD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5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5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灯笼椒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5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B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新鲜，肉质厚而柔软，果形较大，蓬松，颜色各异，一般钟状，有沟纹。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A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188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C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0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8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98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豆条粗细均匀、色泽鲜艳、透明有光泽、子粒饱满的为佳，无裂口、皮皱，表皮无虫痕。</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B1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C02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64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8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西红柿</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B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C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外形圆润饱满，表皮鲜红有光泽。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3B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FA1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D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6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茄子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12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D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新鲜，手握有黏滞感，外观亮泽。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A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4A9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3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3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9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9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新鲜，形状、色泽一致，瓜条均匀，无疤点，无断裂，不带泥土，无畸形瓜、病虫害瓜，烂瓜、无明显机械伤。</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2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6DB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0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4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30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9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新鲜，外形匀称，表皮无腐烂破损。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F7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449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3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B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8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新鲜，瓜身多毛，呈光泽。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E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A71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C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0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5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5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新鲜，外形比较匀称、没有斑点，无腐烂，分量较重。</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D3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3E01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9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E3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E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6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新鲜，新鲜，外形完整，表面无损伤、无虫害无斑点，分量较重。</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E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E84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2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E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E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0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新鲜，稍微有弧度，粗细适中，表面有小刺状凸起。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B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D8CB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3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E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洋葱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A1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E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以尚未发芽、捏起来坚实的为好。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6A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E195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25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9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红萝卜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E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90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形体圆直、表皮光滑、色泽橙红、不开叉、无须根。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4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C41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0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C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白萝卜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07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EE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形体圆直、表皮光滑、色泽白、不开叉、无须根。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2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95D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0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莲藕</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6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B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新鲜，藕节粗且短，藕节间距长，外形饱满，内外皆无伤，色黄无异味。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2B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CC2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2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7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6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A6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新鲜，外形浑圆，表皮干，表皮呈亮黄色，且色泽均匀，无破损。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E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D82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F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4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铁棍淮山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9F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新鲜，表皮光洁，没有异常斑点，直径在3厘米左右，长度适中，无弯曲，断层雪白，带黏液且黏液多。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6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866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9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8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C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8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新鲜，颜色一致，头部较尖，表皮上的土较干燥，整体形态较自然，而且较完整。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2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865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D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EE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C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A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嫩姜，块茎白、肥满、具粉红色鳞片；粉姜，茎肥满、表皮光滑完整；老姜，不枯萎皱缩、不腐烂。</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4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7ED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E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BD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蒜头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8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D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新鲜，蒜瓣饱满度高，蒜核集中在一起，无发芽。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85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E274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1B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9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豆芽</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F3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9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新鲜，无断裂，无黑色，无腐烂。</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F17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E8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2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绿豆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2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76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外形圆润饱满，豆粒大小均匀豆粒无虫眼，外皮无皱纹，无碎豆。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9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5A8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B1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7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鲜香菇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0A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6A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个儿大均匀，菇身圆整，菇柄短粗，菇褶紧密细白，肉厚，干燥，香味浓郁，无焦味，少碎屑。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9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9B4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DE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E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芥菜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BB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E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7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FA2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6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C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8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茎叶粗壮，新鲜。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E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22A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4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1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萝卜条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6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7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切条均匀，爽口清脆。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8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2F0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3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AA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8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新鲜，肉质厚而柔软，果形较大。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9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EBB5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1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E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蒜台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7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9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新鲜，外表整齐，圆润。</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5F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244B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3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4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5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D2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外形圆润饱满，豆粒大小均匀豆粒无虫眼，外皮无皱纹，无碎豆。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1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D44D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菜干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D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C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干燥，香味浓郁，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8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B95D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E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B9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3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9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脆、酸，有乳酸菌发酵的气味，颜色自然，一般为淡黄色。无添加剂。</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5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BD6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E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A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酸豆角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E7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C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脆、酸，有乳酸菌发酵的气味，颜色自然。无添加剂。</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23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7FD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0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D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笋干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A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A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颜色为黄中带着透明状，肉质厚实，干中带水，笋味浓郁。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6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E49A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39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1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干银耳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2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69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颜色金黄，有光泽，蒂头无黑斑或杂质，朵型完整，手感干燥肉厚。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0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4B75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9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5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干云耳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64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A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颜色自然，有光泽，朵型完整，手感干燥肉厚。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7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854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6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3C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黄花菜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3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颜色暗黄，外形粗壮紧实，干燥适度，有淡淡的清香。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9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F99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E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4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鸡腿菇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9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A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菌柄约长8-12厘米，颜色呈洁白色，有清新的蘑菇香味，菌盖为圆柱形，紧贴菌柱，边缘完整无缺为佳。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D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C0B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F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A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湿海带结</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331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5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褐绿或土黄色，黏性较大，肉质肥嫩为佳。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A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6B2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69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1E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9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B2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菇体鲜亮，盖肥柄短，菌褶直立整齐，水分适当，无虫、无杂质。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0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212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8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2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青尖椒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82F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D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外观新鲜、厚实、明亮、肉厚，表皮起褶，细长。</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4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AC4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EE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CA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青圆椒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6D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3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外观新鲜、明亮、肉厚，有弹性，底部四个棱角肉质厚实为佳。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277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0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C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红圆椒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86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3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外观新鲜、明亮、肉厚，有弹性，底部四个棱角肉质厚实为佳。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3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095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6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玉米粒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E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F8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嫩玉米，口感甜，颗粒饱满，甚至看起来透明，水分足。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E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7710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3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7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44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86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颜色翠绿，表面光滑圆润，散发出豆腥味为佳。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0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EBC9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3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6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2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5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呈现乳白色或淡黄色，并且略带光泽。形状整齐，有弹性，表面细嫩，挤压后无液体渗出。有清香气味，滋味纯正，咸淡适中。</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F9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AC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B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E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大蒜苗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41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4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外形类似韭菜，口感脆嫩，鲜绿色，根部粗壮，表面光滑。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D0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4F75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B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3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芫茜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F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40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大小均匀，根茎较长，声音清脆，容易掰断，结构紧实。</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0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D51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14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B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C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1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颜色白皙、粉性十足，香味浓郁的为佳。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86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8D4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A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12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韭黄</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7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80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叶汁鲜嫩，柔软，细嫩植株肥壮，叶浪黄色，基部嫩白，富有清香味，辣味不浓为佳。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02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3E77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C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F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芹菜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D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F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翠绿色，枝干笔直，有辛香味。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B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29E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E2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17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红线椒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49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富有弹性，颜色鲜艳，新鲜。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C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D5E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3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F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剑花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4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0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以大小均匀，含苞待放、将开未开的新鲜霸王花为佳。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2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DEA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8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F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花生米外皮光滑，米粒圆润饱满均匀，具有淡淡的坚果香味。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20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7C6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2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芋头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CE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D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新鲜，表面无皮损、无斑点，捏起来比较硬</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D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554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5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5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芋头仔</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6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新鲜，表面无皮损、无斑点，捏起来比较硬，大小均匀。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9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148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8F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紫薯仔</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4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B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新鲜，表面无皮损、无斑点，捏起来比较硬，大小均匀。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5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E34E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2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B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9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C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新鲜，形态好，色泽正常。</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2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BDD6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3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E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B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1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果肉呈红色，肉质细腻，清甜浓郁。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9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CFF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0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3C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D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D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新鲜，叶子呈墨绿色，葱白较硬，紧实有弹性。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6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08F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B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娃娃菜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D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0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大小均匀，手感紧实。黄中带白，叶基较窄，叶脉细腻，包心紧密。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6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8B1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E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0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蒜米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C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4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新鲜，蒜瓣饱满度高，蒜核集中在一起，无发芽。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4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D186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7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F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30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3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墨绿色，葱白紧实，有弹性。</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10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3CD5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F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61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酸豆角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5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F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豆条粗细均匀、色泽鲜艳、透明有光泽、子粒饱满的为佳，无裂口、皮皱，表皮无虫痕。</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E89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7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8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湿木耳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7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1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新鲜，外观完好，无霉变，破损，色泽均匀，颜色发黑，木耳坚挺，有韧劲，不易被捏碎。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16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C70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7D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2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白果仁（去壳）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A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4C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EB9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F1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B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D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1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AC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81E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6E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38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干白莲子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3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B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B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313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F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7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白蘑菇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D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2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1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E2A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0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B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白芝麻</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2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9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B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899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B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98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板栗仁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6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0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D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82B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0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E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贝贝南瓜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F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73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74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89D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C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A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本地萝卜条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BA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AB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C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9B8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42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E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干扁豆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5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A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2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56A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5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9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干草果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7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F2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3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21F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2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F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干陈皮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C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B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7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F617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F4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6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干赤小豆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00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5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8D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A30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3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0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干虫花草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3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8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91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F9B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5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5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春卷1*250g/包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2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2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F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62B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9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4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脆瓜皮50g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9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2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7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3D22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9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B2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7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5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4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AAB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0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8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当归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67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3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350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0E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E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党参</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8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0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D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168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5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5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倒水山楂</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8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F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85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42A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9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7D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干灯心草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5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F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E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B401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F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6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灯盏菜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D8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7D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6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28B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D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6E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饭豆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9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8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F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C22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D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A6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粉葛</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5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A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B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956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C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凤尾菇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2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C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40E3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C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C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佛手瓜苗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84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B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F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D49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6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3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D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BD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E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F2F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1C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8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干八角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2B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C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A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823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CF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6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干百合</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5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4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D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C90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F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F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干茶树菇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2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20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E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D6A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4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2D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干柴鱼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1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A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7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A4E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2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B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干陈皮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2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A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8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A5B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9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干冬菇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3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CA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C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7D26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0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8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干贡菜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2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7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0CB0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6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32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干海带</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1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9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4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C91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5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3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干海带结</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0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CB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7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A88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78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D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干海底椰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9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2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9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AE2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9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7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干蚝豉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8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D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8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CF3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C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9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干荷叶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57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F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5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1FD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8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C1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干红枣（大）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7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E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0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0E7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9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4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干黄花菜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6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67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E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2D8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D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E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干鸡骨草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7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9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7A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BF8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B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6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干剑花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7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6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5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F2A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1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D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干辣椒段</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4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E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7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37F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F2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D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干红莲子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C5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8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5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ED9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B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0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干麦冬</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1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09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5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1D2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D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E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干墨鱼仔</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6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B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2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595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1E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B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干木耳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86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A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4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A56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E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6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干木棉花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4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F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638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1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B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干沙姜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C8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7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9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9F6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8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4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干山楂片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A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7B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2B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45F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3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2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4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66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7A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34F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D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7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干桃胶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7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1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D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71E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2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2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干瑶柱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1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4D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4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E9F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1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E7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干银杏</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9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B2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51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F3D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0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干鱿鱼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9A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E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8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1B2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6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2E0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25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D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9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F896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3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A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B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3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6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501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56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0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E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C5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D0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8D4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C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A9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5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E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1F6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A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2B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桂圆肉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C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D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8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D9B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13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8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海白菜（3kg）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5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F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EF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0F59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0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9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海鲜菇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D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C0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8A6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0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D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荷兰豆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F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F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1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96B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F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4E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核桃仁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B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7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3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FDC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7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6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D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0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A20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2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0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黑枸杞</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9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F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CA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B4D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A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2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7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E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DB94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62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59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黑糯米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F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9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946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A2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9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黑芝麻</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6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89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7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520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A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1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红葱头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D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6A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2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227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9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F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C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61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1F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2C2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E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45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红泡椒（2kg）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E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24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1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3E45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1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FE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红藤菜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AF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C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F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967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F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红苋菜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A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52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6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2FA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64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F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红腰豆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0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D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7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7F6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C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8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胡椒粒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09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C1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D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393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E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0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花生芽</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1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A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9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F9D5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1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7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黄瓜皮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C3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C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E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FDC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B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5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0E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3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0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983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F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1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黄圆椒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5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8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9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E07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0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5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火腿1*5斤</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0F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B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1C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w:t>
            </w:r>
          </w:p>
        </w:tc>
      </w:tr>
      <w:tr w14:paraId="48EE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D2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5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鸡枞菌</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7A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F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D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EF9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3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5B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混合坚果（450g）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A3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5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60773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9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F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茭白</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3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C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CE8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2C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C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金钱草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C1B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81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5F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855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C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F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金针菇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A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8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2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F4D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8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E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韭菜心</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C7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2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E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5EA2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2D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7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苦菊菜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5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3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7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0C7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9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5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辣椒粉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1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6C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D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9C2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C0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5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辣椒叶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B8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C3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8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689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9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5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榄角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8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7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C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9ED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8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5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7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7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B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A208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F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鹿茸菇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7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D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32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8B6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F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7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马蹄（去皮）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E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7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9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A7F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8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3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F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A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2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A5A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6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BA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E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A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A4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58F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3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46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茅根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D9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1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5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C15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7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94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梅菜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5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1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7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724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B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C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绵菌陈</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75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A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1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6C7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C5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3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墨鱼饼（500g）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2C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7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8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2B2B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8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9A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墨鱼丸</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A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5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B1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3A5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8C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E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木耳丝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87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5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C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E2C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B0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5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木瓜丁（5kg）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0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4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7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w:t>
            </w:r>
          </w:p>
        </w:tc>
      </w:tr>
      <w:tr w14:paraId="65A7F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5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12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F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D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4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40D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7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南瓜花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2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28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B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25E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5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2D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南瓜苗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24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8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9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CDF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5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D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廿四味凉茶100g/包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95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3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06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3ED3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C0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6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糯玉米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1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3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E0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2988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75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藕带（400g）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8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3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F1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52BB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E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B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藕尖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A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C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5CC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3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8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黄泡椒（2kg）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4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1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F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F73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A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4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泡椒凤爪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8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2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A6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42E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F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千叶豆腐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3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AE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F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799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37C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06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BB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3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3B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19F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F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3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青橄榄</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B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F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A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39D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2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11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青枣</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1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7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F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2E5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E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E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秋葵</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A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8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81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E19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F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F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去核红枣</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8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64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3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B00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0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EF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去湿茶100g/包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B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8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C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2D8E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6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92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日本豆腐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B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CF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4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D22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E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0C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桑葚干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97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1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96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F3F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4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6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4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8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B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067B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3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3F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沙参</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5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8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B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B2D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A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2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沙溪凉茶75g/包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36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CAF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3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6110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6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3E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山楂叶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F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54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3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9E6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D7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F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扇子骨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0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5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E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50D6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88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E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湿裙带菜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5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7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A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A77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55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E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湿西肚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6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5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3788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4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1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5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34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5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C285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D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5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熟鸭血1盒300g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3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9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A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r>
      <w:tr w14:paraId="6A9B9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D2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5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四季豆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E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3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2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B96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0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9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F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C1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5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672E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34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B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酥炸粉（120g）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2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E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D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r>
      <w:tr w14:paraId="0D88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E5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9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酸笋丝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15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4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6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4A92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6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4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酸汤（960g）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9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4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B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0A75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7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7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蒜香粉（400g）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E9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E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CC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6730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57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8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笋丝雪菜（500g）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E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5A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1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666C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5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4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田螺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C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7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C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8E1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1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8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甜笋片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B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B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E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89B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3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2C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头菜丝1*1*4kg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C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B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1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w:t>
            </w:r>
          </w:p>
        </w:tc>
      </w:tr>
      <w:tr w14:paraId="4119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D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B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C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6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5C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6C2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6E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1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外婆菜1*5kg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F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2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0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67DB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3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A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B3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D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C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714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6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B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西生菜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16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1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31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44B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B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3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西葫芦</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5C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4C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D7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3A5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43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3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62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B8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F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CB7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8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A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虾米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6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A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8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C5C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8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47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虾仁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54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C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7F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D63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9A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D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鲜百合</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AF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4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7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DD5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8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D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鲜茶树菇</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8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7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8AC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FE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6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咸卜丁1*1*4kg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9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8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2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w:t>
            </w:r>
          </w:p>
        </w:tc>
      </w:tr>
      <w:tr w14:paraId="5BE9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F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7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咸蛋黄（180g）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9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FD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颜色自然偏黄，表面光滑圆润，蛋壳呈青色或白色。入口松沙，颗粒绵密而不粘腻，香味馥郁而绵长。</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8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2352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70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A0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咸鱼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8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B1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形体完整，肉质坚实，气味正常，具有自然的咸香味。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F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1F2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B7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6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A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F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叶片完整，叶脉明显，边缘呈锯齿状。颜色为黄中带绿，闻起来有淡淡的香气。</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3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9910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54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0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香芋南瓜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A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36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大小一般在1.5至2.5公斤之间，呈梨形，果蒂和果脐凸出，嫩瓜表皮呈深绿色，老熟后变为橙黄色</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1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414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54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1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小黄姜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1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切面呈纯黄色，味道辛辣且香气浓郁。肉质细腻，纤维细小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9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E38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B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A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小米辣泡椒（2kg）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8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椒色泽鲜亮，肉质饱满，辣而不燥，香而不腻</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797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6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7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新鲜带壳花生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9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49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花生果实饱满，没有空洞，外壳无破损。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A211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3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3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新鲜毛豆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B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6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外壳应呈青绿色，豆荚宽大且饱满。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9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DB6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F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E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腰果（227g）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04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6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呈现完整的月牙形状，颗粒饱满且大小均匀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2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r>
      <w:tr w14:paraId="7BB0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2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8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椰菜花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5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7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花球完整，呈洁白微黄色，重量约在500克为佳。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7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C2E7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56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9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椰浆（400mL）</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8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色泽自然，呈乳白色。椰浆质地细腻，口感顺滑，无颗粒感。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B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罐</w:t>
            </w:r>
          </w:p>
        </w:tc>
      </w:tr>
      <w:tr w14:paraId="58B1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A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5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一点红</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3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1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新鲜，味美。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89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58B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5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薏米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F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1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颗粒饱满，呈乳白色或黄白色，表面光滑有光泽。质地坚硬，完整度高，碎粒少。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B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1BC8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B2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有机花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7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0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菜花球松散，花梗又长又绿</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0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85C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17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D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C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F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色泽金黄，外表完整无破损，切面厚实均匀，无气泡孔</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A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006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2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E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98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D4C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呈黄白色或淡黄色，表面光滑，无明显斑点或瑕疵</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E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3B2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7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D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78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9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色泽金黄，纹理清晰，肉质紧致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7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6D3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B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C8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云南小瓜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E4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59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口感爽脆，微甜适中</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DAA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F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C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仔姜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6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1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嫩芽长且颜色鲜红，姜身坚硬，表明姜较新鲜且水分充足。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5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02D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8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A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炸花生</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D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1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花生粒大，颗粒饱满，外层红衣光亮，光泽均匀。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C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8A8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5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D7B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炸黄豆1*1.4kg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FB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A3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色泽金黄不回软</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3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AB7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7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AB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榨菜丝1*4kg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0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F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味道鲜香，口感脆爽，具有天然发酵后的味道独特。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6194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D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2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2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4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淡黄色，具有光泽，色泽均匀，无杂色。具有淡淡的豆香味，质地应坚韧，不易折断。</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8B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B90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2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3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指天椒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3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C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呈指形，长度在3厘米至6.5厘米之间。果实表面油亮，色泽鲜红，具有极高的辣度和醇香浓郁的口感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D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5B87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D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7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紫菜（0.7g）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1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7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口感细嫩，爽滑脆嫩，色泽黑亮，味道鲜美。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3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67CEB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0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A9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紫甘蓝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CB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DD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颜色鲜艳，表面有光泽。形状优选为平头或圆头型。</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25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41C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8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0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E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个头适中，口感粉糯。</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9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6A4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F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41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D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A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新鲜，具备食物本身的特殊香味。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3B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7B68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9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8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苹果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3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2A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新鲜，外形圆的,像小皮球一样大小,看上去很饱满。颜色分粉红色，手拿起来比较结实重手。</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55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6988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B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2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7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B3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新鲜，圆溜溜的,大大一个，大概有8-10斤左右一个。摸起来很光滑,身上杂着几道深绿色的条纹。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EF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0C73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1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0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哈密瓜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1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9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新鲜，长椭圆形,大小均匀，大概有5斤左右一个，果皮平滑,有纵沟纹,或斑纹,无刺状突起。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5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D24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6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3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番石榴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1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1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新鲜，大小均匀，圆圆一个，手感平滑，酸甜可口，鲜美多汁，清爽可口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D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B94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E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F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1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F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新鲜，大小均匀，熟度适中，表皮颜色黄靓。</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C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79F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6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E2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三华李</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44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50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新鲜，大小均匀，手感平滑、结实，脆口酸甜。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E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76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8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B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D6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0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新鲜，果皮像鱼鳞一样凸起，颜色呈鲜红状，里面的果肉是呈半透明的白色，味道甜，肉厚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CE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ED4E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C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E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7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4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新鲜，果实要成熟,个大、肉厚,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64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6ED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B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E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提子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8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90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新鲜，果粒大，颜色青色和红色均可，无子。</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9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CBE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4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3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雪梨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5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7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梨柄新鲜，果皮翠绿，水分充足，大小均匀。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4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A38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6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8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冬枣</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4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C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新鲜，脆口，香甜，大小均匀。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8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D53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2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9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圣女果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7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8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甜爽，呈深红色，果蒂新鲜，大小均匀。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6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694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3A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金桔</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A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E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果皮金黄色或橙色，形状较圆，味道清香。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6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0E1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7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8F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沃柑</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07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8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新鲜，果皮光滑，果肉多汁，大小均匀。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F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3C4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7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2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橙子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B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F4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76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C214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D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32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9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B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0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ED56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C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9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火龙果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8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B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CC4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9F4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9B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98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柠檬</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2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E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表皮光滑、色泽鲜亮，颜色应在浅黄色至深黄色之间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B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837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3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A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C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1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漆黑色或红褐色，表面光滑且有光泽。果皮应均匀，无裂缝或斑点。形状圆滑饱满，没有变形或软弱的迹象。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72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3FF0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7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F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砂糖橘</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E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A8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大小适中，直径一般在4-5cm左右，新鲜，果肉弹性好，水分充足。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A2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8F5A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E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E9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熟菠萝（去皮）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8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B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菠萝切开后，优质的果肉呈淡黄色，果目浅而小，果肉厚而果芯细小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9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C63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C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A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水果胡萝卜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2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1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7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072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A0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F3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水果木瓜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7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A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E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933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8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9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C8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9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EB7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15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7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8C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E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B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FB1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6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6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杨桃</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8D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7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E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A524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E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F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椰子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1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果场或水果批发市场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7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大小适中，新鲜，汁多，味甜。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C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742D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F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70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1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1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色泽自然大小厚薄均匀，砂线分明。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1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A960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C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D8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海澡盐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4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5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海藻盐外表白色，颗粒均匀。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59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w:t>
            </w:r>
          </w:p>
        </w:tc>
      </w:tr>
      <w:tr w14:paraId="7995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5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4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1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C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白糖外表白色，颗粒细小均匀，晶莹剔透。</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E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w:t>
            </w:r>
          </w:p>
        </w:tc>
      </w:tr>
      <w:tr w14:paraId="6B14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2F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7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酱油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75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C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酱油色泽呈红褐色，有独特酱香，滋味鲜美。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5B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1.6L/瓶</w:t>
            </w:r>
          </w:p>
        </w:tc>
      </w:tr>
      <w:tr w14:paraId="24D5F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5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蚝油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C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E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味道鲜美、蚝香浓郁，黏稠适度。</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5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6kg/瓶</w:t>
            </w:r>
          </w:p>
        </w:tc>
      </w:tr>
      <w:tr w14:paraId="6F3E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BF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C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9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0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生粉是白色的粉状，富含蛋白质、钙等营养成分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A8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50千克</w:t>
            </w:r>
          </w:p>
        </w:tc>
      </w:tr>
      <w:tr w14:paraId="2C6B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B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7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DC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6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鸡粉色泽浅黄，颗粒均匀，含有蛋白质和维生素。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5E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2kg</w:t>
            </w:r>
          </w:p>
        </w:tc>
      </w:tr>
      <w:tr w14:paraId="37E0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3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5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老抽</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3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6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老抽呈棕褐色并有光泽的酱油。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CA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4.9L</w:t>
            </w:r>
          </w:p>
        </w:tc>
      </w:tr>
      <w:tr w14:paraId="2E4B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19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2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冰花梅酱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D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C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冰花梅酱色泽虹润，饱满均匀。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5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400克/瓶</w:t>
            </w:r>
          </w:p>
        </w:tc>
      </w:tr>
      <w:tr w14:paraId="2DB5E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5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A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3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D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花椒油色泽浅黄、椒香浓郁。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BB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750克/瓶</w:t>
            </w:r>
          </w:p>
        </w:tc>
      </w:tr>
      <w:tr w14:paraId="523F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C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6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香麻油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2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F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香麻油呈红色、香味醇厚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A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400克/瓶</w:t>
            </w:r>
          </w:p>
        </w:tc>
      </w:tr>
      <w:tr w14:paraId="7455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8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A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红米酒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9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64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红米酒色泽透明，清淡可口。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A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610ml/瓶</w:t>
            </w:r>
          </w:p>
        </w:tc>
      </w:tr>
      <w:tr w14:paraId="455F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E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B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F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F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白醋无色透明，气味柔和，回味绵长。</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B8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10.5L/瓶</w:t>
            </w:r>
          </w:p>
        </w:tc>
      </w:tr>
      <w:tr w14:paraId="1FB73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3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118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花雕酒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5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06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花雕酒色泽橙黄清亮，甘甜醇厚。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04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600克/瓶</w:t>
            </w:r>
          </w:p>
        </w:tc>
      </w:tr>
      <w:tr w14:paraId="1697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7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D3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叉烧酱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0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C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叉烧酱色泽呈红黑色，酱香浓郁，香甜鲜美。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5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250克/瓶</w:t>
            </w:r>
          </w:p>
        </w:tc>
      </w:tr>
      <w:tr w14:paraId="463D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8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DB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豆瓣酱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84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7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豆瓣酱色泽褐红色，酱香浓郁。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A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6kg/瓶</w:t>
            </w:r>
          </w:p>
        </w:tc>
      </w:tr>
      <w:tr w14:paraId="4CAD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E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6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排骨酱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BC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2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排骨酱色泽鲜红，细腻润泽，饱满均匀。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B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250克/瓶</w:t>
            </w:r>
          </w:p>
        </w:tc>
      </w:tr>
      <w:tr w14:paraId="2A80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A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E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3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8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南乳外表呈方正小块色泽鲜红，香气浓郁，口感绵软。</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6F9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6kg/瓶</w:t>
            </w:r>
          </w:p>
        </w:tc>
      </w:tr>
      <w:tr w14:paraId="1D2D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0F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9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腐乳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9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F9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腐乳表面橙黄透明，味道鲜美奇香，营养丰富。</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46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250克/瓶</w:t>
            </w:r>
          </w:p>
        </w:tc>
      </w:tr>
      <w:tr w14:paraId="6DA39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D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E8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一品鲜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0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C8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生抽色泽较淡并且呈红褐色，色泽淡雅醇香，酱香浓郁，味道鲜美。</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4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5L/罐</w:t>
            </w:r>
          </w:p>
        </w:tc>
      </w:tr>
      <w:tr w14:paraId="76EC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D7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F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味椒盐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A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味椒盐呈焦黄色，香味浓郁。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8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250克/包</w:t>
            </w:r>
          </w:p>
        </w:tc>
      </w:tr>
      <w:tr w14:paraId="78F3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0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2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茄汁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6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1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茄汁色泽鲜红，香味浓郁，酸甜适口。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610ml/瓶</w:t>
            </w:r>
          </w:p>
        </w:tc>
      </w:tr>
      <w:tr w14:paraId="03FE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E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4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98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浙醋色泽浅红透亮，酸爽、清甜。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32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610ml/瓶</w:t>
            </w:r>
          </w:p>
        </w:tc>
      </w:tr>
      <w:tr w14:paraId="32EEB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3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E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3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F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麦芽糖色泽金黄，香甜可口，营养丰富。</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C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500克/瓶</w:t>
            </w:r>
          </w:p>
        </w:tc>
      </w:tr>
      <w:tr w14:paraId="1578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0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C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胡椒粉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1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胡椒粉呈焦黄色，香味浓郁。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F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450g/包</w:t>
            </w:r>
          </w:p>
        </w:tc>
      </w:tr>
      <w:tr w14:paraId="4A4B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9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7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5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4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食粉外表白色，呈粉状。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8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250克/盒</w:t>
            </w:r>
          </w:p>
        </w:tc>
      </w:tr>
      <w:tr w14:paraId="2E7A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61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7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8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陈醋色泽浓褐色，液态清亮，醋味醇厚，具有少沉淀，贮放时间长，不易变质等特点。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A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420ml/瓶</w:t>
            </w:r>
          </w:p>
        </w:tc>
      </w:tr>
      <w:tr w14:paraId="5AC4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04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C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小麻油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C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06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小麻油呈浅红色，芝麻香味浓郁，内含维生素E、钙、脂肪等营养成分。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6A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180ml/瓶</w:t>
            </w:r>
          </w:p>
        </w:tc>
      </w:tr>
      <w:tr w14:paraId="589B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9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味精</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89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AC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味精外表呈白色柱状晶体，颗粒均匀。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F7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500克/包</w:t>
            </w:r>
          </w:p>
        </w:tc>
      </w:tr>
      <w:tr w14:paraId="5047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3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4A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炼奶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1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4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炼乳用鲜牛奶或羊奶经过消毒浓缩制成的牛奶制品，色泽乳白。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35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500克/瓶</w:t>
            </w:r>
          </w:p>
        </w:tc>
      </w:tr>
      <w:tr w14:paraId="1D2B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9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1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喼汁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4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9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喼汁味道酸甜微辣，色泽黑褐</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6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610ML/瓶</w:t>
            </w:r>
          </w:p>
        </w:tc>
      </w:tr>
      <w:tr w14:paraId="72C3D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CE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B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卤水汁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5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C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卤水汁为一种以多种香料煮成的调味料，其颜色呈红褐色，香味浓郁。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7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610ML/瓶</w:t>
            </w:r>
          </w:p>
        </w:tc>
      </w:tr>
      <w:tr w14:paraId="5AB07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25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D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沙姜粉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7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E9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沙姜粉是沙姜晒干后磨成的粉，色泽浅黄。</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6E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400克/瓶</w:t>
            </w:r>
          </w:p>
        </w:tc>
      </w:tr>
      <w:tr w14:paraId="664D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5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F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83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E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醋无色透明，气味柔和，回味绵长。</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7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10L/1桶</w:t>
            </w:r>
          </w:p>
        </w:tc>
      </w:tr>
      <w:tr w14:paraId="57A2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E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0C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C2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2A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鱼露色泽呈琥珀色，味道带有咸味和鲜味。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1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610ML/瓶</w:t>
            </w:r>
          </w:p>
        </w:tc>
      </w:tr>
      <w:tr w14:paraId="1EC4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9E4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FC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榨菜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E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5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榨菜外表橘黄有光泽，菜体脆爽，气味浓郁鲜香。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E3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80克/包</w:t>
            </w:r>
          </w:p>
        </w:tc>
      </w:tr>
      <w:tr w14:paraId="428E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D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88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海鲜酱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7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7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海鲜酱其色泽红褐，分外香浓。</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3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400克/瓶</w:t>
            </w:r>
          </w:p>
        </w:tc>
      </w:tr>
      <w:tr w14:paraId="04A5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A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1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柱候酱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5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7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柱候酱其色泽红褐，豉味香浓，入口醇厚，鲜甜甘滑。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6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380克/瓶</w:t>
            </w:r>
          </w:p>
        </w:tc>
      </w:tr>
      <w:tr w14:paraId="3B03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96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5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8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C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食粉外表白色，呈粉状。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2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454克/盒</w:t>
            </w:r>
          </w:p>
        </w:tc>
      </w:tr>
      <w:tr w14:paraId="1312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7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7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黄豆酱</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0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A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黄豆酱外边土黄色，有浓郁的酱香和酯香，咸甜适口。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24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800克/瓶</w:t>
            </w:r>
          </w:p>
        </w:tc>
      </w:tr>
      <w:tr w14:paraId="4454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BA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6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五香粉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B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DB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五香粉色泽呈褐色 ，香味浓郁，有辛辣味，还有些许甜味,呈粉状。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8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454克/包</w:t>
            </w:r>
          </w:p>
        </w:tc>
      </w:tr>
      <w:tr w14:paraId="2E5F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F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9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小米椒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C8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6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形态匀称，颜色自然红。</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04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w:t>
            </w:r>
          </w:p>
        </w:tc>
      </w:tr>
      <w:tr w14:paraId="4F24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A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1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十三香</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69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B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十三香外观焦黄，香气横溢，熏味浓郁，鲜香盈口。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A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45克/盒</w:t>
            </w:r>
          </w:p>
        </w:tc>
      </w:tr>
      <w:tr w14:paraId="2E00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D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9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桥头火锅底料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A4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6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火锅底料外观鲜红，香气横溢，香味醇厚。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8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6公斤/罐</w:t>
            </w:r>
          </w:p>
        </w:tc>
      </w:tr>
      <w:tr w14:paraId="193D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2F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0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豆浆粉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86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E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豆浆粉是指大豆通过烘干脱皮去芽、精细研磨的浅黄色粉状。</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A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800克/包</w:t>
            </w:r>
          </w:p>
        </w:tc>
      </w:tr>
      <w:tr w14:paraId="5F6F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E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7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番茄沙司</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9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2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番茄沙司色泽鲜红、香味诱人，酸甜醒胃。</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2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3.25KG/罐</w:t>
            </w:r>
          </w:p>
        </w:tc>
      </w:tr>
      <w:tr w14:paraId="30E1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A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F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料酒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D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BC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料酒色泽橙黄，纯正。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04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400克/瓶</w:t>
            </w:r>
          </w:p>
        </w:tc>
      </w:tr>
      <w:tr w14:paraId="42B8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4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吉士粉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F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2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吉士粉系浅橙黄色，具有浓郁的奶香味和果香味。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7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3.5Kg/罐</w:t>
            </w:r>
          </w:p>
        </w:tc>
      </w:tr>
      <w:tr w14:paraId="0381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6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E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浓缩柠汁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A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0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浓缩柠汁色泽青色，香气纯正柠檬味。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4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840ML/瓶</w:t>
            </w:r>
          </w:p>
        </w:tc>
      </w:tr>
      <w:tr w14:paraId="0CE1F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9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4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浓缩橙汁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1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1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浓缩橙汁色泽橙黄，香气纯正鲜橙味。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B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840ML/瓶</w:t>
            </w:r>
          </w:p>
        </w:tc>
      </w:tr>
      <w:tr w14:paraId="5E29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2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1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OK汁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7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A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ok汁色泽棕黑，具有多种蔬菜和水果的清香，味酸甜可口。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7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420克/瓶</w:t>
            </w:r>
          </w:p>
        </w:tc>
      </w:tr>
      <w:tr w14:paraId="0403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D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33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D3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45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花生油淡黄透明，色泽清亮，气味芬芳。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C2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900ml/瓶</w:t>
            </w:r>
          </w:p>
        </w:tc>
      </w:tr>
      <w:tr w14:paraId="0A84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D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B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八宝料</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68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77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黑米、糯米、红豆、花生、红枣、莲子，米、桂圆等。</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8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w:t>
            </w:r>
          </w:p>
        </w:tc>
      </w:tr>
      <w:tr w14:paraId="397D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1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D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调和油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7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3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调和油淡黄透明，色泽清亮，气味芬芳。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D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5L/瓶</w:t>
            </w:r>
          </w:p>
        </w:tc>
      </w:tr>
      <w:tr w14:paraId="4C4C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C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68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海天盐焗鸡粉1*500g*12包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0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A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色泽均匀的淡黄色或浅棕色粉末，具有盐焗鸡特有的香气，无异味 。 干燥、松散、无结块，无明显杂质 </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7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497E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D7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A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冰糖1*5kg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E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9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黄冰糖再加工版，深度提纯脱色。纯蔗糖晶体，杂质少，溶解快，甜感清澈</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9B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55CC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E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陈村枧水（4kg）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E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A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食用碱水，具有优异的品质和独特的口感。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9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罐</w:t>
            </w:r>
          </w:p>
        </w:tc>
      </w:tr>
      <w:tr w14:paraId="1A62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E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B0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厨邦鸡粉1*2L*6</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48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F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厨邦鸡粉选用上等鲜鸡制成，提取鲜鸡的精华，确保鸡精一年四季都能保持醇鲜。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B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6257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07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9B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粗盐（500g）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F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3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粗盐的颗粒较大，结晶不规则，通常呈现出黄色或白色。</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8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155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D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0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东古腐乳320ml*12</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0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7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南乳坯质地细腻，不干不硬，口感醇厚，香醇独特，让人回味无穷。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B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3D39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8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C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东古南乳320ml*12</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5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0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南乳坯质地细腻，不干不硬，口感醇厚，香醇独特，让人回味无穷。</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8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7A62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D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C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东古一品鲜500ml*12</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87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8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酱香浓郁，带有少许鲜甜口感，适合各种烹饪方式如凉拌、炒菜、清蒸等。</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F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6DA53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B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0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冬阴功酱（320g）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8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A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味道正宗，能够准确还原地道的泰式风味，包括鲜香酸辣的特点。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C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1FAA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4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4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豆豉1*5kg/包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7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3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优质豆豉通常呈红褐色或棕红色，油润发亮，具有鲜艳的光泽。优质豆豉通常呈红褐色或棕红色，油润发亮，具有鲜艳的光泽。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2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2554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D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7B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剁椒1*1.2kg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D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1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色泽鲜红明亮，质地适中，颗粒保持较好。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380F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F2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C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红曲米粉500g/包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64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9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颜色鲜艳，颗粒饱满，形态规整</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A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24D0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19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D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佳霖沙姜粉400g*20包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5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E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味道醇正，色泽纯正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F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45B4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8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C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家乐鸡汁</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8D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4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不含淀粉，易于分解，不易糊锅，能够有效提升菜肴的鲜味和香味。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B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7668F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5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F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家乐烧汁1*2.5kg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7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6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不含淀粉，易于分解，不易糊锅，能够有效提升菜肴的鲜味和香味。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9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罐</w:t>
            </w:r>
          </w:p>
        </w:tc>
      </w:tr>
      <w:tr w14:paraId="065B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A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2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椒盐粉（500g）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5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68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具有浓郁的花椒香味和适度的咸味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9B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283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1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60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咖喱酱（500g）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B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60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呈红褐色或棕红色，油润发亮，鲜艳而有光泽。质地黏稠适度，不干涩，无霉花、无杂质。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5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5865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1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3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老干妈风味鸡油辣椒280g*24瓶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F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A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具备特殊香味和丰富的味道层次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B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739E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E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7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老干妈牛肉末豆豉油辣椒210g*24瓶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C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5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具备特殊香味和丰富的味道层次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A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4FEB7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B2B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4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美极鲜味汁1*6瓶*800ml</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F12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C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28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53C4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E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D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三花淡奶1*410ml*48罐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8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E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2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075E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1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E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酸菜鱼料（220g）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2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4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A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78C9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0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8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酸梅酱1*230g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0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F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A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1233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0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7C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天等指天椒酱250g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F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6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D1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3968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4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6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味事达酱油760ml</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B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7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D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39ED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A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5C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五柳料1*12瓶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9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6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C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5AE86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C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30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小苏打200g/包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7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E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C1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763AB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BF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8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蒸鱼豉油1*410ml*12</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BF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3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8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5CBD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2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3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孜然粉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E5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9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572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B5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B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金味帅螺蛳粉调料593g*20包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A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5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日期新鲜，品质佳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7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2AEC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16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9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4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酸奶色泽乳白，甜酸可口，口感适中。</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C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205克/瓶</w:t>
            </w:r>
          </w:p>
        </w:tc>
      </w:tr>
      <w:tr w14:paraId="31B1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D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5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龟苓膏 碗装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0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04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龟苓膏外表黑色，口感顺滑，清甜美味。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17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200克/碗</w:t>
            </w:r>
          </w:p>
        </w:tc>
      </w:tr>
      <w:tr w14:paraId="1D5A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5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4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龟苓膏 啫喱装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D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C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龟苓膏外表黑色，口感顺滑，清甜美味。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0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2千克/抽</w:t>
            </w:r>
          </w:p>
        </w:tc>
      </w:tr>
      <w:tr w14:paraId="4D0B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AD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9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天地一号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5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5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色泽金黄，果香浓郁，酸甜柔和，清爽可口。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D5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650ML/瓶</w:t>
            </w:r>
          </w:p>
        </w:tc>
      </w:tr>
      <w:tr w14:paraId="1580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01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鸡仔饼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A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51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色泽橘黄，甜香酥脆。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62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170克/罐</w:t>
            </w:r>
          </w:p>
        </w:tc>
      </w:tr>
      <w:tr w14:paraId="42EBD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8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F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咖啡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8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D2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咖啡色泽深褐色，口感柔和，香味浓郁。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7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15克/条</w:t>
            </w:r>
          </w:p>
        </w:tc>
      </w:tr>
      <w:tr w14:paraId="7708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F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6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海盐糖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8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B7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海盐糖外表透明状，口感柔和，清爽可口。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1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500/包</w:t>
            </w:r>
          </w:p>
        </w:tc>
      </w:tr>
      <w:tr w14:paraId="1DA3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8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1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果粒橙</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0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1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果粒橙色泽橙黄，橙香浓郁，口感醇厚。</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D6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1.8L/瓶</w:t>
            </w:r>
          </w:p>
        </w:tc>
      </w:tr>
      <w:tr w14:paraId="536C1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B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7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雪碧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5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F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雪碧色泽透明，清爽可口。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D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2L/瓶</w:t>
            </w:r>
          </w:p>
        </w:tc>
      </w:tr>
      <w:tr w14:paraId="560F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E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D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1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10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可乐呈黑褐色，口感清爽。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4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2L/瓶</w:t>
            </w:r>
          </w:p>
        </w:tc>
      </w:tr>
      <w:tr w14:paraId="05587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F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439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2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2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龙眼干外表稍粗糙，通常黄褐色，富含糖分和多种维生素。</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D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500/盒</w:t>
            </w:r>
          </w:p>
        </w:tc>
      </w:tr>
      <w:tr w14:paraId="2B3E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8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0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沙琪玛</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D1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29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D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68克/包</w:t>
            </w:r>
          </w:p>
        </w:tc>
      </w:tr>
      <w:tr w14:paraId="07F8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1D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39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八宝粥</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9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C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C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件/24瓶</w:t>
            </w:r>
          </w:p>
        </w:tc>
      </w:tr>
      <w:tr w14:paraId="11FF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E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2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光明酸奶（200ml）</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4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C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36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r>
      <w:tr w14:paraId="12DA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A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80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龟苓膏（120g）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4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D6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5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碗</w:t>
            </w:r>
          </w:p>
        </w:tc>
      </w:tr>
      <w:tr w14:paraId="393E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A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龟苓膏粉50g*6包/袋*20袋</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6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58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00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1B5E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4C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9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老酸奶（138g）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A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3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85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盒</w:t>
            </w:r>
          </w:p>
        </w:tc>
      </w:tr>
      <w:tr w14:paraId="4D39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4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BF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蒙牛草莓果粒酸奶100g/杯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E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D8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0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004CC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0A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24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伊利纯牛奶200ml/24瓶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C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9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1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355E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7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9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蒙牛纯牛奶200ml*24盒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2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EC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F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2C81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4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6D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蒙牛黄桃果粒酸奶100g/8杯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8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CF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2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0C9E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95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7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蒙牛双拼果粒酸奶90g/8杯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6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7B9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8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1A63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2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D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蒙牛鲜牛奶950ml/6盒</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A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0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原奶微生物指标达到欧盟标准，配料表干净，只有生牛乳。入口非常清甜，口感顺滑，回味是浓郁的奶香。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0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68AF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7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B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蒙牛原味酸奶100g/16杯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90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100%生牛乳奶源，酸奶的口感醇厚浓郁，丝滑香甜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D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7306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3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0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南方芝麻糊（600g）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A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7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主要原料:黑芝麻、核桃仁、花生仁、橄榄仁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2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10A50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9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B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椰汁（1.25L）</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A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AC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天然成分保留钾、钙等矿物质含量需≥100mg/100mL，不得额外添加糖、防腐剂。椰子水清香甘甜，无异味、无杂质。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C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瓶</w:t>
            </w:r>
          </w:p>
        </w:tc>
      </w:tr>
      <w:tr w14:paraId="2B71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61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7D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伊利0蔗糖原味酸奶90g/8杯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A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B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日期新鲜，口感醇厚浓郁，丝滑香甜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F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217E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6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A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伊利红枣酸奶100g/16杯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2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8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日期新鲜，口感醇厚浓郁，丝滑香甜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7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36E8F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C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E8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伊利奶粉1*1000g*6包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D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日期新鲜，口感醇厚浓郁，丝滑香甜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4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543C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BF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C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伊利原味酸奶100g/16杯</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8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4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日期新鲜，口感醇厚浓郁，丝滑香甜</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2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39CA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32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4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7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EE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大米纯白，颗粒均匀，碎米少，杂质少。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F3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500克</w:t>
            </w:r>
          </w:p>
        </w:tc>
      </w:tr>
      <w:tr w14:paraId="4E03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8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5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A6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4F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米粉外观呈半透明状，韧而爽滑。</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CD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700克/包</w:t>
            </w:r>
          </w:p>
        </w:tc>
      </w:tr>
      <w:tr w14:paraId="33AF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4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1A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大碗面</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9F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4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大碗面外观呈面饼状，口感爽滑劲道。</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3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4500克/箱</w:t>
            </w:r>
          </w:p>
        </w:tc>
      </w:tr>
      <w:tr w14:paraId="09250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E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E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汤河粉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D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沙河粉薄而透明，韧而爽滑，手拉有弹性 不容易断</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4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3352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F6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0A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云吞面</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9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16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具有韧性和爽脆、有弹性的口感。</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E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701F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9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E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三堡米粉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E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9F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白色，有一定透明度，有米香味有韧性，粗细均匀。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6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4BE3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1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D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9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C3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白色，有一定透明度，有香味有韧性，粗细均匀。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CD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BF3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4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汤米粉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B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53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米粉圆滑，条形均匀，韧而爽滑，手拉有弹性 不容易断</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1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9DB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1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A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粉虫</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5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59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新鲜，大小均匀，手摸松软,颜色雪白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6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C74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21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A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粉利</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7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A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新鲜，大小均匀，手摸松软,颜色雪白带有咖啡色小点。,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2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EDB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B4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F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挂面（1kg）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1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C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新鲜，软质面包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B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20380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1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F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过桥米线</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0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A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新鲜，软质面包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78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47C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F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A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京南米粉（500）</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3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4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新鲜，软质面包 ，表面带有一层金色酥脆、凹凸的脆皮状似菠萝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C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7A06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8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A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康师傅泡面12桶/件</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1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7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有弹性，里面由叉烧粒夹馅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F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r>
      <w:tr w14:paraId="127E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7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9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荞麦面1.08㎏</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8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2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有弹性，里面由核头蓉夹馅。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0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4EE5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0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6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BA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8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有弹性，里面由韭菜段蓉夹馅。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D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86E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2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C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燕麦米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F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8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有弹性，里面由鲜猪肉蓉夹馅。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9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8D7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F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9F5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馒头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E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0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新鲜，大小均匀，手摸松软,颜色雪白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7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3B3F1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C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B8F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高粱馒头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DE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B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新鲜，大小均匀，手摸松软,颜色雪白带有咖啡色小点。,</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6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389A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3F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F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餐包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3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33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新鲜，软质面包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9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F9C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11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2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燕麦包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0C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8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新鲜，软质面包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D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7143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C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菠萝包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C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98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新鲜，软质面包 ，表面带有一层金色酥脆、凹凸的脆皮状似菠萝</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9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30103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20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B7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叉烧包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D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有弹性，里面由叉烧粒夹馅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0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1D22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53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14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核桃包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7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1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有弹性，里面由核头蓉夹馅。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A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03BEB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1D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6B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韭菜包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F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F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有弹性，里面由韭菜段蓉夹馅。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2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B1D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B4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B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9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F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有弹性，里面由鲜猪肉蓉夹馅。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57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5179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4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6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豆沙包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4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D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新鲜，颜色白净、质地松软、富 有弹性，里面由豆沙蓉夹馅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3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1C9F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E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9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马拉糕</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5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C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整齐，切好一块块大小均匀，色泽美观,绵软绵软松发,香甜可口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4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5F2AA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FA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1C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南瓜饼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C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CC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柔软香甜，颜色金黄，内有豆沙馅</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B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328A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2E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8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沙琪玛</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1F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5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方形的长方体，色泽米黄，口感酥松绵软，香甜可口</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0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36FF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E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0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糯米糍</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2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3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大小均匀，圆圆一个个，表皮有白色椰蓉。</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A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BDF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3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C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D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5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长短统一，表面金黄，蓬涨率高，酥松，</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D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r>
      <w:tr w14:paraId="0707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D0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38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蛋糕</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7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1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方块，大小统一，鸡蛋黄色，口感松软，甜香。</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BB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1B816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E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E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软枣</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0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1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新鲜，大小均匀，椭圆形，颜色金黄，软质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9D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52B3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E9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6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艾糍</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5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4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B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6189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B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0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蛋挞</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D3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B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E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D5D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F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4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D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90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00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510E6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7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05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饺子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5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B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3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1E9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D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F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汤圆</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70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9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9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02B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9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A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小笼包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E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B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8E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14:paraId="7292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F7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0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小馒头</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2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C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3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3FA6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A1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D9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炸片竹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C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F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表皮起泡，香脆。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37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245F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0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EA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炸支竹</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AC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37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以色泽麦黄、略有光泽为佳。有豆香味和鲜味。迎着光线，能看到瘦肉状的丝一丝的纤维组织。表皮起泡，香脆。</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E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5928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7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B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水豆腐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B0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8A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软硬适度，富有一定的弹性，质地细嫩，结构均匀，无杂质。</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D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1AEC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D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2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豆腐泡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5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4A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新鲜，大小均匀。</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36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3E6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C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40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豆腐砖</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D8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颜色金黄白净，薄厚均匀，四角整齐，柔软有劲，无杂质无异味。</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6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6F6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BF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0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豆腐皮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43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5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0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6565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D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B4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豆腐渣</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0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D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千克</w:t>
            </w:r>
          </w:p>
        </w:tc>
      </w:tr>
      <w:tr w14:paraId="0C64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EA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7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2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C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5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EDF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4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5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车螺（大）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BB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5B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D8F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1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DC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蛏子（大）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BC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1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3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23E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8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05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带子（大）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3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1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B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4F62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DF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8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花甲</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B0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0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C5E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5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F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花螺（大）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6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04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1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A96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74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1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花蟹（大）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5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3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1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1FE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33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B1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墨鱼仔（400g）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2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9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7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1C28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3B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B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青口（大）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E6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DB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56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4B0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0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3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扇贝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53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16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E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只</w:t>
            </w:r>
          </w:p>
        </w:tc>
      </w:tr>
      <w:tr w14:paraId="5F3B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BC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D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生蚝（大）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F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7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BC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r>
      <w:tr w14:paraId="7E36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5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3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鱿鱼</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C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02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5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8F51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12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8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长尾螺</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5F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7D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新鲜、生猛、</w:t>
            </w:r>
            <w:r>
              <w:rPr>
                <w:rFonts w:hint="eastAsia" w:ascii="宋体" w:hAnsi="宋体" w:cs="宋体"/>
                <w:i w:val="0"/>
                <w:iCs w:val="0"/>
                <w:color w:val="auto"/>
                <w:kern w:val="0"/>
                <w:sz w:val="22"/>
                <w:szCs w:val="22"/>
                <w:highlight w:val="none"/>
                <w:u w:val="none"/>
                <w:lang w:val="en-US" w:eastAsia="zh-CN" w:bidi="ar"/>
              </w:rPr>
              <w:t>专车配送</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8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A65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4F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2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岑溪酿豆腐</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3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8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C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r>
      <w:tr w14:paraId="53BE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E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9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0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8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9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768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30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凉拌岑溪粉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F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A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3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338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08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C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凉拌贡菜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6D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0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E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E06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8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CA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凉拌海白菜</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E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E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0B2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E5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96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凉拌海草</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9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3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65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6B2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3F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98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凉拌海带</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C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8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4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512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1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3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凉拌海带丝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2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2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0F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85D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0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C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凉拌木耳</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EF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3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D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29A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4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5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凉拌三丝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6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2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0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E1C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1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8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凉拌莴笋丝</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0A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B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4E2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E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03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凉拌鱼皮</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7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2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3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441A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F7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8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卤鸭翅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E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C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3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742C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8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15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卤鸭掌</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5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E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8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F11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D9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597</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C0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卤猪肚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B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D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7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09AE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39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598</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7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蜜汁叉烧</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0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6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A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1EA9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8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599</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烧鹅</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C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4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4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2E5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30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9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烧骨1*400g</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9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0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包</w:t>
            </w:r>
          </w:p>
        </w:tc>
      </w:tr>
      <w:tr w14:paraId="57C4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4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601</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9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0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8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29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BD4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0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602</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E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烧排骨</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1F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B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C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35252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C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603</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A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手撕鸡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F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3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B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5DDA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8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604</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E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熟金钱肚</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E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6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10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27DF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D9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605</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96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咸香鸡</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B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56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A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r w14:paraId="62949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5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606</w:t>
            </w: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7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盐水鸭</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AD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农贸市场</w:t>
            </w:r>
          </w:p>
        </w:tc>
        <w:tc>
          <w:tcPr>
            <w:tcW w:w="4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D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新鲜，口感好</w:t>
            </w: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15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斤</w:t>
            </w:r>
          </w:p>
        </w:tc>
      </w:tr>
    </w:tbl>
    <w:p w14:paraId="7A19EE00">
      <w:pPr>
        <w:spacing w:line="240" w:lineRule="auto"/>
        <w:ind w:left="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30FD3E2">
      <w:pPr>
        <w:spacing w:line="428" w:lineRule="exact"/>
        <w:ind w:left="11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14:paraId="12C65F1C">
      <w:pPr>
        <w:spacing w:before="7"/>
        <w:rPr>
          <w:rFonts w:hint="eastAsia" w:ascii="宋体" w:hAnsi="宋体" w:eastAsia="宋体" w:cs="宋体"/>
          <w:color w:val="auto"/>
          <w:sz w:val="17"/>
          <w:szCs w:val="17"/>
          <w:highlight w:val="none"/>
        </w:rPr>
      </w:pPr>
    </w:p>
    <w:p w14:paraId="0ADF13E3">
      <w:pPr>
        <w:pStyle w:val="15"/>
        <w:jc w:val="left"/>
        <w:rPr>
          <w:rFonts w:hint="eastAsia" w:ascii="宋体" w:hAnsi="宋体" w:eastAsia="宋体" w:cs="宋体"/>
          <w:color w:val="auto"/>
          <w:sz w:val="32"/>
          <w:szCs w:val="32"/>
          <w:highlight w:val="none"/>
        </w:rPr>
      </w:pPr>
    </w:p>
    <w:p w14:paraId="1CFF8E1C">
      <w:pPr>
        <w:widowControl/>
        <w:spacing w:before="156" w:beforeLines="50" w:after="156" w:afterLines="50" w:line="280" w:lineRule="exact"/>
        <w:jc w:val="center"/>
        <w:rPr>
          <w:rFonts w:ascii="宋体" w:hAnsi="宋体" w:cs="宋体"/>
          <w:b/>
          <w:bCs/>
          <w:color w:val="auto"/>
          <w:kern w:val="0"/>
          <w:sz w:val="30"/>
          <w:szCs w:val="30"/>
          <w:highlight w:val="none"/>
        </w:rPr>
      </w:pPr>
      <w:bookmarkStart w:id="59" w:name="_Toc28361_WPSOffice_Level2"/>
      <w:r>
        <w:rPr>
          <w:rFonts w:hint="eastAsia" w:ascii="宋体" w:hAnsi="宋体" w:cs="宋体"/>
          <w:b/>
          <w:bCs/>
          <w:color w:val="auto"/>
          <w:kern w:val="0"/>
          <w:sz w:val="30"/>
          <w:szCs w:val="30"/>
          <w:highlight w:val="none"/>
        </w:rPr>
        <w:t>统计上大中小微型企业划分标准</w:t>
      </w:r>
      <w:bookmarkEnd w:id="59"/>
    </w:p>
    <w:tbl>
      <w:tblPr>
        <w:tblStyle w:val="2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C4D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0BE29958">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noWrap w:val="0"/>
            <w:vAlign w:val="center"/>
          </w:tcPr>
          <w:p w14:paraId="66F7B44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noWrap w:val="0"/>
            <w:vAlign w:val="center"/>
          </w:tcPr>
          <w:p w14:paraId="114CF46E">
            <w:pPr>
              <w:widowControl/>
              <w:spacing w:line="280" w:lineRule="exact"/>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3A5A157E">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noWrap w:val="0"/>
            <w:vAlign w:val="center"/>
          </w:tcPr>
          <w:p w14:paraId="2B571967">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noWrap w:val="0"/>
            <w:vAlign w:val="center"/>
          </w:tcPr>
          <w:p w14:paraId="6E40984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noWrap w:val="0"/>
            <w:vAlign w:val="center"/>
          </w:tcPr>
          <w:p w14:paraId="4212BD6E">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noWrap w:val="0"/>
            <w:vAlign w:val="center"/>
          </w:tcPr>
          <w:p w14:paraId="194272F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0AA8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8DA8B70">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5EA994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17ACA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F8551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77D448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595964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0"/>
            <w:vAlign w:val="center"/>
          </w:tcPr>
          <w:p w14:paraId="7C9EED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753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80340E">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628E33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4A9272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094C0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B9F76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31D56E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2AF629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B78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11B6384">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1704D4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103668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7E0F3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DC346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0"/>
            <w:vAlign w:val="center"/>
          </w:tcPr>
          <w:p w14:paraId="623972D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0"/>
            <w:vAlign w:val="center"/>
          </w:tcPr>
          <w:p w14:paraId="35705F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1549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A3C0824">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1CA029B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4F599C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88986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11525A2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0"/>
            <w:vAlign w:val="center"/>
          </w:tcPr>
          <w:p w14:paraId="393A8F8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0"/>
            <w:vAlign w:val="center"/>
          </w:tcPr>
          <w:p w14:paraId="4B1FEF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ADC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D64CE3">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C59F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DE23D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E21E2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482729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0"/>
            <w:vAlign w:val="center"/>
          </w:tcPr>
          <w:p w14:paraId="108FF9B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0"/>
            <w:vAlign w:val="center"/>
          </w:tcPr>
          <w:p w14:paraId="3A98C5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818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1CE99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710247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7DD5D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B86A6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6E52F9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0"/>
            <w:vAlign w:val="center"/>
          </w:tcPr>
          <w:p w14:paraId="2F476A6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0"/>
            <w:vAlign w:val="center"/>
          </w:tcPr>
          <w:p w14:paraId="606513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4C7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CD4D7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256A11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2D32E8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63D7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29BDB1E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0"/>
            <w:vAlign w:val="center"/>
          </w:tcPr>
          <w:p w14:paraId="7C405898">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0"/>
            <w:vAlign w:val="center"/>
          </w:tcPr>
          <w:p w14:paraId="6E0D7AE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442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8806B29">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614955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3D462F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75893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E92CE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0"/>
            <w:vAlign w:val="center"/>
          </w:tcPr>
          <w:p w14:paraId="6525553C">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0"/>
            <w:vAlign w:val="center"/>
          </w:tcPr>
          <w:p w14:paraId="41B0E9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19B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2816A2">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E219E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EEC9F8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E7E77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14DB74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0"/>
            <w:vAlign w:val="center"/>
          </w:tcPr>
          <w:p w14:paraId="310A581D">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0"/>
            <w:vAlign w:val="center"/>
          </w:tcPr>
          <w:p w14:paraId="3D139D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41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A0EC418">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1A9609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43FD2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A1185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069B0C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08BB2D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0D246A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55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E7D8D28">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0B1C59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28B6E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0F599A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8D2DF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0"/>
            <w:vAlign w:val="center"/>
          </w:tcPr>
          <w:p w14:paraId="0FF395B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0"/>
            <w:vAlign w:val="center"/>
          </w:tcPr>
          <w:p w14:paraId="6BEC53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155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1537045">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27CCE1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01F33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D6249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5E04BCF3">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0"/>
            <w:vAlign w:val="center"/>
          </w:tcPr>
          <w:p w14:paraId="508D27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0"/>
            <w:vAlign w:val="center"/>
          </w:tcPr>
          <w:p w14:paraId="4D2D15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350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273F29">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09CAC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0F171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CD244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30C952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0"/>
            <w:vAlign w:val="center"/>
          </w:tcPr>
          <w:p w14:paraId="558F1A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D331B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7A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15E75BA">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06FB87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44717C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7D00E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BC548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576F32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0"/>
            <w:vAlign w:val="center"/>
          </w:tcPr>
          <w:p w14:paraId="6E8A25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6B6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1C7C0CB">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15F67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E6D7D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030DA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66B4D5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0"/>
            <w:vAlign w:val="center"/>
          </w:tcPr>
          <w:p w14:paraId="317DD7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38F673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D9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D4271D">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02C9D73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7B0DC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73FEA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DF63B59">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5F12A4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30F9CC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7E6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F482C0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8C020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7A2743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93C56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C2C71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17EF26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6AAC5F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2D1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D9131AF">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3244E8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5F2640E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8485A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4134914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241F3F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40C07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5AB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FE475E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54359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5081AC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78C03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09F03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0"/>
            <w:vAlign w:val="center"/>
          </w:tcPr>
          <w:p w14:paraId="57BFE2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0"/>
            <w:vAlign w:val="center"/>
          </w:tcPr>
          <w:p w14:paraId="1A9844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920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A09AA8C">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142F02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92DC4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00D4D8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33D158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0"/>
            <w:vAlign w:val="center"/>
          </w:tcPr>
          <w:p w14:paraId="6D47E8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669444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C1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2519F5D">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6F8336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435F0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F03A8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41E1D7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0"/>
            <w:vAlign w:val="center"/>
          </w:tcPr>
          <w:p w14:paraId="22976D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2677EC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71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DA332E5">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035302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5B3A5A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7E2262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6E17B6E">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0"/>
            <w:vAlign w:val="center"/>
          </w:tcPr>
          <w:p w14:paraId="567327A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2585F2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7BF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0284F33E">
            <w:pPr>
              <w:widowControl/>
              <w:spacing w:line="280" w:lineRule="exact"/>
              <w:jc w:val="left"/>
              <w:rPr>
                <w:rFonts w:ascii="宋体" w:hAnsi="宋体" w:cs="宋体"/>
                <w:color w:val="auto"/>
                <w:spacing w:val="-12"/>
                <w:kern w:val="0"/>
                <w:sz w:val="18"/>
                <w:szCs w:val="18"/>
                <w:highlight w:val="none"/>
              </w:rPr>
            </w:pPr>
          </w:p>
        </w:tc>
        <w:tc>
          <w:tcPr>
            <w:tcW w:w="1369" w:type="dxa"/>
            <w:noWrap w:val="0"/>
            <w:vAlign w:val="center"/>
          </w:tcPr>
          <w:p w14:paraId="1EA162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6352C8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7C27C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8A2B7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0"/>
            <w:vAlign w:val="center"/>
          </w:tcPr>
          <w:p w14:paraId="46789B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0"/>
            <w:vAlign w:val="center"/>
          </w:tcPr>
          <w:p w14:paraId="00153C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676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3E8351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79F9A2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0038CF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4C9A4E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D95B96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0"/>
            <w:vAlign w:val="center"/>
          </w:tcPr>
          <w:p w14:paraId="45D23F1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0"/>
            <w:vAlign w:val="center"/>
          </w:tcPr>
          <w:p w14:paraId="1F6F2A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65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F6FE27E">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436C3E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5CAB72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484A3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1D5CBA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0"/>
            <w:vAlign w:val="center"/>
          </w:tcPr>
          <w:p w14:paraId="132589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0"/>
            <w:vAlign w:val="center"/>
          </w:tcPr>
          <w:p w14:paraId="793DD6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3DE5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14B5794">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1CE08F0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052177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61C264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505716E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0"/>
            <w:vAlign w:val="center"/>
          </w:tcPr>
          <w:p w14:paraId="7AA95E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0"/>
            <w:vAlign w:val="center"/>
          </w:tcPr>
          <w:p w14:paraId="0C93D1C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821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9736A90">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E1B917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0"/>
            <w:vAlign w:val="center"/>
          </w:tcPr>
          <w:p w14:paraId="366B32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4055BD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05DF43C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0"/>
            <w:vAlign w:val="center"/>
          </w:tcPr>
          <w:p w14:paraId="58A3B5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0"/>
            <w:vAlign w:val="center"/>
          </w:tcPr>
          <w:p w14:paraId="0AEE013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58CC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C691CA2">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7D0FF1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1C8C746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D0C6E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26C2B52">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419AD9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46E09D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95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5A97E81">
            <w:pPr>
              <w:widowControl/>
              <w:spacing w:line="280" w:lineRule="exact"/>
              <w:jc w:val="left"/>
              <w:rPr>
                <w:rFonts w:ascii="宋体" w:hAnsi="宋体" w:cs="宋体"/>
                <w:color w:val="auto"/>
                <w:kern w:val="0"/>
                <w:sz w:val="18"/>
                <w:szCs w:val="18"/>
                <w:highlight w:val="none"/>
              </w:rPr>
            </w:pPr>
          </w:p>
        </w:tc>
        <w:tc>
          <w:tcPr>
            <w:tcW w:w="1369" w:type="dxa"/>
            <w:noWrap w:val="0"/>
            <w:vAlign w:val="center"/>
          </w:tcPr>
          <w:p w14:paraId="7D6580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0"/>
            <w:vAlign w:val="center"/>
          </w:tcPr>
          <w:p w14:paraId="1C30E5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3057C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56DFCE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0"/>
            <w:vAlign w:val="center"/>
          </w:tcPr>
          <w:p w14:paraId="5547290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0"/>
            <w:vAlign w:val="center"/>
          </w:tcPr>
          <w:p w14:paraId="0CD1165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5B5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7ED13337">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00FB94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0"/>
            <w:vAlign w:val="center"/>
          </w:tcPr>
          <w:p w14:paraId="7E4ADE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58C5BE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5B7B1B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0"/>
            <w:vAlign w:val="center"/>
          </w:tcPr>
          <w:p w14:paraId="7228D5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0"/>
            <w:vAlign w:val="center"/>
          </w:tcPr>
          <w:p w14:paraId="4CA958B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758C956">
      <w:pPr>
        <w:widowControl/>
        <w:spacing w:line="280" w:lineRule="exact"/>
        <w:rPr>
          <w:rFonts w:ascii="宋体" w:hAnsi="宋体" w:cs="宋体"/>
          <w:color w:val="auto"/>
          <w:spacing w:val="8"/>
          <w:kern w:val="0"/>
          <w:sz w:val="24"/>
          <w:highlight w:val="none"/>
        </w:rPr>
      </w:pPr>
    </w:p>
    <w:p w14:paraId="6A888334">
      <w:pPr>
        <w:widowControl/>
        <w:spacing w:line="360" w:lineRule="auto"/>
        <w:rPr>
          <w:rFonts w:hint="eastAsia" w:ascii="宋体" w:hAnsi="宋体" w:cs="宋体"/>
          <w:color w:val="auto"/>
          <w:spacing w:val="8"/>
          <w:kern w:val="0"/>
          <w:szCs w:val="21"/>
          <w:highlight w:val="none"/>
        </w:rPr>
      </w:pPr>
    </w:p>
    <w:p w14:paraId="1A09E33C">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00515422">
      <w:pPr>
        <w:pStyle w:val="15"/>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1.大型、中型和小型企业须同时满足所列指标的下限，否则下划一档；微型企业只须满足所列指标中的一项即可。</w:t>
      </w:r>
    </w:p>
    <w:p w14:paraId="3A1A349F">
      <w:pPr>
        <w:pStyle w:val="15"/>
        <w:adjustRightInd w:val="0"/>
        <w:spacing w:line="360" w:lineRule="auto"/>
        <w:ind w:firstLine="452" w:firstLineChars="200"/>
        <w:contextualSpacing/>
        <w:rPr>
          <w:rFonts w:hAnsi="宋体" w:cs="宋体"/>
          <w:color w:val="auto"/>
          <w:spacing w:val="8"/>
          <w:kern w:val="0"/>
          <w:szCs w:val="21"/>
          <w:highlight w:val="none"/>
        </w:rPr>
      </w:pPr>
      <w:r>
        <w:rPr>
          <w:rFonts w:hint="eastAsia" w:hAnsi="宋体" w:cs="宋体"/>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auto"/>
          <w:spacing w:val="8"/>
          <w:kern w:val="0"/>
          <w:szCs w:val="21"/>
          <w:highlight w:val="none"/>
          <w:lang w:eastAsia="zh-CN"/>
        </w:rPr>
        <w:t>；</w:t>
      </w:r>
      <w:r>
        <w:rPr>
          <w:rFonts w:hint="eastAsia" w:hAnsi="宋体" w:cs="宋体"/>
          <w:color w:val="auto"/>
          <w:spacing w:val="8"/>
          <w:kern w:val="0"/>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5F8CD0">
      <w:pPr>
        <w:pStyle w:val="15"/>
        <w:spacing w:line="360" w:lineRule="auto"/>
        <w:ind w:firstLine="452" w:firstLineChars="200"/>
        <w:rPr>
          <w:rFonts w:hAnsi="宋体" w:cs="宋体"/>
          <w:color w:val="auto"/>
          <w:spacing w:val="8"/>
          <w:kern w:val="0"/>
          <w:sz w:val="24"/>
          <w:szCs w:val="24"/>
          <w:highlight w:val="none"/>
        </w:rPr>
      </w:pPr>
      <w:r>
        <w:rPr>
          <w:rFonts w:hint="eastAsia" w:hAnsi="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17630D2">
      <w:pPr>
        <w:jc w:val="center"/>
        <w:outlineLvl w:val="0"/>
        <w:rPr>
          <w:rFonts w:hint="eastAsia" w:ascii="Times New Roman" w:hAnsi="Times New Roman" w:eastAsia="宋体" w:cs="Times New Roman"/>
          <w:b/>
          <w:color w:val="auto"/>
          <w:sz w:val="36"/>
          <w:highlight w:val="none"/>
        </w:rPr>
      </w:pPr>
      <w:bookmarkStart w:id="60" w:name="_Toc9063"/>
      <w:bookmarkStart w:id="61" w:name="_Toc8975"/>
      <w:bookmarkStart w:id="62" w:name="_Toc496"/>
      <w:bookmarkStart w:id="63" w:name="_Toc29172"/>
      <w:bookmarkStart w:id="64" w:name="_Toc3325"/>
      <w:bookmarkStart w:id="65" w:name="_Toc6362"/>
      <w:bookmarkStart w:id="66" w:name="_Toc26039"/>
      <w:bookmarkStart w:id="67" w:name="_Toc24489"/>
      <w:bookmarkStart w:id="68" w:name="_Toc532545044"/>
      <w:bookmarkStart w:id="69" w:name="_Toc28587"/>
      <w:r>
        <w:rPr>
          <w:rFonts w:hint="eastAsia" w:ascii="Times New Roman" w:hAnsi="Times New Roman" w:eastAsia="宋体" w:cs="Times New Roman"/>
          <w:b/>
          <w:color w:val="auto"/>
          <w:sz w:val="36"/>
          <w:highlight w:val="none"/>
        </w:rPr>
        <w:br w:type="page"/>
      </w:r>
    </w:p>
    <w:p w14:paraId="166A5F13">
      <w:pPr>
        <w:pStyle w:val="15"/>
        <w:jc w:val="center"/>
        <w:outlineLvl w:val="0"/>
        <w:rPr>
          <w:rFonts w:hint="eastAsia" w:hAnsi="宋体" w:eastAsia="宋体" w:cs="Times New Roman"/>
          <w:b/>
          <w:color w:val="auto"/>
          <w:sz w:val="36"/>
          <w:szCs w:val="36"/>
          <w:highlight w:val="none"/>
        </w:rPr>
      </w:pPr>
      <w:bookmarkStart w:id="70" w:name="_Toc20085"/>
      <w:bookmarkStart w:id="71" w:name="_Toc15364"/>
      <w:bookmarkStart w:id="72" w:name="_Toc26044"/>
      <w:bookmarkStart w:id="73" w:name="_Toc20953"/>
      <w:r>
        <w:rPr>
          <w:rFonts w:hint="eastAsia" w:ascii="Times New Roman" w:hAnsi="Times New Roman" w:eastAsia="宋体" w:cs="Times New Roman"/>
          <w:b/>
          <w:color w:val="auto"/>
          <w:sz w:val="36"/>
          <w:highlight w:val="none"/>
        </w:rPr>
        <w:t>第三章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投标人须知</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4661D4D2">
      <w:pPr>
        <w:pStyle w:val="15"/>
        <w:spacing w:line="720" w:lineRule="auto"/>
        <w:jc w:val="center"/>
        <w:outlineLvl w:val="1"/>
        <w:rPr>
          <w:rFonts w:hint="eastAsia" w:ascii="Times New Roman" w:hAnsi="Times New Roman" w:eastAsia="宋体" w:cs="Times New Roman"/>
          <w:b/>
          <w:color w:val="auto"/>
          <w:sz w:val="30"/>
          <w:szCs w:val="30"/>
          <w:highlight w:val="none"/>
        </w:rPr>
      </w:pPr>
      <w:bookmarkStart w:id="74" w:name="_Toc16388"/>
      <w:bookmarkStart w:id="75" w:name="_Toc24714"/>
      <w:bookmarkStart w:id="76" w:name="_Toc4562"/>
      <w:bookmarkStart w:id="77" w:name="_Toc8769"/>
      <w:bookmarkStart w:id="78" w:name="_Toc29809"/>
      <w:bookmarkStart w:id="79" w:name="_Toc11515"/>
      <w:bookmarkStart w:id="80" w:name="_Toc10039"/>
      <w:bookmarkStart w:id="81" w:name="_Toc29813"/>
      <w:bookmarkStart w:id="82" w:name="_Toc1597"/>
      <w:bookmarkStart w:id="83" w:name="_Toc32208"/>
      <w:r>
        <w:rPr>
          <w:rFonts w:hint="eastAsia" w:ascii="Times New Roman" w:hAnsi="Times New Roman" w:eastAsia="宋体" w:cs="Times New Roman"/>
          <w:b/>
          <w:color w:val="auto"/>
          <w:sz w:val="30"/>
          <w:szCs w:val="30"/>
          <w:highlight w:val="none"/>
        </w:rPr>
        <w:t>第一节</w:t>
      </w:r>
      <w:r>
        <w:rPr>
          <w:rFonts w:ascii="Times New Roman" w:hAnsi="Times New Roman" w:eastAsia="宋体" w:cs="Times New Roman"/>
          <w:b/>
          <w:color w:val="auto"/>
          <w:sz w:val="30"/>
          <w:szCs w:val="30"/>
          <w:highlight w:val="none"/>
        </w:rPr>
        <w:t xml:space="preserve"> </w:t>
      </w:r>
      <w:r>
        <w:rPr>
          <w:rFonts w:hint="eastAsia" w:ascii="Times New Roman" w:hAnsi="Times New Roman" w:eastAsia="宋体" w:cs="Times New Roman"/>
          <w:b/>
          <w:color w:val="auto"/>
          <w:sz w:val="30"/>
          <w:szCs w:val="30"/>
          <w:highlight w:val="none"/>
        </w:rPr>
        <w:t>投标人须知前附表</w:t>
      </w:r>
      <w:bookmarkEnd w:id="74"/>
      <w:bookmarkEnd w:id="75"/>
      <w:bookmarkEnd w:id="76"/>
      <w:bookmarkEnd w:id="77"/>
      <w:bookmarkEnd w:id="78"/>
      <w:bookmarkEnd w:id="79"/>
      <w:bookmarkEnd w:id="80"/>
      <w:bookmarkEnd w:id="81"/>
      <w:bookmarkEnd w:id="82"/>
      <w:bookmarkEnd w:id="83"/>
    </w:p>
    <w:tbl>
      <w:tblPr>
        <w:tblStyle w:val="23"/>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5FDDA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4E7925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726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3AB37A7">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编列内容</w:t>
            </w:r>
          </w:p>
        </w:tc>
      </w:tr>
      <w:tr w14:paraId="2C62E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4B0F3E9">
            <w:pPr>
              <w:spacing w:line="38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06D718">
            <w:pPr>
              <w:spacing w:line="38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D856C5B">
            <w:pPr>
              <w:pStyle w:val="10"/>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详见招标公告。</w:t>
            </w:r>
          </w:p>
        </w:tc>
      </w:tr>
      <w:tr w14:paraId="10264C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261339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6EF06D">
            <w:pPr>
              <w:spacing w:line="380" w:lineRule="exact"/>
              <w:rPr>
                <w:rFonts w:hint="eastAsia" w:ascii="宋体" w:hAnsi="宋体" w:eastAsia="宋体" w:cs="宋体"/>
                <w:color w:val="auto"/>
                <w:sz w:val="21"/>
                <w:szCs w:val="21"/>
                <w:highlight w:val="none"/>
              </w:rPr>
            </w:pPr>
            <w:bookmarkStart w:id="84" w:name="_9.2"/>
            <w:bookmarkEnd w:id="84"/>
            <w:bookmarkStart w:id="85" w:name="_5"/>
            <w:bookmarkEnd w:id="85"/>
            <w:bookmarkStart w:id="86" w:name="_8.1"/>
            <w:bookmarkEnd w:id="86"/>
            <w:r>
              <w:rPr>
                <w:rFonts w:hint="eastAsia" w:ascii="宋体" w:hAnsi="宋体" w:eastAsia="宋体" w:cs="宋体"/>
                <w:color w:val="auto"/>
                <w:sz w:val="21"/>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7F4CFF">
            <w:pPr>
              <w:pStyle w:val="10"/>
              <w:spacing w:line="380" w:lineRule="exact"/>
              <w:rPr>
                <w:rFonts w:hint="eastAsia" w:ascii="宋体" w:hAnsi="宋体" w:eastAsia="宋体" w:cs="宋体"/>
                <w:color w:val="auto"/>
                <w:sz w:val="21"/>
                <w:szCs w:val="21"/>
                <w:highlight w:val="none"/>
              </w:rPr>
            </w:pPr>
            <w:bookmarkStart w:id="87" w:name="PO_3000001866_PM007"/>
            <w:r>
              <w:rPr>
                <w:rFonts w:hint="eastAsia" w:ascii="宋体" w:hAnsi="宋体" w:cs="宋体"/>
                <w:color w:val="auto"/>
                <w:szCs w:val="21"/>
                <w:highlight w:val="none"/>
              </w:rPr>
              <w:t>详见招标公告。</w:t>
            </w:r>
            <w:bookmarkEnd w:id="87"/>
          </w:p>
        </w:tc>
      </w:tr>
      <w:tr w14:paraId="5D3A4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DEC46D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2FB7D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F94E483">
            <w:pPr>
              <w:pStyle w:val="10"/>
              <w:spacing w:line="380" w:lineRule="exact"/>
              <w:rPr>
                <w:rFonts w:hint="eastAsia" w:ascii="宋体" w:hAnsi="宋体" w:eastAsia="宋体" w:cs="宋体"/>
                <w:color w:val="auto"/>
                <w:sz w:val="21"/>
                <w:szCs w:val="21"/>
                <w:highlight w:val="none"/>
              </w:rPr>
            </w:pPr>
            <w:r>
              <w:rPr>
                <w:rFonts w:hint="eastAsia" w:ascii="宋体" w:hAnsi="宋体" w:cs="宋体"/>
                <w:i w:val="0"/>
                <w:iCs w:val="0"/>
                <w:color w:val="auto"/>
                <w:szCs w:val="21"/>
                <w:highlight w:val="none"/>
                <w:lang w:eastAsia="zh-CN"/>
              </w:rPr>
              <w:t>无</w:t>
            </w:r>
          </w:p>
        </w:tc>
      </w:tr>
      <w:tr w14:paraId="5FDDF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7730FB9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4D721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CB1E6FE">
            <w:pPr>
              <w:pStyle w:val="10"/>
              <w:spacing w:line="380" w:lineRule="exact"/>
              <w:rPr>
                <w:rFonts w:hint="eastAsia" w:ascii="宋体" w:hAnsi="宋体" w:eastAsia="宋体" w:cs="宋体"/>
                <w:color w:val="auto"/>
                <w:sz w:val="21"/>
                <w:szCs w:val="21"/>
                <w:highlight w:val="none"/>
                <w:lang w:eastAsia="zh-CN"/>
              </w:rPr>
            </w:pPr>
            <w:bookmarkStart w:id="88" w:name="PO_3000001866_PM044"/>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不允许分包</w:t>
            </w:r>
            <w:bookmarkEnd w:id="88"/>
          </w:p>
          <w:p w14:paraId="0C1CBB06">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转包/分包内容：</w:t>
            </w:r>
            <w:r>
              <w:rPr>
                <w:rFonts w:hint="eastAsia" w:ascii="宋体" w:hAnsi="宋体" w:eastAsia="宋体" w:cs="宋体"/>
                <w:color w:val="auto"/>
                <w:sz w:val="21"/>
                <w:szCs w:val="21"/>
                <w:highlight w:val="none"/>
                <w:u w:val="single"/>
              </w:rPr>
              <w:t xml:space="preserve">                                     。</w:t>
            </w:r>
          </w:p>
          <w:p w14:paraId="73D8D2A1">
            <w:pPr>
              <w:pStyle w:val="1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转包/分包金额或者比例：</w:t>
            </w:r>
            <w:r>
              <w:rPr>
                <w:rFonts w:hint="eastAsia" w:ascii="宋体" w:hAnsi="宋体" w:eastAsia="宋体" w:cs="宋体"/>
                <w:color w:val="auto"/>
                <w:sz w:val="21"/>
                <w:szCs w:val="21"/>
                <w:highlight w:val="none"/>
                <w:u w:val="single"/>
              </w:rPr>
              <w:t xml:space="preserve">                                     。</w:t>
            </w:r>
          </w:p>
        </w:tc>
      </w:tr>
      <w:tr w14:paraId="3A941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DE0662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7ABB09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A2BAA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与本项目相关的政府采购业务澄清、更正及与之相关的事项将在</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公告中“六、其他补充事宜”中网上查询地址上发布</w:t>
            </w:r>
            <w:r>
              <w:rPr>
                <w:rFonts w:hint="eastAsia" w:ascii="宋体" w:hAnsi="宋体" w:eastAsia="宋体" w:cs="宋体"/>
                <w:color w:val="auto"/>
                <w:kern w:val="0"/>
                <w:sz w:val="21"/>
                <w:szCs w:val="21"/>
                <w:highlight w:val="none"/>
              </w:rPr>
              <w:t>。</w:t>
            </w:r>
          </w:p>
        </w:tc>
      </w:tr>
      <w:tr w14:paraId="17F25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143BA46F">
            <w:pPr>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5CA9F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0E8D231">
            <w:pPr>
              <w:snapToGrid w:val="0"/>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不组织召开开标前答疑会</w:t>
            </w:r>
          </w:p>
          <w:p w14:paraId="3D17CFC5">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□组织召开开标前答疑会</w:t>
            </w:r>
          </w:p>
          <w:p w14:paraId="47E3C1DA">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会议开始时间：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日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分</w:t>
            </w:r>
            <w:r>
              <w:rPr>
                <w:rFonts w:hint="eastAsia" w:ascii="宋体" w:hAnsi="宋体" w:eastAsia="宋体" w:cs="宋体"/>
                <w:color w:val="auto"/>
                <w:sz w:val="21"/>
                <w:szCs w:val="21"/>
                <w:highlight w:val="none"/>
              </w:rPr>
              <w:t>，逾期后果自负。会议地点：</w:t>
            </w:r>
            <w:r>
              <w:rPr>
                <w:rFonts w:hint="eastAsia" w:ascii="宋体" w:hAnsi="宋体" w:eastAsia="宋体" w:cs="宋体"/>
                <w:color w:val="auto"/>
                <w:sz w:val="21"/>
                <w:szCs w:val="21"/>
                <w:highlight w:val="none"/>
                <w:u w:val="single"/>
              </w:rPr>
              <w:t xml:space="preserve">              </w:t>
            </w:r>
          </w:p>
        </w:tc>
      </w:tr>
      <w:tr w14:paraId="38FA7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75" w:type="dxa"/>
            <w:tcBorders>
              <w:top w:val="nil"/>
              <w:left w:val="single" w:color="auto" w:sz="4" w:space="0"/>
              <w:bottom w:val="nil"/>
              <w:right w:val="single" w:color="auto" w:sz="4" w:space="0"/>
            </w:tcBorders>
            <w:noWrap w:val="0"/>
            <w:vAlign w:val="center"/>
          </w:tcPr>
          <w:p w14:paraId="2B47694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7A465D6">
            <w:pPr>
              <w:snapToGrid w:val="0"/>
              <w:spacing w:line="380" w:lineRule="exact"/>
              <w:jc w:val="left"/>
              <w:rPr>
                <w:rFonts w:hint="eastAsia" w:ascii="宋体" w:hAnsi="宋体" w:eastAsia="宋体" w:cs="宋体"/>
                <w:color w:val="auto"/>
                <w:sz w:val="21"/>
                <w:szCs w:val="21"/>
                <w:highlight w:val="none"/>
              </w:rPr>
            </w:pPr>
            <w:bookmarkStart w:id="89" w:name="_13.2"/>
            <w:bookmarkEnd w:id="89"/>
            <w:r>
              <w:rPr>
                <w:rFonts w:hint="eastAsia" w:ascii="宋体" w:hAnsi="宋体" w:eastAsia="宋体" w:cs="宋体"/>
                <w:color w:val="auto"/>
                <w:sz w:val="21"/>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21F4E5B">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1、投标人为法人或者其他组织的，提供营业执照等证明文件</w:t>
            </w:r>
            <w:r>
              <w:rPr>
                <w:rFonts w:hint="eastAsia" w:ascii="宋体" w:hAnsi="宋体" w:cs="宋体"/>
                <w:color w:val="auto"/>
                <w:sz w:val="21"/>
                <w:szCs w:val="21"/>
                <w:highlight w:val="none"/>
                <w:lang w:eastAsia="zh-CN"/>
              </w:rPr>
              <w:t>复印件</w:t>
            </w:r>
            <w:r>
              <w:rPr>
                <w:rFonts w:hint="eastAsia" w:ascii="宋体" w:hAnsi="宋体" w:eastAsia="宋体" w:cs="宋体"/>
                <w:color w:val="auto"/>
                <w:sz w:val="21"/>
                <w:szCs w:val="21"/>
                <w:highlight w:val="none"/>
              </w:rPr>
              <w:t>（如营业执照或者事业单位法人证书或者</w:t>
            </w:r>
            <w:r>
              <w:rPr>
                <w:rStyle w:val="31"/>
                <w:rFonts w:hint="eastAsia" w:ascii="宋体" w:hAnsi="宋体" w:eastAsia="宋体" w:cs="宋体"/>
                <w:color w:val="auto"/>
                <w:sz w:val="21"/>
                <w:szCs w:val="21"/>
                <w:highlight w:val="none"/>
              </w:rPr>
              <w:t>执业许可证</w:t>
            </w:r>
            <w:r>
              <w:rPr>
                <w:rFonts w:hint="eastAsia" w:ascii="宋体" w:hAnsi="宋体" w:eastAsia="宋体" w:cs="宋体"/>
                <w:color w:val="auto"/>
                <w:sz w:val="21"/>
                <w:szCs w:val="21"/>
                <w:highlight w:val="none"/>
              </w:rPr>
              <w:t>等），投标人为自然人的，提供</w:t>
            </w:r>
            <w:r>
              <w:rPr>
                <w:rFonts w:hint="eastAsia" w:ascii="宋体" w:hAnsi="宋体" w:cs="宋体"/>
                <w:color w:val="auto"/>
                <w:sz w:val="21"/>
                <w:szCs w:val="21"/>
                <w:highlight w:val="none"/>
                <w:lang w:eastAsia="zh-CN"/>
              </w:rPr>
              <w:t>有效</w:t>
            </w:r>
            <w:r>
              <w:rPr>
                <w:rFonts w:hint="eastAsia" w:ascii="宋体" w:hAnsi="宋体" w:eastAsia="宋体" w:cs="宋体"/>
                <w:color w:val="auto"/>
                <w:sz w:val="21"/>
                <w:szCs w:val="21"/>
                <w:highlight w:val="none"/>
              </w:rPr>
              <w:t>身份证</w:t>
            </w:r>
            <w:r>
              <w:rPr>
                <w:rFonts w:hint="eastAsia" w:ascii="宋体" w:hAnsi="宋体" w:cs="宋体"/>
                <w:color w:val="auto"/>
                <w:sz w:val="21"/>
                <w:szCs w:val="21"/>
                <w:highlight w:val="none"/>
                <w:lang w:eastAsia="zh-CN"/>
              </w:rPr>
              <w:t>正反面</w:t>
            </w:r>
            <w:r>
              <w:rPr>
                <w:rFonts w:hint="eastAsia" w:ascii="宋体" w:hAnsi="宋体" w:eastAsia="宋体" w:cs="宋体"/>
                <w:color w:val="auto"/>
                <w:sz w:val="21"/>
                <w:szCs w:val="21"/>
                <w:highlight w:val="none"/>
              </w:rPr>
              <w:t>复印件。（</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0E79B3F">
            <w:pPr>
              <w:pStyle w:val="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2、投标人依法缴纳税收的相关材料</w:t>
            </w:r>
            <w:r>
              <w:rPr>
                <w:rFonts w:hint="eastAsia" w:ascii="宋体" w:hAnsi="宋体" w:cs="宋体"/>
                <w:color w:val="auto"/>
                <w:sz w:val="21"/>
                <w:szCs w:val="21"/>
                <w:highlight w:val="none"/>
                <w:lang w:val="en-US" w:eastAsia="zh-CN"/>
              </w:rPr>
              <w:t>（</w:t>
            </w:r>
            <w:r>
              <w:rPr>
                <w:rFonts w:hint="eastAsia" w:ascii="宋体" w:hAnsi="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color w:val="auto"/>
                <w:highlight w:val="none"/>
                <w:lang w:val="en-US"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的依法缴纳税收的凭据复印件；依法免税的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，必须提供相应文件证明其依法免税。</w:t>
            </w:r>
            <w:r>
              <w:rPr>
                <w:rFonts w:hint="eastAsia" w:ascii="宋体" w:hAnsi="宋体" w:eastAsia="宋体" w:cs="宋体"/>
                <w:color w:val="auto"/>
                <w:sz w:val="21"/>
                <w:szCs w:val="21"/>
                <w:highlight w:val="none"/>
              </w:rPr>
              <w:t>从取得营业执照时间起到投标文件提交截止时间为止不足要求月数的，只需提供从取得营业执照起的依法缴纳税收相应证明文件）</w:t>
            </w:r>
          </w:p>
          <w:p w14:paraId="5C07F633">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CD4B74D">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3、投标人依法缴纳社会保障资金的相关材料</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rPr>
              <w:t>投标文件提交截止时间止</w:t>
            </w:r>
            <w:r>
              <w:rPr>
                <w:rFonts w:hint="eastAsia" w:ascii="宋体" w:hAnsi="宋体" w:cs="宋体"/>
                <w:color w:val="auto"/>
                <w:sz w:val="21"/>
                <w:szCs w:val="21"/>
                <w:highlight w:val="none"/>
                <w:lang w:val="en-US" w:eastAsia="zh-CN"/>
              </w:rPr>
              <w:t>的</w:t>
            </w:r>
            <w:r>
              <w:rPr>
                <w:rFonts w:hint="eastAsia"/>
                <w:color w:val="auto"/>
                <w:highlight w:val="none"/>
                <w:lang w:val="en-US" w:eastAsia="zh-CN"/>
              </w:rPr>
              <w:t>任意</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eastAsia="宋体" w:cs="宋体"/>
                <w:color w:val="auto"/>
                <w:sz w:val="21"/>
                <w:szCs w:val="21"/>
                <w:highlight w:val="none"/>
              </w:rPr>
              <w:t>的依法缴纳社会保障资金的缴费凭证复印件；依法不需要缴纳社会保障资金的</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，必须提供相应文件证明不需要缴纳社会保障资金。</w:t>
            </w:r>
            <w:r>
              <w:rPr>
                <w:rFonts w:hint="eastAsia" w:ascii="宋体" w:hAnsi="宋体" w:eastAsia="宋体" w:cs="宋体"/>
                <w:color w:val="auto"/>
                <w:sz w:val="21"/>
                <w:szCs w:val="21"/>
                <w:highlight w:val="none"/>
              </w:rPr>
              <w:t>从取得营业执照时间起到投标文件提交截止时间为止不足要求月数的只需提供从取得营业执照起的依法缴纳社会保障资金的相应证明文件</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06441F8">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4、投标人财务状况报告</w:t>
            </w:r>
            <w:r>
              <w:rPr>
                <w:rFonts w:hint="eastAsia" w:ascii="宋体" w:hAnsi="宋体" w:cs="宋体"/>
                <w:color w:val="auto"/>
                <w:sz w:val="21"/>
                <w:szCs w:val="21"/>
                <w:highlight w:val="none"/>
                <w:lang w:eastAsia="zh-CN"/>
              </w:rPr>
              <w:t>（</w:t>
            </w:r>
            <w:r>
              <w:rPr>
                <w:rFonts w:hint="eastAsia" w:ascii="宋体" w:hAnsi="宋体" w:eastAsia="宋体" w:cs="宋体"/>
                <w:color w:val="auto"/>
                <w:szCs w:val="21"/>
                <w:highlight w:val="none"/>
              </w:rPr>
              <w:t>提供</w:t>
            </w:r>
            <w:r>
              <w:rPr>
                <w:rFonts w:hint="eastAsia" w:ascii="宋体" w:hAnsi="宋体" w:cs="宋体"/>
                <w:color w:val="auto"/>
                <w:szCs w:val="21"/>
                <w:highlight w:val="none"/>
                <w:u w:val="single"/>
                <w:lang w:val="en-US" w:eastAsia="zh-CN"/>
              </w:rPr>
              <w:t>2024</w:t>
            </w:r>
            <w:r>
              <w:rPr>
                <w:rFonts w:hint="eastAsia" w:ascii="宋体" w:hAnsi="宋体" w:eastAsia="宋体" w:cs="宋体"/>
                <w:color w:val="auto"/>
                <w:szCs w:val="21"/>
                <w:highlight w:val="none"/>
              </w:rPr>
              <w:t>年度经审计的财务报告</w:t>
            </w:r>
            <w:r>
              <w:rPr>
                <w:rFonts w:hint="eastAsia" w:ascii="宋体" w:hAnsi="宋体" w:eastAsia="宋体" w:cs="宋体"/>
                <w:color w:val="auto"/>
                <w:szCs w:val="21"/>
                <w:highlight w:val="none"/>
                <w:lang w:eastAsia="zh-CN"/>
              </w:rPr>
              <w:t>复印件</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截标时间前半年内至少一个月能反映财务状况的报表或</w:t>
            </w:r>
            <w:r>
              <w:rPr>
                <w:rFonts w:hint="eastAsia" w:ascii="宋体" w:hAnsi="宋体" w:eastAsia="宋体" w:cs="宋体"/>
                <w:color w:val="auto"/>
                <w:szCs w:val="21"/>
                <w:highlight w:val="none"/>
                <w:lang w:eastAsia="zh-CN"/>
              </w:rPr>
              <w:t>者</w:t>
            </w:r>
            <w:r>
              <w:rPr>
                <w:rFonts w:hint="eastAsia" w:ascii="宋体" w:hAnsi="宋体" w:eastAsia="宋体" w:cs="宋体"/>
                <w:color w:val="auto"/>
                <w:szCs w:val="21"/>
                <w:highlight w:val="none"/>
              </w:rPr>
              <w:t>投标人自拟的截标时间前半年内至少一个月的财务情况说明</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2F4C017A">
            <w:pPr>
              <w:numPr>
                <w:ilvl w:val="0"/>
                <w:numId w:val="0"/>
              </w:numPr>
              <w:snapToGrid w:val="0"/>
              <w:spacing w:line="380" w:lineRule="exact"/>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本项目的特定资格要求</w:t>
            </w:r>
            <w:r>
              <w:rPr>
                <w:rFonts w:hint="eastAsia" w:ascii="宋体" w:hAnsi="宋体" w:cs="宋体"/>
                <w:color w:val="auto"/>
                <w:szCs w:val="21"/>
                <w:highlight w:val="none"/>
                <w:lang w:eastAsia="zh-CN"/>
              </w:rPr>
              <w:t>：提供投标人有效的《食品经营许可证》</w:t>
            </w:r>
            <w:r>
              <w:rPr>
                <w:rFonts w:hint="eastAsia" w:ascii="宋体" w:hAnsi="宋体" w:cs="宋体"/>
                <w:color w:val="auto"/>
                <w:szCs w:val="21"/>
                <w:highlight w:val="none"/>
                <w:lang w:val="en-US" w:eastAsia="zh-CN"/>
              </w:rPr>
              <w:t>的复印件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1BFE7026">
            <w:pPr>
              <w:numPr>
                <w:ilvl w:val="0"/>
                <w:numId w:val="0"/>
              </w:numPr>
              <w:snapToGrid w:val="0"/>
              <w:spacing w:line="38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必须提供，否则作无效投标处理）</w:t>
            </w:r>
          </w:p>
          <w:p w14:paraId="3DE7A076">
            <w:pPr>
              <w:numPr>
                <w:ilvl w:val="0"/>
                <w:numId w:val="0"/>
              </w:numPr>
              <w:snapToGrid w:val="0"/>
              <w:spacing w:line="380" w:lineRule="exact"/>
              <w:ind w:leftChars="0"/>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声明函（格式后附）。（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AD446F9">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、联合体投标协议书（格式后附）。</w:t>
            </w:r>
            <w:r>
              <w:rPr>
                <w:rFonts w:hint="eastAsia" w:ascii="宋体" w:hAnsi="宋体" w:eastAsia="宋体" w:cs="Times New Roman"/>
                <w:b/>
                <w:bCs/>
                <w:color w:val="auto"/>
                <w:szCs w:val="21"/>
                <w:highlight w:val="none"/>
              </w:rPr>
              <w:t>（联合体投标时必须提供，否则作无效投标处理）</w:t>
            </w:r>
          </w:p>
          <w:p w14:paraId="28658372">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、除招标文件规定必须提供以外，投标人认为需要提供的其他证明材料（格式自拟）。</w:t>
            </w:r>
          </w:p>
          <w:p w14:paraId="61F9D75B">
            <w:pPr>
              <w:snapToGrid w:val="0"/>
              <w:spacing w:line="380" w:lineRule="exact"/>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 xml:space="preserve"> </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p>
          <w:p w14:paraId="031E04AD">
            <w:pPr>
              <w:snapToGrid w:val="0"/>
              <w:spacing w:line="380" w:lineRule="exact"/>
              <w:ind w:firstLine="422" w:firstLineChars="200"/>
              <w:jc w:val="left"/>
              <w:rPr>
                <w:rFonts w:hint="eastAsia" w:ascii="宋体" w:hAnsi="宋体" w:eastAsia="宋体" w:cs="宋体"/>
                <w:b/>
                <w:bCs/>
                <w:color w:val="auto"/>
                <w:sz w:val="21"/>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.联合体投标时，第1-5项资格证明文件联合体各方均必须分别提供，联合体各方分别盖章，否则投标文件</w:t>
            </w:r>
            <w:r>
              <w:rPr>
                <w:rFonts w:hint="eastAsia" w:ascii="宋体" w:hAnsi="宋体" w:cs="宋体"/>
                <w:b/>
                <w:bCs/>
                <w:color w:val="auto"/>
                <w:szCs w:val="21"/>
                <w:highlight w:val="none"/>
                <w:lang w:eastAsia="zh-CN"/>
              </w:rPr>
              <w:t>作无效投标</w:t>
            </w:r>
            <w:r>
              <w:rPr>
                <w:rFonts w:hint="eastAsia" w:ascii="宋体" w:hAnsi="宋体" w:cs="宋体"/>
                <w:b/>
                <w:bCs/>
                <w:color w:val="auto"/>
                <w:szCs w:val="21"/>
                <w:highlight w:val="none"/>
              </w:rPr>
              <w:t>处理。</w:t>
            </w:r>
          </w:p>
        </w:tc>
      </w:tr>
      <w:tr w14:paraId="35070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nil"/>
              <w:right w:val="single" w:color="auto" w:sz="4" w:space="0"/>
            </w:tcBorders>
            <w:noWrap w:val="0"/>
            <w:vAlign w:val="center"/>
          </w:tcPr>
          <w:p w14:paraId="5276EA13">
            <w:pPr>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F921D25">
            <w:pPr>
              <w:snapToGrid w:val="0"/>
              <w:spacing w:line="380" w:lineRule="exact"/>
              <w:jc w:val="left"/>
              <w:rPr>
                <w:rFonts w:hint="eastAsia" w:ascii="宋体" w:hAnsi="宋体" w:eastAsia="宋体" w:cs="宋体"/>
                <w:color w:val="auto"/>
                <w:sz w:val="21"/>
                <w:szCs w:val="21"/>
                <w:highlight w:val="none"/>
              </w:rPr>
            </w:pPr>
            <w:bookmarkStart w:id="90" w:name="_13.3"/>
            <w:bookmarkEnd w:id="90"/>
            <w:r>
              <w:rPr>
                <w:rFonts w:hint="eastAsia" w:ascii="宋体" w:hAnsi="宋体" w:eastAsia="宋体" w:cs="宋体"/>
                <w:color w:val="auto"/>
                <w:sz w:val="21"/>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F4A988">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1、无串通投标行为的承诺函（格式后附）；（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37E51139">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2、法定代表人身份证明及法定代表人有效身份证正反面复印件（格式后附）；（</w:t>
            </w:r>
            <w:r>
              <w:rPr>
                <w:rFonts w:hint="eastAsia" w:ascii="宋体" w:hAnsi="宋体" w:eastAsia="宋体" w:cs="宋体"/>
                <w:b/>
                <w:bCs/>
                <w:color w:val="auto"/>
                <w:sz w:val="21"/>
                <w:szCs w:val="21"/>
                <w:highlight w:val="none"/>
              </w:rPr>
              <w:t>除自然人投标外</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5DB08DCB">
            <w:pPr>
              <w:spacing w:line="380" w:lineRule="exact"/>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3、法定代表人授权委托书及委托代理人有效身份证正反面复印件（格式后附）；（</w:t>
            </w:r>
            <w:r>
              <w:rPr>
                <w:rFonts w:hint="eastAsia" w:ascii="宋体" w:hAnsi="宋体" w:eastAsia="宋体" w:cs="宋体"/>
                <w:b/>
                <w:color w:val="auto"/>
                <w:sz w:val="21"/>
                <w:szCs w:val="21"/>
                <w:highlight w:val="none"/>
              </w:rPr>
              <w:t>委托时必须提供，否则作无效投标处理</w:t>
            </w:r>
            <w:r>
              <w:rPr>
                <w:rFonts w:hint="eastAsia" w:ascii="宋体" w:hAnsi="宋体" w:eastAsia="宋体" w:cs="宋体"/>
                <w:color w:val="auto"/>
                <w:sz w:val="21"/>
                <w:szCs w:val="21"/>
                <w:highlight w:val="none"/>
              </w:rPr>
              <w:t>）</w:t>
            </w:r>
          </w:p>
          <w:p w14:paraId="20C54C61">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4938576E">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、投标人情况介绍（格式自拟）；</w:t>
            </w:r>
          </w:p>
          <w:p w14:paraId="21D50470">
            <w:pPr>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、除招标文件规定必须提供以外，投标人认为需要提供的其他证明材料（格式自拟）。（投标人根据“第二章 采购需求”及“第四章 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评标标准”提供有关证明材料）。</w:t>
            </w:r>
          </w:p>
          <w:p w14:paraId="496BFE5C">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1.法定代表人授权委托书必须由法定代表人及委托代理人签字，并加盖投标人公章，否则作无效投标处理。</w:t>
            </w:r>
          </w:p>
          <w:p w14:paraId="0BF53D08">
            <w:pPr>
              <w:snapToGrid w:val="0"/>
              <w:spacing w:line="380" w:lineRule="exact"/>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19834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nil"/>
              <w:left w:val="single" w:color="auto" w:sz="4" w:space="0"/>
              <w:bottom w:val="single" w:color="auto" w:sz="4" w:space="0"/>
              <w:right w:val="single" w:color="auto" w:sz="4" w:space="0"/>
            </w:tcBorders>
            <w:noWrap w:val="0"/>
            <w:vAlign w:val="center"/>
          </w:tcPr>
          <w:p w14:paraId="139F3B71">
            <w:pPr>
              <w:spacing w:line="380" w:lineRule="exac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428D8E">
            <w:pPr>
              <w:snapToGrid w:val="0"/>
              <w:spacing w:line="380" w:lineRule="exact"/>
              <w:jc w:val="left"/>
              <w:rPr>
                <w:rFonts w:hint="eastAsia" w:ascii="宋体" w:hAnsi="宋体" w:eastAsia="宋体" w:cs="宋体"/>
                <w:color w:val="auto"/>
                <w:sz w:val="21"/>
                <w:szCs w:val="21"/>
                <w:highlight w:val="none"/>
              </w:rPr>
            </w:pPr>
            <w:bookmarkStart w:id="91" w:name="_13.4"/>
            <w:bookmarkEnd w:id="91"/>
            <w:r>
              <w:rPr>
                <w:rFonts w:hint="eastAsia" w:ascii="宋体" w:hAnsi="宋体" w:eastAsia="宋体" w:cs="宋体"/>
                <w:color w:val="auto"/>
                <w:sz w:val="21"/>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2D39B7">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偏离表（格式后附）；（</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64FADAFC">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服务实施方案（格式自拟）</w:t>
            </w:r>
            <w:r>
              <w:rPr>
                <w:rFonts w:hint="eastAsia" w:ascii="宋体" w:hAnsi="宋体" w:eastAsia="宋体" w:cs="宋体"/>
                <w:color w:val="auto"/>
                <w:sz w:val="21"/>
                <w:szCs w:val="21"/>
                <w:highlight w:val="none"/>
              </w:rPr>
              <w:t>；</w:t>
            </w:r>
          </w:p>
          <w:p w14:paraId="2FDD955C">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3、售后服务方案（格式自拟）；</w:t>
            </w:r>
          </w:p>
          <w:p w14:paraId="2E7E28B8">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4、项目实施人员一览表（格式</w:t>
            </w:r>
            <w:r>
              <w:rPr>
                <w:rFonts w:hint="eastAsia"/>
                <w:color w:val="auto"/>
                <w:sz w:val="21"/>
                <w:szCs w:val="21"/>
                <w:highlight w:val="none"/>
              </w:rPr>
              <w:t>后附</w:t>
            </w:r>
            <w:r>
              <w:rPr>
                <w:rFonts w:hint="eastAsia" w:ascii="宋体" w:hAnsi="宋体" w:eastAsia="宋体" w:cs="宋体"/>
                <w:color w:val="auto"/>
                <w:sz w:val="21"/>
                <w:szCs w:val="21"/>
                <w:highlight w:val="none"/>
              </w:rPr>
              <w:t>）；</w:t>
            </w:r>
          </w:p>
          <w:p w14:paraId="41E95F88">
            <w:pPr>
              <w:snapToGrid w:val="0"/>
              <w:spacing w:line="380" w:lineRule="exact"/>
              <w:jc w:val="left"/>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、除招标文件规定必须提供以外，投标人需要说明的其他文件和说明（格式自拟）。</w:t>
            </w:r>
          </w:p>
          <w:p w14:paraId="058C0DF6">
            <w:pPr>
              <w:snapToGrid w:val="0"/>
              <w:spacing w:line="380" w:lineRule="exact"/>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注：以上标明“必须提供”的材料</w:t>
            </w:r>
            <w:r>
              <w:rPr>
                <w:rFonts w:hint="eastAsia" w:ascii="宋体" w:hAnsi="宋体" w:eastAsia="宋体" w:cs="宋体"/>
                <w:b/>
                <w:color w:val="auto"/>
                <w:sz w:val="21"/>
                <w:szCs w:val="21"/>
                <w:highlight w:val="none"/>
              </w:rPr>
              <w:t>属于复印件的扫描件的</w:t>
            </w:r>
            <w:r>
              <w:rPr>
                <w:rFonts w:hint="eastAsia" w:ascii="宋体" w:hAnsi="宋体" w:eastAsia="宋体" w:cs="宋体"/>
                <w:b/>
                <w:bCs/>
                <w:color w:val="auto"/>
                <w:sz w:val="21"/>
                <w:szCs w:val="21"/>
                <w:highlight w:val="none"/>
              </w:rPr>
              <w:t>，必须加盖</w:t>
            </w:r>
            <w:r>
              <w:rPr>
                <w:rFonts w:hint="eastAsia" w:ascii="宋体" w:hAnsi="宋体" w:cs="宋体"/>
                <w:b/>
                <w:bCs/>
                <w:color w:val="auto"/>
                <w:sz w:val="21"/>
                <w:szCs w:val="21"/>
                <w:highlight w:val="none"/>
                <w:lang w:eastAsia="zh-CN"/>
              </w:rPr>
              <w:t>投标人公章</w:t>
            </w:r>
            <w:r>
              <w:rPr>
                <w:rFonts w:hint="eastAsia" w:ascii="宋体" w:hAnsi="宋体" w:eastAsia="宋体" w:cs="宋体"/>
                <w:b/>
                <w:bCs/>
                <w:color w:val="auto"/>
                <w:sz w:val="21"/>
                <w:szCs w:val="21"/>
                <w:highlight w:val="none"/>
              </w:rPr>
              <w:t>，否则</w:t>
            </w:r>
            <w:r>
              <w:rPr>
                <w:rFonts w:hint="eastAsia" w:ascii="宋体" w:hAnsi="宋体" w:eastAsia="宋体" w:cs="宋体"/>
                <w:b/>
                <w:color w:val="auto"/>
                <w:sz w:val="21"/>
                <w:szCs w:val="21"/>
                <w:highlight w:val="none"/>
              </w:rPr>
              <w:t>作无效投标处理</w:t>
            </w:r>
            <w:r>
              <w:rPr>
                <w:rFonts w:hint="eastAsia" w:ascii="宋体" w:hAnsi="宋体" w:eastAsia="宋体" w:cs="宋体"/>
                <w:b/>
                <w:bCs/>
                <w:color w:val="auto"/>
                <w:sz w:val="21"/>
                <w:szCs w:val="21"/>
                <w:highlight w:val="none"/>
              </w:rPr>
              <w:t>。</w:t>
            </w:r>
          </w:p>
        </w:tc>
      </w:tr>
      <w:tr w14:paraId="633086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nil"/>
              <w:left w:val="single" w:color="auto" w:sz="4" w:space="0"/>
              <w:bottom w:val="single" w:color="auto" w:sz="4" w:space="0"/>
              <w:right w:val="single" w:color="auto" w:sz="4" w:space="0"/>
            </w:tcBorders>
            <w:noWrap w:val="0"/>
            <w:vAlign w:val="center"/>
          </w:tcPr>
          <w:p w14:paraId="642F26CE">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BCB6671">
            <w:pPr>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A8EFBE8">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1、投标函（格式后附）；</w:t>
            </w:r>
            <w:r>
              <w:rPr>
                <w:rFonts w:hint="eastAsia" w:ascii="宋体" w:hAnsi="宋体" w:eastAsia="宋体" w:cs="宋体"/>
                <w:b w:val="0"/>
                <w:bCs/>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b w:val="0"/>
                <w:bCs/>
                <w:color w:val="auto"/>
                <w:sz w:val="21"/>
                <w:szCs w:val="21"/>
                <w:highlight w:val="none"/>
              </w:rPr>
              <w:t>）</w:t>
            </w:r>
          </w:p>
          <w:p w14:paraId="1D7FA178">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2、开标一览表</w:t>
            </w:r>
            <w:r>
              <w:rPr>
                <w:rFonts w:hint="eastAsia"/>
                <w:color w:val="auto"/>
                <w:szCs w:val="21"/>
                <w:highlight w:val="none"/>
              </w:rPr>
              <w:t>（格式后附）</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必须提供，否则作无效投标处理</w:t>
            </w:r>
            <w:r>
              <w:rPr>
                <w:rFonts w:hint="eastAsia" w:ascii="宋体" w:hAnsi="宋体" w:eastAsia="宋体" w:cs="宋体"/>
                <w:color w:val="auto"/>
                <w:sz w:val="21"/>
                <w:szCs w:val="21"/>
                <w:highlight w:val="none"/>
              </w:rPr>
              <w:t>）</w:t>
            </w:r>
          </w:p>
          <w:p w14:paraId="1E78E6D8">
            <w:pPr>
              <w:tabs>
                <w:tab w:val="left" w:pos="459"/>
              </w:tabs>
              <w:snapToGrid w:val="0"/>
              <w:spacing w:line="380" w:lineRule="exact"/>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、投标人针对报价需要说明的其他文件和说明（格式自拟）。</w:t>
            </w:r>
          </w:p>
        </w:tc>
      </w:tr>
      <w:tr w14:paraId="7F578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306675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2070D99">
            <w:pPr>
              <w:spacing w:line="380" w:lineRule="exact"/>
              <w:rPr>
                <w:rFonts w:hint="eastAsia" w:ascii="宋体" w:hAnsi="宋体" w:eastAsia="宋体" w:cs="宋体"/>
                <w:color w:val="auto"/>
                <w:sz w:val="21"/>
                <w:szCs w:val="21"/>
                <w:highlight w:val="none"/>
              </w:rPr>
            </w:pPr>
            <w:bookmarkStart w:id="92" w:name="_16.2"/>
            <w:bookmarkEnd w:id="92"/>
            <w:r>
              <w:rPr>
                <w:rFonts w:hint="eastAsia" w:ascii="宋体" w:hAnsi="宋体" w:eastAsia="宋体" w:cs="宋体"/>
                <w:color w:val="auto"/>
                <w:sz w:val="21"/>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68FEA3">
            <w:pPr>
              <w:snapToGrid w:val="0"/>
              <w:spacing w:line="380" w:lineRule="exact"/>
              <w:rPr>
                <w:rFonts w:hint="eastAsia"/>
                <w:color w:val="auto"/>
                <w:highlight w:val="none"/>
              </w:rPr>
            </w:pPr>
            <w:r>
              <w:rPr>
                <w:rFonts w:hint="eastAsia"/>
                <w:color w:val="auto"/>
                <w:highlight w:val="none"/>
              </w:rPr>
              <w:t>投标报价是履行合同的最终价格，</w:t>
            </w:r>
            <w:r>
              <w:rPr>
                <w:rFonts w:hint="eastAsia" w:ascii="宋体" w:hAnsi="宋体" w:cs="宋体"/>
                <w:color w:val="auto"/>
                <w:highlight w:val="none"/>
              </w:rPr>
              <w:t>包含</w:t>
            </w:r>
            <w:r>
              <w:rPr>
                <w:rFonts w:hint="eastAsia" w:ascii="宋体" w:hAnsi="宋体" w:cs="宋体"/>
                <w:color w:val="auto"/>
                <w:highlight w:val="none"/>
                <w:lang w:eastAsia="zh-CN"/>
              </w:rPr>
              <w:t>服务的价格、</w:t>
            </w:r>
            <w:r>
              <w:rPr>
                <w:rFonts w:hint="eastAsia" w:ascii="宋体" w:hAnsi="宋体" w:cs="宋体"/>
                <w:color w:val="auto"/>
                <w:highlight w:val="none"/>
              </w:rPr>
              <w:t>货物及所需附件的购置费、包装费、运输费、人工费、保险费、各种税费、资料费、验收费、售后服务费及合同实施过程中的不可预见费用等全部费用；</w:t>
            </w:r>
          </w:p>
          <w:p w14:paraId="5F5C8496">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rPr>
              <w:t>投标报价包含验收费用</w:t>
            </w:r>
          </w:p>
          <w:p w14:paraId="79F2B341">
            <w:pPr>
              <w:pStyle w:val="17"/>
              <w:rPr>
                <w:rFonts w:hint="eastAsia"/>
                <w:color w:val="auto"/>
                <w:highlight w:val="none"/>
              </w:rPr>
            </w:pPr>
            <w:r>
              <w:rPr>
                <w:rFonts w:hint="eastAsia" w:ascii="宋体" w:hAnsi="宋体" w:eastAsia="宋体" w:cs="宋体"/>
                <w:b/>
                <w:color w:val="auto"/>
                <w:sz w:val="21"/>
                <w:szCs w:val="21"/>
                <w:highlight w:val="none"/>
              </w:rPr>
              <w:t>□投标报价不包含验收费用</w:t>
            </w:r>
          </w:p>
        </w:tc>
      </w:tr>
      <w:tr w14:paraId="2704E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4478BA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C80059">
            <w:pPr>
              <w:spacing w:line="380" w:lineRule="exact"/>
              <w:rPr>
                <w:rFonts w:hint="eastAsia" w:ascii="宋体" w:hAnsi="宋体" w:eastAsia="宋体" w:cs="宋体"/>
                <w:color w:val="auto"/>
                <w:sz w:val="21"/>
                <w:szCs w:val="21"/>
                <w:highlight w:val="none"/>
              </w:rPr>
            </w:pPr>
            <w:bookmarkStart w:id="93" w:name="_17.1"/>
            <w:bookmarkEnd w:id="93"/>
            <w:r>
              <w:rPr>
                <w:rFonts w:hint="eastAsia" w:ascii="宋体" w:hAnsi="宋体" w:eastAsia="宋体" w:cs="宋体"/>
                <w:color w:val="auto"/>
                <w:sz w:val="21"/>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88A7C9A">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自投标截止之日起</w:t>
            </w:r>
            <w:r>
              <w:rPr>
                <w:rFonts w:hint="eastAsia" w:ascii="宋体" w:hAnsi="宋体" w:cs="宋体"/>
                <w:color w:val="auto"/>
                <w:sz w:val="21"/>
                <w:szCs w:val="21"/>
                <w:highlight w:val="none"/>
                <w:u w:val="single"/>
                <w:lang w:val="en-US" w:eastAsia="zh-CN"/>
              </w:rPr>
              <w:t xml:space="preserve">   90   </w:t>
            </w:r>
            <w:r>
              <w:rPr>
                <w:rFonts w:hint="eastAsia" w:ascii="宋体" w:hAnsi="宋体" w:cs="宋体"/>
                <w:color w:val="auto"/>
                <w:sz w:val="21"/>
                <w:szCs w:val="21"/>
                <w:highlight w:val="none"/>
                <w:u w:val="none"/>
                <w:lang w:val="en-US" w:eastAsia="zh-CN"/>
              </w:rPr>
              <w:t>日</w:t>
            </w:r>
            <w:r>
              <w:rPr>
                <w:rFonts w:hint="eastAsia" w:ascii="宋体" w:hAnsi="宋体" w:eastAsia="宋体" w:cs="宋体"/>
                <w:color w:val="auto"/>
                <w:sz w:val="21"/>
                <w:szCs w:val="21"/>
                <w:highlight w:val="none"/>
              </w:rPr>
              <w:t>。</w:t>
            </w:r>
          </w:p>
        </w:tc>
      </w:tr>
      <w:tr w14:paraId="515E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4515E2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C68C25">
            <w:pPr>
              <w:spacing w:line="380" w:lineRule="exact"/>
              <w:rPr>
                <w:rFonts w:hint="eastAsia" w:ascii="宋体" w:hAnsi="宋体" w:eastAsia="宋体" w:cs="宋体"/>
                <w:color w:val="auto"/>
                <w:sz w:val="21"/>
                <w:szCs w:val="21"/>
                <w:highlight w:val="none"/>
              </w:rPr>
            </w:pPr>
            <w:bookmarkStart w:id="94" w:name="_18"/>
            <w:bookmarkEnd w:id="94"/>
            <w:r>
              <w:rPr>
                <w:rFonts w:hint="eastAsia" w:ascii="宋体" w:hAnsi="宋体" w:eastAsia="宋体" w:cs="宋体"/>
                <w:color w:val="auto"/>
                <w:sz w:val="21"/>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C53215">
            <w:pPr>
              <w:autoSpaceDE w:val="0"/>
              <w:autoSpaceDN w:val="0"/>
              <w:snapToGrid w:val="0"/>
              <w:spacing w:line="360" w:lineRule="auto"/>
              <w:textAlignment w:val="bottom"/>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本项目不需要缴纳投标保证金。</w:t>
            </w:r>
          </w:p>
          <w:p w14:paraId="3A54914B">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本项目需要缴纳投标保证金，</w:t>
            </w:r>
            <w:r>
              <w:rPr>
                <w:rFonts w:hint="eastAsia" w:ascii="宋体" w:hAnsi="宋体" w:cs="宋体"/>
                <w:b/>
                <w:bCs/>
                <w:color w:val="auto"/>
                <w:szCs w:val="21"/>
                <w:highlight w:val="none"/>
                <w:lang w:eastAsia="zh-CN"/>
              </w:rPr>
              <w:t>相关要求</w:t>
            </w:r>
            <w:r>
              <w:rPr>
                <w:rFonts w:hint="eastAsia" w:ascii="宋体" w:hAnsi="宋体" w:eastAsia="宋体" w:cs="宋体"/>
                <w:b/>
                <w:bCs/>
                <w:color w:val="auto"/>
                <w:szCs w:val="21"/>
                <w:highlight w:val="none"/>
              </w:rPr>
              <w:t>如下：</w:t>
            </w:r>
          </w:p>
          <w:p w14:paraId="14048706">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投标保证金的</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方式：详见招标公告</w:t>
            </w:r>
          </w:p>
          <w:p w14:paraId="1150A5E5">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投标保证金的金额：详见招标公告</w:t>
            </w:r>
          </w:p>
          <w:p w14:paraId="225EDA06">
            <w:pPr>
              <w:pStyle w:val="10"/>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eastAsia="宋体" w:cs="宋体"/>
                <w:b/>
                <w:color w:val="auto"/>
                <w:szCs w:val="21"/>
                <w:highlight w:val="none"/>
                <w:lang w:val="en-US" w:eastAsia="zh-CN"/>
              </w:rPr>
              <w:t>否则作无效投标处理</w:t>
            </w:r>
            <w:r>
              <w:rPr>
                <w:rFonts w:hint="eastAsia" w:ascii="宋体" w:hAnsi="宋体" w:eastAsia="宋体" w:cs="宋体"/>
                <w:color w:val="auto"/>
                <w:szCs w:val="21"/>
                <w:highlight w:val="none"/>
                <w:lang w:val="en-US" w:eastAsia="zh-CN"/>
              </w:rPr>
              <w:t>。</w:t>
            </w:r>
          </w:p>
          <w:p w14:paraId="311BDF88">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.投标保证金采用支票、汇票、本票或者金融机构、担保机构出具的保函</w:t>
            </w:r>
            <w:r>
              <w:rPr>
                <w:rFonts w:hint="eastAsia" w:ascii="宋体" w:hAnsi="宋体" w:eastAsia="宋体" w:cs="宋体"/>
                <w:color w:val="auto"/>
                <w:szCs w:val="21"/>
                <w:highlight w:val="none"/>
                <w:lang w:eastAsia="zh-CN"/>
              </w:rPr>
              <w:t>等缴纳</w:t>
            </w:r>
            <w:r>
              <w:rPr>
                <w:rFonts w:hint="eastAsia" w:ascii="宋体" w:hAnsi="宋体" w:eastAsia="宋体" w:cs="宋体"/>
                <w:color w:val="auto"/>
                <w:szCs w:val="21"/>
                <w:highlight w:val="none"/>
              </w:rPr>
              <w:t>方式的，投标人应将支票、汇票、本票或者金融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cs="宋体"/>
                <w:color w:val="auto"/>
                <w:kern w:val="0"/>
                <w:szCs w:val="21"/>
                <w:highlight w:val="none"/>
                <w:lang w:val="en-US" w:eastAsia="zh-CN"/>
              </w:rPr>
              <w:t>电子保函</w:t>
            </w:r>
            <w:r>
              <w:rPr>
                <w:rFonts w:hint="eastAsia" w:ascii="宋体" w:hAnsi="宋体" w:eastAsia="宋体" w:cs="宋体"/>
                <w:color w:val="auto"/>
                <w:szCs w:val="21"/>
                <w:highlight w:val="none"/>
              </w:rPr>
              <w:t>作为投标保证金提交凭证，放置于商务文件中，</w:t>
            </w:r>
            <w:r>
              <w:rPr>
                <w:rFonts w:hint="eastAsia" w:ascii="宋体" w:hAnsi="宋体" w:eastAsia="宋体" w:cs="宋体"/>
                <w:b/>
                <w:color w:val="auto"/>
                <w:szCs w:val="21"/>
                <w:highlight w:val="none"/>
              </w:rPr>
              <w:t>否则</w:t>
            </w:r>
            <w:r>
              <w:rPr>
                <w:rFonts w:hint="eastAsia" w:ascii="宋体" w:hAnsi="宋体" w:cs="宋体"/>
                <w:b/>
                <w:color w:val="auto"/>
                <w:szCs w:val="21"/>
                <w:highlight w:val="none"/>
              </w:rPr>
              <w:t>作无效投标处理</w:t>
            </w:r>
            <w:r>
              <w:rPr>
                <w:rFonts w:hint="eastAsia" w:ascii="宋体" w:hAnsi="宋体" w:eastAsia="宋体" w:cs="宋体"/>
                <w:color w:val="auto"/>
                <w:szCs w:val="21"/>
                <w:highlight w:val="none"/>
              </w:rPr>
              <w:t>。投标人必须</w:t>
            </w:r>
            <w:r>
              <w:rPr>
                <w:rFonts w:hint="eastAsia" w:ascii="宋体" w:hAnsi="宋体" w:eastAsia="宋体" w:cs="宋体"/>
                <w:color w:val="auto"/>
                <w:kern w:val="0"/>
                <w:szCs w:val="21"/>
                <w:highlight w:val="none"/>
              </w:rPr>
              <w:t>在投标截止时间前</w:t>
            </w:r>
            <w:r>
              <w:rPr>
                <w:rFonts w:hint="eastAsia" w:ascii="宋体" w:hAnsi="宋体" w:eastAsia="宋体" w:cs="宋体"/>
                <w:color w:val="auto"/>
                <w:szCs w:val="21"/>
                <w:highlight w:val="none"/>
              </w:rPr>
              <w:t>将支票、汇票、本票或者金融、担保机构出具的保函</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lang w:val="en-US" w:eastAsia="zh-CN"/>
              </w:rPr>
              <w:t>电子保函除外</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原件提交给采购代理机构，由采购代理机构向投标人出具回执，并妥善保管。</w:t>
            </w:r>
          </w:p>
          <w:p w14:paraId="1040D4E9">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户：详见招标公告。</w:t>
            </w:r>
          </w:p>
          <w:p w14:paraId="41150943">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.投标人为联合体的，可以由联合体中的一方或者多方共同</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投标保证金，其</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保证金对联合体各方均具有约束力。</w:t>
            </w:r>
          </w:p>
          <w:p w14:paraId="1B2F46E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46F4F3A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 投标保证金在投标截止时间后提交的，或者不按规定</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方式</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的，或者未足额</w:t>
            </w:r>
            <w:r>
              <w:rPr>
                <w:rFonts w:hint="eastAsia" w:ascii="宋体" w:hAnsi="宋体" w:eastAsia="宋体" w:cs="宋体"/>
                <w:b/>
                <w:color w:val="auto"/>
                <w:szCs w:val="21"/>
                <w:highlight w:val="none"/>
                <w:lang w:eastAsia="zh-CN"/>
              </w:rPr>
              <w:t>缴纳</w:t>
            </w:r>
            <w:r>
              <w:rPr>
                <w:rFonts w:hint="eastAsia" w:ascii="宋体" w:hAnsi="宋体" w:eastAsia="宋体" w:cs="宋体"/>
                <w:b/>
                <w:color w:val="auto"/>
                <w:szCs w:val="21"/>
                <w:highlight w:val="none"/>
              </w:rPr>
              <w:t>的（包含保函额度不足的），视为无效投标保证金。</w:t>
            </w:r>
          </w:p>
          <w:p w14:paraId="0803648B">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2.投标人采用现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方式或者从个人账户（自然人投标除外）转出的投标保证金，视为无效投标保证金。</w:t>
            </w:r>
          </w:p>
          <w:p w14:paraId="764E38E8">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3.支票、汇票或者本票出现无效或者背书情形的，视为无效投标保证金。</w:t>
            </w:r>
          </w:p>
          <w:p w14:paraId="5B32BF0C">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4.保函有效期低于投标有效期的，视为无效投标保证金。</w:t>
            </w:r>
          </w:p>
          <w:p w14:paraId="1B74EDA6">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423EF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32FEFDC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039E33A">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67C98D1">
            <w:pPr>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color w:val="auto"/>
                <w:sz w:val="21"/>
                <w:szCs w:val="21"/>
                <w:highlight w:val="none"/>
              </w:rPr>
              <w:t>投标文件应按报价文件、资格证明文件、商务文件、技术文件分别编制，报价文件、资格证明文件分别生</w:t>
            </w:r>
            <w:r>
              <w:rPr>
                <w:rFonts w:hint="eastAsia" w:ascii="宋体" w:hAnsi="宋体" w:cs="宋体"/>
                <w:color w:val="auto"/>
                <w:sz w:val="21"/>
                <w:szCs w:val="21"/>
                <w:highlight w:val="none"/>
                <w:lang w:eastAsia="zh-CN"/>
              </w:rPr>
              <w:t>成</w:t>
            </w:r>
            <w:r>
              <w:rPr>
                <w:rFonts w:hint="eastAsia" w:ascii="宋体" w:hAnsi="宋体" w:eastAsia="宋体" w:cs="宋体"/>
                <w:color w:val="auto"/>
                <w:sz w:val="21"/>
                <w:szCs w:val="21"/>
                <w:highlight w:val="none"/>
              </w:rPr>
              <w:t>电子文件，商务文件和技术文件按顺序合并生成电子文件。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Cs w:val="21"/>
                <w:highlight w:val="none"/>
                <w:lang w:eastAsia="zh-CN"/>
              </w:rPr>
              <w:t>注：</w:t>
            </w:r>
            <w:r>
              <w:rPr>
                <w:rFonts w:hint="eastAsia" w:ascii="宋体" w:hAnsi="宋体" w:eastAsia="宋体" w:cs="宋体"/>
                <w:b/>
                <w:bCs/>
                <w:color w:val="auto"/>
                <w:szCs w:val="21"/>
                <w:highlight w:val="none"/>
              </w:rPr>
              <w:t>按照本</w:t>
            </w:r>
            <w:r>
              <w:rPr>
                <w:rFonts w:hint="eastAsia" w:ascii="宋体" w:hAnsi="宋体" w:eastAsia="宋体" w:cs="宋体"/>
                <w:b/>
                <w:bCs/>
                <w:color w:val="auto"/>
                <w:szCs w:val="21"/>
                <w:highlight w:val="none"/>
                <w:lang w:eastAsia="zh-CN"/>
              </w:rPr>
              <w:t>招标</w:t>
            </w:r>
            <w:r>
              <w:rPr>
                <w:rFonts w:hint="eastAsia" w:ascii="宋体" w:hAnsi="宋体" w:eastAsia="宋体" w:cs="宋体"/>
                <w:b/>
                <w:bCs/>
                <w:color w:val="auto"/>
                <w:szCs w:val="21"/>
                <w:highlight w:val="none"/>
              </w:rPr>
              <w:t>文件“</w:t>
            </w:r>
            <w:r>
              <w:rPr>
                <w:rFonts w:hint="eastAsia" w:ascii="宋体" w:hAnsi="宋体" w:cs="宋体"/>
                <w:b/>
                <w:bCs/>
                <w:color w:val="auto"/>
                <w:szCs w:val="21"/>
                <w:highlight w:val="none"/>
              </w:rPr>
              <w:t>第六章 投标文件格式</w:t>
            </w:r>
            <w:r>
              <w:rPr>
                <w:rFonts w:hint="eastAsia" w:ascii="宋体" w:hAnsi="宋体" w:eastAsia="宋体" w:cs="宋体"/>
                <w:b/>
                <w:bCs/>
                <w:color w:val="auto"/>
                <w:szCs w:val="21"/>
                <w:highlight w:val="none"/>
              </w:rPr>
              <w:t>”编写</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第</w:t>
            </w:r>
            <w:r>
              <w:rPr>
                <w:rFonts w:hint="eastAsia" w:ascii="宋体" w:hAnsi="宋体" w:eastAsia="宋体" w:cs="宋体"/>
                <w:b/>
                <w:bCs/>
                <w:color w:val="auto"/>
                <w:szCs w:val="21"/>
                <w:highlight w:val="none"/>
                <w:lang w:eastAsia="zh-CN"/>
              </w:rPr>
              <w:t>六</w:t>
            </w:r>
            <w:r>
              <w:rPr>
                <w:rFonts w:hint="eastAsia" w:ascii="宋体" w:hAnsi="宋体" w:eastAsia="宋体" w:cs="宋体"/>
                <w:b/>
                <w:bCs/>
                <w:color w:val="auto"/>
                <w:szCs w:val="21"/>
                <w:highlight w:val="none"/>
              </w:rPr>
              <w:t>章未附格式的，由</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自行拟定</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eastAsia="zh-CN"/>
              </w:rPr>
              <w:t>）</w:t>
            </w:r>
          </w:p>
        </w:tc>
      </w:tr>
      <w:tr w14:paraId="44CD4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75DF398">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694F24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44326E">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本项目不接受备份投标文件。</w:t>
            </w:r>
          </w:p>
        </w:tc>
      </w:tr>
      <w:tr w14:paraId="3977D1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restart"/>
            <w:tcBorders>
              <w:top w:val="single" w:color="auto" w:sz="4" w:space="0"/>
              <w:left w:val="single" w:color="auto" w:sz="4" w:space="0"/>
              <w:bottom w:val="nil"/>
              <w:right w:val="single" w:color="auto" w:sz="4" w:space="0"/>
            </w:tcBorders>
            <w:noWrap w:val="0"/>
            <w:vAlign w:val="center"/>
          </w:tcPr>
          <w:p w14:paraId="16FDC95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FBF08E7">
            <w:pPr>
              <w:spacing w:line="380" w:lineRule="exact"/>
              <w:rPr>
                <w:rFonts w:hint="eastAsia" w:ascii="宋体" w:hAnsi="宋体" w:eastAsia="宋体" w:cs="宋体"/>
                <w:color w:val="auto"/>
                <w:sz w:val="21"/>
                <w:szCs w:val="21"/>
                <w:highlight w:val="none"/>
              </w:rPr>
            </w:pPr>
            <w:bookmarkStart w:id="95" w:name="_21.1"/>
            <w:bookmarkEnd w:id="95"/>
            <w:r>
              <w:rPr>
                <w:rFonts w:hint="eastAsia" w:ascii="宋体" w:hAnsi="宋体" w:eastAsia="宋体" w:cs="宋体"/>
                <w:color w:val="auto"/>
                <w:sz w:val="21"/>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357ECB0">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详见招标公告</w:t>
            </w:r>
          </w:p>
        </w:tc>
      </w:tr>
      <w:tr w14:paraId="41CA4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2D9EF122">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1CCA3C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4A2F42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1E8D4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75" w:type="dxa"/>
            <w:vMerge w:val="continue"/>
            <w:tcBorders>
              <w:top w:val="single" w:color="auto" w:sz="4" w:space="0"/>
              <w:left w:val="single" w:color="auto" w:sz="4" w:space="0"/>
              <w:bottom w:val="nil"/>
              <w:right w:val="single" w:color="auto" w:sz="4" w:space="0"/>
            </w:tcBorders>
            <w:noWrap w:val="0"/>
            <w:vAlign w:val="center"/>
          </w:tcPr>
          <w:p w14:paraId="1A6BBD82">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B18F4F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4C031A6">
            <w:pPr>
              <w:snapToGrid w:val="0"/>
              <w:spacing w:line="380" w:lineRule="exact"/>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月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日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时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分</w:t>
            </w:r>
            <w:r>
              <w:rPr>
                <w:rFonts w:hint="eastAsia" w:ascii="宋体" w:hAnsi="宋体" w:cs="宋体"/>
                <w:bCs/>
                <w:color w:val="auto"/>
                <w:szCs w:val="21"/>
                <w:highlight w:val="none"/>
              </w:rPr>
              <w:t>（北京时间）</w:t>
            </w:r>
          </w:p>
          <w:p w14:paraId="591413F2">
            <w:pPr>
              <w:snapToGrid w:val="0"/>
              <w:spacing w:line="380" w:lineRule="exact"/>
              <w:rPr>
                <w:rFonts w:hint="eastAsia" w:ascii="宋体" w:hAnsi="宋体" w:eastAsia="宋体" w:cs="宋体"/>
                <w:color w:val="auto"/>
                <w:sz w:val="21"/>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w:t>
            </w:r>
            <w:r>
              <w:rPr>
                <w:rFonts w:hint="eastAsia" w:ascii="宋体" w:hAnsi="宋体" w:cs="宋体"/>
                <w:bCs/>
                <w:color w:val="auto"/>
                <w:szCs w:val="21"/>
                <w:highlight w:val="none"/>
                <w:u w:val="single"/>
              </w:rPr>
              <w:t xml:space="preserve">                          </w:t>
            </w:r>
          </w:p>
        </w:tc>
      </w:tr>
      <w:tr w14:paraId="10E71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DEA5AD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508282">
            <w:pPr>
              <w:spacing w:line="380" w:lineRule="exact"/>
              <w:rPr>
                <w:rFonts w:hint="eastAsia" w:ascii="宋体" w:hAnsi="宋体" w:eastAsia="宋体" w:cs="宋体"/>
                <w:color w:val="auto"/>
                <w:sz w:val="21"/>
                <w:szCs w:val="21"/>
                <w:highlight w:val="none"/>
              </w:rPr>
            </w:pPr>
            <w:bookmarkStart w:id="96" w:name="_23"/>
            <w:bookmarkEnd w:id="96"/>
            <w:r>
              <w:rPr>
                <w:rFonts w:hint="eastAsia" w:ascii="宋体" w:hAnsi="宋体" w:eastAsia="宋体" w:cs="宋体"/>
                <w:color w:val="auto"/>
                <w:sz w:val="21"/>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06861D3">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详见招标公告 </w:t>
            </w:r>
          </w:p>
        </w:tc>
      </w:tr>
      <w:tr w14:paraId="5CF54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1B9D550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8FBB667">
            <w:pPr>
              <w:spacing w:line="380" w:lineRule="exact"/>
              <w:rPr>
                <w:rFonts w:hint="eastAsia" w:ascii="宋体" w:hAnsi="宋体" w:eastAsia="宋体" w:cs="宋体"/>
                <w:color w:val="auto"/>
                <w:sz w:val="21"/>
                <w:szCs w:val="21"/>
                <w:highlight w:val="none"/>
              </w:rPr>
            </w:pPr>
            <w:bookmarkStart w:id="97" w:name="_25.3"/>
            <w:bookmarkEnd w:id="97"/>
            <w:r>
              <w:rPr>
                <w:rFonts w:hint="eastAsia" w:ascii="宋体" w:hAnsi="宋体" w:eastAsia="宋体" w:cs="宋体"/>
                <w:color w:val="auto"/>
                <w:sz w:val="21"/>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FF1D874">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采购人或者采购代理机构在资格审查结束前，对投标人进行信用查询。</w:t>
            </w:r>
          </w:p>
          <w:p w14:paraId="3145293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查询渠道：“信用中国”网站(www.creditchina.gov.cn) 、中国政府采购网(www.ccgp.gov.cn)。</w:t>
            </w:r>
          </w:p>
        </w:tc>
      </w:tr>
      <w:tr w14:paraId="04360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B36497F">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8C226E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6B7C81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资格审查结束前</w:t>
            </w:r>
          </w:p>
        </w:tc>
      </w:tr>
      <w:tr w14:paraId="07513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51F479D">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157007">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F614E3">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在查询网站中直接截图查询记录，截图作为</w:t>
            </w:r>
            <w:r>
              <w:rPr>
                <w:rFonts w:hint="eastAsia" w:ascii="宋体" w:hAnsi="宋体" w:cs="宋体"/>
                <w:color w:val="auto"/>
                <w:szCs w:val="21"/>
                <w:highlight w:val="none"/>
                <w:lang w:val="en-US" w:eastAsia="zh-CN"/>
              </w:rPr>
              <w:t>附件</w:t>
            </w:r>
            <w:r>
              <w:rPr>
                <w:rFonts w:hint="eastAsia" w:ascii="宋体" w:hAnsi="宋体" w:cs="宋体"/>
                <w:color w:val="auto"/>
                <w:szCs w:val="21"/>
                <w:highlight w:val="none"/>
              </w:rPr>
              <w:t>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上传保存。</w:t>
            </w:r>
          </w:p>
        </w:tc>
      </w:tr>
      <w:tr w14:paraId="4E3B4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AD99ECC">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40FF7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DC6C4D0">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对在“信用中国”网站(www.creditchina.gov.cn) 、中国政府采购网(www.ccgp.gov.cn)被列入失信被执行人、</w:t>
            </w:r>
            <w:r>
              <w:rPr>
                <w:rFonts w:hint="eastAsia" w:ascii="宋体" w:hAnsi="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656C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4FEFDE59">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76BC6B">
            <w:pPr>
              <w:spacing w:line="380" w:lineRule="exact"/>
              <w:rPr>
                <w:rFonts w:hint="eastAsia" w:ascii="宋体" w:hAnsi="宋体" w:eastAsia="宋体" w:cs="宋体"/>
                <w:color w:val="auto"/>
                <w:sz w:val="21"/>
                <w:szCs w:val="21"/>
                <w:highlight w:val="none"/>
              </w:rPr>
            </w:pPr>
            <w:bookmarkStart w:id="98" w:name="_26"/>
            <w:bookmarkEnd w:id="98"/>
            <w:bookmarkStart w:id="99" w:name="_28.3"/>
            <w:bookmarkEnd w:id="99"/>
            <w:r>
              <w:rPr>
                <w:rFonts w:hint="eastAsia" w:ascii="宋体" w:hAnsi="宋体" w:eastAsia="宋体" w:cs="宋体"/>
                <w:color w:val="auto"/>
                <w:sz w:val="21"/>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6C0B81">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综合评分法</w:t>
            </w:r>
          </w:p>
          <w:p w14:paraId="738569C8">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□最低评标价法</w:t>
            </w:r>
          </w:p>
        </w:tc>
      </w:tr>
      <w:tr w14:paraId="3544D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75" w:type="dxa"/>
            <w:tcBorders>
              <w:top w:val="single" w:color="auto" w:sz="4" w:space="0"/>
              <w:left w:val="single" w:color="auto" w:sz="4" w:space="0"/>
              <w:bottom w:val="nil"/>
              <w:right w:val="single" w:color="auto" w:sz="4" w:space="0"/>
            </w:tcBorders>
            <w:noWrap w:val="0"/>
            <w:vAlign w:val="center"/>
          </w:tcPr>
          <w:p w14:paraId="6BDE54C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29.2</w:t>
            </w:r>
          </w:p>
        </w:tc>
        <w:tc>
          <w:tcPr>
            <w:tcW w:w="2268" w:type="dxa"/>
            <w:tcBorders>
              <w:top w:val="single" w:color="auto" w:sz="4" w:space="0"/>
              <w:left w:val="single" w:color="auto" w:sz="4" w:space="0"/>
              <w:bottom w:val="nil"/>
              <w:right w:val="single" w:color="auto" w:sz="4" w:space="0"/>
            </w:tcBorders>
            <w:noWrap w:val="0"/>
            <w:vAlign w:val="center"/>
          </w:tcPr>
          <w:p w14:paraId="0CC3AED7">
            <w:pPr>
              <w:spacing w:line="380" w:lineRule="exact"/>
              <w:rPr>
                <w:rFonts w:hint="eastAsia" w:ascii="宋体" w:hAnsi="宋体" w:eastAsia="宋体" w:cs="宋体"/>
                <w:color w:val="auto"/>
                <w:sz w:val="21"/>
                <w:szCs w:val="21"/>
                <w:highlight w:val="none"/>
              </w:rPr>
            </w:pPr>
            <w:bookmarkStart w:id="100" w:name="_29.2.2（2）"/>
            <w:bookmarkEnd w:id="100"/>
            <w:r>
              <w:rPr>
                <w:rFonts w:hint="eastAsia" w:ascii="宋体" w:hAnsi="宋体" w:eastAsia="宋体" w:cs="宋体"/>
                <w:color w:val="auto"/>
                <w:sz w:val="21"/>
                <w:szCs w:val="21"/>
                <w:highlight w:val="none"/>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2E4FB1CA">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p w14:paraId="35FAD9A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技术需求评审中允许负偏离的条款数为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0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w:t>
            </w:r>
          </w:p>
        </w:tc>
      </w:tr>
      <w:tr w14:paraId="188F8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F1245A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DA775E">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确定中标人时，出现中标候选人</w:t>
            </w:r>
            <w:r>
              <w:rPr>
                <w:rFonts w:hint="eastAsia" w:ascii="宋体" w:hAnsi="宋体" w:cs="宋体"/>
                <w:color w:val="auto"/>
                <w:szCs w:val="21"/>
                <w:highlight w:val="none"/>
                <w:lang w:eastAsia="zh-CN"/>
              </w:rPr>
              <w:t>排名</w:t>
            </w:r>
            <w:r>
              <w:rPr>
                <w:rFonts w:hint="eastAsia" w:ascii="宋体" w:hAnsi="宋体" w:eastAsia="宋体" w:cs="宋体"/>
                <w:color w:val="auto"/>
                <w:sz w:val="21"/>
                <w:szCs w:val="21"/>
                <w:highlight w:val="none"/>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8E29404">
            <w:pPr>
              <w:pStyle w:val="10"/>
              <w:spacing w:line="360" w:lineRule="auto"/>
              <w:rPr>
                <w:rFonts w:hint="eastAsia"/>
                <w:b/>
                <w:bCs/>
                <w:color w:val="auto"/>
                <w:highlight w:val="none"/>
                <w:lang w:eastAsia="zh-CN"/>
              </w:rPr>
            </w:pPr>
            <w:r>
              <w:rPr>
                <w:rFonts w:hint="eastAsia" w:ascii="宋体" w:hAnsi="宋体" w:eastAsia="宋体" w:cs="宋体"/>
                <w:color w:val="auto"/>
                <w:szCs w:val="21"/>
                <w:highlight w:val="none"/>
              </w:rPr>
              <w:t>采购人确定中标人时，出现中标候选人并列的情形，采购人按以下的方式确定中标人：</w:t>
            </w:r>
          </w:p>
          <w:p w14:paraId="10779FD1">
            <w:pPr>
              <w:autoSpaceDE w:val="0"/>
              <w:autoSpaceDN w:val="0"/>
              <w:snapToGrid w:val="0"/>
              <w:textAlignment w:val="bottom"/>
              <w:rPr>
                <w:rFonts w:hint="eastAsia" w:ascii="宋体" w:hAnsi="宋体" w:eastAsia="宋体" w:cs="宋体"/>
                <w:i/>
                <w:iCs/>
                <w:color w:val="auto"/>
                <w:szCs w:val="21"/>
                <w:highlight w:val="none"/>
              </w:rPr>
            </w:pPr>
            <w:r>
              <w:rPr>
                <w:rFonts w:hint="eastAsia" w:ascii="宋体" w:hAnsi="宋体" w:cs="宋体"/>
                <w:color w:val="auto"/>
                <w:szCs w:val="21"/>
                <w:highlight w:val="none"/>
                <w:lang w:eastAsia="zh-CN"/>
              </w:rPr>
              <w:t>☑价格分得分高的优先、</w:t>
            </w:r>
            <w:r>
              <w:rPr>
                <w:rFonts w:hint="eastAsia" w:ascii="宋体" w:hAnsi="宋体" w:eastAsia="宋体" w:cs="宋体"/>
                <w:color w:val="auto"/>
                <w:szCs w:val="21"/>
                <w:highlight w:val="none"/>
              </w:rPr>
              <w:t>商务分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技术分</w:t>
            </w:r>
            <w:r>
              <w:rPr>
                <w:rFonts w:hint="eastAsia" w:ascii="宋体" w:hAnsi="宋体" w:cs="宋体"/>
                <w:color w:val="auto"/>
                <w:szCs w:val="21"/>
                <w:highlight w:val="none"/>
                <w:lang w:eastAsia="zh-CN"/>
              </w:rPr>
              <w:t>得分</w:t>
            </w:r>
            <w:r>
              <w:rPr>
                <w:rFonts w:hint="eastAsia" w:ascii="宋体" w:hAnsi="宋体" w:eastAsia="宋体" w:cs="宋体"/>
                <w:color w:val="auto"/>
                <w:szCs w:val="21"/>
                <w:highlight w:val="none"/>
              </w:rPr>
              <w:t>高的优先</w:t>
            </w:r>
            <w:r>
              <w:rPr>
                <w:rFonts w:hint="eastAsia" w:ascii="宋体" w:hAnsi="宋体" w:eastAsia="宋体" w:cs="宋体"/>
                <w:color w:val="auto"/>
                <w:szCs w:val="21"/>
                <w:highlight w:val="none"/>
                <w:lang w:eastAsia="zh-CN"/>
              </w:rPr>
              <w:t>的</w:t>
            </w:r>
            <w:r>
              <w:rPr>
                <w:rFonts w:hint="eastAsia" w:ascii="宋体" w:hAnsi="宋体" w:cs="宋体"/>
                <w:color w:val="auto"/>
                <w:szCs w:val="21"/>
                <w:highlight w:val="none"/>
                <w:lang w:eastAsia="zh-CN"/>
              </w:rPr>
              <w:t>依次</w:t>
            </w:r>
            <w:r>
              <w:rPr>
                <w:rFonts w:hint="eastAsia" w:ascii="宋体" w:hAnsi="宋体" w:eastAsia="宋体" w:cs="宋体"/>
                <w:color w:val="auto"/>
                <w:szCs w:val="21"/>
                <w:highlight w:val="none"/>
              </w:rPr>
              <w:t>顺序</w:t>
            </w:r>
            <w:r>
              <w:rPr>
                <w:rFonts w:hint="eastAsia" w:ascii="宋体" w:hAnsi="宋体" w:cs="宋体"/>
                <w:color w:val="auto"/>
                <w:szCs w:val="21"/>
                <w:highlight w:val="none"/>
                <w:lang w:eastAsia="zh-CN"/>
              </w:rPr>
              <w:t>确定中标人。</w:t>
            </w:r>
            <w:r>
              <w:rPr>
                <w:rFonts w:hint="eastAsia" w:ascii="宋体" w:hAnsi="宋体" w:eastAsia="宋体" w:cs="宋体"/>
                <w:color w:val="auto"/>
                <w:szCs w:val="21"/>
                <w:highlight w:val="none"/>
              </w:rPr>
              <w:t xml:space="preserve"> </w:t>
            </w:r>
          </w:p>
          <w:p w14:paraId="0C91A2A0">
            <w:pPr>
              <w:pStyle w:val="10"/>
              <w:spacing w:line="360" w:lineRule="auto"/>
              <w:rPr>
                <w:rFonts w:hint="eastAsia" w:ascii="宋体" w:hAnsi="宋体" w:eastAsia="宋体" w:cs="宋体"/>
                <w:b/>
                <w:color w:val="auto"/>
                <w:sz w:val="21"/>
                <w:szCs w:val="21"/>
                <w:highlight w:val="none"/>
              </w:rPr>
            </w:pPr>
            <w:r>
              <w:rPr>
                <w:rFonts w:hint="eastAsia" w:ascii="宋体" w:hAnsi="宋体" w:cs="宋体"/>
                <w:color w:val="auto"/>
                <w:szCs w:val="21"/>
                <w:highlight w:val="none"/>
                <w:lang w:eastAsia="zh-CN"/>
              </w:rPr>
              <w:t>□</w:t>
            </w:r>
            <w:r>
              <w:rPr>
                <w:rFonts w:ascii="宋体" w:hAnsi="宋体" w:eastAsia="宋体" w:cs="宋体"/>
                <w:color w:val="auto"/>
                <w:sz w:val="21"/>
                <w:highlight w:val="none"/>
              </w:rPr>
              <w:t>采取随机抽取的方式确定</w:t>
            </w:r>
            <w:r>
              <w:rPr>
                <w:rFonts w:hint="eastAsia" w:ascii="宋体" w:hAnsi="宋体" w:eastAsia="宋体" w:cs="宋体"/>
                <w:color w:val="auto"/>
                <w:sz w:val="21"/>
                <w:highlight w:val="none"/>
                <w:lang w:eastAsia="zh-CN"/>
              </w:rPr>
              <w:t>。</w:t>
            </w:r>
          </w:p>
        </w:tc>
      </w:tr>
      <w:tr w14:paraId="54DEB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071AE8F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99B963">
            <w:pPr>
              <w:spacing w:line="380" w:lineRule="exact"/>
              <w:rPr>
                <w:rFonts w:hint="eastAsia" w:ascii="宋体" w:hAnsi="宋体" w:eastAsia="宋体" w:cs="宋体"/>
                <w:color w:val="auto"/>
                <w:sz w:val="21"/>
                <w:szCs w:val="21"/>
                <w:highlight w:val="none"/>
              </w:rPr>
            </w:pPr>
            <w:bookmarkStart w:id="101" w:name="_39.1"/>
            <w:bookmarkEnd w:id="101"/>
            <w:r>
              <w:rPr>
                <w:rFonts w:hint="eastAsia" w:ascii="宋体" w:hAnsi="宋体" w:eastAsia="宋体" w:cs="宋体"/>
                <w:color w:val="auto"/>
                <w:sz w:val="21"/>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7EBF9258">
            <w:pPr>
              <w:spacing w:line="360" w:lineRule="auto"/>
              <w:ind w:firstLine="0" w:firstLineChars="0"/>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p>
          <w:p w14:paraId="761B6F4F">
            <w:pPr>
              <w:spacing w:line="360" w:lineRule="auto"/>
              <w:ind w:firstLine="0" w:firstLineChars="0"/>
              <w:rPr>
                <w:rFonts w:hint="eastAsia"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w:t>
            </w:r>
            <w:r>
              <w:rPr>
                <w:rFonts w:hint="eastAsia" w:ascii="宋体" w:hAnsi="宋体" w:cs="宋体"/>
                <w:b/>
                <w:bCs/>
                <w:color w:val="auto"/>
                <w:szCs w:val="21"/>
                <w:highlight w:val="none"/>
                <w:lang w:eastAsia="zh-CN"/>
              </w:rPr>
              <w:t>保证金，</w:t>
            </w:r>
            <w:r>
              <w:rPr>
                <w:rFonts w:hint="eastAsia" w:ascii="宋体" w:hAnsi="宋体" w:cs="宋体"/>
                <w:b/>
                <w:bCs/>
                <w:color w:val="auto"/>
                <w:szCs w:val="21"/>
                <w:highlight w:val="none"/>
              </w:rPr>
              <w:t>相关要求</w:t>
            </w:r>
            <w:r>
              <w:rPr>
                <w:rFonts w:hint="eastAsia" w:ascii="宋体" w:hAnsi="宋体" w:cs="宋体"/>
                <w:b/>
                <w:bCs/>
                <w:color w:val="auto"/>
                <w:szCs w:val="21"/>
                <w:highlight w:val="none"/>
                <w:lang w:eastAsia="zh-CN"/>
              </w:rPr>
              <w:t>如下</w:t>
            </w:r>
            <w:r>
              <w:rPr>
                <w:rFonts w:hint="eastAsia" w:ascii="宋体" w:hAnsi="宋体" w:cs="宋体"/>
                <w:b/>
                <w:bCs/>
                <w:color w:val="auto"/>
                <w:szCs w:val="21"/>
                <w:highlight w:val="none"/>
              </w:rPr>
              <w:t>：</w:t>
            </w:r>
          </w:p>
          <w:p w14:paraId="2F010F33">
            <w:pPr>
              <w:numPr>
                <w:ilvl w:val="0"/>
                <w:numId w:val="5"/>
              </w:num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履约保证金金额：按</w:t>
            </w:r>
            <w:r>
              <w:rPr>
                <w:rFonts w:hint="eastAsia" w:ascii="宋体" w:hAnsi="宋体" w:eastAsia="宋体" w:cs="宋体"/>
                <w:color w:val="auto"/>
                <w:szCs w:val="21"/>
                <w:highlight w:val="none"/>
                <w:lang w:eastAsia="zh-CN"/>
              </w:rPr>
              <w:t>项目</w:t>
            </w:r>
            <w:r>
              <w:rPr>
                <w:rFonts w:hint="eastAsia" w:ascii="宋体" w:hAnsi="宋体" w:cs="宋体"/>
                <w:color w:val="auto"/>
                <w:szCs w:val="21"/>
                <w:highlight w:val="none"/>
                <w:lang w:eastAsia="zh-CN"/>
              </w:rPr>
              <w:t>中标总</w:t>
            </w:r>
            <w:r>
              <w:rPr>
                <w:rFonts w:hint="eastAsia" w:ascii="宋体" w:hAnsi="宋体" w:eastAsia="宋体" w:cs="宋体"/>
                <w:color w:val="auto"/>
                <w:szCs w:val="21"/>
                <w:highlight w:val="none"/>
              </w:rPr>
              <w:t>金额的</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D7C0D23">
            <w:pPr>
              <w:autoSpaceDE w:val="0"/>
              <w:autoSpaceDN w:val="0"/>
              <w:snapToGrid w:val="0"/>
              <w:spacing w:line="360" w:lineRule="auto"/>
              <w:textAlignment w:val="bottom"/>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履约保证金递交方式：</w:t>
            </w:r>
            <w:r>
              <w:rPr>
                <w:rFonts w:hint="eastAsia" w:ascii="宋体" w:hAnsi="宋体" w:cs="宋体"/>
                <w:color w:val="auto"/>
                <w:szCs w:val="21"/>
                <w:highlight w:val="none"/>
                <w:lang w:eastAsia="zh-CN"/>
              </w:rPr>
              <w:t>中标人</w:t>
            </w:r>
            <w:r>
              <w:rPr>
                <w:rFonts w:hint="eastAsia" w:ascii="宋体" w:hAnsi="宋体" w:cs="宋体"/>
                <w:color w:val="auto"/>
                <w:szCs w:val="21"/>
                <w:highlight w:val="none"/>
              </w:rPr>
              <w:t>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银行转账、支票、汇票、本票或者金融机构、担保机构出具的保函等非现金方式</w:t>
            </w:r>
            <w:r>
              <w:rPr>
                <w:rFonts w:hint="eastAsia" w:ascii="宋体" w:hAnsi="宋体" w:cs="宋体"/>
                <w:color w:val="auto"/>
                <w:szCs w:val="21"/>
                <w:highlight w:val="none"/>
                <w:lang w:eastAsia="zh-CN"/>
              </w:rPr>
              <w:t>向</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none"/>
                <w:lang w:val="en-US" w:eastAsia="zh-CN"/>
              </w:rPr>
              <w:t>提交</w:t>
            </w:r>
            <w:r>
              <w:rPr>
                <w:rFonts w:hint="eastAsia" w:ascii="宋体" w:hAnsi="宋体" w:cs="宋体"/>
                <w:color w:val="auto"/>
                <w:szCs w:val="21"/>
                <w:highlight w:val="none"/>
                <w:lang w:eastAsia="zh-CN"/>
              </w:rPr>
              <w:t>。</w:t>
            </w:r>
          </w:p>
          <w:p w14:paraId="4029F88C">
            <w:pPr>
              <w:autoSpaceDE w:val="0"/>
              <w:autoSpaceDN w:val="0"/>
              <w:snapToGrid w:val="0"/>
              <w:spacing w:line="360" w:lineRule="auto"/>
              <w:textAlignment w:val="bottom"/>
              <w:rPr>
                <w:rFonts w:hint="eastAsia" w:ascii="宋体" w:hAnsi="宋体" w:eastAsia="宋体" w:cs="宋体"/>
                <w:b w:val="0"/>
                <w:bCs w:val="0"/>
                <w:i/>
                <w:iCs/>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履约保证金退付方式、时间及条件：</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A0AD94B">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缴纳</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指定账户：</w:t>
            </w:r>
          </w:p>
          <w:p w14:paraId="4A6D0F01">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250F0C07">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7E0D2C32">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开户行行号：</w:t>
            </w:r>
            <w:r>
              <w:rPr>
                <w:rFonts w:hint="eastAsia" w:ascii="宋体" w:hAnsi="宋体" w:eastAsia="宋体" w:cs="宋体"/>
                <w:color w:val="auto"/>
                <w:szCs w:val="21"/>
                <w:highlight w:val="none"/>
                <w:u w:val="single"/>
              </w:rPr>
              <w:t xml:space="preserve">              </w:t>
            </w:r>
          </w:p>
          <w:p w14:paraId="63C434C4">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u w:val="single"/>
              </w:rPr>
              <w:t xml:space="preserve">                </w:t>
            </w:r>
          </w:p>
          <w:p w14:paraId="707C66FB">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6F9509B6">
            <w:pPr>
              <w:spacing w:line="360" w:lineRule="auto"/>
              <w:jc w:val="lef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 xml:space="preserve">1. </w:t>
            </w:r>
            <w:bookmarkStart w:id="102" w:name="_Hlk54170335"/>
            <w:r>
              <w:rPr>
                <w:rFonts w:hint="eastAsia" w:ascii="宋体" w:hAnsi="宋体" w:eastAsia="宋体" w:cs="宋体"/>
                <w:b/>
                <w:color w:val="auto"/>
                <w:szCs w:val="21"/>
                <w:highlight w:val="none"/>
              </w:rPr>
              <w:t>根据</w:t>
            </w:r>
            <w:r>
              <w:rPr>
                <w:rFonts w:hint="eastAsia" w:ascii="宋体" w:hAnsi="宋体"/>
                <w:b/>
                <w:color w:val="auto"/>
                <w:szCs w:val="21"/>
                <w:highlight w:val="none"/>
              </w:rPr>
              <w:t>《广西壮族自治区财政厅关于贯彻落实政府采购优化营商环境百日攻坚行动方案的通知》（桂财采〔2020〕49号）</w:t>
            </w:r>
            <w:r>
              <w:rPr>
                <w:rFonts w:hint="eastAsia" w:ascii="宋体" w:hAnsi="宋体"/>
                <w:b/>
                <w:color w:val="auto"/>
                <w:szCs w:val="21"/>
                <w:highlight w:val="none"/>
                <w:lang w:val="en-US" w:eastAsia="zh-CN"/>
              </w:rPr>
              <w:t>和</w:t>
            </w:r>
            <w:r>
              <w:rPr>
                <w:rFonts w:hint="eastAsia" w:ascii="宋体" w:hAnsi="宋体" w:eastAsia="宋体" w:cs="宋体"/>
                <w:b/>
                <w:color w:val="auto"/>
                <w:szCs w:val="21"/>
                <w:highlight w:val="none"/>
              </w:rPr>
              <w:t>《广西壮族自治区财政厅关于规范政府采购货物和服务项目保证金管理的通知》</w:t>
            </w:r>
            <w:r>
              <w:rPr>
                <w:rFonts w:hint="eastAsia" w:ascii="宋体" w:hAnsi="宋体" w:eastAsia="宋体" w:cs="宋体"/>
                <w:b/>
                <w:color w:val="auto"/>
                <w:szCs w:val="21"/>
                <w:highlight w:val="none"/>
                <w:lang w:eastAsia="zh-CN"/>
              </w:rPr>
              <w:t>（桂财规〔2022〕8号）</w:t>
            </w:r>
            <w:r>
              <w:rPr>
                <w:rFonts w:hint="eastAsia" w:ascii="宋体" w:hAnsi="宋体" w:eastAsia="宋体" w:cs="宋体"/>
                <w:b/>
                <w:color w:val="auto"/>
                <w:szCs w:val="21"/>
                <w:highlight w:val="none"/>
              </w:rPr>
              <w:t>规定，鼓励采购人在与</w:t>
            </w:r>
            <w:r>
              <w:rPr>
                <w:rFonts w:hint="eastAsia" w:ascii="宋体" w:hAnsi="宋体" w:eastAsia="宋体" w:cs="宋体"/>
                <w:b/>
                <w:i w:val="0"/>
                <w:caps w:val="0"/>
                <w:color w:val="auto"/>
                <w:spacing w:val="0"/>
                <w:sz w:val="21"/>
                <w:szCs w:val="21"/>
                <w:highlight w:val="none"/>
              </w:rPr>
              <w:t>中小微企业</w:t>
            </w:r>
            <w:r>
              <w:rPr>
                <w:rFonts w:hint="eastAsia" w:ascii="宋体" w:hAnsi="宋体" w:eastAsia="宋体" w:cs="宋体"/>
                <w:b/>
                <w:color w:val="auto"/>
                <w:szCs w:val="21"/>
                <w:highlight w:val="none"/>
              </w:rPr>
              <w:t>签订政府采购合同时，</w:t>
            </w:r>
            <w:r>
              <w:rPr>
                <w:rFonts w:hint="eastAsia" w:ascii="宋体" w:hAnsi="宋体" w:eastAsia="宋体" w:cs="宋体"/>
                <w:b/>
                <w:i w:val="0"/>
                <w:caps w:val="0"/>
                <w:color w:val="auto"/>
                <w:spacing w:val="0"/>
                <w:sz w:val="21"/>
                <w:szCs w:val="21"/>
                <w:highlight w:val="none"/>
              </w:rPr>
              <w:t>减少或免于收取履约保证金</w:t>
            </w:r>
            <w:r>
              <w:rPr>
                <w:rFonts w:hint="eastAsia" w:ascii="宋体" w:hAnsi="宋体" w:eastAsia="宋体" w:cs="宋体"/>
                <w:b/>
                <w:color w:val="auto"/>
                <w:szCs w:val="21"/>
                <w:highlight w:val="none"/>
              </w:rPr>
              <w:t>，有必要收取履约保证金的，收取的履约保证金不得超过政府采购合同金额的5%</w:t>
            </w:r>
            <w:r>
              <w:rPr>
                <w:rFonts w:hint="eastAsia" w:ascii="宋体" w:hAnsi="宋体" w:cs="宋体"/>
                <w:b/>
                <w:color w:val="auto"/>
                <w:szCs w:val="21"/>
                <w:highlight w:val="none"/>
                <w:lang w:eastAsia="zh-CN"/>
              </w:rPr>
              <w:t>，对中小企业收取的履约保证金数额不得超过政府采购合同金额的2%</w:t>
            </w:r>
            <w:r>
              <w:rPr>
                <w:rFonts w:hint="eastAsia" w:ascii="宋体" w:hAnsi="宋体" w:eastAsia="宋体" w:cs="宋体"/>
                <w:b/>
                <w:color w:val="auto"/>
                <w:szCs w:val="21"/>
                <w:highlight w:val="none"/>
              </w:rPr>
              <w:t>。</w:t>
            </w:r>
            <w:bookmarkEnd w:id="102"/>
          </w:p>
          <w:p w14:paraId="06133F3E">
            <w:pPr>
              <w:pStyle w:val="17"/>
              <w:rPr>
                <w:rFonts w:hint="eastAsia"/>
                <w:color w:val="auto"/>
                <w:highlight w:val="none"/>
                <w:lang w:eastAsia="zh-CN"/>
              </w:rPr>
            </w:pPr>
          </w:p>
          <w:p w14:paraId="2572DACA">
            <w:pPr>
              <w:pStyle w:val="17"/>
              <w:rPr>
                <w:rFonts w:hint="eastAsia"/>
                <w:color w:val="auto"/>
                <w:highlight w:val="none"/>
                <w:lang w:eastAsia="zh-CN"/>
              </w:rPr>
            </w:pPr>
          </w:p>
          <w:p w14:paraId="552CB5D6">
            <w:pPr>
              <w:pStyle w:val="17"/>
              <w:rPr>
                <w:rFonts w:hint="eastAsia"/>
                <w:color w:val="auto"/>
                <w:highlight w:val="none"/>
                <w:lang w:eastAsia="zh-CN"/>
              </w:rPr>
            </w:pPr>
          </w:p>
          <w:p w14:paraId="1C91731A">
            <w:pPr>
              <w:spacing w:line="360" w:lineRule="auto"/>
              <w:jc w:val="left"/>
              <w:rPr>
                <w:rFonts w:hint="eastAsia" w:ascii="宋体" w:hAnsi="宋体" w:eastAsia="宋体" w:cs="宋体"/>
                <w:b/>
                <w:color w:val="auto"/>
                <w:szCs w:val="21"/>
                <w:highlight w:val="none"/>
                <w:lang w:eastAsia="zh-CN"/>
              </w:rPr>
            </w:pPr>
            <w:r>
              <w:rPr>
                <w:rFonts w:hint="eastAsia" w:ascii="宋体" w:hAnsi="宋体" w:cs="宋体"/>
                <w:color w:val="auto"/>
                <w:szCs w:val="21"/>
                <w:highlight w:val="none"/>
                <w:lang w:val="en-US" w:eastAsia="zh-CN"/>
              </w:rPr>
              <w:t xml:space="preserve">  </w:t>
            </w:r>
            <w:r>
              <w:rPr>
                <w:rFonts w:hint="eastAsia" w:ascii="宋体" w:hAnsi="宋体" w:eastAsia="宋体" w:cs="宋体"/>
                <w:b/>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778FD0F">
            <w:pPr>
              <w:pStyle w:val="17"/>
              <w:rPr>
                <w:rFonts w:hint="eastAsia"/>
                <w:color w:val="auto"/>
                <w:highlight w:val="none"/>
                <w:lang w:eastAsia="zh-CN"/>
              </w:rPr>
            </w:pPr>
          </w:p>
          <w:p w14:paraId="13642743">
            <w:pPr>
              <w:pStyle w:val="17"/>
              <w:rPr>
                <w:rFonts w:hint="eastAsia"/>
                <w:color w:val="auto"/>
                <w:highlight w:val="none"/>
                <w:lang w:eastAsia="zh-CN"/>
              </w:rPr>
            </w:pPr>
          </w:p>
          <w:p w14:paraId="5586CB23">
            <w:pPr>
              <w:pStyle w:val="17"/>
              <w:rPr>
                <w:rFonts w:hint="eastAsia"/>
                <w:color w:val="auto"/>
                <w:highlight w:val="none"/>
                <w:lang w:eastAsia="zh-CN"/>
              </w:rPr>
            </w:pPr>
          </w:p>
          <w:p w14:paraId="76A8BF6A">
            <w:pPr>
              <w:spacing w:line="360" w:lineRule="auto"/>
              <w:jc w:val="left"/>
              <w:rPr>
                <w:rFonts w:hint="eastAsia" w:ascii="宋体" w:hAnsi="宋体" w:eastAsia="宋体" w:cs="宋体"/>
                <w:b/>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eastAsia="宋体" w:cs="宋体"/>
                <w:b/>
                <w:color w:val="auto"/>
                <w:szCs w:val="21"/>
                <w:highlight w:val="none"/>
              </w:rPr>
              <w:t>3.采用金融、担保机构出具的保函的，必须为无条件保函，否则不予签订合同。</w:t>
            </w:r>
          </w:p>
          <w:p w14:paraId="4D355966">
            <w:pPr>
              <w:autoSpaceDE w:val="0"/>
              <w:autoSpaceDN w:val="0"/>
              <w:snapToGrid w:val="0"/>
              <w:spacing w:line="380" w:lineRule="exact"/>
              <w:jc w:val="left"/>
              <w:textAlignment w:val="bottom"/>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rPr>
              <w:t>4.投标人为联合体的，由联合体其中一方按规定提交的履约保证金，视为有效履约保证金。</w:t>
            </w:r>
          </w:p>
        </w:tc>
      </w:tr>
      <w:tr w14:paraId="47C83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31EE4F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A8E94C">
            <w:pPr>
              <w:spacing w:line="380" w:lineRule="exact"/>
              <w:rPr>
                <w:rFonts w:hint="eastAsia" w:ascii="宋体" w:hAnsi="宋体" w:eastAsia="宋体" w:cs="宋体"/>
                <w:color w:val="auto"/>
                <w:sz w:val="21"/>
                <w:szCs w:val="21"/>
                <w:highlight w:val="none"/>
              </w:rPr>
            </w:pPr>
            <w:bookmarkStart w:id="103" w:name="_40.1"/>
            <w:bookmarkEnd w:id="103"/>
            <w:r>
              <w:rPr>
                <w:rFonts w:hint="eastAsia" w:ascii="宋体" w:hAnsi="宋体" w:eastAsia="宋体" w:cs="宋体"/>
                <w:color w:val="auto"/>
                <w:sz w:val="21"/>
                <w:szCs w:val="21"/>
                <w:highlight w:val="none"/>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22B34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74E8AA5B">
            <w:pPr>
              <w:autoSpaceDE w:val="0"/>
              <w:autoSpaceDN w:val="0"/>
              <w:snapToGrid w:val="0"/>
              <w:spacing w:line="380" w:lineRule="exac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法定代表人负责签订合同的，须携带法定代表人身份证明原件及身份证原件等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证明材料。</w:t>
            </w:r>
          </w:p>
        </w:tc>
      </w:tr>
      <w:tr w14:paraId="126AF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067D18F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440256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8B823F8">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以书面形式</w:t>
            </w:r>
          </w:p>
        </w:tc>
      </w:tr>
      <w:tr w14:paraId="3CD3B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38A0C30">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693ACE">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7EBBE87">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104" w:name="PO_3000001868_PM031_3"/>
            <w:r>
              <w:rPr>
                <w:rFonts w:hint="eastAsia" w:ascii="宋体" w:hAnsi="宋体" w:eastAsia="宋体" w:cs="宋体"/>
                <w:color w:val="auto"/>
                <w:szCs w:val="21"/>
                <w:highlight w:val="none"/>
                <w:lang w:eastAsia="zh-CN"/>
              </w:rPr>
              <w:t>名称：</w:t>
            </w:r>
            <w:bookmarkEnd w:id="104"/>
            <w:r>
              <w:rPr>
                <w:rFonts w:hint="eastAsia" w:ascii="宋体" w:hAnsi="宋体" w:eastAsia="宋体" w:cs="宋体"/>
                <w:color w:val="auto"/>
                <w:szCs w:val="21"/>
                <w:highlight w:val="none"/>
                <w:lang w:eastAsia="zh-CN"/>
              </w:rPr>
              <w:t>梧州市人民警察训练学校</w:t>
            </w:r>
          </w:p>
          <w:p w14:paraId="7469886C">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0774-</w:t>
            </w:r>
            <w:r>
              <w:rPr>
                <w:rFonts w:hint="eastAsia"/>
                <w:color w:val="auto"/>
                <w:highlight w:val="none"/>
              </w:rPr>
              <w:t>3898306</w:t>
            </w:r>
          </w:p>
          <w:p w14:paraId="7A4D9C5A">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通讯地址：梧州市万秀区西江四路66号  </w:t>
            </w:r>
          </w:p>
          <w:p w14:paraId="68D8C8C6">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bCs/>
                <w:color w:val="auto"/>
                <w:szCs w:val="21"/>
                <w:highlight w:val="none"/>
              </w:rPr>
              <w:t>广西科联招标中心有限公司</w:t>
            </w:r>
          </w:p>
          <w:p w14:paraId="2E3F5021">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17777405988</w:t>
            </w:r>
          </w:p>
          <w:p w14:paraId="6FA90079">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通讯地址：</w:t>
            </w:r>
            <w:r>
              <w:rPr>
                <w:rFonts w:hint="eastAsia" w:hAnsi="宋体"/>
                <w:color w:val="auto"/>
                <w:sz w:val="21"/>
                <w:szCs w:val="21"/>
                <w:highlight w:val="none"/>
                <w:u w:val="single"/>
                <w:lang w:val="en-US" w:eastAsia="zh-CN"/>
              </w:rPr>
              <w:t>广西梧州市长洲区新兴二路116号6楼广西科联招标中心有限公司梧州分公司</w:t>
            </w:r>
          </w:p>
        </w:tc>
      </w:tr>
      <w:tr w14:paraId="6AAE0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4A9ADD1">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01FBA76">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E72C6D">
            <w:pPr>
              <w:snapToGrid w:val="0"/>
              <w:spacing w:line="38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质疑期内每个工作日（北京时间）</w:t>
            </w:r>
            <w:r>
              <w:rPr>
                <w:rFonts w:hint="eastAsia" w:ascii="宋体" w:hAnsi="宋体" w:cs="宋体"/>
                <w:color w:val="auto"/>
                <w:sz w:val="21"/>
                <w:szCs w:val="21"/>
                <w:highlight w:val="none"/>
                <w:lang w:eastAsia="zh-CN"/>
              </w:rPr>
              <w:t>上午</w:t>
            </w:r>
            <w:r>
              <w:rPr>
                <w:rFonts w:hint="eastAsia" w:ascii="宋体" w:hAnsi="宋体" w:eastAsia="宋体" w:cs="宋体"/>
                <w:color w:val="auto"/>
                <w:sz w:val="21"/>
                <w:szCs w:val="21"/>
                <w:highlight w:val="none"/>
                <w:u w:val="single"/>
              </w:rPr>
              <w:t>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12</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下午</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分到</w:t>
            </w:r>
            <w:r>
              <w:rPr>
                <w:rFonts w:hint="eastAsia" w:ascii="宋体" w:hAnsi="宋体" w:eastAsia="宋体" w:cs="宋体"/>
                <w:color w:val="auto"/>
                <w:sz w:val="21"/>
                <w:szCs w:val="21"/>
                <w:highlight w:val="none"/>
                <w:u w:val="single"/>
              </w:rPr>
              <w:t>18</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00</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tc>
      </w:tr>
      <w:tr w14:paraId="3B500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675" w:type="dxa"/>
            <w:tcBorders>
              <w:top w:val="nil"/>
              <w:left w:val="single" w:color="auto" w:sz="4" w:space="0"/>
              <w:bottom w:val="single" w:color="auto" w:sz="4" w:space="0"/>
              <w:right w:val="single" w:color="auto" w:sz="4" w:space="0"/>
            </w:tcBorders>
            <w:noWrap w:val="0"/>
            <w:vAlign w:val="center"/>
          </w:tcPr>
          <w:p w14:paraId="4DCB02A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F461E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CADD5C3">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5071E871">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通讯方式</w:t>
            </w:r>
          </w:p>
          <w:p w14:paraId="19FDCAE4">
            <w:pPr>
              <w:snapToGrid w:val="0"/>
              <w:spacing w:line="380" w:lineRule="exact"/>
              <w:rPr>
                <w:rFonts w:ascii="宋体" w:hAnsi="宋体" w:cs="宋体"/>
                <w:color w:val="auto"/>
                <w:highlight w:val="none"/>
              </w:rPr>
            </w:pPr>
            <w:r>
              <w:rPr>
                <w:rFonts w:hint="eastAsia" w:ascii="宋体" w:hAnsi="宋体" w:cs="宋体"/>
                <w:color w:val="auto"/>
                <w:highlight w:val="none"/>
              </w:rPr>
              <w:t>名称：梧州市财政局</w:t>
            </w:r>
          </w:p>
          <w:p w14:paraId="4A6D8D2C">
            <w:pPr>
              <w:snapToGrid w:val="0"/>
              <w:spacing w:line="380" w:lineRule="exact"/>
              <w:rPr>
                <w:rFonts w:ascii="宋体" w:hAnsi="宋体" w:cs="宋体"/>
                <w:color w:val="auto"/>
                <w:highlight w:val="none"/>
              </w:rPr>
            </w:pPr>
            <w:r>
              <w:rPr>
                <w:rFonts w:hint="eastAsia" w:ascii="宋体" w:hAnsi="宋体" w:cs="宋体"/>
                <w:color w:val="auto"/>
                <w:highlight w:val="none"/>
              </w:rPr>
              <w:t>地址：梧州市三龙大道红岭大厦22楼</w:t>
            </w:r>
          </w:p>
          <w:p w14:paraId="754F1ADA">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朱</w:t>
            </w:r>
            <w:r>
              <w:rPr>
                <w:rFonts w:hint="eastAsia" w:ascii="宋体" w:hAnsi="宋体" w:cs="宋体"/>
                <w:color w:val="auto"/>
                <w:highlight w:val="none"/>
              </w:rPr>
              <w:t>科  联系电话：0774-3866434</w:t>
            </w:r>
          </w:p>
        </w:tc>
      </w:tr>
      <w:tr w14:paraId="6C23E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6F40A1A2">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4E1577">
            <w:pPr>
              <w:spacing w:line="380" w:lineRule="exact"/>
              <w:rPr>
                <w:rFonts w:hint="eastAsia" w:ascii="宋体" w:hAnsi="宋体" w:eastAsia="宋体" w:cs="宋体"/>
                <w:color w:val="auto"/>
                <w:sz w:val="21"/>
                <w:szCs w:val="21"/>
                <w:highlight w:val="none"/>
              </w:rPr>
            </w:pPr>
            <w:bookmarkStart w:id="105" w:name="_42"/>
            <w:bookmarkEnd w:id="105"/>
            <w:bookmarkStart w:id="106" w:name="_41"/>
            <w:bookmarkEnd w:id="106"/>
            <w:r>
              <w:rPr>
                <w:rFonts w:hint="eastAsia" w:ascii="宋体" w:hAnsi="宋体" w:eastAsia="宋体" w:cs="宋体"/>
                <w:color w:val="auto"/>
                <w:sz w:val="21"/>
                <w:szCs w:val="21"/>
                <w:highlight w:val="none"/>
              </w:rPr>
              <w:t>采购代理</w:t>
            </w:r>
            <w:r>
              <w:rPr>
                <w:rFonts w:hint="eastAsia" w:ascii="宋体" w:hAnsi="宋体" w:cs="宋体"/>
                <w:color w:val="auto"/>
                <w:sz w:val="21"/>
                <w:szCs w:val="21"/>
                <w:highlight w:val="none"/>
                <w:lang w:eastAsia="zh-CN"/>
              </w:rPr>
              <w:t>服务</w:t>
            </w:r>
            <w:r>
              <w:rPr>
                <w:rFonts w:hint="eastAsia" w:ascii="宋体" w:hAnsi="宋体" w:eastAsia="宋体" w:cs="宋体"/>
                <w:color w:val="auto"/>
                <w:sz w:val="21"/>
                <w:szCs w:val="21"/>
                <w:highlight w:val="none"/>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C29D7DB">
            <w:pPr>
              <w:pStyle w:val="15"/>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本项目</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代理服务费由</w:t>
            </w:r>
            <w:r>
              <w:rPr>
                <w:rFonts w:hint="eastAsia" w:ascii="宋体" w:hAnsi="宋体" w:eastAsia="宋体" w:cs="宋体"/>
                <w:color w:val="auto"/>
                <w:sz w:val="21"/>
                <w:szCs w:val="21"/>
                <w:highlight w:val="none"/>
                <w:u w:val="single"/>
              </w:rPr>
              <w:t>中标人</w:t>
            </w:r>
            <w:r>
              <w:rPr>
                <w:rFonts w:hint="eastAsia" w:hAnsi="宋体" w:cs="宋体"/>
                <w:color w:val="auto"/>
                <w:highlight w:val="none"/>
              </w:rPr>
              <w:t>在</w:t>
            </w:r>
            <w:r>
              <w:rPr>
                <w:rFonts w:hint="eastAsia" w:hAnsi="宋体" w:eastAsia="宋体" w:cs="宋体"/>
                <w:color w:val="auto"/>
                <w:sz w:val="21"/>
                <w:highlight w:val="none"/>
                <w:lang w:val="en-US" w:eastAsia="zh-CN"/>
              </w:rPr>
              <w:t>签订合同</w:t>
            </w:r>
            <w:r>
              <w:rPr>
                <w:rFonts w:hint="eastAsia" w:hAnsi="宋体" w:cs="宋体"/>
                <w:color w:val="auto"/>
                <w:highlight w:val="none"/>
              </w:rPr>
              <w:t>前，</w:t>
            </w:r>
            <w:r>
              <w:rPr>
                <w:rFonts w:hint="eastAsia" w:hAnsi="宋体" w:eastAsia="宋体" w:cs="宋体"/>
                <w:color w:val="auto"/>
                <w:sz w:val="21"/>
                <w:highlight w:val="none"/>
                <w:lang w:val="en-US" w:eastAsia="zh-CN"/>
              </w:rPr>
              <w:t>以银行转账、电汇等方式</w:t>
            </w:r>
            <w:r>
              <w:rPr>
                <w:rFonts w:hint="eastAsia" w:hAnsi="宋体" w:cs="宋体"/>
                <w:color w:val="auto"/>
                <w:highlight w:val="none"/>
              </w:rPr>
              <w:t>一次性向采购代理机构支付</w:t>
            </w:r>
            <w:r>
              <w:rPr>
                <w:rFonts w:hint="eastAsia" w:ascii="宋体" w:hAnsi="宋体" w:eastAsia="宋体" w:cs="宋体"/>
                <w:color w:val="auto"/>
                <w:sz w:val="21"/>
                <w:szCs w:val="21"/>
                <w:highlight w:val="none"/>
              </w:rPr>
              <w:t>。</w:t>
            </w:r>
          </w:p>
          <w:p w14:paraId="38066B36">
            <w:pPr>
              <w:pStyle w:val="15"/>
              <w:snapToGrid w:val="0"/>
              <w:spacing w:line="380" w:lineRule="exact"/>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采购人支付</w:t>
            </w:r>
            <w:r>
              <w:rPr>
                <w:rFonts w:hint="eastAsia" w:hAnsi="宋体" w:cs="宋体"/>
                <w:color w:val="auto"/>
                <w:highlight w:val="none"/>
                <w:lang w:eastAsia="zh-CN"/>
              </w:rPr>
              <w:t>：</w:t>
            </w:r>
            <w:r>
              <w:rPr>
                <w:rFonts w:hint="eastAsia" w:hAnsi="宋体" w:eastAsia="宋体" w:cs="宋体"/>
                <w:i/>
                <w:iCs/>
                <w:color w:val="auto"/>
                <w:sz w:val="21"/>
                <w:highlight w:val="none"/>
                <w:u w:val="single"/>
                <w:lang w:val="en-US" w:eastAsia="zh-CN"/>
              </w:rPr>
              <w:t>（支付方式）</w:t>
            </w:r>
            <w:r>
              <w:rPr>
                <w:rFonts w:hint="eastAsia" w:hAnsi="宋体" w:cs="宋体"/>
                <w:i w:val="0"/>
                <w:iCs w:val="0"/>
                <w:color w:val="auto"/>
                <w:sz w:val="21"/>
                <w:highlight w:val="none"/>
                <w:u w:val="single"/>
                <w:lang w:val="en-US" w:eastAsia="zh-CN"/>
              </w:rPr>
              <w:t>。</w:t>
            </w:r>
          </w:p>
          <w:p w14:paraId="498A185C">
            <w:pPr>
              <w:pStyle w:val="15"/>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□本项目不收取</w:t>
            </w:r>
            <w:r>
              <w:rPr>
                <w:rFonts w:hint="eastAsia"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w:t>
            </w:r>
          </w:p>
        </w:tc>
      </w:tr>
      <w:tr w14:paraId="5423AA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390771CD">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6C38FE3">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AA847E8">
            <w:pPr>
              <w:snapToGrid w:val="0"/>
              <w:spacing w:line="380" w:lineRule="exact"/>
              <w:rPr>
                <w:rFonts w:hint="eastAsia" w:ascii="宋体" w:hAnsi="宋体" w:eastAsia="宋体" w:cs="宋体"/>
                <w:color w:val="auto"/>
                <w:szCs w:val="20"/>
                <w:highlight w:val="none"/>
              </w:rPr>
            </w:pP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以</w:t>
            </w:r>
            <w:r>
              <w:rPr>
                <w:rFonts w:hint="eastAsia" w:hAnsi="宋体" w:cs="宋体"/>
                <w:color w:val="auto"/>
                <w:kern w:val="0"/>
                <w:szCs w:val="21"/>
                <w:highlight w:val="none"/>
                <w:lang w:eastAsia="zh-CN"/>
              </w:rPr>
              <w:t>项目</w:t>
            </w:r>
            <w:r>
              <w:rPr>
                <w:rFonts w:hint="eastAsia" w:ascii="宋体" w:hAnsi="宋体" w:eastAsia="宋体" w:cs="宋体"/>
                <w:color w:val="auto"/>
                <w:szCs w:val="20"/>
                <w:highlight w:val="none"/>
              </w:rPr>
              <w:t>（</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中标金额/</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采购预算/□暂定中标金额/□其他</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rPr>
              <w:t>）为计费额，按本须知正文第40.2条规定的收费计算标准（</w:t>
            </w:r>
            <w:r>
              <w:rPr>
                <w:rFonts w:hint="eastAsia" w:ascii="宋体" w:hAnsi="宋体" w:cs="宋体"/>
                <w:color w:val="auto"/>
                <w:szCs w:val="20"/>
                <w:highlight w:val="none"/>
                <w:lang w:eastAsia="zh-CN"/>
              </w:rPr>
              <w:t>服务</w:t>
            </w:r>
            <w:r>
              <w:rPr>
                <w:rFonts w:hint="eastAsia" w:ascii="宋体" w:hAnsi="宋体" w:eastAsia="宋体" w:cs="宋体"/>
                <w:color w:val="auto"/>
                <w:szCs w:val="20"/>
                <w:highlight w:val="none"/>
              </w:rPr>
              <w:t>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eastAsia="宋体" w:cs="宋体"/>
                <w:color w:val="auto"/>
                <w:szCs w:val="20"/>
                <w:highlight w:val="none"/>
              </w:rPr>
              <w:t>收费基准价格/□收费基准价格下浮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ascii="宋体" w:hAnsi="宋体" w:eastAsia="宋体" w:cs="宋体"/>
                <w:color w:val="auto"/>
                <w:szCs w:val="20"/>
                <w:highlight w:val="none"/>
              </w:rPr>
              <w:t>/</w:t>
            </w:r>
            <w:r>
              <w:rPr>
                <w:rFonts w:hint="eastAsia" w:ascii="宋体" w:hAnsi="宋体" w:eastAsia="宋体" w:cs="宋体"/>
                <w:color w:val="auto"/>
                <w:szCs w:val="20"/>
                <w:highlight w:val="none"/>
              </w:rPr>
              <w:t>□收费基准价格上浮</w:t>
            </w:r>
            <w:r>
              <w:rPr>
                <w:rFonts w:hint="eastAsia" w:ascii="宋体" w:hAnsi="宋体" w:eastAsia="宋体" w:cs="宋体"/>
                <w:color w:val="auto"/>
                <w:szCs w:val="20"/>
                <w:highlight w:val="none"/>
                <w:u w:val="single"/>
              </w:rPr>
              <w:t xml:space="preserve"> </w:t>
            </w:r>
            <w:r>
              <w:rPr>
                <w:rFonts w:ascii="宋体" w:hAnsi="宋体" w:eastAsia="宋体" w:cs="宋体"/>
                <w:color w:val="auto"/>
                <w:szCs w:val="20"/>
                <w:highlight w:val="none"/>
                <w:u w:val="single"/>
              </w:rPr>
              <w:t xml:space="preserve">  </w:t>
            </w:r>
            <w:r>
              <w:rPr>
                <w:rFonts w:hint="eastAsia" w:ascii="宋体" w:hAnsi="宋体" w:eastAsia="宋体" w:cs="宋体"/>
                <w:color w:val="auto"/>
                <w:szCs w:val="20"/>
                <w:highlight w:val="none"/>
                <w:u w:val="single"/>
              </w:rPr>
              <w:t>%</w:t>
            </w:r>
            <w:r>
              <w:rPr>
                <w:rFonts w:hint="eastAsia" w:ascii="宋体" w:hAnsi="宋体" w:eastAsia="宋体" w:cs="宋体"/>
                <w:color w:val="auto"/>
                <w:szCs w:val="20"/>
                <w:highlight w:val="none"/>
              </w:rPr>
              <w:t>）收取。</w:t>
            </w:r>
          </w:p>
          <w:p w14:paraId="13000812">
            <w:pPr>
              <w:pStyle w:val="15"/>
              <w:snapToGrid w:val="0"/>
              <w:spacing w:line="380" w:lineRule="exact"/>
              <w:rPr>
                <w:rFonts w:hint="default" w:ascii="宋体" w:hAnsi="宋体" w:eastAsia="宋体" w:cs="宋体"/>
                <w:color w:val="auto"/>
                <w:sz w:val="21"/>
                <w:szCs w:val="21"/>
                <w:highlight w:val="none"/>
                <w:u w:val="single"/>
                <w:lang w:val="en-US" w:eastAsia="zh-CN"/>
              </w:rPr>
            </w:pPr>
            <w:r>
              <w:rPr>
                <w:rFonts w:hint="eastAsia" w:hAnsi="宋体" w:cs="宋体"/>
                <w:color w:val="auto"/>
                <w:szCs w:val="20"/>
                <w:highlight w:val="none"/>
                <w:lang w:eastAsia="zh-CN"/>
              </w:rPr>
              <w:t>□</w:t>
            </w:r>
            <w:r>
              <w:rPr>
                <w:rFonts w:hint="eastAsia" w:ascii="宋体" w:hAnsi="宋体" w:eastAsia="宋体" w:cs="宋体"/>
                <w:color w:val="auto"/>
                <w:szCs w:val="20"/>
                <w:highlight w:val="none"/>
              </w:rPr>
              <w:t>固定采购代理收费：</w:t>
            </w:r>
            <w:r>
              <w:rPr>
                <w:rFonts w:hint="eastAsia" w:hAnsi="宋体" w:cs="宋体"/>
                <w:color w:val="auto"/>
                <w:szCs w:val="20"/>
                <w:highlight w:val="none"/>
                <w:u w:val="single"/>
                <w:lang w:eastAsia="zh-CN"/>
              </w:rPr>
              <w:t xml:space="preserve"> </w:t>
            </w:r>
            <w:r>
              <w:rPr>
                <w:rFonts w:hint="eastAsia" w:hAnsi="宋体" w:cs="宋体"/>
                <w:color w:val="auto"/>
                <w:szCs w:val="20"/>
                <w:highlight w:val="none"/>
                <w:u w:val="single"/>
                <w:lang w:val="en-US" w:eastAsia="zh-CN"/>
              </w:rPr>
              <w:t xml:space="preserve">          。</w:t>
            </w:r>
          </w:p>
        </w:tc>
      </w:tr>
      <w:tr w14:paraId="5D5E9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E384DCC">
            <w:pPr>
              <w:widowControl/>
              <w:jc w:val="left"/>
              <w:rPr>
                <w:rFonts w:hint="eastAsia" w:ascii="宋体" w:hAnsi="宋体" w:eastAsia="宋体" w:cs="宋体"/>
                <w:color w:val="auto"/>
                <w:sz w:val="21"/>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3BADE98">
            <w:pPr>
              <w:spacing w:line="380" w:lineRule="exac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1ABF4A1">
            <w:pPr>
              <w:pStyle w:val="15"/>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开户单位名称：广西科联招标中心有限公司梧州分公司</w:t>
            </w:r>
          </w:p>
          <w:p w14:paraId="5CB22FEE">
            <w:pPr>
              <w:pStyle w:val="15"/>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开户账号：45050164865600001002</w:t>
            </w:r>
          </w:p>
          <w:p w14:paraId="76462F12">
            <w:pPr>
              <w:pStyle w:val="15"/>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开户银行：中国建设银行股份有限公司梧州河西支行</w:t>
            </w:r>
          </w:p>
        </w:tc>
      </w:tr>
      <w:tr w14:paraId="3728B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68993F01">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E6DDC37">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A06D755">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w:t>
            </w:r>
            <w:r>
              <w:rPr>
                <w:rFonts w:hint="eastAsia" w:ascii="宋体" w:hAnsi="宋体" w:eastAsia="宋体" w:cs="宋体"/>
                <w:color w:val="auto"/>
                <w:sz w:val="21"/>
                <w:szCs w:val="21"/>
                <w:highlight w:val="none"/>
              </w:rPr>
              <w:t>构成本招标文件的各个组成文件应互为解释，互为说明；除招标文件中有特别规定外，仅适用于招标投标阶段的规定，按更正公告（澄清公告）、招标公告、采购需求、投标人须知、评标方法</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auto"/>
                <w:sz w:val="21"/>
                <w:szCs w:val="21"/>
                <w:highlight w:val="none"/>
              </w:rPr>
              <w:t>，由采购人或者采购代理机构负责解释。</w:t>
            </w:r>
          </w:p>
          <w:p w14:paraId="3B4DB391">
            <w:pPr>
              <w:snapToGrid w:val="0"/>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法律责任：</w:t>
            </w:r>
          </w:p>
          <w:p w14:paraId="482EECF0">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本采购文件根据《中华人民共和国政府采购法》、《中华人民共和国民法典》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Cs w:val="21"/>
                <w:highlight w:val="none"/>
              </w:rPr>
              <w:t>政府采购货物和服务招标投标管理办法</w:t>
            </w:r>
            <w:r>
              <w:rPr>
                <w:rFonts w:hint="eastAsia" w:ascii="宋体" w:hAnsi="宋体" w:eastAsia="宋体" w:cs="宋体"/>
                <w:color w:val="auto"/>
                <w:sz w:val="21"/>
                <w:szCs w:val="21"/>
                <w:highlight w:val="none"/>
              </w:rPr>
              <w:t>》等有关法律、法规编制，参与本项目的各政府采购当事人依法享有上述法律法规所赋予的权利与义务。</w:t>
            </w:r>
          </w:p>
        </w:tc>
      </w:tr>
      <w:tr w14:paraId="58F49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14:paraId="2C5BBD34">
            <w:pPr>
              <w:snapToGri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C052367">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ED07BF">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1.本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的“公章”是指根据我国对公章的管理规定，用投标人法定主体行为名称制作的</w:t>
            </w:r>
            <w:r>
              <w:rPr>
                <w:rFonts w:hint="eastAsia" w:ascii="宋体" w:hAnsi="宋体" w:eastAsia="宋体" w:cs="宋体"/>
                <w:color w:val="auto"/>
                <w:kern w:val="2"/>
                <w:szCs w:val="21"/>
                <w:highlight w:val="none"/>
                <w:lang w:eastAsia="zh-CN"/>
              </w:rPr>
              <w:t>实物</w:t>
            </w:r>
            <w:r>
              <w:rPr>
                <w:rFonts w:hint="eastAsia" w:ascii="宋体" w:hAnsi="宋体" w:eastAsia="宋体" w:cs="宋体"/>
                <w:color w:val="auto"/>
                <w:kern w:val="2"/>
                <w:szCs w:val="21"/>
                <w:highlight w:val="none"/>
              </w:rPr>
              <w:t>印章</w:t>
            </w:r>
            <w:r>
              <w:rPr>
                <w:rFonts w:hint="eastAsia" w:ascii="宋体" w:hAnsi="宋体" w:eastAsia="宋体" w:cs="宋体"/>
                <w:color w:val="auto"/>
                <w:kern w:val="2"/>
                <w:szCs w:val="21"/>
                <w:highlight w:val="none"/>
                <w:lang w:eastAsia="zh-CN"/>
              </w:rPr>
              <w:t>或投标人</w:t>
            </w:r>
            <w:r>
              <w:rPr>
                <w:rFonts w:hint="eastAsia" w:ascii="宋体" w:hAnsi="宋体" w:eastAsia="宋体" w:cs="宋体"/>
                <w:color w:val="auto"/>
                <w:kern w:val="2"/>
                <w:szCs w:val="21"/>
                <w:highlight w:val="none"/>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71B513F2">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2.本</w:t>
            </w:r>
            <w:r>
              <w:rPr>
                <w:rFonts w:hint="eastAsia" w:ascii="宋体" w:hAnsi="宋体" w:eastAsia="宋体" w:cs="宋体"/>
                <w:color w:val="auto"/>
                <w:kern w:val="2"/>
                <w:szCs w:val="21"/>
                <w:highlight w:val="none"/>
                <w:lang w:eastAsia="zh-CN"/>
              </w:rPr>
              <w:t>招标</w:t>
            </w:r>
            <w:r>
              <w:rPr>
                <w:rFonts w:hint="eastAsia" w:ascii="宋体" w:hAnsi="宋体" w:eastAsia="宋体" w:cs="宋体"/>
                <w:color w:val="auto"/>
                <w:kern w:val="2"/>
                <w:szCs w:val="21"/>
                <w:highlight w:val="none"/>
              </w:rPr>
              <w:t>文件中描述</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的“签字”是指</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通过指定电子化政府采购平台办理数字证书（CA认证）获得的以</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法定代表人或者委托代理人姓名制作的电子印章或手写签字。</w:t>
            </w:r>
          </w:p>
          <w:p w14:paraId="487B8DAD">
            <w:pPr>
              <w:pStyle w:val="10"/>
              <w:tabs>
                <w:tab w:val="center" w:pos="4153"/>
                <w:tab w:val="right" w:pos="8306"/>
              </w:tabs>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Cs w:val="21"/>
                <w:highlight w:val="none"/>
                <w:lang w:val="en-US" w:eastAsia="zh-CN"/>
              </w:rPr>
              <w:t>3.本招标文件所称的“电子签章”“电子签名”，是指经</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kern w:val="2"/>
                <w:szCs w:val="21"/>
                <w:highlight w:val="none"/>
                <w:lang w:val="en-US" w:eastAsia="zh-CN"/>
              </w:rPr>
              <w:t>认可的CA认证的电子签名数据为表现形式的印章，可用于签署电子投标文件，电子印章与实物印章具有同等法律效力，不因其采用电子化表现形式而否定其法律效力。</w:t>
            </w:r>
          </w:p>
          <w:p w14:paraId="5001DCD7">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4</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投标人</w:t>
            </w:r>
            <w:r>
              <w:rPr>
                <w:rFonts w:hint="eastAsia" w:ascii="宋体" w:hAnsi="宋体" w:eastAsia="宋体" w:cs="宋体"/>
                <w:color w:val="auto"/>
                <w:kern w:val="2"/>
                <w:szCs w:val="21"/>
                <w:highlight w:val="none"/>
              </w:rPr>
              <w:t>为其他组织或者自然人时，本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规定的法定代表人指负责人或者自然人。本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所称负责人是指参加</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标的其他组织营业执照上的负责人，本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所称自然人指参与</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标的自然人本人。</w:t>
            </w:r>
          </w:p>
          <w:p w14:paraId="23616483">
            <w:pPr>
              <w:pStyle w:val="10"/>
              <w:ind w:firstLine="420" w:firstLineChars="200"/>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lang w:val="en-US" w:eastAsia="zh-CN"/>
              </w:rPr>
              <w:t>5</w:t>
            </w:r>
            <w:r>
              <w:rPr>
                <w:rFonts w:hint="eastAsia" w:ascii="宋体" w:hAnsi="宋体" w:eastAsia="宋体" w:cs="宋体"/>
                <w:color w:val="auto"/>
                <w:kern w:val="2"/>
                <w:szCs w:val="21"/>
                <w:highlight w:val="none"/>
              </w:rPr>
              <w:t>.自然人</w:t>
            </w:r>
            <w:r>
              <w:rPr>
                <w:rFonts w:hint="eastAsia" w:ascii="宋体" w:hAnsi="宋体" w:eastAsia="宋体" w:cs="宋体"/>
                <w:color w:val="auto"/>
                <w:kern w:val="2"/>
                <w:szCs w:val="21"/>
                <w:highlight w:val="none"/>
                <w:lang w:eastAsia="zh-CN"/>
              </w:rPr>
              <w:t>投</w:t>
            </w:r>
            <w:r>
              <w:rPr>
                <w:rFonts w:hint="eastAsia" w:ascii="宋体" w:hAnsi="宋体" w:eastAsia="宋体" w:cs="宋体"/>
                <w:color w:val="auto"/>
                <w:kern w:val="2"/>
                <w:szCs w:val="21"/>
                <w:highlight w:val="none"/>
              </w:rPr>
              <w:t>标的，</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规定盖公章处由自然人摁手指指印。</w:t>
            </w:r>
          </w:p>
          <w:p w14:paraId="6B8CBC44">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2"/>
                <w:szCs w:val="21"/>
                <w:highlight w:val="none"/>
                <w:lang w:val="en-US" w:eastAsia="zh-CN"/>
              </w:rPr>
              <w:t xml:space="preserve">    6.</w:t>
            </w:r>
            <w:r>
              <w:rPr>
                <w:rFonts w:hint="eastAsia" w:ascii="宋体" w:hAnsi="宋体" w:eastAsia="宋体" w:cs="宋体"/>
                <w:color w:val="auto"/>
                <w:kern w:val="2"/>
                <w:szCs w:val="21"/>
                <w:highlight w:val="none"/>
              </w:rPr>
              <w:t>本</w:t>
            </w:r>
            <w:r>
              <w:rPr>
                <w:rFonts w:hint="eastAsia" w:ascii="宋体" w:hAnsi="宋体" w:eastAsia="宋体" w:cs="宋体"/>
                <w:color w:val="auto"/>
                <w:kern w:val="2"/>
                <w:szCs w:val="21"/>
                <w:highlight w:val="none"/>
                <w:lang w:eastAsia="zh-CN"/>
              </w:rPr>
              <w:t>招标文件</w:t>
            </w:r>
            <w:r>
              <w:rPr>
                <w:rFonts w:hint="eastAsia" w:ascii="宋体" w:hAnsi="宋体" w:eastAsia="宋体" w:cs="宋体"/>
                <w:color w:val="auto"/>
                <w:kern w:val="2"/>
                <w:szCs w:val="21"/>
                <w:highlight w:val="none"/>
              </w:rPr>
              <w:t>所称的“以上”“以下”“以内”“届满”，包括本数；所称的“不满”“超过”“以外”，不包括本数。</w:t>
            </w:r>
          </w:p>
        </w:tc>
      </w:tr>
    </w:tbl>
    <w:p w14:paraId="6073FCDD">
      <w:pPr>
        <w:widowControl/>
        <w:spacing w:line="412" w:lineRule="auto"/>
        <w:jc w:val="left"/>
        <w:rPr>
          <w:rFonts w:ascii="Arial" w:hAnsi="Arial" w:eastAsia="黑体"/>
          <w:b/>
          <w:bCs/>
          <w:color w:val="auto"/>
          <w:sz w:val="32"/>
          <w:szCs w:val="32"/>
          <w:highlight w:val="none"/>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1567CE95">
      <w:pPr>
        <w:rPr>
          <w:rFonts w:hint="eastAsia" w:ascii="Times New Roman" w:hAnsi="Times New Roman" w:eastAsia="宋体" w:cs="Times New Roman"/>
          <w:color w:val="auto"/>
          <w:highlight w:val="none"/>
        </w:rPr>
      </w:pPr>
    </w:p>
    <w:p w14:paraId="243DDCAA">
      <w:pPr>
        <w:pStyle w:val="5"/>
        <w:jc w:val="center"/>
        <w:rPr>
          <w:rFonts w:cs="Times New Roman"/>
          <w:color w:val="auto"/>
          <w:highlight w:val="none"/>
        </w:rPr>
      </w:pPr>
      <w:bookmarkStart w:id="107" w:name="_Toc13813"/>
      <w:bookmarkStart w:id="108" w:name="_Toc29311"/>
      <w:bookmarkStart w:id="109" w:name="_Toc7784"/>
      <w:bookmarkStart w:id="110" w:name="_Toc24313"/>
      <w:bookmarkStart w:id="111" w:name="_Toc30841"/>
      <w:bookmarkStart w:id="112" w:name="_Toc25117"/>
      <w:bookmarkStart w:id="113" w:name="_Toc11336"/>
      <w:bookmarkStart w:id="114" w:name="_Toc1030"/>
      <w:bookmarkStart w:id="115" w:name="_Toc453"/>
      <w:bookmarkStart w:id="116" w:name="_Toc8807"/>
      <w:r>
        <w:rPr>
          <w:rFonts w:hint="eastAsia" w:cs="Times New Roman"/>
          <w:color w:val="auto"/>
          <w:highlight w:val="none"/>
        </w:rPr>
        <w:t>第二节</w:t>
      </w:r>
      <w:r>
        <w:rPr>
          <w:rFonts w:cs="Times New Roman"/>
          <w:color w:val="auto"/>
          <w:highlight w:val="none"/>
        </w:rPr>
        <w:t xml:space="preserve"> </w:t>
      </w:r>
      <w:r>
        <w:rPr>
          <w:rFonts w:hint="eastAsia" w:cs="Times New Roman"/>
          <w:color w:val="auto"/>
          <w:highlight w:val="none"/>
        </w:rPr>
        <w:t>投标人须知正文</w:t>
      </w:r>
      <w:bookmarkEnd w:id="107"/>
      <w:bookmarkEnd w:id="108"/>
      <w:bookmarkEnd w:id="109"/>
      <w:bookmarkEnd w:id="110"/>
      <w:bookmarkEnd w:id="111"/>
      <w:bookmarkEnd w:id="112"/>
      <w:bookmarkEnd w:id="113"/>
      <w:bookmarkEnd w:id="114"/>
      <w:bookmarkEnd w:id="115"/>
      <w:bookmarkEnd w:id="116"/>
    </w:p>
    <w:p w14:paraId="58097B5F">
      <w:pPr>
        <w:pStyle w:val="6"/>
        <w:keepNext w:val="0"/>
        <w:keepLines w:val="0"/>
        <w:spacing w:line="400" w:lineRule="exact"/>
        <w:jc w:val="center"/>
        <w:rPr>
          <w:rFonts w:ascii="Times New Roman" w:hAnsi="Times New Roman" w:eastAsia="宋体" w:cs="Times New Roman"/>
          <w:color w:val="auto"/>
          <w:highlight w:val="none"/>
        </w:rPr>
      </w:pPr>
      <w:bookmarkStart w:id="117" w:name="_Toc21176"/>
      <w:bookmarkStart w:id="118" w:name="_Toc15523"/>
      <w:bookmarkStart w:id="119" w:name="_Toc19454"/>
      <w:bookmarkStart w:id="120" w:name="_Toc22266"/>
      <w:bookmarkStart w:id="121" w:name="_Toc30794"/>
      <w:bookmarkStart w:id="122" w:name="_Toc6594"/>
      <w:bookmarkStart w:id="123" w:name="_Toc18594"/>
      <w:bookmarkStart w:id="124" w:name="_Toc28360"/>
      <w:bookmarkStart w:id="125" w:name="_Toc3522"/>
      <w:bookmarkStart w:id="126" w:name="_Toc3607"/>
      <w:r>
        <w:rPr>
          <w:rFonts w:hint="eastAsia" w:ascii="Times New Roman" w:hAnsi="Times New Roman" w:eastAsia="宋体" w:cs="Times New Roman"/>
          <w:color w:val="auto"/>
          <w:highlight w:val="none"/>
        </w:rPr>
        <w:t>一、总</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则</w:t>
      </w:r>
      <w:bookmarkEnd w:id="117"/>
      <w:bookmarkEnd w:id="118"/>
      <w:bookmarkEnd w:id="119"/>
      <w:bookmarkEnd w:id="120"/>
      <w:bookmarkEnd w:id="121"/>
      <w:bookmarkEnd w:id="122"/>
      <w:bookmarkEnd w:id="123"/>
      <w:bookmarkEnd w:id="124"/>
      <w:bookmarkEnd w:id="125"/>
      <w:bookmarkEnd w:id="126"/>
    </w:p>
    <w:p w14:paraId="6BF2DB2D">
      <w:pPr>
        <w:spacing w:line="360" w:lineRule="auto"/>
        <w:ind w:firstLine="480" w:firstLineChars="200"/>
        <w:rPr>
          <w:rFonts w:ascii="黑体" w:hAnsi="黑体" w:eastAsia="黑体" w:cs="Times New Roman"/>
          <w:color w:val="auto"/>
          <w:sz w:val="24"/>
          <w:highlight w:val="none"/>
        </w:rPr>
      </w:pPr>
      <w:bookmarkStart w:id="127" w:name="_Toc254970527"/>
      <w:bookmarkStart w:id="128" w:name="_Toc254970668"/>
      <w:r>
        <w:rPr>
          <w:rFonts w:hint="eastAsia" w:ascii="黑体" w:hAnsi="黑体" w:eastAsia="黑体" w:cs="Times New Roman"/>
          <w:color w:val="auto"/>
          <w:sz w:val="24"/>
          <w:highlight w:val="none"/>
        </w:rPr>
        <w:t>1.适用范围</w:t>
      </w:r>
      <w:bookmarkEnd w:id="127"/>
      <w:bookmarkEnd w:id="128"/>
    </w:p>
    <w:p w14:paraId="35D9F67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7CDFD5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3513EE8C">
      <w:pPr>
        <w:spacing w:line="360" w:lineRule="auto"/>
        <w:ind w:firstLine="480" w:firstLineChars="200"/>
        <w:rPr>
          <w:rFonts w:hint="eastAsia" w:ascii="黑体" w:hAnsi="黑体" w:eastAsia="黑体" w:cs="Times New Roman"/>
          <w:color w:val="auto"/>
          <w:sz w:val="24"/>
          <w:highlight w:val="none"/>
        </w:rPr>
      </w:pPr>
      <w:bookmarkStart w:id="129" w:name="_Toc254970669"/>
      <w:bookmarkStart w:id="130" w:name="_Toc254970528"/>
      <w:r>
        <w:rPr>
          <w:rFonts w:hint="eastAsia" w:ascii="黑体" w:hAnsi="黑体" w:eastAsia="黑体" w:cs="Times New Roman"/>
          <w:color w:val="auto"/>
          <w:sz w:val="24"/>
          <w:highlight w:val="none"/>
        </w:rPr>
        <w:t>2.定义</w:t>
      </w:r>
      <w:bookmarkEnd w:id="129"/>
      <w:bookmarkEnd w:id="130"/>
    </w:p>
    <w:p w14:paraId="432EE5E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2.1“采购人”是指依法进行政府采购的国家机关、事业单位、团体组织。</w:t>
      </w:r>
    </w:p>
    <w:p w14:paraId="0C71E18B">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2.2“采购代理机构” 指政府采购集中采购机构和集中采购机构以外的采购代理机构。</w:t>
      </w:r>
    </w:p>
    <w:p w14:paraId="2016C689">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2.3“供应商”是指向采购人提供货物、工程或者服务的法人、其他组织或者自然人。</w:t>
      </w:r>
    </w:p>
    <w:p w14:paraId="44D811F8">
      <w:pPr>
        <w:spacing w:line="360" w:lineRule="auto"/>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2.4“投标人”是指响应招标、参加投标竞争的法人、非法人组织或者自然人。</w:t>
      </w:r>
    </w:p>
    <w:p w14:paraId="20F4759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2.5“服务”是指除货物和工程以外的其他政府采购对象。</w:t>
      </w:r>
    </w:p>
    <w:p w14:paraId="63D92B7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2.6“书面形式”是指合同书、信件和数据电文（包括电报、电传、传真、短信、电子数据交换和电子邮件）等可以有形地表现所载内容的形式。</w:t>
      </w:r>
    </w:p>
    <w:p w14:paraId="352A954E">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2.7“实质性要求”是指招标文件中已经指明不满足则投标无效的条款，或者不能负偏离的条款，或者采购需求中带“</w:t>
      </w:r>
      <w:r>
        <w:rPr>
          <w:rFonts w:hint="eastAsia" w:ascii="宋体" w:hAnsi="宋体" w:eastAsia="宋体" w:cs="Times New Roman"/>
          <w:b/>
          <w:bCs/>
          <w:color w:val="auto"/>
          <w:szCs w:val="21"/>
          <w:highlight w:val="none"/>
        </w:rPr>
        <w:t>▲</w:t>
      </w:r>
      <w:r>
        <w:rPr>
          <w:rFonts w:hint="eastAsia" w:ascii="宋体" w:hAnsi="宋体" w:eastAsia="宋体" w:cs="Times New Roman"/>
          <w:b/>
          <w:color w:val="auto"/>
          <w:szCs w:val="21"/>
          <w:highlight w:val="none"/>
        </w:rPr>
        <w:t>”的条款。</w:t>
      </w:r>
    </w:p>
    <w:p w14:paraId="09D240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2.8</w:t>
      </w:r>
      <w:r>
        <w:rPr>
          <w:rFonts w:hint="eastAsia" w:ascii="宋体" w:hAnsi="宋体" w:eastAsia="宋体" w:cs="宋体"/>
          <w:color w:val="auto"/>
          <w:szCs w:val="21"/>
          <w:highlight w:val="none"/>
        </w:rPr>
        <w:t>“正偏离”，是指投标文件对招标文件“采购需求”中有关条款作出的响应优于条款要求并有利于采购人的情形。</w:t>
      </w:r>
    </w:p>
    <w:p w14:paraId="334C6D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7AA6B1F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2.10</w:t>
      </w:r>
      <w:r>
        <w:rPr>
          <w:rFonts w:hint="eastAsia" w:ascii="宋体" w:hAnsi="宋体" w:eastAsia="宋体" w:cs="宋体"/>
          <w:color w:val="auto"/>
          <w:szCs w:val="21"/>
          <w:highlight w:val="none"/>
        </w:rPr>
        <w:t>“允许负偏离的条款”是指采购需求中的不属于“实质性要求”的条款。</w:t>
      </w:r>
      <w:bookmarkStart w:id="131" w:name="_Toc254970529"/>
      <w:bookmarkStart w:id="132" w:name="_Toc254970670"/>
    </w:p>
    <w:p w14:paraId="61859BB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w:t>
      </w:r>
      <w:bookmarkEnd w:id="131"/>
      <w:bookmarkEnd w:id="132"/>
      <w:r>
        <w:rPr>
          <w:rFonts w:hint="eastAsia" w:ascii="黑体" w:hAnsi="黑体" w:eastAsia="黑体" w:cs="Times New Roman"/>
          <w:color w:val="auto"/>
          <w:sz w:val="24"/>
          <w:highlight w:val="none"/>
        </w:rPr>
        <w:t>投标人的资格要求</w:t>
      </w:r>
    </w:p>
    <w:p w14:paraId="3AEDCDA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投标人的资格要求详见“招标公告”。</w:t>
      </w:r>
    </w:p>
    <w:p w14:paraId="2CB7B33B">
      <w:pPr>
        <w:spacing w:line="360" w:lineRule="auto"/>
        <w:ind w:firstLine="480" w:firstLineChars="200"/>
        <w:rPr>
          <w:rFonts w:hint="eastAsia" w:ascii="黑体" w:hAnsi="黑体" w:eastAsia="黑体" w:cs="Times New Roman"/>
          <w:color w:val="auto"/>
          <w:sz w:val="24"/>
          <w:highlight w:val="none"/>
        </w:rPr>
      </w:pPr>
      <w:bookmarkStart w:id="133" w:name="_Toc254970671"/>
      <w:bookmarkStart w:id="134" w:name="_Toc254970530"/>
      <w:r>
        <w:rPr>
          <w:rFonts w:hint="eastAsia" w:ascii="黑体" w:hAnsi="黑体" w:eastAsia="黑体" w:cs="Times New Roman"/>
          <w:color w:val="auto"/>
          <w:sz w:val="24"/>
          <w:highlight w:val="none"/>
        </w:rPr>
        <w:t>4.投标委托</w:t>
      </w:r>
      <w:bookmarkEnd w:id="133"/>
      <w:bookmarkEnd w:id="134"/>
    </w:p>
    <w:p w14:paraId="23A1403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投标人代表参加投标活动过程中必须携带个人有效身份证件。如投标人代表不是法定代表人，须持有法定代表人授权委托书（按第六章要求格式填写）。</w:t>
      </w:r>
    </w:p>
    <w:p w14:paraId="50A96D6B">
      <w:pPr>
        <w:spacing w:line="360" w:lineRule="auto"/>
        <w:ind w:firstLine="480" w:firstLineChars="200"/>
        <w:rPr>
          <w:rFonts w:hint="eastAsia" w:ascii="黑体" w:hAnsi="黑体" w:eastAsia="黑体" w:cs="Times New Roman"/>
          <w:color w:val="auto"/>
          <w:sz w:val="24"/>
          <w:highlight w:val="none"/>
        </w:rPr>
      </w:pPr>
      <w:bookmarkStart w:id="135" w:name="_5.投标费用"/>
      <w:bookmarkEnd w:id="135"/>
      <w:bookmarkStart w:id="136" w:name="_Toc254970672"/>
      <w:bookmarkStart w:id="137" w:name="_Toc254970531"/>
      <w:r>
        <w:rPr>
          <w:rFonts w:hint="eastAsia" w:ascii="黑体" w:hAnsi="黑体" w:eastAsia="黑体" w:cs="Times New Roman"/>
          <w:color w:val="auto"/>
          <w:sz w:val="24"/>
          <w:highlight w:val="none"/>
        </w:rPr>
        <w:t>5.投标费用</w:t>
      </w:r>
      <w:bookmarkEnd w:id="136"/>
      <w:bookmarkEnd w:id="137"/>
    </w:p>
    <w:p w14:paraId="6E74112C">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86A6C6B">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6.联合体投标</w:t>
      </w:r>
    </w:p>
    <w:p w14:paraId="585060B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6.1本项目是否接受联合体投标，详见“投标人须知前附表”。</w:t>
      </w:r>
    </w:p>
    <w:p w14:paraId="6ED5D64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6.2如接受联合体投标，联合体投标要求详见“投标人须知前附表”。</w:t>
      </w:r>
    </w:p>
    <w:p w14:paraId="17F37465">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346D959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 xml:space="preserve">7.转包与分包             </w:t>
      </w:r>
    </w:p>
    <w:p w14:paraId="591DA4B3">
      <w:pPr>
        <w:spacing w:line="360" w:lineRule="auto"/>
        <w:ind w:firstLine="422" w:firstLineChars="200"/>
        <w:rPr>
          <w:rFonts w:hint="default"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7.1 本项目不允许转包。</w:t>
      </w:r>
    </w:p>
    <w:p w14:paraId="2A59598F">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7.</w:t>
      </w:r>
      <w:r>
        <w:rPr>
          <w:rFonts w:hint="eastAsia" w:ascii="宋体" w:hAnsi="宋体" w:cs="Times New Roman"/>
          <w:b/>
          <w:color w:val="auto"/>
          <w:szCs w:val="21"/>
          <w:highlight w:val="none"/>
          <w:lang w:val="en-US" w:eastAsia="zh-CN"/>
        </w:rPr>
        <w:t>2</w:t>
      </w:r>
      <w:r>
        <w:rPr>
          <w:rFonts w:hint="eastAsia" w:ascii="宋体" w:hAnsi="宋体" w:eastAsia="宋体" w:cs="Times New Roman"/>
          <w:b/>
          <w:color w:val="auto"/>
          <w:szCs w:val="21"/>
          <w:highlight w:val="none"/>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F65C60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根据《政府采购促进中小企业发展管理办法》（财库[2020]46号）第九条及</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54EBFBF5">
      <w:pPr>
        <w:spacing w:line="360" w:lineRule="auto"/>
        <w:ind w:firstLine="480" w:firstLineChars="200"/>
        <w:rPr>
          <w:rFonts w:hint="eastAsia" w:ascii="黑体" w:hAnsi="黑体" w:eastAsia="黑体" w:cs="Times New Roman"/>
          <w:color w:val="auto"/>
          <w:sz w:val="24"/>
          <w:highlight w:val="none"/>
        </w:rPr>
      </w:pPr>
      <w:bookmarkStart w:id="138" w:name="_Toc254970532"/>
      <w:bookmarkStart w:id="139" w:name="_Toc254970673"/>
      <w:r>
        <w:rPr>
          <w:rFonts w:hint="eastAsia" w:ascii="黑体" w:hAnsi="黑体" w:eastAsia="黑体" w:cs="Times New Roman"/>
          <w:color w:val="auto"/>
          <w:sz w:val="24"/>
          <w:highlight w:val="none"/>
        </w:rPr>
        <w:t>8.特别说明：</w:t>
      </w:r>
      <w:bookmarkEnd w:id="138"/>
      <w:bookmarkEnd w:id="139"/>
      <w:bookmarkStart w:id="140" w:name="_8.1提供相同品牌产品且通过资格审查、符合性审查的不同投标人参加同一合"/>
      <w:bookmarkEnd w:id="140"/>
    </w:p>
    <w:p w14:paraId="25CE29E7">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8.1如果本招标文件要求投标人提供资格、信誉、荣誉、业绩与企业认证等材料的，则投标人所提供的以上材料必须为</w:t>
      </w:r>
      <w:r>
        <w:rPr>
          <w:rFonts w:hint="eastAsia" w:ascii="宋体" w:hAnsi="宋体" w:cs="Times New Roman"/>
          <w:b/>
          <w:color w:val="auto"/>
          <w:szCs w:val="21"/>
          <w:highlight w:val="none"/>
          <w:lang w:eastAsia="zh-CN"/>
        </w:rPr>
        <w:t>该</w:t>
      </w:r>
      <w:r>
        <w:rPr>
          <w:rFonts w:hint="eastAsia" w:ascii="宋体" w:hAnsi="宋体" w:eastAsia="宋体" w:cs="Times New Roman"/>
          <w:b/>
          <w:color w:val="auto"/>
          <w:szCs w:val="21"/>
          <w:highlight w:val="none"/>
        </w:rPr>
        <w:t>投标人所拥有。</w:t>
      </w:r>
    </w:p>
    <w:p w14:paraId="1EBDB5E0">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8.2投标人应仔细阅读招标文件的所有内容，按照招标文件的要求提交投标文件，并对所提供的全部资料的真实性承担法律责任。</w:t>
      </w:r>
    </w:p>
    <w:p w14:paraId="3EC001C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BA4F4A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9.回避与串通投标</w:t>
      </w:r>
    </w:p>
    <w:p w14:paraId="2DF1A3B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9.1在政府采购活动中，采购人员及相关人员与供应商有下列利害关系之一的，应当回避：</w:t>
      </w:r>
    </w:p>
    <w:p w14:paraId="24FFA6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6B530F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0EADC9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B06EEA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16A763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42CFEEBB">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F42D90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9.2有下列情形之一的视为投标人相互串通投标，投标文件将被视为无效：</w:t>
      </w:r>
    </w:p>
    <w:p w14:paraId="59B96843">
      <w:pPr>
        <w:spacing w:line="360" w:lineRule="auto"/>
        <w:ind w:firstLine="422" w:firstLineChars="200"/>
        <w:rPr>
          <w:rFonts w:hint="eastAsia" w:ascii="宋体" w:hAnsi="宋体" w:eastAsia="宋体" w:cs="宋体"/>
          <w:b/>
          <w:color w:val="auto"/>
          <w:highlight w:val="none"/>
          <w:lang w:eastAsia="zh-CN"/>
        </w:rPr>
      </w:pPr>
      <w:r>
        <w:rPr>
          <w:rFonts w:hint="eastAsia" w:ascii="宋体" w:hAnsi="宋体" w:eastAsia="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76E7FE89">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0C1B54F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538DF84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（4）不同投标人的电子投标文件异常一致或者投标报价呈规律性差异；</w:t>
      </w:r>
    </w:p>
    <w:p w14:paraId="514DD84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（5）不同投标人的投标文件相互混装；</w:t>
      </w:r>
    </w:p>
    <w:p w14:paraId="4F5476BF">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6</w:t>
      </w:r>
      <w:r>
        <w:rPr>
          <w:rFonts w:hint="eastAsia" w:ascii="宋体" w:hAnsi="宋体" w:eastAsia="宋体" w:cs="宋体"/>
          <w:b/>
          <w:color w:val="auto"/>
          <w:highlight w:val="none"/>
        </w:rPr>
        <w:t>）不同投标人的</w:t>
      </w:r>
      <w:r>
        <w:rPr>
          <w:rFonts w:hint="eastAsia" w:ascii="宋体" w:hAnsi="宋体" w:eastAsia="宋体" w:cs="宋体"/>
          <w:b/>
          <w:color w:val="auto"/>
          <w:highlight w:val="none"/>
          <w:lang w:eastAsia="zh-CN"/>
        </w:rPr>
        <w:t>投标</w:t>
      </w:r>
      <w:r>
        <w:rPr>
          <w:rFonts w:hint="eastAsia" w:ascii="宋体" w:hAnsi="宋体" w:eastAsia="宋体" w:cs="宋体"/>
          <w:b/>
          <w:color w:val="auto"/>
          <w:highlight w:val="none"/>
        </w:rPr>
        <w:t>保证金从同一单位或者个人账户转出。</w:t>
      </w:r>
    </w:p>
    <w:p w14:paraId="295B82E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9.3供应商有下列情形之一的，属于恶意串通行为，将报同级监督管理部门：</w:t>
      </w:r>
    </w:p>
    <w:p w14:paraId="2F854C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w:t>
      </w:r>
    </w:p>
    <w:p w14:paraId="78DBF3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w:t>
      </w:r>
    </w:p>
    <w:p w14:paraId="6D9A4D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（3）供应商之间协商报价、技术方案等投标文件的实质性内容；</w:t>
      </w:r>
    </w:p>
    <w:p w14:paraId="1DB7B2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10A86E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BCFCB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6FFAD8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72316CB9">
      <w:pPr>
        <w:pStyle w:val="15"/>
        <w:snapToGrid w:val="0"/>
        <w:spacing w:line="360" w:lineRule="auto"/>
        <w:ind w:left="2" w:leftChars="1" w:firstLine="422" w:firstLineChars="200"/>
        <w:rPr>
          <w:rFonts w:hAnsi="宋体" w:eastAsia="宋体" w:cs="Times New Roman"/>
          <w:b/>
          <w:color w:val="auto"/>
          <w:highlight w:val="none"/>
        </w:rPr>
      </w:pPr>
    </w:p>
    <w:p w14:paraId="67F5C3E1">
      <w:pPr>
        <w:pStyle w:val="6"/>
        <w:keepNext w:val="0"/>
        <w:keepLines w:val="0"/>
        <w:spacing w:line="400" w:lineRule="exact"/>
        <w:jc w:val="center"/>
        <w:rPr>
          <w:rFonts w:hint="eastAsia" w:ascii="Times New Roman" w:hAnsi="Times New Roman" w:eastAsia="宋体" w:cs="Times New Roman"/>
          <w:color w:val="auto"/>
          <w:highlight w:val="none"/>
        </w:rPr>
      </w:pPr>
      <w:bookmarkStart w:id="141" w:name="_Toc22911"/>
      <w:bookmarkStart w:id="142" w:name="_Toc25104"/>
      <w:bookmarkStart w:id="143" w:name="_Toc128"/>
      <w:bookmarkStart w:id="144" w:name="_Toc11054"/>
      <w:bookmarkStart w:id="145" w:name="_Toc254970675"/>
      <w:bookmarkStart w:id="146" w:name="_Toc18580"/>
      <w:bookmarkStart w:id="147" w:name="_Toc17855"/>
      <w:bookmarkStart w:id="148" w:name="_Toc254970534"/>
      <w:bookmarkStart w:id="149" w:name="_Toc9988"/>
      <w:bookmarkStart w:id="150" w:name="_Toc19016"/>
      <w:bookmarkStart w:id="151" w:name="_Toc10320"/>
      <w:bookmarkStart w:id="152" w:name="_Toc6920"/>
      <w:r>
        <w:rPr>
          <w:rFonts w:hint="eastAsia" w:ascii="Times New Roman" w:hAnsi="Times New Roman" w:eastAsia="宋体" w:cs="Times New Roman"/>
          <w:color w:val="auto"/>
          <w:highlight w:val="none"/>
        </w:rPr>
        <w:t>二、招标文件</w:t>
      </w:r>
      <w:bookmarkEnd w:id="141"/>
      <w:bookmarkEnd w:id="142"/>
      <w:bookmarkEnd w:id="143"/>
      <w:bookmarkEnd w:id="144"/>
      <w:bookmarkEnd w:id="145"/>
      <w:bookmarkEnd w:id="146"/>
      <w:bookmarkEnd w:id="147"/>
      <w:bookmarkEnd w:id="148"/>
      <w:bookmarkEnd w:id="149"/>
      <w:bookmarkEnd w:id="150"/>
      <w:bookmarkEnd w:id="151"/>
      <w:bookmarkEnd w:id="152"/>
    </w:p>
    <w:p w14:paraId="7467CECD">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10.招标文件的组成</w:t>
      </w:r>
    </w:p>
    <w:p w14:paraId="1945366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招标公告；</w:t>
      </w:r>
    </w:p>
    <w:p w14:paraId="6F1B7CF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第二章 采购需求； </w:t>
      </w:r>
    </w:p>
    <w:p w14:paraId="65B0078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第三章 投标人须知；</w:t>
      </w:r>
    </w:p>
    <w:p w14:paraId="7F8BB0A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评标方法</w:t>
      </w:r>
      <w:r>
        <w:rPr>
          <w:rFonts w:hint="eastAsia" w:ascii="宋体" w:hAnsi="宋体" w:cs="Times New Roman"/>
          <w:color w:val="auto"/>
          <w:szCs w:val="21"/>
          <w:highlight w:val="none"/>
          <w:lang w:eastAsia="zh-CN"/>
        </w:rPr>
        <w:t>和</w:t>
      </w:r>
      <w:r>
        <w:rPr>
          <w:rFonts w:hint="eastAsia" w:ascii="宋体" w:hAnsi="宋体" w:eastAsia="宋体" w:cs="Times New Roman"/>
          <w:color w:val="auto"/>
          <w:szCs w:val="21"/>
          <w:highlight w:val="none"/>
        </w:rPr>
        <w:t>评标标准；</w:t>
      </w:r>
    </w:p>
    <w:p w14:paraId="4F0E24C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拟签订的合同文本；</w:t>
      </w:r>
    </w:p>
    <w:p w14:paraId="78AA002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投标文件格式；</w:t>
      </w:r>
    </w:p>
    <w:p w14:paraId="0A64CD2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14:paraId="2D769B69">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根据本章</w:t>
      </w:r>
      <w:r>
        <w:rPr>
          <w:rFonts w:hint="eastAsia" w:ascii="宋体" w:hAnsi="宋体" w:eastAsia="宋体" w:cs="宋体"/>
          <w:color w:val="auto"/>
          <w:highlight w:val="none"/>
        </w:rPr>
        <w:t>第11.1</w:t>
      </w:r>
      <w:r>
        <w:rPr>
          <w:rFonts w:hint="eastAsia" w:ascii="Times New Roman" w:hAnsi="宋体" w:eastAsia="宋体" w:cs="Times New Roman"/>
          <w:color w:val="auto"/>
          <w:highlight w:val="none"/>
        </w:rPr>
        <w:t>项的规定对招标文件所做的澄清、修改，构成招标文件的组成部分。当招标文件与招标文件的澄清和修改就同一内容的表述不一致时，</w:t>
      </w:r>
      <w:r>
        <w:rPr>
          <w:rFonts w:hint="eastAsia" w:ascii="Times New Roman" w:hAnsi="Times New Roman" w:eastAsia="宋体" w:cs="Times New Roman"/>
          <w:color w:val="auto"/>
          <w:highlight w:val="none"/>
        </w:rPr>
        <w:t>以最后澄清或修改公告为准。</w:t>
      </w:r>
    </w:p>
    <w:p w14:paraId="4D6E0A73">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11.招标文件的澄清、修改 、现场考察和答疑会</w:t>
      </w:r>
    </w:p>
    <w:p w14:paraId="7265E32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 11.1采购人或者采购代理机构可以对已发出的招标文件进行必要的澄清或者修改，但不得改变采购标的和资格条件。澄清或者修改应当在原</w:t>
      </w:r>
      <w:r>
        <w:rPr>
          <w:rFonts w:hint="eastAsia" w:ascii="宋体" w:hAnsi="宋体" w:cs="Times New Roman"/>
          <w:b/>
          <w:color w:val="auto"/>
          <w:szCs w:val="21"/>
          <w:highlight w:val="none"/>
          <w:lang w:eastAsia="zh-CN"/>
        </w:rPr>
        <w:t>招标</w:t>
      </w:r>
      <w:r>
        <w:rPr>
          <w:rFonts w:hint="eastAsia" w:ascii="宋体" w:hAnsi="宋体" w:eastAsia="宋体" w:cs="Times New Roman"/>
          <w:b/>
          <w:color w:val="auto"/>
          <w:szCs w:val="21"/>
          <w:highlight w:val="none"/>
        </w:rPr>
        <w:t>公告发布媒体上发布澄清公告。澄清或者修改的内容为招标文件的组成部分。</w:t>
      </w:r>
    </w:p>
    <w:p w14:paraId="7AA843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7AD798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115436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4E51A99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33042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w:t>
      </w:r>
      <w:bookmarkStart w:id="153" w:name="_Hlk53134511"/>
      <w:r>
        <w:rPr>
          <w:rFonts w:hint="eastAsia" w:ascii="宋体" w:hAnsi="宋体" w:eastAsia="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153"/>
    <w:p w14:paraId="58DF31F0">
      <w:pPr>
        <w:pStyle w:val="6"/>
        <w:keepNext w:val="0"/>
        <w:keepLines w:val="0"/>
        <w:spacing w:line="400" w:lineRule="exact"/>
        <w:jc w:val="center"/>
        <w:rPr>
          <w:rFonts w:ascii="Times New Roman" w:hAnsi="Times New Roman" w:eastAsia="宋体" w:cs="Times New Roman"/>
          <w:color w:val="auto"/>
          <w:highlight w:val="none"/>
        </w:rPr>
      </w:pPr>
      <w:bookmarkStart w:id="154" w:name="_Toc16623"/>
      <w:bookmarkStart w:id="155" w:name="_Toc254970676"/>
      <w:bookmarkStart w:id="156" w:name="_Toc28419"/>
      <w:bookmarkStart w:id="157" w:name="_Toc12080"/>
      <w:bookmarkStart w:id="158" w:name="_Toc20"/>
      <w:bookmarkStart w:id="159" w:name="_Toc32499"/>
      <w:bookmarkStart w:id="160" w:name="_Toc32154"/>
      <w:bookmarkStart w:id="161" w:name="_Toc254970535"/>
      <w:bookmarkStart w:id="162" w:name="_Toc27367"/>
      <w:bookmarkStart w:id="163" w:name="_Toc24872"/>
      <w:bookmarkStart w:id="164" w:name="_Toc7841"/>
      <w:bookmarkStart w:id="165" w:name="_Toc2635"/>
      <w:r>
        <w:rPr>
          <w:rFonts w:hint="eastAsia" w:ascii="Times New Roman" w:hAnsi="Times New Roman" w:eastAsia="宋体" w:cs="Times New Roman"/>
          <w:color w:val="auto"/>
          <w:highlight w:val="none"/>
        </w:rPr>
        <w:t>三、投标文件的编制</w:t>
      </w:r>
      <w:bookmarkEnd w:id="154"/>
      <w:bookmarkEnd w:id="155"/>
      <w:bookmarkEnd w:id="156"/>
      <w:bookmarkEnd w:id="157"/>
      <w:bookmarkEnd w:id="158"/>
      <w:bookmarkEnd w:id="159"/>
      <w:bookmarkEnd w:id="160"/>
      <w:bookmarkEnd w:id="161"/>
      <w:bookmarkEnd w:id="162"/>
      <w:bookmarkEnd w:id="163"/>
      <w:bookmarkEnd w:id="164"/>
      <w:bookmarkEnd w:id="165"/>
    </w:p>
    <w:p w14:paraId="1E4D9E88">
      <w:pPr>
        <w:spacing w:line="360" w:lineRule="auto"/>
        <w:ind w:firstLine="480" w:firstLineChars="200"/>
        <w:rPr>
          <w:rFonts w:ascii="黑体" w:hAnsi="黑体" w:eastAsia="黑体" w:cs="Times New Roman"/>
          <w:color w:val="auto"/>
          <w:sz w:val="24"/>
          <w:highlight w:val="none"/>
        </w:rPr>
      </w:pPr>
      <w:bookmarkStart w:id="166" w:name="_Toc254970536"/>
      <w:bookmarkStart w:id="167" w:name="_Toc254970677"/>
      <w:r>
        <w:rPr>
          <w:rFonts w:hint="eastAsia" w:ascii="黑体" w:hAnsi="黑体" w:eastAsia="黑体" w:cs="Times New Roman"/>
          <w:color w:val="auto"/>
          <w:sz w:val="24"/>
          <w:highlight w:val="none"/>
        </w:rPr>
        <w:t>12.投标文件的编制原则</w:t>
      </w:r>
    </w:p>
    <w:p w14:paraId="3010793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投标人必须按照招标文件的要求编制投标文件。投标文件必须对招标文件提出的要求和条件作出明确响应。</w:t>
      </w:r>
    </w:p>
    <w:p w14:paraId="45795D66">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13.投标文件的组成</w:t>
      </w:r>
      <w:bookmarkEnd w:id="166"/>
      <w:bookmarkEnd w:id="167"/>
    </w:p>
    <w:p w14:paraId="77557E0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13.1投标文件由报价文件、资格证明文件、商务文件、技术文件四部分组成。</w:t>
      </w:r>
    </w:p>
    <w:p w14:paraId="3030F028">
      <w:pPr>
        <w:spacing w:line="360" w:lineRule="auto"/>
        <w:ind w:firstLine="420" w:firstLineChars="200"/>
        <w:rPr>
          <w:rFonts w:hint="eastAsia" w:ascii="宋体" w:hAnsi="宋体" w:eastAsia="宋体" w:cs="Times New Roman"/>
          <w:bCs/>
          <w:color w:val="auto"/>
          <w:szCs w:val="21"/>
          <w:highlight w:val="none"/>
        </w:rPr>
      </w:pPr>
      <w:bookmarkStart w:id="168" w:name="_13.2资格证明文件：具体材料见“投标人须知前附表”。"/>
      <w:bookmarkEnd w:id="168"/>
      <w:bookmarkStart w:id="169" w:name="_13.1报价文件:_具体材料见“投标人须知前附表”。"/>
      <w:bookmarkEnd w:id="169"/>
      <w:r>
        <w:rPr>
          <w:rFonts w:hint="eastAsia" w:ascii="宋体" w:hAnsi="宋体" w:eastAsia="宋体" w:cs="Times New Roman"/>
          <w:bCs/>
          <w:color w:val="auto"/>
          <w:szCs w:val="21"/>
          <w:highlight w:val="none"/>
        </w:rPr>
        <w:t>（1）资格证明文件：具体材料见“投标人须知前附表”。</w:t>
      </w:r>
    </w:p>
    <w:p w14:paraId="5F18F420">
      <w:pPr>
        <w:spacing w:line="360" w:lineRule="auto"/>
        <w:ind w:firstLine="420" w:firstLineChars="200"/>
        <w:rPr>
          <w:rFonts w:hint="eastAsia" w:ascii="宋体" w:hAnsi="宋体" w:eastAsia="宋体" w:cs="Times New Roman"/>
          <w:bCs/>
          <w:color w:val="auto"/>
          <w:szCs w:val="21"/>
          <w:highlight w:val="none"/>
        </w:rPr>
      </w:pPr>
      <w:bookmarkStart w:id="170" w:name="_13.3商务文件:_具体材料见“投标人须知前附表”。"/>
      <w:bookmarkEnd w:id="170"/>
      <w:r>
        <w:rPr>
          <w:rFonts w:hint="eastAsia" w:ascii="宋体" w:hAnsi="宋体" w:eastAsia="宋体" w:cs="Times New Roman"/>
          <w:bCs/>
          <w:color w:val="auto"/>
          <w:szCs w:val="21"/>
          <w:highlight w:val="none"/>
        </w:rPr>
        <w:t>（2）商务文件：具体材料见“投标人须知前附表”。</w:t>
      </w:r>
    </w:p>
    <w:p w14:paraId="42071599">
      <w:pPr>
        <w:spacing w:line="360" w:lineRule="auto"/>
        <w:ind w:firstLine="420" w:firstLineChars="200"/>
        <w:rPr>
          <w:rFonts w:hint="eastAsia" w:ascii="宋体" w:hAnsi="宋体" w:eastAsia="宋体" w:cs="Times New Roman"/>
          <w:bCs/>
          <w:color w:val="auto"/>
          <w:szCs w:val="21"/>
          <w:highlight w:val="none"/>
        </w:rPr>
      </w:pPr>
      <w:bookmarkStart w:id="171" w:name="_13.4技术文件：具体材料见“投标人须知前附表”。"/>
      <w:bookmarkEnd w:id="171"/>
      <w:r>
        <w:rPr>
          <w:rFonts w:hint="eastAsia" w:ascii="宋体" w:hAnsi="宋体" w:eastAsia="宋体" w:cs="Times New Roman"/>
          <w:bCs/>
          <w:color w:val="auto"/>
          <w:szCs w:val="21"/>
          <w:highlight w:val="none"/>
        </w:rPr>
        <w:t xml:space="preserve">（3）技术文件：具体材料见“投标人须知前附表”。 </w:t>
      </w:r>
    </w:p>
    <w:p w14:paraId="20850777">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（4）报价文件： 具体材料见“投标人须知前附表”。</w:t>
      </w:r>
    </w:p>
    <w:p w14:paraId="5F05715D">
      <w:pPr>
        <w:spacing w:line="360" w:lineRule="auto"/>
        <w:ind w:firstLine="420" w:firstLineChars="200"/>
        <w:rPr>
          <w:rFonts w:hint="eastAsia" w:ascii="宋体" w:hAnsi="宋体" w:eastAsia="宋体" w:cs="Times New Roman"/>
          <w:bCs/>
          <w:color w:val="auto"/>
          <w:szCs w:val="21"/>
          <w:highlight w:val="none"/>
        </w:rPr>
      </w:pPr>
      <w:bookmarkStart w:id="172" w:name="_13.5投标文件电子版：具体材料见“投标人须知前附表”。"/>
      <w:bookmarkEnd w:id="172"/>
      <w:r>
        <w:rPr>
          <w:rFonts w:hint="eastAsia" w:ascii="宋体" w:hAnsi="宋体" w:eastAsia="宋体" w:cs="Times New Roman"/>
          <w:bCs/>
          <w:color w:val="auto"/>
          <w:szCs w:val="21"/>
          <w:highlight w:val="none"/>
        </w:rPr>
        <w:t>13.2投标文件电子版：具体要求见本节19.投标文件编制。</w:t>
      </w:r>
    </w:p>
    <w:p w14:paraId="18064F09">
      <w:pPr>
        <w:spacing w:line="360" w:lineRule="auto"/>
        <w:ind w:firstLine="480" w:firstLineChars="200"/>
        <w:rPr>
          <w:rFonts w:hint="eastAsia" w:ascii="黑体" w:hAnsi="黑体" w:eastAsia="黑体" w:cs="Times New Roman"/>
          <w:color w:val="auto"/>
          <w:sz w:val="24"/>
          <w:highlight w:val="none"/>
        </w:rPr>
      </w:pPr>
      <w:bookmarkStart w:id="173" w:name="_Toc254970678"/>
      <w:bookmarkStart w:id="174" w:name="_Toc254970537"/>
      <w:r>
        <w:rPr>
          <w:rFonts w:hint="eastAsia" w:ascii="黑体" w:hAnsi="黑体" w:eastAsia="黑体" w:cs="Times New Roman"/>
          <w:color w:val="auto"/>
          <w:sz w:val="24"/>
          <w:highlight w:val="none"/>
        </w:rPr>
        <w:t>14.投标文件的语言及计量</w:t>
      </w:r>
      <w:bookmarkEnd w:id="173"/>
      <w:bookmarkEnd w:id="174"/>
    </w:p>
    <w:p w14:paraId="011A142B">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14.1语言文字</w:t>
      </w:r>
    </w:p>
    <w:p w14:paraId="18507DC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0A1F221">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14.2投标计量单位</w:t>
      </w:r>
    </w:p>
    <w:p w14:paraId="51BD70E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招标文件已有明确规定的，使用招标文件规定的计量单位；招标文件没有规定的，应采用中华人民共和国法定计量单位，货币种类为人民币，否则视同未响应。</w:t>
      </w:r>
    </w:p>
    <w:p w14:paraId="1BABD59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15.投标</w:t>
      </w:r>
      <w:r>
        <w:rPr>
          <w:rFonts w:hint="eastAsia" w:ascii="黑体" w:hAnsi="黑体" w:eastAsia="黑体" w:cs="Times New Roman"/>
          <w:color w:val="auto"/>
          <w:sz w:val="24"/>
          <w:highlight w:val="none"/>
          <w:lang w:val="en-US" w:eastAsia="zh-CN"/>
        </w:rPr>
        <w:t>文件提交</w:t>
      </w:r>
      <w:r>
        <w:rPr>
          <w:rFonts w:hint="eastAsia" w:ascii="黑体" w:hAnsi="黑体" w:eastAsia="黑体" w:cs="Times New Roman"/>
          <w:color w:val="auto"/>
          <w:sz w:val="24"/>
          <w:highlight w:val="none"/>
        </w:rPr>
        <w:t>的风险</w:t>
      </w:r>
    </w:p>
    <w:p w14:paraId="25A9AFFE">
      <w:pPr>
        <w:spacing w:line="360" w:lineRule="auto"/>
        <w:ind w:firstLine="420" w:firstLineChars="200"/>
        <w:rPr>
          <w:rFonts w:hint="eastAsia" w:ascii="Times New Roman" w:hAnsi="宋体" w:eastAsia="宋体" w:cs="Times New Roman"/>
          <w:b/>
          <w:bCs/>
          <w:color w:val="auto"/>
          <w:highlight w:val="none"/>
        </w:rPr>
      </w:pPr>
      <w:r>
        <w:rPr>
          <w:rFonts w:hint="eastAsia" w:ascii="Times New Roman" w:hAnsi="宋体" w:eastAsia="宋体" w:cs="Times New Roman"/>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A787BAE">
      <w:pPr>
        <w:spacing w:line="360" w:lineRule="auto"/>
        <w:ind w:firstLine="480" w:firstLineChars="200"/>
        <w:rPr>
          <w:rFonts w:ascii="黑体" w:hAnsi="黑体" w:eastAsia="黑体" w:cs="Times New Roman"/>
          <w:color w:val="auto"/>
          <w:sz w:val="24"/>
          <w:highlight w:val="none"/>
        </w:rPr>
      </w:pPr>
      <w:bookmarkStart w:id="175" w:name="_Toc254970538"/>
      <w:bookmarkStart w:id="176" w:name="_Toc254970679"/>
      <w:r>
        <w:rPr>
          <w:rFonts w:hint="eastAsia" w:ascii="黑体" w:hAnsi="黑体" w:eastAsia="黑体" w:cs="Times New Roman"/>
          <w:color w:val="auto"/>
          <w:sz w:val="24"/>
          <w:highlight w:val="none"/>
        </w:rPr>
        <w:t>16.投标报价</w:t>
      </w:r>
      <w:bookmarkEnd w:id="175"/>
      <w:bookmarkEnd w:id="176"/>
    </w:p>
    <w:p w14:paraId="61393BE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16.1投标报价应</w:t>
      </w:r>
      <w:r>
        <w:rPr>
          <w:rFonts w:hint="eastAsia" w:ascii="宋体" w:hAnsi="宋体" w:eastAsia="宋体" w:cs="Times New Roman"/>
          <w:bCs/>
          <w:color w:val="auto"/>
          <w:szCs w:val="20"/>
          <w:highlight w:val="none"/>
        </w:rPr>
        <w:t>按“第六章　投标文件格式”中“开标一览表”格式填写。</w:t>
      </w:r>
    </w:p>
    <w:p w14:paraId="6CEA34F7">
      <w:pPr>
        <w:spacing w:line="360" w:lineRule="auto"/>
        <w:ind w:firstLine="420" w:firstLineChars="200"/>
        <w:rPr>
          <w:rFonts w:hint="eastAsia" w:ascii="宋体" w:hAnsi="宋体" w:eastAsia="宋体" w:cs="Times New Roman"/>
          <w:bCs/>
          <w:color w:val="auto"/>
          <w:szCs w:val="21"/>
          <w:highlight w:val="none"/>
        </w:rPr>
      </w:pPr>
      <w:bookmarkStart w:id="177" w:name="_16.2投标报价具体定义见投标人须知前附表。"/>
      <w:bookmarkEnd w:id="177"/>
      <w:r>
        <w:rPr>
          <w:rFonts w:hint="eastAsia" w:ascii="宋体" w:hAnsi="宋体" w:eastAsia="宋体" w:cs="Times New Roman"/>
          <w:bCs/>
          <w:color w:val="auto"/>
          <w:szCs w:val="21"/>
          <w:highlight w:val="none"/>
        </w:rPr>
        <w:t>16.2投标报价具体包括内容详见“投标人须知前附表”。</w:t>
      </w:r>
    </w:p>
    <w:p w14:paraId="16F98C6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16.3投标人必须就所投项目的全部内容分别作完整唯一总价报价，不得存在漏项报价；投标人必须就所投项目的单项内容作唯一报价。</w:t>
      </w:r>
    </w:p>
    <w:p w14:paraId="7D7839C2">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17.投标有效期</w:t>
      </w:r>
    </w:p>
    <w:p w14:paraId="381246A9">
      <w:pPr>
        <w:spacing w:line="360" w:lineRule="auto"/>
        <w:ind w:firstLine="420" w:firstLineChars="200"/>
        <w:rPr>
          <w:rFonts w:hint="eastAsia" w:ascii="宋体" w:hAnsi="宋体" w:eastAsia="宋体" w:cs="Times New Roman"/>
          <w:bCs/>
          <w:color w:val="auto"/>
          <w:szCs w:val="21"/>
          <w:highlight w:val="none"/>
        </w:rPr>
      </w:pPr>
      <w:bookmarkStart w:id="178" w:name="_17.1投标有效期应按“投标人须知中的前附表”规定的期限。"/>
      <w:bookmarkEnd w:id="178"/>
      <w:r>
        <w:rPr>
          <w:rFonts w:hint="eastAsia" w:ascii="宋体" w:hAnsi="宋体" w:eastAsia="宋体" w:cs="Times New Roman"/>
          <w:bCs/>
          <w:color w:val="auto"/>
          <w:szCs w:val="21"/>
          <w:highlight w:val="none"/>
        </w:rPr>
        <w:t>17.1投标有效期是指为保证采购人有足够的时间在开标后完成评标、定标、合同签订等工作而要求投标人提交的投标文件在一定时间内保持有效的期限。</w:t>
      </w:r>
    </w:p>
    <w:p w14:paraId="603591CD">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17.2</w:t>
      </w:r>
      <w:bookmarkStart w:id="179" w:name="_Toc254970540"/>
      <w:bookmarkStart w:id="180" w:name="_Toc254970681"/>
      <w:r>
        <w:rPr>
          <w:rFonts w:hint="eastAsia" w:ascii="宋体" w:hAnsi="宋体" w:eastAsia="宋体" w:cs="Times New Roman"/>
          <w:bCs/>
          <w:color w:val="auto"/>
          <w:szCs w:val="21"/>
          <w:highlight w:val="none"/>
        </w:rPr>
        <w:t xml:space="preserve"> 投标有效期应按规定的期限作出承诺，具体详见“投标人须知前附表”。</w:t>
      </w:r>
    </w:p>
    <w:p w14:paraId="66F352D2">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17.3投标人的投标文件在投标有效期内均保持有效。</w:t>
      </w:r>
      <w:bookmarkEnd w:id="179"/>
      <w:bookmarkEnd w:id="180"/>
    </w:p>
    <w:p w14:paraId="372CC607">
      <w:pPr>
        <w:spacing w:line="360" w:lineRule="auto"/>
        <w:ind w:firstLine="480" w:firstLineChars="200"/>
        <w:rPr>
          <w:rFonts w:hint="eastAsia" w:ascii="黑体" w:hAnsi="黑体" w:eastAsia="黑体" w:cs="Times New Roman"/>
          <w:color w:val="auto"/>
          <w:sz w:val="24"/>
          <w:highlight w:val="none"/>
        </w:rPr>
      </w:pPr>
      <w:bookmarkStart w:id="181" w:name="_18.投标保证金"/>
      <w:bookmarkEnd w:id="181"/>
      <w:bookmarkStart w:id="182" w:name="_Toc254970682"/>
      <w:bookmarkStart w:id="183" w:name="_Toc254970541"/>
      <w:r>
        <w:rPr>
          <w:rFonts w:hint="eastAsia" w:ascii="黑体" w:hAnsi="黑体" w:eastAsia="黑体" w:cs="Times New Roman"/>
          <w:color w:val="auto"/>
          <w:sz w:val="24"/>
          <w:highlight w:val="none"/>
        </w:rPr>
        <w:t>18.投标保证金</w:t>
      </w:r>
      <w:bookmarkEnd w:id="182"/>
      <w:bookmarkEnd w:id="183"/>
    </w:p>
    <w:p w14:paraId="0BC26359">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bookmarkStart w:id="184" w:name="_Toc254970542"/>
      <w:bookmarkStart w:id="185" w:name="_Toc254970683"/>
      <w:r>
        <w:rPr>
          <w:rFonts w:hint="eastAsia" w:ascii="宋体" w:hAnsi="宋体" w:eastAsia="宋体" w:cs="宋体"/>
          <w:b w:val="0"/>
          <w:color w:val="auto"/>
          <w:sz w:val="21"/>
          <w:szCs w:val="21"/>
          <w:highlight w:val="none"/>
        </w:rPr>
        <w:t>18.1投标人须按“投标人须知前附表” 的规定提交投标保证金。</w:t>
      </w:r>
    </w:p>
    <w:p w14:paraId="06E7C7E3">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18.2投标保证金的退还</w:t>
      </w:r>
    </w:p>
    <w:p w14:paraId="31B5BC97">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18.2.1未中标人的投标保证金自中标通知书发出之日起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个工作日内退还，退还方式如下：</w:t>
      </w:r>
    </w:p>
    <w:p w14:paraId="48B35264">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（1）采用银行转账方式的，以转账方式退回到投标人银行账户。</w:t>
      </w:r>
    </w:p>
    <w:p w14:paraId="349B6A1C">
      <w:pPr>
        <w:pStyle w:val="8"/>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方式的，由投标人代表持相关授权证明材料至采购代理机构办理支票、汇票、本票或者金融机构、担保机构出具的保函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 xml:space="preserve">原件退还手续。 </w:t>
      </w:r>
    </w:p>
    <w:p w14:paraId="2B2BE7BD">
      <w:pPr>
        <w:pStyle w:val="7"/>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18.2.2中标人的投标保证金自采购合同签订之日起</w:t>
      </w: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个工作日内退还，退还方式同本须知正文第18.2.1。 </w:t>
      </w:r>
    </w:p>
    <w:p w14:paraId="0FB0343F">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18.3除逾期退还投标保证金和终止招标的情形以外，投标保证金不计息。</w:t>
      </w:r>
    </w:p>
    <w:p w14:paraId="0808B944">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18.4投标人有下列情形之一的，投标保证金将不予退还： </w:t>
      </w:r>
    </w:p>
    <w:p w14:paraId="2CEEC085">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（1）投标人在投标有效期内撤销投标文件的；</w:t>
      </w:r>
    </w:p>
    <w:p w14:paraId="7C94CF57">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55000B97">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（3）投标人在投标过程中弄虚作假，提供虚假材料的；</w:t>
      </w:r>
    </w:p>
    <w:p w14:paraId="32537364">
      <w:pPr>
        <w:snapToGrid w:val="0"/>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（4）中标人无正当理由不与采购人签订合同的；</w:t>
      </w:r>
    </w:p>
    <w:p w14:paraId="35AF068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（5）投标人出现本章第9.2、9.3情形的；</w:t>
      </w:r>
    </w:p>
    <w:p w14:paraId="4B5E9C2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严重扰乱招投标程序的。</w:t>
      </w:r>
    </w:p>
    <w:p w14:paraId="6E7576D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19.投标文件的</w:t>
      </w:r>
      <w:bookmarkEnd w:id="184"/>
      <w:bookmarkEnd w:id="185"/>
      <w:r>
        <w:rPr>
          <w:rFonts w:hint="eastAsia" w:ascii="黑体" w:hAnsi="黑体" w:eastAsia="黑体" w:cs="Times New Roman"/>
          <w:color w:val="auto"/>
          <w:sz w:val="24"/>
          <w:highlight w:val="none"/>
        </w:rPr>
        <w:t>编制</w:t>
      </w:r>
    </w:p>
    <w:p w14:paraId="11600527">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6" w:name="_19.2投标文件应按报价文件、资格证明文件、商务文件、技术文件分别编制"/>
      <w:bookmarkEnd w:id="186"/>
      <w:r>
        <w:rPr>
          <w:rFonts w:hint="eastAsia" w:ascii="宋体" w:hAnsi="宋体" w:eastAsia="宋体" w:cs="宋体"/>
          <w:color w:val="auto"/>
          <w:szCs w:val="21"/>
          <w:highlight w:val="none"/>
        </w:rPr>
        <w:t xml:space="preserve"> </w:t>
      </w:r>
    </w:p>
    <w:p w14:paraId="26CDDC78">
      <w:pPr>
        <w:pStyle w:val="32"/>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eastAsia="宋体" w:cs="宋体"/>
          <w:b/>
          <w:color w:val="auto"/>
          <w:sz w:val="21"/>
          <w:szCs w:val="21"/>
          <w:highlight w:val="none"/>
        </w:rPr>
        <w:t>其投标无效。</w:t>
      </w:r>
    </w:p>
    <w:p w14:paraId="3C9F8D76">
      <w:pPr>
        <w:pStyle w:val="32"/>
        <w:snapToGrid w:val="0"/>
        <w:spacing w:before="0"/>
        <w:ind w:firstLine="420"/>
        <w:rPr>
          <w:rFonts w:hint="eastAsia" w:ascii="宋体" w:hAnsi="宋体" w:eastAsia="宋体" w:cs="宋体"/>
          <w:color w:val="auto"/>
          <w:sz w:val="21"/>
          <w:szCs w:val="21"/>
          <w:highlight w:val="none"/>
        </w:rPr>
      </w:pPr>
    </w:p>
    <w:p w14:paraId="1A7AB961">
      <w:pPr>
        <w:pStyle w:val="32"/>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6BE6F61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18B4E7D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color w:val="auto"/>
          <w:szCs w:val="21"/>
          <w:highlight w:val="none"/>
          <w:lang w:eastAsia="zh-CN"/>
        </w:rPr>
        <w:t>。</w:t>
      </w:r>
    </w:p>
    <w:p w14:paraId="15AEEC66">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492AA664">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19.7本项目为全流程电子化项目，异常情况见“第二节 投标人须知正文”中“四、24.2开标程序。</w:t>
      </w:r>
    </w:p>
    <w:p w14:paraId="4C647299">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20.备份投标文件</w:t>
      </w:r>
    </w:p>
    <w:p w14:paraId="4F89EB06">
      <w:pPr>
        <w:spacing w:line="360" w:lineRule="auto"/>
        <w:ind w:firstLine="420" w:firstLineChars="200"/>
        <w:rPr>
          <w:rFonts w:hint="eastAsia" w:ascii="黑体" w:hAnsi="黑体" w:eastAsia="黑体" w:cs="Times New Roman"/>
          <w:color w:val="auto"/>
          <w:sz w:val="24"/>
          <w:highlight w:val="none"/>
        </w:rPr>
      </w:pPr>
      <w:r>
        <w:rPr>
          <w:rFonts w:hint="eastAsia" w:ascii="Times New Roman" w:hAnsi="宋体" w:eastAsia="宋体" w:cs="Times New Roman"/>
          <w:bCs/>
          <w:color w:val="auto"/>
          <w:szCs w:val="21"/>
          <w:highlight w:val="none"/>
        </w:rPr>
        <w:t>详见在“投标人须知前附表”。</w:t>
      </w:r>
    </w:p>
    <w:p w14:paraId="283DD964">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21.投标文件的提交</w:t>
      </w:r>
    </w:p>
    <w:p w14:paraId="45849C5A">
      <w:pPr>
        <w:spacing w:line="360" w:lineRule="auto"/>
        <w:ind w:firstLine="420" w:firstLineChars="200"/>
        <w:rPr>
          <w:rFonts w:hint="eastAsia" w:ascii="Times New Roman" w:hAnsi="宋体" w:eastAsia="宋体" w:cs="Times New Roman"/>
          <w:b/>
          <w:color w:val="auto"/>
          <w:highlight w:val="none"/>
        </w:rPr>
      </w:pPr>
      <w:bookmarkStart w:id="187" w:name="_21.1投标人必须在“投标人须知中的前附表”规定的投标文件接收时间和投"/>
      <w:bookmarkEnd w:id="187"/>
      <w:r>
        <w:rPr>
          <w:rFonts w:hint="eastAsia" w:ascii="宋体" w:hAnsi="宋体" w:eastAsia="宋体" w:cs="宋体"/>
          <w:bCs/>
          <w:color w:val="auto"/>
          <w:szCs w:val="21"/>
          <w:highlight w:val="none"/>
        </w:rPr>
        <w:t>21.1</w:t>
      </w:r>
      <w:r>
        <w:rPr>
          <w:rFonts w:hint="eastAsia" w:ascii="Times New Roman" w:hAnsi="宋体" w:eastAsia="宋体" w:cs="Times New Roman"/>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ascii="Times New Roman" w:hAnsi="宋体" w:eastAsia="宋体" w:cs="Times New Roman"/>
          <w:bCs/>
          <w:color w:val="auto"/>
          <w:szCs w:val="21"/>
          <w:highlight w:val="none"/>
        </w:rPr>
        <w:t>CA</w:t>
      </w:r>
      <w:r>
        <w:rPr>
          <w:rFonts w:hint="eastAsia" w:ascii="Times New Roman" w:hAnsi="宋体" w:eastAsia="宋体" w:cs="Times New Roman"/>
          <w:bCs/>
          <w:color w:val="auto"/>
          <w:szCs w:val="21"/>
          <w:highlight w:val="none"/>
        </w:rPr>
        <w:t>认证锁）进行电子签章、加密，然后通过网络将加密的电子投标文件递交至</w:t>
      </w:r>
      <w:r>
        <w:rPr>
          <w:rFonts w:hint="eastAsia" w:ascii="宋体" w:hAnsi="宋体" w:cs="宋体"/>
          <w:b w:val="0"/>
          <w:bCs w:val="0"/>
          <w:color w:val="auto"/>
          <w:sz w:val="21"/>
          <w:szCs w:val="21"/>
          <w:highlight w:val="none"/>
          <w:lang w:val="en-US" w:eastAsia="zh-CN"/>
        </w:rPr>
        <w:t>广西政府采购云平台</w:t>
      </w:r>
      <w:r>
        <w:rPr>
          <w:rFonts w:hint="eastAsia" w:ascii="Times New Roman" w:hAnsi="宋体" w:eastAsia="宋体" w:cs="Times New Roman"/>
          <w:bCs/>
          <w:color w:val="auto"/>
          <w:szCs w:val="21"/>
          <w:highlight w:val="none"/>
        </w:rPr>
        <w:t>。</w:t>
      </w:r>
      <w:r>
        <w:rPr>
          <w:rFonts w:ascii="Times New Roman" w:hAnsi="宋体" w:eastAsia="宋体" w:cs="Times New Roman"/>
          <w:bCs/>
          <w:color w:val="auto"/>
          <w:szCs w:val="21"/>
          <w:highlight w:val="none"/>
        </w:rPr>
        <w:t xml:space="preserve"> </w:t>
      </w:r>
      <w:r>
        <w:rPr>
          <w:rFonts w:ascii="Times New Roman" w:hAnsi="宋体" w:eastAsia="宋体" w:cs="Times New Roman"/>
          <w:b/>
          <w:color w:val="auto"/>
          <w:highlight w:val="none"/>
        </w:rPr>
        <w:t xml:space="preserve"> </w:t>
      </w:r>
    </w:p>
    <w:p w14:paraId="08ACA42E">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1"/>
          <w:highlight w:val="none"/>
        </w:rPr>
        <w:t>21.2未在规定时间内提交或者未按照招标文件要求密封或者标记的电子投标文件，</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将拒收。</w:t>
      </w:r>
    </w:p>
    <w:p w14:paraId="31C85BEC">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21.3电子版投标文件提交方式见“招标公告”</w:t>
      </w:r>
      <w:r>
        <w:rPr>
          <w:rFonts w:hint="eastAsia" w:ascii="宋体" w:hAnsi="宋体" w:cs="Times New Roman"/>
          <w:color w:val="auto"/>
          <w:szCs w:val="21"/>
          <w:highlight w:val="none"/>
          <w:lang w:eastAsia="zh-CN"/>
        </w:rPr>
        <w:t>。</w:t>
      </w:r>
    </w:p>
    <w:p w14:paraId="04C91315">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22. 投标文件的补充、修改、撤回</w:t>
      </w:r>
      <w:bookmarkStart w:id="188" w:name="_Toc254970543"/>
      <w:bookmarkStart w:id="189" w:name="_Toc254970684"/>
    </w:p>
    <w:p w14:paraId="4B85F8FA">
      <w:pPr>
        <w:spacing w:line="360" w:lineRule="auto"/>
        <w:ind w:firstLine="420" w:firstLineChars="200"/>
        <w:rPr>
          <w:rFonts w:hint="eastAsia" w:ascii="黑体" w:hAnsi="黑体" w:eastAsia="黑体" w:cs="Times New Roman"/>
          <w:color w:val="auto"/>
          <w:sz w:val="24"/>
          <w:highlight w:val="none"/>
        </w:rPr>
      </w:pPr>
      <w:r>
        <w:rPr>
          <w:rFonts w:hint="eastAsia" w:ascii="宋体" w:hAnsi="宋体" w:eastAsia="宋体" w:cs="宋体"/>
          <w:color w:val="auto"/>
          <w:szCs w:val="21"/>
          <w:highlight w:val="none"/>
        </w:rPr>
        <w:t xml:space="preserve">22.1 </w:t>
      </w:r>
      <w:r>
        <w:rPr>
          <w:rFonts w:hint="eastAsia" w:ascii="宋体" w:hAnsi="宋体" w:cs="宋体"/>
          <w:color w:val="auto"/>
          <w:szCs w:val="21"/>
          <w:highlight w:val="none"/>
          <w:lang w:eastAsia="zh-CN"/>
        </w:rPr>
        <w:t>投标人</w:t>
      </w:r>
      <w:r>
        <w:rPr>
          <w:rFonts w:hint="eastAsia" w:ascii="宋体" w:hAnsi="宋体" w:eastAsia="宋体" w:cs="宋体"/>
          <w:color w:val="auto"/>
          <w:szCs w:val="21"/>
          <w:highlight w:val="none"/>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auto"/>
          <w:szCs w:val="21"/>
          <w:highlight w:val="none"/>
          <w:lang w:eastAsia="zh-CN"/>
        </w:rPr>
        <w:t>提</w:t>
      </w:r>
      <w:r>
        <w:rPr>
          <w:rFonts w:hint="eastAsia" w:ascii="宋体" w:hAnsi="宋体" w:eastAsia="宋体" w:cs="宋体"/>
          <w:color w:val="auto"/>
          <w:szCs w:val="21"/>
          <w:highlight w:val="none"/>
        </w:rPr>
        <w:t>交的投标文件，</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将拒收。</w:t>
      </w:r>
    </w:p>
    <w:p w14:paraId="50BC953B">
      <w:pPr>
        <w:pStyle w:val="32"/>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sz w:val="21"/>
          <w:szCs w:val="21"/>
          <w:highlight w:val="none"/>
        </w:rPr>
        <w:t>收到投标文件，将妥善保存并即时向</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发出确认回执通知。在投标截止时间前，除</w:t>
      </w:r>
      <w:r>
        <w:rPr>
          <w:rFonts w:hint="eastAsia" w:ascii="宋体" w:hAnsi="宋体" w:cs="宋体"/>
          <w:color w:val="auto"/>
          <w:sz w:val="21"/>
          <w:szCs w:val="21"/>
          <w:highlight w:val="none"/>
          <w:lang w:eastAsia="zh-CN"/>
        </w:rPr>
        <w:t>投标人</w:t>
      </w:r>
      <w:r>
        <w:rPr>
          <w:rFonts w:hint="eastAsia" w:ascii="宋体" w:hAnsi="宋体" w:eastAsia="宋体" w:cs="宋体"/>
          <w:color w:val="auto"/>
          <w:sz w:val="21"/>
          <w:szCs w:val="21"/>
          <w:highlight w:val="none"/>
        </w:rPr>
        <w:t>补充、修改或者撤回投标文件外，任何单位和个人不得解密或提取投标文件。</w:t>
      </w:r>
    </w:p>
    <w:bookmarkEnd w:id="188"/>
    <w:bookmarkEnd w:id="189"/>
    <w:p w14:paraId="39849707">
      <w:pPr>
        <w:pStyle w:val="13"/>
        <w:snapToGrid w:val="0"/>
        <w:spacing w:line="400" w:lineRule="exact"/>
        <w:ind w:firstLine="739"/>
        <w:rPr>
          <w:rFonts w:hint="eastAsia" w:hAnsi="宋体" w:eastAsia="宋体" w:cs="Times New Roman"/>
          <w:snapToGrid w:val="0"/>
          <w:color w:val="auto"/>
          <w:sz w:val="21"/>
          <w:szCs w:val="21"/>
          <w:highlight w:val="none"/>
        </w:rPr>
      </w:pPr>
    </w:p>
    <w:p w14:paraId="3BDFA90D">
      <w:pPr>
        <w:pStyle w:val="6"/>
        <w:keepNext w:val="0"/>
        <w:keepLines w:val="0"/>
        <w:spacing w:line="400" w:lineRule="exact"/>
        <w:jc w:val="center"/>
        <w:rPr>
          <w:rFonts w:hint="eastAsia" w:ascii="Times New Roman" w:hAnsi="Times New Roman" w:eastAsia="宋体" w:cs="Times New Roman"/>
          <w:color w:val="auto"/>
          <w:highlight w:val="none"/>
        </w:rPr>
      </w:pPr>
      <w:bookmarkStart w:id="190" w:name="_Toc254970544"/>
      <w:bookmarkStart w:id="191" w:name="_Toc14091"/>
      <w:bookmarkStart w:id="192" w:name="_Toc12790"/>
      <w:bookmarkStart w:id="193" w:name="_Toc2573"/>
      <w:bookmarkStart w:id="194" w:name="_Toc27037"/>
      <w:bookmarkStart w:id="195" w:name="_Toc1356"/>
      <w:bookmarkStart w:id="196" w:name="_Toc22661"/>
      <w:bookmarkStart w:id="197" w:name="_Toc32494"/>
      <w:bookmarkStart w:id="198" w:name="_Toc810"/>
      <w:bookmarkStart w:id="199" w:name="_Toc1586"/>
      <w:bookmarkStart w:id="200" w:name="_Toc13250"/>
      <w:bookmarkStart w:id="201" w:name="_Toc254970685"/>
      <w:r>
        <w:rPr>
          <w:rFonts w:hint="eastAsia" w:ascii="Times New Roman" w:hAnsi="Times New Roman" w:eastAsia="宋体" w:cs="Times New Roman"/>
          <w:color w:val="auto"/>
          <w:highlight w:val="none"/>
        </w:rPr>
        <w:t>四、开</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190"/>
      <w:bookmarkEnd w:id="191"/>
      <w:bookmarkEnd w:id="192"/>
      <w:bookmarkEnd w:id="193"/>
      <w:bookmarkEnd w:id="194"/>
      <w:bookmarkEnd w:id="195"/>
      <w:bookmarkEnd w:id="196"/>
      <w:bookmarkEnd w:id="197"/>
      <w:bookmarkEnd w:id="198"/>
      <w:bookmarkEnd w:id="199"/>
      <w:bookmarkEnd w:id="200"/>
      <w:bookmarkEnd w:id="201"/>
    </w:p>
    <w:p w14:paraId="3AE83C46">
      <w:pPr>
        <w:spacing w:line="360" w:lineRule="auto"/>
        <w:ind w:firstLine="480" w:firstLineChars="200"/>
        <w:rPr>
          <w:rFonts w:ascii="黑体" w:hAnsi="黑体" w:eastAsia="黑体" w:cs="Times New Roman"/>
          <w:color w:val="auto"/>
          <w:sz w:val="24"/>
          <w:highlight w:val="none"/>
        </w:rPr>
      </w:pPr>
      <w:bookmarkStart w:id="202" w:name="_23.开标时间和地点"/>
      <w:bookmarkEnd w:id="202"/>
      <w:r>
        <w:rPr>
          <w:rFonts w:hint="eastAsia" w:ascii="黑体" w:hAnsi="黑体" w:eastAsia="黑体" w:cs="Times New Roman"/>
          <w:color w:val="auto"/>
          <w:sz w:val="24"/>
          <w:highlight w:val="none"/>
        </w:rPr>
        <w:t>23.开标时间和地点</w:t>
      </w:r>
    </w:p>
    <w:p w14:paraId="0066092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1DFE1B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64E570C5">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24.开标程序</w:t>
      </w:r>
    </w:p>
    <w:p w14:paraId="6C2DC610">
      <w:pPr>
        <w:autoSpaceDE w:val="0"/>
        <w:autoSpaceDN w:val="0"/>
        <w:adjustRightInd w:val="0"/>
        <w:spacing w:line="440" w:lineRule="exact"/>
        <w:ind w:firstLine="420" w:firstLineChars="200"/>
        <w:rPr>
          <w:rFonts w:hint="eastAsia" w:ascii="宋体" w:hAnsi="宋体" w:eastAsia="宋体" w:cs="Times New Roman"/>
          <w:color w:val="auto"/>
          <w:kern w:val="0"/>
          <w:szCs w:val="21"/>
          <w:highlight w:val="none"/>
        </w:rPr>
      </w:pPr>
      <w:r>
        <w:rPr>
          <w:rFonts w:hint="eastAsia" w:ascii="宋体" w:hAnsi="宋体" w:eastAsia="宋体" w:cs="Times New Roman"/>
          <w:bCs/>
          <w:color w:val="auto"/>
          <w:szCs w:val="21"/>
          <w:highlight w:val="none"/>
        </w:rPr>
        <w:t>24.1</w:t>
      </w:r>
      <w:r>
        <w:rPr>
          <w:rFonts w:hint="eastAsia" w:ascii="宋体" w:hAnsi="宋体" w:eastAsia="宋体" w:cs="Times New Roman"/>
          <w:color w:val="auto"/>
          <w:kern w:val="0"/>
          <w:szCs w:val="21"/>
          <w:highlight w:val="none"/>
        </w:rPr>
        <w:t>开标形式：</w:t>
      </w:r>
    </w:p>
    <w:p w14:paraId="43657D61">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bCs/>
          <w:color w:val="auto"/>
          <w:szCs w:val="21"/>
          <w:highlight w:val="none"/>
        </w:rPr>
        <w:t>开标的准备工作由采购代理机构负责落实，采购代理机构必须基于</w:t>
      </w:r>
      <w:r>
        <w:rPr>
          <w:rFonts w:hint="eastAsia" w:ascii="宋体" w:hAnsi="宋体" w:cs="宋体"/>
          <w:b w:val="0"/>
          <w:bCs w:val="0"/>
          <w:color w:val="auto"/>
          <w:sz w:val="21"/>
          <w:szCs w:val="21"/>
          <w:highlight w:val="none"/>
          <w:lang w:val="en-US" w:eastAsia="zh-CN"/>
        </w:rPr>
        <w:t>广西政府采购云平台</w:t>
      </w:r>
      <w:r>
        <w:rPr>
          <w:rFonts w:hint="eastAsia" w:ascii="宋体" w:hAnsi="宋体" w:cs="Times New Roman"/>
          <w:bCs/>
          <w:color w:val="auto"/>
          <w:szCs w:val="21"/>
          <w:highlight w:val="none"/>
          <w:lang w:eastAsia="zh-CN"/>
        </w:rPr>
        <w:t>依法抽取</w:t>
      </w:r>
      <w:r>
        <w:rPr>
          <w:rFonts w:hint="eastAsia" w:ascii="宋体" w:hAnsi="宋体" w:eastAsia="宋体" w:cs="Times New Roman"/>
          <w:bCs/>
          <w:color w:val="auto"/>
          <w:szCs w:val="21"/>
          <w:highlight w:val="none"/>
        </w:rPr>
        <w:t>评审专家，如采购代理机构未按规定</w:t>
      </w:r>
      <w:r>
        <w:rPr>
          <w:rFonts w:hint="eastAsia" w:ascii="宋体" w:hAnsi="宋体" w:cs="Times New Roman"/>
          <w:bCs/>
          <w:color w:val="auto"/>
          <w:szCs w:val="21"/>
          <w:highlight w:val="none"/>
          <w:lang w:eastAsia="zh-CN"/>
        </w:rPr>
        <w:t>抽</w:t>
      </w:r>
      <w:r>
        <w:rPr>
          <w:rFonts w:hint="eastAsia" w:ascii="宋体" w:hAnsi="宋体" w:eastAsia="宋体" w:cs="Times New Roman"/>
          <w:bCs/>
          <w:color w:val="auto"/>
          <w:szCs w:val="21"/>
          <w:highlight w:val="none"/>
        </w:rPr>
        <w:t>取专家的，视为本次开评标无效，应当重新采购；</w:t>
      </w:r>
    </w:p>
    <w:p w14:paraId="7D12183F">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（2）采购代理机构将按照招标文件规定的时间通过</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bCs/>
          <w:color w:val="auto"/>
          <w:szCs w:val="21"/>
          <w:highlight w:val="none"/>
        </w:rPr>
        <w:t>组织线上开标活动、开启投标文件，所有</w:t>
      </w:r>
      <w:r>
        <w:rPr>
          <w:rFonts w:hint="eastAsia" w:ascii="宋体" w:hAnsi="宋体" w:cs="Times New Roman"/>
          <w:bCs/>
          <w:color w:val="auto"/>
          <w:szCs w:val="21"/>
          <w:highlight w:val="none"/>
          <w:lang w:eastAsia="zh-CN"/>
        </w:rPr>
        <w:t>投标人</w:t>
      </w:r>
      <w:r>
        <w:rPr>
          <w:rFonts w:hint="eastAsia" w:ascii="宋体" w:hAnsi="宋体" w:eastAsia="宋体" w:cs="Times New Roman"/>
          <w:bCs/>
          <w:color w:val="auto"/>
          <w:szCs w:val="21"/>
          <w:highlight w:val="none"/>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8B10DC4">
      <w:pPr>
        <w:autoSpaceDE w:val="0"/>
        <w:autoSpaceDN w:val="0"/>
        <w:adjustRightInd w:val="0"/>
        <w:spacing w:line="440" w:lineRule="exact"/>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24.2开标程序：</w:t>
      </w:r>
    </w:p>
    <w:p w14:paraId="1737D3C4">
      <w:pPr>
        <w:pStyle w:val="15"/>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color w:val="auto"/>
          <w:szCs w:val="21"/>
          <w:highlight w:val="none"/>
        </w:rPr>
        <w:t>（1）解密电子投标文件。</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仿宋_GB2312"/>
          <w:color w:val="auto"/>
          <w:szCs w:val="21"/>
          <w:highlight w:val="none"/>
        </w:rPr>
        <w:t>按开标时间自动提取所有投标文件。采购代理机构依托</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eastAsia="宋体" w:cs="Times New Roman"/>
          <w:b/>
          <w:color w:val="auto"/>
          <w:szCs w:val="21"/>
          <w:highlight w:val="none"/>
        </w:rPr>
        <w:t>须携带加密时所用的CA锁准时登录到</w:t>
      </w:r>
      <w:r>
        <w:rPr>
          <w:rFonts w:hint="eastAsia" w:ascii="宋体" w:hAnsi="宋体" w:cs="Times New Roman"/>
          <w:b/>
          <w:bCs w:val="0"/>
          <w:color w:val="auto"/>
          <w:sz w:val="21"/>
          <w:szCs w:val="21"/>
          <w:highlight w:val="none"/>
          <w:lang w:val="en-US" w:eastAsia="zh-CN"/>
        </w:rPr>
        <w:t>广西政府采购云平台</w:t>
      </w:r>
      <w:r>
        <w:rPr>
          <w:rFonts w:hint="eastAsia" w:hAnsi="宋体" w:eastAsia="宋体" w:cs="Times New Roman"/>
          <w:b/>
          <w:color w:val="auto"/>
          <w:szCs w:val="21"/>
          <w:highlight w:val="none"/>
        </w:rPr>
        <w:t>电子开标大厅签到并对电子投标文件</w:t>
      </w:r>
      <w:r>
        <w:rPr>
          <w:rFonts w:hint="eastAsia" w:hAnsi="宋体" w:cs="Times New Roman"/>
          <w:b/>
          <w:color w:val="auto"/>
          <w:szCs w:val="21"/>
          <w:highlight w:val="none"/>
          <w:lang w:eastAsia="zh-CN"/>
        </w:rPr>
        <w:t>在线</w:t>
      </w:r>
      <w:r>
        <w:rPr>
          <w:rFonts w:hint="eastAsia" w:hAnsi="宋体" w:eastAsia="宋体" w:cs="Times New Roman"/>
          <w:b/>
          <w:color w:val="auto"/>
          <w:szCs w:val="21"/>
          <w:highlight w:val="none"/>
        </w:rPr>
        <w:t>解密</w:t>
      </w:r>
      <w:r>
        <w:rPr>
          <w:rFonts w:hint="eastAsia" w:hAnsi="宋体" w:eastAsia="宋体" w:cs="Times New Roman"/>
          <w:color w:val="auto"/>
          <w:szCs w:val="21"/>
          <w:highlight w:val="none"/>
        </w:rPr>
        <w:t>。</w:t>
      </w:r>
      <w:r>
        <w:rPr>
          <w:rFonts w:hint="eastAsia" w:hAnsi="宋体" w:eastAsia="宋体" w:cs="Times New Roman"/>
          <w:b/>
          <w:bCs/>
          <w:color w:val="auto"/>
          <w:szCs w:val="21"/>
          <w:highlight w:val="none"/>
        </w:rPr>
        <w:t>投标文件未按时解密的，</w:t>
      </w:r>
      <w:r>
        <w:rPr>
          <w:rFonts w:hint="eastAsia" w:hAnsi="宋体" w:eastAsia="宋体" w:cs="Times New Roman"/>
          <w:b/>
          <w:color w:val="auto"/>
          <w:szCs w:val="21"/>
          <w:highlight w:val="none"/>
        </w:rPr>
        <w:t>均视为无效投标。</w:t>
      </w:r>
    </w:p>
    <w:p w14:paraId="07B89C17">
      <w:pPr>
        <w:pStyle w:val="15"/>
        <w:snapToGrid w:val="0"/>
        <w:spacing w:line="440" w:lineRule="exact"/>
        <w:ind w:firstLine="420" w:firstLineChars="200"/>
        <w:rPr>
          <w:rFonts w:hint="eastAsia" w:hAnsi="宋体" w:eastAsia="宋体" w:cs="Times New Roman"/>
          <w:color w:val="auto"/>
          <w:szCs w:val="21"/>
          <w:highlight w:val="none"/>
        </w:rPr>
      </w:pPr>
      <w:r>
        <w:rPr>
          <w:rFonts w:hint="eastAsia" w:hAnsi="宋体" w:eastAsia="宋体" w:cs="Times New Roman"/>
          <w:color w:val="auto"/>
          <w:szCs w:val="21"/>
          <w:highlight w:val="none"/>
        </w:rPr>
        <w:t>（解密</w:t>
      </w:r>
      <w:r>
        <w:rPr>
          <w:rFonts w:hint="eastAsia" w:hAnsi="宋体" w:eastAsia="宋体" w:cs="Times New Roman"/>
          <w:bCs/>
          <w:color w:val="auto"/>
          <w:szCs w:val="21"/>
          <w:highlight w:val="none"/>
        </w:rPr>
        <w:t>异常情况处理：详见本章</w:t>
      </w:r>
      <w:r>
        <w:rPr>
          <w:rFonts w:hint="eastAsia" w:hAnsi="宋体" w:eastAsia="宋体" w:cs="Times New Roman"/>
          <w:color w:val="auto"/>
          <w:highlight w:val="none"/>
        </w:rPr>
        <w:t>29.3 电子交易活动的中止。</w:t>
      </w:r>
      <w:r>
        <w:rPr>
          <w:rFonts w:hint="eastAsia" w:hAnsi="宋体" w:eastAsia="宋体" w:cs="Times New Roman"/>
          <w:color w:val="auto"/>
          <w:szCs w:val="21"/>
          <w:highlight w:val="none"/>
        </w:rPr>
        <w:t>）</w:t>
      </w:r>
    </w:p>
    <w:p w14:paraId="343D890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b/>
          <w:color w:val="auto"/>
          <w:szCs w:val="21"/>
          <w:highlight w:val="none"/>
        </w:rPr>
        <w:t>电子唱标。</w:t>
      </w:r>
      <w:r>
        <w:rPr>
          <w:rFonts w:hint="eastAsia" w:ascii="宋体" w:hAnsi="宋体" w:eastAsia="宋体" w:cs="Times New Roman"/>
          <w:color w:val="auto"/>
          <w:szCs w:val="21"/>
          <w:highlight w:val="none"/>
        </w:rPr>
        <w:t>投标文件解密结束，各投标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报价均在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Times New Roman"/>
          <w:color w:val="auto"/>
          <w:szCs w:val="21"/>
          <w:highlight w:val="none"/>
        </w:rPr>
        <w:t>远程不见面开标大厅展示；</w:t>
      </w:r>
    </w:p>
    <w:p w14:paraId="283D2909">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7674C363">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BC37838">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eastAsia="宋体" w:cs="Times New Roman"/>
          <w:bCs/>
          <w:color w:val="auto"/>
          <w:szCs w:val="21"/>
          <w:highlight w:val="none"/>
        </w:rPr>
        <w:t>）开标结束。</w:t>
      </w:r>
    </w:p>
    <w:p w14:paraId="7795F96F">
      <w:pPr>
        <w:pStyle w:val="15"/>
        <w:snapToGrid w:val="0"/>
        <w:spacing w:line="440" w:lineRule="exact"/>
        <w:ind w:firstLine="422" w:firstLineChars="200"/>
        <w:rPr>
          <w:rFonts w:hint="eastAsia" w:hAnsi="宋体" w:eastAsia="宋体" w:cs="Times New Roman"/>
          <w:color w:val="auto"/>
          <w:szCs w:val="21"/>
          <w:highlight w:val="none"/>
        </w:rPr>
      </w:pPr>
      <w:r>
        <w:rPr>
          <w:rFonts w:hint="eastAsia" w:hAnsi="宋体" w:eastAsia="宋体" w:cs="Times New Roman"/>
          <w:b/>
          <w:bCs/>
          <w:color w:val="auto"/>
          <w:szCs w:val="21"/>
          <w:highlight w:val="none"/>
        </w:rPr>
        <w:t>特别说明：</w:t>
      </w:r>
      <w:r>
        <w:rPr>
          <w:rFonts w:hint="eastAsia" w:hAnsi="宋体" w:eastAsia="宋体" w:cs="Times New Roman"/>
          <w:color w:val="auto"/>
          <w:szCs w:val="21"/>
          <w:highlight w:val="none"/>
        </w:rPr>
        <w:t>如遇</w:t>
      </w:r>
      <w:r>
        <w:rPr>
          <w:rFonts w:hint="eastAsia" w:ascii="宋体" w:hAnsi="宋体" w:cs="宋体"/>
          <w:b w:val="0"/>
          <w:bCs w:val="0"/>
          <w:color w:val="auto"/>
          <w:sz w:val="21"/>
          <w:szCs w:val="21"/>
          <w:highlight w:val="none"/>
          <w:lang w:val="en-US" w:eastAsia="zh-CN"/>
        </w:rPr>
        <w:t>广西政府采购云平台</w:t>
      </w:r>
      <w:r>
        <w:rPr>
          <w:rFonts w:hint="eastAsia" w:hAnsi="宋体" w:eastAsia="宋体" w:cs="Times New Roman"/>
          <w:color w:val="auto"/>
          <w:szCs w:val="21"/>
          <w:highlight w:val="none"/>
        </w:rPr>
        <w:t>电子化开标或评审程序调整的，按调整后执行。</w:t>
      </w:r>
    </w:p>
    <w:p w14:paraId="429A6DC7">
      <w:pPr>
        <w:pStyle w:val="15"/>
        <w:snapToGrid w:val="0"/>
        <w:spacing w:line="400" w:lineRule="exact"/>
        <w:ind w:left="689" w:leftChars="228" w:hanging="210" w:hangingChars="100"/>
        <w:rPr>
          <w:rFonts w:hint="eastAsia" w:hAnsi="宋体" w:eastAsia="宋体" w:cs="Times New Roman"/>
          <w:color w:val="auto"/>
          <w:highlight w:val="none"/>
        </w:rPr>
      </w:pPr>
    </w:p>
    <w:p w14:paraId="24304321">
      <w:pPr>
        <w:pStyle w:val="6"/>
        <w:keepNext w:val="0"/>
        <w:keepLines w:val="0"/>
        <w:spacing w:line="400" w:lineRule="exact"/>
        <w:jc w:val="center"/>
        <w:rPr>
          <w:rFonts w:hint="eastAsia" w:ascii="Times New Roman" w:hAnsi="Times New Roman" w:eastAsia="宋体" w:cs="Times New Roman"/>
          <w:color w:val="auto"/>
          <w:highlight w:val="none"/>
        </w:rPr>
      </w:pPr>
      <w:bookmarkStart w:id="203" w:name="_Toc22509"/>
      <w:bookmarkStart w:id="204" w:name="_Toc29189"/>
      <w:bookmarkStart w:id="205" w:name="_Toc1489"/>
      <w:bookmarkStart w:id="206" w:name="_Toc19053"/>
      <w:bookmarkStart w:id="207" w:name="_Toc31994"/>
      <w:bookmarkStart w:id="208" w:name="_Toc6866"/>
      <w:bookmarkStart w:id="209" w:name="_Toc8919"/>
      <w:bookmarkStart w:id="210" w:name="_Toc23512"/>
      <w:bookmarkStart w:id="211" w:name="_Toc2575"/>
      <w:bookmarkStart w:id="212" w:name="_Toc25053"/>
      <w:r>
        <w:rPr>
          <w:rFonts w:hint="eastAsia" w:ascii="Times New Roman" w:hAnsi="Times New Roman" w:eastAsia="宋体" w:cs="Times New Roman"/>
          <w:color w:val="auto"/>
          <w:highlight w:val="none"/>
        </w:rPr>
        <w:t>五、资格审查</w:t>
      </w:r>
      <w:bookmarkEnd w:id="203"/>
      <w:bookmarkEnd w:id="204"/>
      <w:bookmarkEnd w:id="205"/>
      <w:bookmarkEnd w:id="206"/>
      <w:bookmarkEnd w:id="207"/>
      <w:bookmarkEnd w:id="208"/>
      <w:bookmarkEnd w:id="209"/>
      <w:bookmarkEnd w:id="210"/>
      <w:bookmarkEnd w:id="211"/>
      <w:bookmarkEnd w:id="212"/>
    </w:p>
    <w:p w14:paraId="062E8784">
      <w:pPr>
        <w:pStyle w:val="7"/>
        <w:keepNext w:val="0"/>
        <w:keepLines w:val="0"/>
        <w:spacing w:before="0" w:after="0" w:line="360" w:lineRule="auto"/>
        <w:ind w:firstLine="482"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25.资格审查</w:t>
      </w:r>
    </w:p>
    <w:p w14:paraId="2905BFA4">
      <w:pPr>
        <w:spacing w:line="360" w:lineRule="auto"/>
        <w:ind w:firstLine="422" w:firstLineChars="200"/>
        <w:rPr>
          <w:rFonts w:hint="eastAsia" w:ascii="宋体" w:hAnsi="宋体" w:eastAsia="宋体" w:cs="Times New Roman"/>
          <w:b/>
          <w:bCs/>
          <w:color w:val="auto"/>
          <w:szCs w:val="20"/>
          <w:highlight w:val="none"/>
        </w:rPr>
      </w:pPr>
      <w:r>
        <w:rPr>
          <w:rFonts w:hint="eastAsia" w:ascii="宋体" w:hAnsi="宋体" w:eastAsia="宋体" w:cs="Times New Roman"/>
          <w:b/>
          <w:bCs/>
          <w:color w:val="auto"/>
          <w:szCs w:val="20"/>
          <w:highlight w:val="none"/>
        </w:rPr>
        <w:t xml:space="preserve"> 25.1开标结束后，采购人或采购</w:t>
      </w:r>
      <w:r>
        <w:rPr>
          <w:rFonts w:hint="eastAsia" w:ascii="宋体" w:hAnsi="宋体" w:cs="Times New Roman"/>
          <w:b/>
          <w:bCs/>
          <w:color w:val="auto"/>
          <w:szCs w:val="20"/>
          <w:highlight w:val="none"/>
          <w:lang w:eastAsia="zh-CN"/>
        </w:rPr>
        <w:t>代理</w:t>
      </w:r>
      <w:r>
        <w:rPr>
          <w:rFonts w:hint="eastAsia" w:ascii="宋体" w:hAnsi="宋体" w:eastAsia="宋体" w:cs="Times New Roman"/>
          <w:b/>
          <w:bCs/>
          <w:color w:val="auto"/>
          <w:szCs w:val="20"/>
          <w:highlight w:val="none"/>
        </w:rPr>
        <w:t>机构依法通过电子投标文件对投标人的资格进行线上审查。</w:t>
      </w:r>
    </w:p>
    <w:p w14:paraId="0D16F06E">
      <w:pPr>
        <w:spacing w:line="360"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25.</w:t>
      </w: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rPr>
        <w:t>资格审查标准为本“招标文件”中“投标人须知前附表”13.1点载明对投标人资格要求的条件。本项目资格审查采用合格制，凡符合招标文件规定的投标人资格要求的投标人均通过资格审查。</w:t>
      </w:r>
    </w:p>
    <w:p w14:paraId="16637099">
      <w:pPr>
        <w:spacing w:line="360" w:lineRule="auto"/>
        <w:ind w:firstLine="422" w:firstLineChars="200"/>
        <w:rPr>
          <w:rFonts w:hint="eastAsia" w:ascii="宋体" w:hAnsi="宋体" w:eastAsia="宋体" w:cs="Times New Roman"/>
          <w:b/>
          <w:bCs/>
          <w:color w:val="auto"/>
          <w:szCs w:val="20"/>
          <w:highlight w:val="none"/>
        </w:rPr>
      </w:pPr>
      <w:bookmarkStart w:id="213" w:name="_25.3_投标人有下列情形之一的，资格审查不通过而导致其投标无效："/>
      <w:bookmarkEnd w:id="213"/>
      <w:r>
        <w:rPr>
          <w:rFonts w:hint="eastAsia" w:ascii="宋体" w:hAnsi="宋体" w:eastAsia="宋体" w:cs="Times New Roman"/>
          <w:b/>
          <w:bCs/>
          <w:color w:val="auto"/>
          <w:szCs w:val="20"/>
          <w:highlight w:val="none"/>
        </w:rPr>
        <w:t>25.</w:t>
      </w:r>
      <w:r>
        <w:rPr>
          <w:rFonts w:hint="eastAsia" w:ascii="宋体" w:hAnsi="宋体" w:cs="Times New Roman"/>
          <w:b/>
          <w:bCs/>
          <w:color w:val="auto"/>
          <w:szCs w:val="20"/>
          <w:highlight w:val="none"/>
          <w:lang w:val="en-US" w:eastAsia="zh-CN"/>
        </w:rPr>
        <w:t>3</w:t>
      </w:r>
      <w:r>
        <w:rPr>
          <w:rFonts w:hint="eastAsia" w:ascii="宋体" w:hAnsi="宋体" w:eastAsia="宋体" w:cs="Times New Roman"/>
          <w:b/>
          <w:bCs/>
          <w:color w:val="auto"/>
          <w:szCs w:val="20"/>
          <w:highlight w:val="none"/>
        </w:rPr>
        <w:t>投标人有下列情形之一的，资格审查不通过，作无效投标处理：</w:t>
      </w:r>
    </w:p>
    <w:p w14:paraId="45E22E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宋体"/>
          <w:color w:val="auto"/>
          <w:highlight w:val="none"/>
        </w:rPr>
        <w:t>已与“信用中国”平台做接口，采购人或者采购代理机构可直接在线查询）</w:t>
      </w:r>
    </w:p>
    <w:p w14:paraId="13B758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577E49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50861B02">
      <w:pPr>
        <w:pStyle w:val="17"/>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（4）同一合同项下的不同供应商，单位负责人为同一人或者存在直接控股、管理关系的；为本项目提供过整体设计、规范编制或者项目管理、监理、检测等服务的。</w:t>
      </w:r>
    </w:p>
    <w:p w14:paraId="2279AC3F">
      <w:pPr>
        <w:pStyle w:val="7"/>
        <w:keepNext w:val="0"/>
        <w:keepLines w:val="0"/>
        <w:spacing w:before="0" w:after="0" w:line="360" w:lineRule="auto"/>
        <w:ind w:firstLine="420" w:firstLineChars="200"/>
        <w:rPr>
          <w:rFonts w:ascii="宋体" w:hAnsi="宋体" w:eastAsia="宋体" w:cs="Times New Roman"/>
          <w:b w:val="0"/>
          <w:bCs w:val="0"/>
          <w:color w:val="auto"/>
          <w:sz w:val="21"/>
          <w:szCs w:val="20"/>
          <w:highlight w:val="none"/>
        </w:rPr>
      </w:pPr>
      <w:r>
        <w:rPr>
          <w:rFonts w:hint="eastAsia" w:ascii="宋体" w:hAnsi="宋体" w:eastAsia="宋体" w:cs="Times New Roman"/>
          <w:b w:val="0"/>
          <w:bCs w:val="0"/>
          <w:color w:val="auto"/>
          <w:sz w:val="21"/>
          <w:szCs w:val="20"/>
          <w:highlight w:val="none"/>
        </w:rPr>
        <w:t>25.</w:t>
      </w:r>
      <w:r>
        <w:rPr>
          <w:rFonts w:hint="eastAsia" w:ascii="宋体" w:hAnsi="宋体" w:cs="Times New Roman"/>
          <w:b w:val="0"/>
          <w:bCs w:val="0"/>
          <w:color w:val="auto"/>
          <w:sz w:val="21"/>
          <w:szCs w:val="20"/>
          <w:highlight w:val="none"/>
          <w:lang w:val="en-US" w:eastAsia="zh-CN"/>
        </w:rPr>
        <w:t>4</w:t>
      </w:r>
      <w:r>
        <w:rPr>
          <w:rFonts w:hint="eastAsia" w:ascii="宋体" w:hAnsi="宋体" w:eastAsia="宋体" w:cs="Times New Roman"/>
          <w:b w:val="0"/>
          <w:bCs w:val="0"/>
          <w:color w:val="auto"/>
          <w:sz w:val="21"/>
          <w:szCs w:val="20"/>
          <w:highlight w:val="none"/>
        </w:rPr>
        <w:t>资格审查的合格投标人不足3家的，不得评标。</w:t>
      </w:r>
    </w:p>
    <w:p w14:paraId="0D396E49">
      <w:pPr>
        <w:pStyle w:val="6"/>
        <w:keepNext w:val="0"/>
        <w:keepLines w:val="0"/>
        <w:spacing w:line="360" w:lineRule="auto"/>
        <w:jc w:val="center"/>
        <w:rPr>
          <w:rFonts w:hint="eastAsia" w:ascii="Times New Roman" w:hAnsi="Times New Roman" w:eastAsia="宋体" w:cs="Times New Roman"/>
          <w:color w:val="auto"/>
          <w:highlight w:val="none"/>
        </w:rPr>
      </w:pPr>
      <w:bookmarkStart w:id="214" w:name="_Toc29412"/>
      <w:bookmarkStart w:id="215" w:name="_Toc11169"/>
      <w:bookmarkStart w:id="216" w:name="_Toc1454"/>
      <w:bookmarkStart w:id="217" w:name="_Toc19035"/>
      <w:bookmarkStart w:id="218" w:name="_Toc15749"/>
      <w:bookmarkStart w:id="219" w:name="_Toc3548"/>
      <w:bookmarkStart w:id="220" w:name="_Toc20983"/>
      <w:bookmarkStart w:id="221" w:name="_Toc21152"/>
      <w:bookmarkStart w:id="222" w:name="_Toc2770"/>
      <w:bookmarkStart w:id="223" w:name="_Toc20446"/>
      <w:r>
        <w:rPr>
          <w:rFonts w:hint="eastAsia" w:ascii="Times New Roman" w:hAnsi="Times New Roman" w:eastAsia="宋体" w:cs="Times New Roman"/>
          <w:color w:val="auto"/>
          <w:highlight w:val="none"/>
        </w:rPr>
        <w:t>六、评</w:t>
      </w:r>
      <w:r>
        <w:rPr>
          <w:rFonts w:ascii="Times New Roman" w:hAnsi="Times New Roman" w:eastAsia="宋体" w:cs="Times New Roman"/>
          <w:color w:val="auto"/>
          <w:highlight w:val="none"/>
        </w:rPr>
        <w:t xml:space="preserve">   </w:t>
      </w:r>
      <w:r>
        <w:rPr>
          <w:rFonts w:hint="eastAsia" w:ascii="Times New Roman" w:hAnsi="Times New Roman" w:eastAsia="宋体" w:cs="Times New Roman"/>
          <w:color w:val="auto"/>
          <w:highlight w:val="none"/>
        </w:rPr>
        <w:t>标</w:t>
      </w:r>
      <w:bookmarkEnd w:id="214"/>
      <w:bookmarkEnd w:id="215"/>
      <w:bookmarkEnd w:id="216"/>
      <w:bookmarkEnd w:id="217"/>
      <w:bookmarkEnd w:id="218"/>
      <w:bookmarkEnd w:id="219"/>
      <w:bookmarkEnd w:id="220"/>
      <w:bookmarkEnd w:id="221"/>
      <w:bookmarkEnd w:id="222"/>
      <w:bookmarkEnd w:id="223"/>
    </w:p>
    <w:p w14:paraId="05EB9F07">
      <w:pPr>
        <w:spacing w:line="360" w:lineRule="auto"/>
        <w:ind w:firstLine="480" w:firstLineChars="200"/>
        <w:rPr>
          <w:rFonts w:ascii="黑体" w:hAnsi="黑体" w:eastAsia="黑体" w:cs="Times New Roman"/>
          <w:color w:val="auto"/>
          <w:sz w:val="24"/>
          <w:highlight w:val="none"/>
        </w:rPr>
      </w:pPr>
      <w:bookmarkStart w:id="224" w:name="_26.组建评标委员会"/>
      <w:bookmarkEnd w:id="224"/>
      <w:r>
        <w:rPr>
          <w:rFonts w:hint="eastAsia" w:ascii="黑体" w:hAnsi="黑体" w:eastAsia="黑体" w:cs="Times New Roman"/>
          <w:color w:val="auto"/>
          <w:sz w:val="24"/>
          <w:highlight w:val="none"/>
        </w:rPr>
        <w:t>26.组建评标委员会</w:t>
      </w:r>
    </w:p>
    <w:p w14:paraId="7D574445">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评标委员会由采购人代表和评审专家组成，人数为</w:t>
      </w:r>
      <w:r>
        <w:rPr>
          <w:rFonts w:ascii="Times New Roman" w:hAnsi="宋体" w:eastAsia="宋体" w:cs="Times New Roman"/>
          <w:color w:val="auto"/>
          <w:highlight w:val="none"/>
        </w:rPr>
        <w:t>5</w:t>
      </w:r>
      <w:r>
        <w:rPr>
          <w:rFonts w:hint="eastAsia" w:ascii="Times New Roman" w:hAnsi="宋体" w:eastAsia="宋体" w:cs="Times New Roman"/>
          <w:color w:val="auto"/>
          <w:highlight w:val="none"/>
        </w:rPr>
        <w:t>人以上单数，其中评审专家不得少于成员总数的三分之二。</w:t>
      </w:r>
    </w:p>
    <w:p w14:paraId="19F4CF02">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参加过采购项目前期咨询论证的专家，不得参加该采购项目的评审活动。</w:t>
      </w:r>
    </w:p>
    <w:p w14:paraId="647297E0">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27.评标的依据</w:t>
      </w:r>
    </w:p>
    <w:p w14:paraId="101FD58B">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评标委员会以招标文件为依据对投标文件进行评审，</w:t>
      </w:r>
      <w:r>
        <w:rPr>
          <w:rFonts w:hint="eastAsia" w:ascii="Times New Roman" w:hAnsi="宋体" w:eastAsia="宋体" w:cs="宋体"/>
          <w:color w:val="auto"/>
          <w:highlight w:val="none"/>
        </w:rPr>
        <w:t>“第四章</w:t>
      </w:r>
      <w:r>
        <w:rPr>
          <w:rFonts w:ascii="Times New Roman" w:hAnsi="宋体" w:eastAsia="宋体" w:cs="宋体"/>
          <w:color w:val="auto"/>
          <w:highlight w:val="none"/>
        </w:rPr>
        <w:t xml:space="preserve"> </w:t>
      </w:r>
      <w:r>
        <w:rPr>
          <w:rFonts w:hint="eastAsia" w:ascii="Times New Roman" w:hAnsi="宋体" w:eastAsia="宋体" w:cs="宋体"/>
          <w:color w:val="auto"/>
          <w:highlight w:val="none"/>
        </w:rPr>
        <w:t>评标方法和评标标准”</w:t>
      </w:r>
      <w:r>
        <w:rPr>
          <w:rFonts w:hint="eastAsia" w:ascii="Times New Roman" w:hAnsi="宋体" w:eastAsia="宋体" w:cs="Times New Roman"/>
          <w:color w:val="auto"/>
          <w:highlight w:val="none"/>
        </w:rPr>
        <w:t>没有规定的方法、评审因素和标准，不作为评标依据。</w:t>
      </w:r>
    </w:p>
    <w:p w14:paraId="678976F4">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28.评标原则</w:t>
      </w:r>
    </w:p>
    <w:p w14:paraId="2E2E7CD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7097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2</w:t>
      </w:r>
      <w:r>
        <w:rPr>
          <w:rFonts w:hint="eastAsia" w:ascii="宋体" w:hAnsi="宋体" w:eastAsia="宋体" w:cs="宋体"/>
          <w:color w:val="auto"/>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0E4B1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3</w:t>
      </w:r>
      <w:r>
        <w:rPr>
          <w:rFonts w:hint="eastAsia" w:ascii="宋体" w:hAnsi="宋体" w:eastAsia="宋体" w:cs="宋体"/>
          <w:color w:val="auto"/>
          <w:highlight w:val="none"/>
        </w:rPr>
        <w:t>评标过程的监控。本项目电子评标过程实行网上留痕、全程录音、录像监控，投标人在评标过程中所进行的试图影响评标结果的不公正活动，可能导致其投标</w:t>
      </w:r>
      <w:r>
        <w:rPr>
          <w:rFonts w:hint="eastAsia" w:ascii="宋体" w:hAnsi="宋体" w:eastAsia="宋体" w:cs="宋体"/>
          <w:color w:val="auto"/>
          <w:highlight w:val="none"/>
          <w:lang w:eastAsia="zh-CN"/>
        </w:rPr>
        <w:t>作</w:t>
      </w:r>
      <w:r>
        <w:rPr>
          <w:rFonts w:hint="eastAsia" w:ascii="宋体" w:hAnsi="宋体" w:eastAsia="宋体" w:cs="宋体"/>
          <w:color w:val="auto"/>
          <w:highlight w:val="none"/>
        </w:rPr>
        <w:t>无效处理。</w:t>
      </w:r>
    </w:p>
    <w:p w14:paraId="5090F7A7">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cs="宋体"/>
          <w:color w:val="auto"/>
          <w:highlight w:val="none"/>
          <w:lang w:val="en-US" w:eastAsia="zh-CN"/>
        </w:rPr>
        <w:t>4</w:t>
      </w:r>
      <w:r>
        <w:rPr>
          <w:rFonts w:hint="eastAsia" w:ascii="宋体" w:hAnsi="宋体" w:eastAsia="宋体" w:cs="宋体"/>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84E8E9A">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29.评标方法</w:t>
      </w:r>
      <w:r>
        <w:rPr>
          <w:rFonts w:hint="eastAsia" w:ascii="黑体" w:hAnsi="黑体" w:eastAsia="黑体" w:cs="Times New Roman"/>
          <w:color w:val="auto"/>
          <w:sz w:val="24"/>
          <w:highlight w:val="none"/>
          <w:lang w:eastAsia="zh-CN"/>
        </w:rPr>
        <w:t>和</w:t>
      </w:r>
      <w:r>
        <w:rPr>
          <w:rFonts w:hint="eastAsia" w:ascii="黑体" w:hAnsi="黑体" w:eastAsia="黑体" w:cs="Times New Roman"/>
          <w:color w:val="auto"/>
          <w:sz w:val="24"/>
          <w:highlight w:val="none"/>
        </w:rPr>
        <w:t>评标标准</w:t>
      </w:r>
    </w:p>
    <w:p w14:paraId="54AA7F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1687FD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7C0ED3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48364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7050A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F17B0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7E2CA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8E152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27A329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81AA061">
      <w:pPr>
        <w:pStyle w:val="15"/>
        <w:snapToGrid w:val="0"/>
        <w:spacing w:line="400" w:lineRule="exact"/>
        <w:ind w:firstLine="420" w:firstLineChars="200"/>
        <w:rPr>
          <w:rFonts w:hAnsi="宋体" w:eastAsia="宋体" w:cs="Times New Roman"/>
          <w:color w:val="auto"/>
          <w:highlight w:val="none"/>
        </w:rPr>
      </w:pPr>
    </w:p>
    <w:p w14:paraId="2DF1B66B">
      <w:pPr>
        <w:pStyle w:val="6"/>
        <w:keepNext w:val="0"/>
        <w:keepLines w:val="0"/>
        <w:spacing w:line="400" w:lineRule="exact"/>
        <w:jc w:val="center"/>
        <w:rPr>
          <w:rFonts w:hint="eastAsia" w:ascii="Times New Roman" w:hAnsi="Times New Roman" w:eastAsia="宋体" w:cs="Times New Roman"/>
          <w:color w:val="auto"/>
          <w:highlight w:val="none"/>
        </w:rPr>
      </w:pPr>
      <w:bookmarkStart w:id="225" w:name="_Toc254970687"/>
      <w:bookmarkStart w:id="226" w:name="_Toc254970546"/>
      <w:bookmarkStart w:id="227" w:name="_Toc31226"/>
      <w:bookmarkStart w:id="228" w:name="_Toc4688"/>
      <w:bookmarkStart w:id="229" w:name="_Toc2302"/>
      <w:bookmarkStart w:id="230" w:name="_Toc24771"/>
      <w:bookmarkStart w:id="231" w:name="_Toc31698"/>
      <w:bookmarkStart w:id="232" w:name="_Toc15452"/>
      <w:bookmarkStart w:id="233" w:name="_Toc14661"/>
      <w:bookmarkStart w:id="234" w:name="_Toc32339"/>
      <w:bookmarkStart w:id="235" w:name="_Toc10427"/>
      <w:bookmarkStart w:id="236" w:name="_Toc10518"/>
      <w:r>
        <w:rPr>
          <w:rFonts w:hint="eastAsia" w:ascii="Times New Roman" w:hAnsi="Times New Roman" w:eastAsia="宋体" w:cs="Times New Roman"/>
          <w:color w:val="auto"/>
          <w:highlight w:val="none"/>
        </w:rPr>
        <w:t>七、</w:t>
      </w:r>
      <w:bookmarkEnd w:id="225"/>
      <w:bookmarkEnd w:id="226"/>
      <w:r>
        <w:rPr>
          <w:rFonts w:hint="eastAsia" w:ascii="Times New Roman" w:hAnsi="Times New Roman" w:eastAsia="宋体" w:cs="Times New Roman"/>
          <w:color w:val="auto"/>
          <w:highlight w:val="none"/>
        </w:rPr>
        <w:t>中标和合同</w:t>
      </w:r>
      <w:bookmarkEnd w:id="227"/>
      <w:bookmarkEnd w:id="228"/>
      <w:bookmarkEnd w:id="229"/>
      <w:bookmarkEnd w:id="230"/>
      <w:bookmarkEnd w:id="231"/>
      <w:bookmarkEnd w:id="232"/>
      <w:bookmarkEnd w:id="233"/>
      <w:bookmarkEnd w:id="234"/>
      <w:bookmarkEnd w:id="235"/>
      <w:bookmarkEnd w:id="236"/>
    </w:p>
    <w:p w14:paraId="6C7433D2">
      <w:pPr>
        <w:spacing w:line="360" w:lineRule="auto"/>
        <w:ind w:firstLine="480" w:firstLineChars="200"/>
        <w:rPr>
          <w:rFonts w:ascii="黑体" w:hAnsi="黑体" w:eastAsia="黑体" w:cs="Times New Roman"/>
          <w:color w:val="auto"/>
          <w:sz w:val="24"/>
          <w:highlight w:val="none"/>
        </w:rPr>
      </w:pPr>
      <w:r>
        <w:rPr>
          <w:rFonts w:hint="eastAsia" w:ascii="黑体" w:hAnsi="黑体" w:eastAsia="黑体" w:cs="Times New Roman"/>
          <w:color w:val="auto"/>
          <w:sz w:val="24"/>
          <w:highlight w:val="none"/>
        </w:rPr>
        <w:t>30.确定中标人</w:t>
      </w:r>
    </w:p>
    <w:p w14:paraId="2E595BD2">
      <w:pPr>
        <w:spacing w:line="360" w:lineRule="auto"/>
        <w:ind w:firstLine="420" w:firstLineChars="200"/>
        <w:rPr>
          <w:rFonts w:hint="eastAsia" w:ascii="宋体" w:hAnsi="宋体" w:eastAsia="宋体" w:cs="Courier New"/>
          <w:b/>
          <w:bCs/>
          <w:color w:val="auto"/>
          <w:szCs w:val="21"/>
          <w:highlight w:val="none"/>
        </w:rPr>
      </w:pPr>
      <w:r>
        <w:rPr>
          <w:rFonts w:hint="eastAsia" w:ascii="宋体" w:hAnsi="宋体" w:cs="宋体"/>
          <w:b w:val="0"/>
          <w:bCs w:val="0"/>
          <w:color w:val="auto"/>
          <w:szCs w:val="21"/>
          <w:highlight w:val="none"/>
        </w:rPr>
        <w:t>30.1</w:t>
      </w:r>
      <w:r>
        <w:rPr>
          <w:rFonts w:hint="eastAsia" w:ascii="宋体" w:hAnsi="宋体" w:eastAsia="宋体" w:cs="宋体"/>
          <w:color w:val="auto"/>
          <w:sz w:val="21"/>
          <w:highlight w:val="none"/>
        </w:rPr>
        <w:t>采购人在收到</w:t>
      </w:r>
      <w:r>
        <w:rPr>
          <w:rFonts w:hint="eastAsia" w:ascii="宋体" w:hAnsi="宋体" w:cs="宋体"/>
          <w:color w:val="auto"/>
          <w:sz w:val="21"/>
          <w:highlight w:val="none"/>
          <w:lang w:eastAsia="zh-CN"/>
        </w:rPr>
        <w:t>评标委员会出具的</w:t>
      </w:r>
      <w:r>
        <w:rPr>
          <w:rFonts w:hint="eastAsia" w:ascii="宋体" w:hAnsi="宋体" w:eastAsia="宋体" w:cs="宋体"/>
          <w:color w:val="auto"/>
          <w:sz w:val="21"/>
          <w:highlight w:val="none"/>
        </w:rPr>
        <w:t>评标报告之日起5个工作日内在评标报告推荐的中标候选人名单中按顺序确定中标人。采购人也可以事先授权评标委员会直接确定中标人。</w:t>
      </w:r>
      <w:r>
        <w:rPr>
          <w:rFonts w:ascii="宋体" w:hAnsi="宋体" w:eastAsia="宋体" w:cs="宋体"/>
          <w:color w:val="auto"/>
          <w:sz w:val="21"/>
          <w:highlight w:val="none"/>
        </w:rPr>
        <w:t>中标候选人并列的，由采购人或者采购人委托评标委员会按照</w:t>
      </w:r>
      <w:r>
        <w:rPr>
          <w:rFonts w:hint="eastAsia"/>
          <w:color w:val="auto"/>
          <w:highlight w:val="none"/>
          <w:lang w:eastAsia="zh-CN"/>
        </w:rPr>
        <w:t>“投标人须知前附表”</w:t>
      </w:r>
      <w:r>
        <w:rPr>
          <w:rFonts w:ascii="宋体" w:hAnsi="宋体" w:eastAsia="宋体" w:cs="宋体"/>
          <w:color w:val="auto"/>
          <w:sz w:val="21"/>
          <w:highlight w:val="none"/>
        </w:rPr>
        <w:t>规定的方式确定中标人；招标文件未规定的，采取随机抽取的方式确定。</w:t>
      </w:r>
      <w:r>
        <w:rPr>
          <w:rFonts w:hint="eastAsia" w:ascii="宋体" w:hAnsi="宋体" w:cs="宋体"/>
          <w:b/>
          <w:bCs/>
          <w:color w:val="auto"/>
          <w:szCs w:val="21"/>
          <w:highlight w:val="none"/>
          <w:lang w:val="en-US" w:eastAsia="zh-CN"/>
        </w:rPr>
        <w:t xml:space="preserve">   </w:t>
      </w:r>
    </w:p>
    <w:p w14:paraId="53C83BE9">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71D129F">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30.3中标</w:t>
      </w:r>
      <w:r>
        <w:rPr>
          <w:rFonts w:hint="eastAsia" w:ascii="宋体" w:hAnsi="宋体" w:cs="Courier New"/>
          <w:color w:val="auto"/>
          <w:szCs w:val="21"/>
          <w:highlight w:val="none"/>
          <w:lang w:eastAsia="zh-CN"/>
        </w:rPr>
        <w:t>人</w:t>
      </w:r>
      <w:r>
        <w:rPr>
          <w:rFonts w:hint="eastAsia" w:ascii="宋体" w:hAnsi="宋体" w:eastAsia="宋体" w:cs="Courier New"/>
          <w:color w:val="auto"/>
          <w:szCs w:val="21"/>
          <w:highlight w:val="none"/>
        </w:rPr>
        <w:t>无正当理由拒签合同的，根据《中华人民共和国政府采购法》第七十七条第一款规定处理。</w:t>
      </w:r>
    </w:p>
    <w:p w14:paraId="5090C384">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30.4根据《中华人民共和国民法典》</w:t>
      </w:r>
      <w:r>
        <w:rPr>
          <w:rFonts w:hint="eastAsia" w:ascii="Times New Roman" w:hAnsi="Times New Roman" w:eastAsia="宋体" w:cs="Times New Roman"/>
          <w:color w:val="auto"/>
          <w:sz w:val="19"/>
          <w:szCs w:val="19"/>
          <w:highlight w:val="none"/>
        </w:rPr>
        <w:t>第五百六十三条</w:t>
      </w:r>
      <w:r>
        <w:rPr>
          <w:rFonts w:hint="eastAsia" w:ascii="宋体" w:hAnsi="宋体" w:eastAsia="宋体" w:cs="Courier New"/>
          <w:color w:val="auto"/>
          <w:szCs w:val="21"/>
          <w:highlight w:val="none"/>
        </w:rPr>
        <w:t>，因不可抗力致使不能实现合同目的的，当事人可以解除合同。</w:t>
      </w:r>
    </w:p>
    <w:p w14:paraId="76CCCE5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31. 结果公告</w:t>
      </w:r>
    </w:p>
    <w:p w14:paraId="0842B6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w:t>
      </w:r>
      <w:r>
        <w:rPr>
          <w:rFonts w:hint="eastAsia" w:ascii="宋体" w:hAnsi="宋体" w:eastAsia="宋体" w:cs="宋体"/>
          <w:color w:val="auto"/>
          <w:highlight w:val="none"/>
          <w:lang w:eastAsia="zh-CN"/>
        </w:rPr>
        <w:t>人</w:t>
      </w:r>
      <w:r>
        <w:rPr>
          <w:rFonts w:hint="eastAsia" w:ascii="宋体" w:hAnsi="宋体" w:eastAsia="宋体" w:cs="宋体"/>
          <w:color w:val="auto"/>
          <w:highlight w:val="none"/>
        </w:rPr>
        <w:t>发出中标通知书。</w:t>
      </w:r>
      <w:r>
        <w:rPr>
          <w:rFonts w:hint="eastAsia" w:ascii="宋体" w:hAnsi="宋体" w:eastAsia="宋体" w:cs="宋体"/>
          <w:b/>
          <w:color w:val="auto"/>
          <w:szCs w:val="21"/>
          <w:highlight w:val="none"/>
        </w:rPr>
        <w:t>采购代理机构发出中标通知书前，应当对中标人信用进行核实，对列入失信被执行人、</w:t>
      </w:r>
      <w:r>
        <w:rPr>
          <w:rFonts w:hint="eastAsia" w:ascii="宋体" w:hAnsi="宋体" w:eastAsia="宋体" w:cs="宋体"/>
          <w:b/>
          <w:color w:val="auto"/>
          <w:szCs w:val="21"/>
          <w:highlight w:val="none"/>
          <w:lang w:eastAsia="zh-CN"/>
        </w:rPr>
        <w:t>重大税收违法失信主体</w:t>
      </w:r>
      <w:r>
        <w:rPr>
          <w:rFonts w:hint="eastAsia" w:ascii="宋体" w:hAnsi="宋体" w:eastAsia="宋体" w:cs="宋体"/>
          <w:b/>
          <w:color w:val="auto"/>
          <w:szCs w:val="21"/>
          <w:highlight w:val="none"/>
        </w:rPr>
        <w:t>、政府采购严重违法失信行为记录名单及其他不符合《中华人民共和国政府采购法》第二十二条规定条件的投标人，取消其中标资格，并</w:t>
      </w:r>
      <w:r>
        <w:rPr>
          <w:rFonts w:hint="eastAsia" w:ascii="宋体" w:hAnsi="宋体" w:eastAsia="宋体" w:cs="宋体"/>
          <w:b/>
          <w:color w:val="auto"/>
          <w:szCs w:val="21"/>
          <w:highlight w:val="none"/>
          <w:lang w:eastAsia="zh-CN"/>
        </w:rPr>
        <w:t>依法</w:t>
      </w:r>
      <w:r>
        <w:rPr>
          <w:rFonts w:hint="eastAsia" w:ascii="宋体" w:hAnsi="宋体" w:eastAsia="宋体" w:cs="宋体"/>
          <w:b/>
          <w:color w:val="auto"/>
          <w:szCs w:val="21"/>
          <w:highlight w:val="none"/>
        </w:rPr>
        <w:t>确定排名第二的中标候选人为中标人。</w:t>
      </w:r>
      <w:r>
        <w:rPr>
          <w:rFonts w:hint="eastAsia" w:ascii="宋体" w:hAnsi="宋体" w:eastAsia="宋体" w:cs="宋体"/>
          <w:color w:val="auto"/>
          <w:szCs w:val="21"/>
          <w:highlight w:val="none"/>
        </w:rPr>
        <w:t>排名第二的中标候选人因前款规定的同样原因被取消中标资格的，</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确定排名第三的中标候选人为中标人，以此类推。</w:t>
      </w:r>
    </w:p>
    <w:p w14:paraId="587587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6D86DA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w:t>
      </w:r>
      <w:r>
        <w:rPr>
          <w:rFonts w:hint="eastAsia" w:ascii="宋体" w:hAnsi="宋体" w:eastAsia="宋体" w:cs="宋体"/>
          <w:color w:val="auto"/>
          <w:szCs w:val="21"/>
          <w:highlight w:val="none"/>
          <w:lang w:eastAsia="zh-CN"/>
        </w:rPr>
        <w:t>扶持</w:t>
      </w:r>
      <w:r>
        <w:rPr>
          <w:rFonts w:hint="eastAsia" w:ascii="宋体" w:hAnsi="宋体" w:eastAsia="宋体" w:cs="宋体"/>
          <w:color w:val="auto"/>
          <w:szCs w:val="21"/>
          <w:highlight w:val="none"/>
        </w:rPr>
        <w:t>政策的，采购人或者采购代理机构在公告中标结果时，同时公告其《中小企业声明函》，接受社会监督。</w:t>
      </w:r>
    </w:p>
    <w:p w14:paraId="291FADFE">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32.发出中标通知书</w:t>
      </w:r>
    </w:p>
    <w:p w14:paraId="7D652FF8">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32.1在发布中标公告的同时，采购代理机构向中标人通过</w:t>
      </w:r>
      <w:r>
        <w:rPr>
          <w:rFonts w:hint="eastAsia" w:ascii="宋体" w:hAnsi="宋体" w:cs="Times New Roman"/>
          <w:b/>
          <w:bCs w:val="0"/>
          <w:color w:val="auto"/>
          <w:sz w:val="21"/>
          <w:szCs w:val="21"/>
          <w:highlight w:val="none"/>
          <w:lang w:val="en-US" w:eastAsia="zh-CN"/>
        </w:rPr>
        <w:t>广西政府采购云平台</w:t>
      </w:r>
      <w:r>
        <w:rPr>
          <w:rFonts w:hint="eastAsia" w:ascii="宋体" w:hAnsi="宋体" w:eastAsia="宋体" w:cs="Times New Roman"/>
          <w:b/>
          <w:color w:val="auto"/>
          <w:szCs w:val="21"/>
          <w:highlight w:val="none"/>
        </w:rPr>
        <w:t>发出电子中标通知书。</w:t>
      </w:r>
    </w:p>
    <w:p w14:paraId="1EFFF301">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32.2对未通过资格审查的投标人，采购人或采购</w:t>
      </w:r>
      <w:r>
        <w:rPr>
          <w:rFonts w:hint="eastAsia" w:ascii="宋体" w:hAnsi="宋体" w:cs="Times New Roman"/>
          <w:b/>
          <w:color w:val="auto"/>
          <w:szCs w:val="21"/>
          <w:highlight w:val="none"/>
          <w:lang w:eastAsia="zh-CN"/>
        </w:rPr>
        <w:t>代理</w:t>
      </w:r>
      <w:r>
        <w:rPr>
          <w:rFonts w:hint="eastAsia" w:ascii="宋体" w:hAnsi="宋体" w:eastAsia="宋体" w:cs="Times New Roman"/>
          <w:b/>
          <w:color w:val="auto"/>
          <w:szCs w:val="21"/>
          <w:highlight w:val="none"/>
        </w:rPr>
        <w:t>机构应当告知其未通过的原因；采用综合评分办法评审的，采购人或采购机构还应当告知未中标人本人的评审得分与排序。</w:t>
      </w:r>
    </w:p>
    <w:p w14:paraId="0A220E0A">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33. 无义务解释未中标原因</w:t>
      </w:r>
    </w:p>
    <w:p w14:paraId="556ADAF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采购代理机构无义务向未中标的投标人解释未中标原因和退还投标文件。</w:t>
      </w:r>
    </w:p>
    <w:p w14:paraId="48EE06A0">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34.合同授予标准</w:t>
      </w:r>
    </w:p>
    <w:p w14:paraId="339F701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合同将授予被确定实质上响应招标文件要求，具备履行合同能力的中标人（招标文件另有约定多名中标人的除外）。</w:t>
      </w:r>
    </w:p>
    <w:p w14:paraId="7DF0E29C">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35.履约保证金</w:t>
      </w:r>
    </w:p>
    <w:p w14:paraId="14E73F19">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bookmarkStart w:id="237" w:name="_39.1中标人须于签订合同前按本须知前附表规定的金额转账或电汇到指定账"/>
      <w:bookmarkEnd w:id="237"/>
      <w:r>
        <w:rPr>
          <w:rFonts w:hint="eastAsia" w:ascii="宋体" w:hAnsi="宋体" w:eastAsia="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auto"/>
          <w:sz w:val="21"/>
          <w:szCs w:val="21"/>
          <w:highlight w:val="none"/>
          <w:lang w:eastAsia="zh-CN"/>
        </w:rPr>
        <w:t>依法</w:t>
      </w:r>
      <w:r>
        <w:rPr>
          <w:rFonts w:hint="eastAsia" w:ascii="宋体" w:hAnsi="宋体" w:eastAsia="宋体" w:cs="宋体"/>
          <w:b w:val="0"/>
          <w:color w:val="auto"/>
          <w:sz w:val="21"/>
          <w:szCs w:val="21"/>
          <w:highlight w:val="none"/>
        </w:rPr>
        <w:t>确定下一候选人为中标人，也可以重新开展政府采购活动。</w:t>
      </w:r>
    </w:p>
    <w:p w14:paraId="0E158D0F">
      <w:pPr>
        <w:pStyle w:val="7"/>
        <w:keepNext w:val="0"/>
        <w:keepLines w:val="0"/>
        <w:spacing w:before="0" w:after="0" w:line="360" w:lineRule="auto"/>
        <w:ind w:firstLine="315" w:firstLineChars="15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13FD569F">
      <w:pPr>
        <w:pStyle w:val="7"/>
        <w:keepNext w:val="0"/>
        <w:keepLines w:val="0"/>
        <w:numPr>
          <w:ilvl w:val="0"/>
          <w:numId w:val="0"/>
        </w:numPr>
        <w:spacing w:before="0" w:after="0" w:line="360" w:lineRule="auto"/>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35.3在履约保证金退还日期前，若中标人的开户名称、开户银行、</w:t>
      </w:r>
      <w:r>
        <w:rPr>
          <w:rFonts w:hint="eastAsia" w:ascii="宋体" w:hAnsi="宋体" w:eastAsia="宋体" w:cs="宋体"/>
          <w:b w:val="0"/>
          <w:color w:val="auto"/>
          <w:sz w:val="21"/>
          <w:szCs w:val="21"/>
          <w:highlight w:val="none"/>
          <w:lang w:eastAsia="zh-CN"/>
        </w:rPr>
        <w:t>账</w:t>
      </w:r>
      <w:r>
        <w:rPr>
          <w:rFonts w:hint="eastAsia" w:ascii="宋体" w:hAnsi="宋体" w:eastAsia="宋体" w:cs="宋体"/>
          <w:b w:val="0"/>
          <w:color w:val="auto"/>
          <w:sz w:val="21"/>
          <w:szCs w:val="21"/>
          <w:highlight w:val="none"/>
        </w:rPr>
        <w:t>号有变动的，请以书面形式通知履约保证金收取单位，否则由此产生的后果由中标人自行承担。</w:t>
      </w:r>
    </w:p>
    <w:p w14:paraId="138CAA88">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36.签订合同</w:t>
      </w:r>
    </w:p>
    <w:p w14:paraId="2FF16CF5">
      <w:pPr>
        <w:spacing w:line="360" w:lineRule="auto"/>
        <w:ind w:firstLine="420" w:firstLineChars="200"/>
        <w:rPr>
          <w:rFonts w:hint="eastAsia"/>
          <w:b/>
          <w:bCs/>
          <w:i/>
          <w:iCs/>
          <w:color w:val="auto"/>
          <w:szCs w:val="21"/>
          <w:highlight w:val="none"/>
          <w:lang w:eastAsia="zh-CN"/>
        </w:rPr>
      </w:pPr>
      <w:bookmarkStart w:id="238" w:name="_40.1投标人接到中标通知书后，按须知前附表规定向采购人出示相关资格证"/>
      <w:bookmarkEnd w:id="238"/>
      <w:r>
        <w:rPr>
          <w:rFonts w:hint="eastAsia" w:ascii="宋体" w:hAnsi="宋体" w:cs="宋体"/>
          <w:b w:val="0"/>
          <w:color w:val="auto"/>
          <w:sz w:val="21"/>
          <w:szCs w:val="21"/>
          <w:highlight w:val="none"/>
          <w:lang w:eastAsia="zh-CN"/>
        </w:rPr>
        <w:t xml:space="preserve"> </w:t>
      </w:r>
      <w:r>
        <w:rPr>
          <w:rFonts w:hint="eastAsia" w:ascii="宋体" w:hAnsi="宋体" w:cs="宋体"/>
          <w:b/>
          <w:bCs/>
          <w:color w:val="auto"/>
          <w:sz w:val="21"/>
          <w:szCs w:val="21"/>
          <w:highlight w:val="none"/>
          <w:lang w:eastAsia="zh-CN"/>
        </w:rPr>
        <w:t>36.1中标人在中标通知书发出之日起</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auto"/>
          <w:sz w:val="21"/>
          <w:szCs w:val="21"/>
          <w:highlight w:val="none"/>
        </w:rPr>
        <w:t>。</w:t>
      </w:r>
    </w:p>
    <w:p w14:paraId="71E9FE0B">
      <w:pPr>
        <w:spacing w:line="360" w:lineRule="auto"/>
        <w:ind w:firstLine="420" w:firstLineChars="200"/>
        <w:rPr>
          <w:rFonts w:hint="eastAsia"/>
          <w:b/>
          <w:bCs/>
          <w:i/>
          <w:iCs/>
          <w:color w:val="auto"/>
          <w:szCs w:val="21"/>
          <w:highlight w:val="none"/>
          <w:lang w:eastAsia="zh-CN"/>
        </w:rPr>
      </w:pPr>
      <w:r>
        <w:rPr>
          <w:rFonts w:hint="eastAsia" w:ascii="宋体" w:hAnsi="宋体" w:cs="Times New Roman"/>
          <w:b w:val="0"/>
          <w:bCs w:val="0"/>
          <w:i w:val="0"/>
          <w:iCs w:val="0"/>
          <w:color w:val="auto"/>
          <w:sz w:val="21"/>
          <w:szCs w:val="21"/>
          <w:highlight w:val="none"/>
          <w:lang w:val="zh-CN" w:eastAsia="zh-CN"/>
        </w:rPr>
        <w:t>36.2采购合同由采购人与中标人根据招标文件、投标文件等内容签订。</w:t>
      </w:r>
    </w:p>
    <w:p w14:paraId="0C3B2E24">
      <w:pPr>
        <w:pStyle w:val="32"/>
        <w:snapToGrid w:val="0"/>
        <w:spacing w:before="0"/>
        <w:ind w:firstLine="420"/>
        <w:rPr>
          <w:rFonts w:hint="eastAsia" w:ascii="宋体" w:hAnsi="宋体" w:eastAsia="宋体" w:cs="仿宋_GB2312"/>
          <w:color w:val="auto"/>
          <w:sz w:val="21"/>
          <w:szCs w:val="21"/>
          <w:highlight w:val="none"/>
        </w:rPr>
      </w:pPr>
      <w:r>
        <w:rPr>
          <w:rFonts w:hint="eastAsia" w:ascii="宋体" w:hAnsi="宋体" w:eastAsia="宋体" w:cs="Times New Roman"/>
          <w:color w:val="auto"/>
          <w:sz w:val="21"/>
          <w:szCs w:val="21"/>
          <w:highlight w:val="none"/>
        </w:rPr>
        <w:t>36.3签订合同时间：按中标通知书规定的时间与采购人签订合同。</w:t>
      </w:r>
    </w:p>
    <w:p w14:paraId="35743CD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36.4中标人拒绝与采购人签订合同的，采购人可以按照评审报告推荐的中标候选人名单排序，</w:t>
      </w:r>
      <w:r>
        <w:rPr>
          <w:rFonts w:hint="eastAsia" w:ascii="宋体" w:hAnsi="宋体" w:cs="Times New Roman"/>
          <w:color w:val="auto"/>
          <w:szCs w:val="21"/>
          <w:highlight w:val="none"/>
          <w:lang w:eastAsia="zh-CN"/>
        </w:rPr>
        <w:t>依法</w:t>
      </w:r>
      <w:r>
        <w:rPr>
          <w:rFonts w:hint="eastAsia" w:ascii="宋体" w:hAnsi="宋体" w:eastAsia="宋体" w:cs="Times New Roman"/>
          <w:color w:val="auto"/>
          <w:szCs w:val="21"/>
          <w:highlight w:val="none"/>
        </w:rPr>
        <w:t>确定下一候选人为中标人，也可以重新开展政府采购活动。如采购人无正当理由拒签合同的，给中标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造成损失的，中标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可追究采购人承担相应的法律责任。</w:t>
      </w:r>
    </w:p>
    <w:p w14:paraId="0382954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36.5政府采购合同是政府采购项目验收的依据，中标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ACE39C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36.6采购人或中标</w:t>
      </w:r>
      <w:r>
        <w:rPr>
          <w:rFonts w:hint="eastAsia" w:ascii="宋体" w:hAnsi="宋体" w:cs="Times New Roman"/>
          <w:color w:val="auto"/>
          <w:szCs w:val="21"/>
          <w:highlight w:val="none"/>
          <w:lang w:eastAsia="zh-CN"/>
        </w:rPr>
        <w:t>人</w:t>
      </w:r>
      <w:r>
        <w:rPr>
          <w:rFonts w:hint="eastAsia" w:ascii="宋体" w:hAnsi="宋体" w:eastAsia="宋体" w:cs="Times New Roman"/>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768054D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36.7</w:t>
      </w:r>
      <w:r>
        <w:rPr>
          <w:rFonts w:hint="eastAsia" w:ascii="宋体" w:hAnsi="宋体" w:eastAsia="宋体" w:cs="仿宋_GB2312"/>
          <w:color w:val="auto"/>
          <w:szCs w:val="21"/>
          <w:highlight w:val="none"/>
        </w:rPr>
        <w:t>如签订合同并生效后，</w:t>
      </w:r>
      <w:r>
        <w:rPr>
          <w:rFonts w:hint="eastAsia" w:ascii="宋体" w:hAnsi="宋体" w:cs="仿宋_GB2312"/>
          <w:color w:val="auto"/>
          <w:szCs w:val="21"/>
          <w:highlight w:val="none"/>
          <w:lang w:eastAsia="zh-CN"/>
        </w:rPr>
        <w:t>中标人</w:t>
      </w:r>
      <w:r>
        <w:rPr>
          <w:rFonts w:hint="eastAsia" w:ascii="宋体" w:hAnsi="宋体" w:eastAsia="宋体" w:cs="仿宋_GB2312"/>
          <w:color w:val="auto"/>
          <w:szCs w:val="21"/>
          <w:highlight w:val="none"/>
        </w:rPr>
        <w:t>无故拒绝或延期，除按照合同条款处理外，将承担相应的法律责任。</w:t>
      </w:r>
    </w:p>
    <w:p w14:paraId="253A254E">
      <w:pPr>
        <w:spacing w:line="360" w:lineRule="auto"/>
        <w:ind w:firstLine="480" w:firstLineChars="200"/>
        <w:rPr>
          <w:rFonts w:hint="eastAsia" w:ascii="黑体" w:hAnsi="黑体" w:eastAsia="黑体" w:cs="Times New Roman"/>
          <w:color w:val="auto"/>
          <w:sz w:val="24"/>
          <w:highlight w:val="none"/>
        </w:rPr>
      </w:pPr>
      <w:bookmarkStart w:id="239" w:name="_41.政府采购合同公告"/>
      <w:bookmarkEnd w:id="239"/>
      <w:r>
        <w:rPr>
          <w:rFonts w:hint="eastAsia" w:ascii="黑体" w:hAnsi="黑体" w:eastAsia="黑体" w:cs="Times New Roman"/>
          <w:color w:val="auto"/>
          <w:sz w:val="24"/>
          <w:highlight w:val="none"/>
        </w:rPr>
        <w:t>37.政府采购合同公告</w:t>
      </w:r>
    </w:p>
    <w:p w14:paraId="5CC4AD16">
      <w:pPr>
        <w:spacing w:line="360" w:lineRule="auto"/>
        <w:ind w:firstLine="420" w:firstLineChars="200"/>
        <w:rPr>
          <w:rFonts w:hint="eastAsia" w:ascii="宋体" w:hAnsi="宋体" w:eastAsia="宋体" w:cs="Times New Roman"/>
          <w:color w:val="auto"/>
          <w:highlight w:val="none"/>
        </w:rPr>
      </w:pPr>
      <w:r>
        <w:rPr>
          <w:rFonts w:hint="eastAsia" w:ascii="Times New Roman" w:hAnsi="宋体" w:eastAsia="宋体" w:cs="Times New Roman"/>
          <w:color w:val="auto"/>
          <w:highlight w:val="none"/>
        </w:rPr>
        <w:t>采购人应当自政府采购合同签订之日起</w:t>
      </w:r>
      <w:r>
        <w:rPr>
          <w:rFonts w:ascii="Times New Roman" w:hAnsi="宋体" w:eastAsia="宋体" w:cs="Times New Roman"/>
          <w:color w:val="auto"/>
          <w:highlight w:val="none"/>
        </w:rPr>
        <w:t>2</w:t>
      </w:r>
      <w:r>
        <w:rPr>
          <w:rFonts w:hint="eastAsia" w:ascii="Times New Roman" w:hAnsi="宋体" w:eastAsia="宋体" w:cs="Times New Roman"/>
          <w:color w:val="auto"/>
          <w:highlight w:val="none"/>
        </w:rPr>
        <w:t>个工作日内，将政府采购合同</w:t>
      </w:r>
      <w:r>
        <w:rPr>
          <w:rFonts w:hint="eastAsia" w:ascii="宋体" w:hAnsi="宋体" w:eastAsia="宋体" w:cs="Times New Roman"/>
          <w:bCs/>
          <w:color w:val="auto"/>
          <w:highlight w:val="none"/>
        </w:rPr>
        <w:t>在省级以上人民政府财政部门指定的媒体</w:t>
      </w:r>
      <w:r>
        <w:rPr>
          <w:rFonts w:hint="eastAsia" w:ascii="Times New Roman" w:hAnsi="宋体" w:eastAsia="宋体" w:cs="Times New Roman"/>
          <w:color w:val="auto"/>
          <w:highlight w:val="none"/>
        </w:rPr>
        <w:t>上公告，但政府采购合同中涉及国家秘密、商业秘密的内容除外。</w:t>
      </w:r>
    </w:p>
    <w:p w14:paraId="18FEA6F7">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38. 询问、质疑和投诉</w:t>
      </w:r>
    </w:p>
    <w:p w14:paraId="70976323">
      <w:pPr>
        <w:spacing w:line="360" w:lineRule="auto"/>
        <w:ind w:firstLine="422" w:firstLineChars="200"/>
        <w:rPr>
          <w:rFonts w:hint="eastAsia" w:ascii="Times New Roman" w:hAnsi="宋体" w:eastAsia="宋体" w:cs="Times New Roman"/>
          <w:b/>
          <w:color w:val="auto"/>
          <w:szCs w:val="21"/>
          <w:highlight w:val="none"/>
        </w:rPr>
      </w:pPr>
      <w:r>
        <w:rPr>
          <w:rFonts w:ascii="Times New Roman" w:hAnsi="宋体" w:eastAsia="宋体" w:cs="Times New Roman"/>
          <w:b/>
          <w:color w:val="auto"/>
          <w:szCs w:val="21"/>
          <w:highlight w:val="none"/>
        </w:rPr>
        <w:t>38.1</w:t>
      </w:r>
      <w:r>
        <w:rPr>
          <w:rFonts w:hint="eastAsia" w:ascii="Times New Roman" w:hAnsi="宋体" w:eastAsia="宋体" w:cs="Times New Roman"/>
          <w:b/>
          <w:color w:val="auto"/>
          <w:szCs w:val="21"/>
          <w:highlight w:val="none"/>
        </w:rPr>
        <w:t>询问</w:t>
      </w:r>
    </w:p>
    <w:p w14:paraId="165C90A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69B9477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00247EF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询问事项可能影响中标结果的，采购人应当暂停签订合同，已经签订合同的，应当中止履行合同。</w:t>
      </w:r>
    </w:p>
    <w:p w14:paraId="23AFA80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45B8A9EC">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bCs/>
          <w:color w:val="auto"/>
          <w:szCs w:val="21"/>
          <w:highlight w:val="none"/>
        </w:rPr>
        <w:t>38.2.1</w:t>
      </w:r>
      <w:r>
        <w:rPr>
          <w:rFonts w:hint="eastAsia" w:ascii="宋体" w:hAnsi="宋体" w:eastAsia="宋体" w:cs="Times New Roman"/>
          <w:b/>
          <w:color w:val="auto"/>
          <w:szCs w:val="21"/>
          <w:highlight w:val="none"/>
        </w:rPr>
        <w:t>供应商认为招标文件、采购过程或者中标结果使自己的合法权益受到损害的，必须在知道或者应知其权益受到损害之日起7个工作日内，以书面形式向采购人</w:t>
      </w:r>
      <w:r>
        <w:rPr>
          <w:rFonts w:hint="eastAsia" w:ascii="宋体" w:hAnsi="宋体" w:cs="Times New Roman"/>
          <w:b/>
          <w:color w:val="auto"/>
          <w:szCs w:val="21"/>
          <w:highlight w:val="none"/>
          <w:lang w:eastAsia="zh-CN"/>
        </w:rPr>
        <w:t>或</w:t>
      </w:r>
      <w:r>
        <w:rPr>
          <w:rFonts w:hint="eastAsia" w:ascii="宋体" w:hAnsi="宋体" w:eastAsia="宋体" w:cs="Times New Roman"/>
          <w:b/>
          <w:color w:val="auto"/>
          <w:szCs w:val="21"/>
          <w:highlight w:val="none"/>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08977B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09A5C54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69A0EE79">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39282F01">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DE486F1">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1F2C05D6">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66B31D7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w:t>
      </w:r>
      <w:r>
        <w:rPr>
          <w:rFonts w:hint="eastAsia" w:ascii="宋体" w:hAnsi="宋体" w:eastAsia="宋体" w:cs="宋体"/>
          <w:bCs/>
          <w:color w:val="auto"/>
          <w:highlight w:val="none"/>
          <w:lang w:eastAsia="zh-CN"/>
        </w:rPr>
        <w:t>质疑</w:t>
      </w:r>
      <w:r>
        <w:rPr>
          <w:rFonts w:hint="eastAsia" w:ascii="宋体" w:hAnsi="宋体" w:eastAsia="宋体" w:cs="宋体"/>
          <w:bCs/>
          <w:color w:val="auto"/>
          <w:highlight w:val="none"/>
        </w:rPr>
        <w:t>的采购文件的，可以对该采购文件质疑）；</w:t>
      </w:r>
    </w:p>
    <w:p w14:paraId="6D60C03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7B81294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1EC77EF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6CC646A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）供应商对同一采购程序环节的质疑应当在质疑有效期内一次性提出；</w:t>
      </w:r>
    </w:p>
    <w:p w14:paraId="064C602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）供应商提交质疑应当提交必要的证明材料，证明材料应以合法手段取得；</w:t>
      </w:r>
    </w:p>
    <w:p w14:paraId="4A06DA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w:t>
      </w:r>
      <w:r>
        <w:rPr>
          <w:rFonts w:hint="eastAsia" w:ascii="宋体" w:hAnsi="宋体" w:eastAsia="宋体" w:cs="宋体"/>
          <w:bCs/>
          <w:color w:val="auto"/>
          <w:highlight w:val="none"/>
          <w:lang w:val="en-US" w:eastAsia="zh-CN"/>
        </w:rPr>
        <w:t>7</w:t>
      </w:r>
      <w:r>
        <w:rPr>
          <w:rFonts w:hint="eastAsia" w:ascii="宋体" w:hAnsi="宋体" w:eastAsia="宋体" w:cs="宋体"/>
          <w:bCs/>
          <w:color w:val="auto"/>
          <w:highlight w:val="none"/>
        </w:rPr>
        <w:t>）财政部门规定的其他条件。</w:t>
      </w:r>
    </w:p>
    <w:p w14:paraId="72C6E627">
      <w:pPr>
        <w:spacing w:line="360" w:lineRule="auto"/>
        <w:ind w:firstLine="422" w:firstLineChars="200"/>
        <w:rPr>
          <w:rFonts w:ascii="宋体" w:hAnsi="宋体" w:eastAsia="宋体" w:cs="Times New Roman"/>
          <w:b/>
          <w:bCs/>
          <w:color w:val="auto"/>
          <w:szCs w:val="21"/>
          <w:highlight w:val="none"/>
        </w:rPr>
      </w:pPr>
      <w:bookmarkStart w:id="240" w:name="_9.2质疑、投诉应当采用书面形式，质疑函、投诉书均应明确阐述招标文件、"/>
      <w:bookmarkEnd w:id="240"/>
      <w:r>
        <w:rPr>
          <w:rFonts w:hint="eastAsia" w:ascii="宋体" w:hAnsi="宋体" w:eastAsia="宋体" w:cs="Times New Roman"/>
          <w:b/>
          <w:bCs/>
          <w:color w:val="auto"/>
          <w:szCs w:val="21"/>
          <w:highlight w:val="none"/>
        </w:rPr>
        <w:t xml:space="preserve"> 38.2.5 </w:t>
      </w:r>
      <w:r>
        <w:rPr>
          <w:rFonts w:hint="eastAsia" w:ascii="Times New Roman" w:hAnsi="宋体" w:eastAsia="宋体" w:cs="Times New Roman"/>
          <w:b/>
          <w:bCs/>
          <w:color w:val="auto"/>
          <w:highlight w:val="none"/>
        </w:rPr>
        <w:t>供应商提出质疑应当提交质疑函和必要的证明材料，针对同一采购程序环节的质疑必须在法定质疑期内一次性提出。质疑函应当包括下列内容（质疑函格式后附）：</w:t>
      </w:r>
    </w:p>
    <w:p w14:paraId="3FB8255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7C8228C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3AA77FFA">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26E14BF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67EDE54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2D1C5DE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3395A783">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供应商为自然人的，应当由本人签字；供应商为法人或者其他组织的，应当由法定代表人、主要负责人，或者其委托代理人签字或者盖章，并加盖公章。</w:t>
      </w:r>
    </w:p>
    <w:p w14:paraId="67DDA42B">
      <w:pPr>
        <w:spacing w:line="360" w:lineRule="auto"/>
        <w:ind w:firstLine="422" w:firstLineChars="200"/>
        <w:rPr>
          <w:rFonts w:ascii="宋体" w:hAnsi="宋体" w:eastAsia="宋体" w:cs="Times New Roman"/>
          <w:b/>
          <w:color w:val="auto"/>
          <w:szCs w:val="20"/>
          <w:highlight w:val="none"/>
        </w:rPr>
      </w:pPr>
      <w:r>
        <w:rPr>
          <w:rFonts w:hint="eastAsia" w:ascii="宋体" w:hAnsi="宋体" w:eastAsia="宋体" w:cs="Times New Roman"/>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62513C40">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3</w:t>
      </w:r>
      <w:r>
        <w:rPr>
          <w:rFonts w:hint="eastAsia" w:ascii="宋体" w:hAnsi="宋体" w:eastAsia="宋体" w:cs="Times New Roman"/>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D00960B">
      <w:pPr>
        <w:spacing w:line="360" w:lineRule="auto"/>
        <w:ind w:firstLine="420" w:firstLineChars="200"/>
        <w:rPr>
          <w:rFonts w:hint="eastAsia" w:ascii="Times New Roman" w:hAnsi="宋体" w:eastAsia="宋体" w:cs="Times New Roman"/>
          <w:bCs/>
          <w:color w:val="auto"/>
          <w:highlight w:val="none"/>
        </w:rPr>
      </w:pPr>
      <w:r>
        <w:rPr>
          <w:rFonts w:hint="eastAsia" w:ascii="Times New Roman" w:hAnsi="宋体" w:eastAsia="宋体" w:cs="Times New Roman"/>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B8751CD">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4ABC9D86">
      <w:pPr>
        <w:spacing w:line="360" w:lineRule="auto"/>
        <w:ind w:firstLine="420" w:firstLineChars="200"/>
        <w:rPr>
          <w:rFonts w:ascii="Times New Roman" w:hAnsi="宋体" w:eastAsia="宋体" w:cs="Times New Roman"/>
          <w:bCs/>
          <w:color w:val="auto"/>
          <w:highlight w:val="none"/>
        </w:rPr>
      </w:pPr>
      <w:r>
        <w:rPr>
          <w:rFonts w:hint="eastAsia" w:ascii="Times New Roman" w:hAnsi="宋体" w:eastAsia="宋体" w:cs="Times New Roman"/>
          <w:bCs/>
          <w:color w:val="auto"/>
          <w:highlight w:val="none"/>
        </w:rPr>
        <w:t>质疑答复导致中标结果改变的，采购人或者采购代理机构应当将有关情况书面报告本级财政部门。</w:t>
      </w:r>
    </w:p>
    <w:p w14:paraId="066EAC13">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38.3</w:t>
      </w:r>
      <w:r>
        <w:rPr>
          <w:rFonts w:hint="eastAsia" w:ascii="Times New Roman" w:hAnsi="宋体" w:eastAsia="宋体" w:cs="Times New Roman"/>
          <w:b/>
          <w:color w:val="auto"/>
          <w:highlight w:val="none"/>
        </w:rPr>
        <w:t>投诉</w:t>
      </w:r>
    </w:p>
    <w:p w14:paraId="199A4D4C">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bCs/>
          <w:color w:val="auto"/>
          <w:highlight w:val="none"/>
          <w:lang w:eastAsia="zh-CN"/>
        </w:rPr>
        <w:t>或</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未在规定期限内做出答复的，供应商可以在答复期满后15个工作日内向本级财政部门提起投诉，投诉</w:t>
      </w:r>
      <w:r>
        <w:rPr>
          <w:rFonts w:hint="eastAsia" w:ascii="宋体" w:hAnsi="宋体" w:eastAsia="宋体" w:cs="宋体"/>
          <w:bCs/>
          <w:color w:val="auto"/>
          <w:highlight w:val="none"/>
          <w:lang w:eastAsia="zh-CN"/>
        </w:rPr>
        <w:t>联系</w:t>
      </w:r>
      <w:r>
        <w:rPr>
          <w:rFonts w:hint="eastAsia" w:ascii="宋体" w:hAnsi="宋体" w:eastAsia="宋体" w:cs="宋体"/>
          <w:bCs/>
          <w:color w:val="auto"/>
          <w:highlight w:val="none"/>
        </w:rPr>
        <w:t>方式见“投标人须知前附表”。</w:t>
      </w:r>
    </w:p>
    <w:p w14:paraId="7D67BDB9">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1D2C49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291BB5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1EAD84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3F7AB86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B2430D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0E1850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04030D7C">
      <w:pPr>
        <w:spacing w:line="360" w:lineRule="auto"/>
        <w:ind w:firstLine="420" w:firstLineChars="200"/>
        <w:rPr>
          <w:rFonts w:hint="eastAsia" w:ascii="宋体" w:hAnsi="宋体" w:cs="宋体"/>
          <w:b w:val="0"/>
          <w:bCs/>
          <w:color w:val="auto"/>
          <w:highlight w:val="none"/>
        </w:rPr>
      </w:pPr>
      <w:r>
        <w:rPr>
          <w:rFonts w:hint="eastAsia" w:ascii="宋体" w:hAnsi="宋体" w:cs="宋体"/>
          <w:b w:val="0"/>
          <w:bCs/>
          <w:color w:val="auto"/>
          <w:highlight w:val="none"/>
        </w:rPr>
        <w:t>投诉人为自然人的，应当由本人签字；投诉人为法人或者其他组织的，应当由法定代表人、主要负责人，或者其授权代表签字或者盖章，并加盖公章。</w:t>
      </w:r>
    </w:p>
    <w:p w14:paraId="0BE8A8E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6B088200">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764E5E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76CFCC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19A403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32E0D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144AC69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）同一投诉事项未经</w:t>
      </w:r>
      <w:r>
        <w:rPr>
          <w:rFonts w:hint="eastAsia" w:ascii="宋体" w:hAnsi="宋体" w:eastAsia="宋体" w:cs="宋体"/>
          <w:bCs/>
          <w:color w:val="auto"/>
          <w:highlight w:val="none"/>
          <w:lang w:eastAsia="zh-CN"/>
        </w:rPr>
        <w:t>财政</w:t>
      </w:r>
      <w:r>
        <w:rPr>
          <w:rFonts w:hint="eastAsia" w:ascii="宋体" w:hAnsi="宋体" w:eastAsia="宋体" w:cs="宋体"/>
          <w:bCs/>
          <w:color w:val="auto"/>
          <w:highlight w:val="none"/>
        </w:rPr>
        <w:t>部门</w:t>
      </w:r>
      <w:r>
        <w:rPr>
          <w:rFonts w:hint="eastAsia" w:ascii="宋体" w:hAnsi="宋体" w:eastAsia="宋体" w:cs="宋体"/>
          <w:color w:val="auto"/>
          <w:highlight w:val="none"/>
        </w:rPr>
        <w:t>投诉处理；</w:t>
      </w:r>
    </w:p>
    <w:p w14:paraId="3BB51B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）国务院财政部门规定的其他条件。</w:t>
      </w:r>
    </w:p>
    <w:p w14:paraId="4C6B2FA9">
      <w:pPr>
        <w:snapToGrid w:val="0"/>
        <w:spacing w:line="360" w:lineRule="auto"/>
        <w:ind w:left="120" w:leftChars="57" w:firstLine="482" w:firstLineChars="150"/>
        <w:jc w:val="center"/>
        <w:outlineLvl w:val="2"/>
        <w:rPr>
          <w:rFonts w:hint="eastAsia" w:ascii="Times New Roman" w:hAnsi="Times New Roman" w:eastAsia="宋体" w:cs="Times New Roman"/>
          <w:b/>
          <w:bCs/>
          <w:color w:val="auto"/>
          <w:sz w:val="32"/>
          <w:szCs w:val="32"/>
          <w:highlight w:val="none"/>
        </w:rPr>
      </w:pPr>
      <w:bookmarkStart w:id="241" w:name="_Toc25946"/>
      <w:bookmarkStart w:id="242" w:name="_Toc14937"/>
      <w:bookmarkStart w:id="243" w:name="_Toc26583"/>
      <w:bookmarkStart w:id="244" w:name="_Toc23239"/>
      <w:bookmarkStart w:id="245" w:name="_Toc13659"/>
      <w:bookmarkStart w:id="246" w:name="_Toc7828"/>
      <w:bookmarkStart w:id="247" w:name="_Toc27653"/>
      <w:bookmarkStart w:id="248" w:name="_Toc1756"/>
      <w:bookmarkStart w:id="249" w:name="_Toc8731"/>
      <w:bookmarkStart w:id="250" w:name="_Toc29288"/>
      <w:r>
        <w:rPr>
          <w:rFonts w:hint="eastAsia" w:ascii="Times New Roman" w:hAnsi="Times New Roman" w:eastAsia="宋体" w:cs="Times New Roman"/>
          <w:b/>
          <w:bCs/>
          <w:color w:val="auto"/>
          <w:sz w:val="32"/>
          <w:szCs w:val="32"/>
          <w:highlight w:val="none"/>
        </w:rPr>
        <w:t>八、验收</w:t>
      </w:r>
      <w:bookmarkEnd w:id="241"/>
      <w:bookmarkEnd w:id="242"/>
      <w:bookmarkEnd w:id="243"/>
      <w:bookmarkEnd w:id="244"/>
      <w:bookmarkEnd w:id="245"/>
      <w:bookmarkEnd w:id="246"/>
      <w:bookmarkEnd w:id="247"/>
      <w:bookmarkEnd w:id="248"/>
      <w:bookmarkEnd w:id="249"/>
      <w:bookmarkEnd w:id="250"/>
    </w:p>
    <w:p w14:paraId="13CFFC3D">
      <w:pPr>
        <w:spacing w:line="360" w:lineRule="auto"/>
        <w:ind w:firstLine="422" w:firstLineChars="200"/>
        <w:rPr>
          <w:rFonts w:ascii="Times New Roman" w:hAnsi="宋体" w:eastAsia="宋体" w:cs="Times New Roman"/>
          <w:b/>
          <w:color w:val="auto"/>
          <w:highlight w:val="none"/>
        </w:rPr>
      </w:pPr>
      <w:r>
        <w:rPr>
          <w:rFonts w:ascii="Times New Roman" w:hAnsi="宋体" w:eastAsia="宋体" w:cs="Times New Roman"/>
          <w:b/>
          <w:color w:val="auto"/>
          <w:highlight w:val="none"/>
        </w:rPr>
        <w:t>39.</w:t>
      </w:r>
      <w:r>
        <w:rPr>
          <w:rFonts w:hint="eastAsia" w:ascii="Times New Roman" w:hAnsi="宋体" w:eastAsia="宋体" w:cs="Times New Roman"/>
          <w:b/>
          <w:color w:val="auto"/>
          <w:highlight w:val="none"/>
        </w:rPr>
        <w:t>验收</w:t>
      </w:r>
    </w:p>
    <w:p w14:paraId="771E5A22">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须承担由此发生的一切损失和费用，并接受相应的处理。</w:t>
      </w:r>
    </w:p>
    <w:p w14:paraId="64FC8B8D">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203AAC01">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eastAsia="宋体" w:cs="宋体"/>
          <w:color w:val="auto"/>
          <w:highlight w:val="none"/>
        </w:rPr>
        <w:t>返还条件挂钩。履约验收的各项资料应当存档备查。</w:t>
      </w:r>
    </w:p>
    <w:p w14:paraId="5C215184">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支付采购资金。验收不合格的项目，采购人将依法及时处理。采购合同的履行、违约责任和解决争议的方式等适用《中华人民共和国民法典》。</w:t>
      </w:r>
      <w:r>
        <w:rPr>
          <w:rFonts w:hint="eastAsia" w:ascii="宋体" w:hAnsi="宋体" w:eastAsia="宋体" w:cs="宋体"/>
          <w:color w:val="auto"/>
          <w:highlight w:val="none"/>
          <w:lang w:eastAsia="zh-CN"/>
        </w:rPr>
        <w:t>中标人</w:t>
      </w:r>
      <w:r>
        <w:rPr>
          <w:rFonts w:hint="eastAsia" w:ascii="宋体" w:hAnsi="宋体" w:eastAsia="宋体" w:cs="宋体"/>
          <w:color w:val="auto"/>
          <w:highlight w:val="none"/>
        </w:rPr>
        <w:t>在履约过程中有政府采购法律法规规定的违法违规情形的，采购人应当及时报告本级财政部门。</w:t>
      </w:r>
    </w:p>
    <w:p w14:paraId="5477464A">
      <w:pPr>
        <w:pStyle w:val="15"/>
        <w:snapToGrid w:val="0"/>
        <w:spacing w:line="400" w:lineRule="exact"/>
        <w:rPr>
          <w:rFonts w:hAnsi="宋体" w:eastAsia="宋体" w:cs="Times New Roman"/>
          <w:color w:val="auto"/>
          <w:highlight w:val="none"/>
        </w:rPr>
      </w:pPr>
    </w:p>
    <w:p w14:paraId="58D9D018">
      <w:pPr>
        <w:pStyle w:val="6"/>
        <w:keepNext w:val="0"/>
        <w:keepLines w:val="0"/>
        <w:spacing w:line="360" w:lineRule="auto"/>
        <w:jc w:val="center"/>
        <w:rPr>
          <w:rFonts w:hint="eastAsia" w:ascii="Times New Roman" w:hAnsi="Times New Roman" w:eastAsia="宋体" w:cs="Times New Roman"/>
          <w:color w:val="auto"/>
          <w:highlight w:val="none"/>
        </w:rPr>
      </w:pPr>
      <w:bookmarkStart w:id="251" w:name="_八、其他事项"/>
      <w:bookmarkEnd w:id="251"/>
      <w:bookmarkStart w:id="252" w:name="_Toc14814"/>
      <w:bookmarkStart w:id="253" w:name="_Toc13217"/>
      <w:bookmarkStart w:id="254" w:name="_Toc5795"/>
      <w:bookmarkStart w:id="255" w:name="_Toc31560"/>
      <w:bookmarkStart w:id="256" w:name="_Toc16509"/>
      <w:bookmarkStart w:id="257" w:name="_Toc28972"/>
      <w:bookmarkStart w:id="258" w:name="_Toc32163"/>
      <w:bookmarkStart w:id="259" w:name="_Toc27249"/>
      <w:bookmarkStart w:id="260" w:name="_Toc24348"/>
      <w:bookmarkStart w:id="261" w:name="_Toc13612"/>
      <w:r>
        <w:rPr>
          <w:rFonts w:hint="eastAsia" w:ascii="Times New Roman" w:hAnsi="Times New Roman" w:eastAsia="宋体" w:cs="Times New Roman"/>
          <w:color w:val="auto"/>
          <w:highlight w:val="none"/>
        </w:rPr>
        <w:t>九、其他事项</w:t>
      </w:r>
      <w:bookmarkEnd w:id="252"/>
      <w:bookmarkEnd w:id="253"/>
      <w:bookmarkEnd w:id="254"/>
      <w:bookmarkEnd w:id="255"/>
      <w:bookmarkEnd w:id="256"/>
      <w:bookmarkEnd w:id="257"/>
      <w:bookmarkEnd w:id="258"/>
      <w:bookmarkEnd w:id="259"/>
      <w:bookmarkEnd w:id="260"/>
      <w:bookmarkEnd w:id="261"/>
    </w:p>
    <w:p w14:paraId="3EF0E8D6">
      <w:pPr>
        <w:spacing w:line="360" w:lineRule="auto"/>
        <w:ind w:firstLine="480" w:firstLineChars="200"/>
        <w:rPr>
          <w:rFonts w:ascii="黑体" w:hAnsi="黑体" w:eastAsia="黑体" w:cs="Times New Roman"/>
          <w:color w:val="auto"/>
          <w:sz w:val="24"/>
          <w:highlight w:val="none"/>
        </w:rPr>
      </w:pPr>
      <w:bookmarkStart w:id="262" w:name="_42.代理服务费"/>
      <w:bookmarkEnd w:id="262"/>
      <w:r>
        <w:rPr>
          <w:rFonts w:hint="eastAsia" w:ascii="黑体" w:hAnsi="黑体" w:eastAsia="黑体" w:cs="Times New Roman"/>
          <w:color w:val="auto"/>
          <w:sz w:val="24"/>
          <w:highlight w:val="none"/>
        </w:rPr>
        <w:t>40.</w:t>
      </w:r>
      <w:r>
        <w:rPr>
          <w:rFonts w:hint="eastAsia" w:ascii="黑体" w:hAnsi="黑体" w:eastAsia="黑体" w:cs="Times New Roman"/>
          <w:color w:val="auto"/>
          <w:sz w:val="24"/>
          <w:highlight w:val="none"/>
          <w:lang w:eastAsia="zh-CN"/>
        </w:rPr>
        <w:t>采购</w:t>
      </w:r>
      <w:r>
        <w:rPr>
          <w:rFonts w:hint="eastAsia" w:ascii="黑体" w:hAnsi="黑体" w:eastAsia="黑体" w:cs="Times New Roman"/>
          <w:color w:val="auto"/>
          <w:sz w:val="24"/>
          <w:highlight w:val="none"/>
        </w:rPr>
        <w:t>代理服务费</w:t>
      </w:r>
    </w:p>
    <w:p w14:paraId="1F9AB4C7">
      <w:pPr>
        <w:spacing w:line="360" w:lineRule="auto"/>
        <w:ind w:firstLine="420" w:firstLineChars="200"/>
        <w:rPr>
          <w:rFonts w:hint="eastAsia" w:ascii="宋体" w:hAnsi="宋体" w:eastAsia="宋体" w:cs="Times New Roman"/>
          <w:b/>
          <w:color w:val="auto"/>
          <w:szCs w:val="21"/>
          <w:highlight w:val="none"/>
        </w:rPr>
      </w:pPr>
      <w:r>
        <w:rPr>
          <w:rFonts w:hint="eastAsia" w:ascii="宋体" w:hAnsi="宋体" w:cs="Times New Roman"/>
          <w:b w:val="0"/>
          <w:bCs/>
          <w:color w:val="auto"/>
          <w:szCs w:val="21"/>
          <w:highlight w:val="none"/>
          <w:lang w:val="en-US" w:eastAsia="zh-CN"/>
        </w:rPr>
        <w:t>40.1</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w:t>
      </w:r>
      <w:r>
        <w:rPr>
          <w:rFonts w:hint="eastAsia" w:ascii="宋体" w:hAnsi="宋体" w:cs="Times New Roman"/>
          <w:b w:val="0"/>
          <w:bCs/>
          <w:color w:val="auto"/>
          <w:szCs w:val="21"/>
          <w:highlight w:val="none"/>
          <w:lang w:eastAsia="zh-CN"/>
        </w:rPr>
        <w:t>费</w:t>
      </w:r>
      <w:r>
        <w:rPr>
          <w:rFonts w:hint="eastAsia" w:ascii="宋体" w:hAnsi="宋体" w:eastAsia="宋体" w:cs="Times New Roman"/>
          <w:b w:val="0"/>
          <w:bCs/>
          <w:color w:val="auto"/>
          <w:szCs w:val="21"/>
          <w:highlight w:val="none"/>
        </w:rPr>
        <w:t>收费标准及缴费账户详见“投标人须知前附表”，投标人为联合体的，可以由联合体中的一方或者多方共同</w:t>
      </w:r>
      <w:r>
        <w:rPr>
          <w:rFonts w:hint="eastAsia" w:ascii="宋体" w:hAnsi="宋体" w:cs="Times New Roman"/>
          <w:b w:val="0"/>
          <w:bCs/>
          <w:color w:val="auto"/>
          <w:szCs w:val="21"/>
          <w:highlight w:val="none"/>
          <w:lang w:eastAsia="zh-CN"/>
        </w:rPr>
        <w:t>缴</w:t>
      </w:r>
      <w:r>
        <w:rPr>
          <w:rFonts w:hint="eastAsia" w:ascii="宋体" w:hAnsi="宋体" w:eastAsia="宋体" w:cs="Times New Roman"/>
          <w:b w:val="0"/>
          <w:bCs/>
          <w:color w:val="auto"/>
          <w:szCs w:val="21"/>
          <w:highlight w:val="none"/>
        </w:rPr>
        <w:t>纳</w:t>
      </w:r>
      <w:r>
        <w:rPr>
          <w:rFonts w:hint="eastAsia" w:ascii="宋体" w:hAnsi="宋体" w:cs="Times New Roman"/>
          <w:b w:val="0"/>
          <w:bCs/>
          <w:color w:val="auto"/>
          <w:szCs w:val="21"/>
          <w:highlight w:val="none"/>
          <w:lang w:eastAsia="zh-CN"/>
        </w:rPr>
        <w:t>采购</w:t>
      </w:r>
      <w:r>
        <w:rPr>
          <w:rFonts w:hint="eastAsia" w:ascii="宋体" w:hAnsi="宋体" w:eastAsia="宋体" w:cs="Times New Roman"/>
          <w:b w:val="0"/>
          <w:bCs/>
          <w:color w:val="auto"/>
          <w:szCs w:val="21"/>
          <w:highlight w:val="none"/>
        </w:rPr>
        <w:t>代理服务费。</w:t>
      </w:r>
    </w:p>
    <w:p w14:paraId="0D5E3B89">
      <w:pPr>
        <w:pStyle w:val="7"/>
        <w:keepNext w:val="0"/>
        <w:keepLines w:val="0"/>
        <w:spacing w:before="0" w:after="0" w:line="360" w:lineRule="auto"/>
        <w:ind w:left="420" w:left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40.2</w:t>
      </w:r>
      <w:r>
        <w:rPr>
          <w:rFonts w:hint="eastAsia" w:ascii="宋体" w:hAnsi="宋体" w:eastAsia="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代理服务</w:t>
      </w:r>
      <w:r>
        <w:rPr>
          <w:rFonts w:hint="eastAsia" w:ascii="宋体" w:hAnsi="宋体" w:eastAsia="宋体" w:cs="宋体"/>
          <w:b w:val="0"/>
          <w:color w:val="auto"/>
          <w:sz w:val="21"/>
          <w:szCs w:val="21"/>
          <w:highlight w:val="none"/>
          <w:lang w:eastAsia="zh-CN"/>
        </w:rPr>
        <w:t>费</w:t>
      </w:r>
      <w:r>
        <w:rPr>
          <w:rFonts w:hint="eastAsia" w:ascii="宋体" w:hAnsi="宋体" w:eastAsia="宋体" w:cs="宋体"/>
          <w:b w:val="0"/>
          <w:color w:val="auto"/>
          <w:sz w:val="21"/>
          <w:szCs w:val="21"/>
          <w:highlight w:val="none"/>
        </w:rPr>
        <w:t>收费标准：</w:t>
      </w:r>
    </w:p>
    <w:tbl>
      <w:tblPr>
        <w:tblStyle w:val="2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F1C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2404D53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82E516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18FD79B5">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687" w:type="dxa"/>
            <w:noWrap w:val="0"/>
            <w:vAlign w:val="center"/>
          </w:tcPr>
          <w:p w14:paraId="02A064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659" w:type="dxa"/>
            <w:noWrap w:val="0"/>
            <w:vAlign w:val="center"/>
          </w:tcPr>
          <w:p w14:paraId="437598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3089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043319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32A6D511">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687" w:type="dxa"/>
            <w:noWrap w:val="0"/>
            <w:vAlign w:val="top"/>
          </w:tcPr>
          <w:p w14:paraId="4BDBDA9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659" w:type="dxa"/>
            <w:noWrap w:val="0"/>
            <w:vAlign w:val="top"/>
          </w:tcPr>
          <w:p w14:paraId="43D5FE6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D45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76224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38BB146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687" w:type="dxa"/>
            <w:noWrap w:val="0"/>
            <w:vAlign w:val="top"/>
          </w:tcPr>
          <w:p w14:paraId="02427E5A">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659" w:type="dxa"/>
            <w:noWrap w:val="0"/>
            <w:vAlign w:val="top"/>
          </w:tcPr>
          <w:p w14:paraId="67328C1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6786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7D21B2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0F90D50D">
            <w:pPr>
              <w:spacing w:line="360" w:lineRule="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687" w:type="dxa"/>
            <w:noWrap w:val="0"/>
            <w:vAlign w:val="top"/>
          </w:tcPr>
          <w:p w14:paraId="7A84F2BC">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659" w:type="dxa"/>
            <w:noWrap w:val="0"/>
            <w:vAlign w:val="top"/>
          </w:tcPr>
          <w:p w14:paraId="5B1D3E08">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51FE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EDA107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20A7E6A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687" w:type="dxa"/>
            <w:noWrap w:val="0"/>
            <w:vAlign w:val="top"/>
          </w:tcPr>
          <w:p w14:paraId="01CBB736">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659" w:type="dxa"/>
            <w:noWrap w:val="0"/>
            <w:vAlign w:val="top"/>
          </w:tcPr>
          <w:p w14:paraId="22224A45">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383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0E367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47221AD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687" w:type="dxa"/>
            <w:noWrap w:val="0"/>
            <w:vAlign w:val="top"/>
          </w:tcPr>
          <w:p w14:paraId="2C7D1A63">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659" w:type="dxa"/>
            <w:noWrap w:val="0"/>
            <w:vAlign w:val="top"/>
          </w:tcPr>
          <w:p w14:paraId="2BB205BE">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7F22C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3FBDEA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4A520FC4">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687" w:type="dxa"/>
            <w:noWrap w:val="0"/>
            <w:vAlign w:val="top"/>
          </w:tcPr>
          <w:p w14:paraId="4AF2249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659" w:type="dxa"/>
            <w:noWrap w:val="0"/>
            <w:vAlign w:val="top"/>
          </w:tcPr>
          <w:p w14:paraId="7B873C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5513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FD77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1E0F99B0">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687" w:type="dxa"/>
            <w:noWrap w:val="0"/>
            <w:vAlign w:val="top"/>
          </w:tcPr>
          <w:p w14:paraId="52F48D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659" w:type="dxa"/>
            <w:noWrap w:val="0"/>
            <w:vAlign w:val="top"/>
          </w:tcPr>
          <w:p w14:paraId="5D6B03E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0ACA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51F86A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7D3E1577">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87" w:type="dxa"/>
            <w:noWrap w:val="0"/>
            <w:vAlign w:val="top"/>
          </w:tcPr>
          <w:p w14:paraId="5A5B264D">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659" w:type="dxa"/>
            <w:noWrap w:val="0"/>
            <w:vAlign w:val="top"/>
          </w:tcPr>
          <w:p w14:paraId="566965E6">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6387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24A28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5DFB3B7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687" w:type="dxa"/>
            <w:noWrap w:val="0"/>
            <w:vAlign w:val="top"/>
          </w:tcPr>
          <w:p w14:paraId="0D594707">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659" w:type="dxa"/>
            <w:noWrap w:val="0"/>
            <w:vAlign w:val="top"/>
          </w:tcPr>
          <w:p w14:paraId="0F35A59B">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2077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7CF44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cs="宋体"/>
                <w:color w:val="auto"/>
                <w:szCs w:val="21"/>
                <w:highlight w:val="none"/>
                <w:lang w:eastAsia="zh-CN"/>
              </w:rPr>
              <w:t>元</w:t>
            </w:r>
            <w:r>
              <w:rPr>
                <w:rFonts w:hint="eastAsia" w:ascii="宋体" w:hAnsi="宋体" w:eastAsia="宋体" w:cs="宋体"/>
                <w:color w:val="auto"/>
                <w:szCs w:val="21"/>
                <w:highlight w:val="none"/>
              </w:rPr>
              <w:t>以上</w:t>
            </w:r>
          </w:p>
        </w:tc>
        <w:tc>
          <w:tcPr>
            <w:tcW w:w="1659" w:type="dxa"/>
            <w:noWrap w:val="0"/>
            <w:vAlign w:val="top"/>
          </w:tcPr>
          <w:p w14:paraId="53B6459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687" w:type="dxa"/>
            <w:noWrap w:val="0"/>
            <w:vAlign w:val="top"/>
          </w:tcPr>
          <w:p w14:paraId="1B99CEDB">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659" w:type="dxa"/>
            <w:noWrap w:val="0"/>
            <w:vAlign w:val="top"/>
          </w:tcPr>
          <w:p w14:paraId="249B8A02">
            <w:pPr>
              <w:spacing w:line="360" w:lineRule="auto"/>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2FEAD1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 </w:t>
      </w:r>
    </w:p>
    <w:p w14:paraId="738A6D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（1）按本表费率计算的收费为采购代理的收费基准价格；</w:t>
      </w:r>
    </w:p>
    <w:p w14:paraId="7FA4D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（2）采购代理收费按差额定率累进法计算。</w:t>
      </w:r>
    </w:p>
    <w:p w14:paraId="01DFDA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例如：某服务采购代理业务中标金额或者暂定价为200万元，计算采购代理收费额如下：</w:t>
      </w:r>
    </w:p>
    <w:p w14:paraId="398DF2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 万元×l.5 ％＝ 1.5 万元</w:t>
      </w:r>
    </w:p>
    <w:p w14:paraId="75BF1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200 － 100 ）万元 ×0.8％＝0.8万元</w:t>
      </w:r>
    </w:p>
    <w:p w14:paraId="7C11534B">
      <w:pPr>
        <w:pStyle w:val="15"/>
        <w:snapToGrid w:val="0"/>
        <w:spacing w:before="120" w:after="120" w:line="360" w:lineRule="auto"/>
        <w:ind w:firstLine="420" w:firstLineChars="200"/>
        <w:rPr>
          <w:rFonts w:hint="eastAsia" w:hAnsi="宋体" w:eastAsia="宋体" w:cs="宋体"/>
          <w:color w:val="auto"/>
          <w:sz w:val="21"/>
          <w:highlight w:val="none"/>
        </w:rPr>
      </w:pPr>
      <w:r>
        <w:rPr>
          <w:rFonts w:hint="eastAsia" w:hAnsi="宋体" w:eastAsia="宋体" w:cs="宋体"/>
          <w:color w:val="auto"/>
          <w:sz w:val="21"/>
          <w:highlight w:val="none"/>
        </w:rPr>
        <w:t>合计收费＝ 1.5+0.8＝ 2.3（万元）</w:t>
      </w:r>
    </w:p>
    <w:p w14:paraId="337345C5">
      <w:pPr>
        <w:pStyle w:val="17"/>
        <w:rPr>
          <w:rFonts w:hint="eastAsia"/>
          <w:color w:val="auto"/>
          <w:highlight w:val="none"/>
        </w:rPr>
      </w:pPr>
    </w:p>
    <w:p w14:paraId="15F4CF53">
      <w:pPr>
        <w:spacing w:line="360" w:lineRule="auto"/>
        <w:ind w:firstLine="480" w:firstLineChars="200"/>
        <w:rPr>
          <w:rFonts w:hint="eastAsia" w:ascii="黑体" w:hAnsi="黑体" w:eastAsia="黑体" w:cs="Times New Roman"/>
          <w:color w:val="auto"/>
          <w:sz w:val="24"/>
          <w:highlight w:val="none"/>
        </w:rPr>
      </w:pPr>
      <w:r>
        <w:rPr>
          <w:rFonts w:hint="eastAsia" w:ascii="黑体" w:hAnsi="黑体" w:eastAsia="黑体" w:cs="Times New Roman"/>
          <w:color w:val="auto"/>
          <w:sz w:val="24"/>
          <w:highlight w:val="none"/>
        </w:rPr>
        <w:t>41. 需要补充的其他内容</w:t>
      </w:r>
    </w:p>
    <w:p w14:paraId="2F59C1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188DD9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39986A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提供的服务的人员为中小企业依照《中华人民共和国劳动合同法》订立劳动合同的从业人员，不对其中涉及的货物的制造商和工程承建商作出要求的，享受本文件规定的中小企业扶持政策。</w:t>
      </w:r>
    </w:p>
    <w:p w14:paraId="3DACF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01E098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5A9F56A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42. 广西线上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政采贷</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szCs w:val="24"/>
          <w:highlight w:val="none"/>
        </w:rPr>
        <w:t>政策告知函</w:t>
      </w:r>
    </w:p>
    <w:p w14:paraId="2A0A0EE9">
      <w:pPr>
        <w:spacing w:line="580" w:lineRule="exact"/>
        <w:jc w:val="center"/>
        <w:rPr>
          <w:rFonts w:hint="eastAsia" w:ascii="宋体" w:hAnsi="宋体" w:eastAsia="宋体" w:cs="宋体"/>
          <w:color w:val="auto"/>
          <w:sz w:val="44"/>
          <w:szCs w:val="44"/>
          <w:highlight w:val="none"/>
        </w:rPr>
      </w:pPr>
    </w:p>
    <w:p w14:paraId="79B97A8E">
      <w:pPr>
        <w:spacing w:line="58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14:paraId="5215F261">
      <w:pPr>
        <w:spacing w:line="580" w:lineRule="exact"/>
        <w:ind w:firstLine="420" w:firstLineChars="200"/>
        <w:rPr>
          <w:rFonts w:hint="eastAsia" w:ascii="宋体" w:hAnsi="宋体" w:cs="宋体"/>
          <w:color w:val="auto"/>
          <w:szCs w:val="32"/>
          <w:highlight w:val="none"/>
        </w:rPr>
      </w:pPr>
    </w:p>
    <w:p w14:paraId="395FDCF7">
      <w:pPr>
        <w:spacing w:line="580" w:lineRule="exact"/>
        <w:rPr>
          <w:rFonts w:hint="eastAsia" w:ascii="宋体" w:hAnsi="宋体" w:cs="宋体"/>
          <w:color w:val="auto"/>
          <w:szCs w:val="21"/>
          <w:highlight w:val="none"/>
        </w:rPr>
      </w:pPr>
      <w:r>
        <w:rPr>
          <w:rFonts w:hint="eastAsia" w:ascii="宋体" w:hAnsi="宋体" w:cs="宋体"/>
          <w:color w:val="auto"/>
          <w:szCs w:val="21"/>
          <w:highlight w:val="none"/>
        </w:rPr>
        <w:t>各供应商：</w:t>
      </w:r>
    </w:p>
    <w:p w14:paraId="3A0715F9">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39918674">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w:t>
      </w:r>
      <w:r>
        <w:rPr>
          <w:rFonts w:hint="eastAsia" w:ascii="宋体" w:hAnsi="宋体" w:cs="宋体"/>
          <w:color w:val="auto"/>
          <w:szCs w:val="21"/>
          <w:highlight w:val="none"/>
          <w:lang w:val="en-US" w:eastAsia="zh-CN"/>
        </w:rPr>
        <w:t>258</w:t>
      </w:r>
      <w:r>
        <w:rPr>
          <w:rFonts w:hint="eastAsia" w:ascii="宋体" w:hAnsi="宋体" w:cs="宋体"/>
          <w:color w:val="auto"/>
          <w:szCs w:val="21"/>
          <w:highlight w:val="none"/>
        </w:rPr>
        <w:t>号），按照双方自愿的原则提供便捷、优惠的贷款服务。</w:t>
      </w:r>
    </w:p>
    <w:p w14:paraId="10D03699">
      <w:pPr>
        <w:spacing w:line="5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kern w:val="2"/>
          <w:sz w:val="21"/>
          <w:szCs w:val="21"/>
          <w:highlight w:val="none"/>
          <w:lang w:val="en-US" w:eastAsia="zh-CN" w:bidi="ar-SA"/>
        </w:rPr>
        <w:t>银行业金融机构</w:t>
      </w:r>
      <w:r>
        <w:rPr>
          <w:rFonts w:hint="eastAsia" w:ascii="宋体" w:hAnsi="宋体" w:cs="宋体"/>
          <w:color w:val="auto"/>
          <w:szCs w:val="21"/>
          <w:highlight w:val="none"/>
        </w:rPr>
        <w:t>联系方式，可在中征应收账款融资服务平台查询</w:t>
      </w:r>
      <w:r>
        <w:rPr>
          <w:rFonts w:hint="eastAsia" w:ascii="宋体" w:hAnsi="宋体" w:cs="宋体"/>
          <w:color w:val="auto"/>
          <w:szCs w:val="21"/>
          <w:highlight w:val="none"/>
          <w:lang w:eastAsia="zh-CN"/>
        </w:rPr>
        <w:t>（网址：</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"https://www.crcrfsp.com/" </w:instrText>
      </w:r>
      <w:r>
        <w:rPr>
          <w:rFonts w:hint="eastAsia" w:ascii="宋体" w:hAnsi="宋体" w:cs="宋体"/>
          <w:color w:val="auto"/>
          <w:szCs w:val="21"/>
          <w:highlight w:val="none"/>
          <w:lang w:eastAsia="zh-CN"/>
        </w:rPr>
        <w:fldChar w:fldCharType="separate"/>
      </w:r>
      <w:r>
        <w:rPr>
          <w:rStyle w:val="28"/>
          <w:rFonts w:hint="eastAsia" w:ascii="宋体" w:hAnsi="宋体" w:eastAsia="宋体" w:cs="宋体"/>
          <w:color w:val="auto"/>
          <w:szCs w:val="21"/>
          <w:highlight w:val="none"/>
          <w:lang w:eastAsia="zh-CN"/>
        </w:rPr>
        <w:t>https://www.crcrfsp.com/</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，客服电话：</w:t>
      </w:r>
      <w:r>
        <w:rPr>
          <w:rFonts w:hint="eastAsia" w:ascii="宋体" w:hAnsi="宋体" w:cs="宋体"/>
          <w:color w:val="auto"/>
          <w:szCs w:val="21"/>
          <w:highlight w:val="none"/>
          <w:lang w:val="en-US" w:eastAsia="zh-CN"/>
        </w:rPr>
        <w:t>400-009-0001</w:t>
      </w:r>
      <w:r>
        <w:rPr>
          <w:rFonts w:hint="eastAsia" w:ascii="宋体" w:hAnsi="宋体" w:cs="宋体"/>
          <w:color w:val="auto"/>
          <w:szCs w:val="21"/>
          <w:highlight w:val="none"/>
          <w:lang w:eastAsia="zh-CN"/>
        </w:rPr>
        <w:t>）。</w:t>
      </w:r>
    </w:p>
    <w:p w14:paraId="2CF885E1">
      <w:pPr>
        <w:numPr>
          <w:ilvl w:val="0"/>
          <w:numId w:val="6"/>
        </w:numPr>
        <w:spacing w:line="360" w:lineRule="auto"/>
        <w:ind w:firstLine="420" w:firstLineChars="200"/>
        <w:jc w:val="left"/>
        <w:rPr>
          <w:rFonts w:hint="eastAsia" w:ascii="Times New Roman" w:hAnsi="宋体" w:eastAsia="宋体" w:cs="Times New Roman"/>
          <w:color w:val="auto"/>
          <w:highlight w:val="none"/>
        </w:rPr>
      </w:pPr>
      <w:r>
        <w:rPr>
          <w:rFonts w:ascii="Times New Roman" w:hAnsi="宋体" w:eastAsia="宋体" w:cs="Times New Roman"/>
          <w:color w:val="auto"/>
          <w:highlight w:val="none"/>
        </w:rPr>
        <w:br w:type="page"/>
      </w:r>
      <w:bookmarkStart w:id="263" w:name="_Toc532545043"/>
    </w:p>
    <w:p w14:paraId="2DEE41DC">
      <w:pPr>
        <w:pStyle w:val="15"/>
        <w:jc w:val="center"/>
        <w:outlineLvl w:val="0"/>
        <w:rPr>
          <w:rFonts w:hint="eastAsia" w:ascii="Times New Roman" w:hAnsi="Times New Roman" w:eastAsia="宋体" w:cs="Times New Roman"/>
          <w:b/>
          <w:color w:val="auto"/>
          <w:sz w:val="36"/>
          <w:highlight w:val="none"/>
          <w:lang w:eastAsia="zh-CN"/>
        </w:rPr>
      </w:pPr>
      <w:bookmarkStart w:id="264" w:name="_Toc2789"/>
      <w:bookmarkStart w:id="265" w:name="_Toc12751"/>
      <w:bookmarkStart w:id="266" w:name="_Toc18631"/>
      <w:bookmarkStart w:id="267" w:name="_Toc11694"/>
      <w:bookmarkStart w:id="268" w:name="_Toc14666"/>
      <w:bookmarkStart w:id="269" w:name="_Toc31952"/>
      <w:bookmarkStart w:id="270" w:name="_Toc24569"/>
      <w:bookmarkStart w:id="271" w:name="_Toc26567"/>
      <w:bookmarkStart w:id="272" w:name="_Toc3584"/>
      <w:bookmarkStart w:id="273" w:name="_Toc28468"/>
      <w:bookmarkStart w:id="274" w:name="_Toc10118"/>
      <w:bookmarkStart w:id="275" w:name="_Toc19117"/>
      <w:bookmarkStart w:id="276" w:name="_Toc10034"/>
      <w:r>
        <w:rPr>
          <w:rFonts w:hint="eastAsia" w:ascii="Times New Roman" w:hAnsi="Times New Roman" w:eastAsia="宋体" w:cs="Times New Roman"/>
          <w:b/>
          <w:color w:val="auto"/>
          <w:sz w:val="36"/>
          <w:highlight w:val="none"/>
        </w:rPr>
        <w:t>第四章</w:t>
      </w:r>
      <w:r>
        <w:rPr>
          <w:rFonts w:ascii="Times New Roman" w:hAnsi="Times New Roman" w:eastAsia="宋体" w:cs="Times New Roman"/>
          <w:b/>
          <w:color w:val="auto"/>
          <w:sz w:val="36"/>
          <w:highlight w:val="none"/>
        </w:rPr>
        <w:t xml:space="preserve">  </w:t>
      </w:r>
      <w:bookmarkEnd w:id="263"/>
      <w:bookmarkEnd w:id="264"/>
      <w:bookmarkEnd w:id="265"/>
      <w:bookmarkEnd w:id="266"/>
      <w:bookmarkEnd w:id="267"/>
      <w:bookmarkEnd w:id="268"/>
      <w:bookmarkEnd w:id="269"/>
      <w:bookmarkEnd w:id="270"/>
      <w:bookmarkEnd w:id="271"/>
      <w:r>
        <w:rPr>
          <w:rFonts w:hint="eastAsia" w:ascii="Times New Roman" w:hAnsi="Times New Roman" w:cs="Times New Roman"/>
          <w:b/>
          <w:color w:val="auto"/>
          <w:sz w:val="36"/>
          <w:highlight w:val="none"/>
          <w:lang w:eastAsia="zh-CN"/>
        </w:rPr>
        <w:t>评标方法和评标标准</w:t>
      </w:r>
      <w:bookmarkEnd w:id="272"/>
      <w:bookmarkEnd w:id="273"/>
      <w:bookmarkEnd w:id="274"/>
      <w:bookmarkEnd w:id="275"/>
      <w:bookmarkEnd w:id="276"/>
    </w:p>
    <w:p w14:paraId="743AF7E1">
      <w:pPr>
        <w:pStyle w:val="15"/>
        <w:jc w:val="center"/>
        <w:outlineLvl w:val="1"/>
        <w:rPr>
          <w:rFonts w:ascii="Times New Roman" w:hAnsi="Times New Roman" w:eastAsia="宋体" w:cs="Times New Roman"/>
          <w:b/>
          <w:bCs/>
          <w:color w:val="auto"/>
          <w:sz w:val="32"/>
          <w:szCs w:val="32"/>
          <w:highlight w:val="none"/>
        </w:rPr>
      </w:pPr>
      <w:bookmarkStart w:id="277" w:name="_Toc20519"/>
      <w:bookmarkStart w:id="278" w:name="_Toc5889"/>
      <w:bookmarkStart w:id="279" w:name="_Toc28074"/>
      <w:bookmarkStart w:id="280" w:name="_Toc12345"/>
      <w:bookmarkStart w:id="281" w:name="_Toc14342"/>
      <w:bookmarkStart w:id="282" w:name="_Toc3574"/>
      <w:bookmarkStart w:id="283" w:name="_Toc6104"/>
      <w:bookmarkStart w:id="284" w:name="_Toc29945"/>
      <w:bookmarkStart w:id="285" w:name="_Toc9604"/>
      <w:bookmarkStart w:id="286" w:name="_Toc28945"/>
      <w:r>
        <w:rPr>
          <w:rFonts w:hint="eastAsia" w:ascii="Times New Roman" w:hAnsi="Times New Roman" w:eastAsia="宋体" w:cs="Times New Roman"/>
          <w:b/>
          <w:bCs/>
          <w:color w:val="auto"/>
          <w:sz w:val="32"/>
          <w:szCs w:val="32"/>
          <w:highlight w:val="none"/>
        </w:rPr>
        <w:t>第一节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评标方法</w:t>
      </w:r>
      <w:bookmarkEnd w:id="277"/>
      <w:bookmarkEnd w:id="278"/>
      <w:bookmarkEnd w:id="279"/>
      <w:bookmarkEnd w:id="280"/>
      <w:bookmarkEnd w:id="281"/>
      <w:bookmarkEnd w:id="282"/>
      <w:bookmarkEnd w:id="283"/>
      <w:bookmarkEnd w:id="284"/>
      <w:bookmarkEnd w:id="285"/>
      <w:bookmarkEnd w:id="286"/>
    </w:p>
    <w:p w14:paraId="1C849DDD">
      <w:pPr>
        <w:pStyle w:val="15"/>
        <w:tabs>
          <w:tab w:val="left" w:pos="2472"/>
        </w:tabs>
        <w:spacing w:line="460" w:lineRule="exact"/>
        <w:ind w:firstLine="420" w:firstLineChars="200"/>
        <w:rPr>
          <w:rFonts w:eastAsia="宋体" w:cs="Times New Roman"/>
          <w:color w:val="auto"/>
          <w:szCs w:val="21"/>
          <w:highlight w:val="none"/>
        </w:rPr>
      </w:pPr>
      <w:r>
        <w:rPr>
          <w:rFonts w:hint="eastAsia" w:hAnsi="宋体" w:eastAsia="宋体" w:cs="宋体"/>
          <w:color w:val="auto"/>
          <w:szCs w:val="21"/>
          <w:highlight w:val="none"/>
        </w:rPr>
        <w:t>本项目采用</w:t>
      </w:r>
      <w:r>
        <w:rPr>
          <w:rFonts w:hint="eastAsia" w:hAnsi="宋体" w:eastAsia="宋体" w:cs="宋体"/>
          <w:color w:val="auto"/>
          <w:szCs w:val="21"/>
          <w:highlight w:val="none"/>
          <w:u w:val="single"/>
        </w:rPr>
        <w:t xml:space="preserve"> 以下勾选的方式</w:t>
      </w:r>
      <w:r>
        <w:rPr>
          <w:rFonts w:hint="eastAsia" w:hAnsi="宋体" w:eastAsia="宋体" w:cs="宋体"/>
          <w:color w:val="auto"/>
          <w:szCs w:val="21"/>
          <w:highlight w:val="none"/>
        </w:rPr>
        <w:t>进行评审。</w:t>
      </w:r>
    </w:p>
    <w:p w14:paraId="283AFF1F">
      <w:pPr>
        <w:pStyle w:val="15"/>
        <w:spacing w:line="360" w:lineRule="auto"/>
        <w:ind w:firstLine="420"/>
        <w:rPr>
          <w:rFonts w:hint="eastAsia" w:hAnsi="宋体" w:eastAsia="宋体" w:cs="Times New Roman"/>
          <w:color w:val="auto"/>
          <w:highlight w:val="none"/>
        </w:rPr>
      </w:pPr>
      <w:r>
        <w:rPr>
          <w:rFonts w:hint="eastAsia" w:hAnsi="宋体" w:eastAsia="宋体" w:cs="Times New Roman"/>
          <w:color w:val="auto"/>
          <w:szCs w:val="21"/>
          <w:highlight w:val="none"/>
        </w:rPr>
        <w:t>□最低评标价法，是指投标文件满足招标文件</w:t>
      </w:r>
      <w:r>
        <w:rPr>
          <w:rFonts w:hint="eastAsia" w:hAnsi="宋体" w:eastAsia="宋体" w:cs="Times New Roman"/>
          <w:color w:val="auto"/>
          <w:highlight w:val="none"/>
        </w:rPr>
        <w:t>全部实质性要求，且投标报价最低的投标人为中标候选人的评标方法。</w:t>
      </w:r>
    </w:p>
    <w:p w14:paraId="2BA1DD81">
      <w:pPr>
        <w:autoSpaceDE w:val="0"/>
        <w:autoSpaceDN w:val="0"/>
        <w:adjustRightInd w:val="0"/>
        <w:spacing w:line="440" w:lineRule="exact"/>
        <w:ind w:firstLine="420" w:firstLineChars="200"/>
        <w:rPr>
          <w:rFonts w:hint="eastAsia" w:ascii="宋体" w:hAnsi="宋体" w:eastAsia="宋体" w:cs="Times New Roman"/>
          <w:color w:val="auto"/>
          <w:sz w:val="24"/>
          <w:highlight w:val="none"/>
        </w:rPr>
      </w:pPr>
      <w:r>
        <w:rPr>
          <w:rFonts w:hint="eastAsia" w:hAnsi="宋体" w:cs="Times New Roman"/>
          <w:color w:val="auto"/>
          <w:highlight w:val="none"/>
          <w:lang w:eastAsia="zh-CN"/>
        </w:rPr>
        <w:t>☑</w:t>
      </w:r>
      <w:r>
        <w:rPr>
          <w:rFonts w:hint="eastAsia" w:ascii="Times New Roman" w:hAnsi="宋体" w:eastAsia="宋体" w:cs="Times New Roman"/>
          <w:color w:val="auto"/>
          <w:highlight w:val="none"/>
        </w:rPr>
        <w:t>综合评分法，</w:t>
      </w:r>
      <w:r>
        <w:rPr>
          <w:rFonts w:hint="eastAsia" w:ascii="宋体" w:hAnsi="宋体" w:eastAsia="宋体" w:cs="Times New Roman"/>
          <w:color w:val="auto"/>
          <w:szCs w:val="20"/>
          <w:highlight w:val="none"/>
        </w:rPr>
        <w:t>是指投标文件满足招标文件全部实质性要求，且按照评审因素的量化指标评审得分最高的投标人为中标候选人的评标方法。评标委员会将对各投标人的</w:t>
      </w:r>
      <w:r>
        <w:rPr>
          <w:rFonts w:hint="eastAsia" w:ascii="宋体" w:hAnsi="宋体" w:cs="Times New Roman"/>
          <w:color w:val="auto"/>
          <w:szCs w:val="20"/>
          <w:highlight w:val="none"/>
          <w:lang w:eastAsia="zh-CN"/>
        </w:rPr>
        <w:t>投标文件</w:t>
      </w:r>
      <w:r>
        <w:rPr>
          <w:rFonts w:hint="eastAsia" w:ascii="宋体" w:hAnsi="宋体" w:eastAsia="宋体" w:cs="Times New Roman"/>
          <w:color w:val="auto"/>
          <w:szCs w:val="20"/>
          <w:highlight w:val="none"/>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宋体" w:hAnsi="宋体" w:cs="Times New Roman"/>
          <w:color w:val="auto"/>
          <w:szCs w:val="20"/>
          <w:highlight w:val="none"/>
          <w:lang w:eastAsia="zh-CN"/>
        </w:rPr>
        <w:t>“投标人须知前附表”规定的方式排列</w:t>
      </w:r>
      <w:r>
        <w:rPr>
          <w:rFonts w:hint="eastAsia" w:ascii="宋体" w:hAnsi="宋体" w:eastAsia="宋体" w:cs="Times New Roman"/>
          <w:color w:val="auto"/>
          <w:szCs w:val="20"/>
          <w:highlight w:val="none"/>
        </w:rPr>
        <w:t xml:space="preserve">。 </w:t>
      </w:r>
    </w:p>
    <w:p w14:paraId="6FB174CB">
      <w:pPr>
        <w:pStyle w:val="15"/>
        <w:spacing w:line="360" w:lineRule="auto"/>
        <w:ind w:firstLine="420"/>
        <w:rPr>
          <w:rFonts w:hint="eastAsia" w:hAnsi="宋体" w:eastAsia="宋体" w:cs="Times New Roman"/>
          <w:color w:val="auto"/>
          <w:highlight w:val="none"/>
        </w:rPr>
      </w:pPr>
    </w:p>
    <w:p w14:paraId="592FDF9B">
      <w:pPr>
        <w:pStyle w:val="15"/>
        <w:tabs>
          <w:tab w:val="left" w:pos="2472"/>
        </w:tabs>
        <w:spacing w:line="460" w:lineRule="exact"/>
        <w:jc w:val="center"/>
        <w:outlineLvl w:val="1"/>
        <w:rPr>
          <w:rFonts w:hint="eastAsia" w:ascii="Times New Roman" w:hAnsi="Times New Roman" w:eastAsia="宋体" w:cs="Times New Roman"/>
          <w:b/>
          <w:bCs/>
          <w:color w:val="auto"/>
          <w:sz w:val="32"/>
          <w:szCs w:val="32"/>
          <w:highlight w:val="none"/>
        </w:rPr>
      </w:pPr>
      <w:bookmarkStart w:id="287" w:name="_Toc4190"/>
      <w:bookmarkStart w:id="288" w:name="_Toc1643"/>
      <w:bookmarkStart w:id="289" w:name="_Toc588"/>
      <w:bookmarkStart w:id="290" w:name="_Toc23151"/>
      <w:bookmarkStart w:id="291" w:name="_Toc10545"/>
      <w:bookmarkStart w:id="292" w:name="_Toc9259"/>
      <w:bookmarkStart w:id="293" w:name="_Toc24507"/>
      <w:bookmarkStart w:id="294" w:name="_Toc9023"/>
      <w:bookmarkStart w:id="295" w:name="_Toc18477"/>
      <w:bookmarkStart w:id="296" w:name="_Toc30114"/>
      <w:r>
        <w:rPr>
          <w:rFonts w:hint="eastAsia" w:ascii="Times New Roman" w:hAnsi="Times New Roman" w:eastAsia="宋体" w:cs="Times New Roman"/>
          <w:b/>
          <w:bCs/>
          <w:color w:val="auto"/>
          <w:sz w:val="32"/>
          <w:szCs w:val="32"/>
          <w:highlight w:val="none"/>
        </w:rPr>
        <w:t>第二节</w:t>
      </w:r>
      <w:r>
        <w:rPr>
          <w:rFonts w:ascii="Times New Roman" w:hAnsi="Times New Roman" w:eastAsia="宋体" w:cs="Times New Roman"/>
          <w:b/>
          <w:bCs/>
          <w:color w:val="auto"/>
          <w:sz w:val="32"/>
          <w:szCs w:val="32"/>
          <w:highlight w:val="none"/>
        </w:rPr>
        <w:t xml:space="preserve"> </w:t>
      </w:r>
      <w:r>
        <w:rPr>
          <w:rFonts w:hint="eastAsia" w:ascii="Times New Roman" w:hAnsi="Times New Roman" w:eastAsia="宋体" w:cs="Times New Roman"/>
          <w:b/>
          <w:bCs/>
          <w:color w:val="auto"/>
          <w:sz w:val="32"/>
          <w:szCs w:val="32"/>
          <w:highlight w:val="none"/>
        </w:rPr>
        <w:t>评标程序</w:t>
      </w:r>
      <w:bookmarkEnd w:id="287"/>
      <w:bookmarkEnd w:id="288"/>
      <w:bookmarkEnd w:id="289"/>
      <w:bookmarkEnd w:id="290"/>
      <w:bookmarkEnd w:id="291"/>
      <w:bookmarkEnd w:id="292"/>
      <w:bookmarkEnd w:id="293"/>
      <w:bookmarkEnd w:id="294"/>
      <w:bookmarkEnd w:id="295"/>
      <w:bookmarkEnd w:id="296"/>
    </w:p>
    <w:p w14:paraId="59E385AE">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1.符合性审查</w:t>
      </w:r>
    </w:p>
    <w:p w14:paraId="6A94013F">
      <w:pPr>
        <w:spacing w:line="360" w:lineRule="auto"/>
        <w:ind w:firstLine="420" w:firstLineChars="200"/>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评标委员会应当对符合资格的投标人的投标文件进行投标报价、商务、技术等实质性内容符合性审查，以确定其是否满足招标文件的实质性要求。</w:t>
      </w:r>
    </w:p>
    <w:p w14:paraId="3F0293D3">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2.符合性审查不通过而导致投标无效的情形</w:t>
      </w:r>
    </w:p>
    <w:p w14:paraId="2A5E40D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投标人的投标文件中存在对招标文件的任何实质性要求和条件的负偏离，将被视为投标无效。</w:t>
      </w:r>
    </w:p>
    <w:p w14:paraId="5631034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2.1在报价评审时，如发现下列情形之一的，将被视为投标无效：</w:t>
      </w:r>
    </w:p>
    <w:p w14:paraId="739D0C8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（1）投标文件未提供“投标人须知前附表”第13.1条规定中“必须提供”的文件资料的;</w:t>
      </w:r>
    </w:p>
    <w:p w14:paraId="14C8D33F">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（2）未采用人民币报价或者未按照招标文件标明的币种报价的；</w:t>
      </w:r>
    </w:p>
    <w:p w14:paraId="794E305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（3）报价超出招标文件规定最高限价，或者超出采购预算金额的；</w:t>
      </w:r>
    </w:p>
    <w:p w14:paraId="1C9469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进行报价或者存在漏项报价；投标人未就所投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的单项内容作唯一报价；投标人未就所投</w:t>
      </w:r>
      <w:r>
        <w:rPr>
          <w:rFonts w:hint="eastAsia" w:ascii="宋体" w:hAnsi="宋体" w:cs="宋体"/>
          <w:color w:val="auto"/>
          <w:szCs w:val="21"/>
          <w:highlight w:val="none"/>
          <w:lang w:eastAsia="zh-CN"/>
        </w:rPr>
        <w:t>项目</w:t>
      </w:r>
      <w:r>
        <w:rPr>
          <w:rFonts w:hint="eastAsia" w:ascii="宋体" w:hAnsi="宋体" w:eastAsia="宋体" w:cs="Times New Roman"/>
          <w:color w:val="auto"/>
          <w:szCs w:val="21"/>
          <w:highlight w:val="none"/>
        </w:rPr>
        <w:t>的全部内容作唯一总价报价；存在有选择、有条件报价的（招标文件允许有备选方案或者其他约定的除外）；</w:t>
      </w:r>
    </w:p>
    <w:p w14:paraId="442E670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（5）修正后的报价，投标人不确认的；</w:t>
      </w:r>
    </w:p>
    <w:p w14:paraId="3956BB7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（6）投标人属于本章第5条第（2）项情形的。</w:t>
      </w:r>
    </w:p>
    <w:p w14:paraId="6F8C23B2">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2.2在商务评审时，如发现下列情形之一的，将被视为投标无效：</w:t>
      </w:r>
    </w:p>
    <w:p w14:paraId="534FD3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（1）投标文件未按招标文件要求签署、盖章的；</w:t>
      </w:r>
    </w:p>
    <w:p w14:paraId="56ACFD6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（2）委托代理人未能出具有效身份证明或者出具的身份证明与授权委托书中的信息不符的；</w:t>
      </w:r>
    </w:p>
    <w:p w14:paraId="60569EFA">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（3）为无效投标保证金的或者未按照招标文件的规定提交投标保证金的； </w:t>
      </w:r>
    </w:p>
    <w:p w14:paraId="06153B4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rPr>
        <w:t>）投标文件未提供“投标人须知前附表”第13.1条规定中“必须提供”或者“委托时必须提供”的文件资料的;</w:t>
      </w:r>
    </w:p>
    <w:p w14:paraId="2C42CFC4">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rPr>
        <w:t>）投标有效期、项目完成时间（交货时间、服务完成时间或者服务期等）、质保期</w:t>
      </w:r>
      <w:r>
        <w:rPr>
          <w:rFonts w:hint="eastAsia" w:ascii="宋体" w:hAnsi="宋体" w:cs="Times New Roman"/>
          <w:color w:val="auto"/>
          <w:szCs w:val="21"/>
          <w:highlight w:val="none"/>
          <w:lang w:eastAsia="zh-CN"/>
        </w:rPr>
        <w:t>及</w:t>
      </w:r>
      <w:r>
        <w:rPr>
          <w:rFonts w:hint="eastAsia" w:ascii="宋体" w:hAnsi="宋体" w:eastAsia="宋体" w:cs="Times New Roman"/>
          <w:color w:val="auto"/>
          <w:szCs w:val="21"/>
          <w:highlight w:val="none"/>
        </w:rPr>
        <w:t>招标文件中标“▲”的商务条款发生负偏离的；</w:t>
      </w:r>
    </w:p>
    <w:p w14:paraId="1344CE0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）商务条款评审允许负偏离的条款数超过“投标人须知前附表”规定项数的。</w:t>
      </w:r>
    </w:p>
    <w:p w14:paraId="272A4DB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rPr>
        <w:t>）投标文件的实质性内容未使用中文表述、使用计量单位不符合招标文件要求的；</w:t>
      </w:r>
    </w:p>
    <w:p w14:paraId="439FE30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rPr>
        <w:t>）投标文件中的文件资料因填写不齐全或者内容虚假或者出现其他情形而导致被评标委员会认定无效的；</w:t>
      </w:r>
    </w:p>
    <w:p w14:paraId="03B86749">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）投标文件含有采购人不能接受的附加条件的；</w:t>
      </w:r>
    </w:p>
    <w:p w14:paraId="74BA506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rPr>
        <w:t>）未响应招标文件实质性要求的；</w:t>
      </w:r>
    </w:p>
    <w:p w14:paraId="4415F130">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rPr>
        <w:t>）属于投标人须知正文第9.2条情形的；</w:t>
      </w:r>
    </w:p>
    <w:p w14:paraId="13AEC81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）法律、法规和招标文件规定的其他无效情形。</w:t>
      </w:r>
    </w:p>
    <w:p w14:paraId="16D59A3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2.3在技术评审时，如发现下列情形之一的，将被视为投标无效：</w:t>
      </w:r>
    </w:p>
    <w:p w14:paraId="66FA1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（1）不满足招标文件要求的服务内容、技术要求、安全、质量标准，或者与招标文件中标“▲”的技术需求发生负偏离的；</w:t>
      </w:r>
    </w:p>
    <w:p w14:paraId="299A86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（2）技术需求评审允许负偏离的条款数超过“投标人须知前附表”规定项数的；</w:t>
      </w:r>
    </w:p>
    <w:p w14:paraId="157801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（3）投标文件未提供“投标人须知前附表”第13.1条规定中“必须提供”的文件资料的;</w:t>
      </w:r>
    </w:p>
    <w:p w14:paraId="707167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（4）虚假投标，或者出现其他情形而导致被评标委员会认定无效的；</w:t>
      </w:r>
    </w:p>
    <w:p w14:paraId="657B53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default" w:ascii="宋体" w:hAnsi="宋体" w:eastAsia="宋体" w:cs="宋体"/>
          <w:color w:val="auto"/>
          <w:szCs w:val="21"/>
          <w:highlight w:val="none"/>
          <w:lang w:val="en-US"/>
        </w:rPr>
        <w:t>5</w:t>
      </w:r>
      <w:r>
        <w:rPr>
          <w:rFonts w:hint="eastAsia" w:ascii="宋体" w:hAnsi="宋体" w:eastAsia="宋体" w:cs="宋体"/>
          <w:color w:val="auto"/>
          <w:szCs w:val="21"/>
          <w:highlight w:val="none"/>
        </w:rPr>
        <w:t>）招标文件</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提供技术方案的，投标技术方案不明确，招标文件未允许但存在一个或者一个以上备选（替代）投标方案的。</w:t>
      </w:r>
    </w:p>
    <w:p w14:paraId="27289C28">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3.澄清补正、说明或者补正</w:t>
      </w:r>
    </w:p>
    <w:p w14:paraId="15AEBA9A">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对投标文件中含义不明确、同类问题表述不一致或者有明显文字和计算错误的内容，评标委员会应在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发布电子澄清函，要求投标人在规定时间内作出必要的澄清、说明或者补正。投标人在</w:t>
      </w:r>
      <w:r>
        <w:rPr>
          <w:rFonts w:hint="eastAsia" w:ascii="宋体" w:hAnsi="宋体" w:cs="宋体"/>
          <w:b w:val="0"/>
          <w:bCs w:val="0"/>
          <w:color w:val="auto"/>
          <w:sz w:val="21"/>
          <w:szCs w:val="21"/>
          <w:highlight w:val="none"/>
          <w:lang w:val="en-US" w:eastAsia="zh-CN"/>
        </w:rPr>
        <w:t>广西政府采购云平台</w:t>
      </w:r>
      <w:r>
        <w:rPr>
          <w:rFonts w:hint="eastAsia" w:ascii="宋体" w:hAnsi="宋体" w:eastAsia="宋体" w:cs="Courier New"/>
          <w:color w:val="auto"/>
          <w:szCs w:val="21"/>
          <w:highlight w:val="none"/>
        </w:rPr>
        <w:t>接收到电子澄清函后根据澄清函内容上传PDF格式回函，电子澄清答复函使用CA证书加盖</w:t>
      </w:r>
      <w:r>
        <w:rPr>
          <w:rFonts w:hint="eastAsia" w:ascii="宋体" w:hAnsi="宋体" w:cs="Courier New"/>
          <w:color w:val="auto"/>
          <w:szCs w:val="21"/>
          <w:highlight w:val="none"/>
          <w:lang w:eastAsia="zh-CN"/>
        </w:rPr>
        <w:t>投标人</w:t>
      </w:r>
      <w:r>
        <w:rPr>
          <w:rFonts w:hint="eastAsia" w:ascii="宋体" w:hAnsi="宋体" w:eastAsia="宋体" w:cs="Courier New"/>
          <w:color w:val="auto"/>
          <w:szCs w:val="21"/>
          <w:highlight w:val="none"/>
        </w:rPr>
        <w:t>公章后在线上传至评标委员会。投标人的澄清、说明或者补正不得超出投标文件的范围或者改变投标文件的实质性内容。投标人未在规定时间内进行澄清、说明或者补正的，有可能对评审产生影响。</w:t>
      </w:r>
    </w:p>
    <w:p w14:paraId="7CC30572">
      <w:pPr>
        <w:spacing w:line="360" w:lineRule="auto"/>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63F717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4.投标文件修正</w:t>
      </w:r>
    </w:p>
    <w:p w14:paraId="2DBB0FE3">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4.1投标文件报价出现前后不一致的，按照下列规定修正： </w:t>
      </w:r>
    </w:p>
    <w:p w14:paraId="402F04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（1）报价文件中“开标一览表”内容与投标文件中相应内容不一致的，以“开标一览表”为准；</w:t>
      </w:r>
    </w:p>
    <w:p w14:paraId="1C14CA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75DDBA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（3）单价金额小数点或者百分比有明显错位的，以开标一览表的总价为准，并修改单价；</w:t>
      </w:r>
    </w:p>
    <w:p w14:paraId="74966A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393AFEC2">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同时出现两种以上不一致的，按照以上（</w:t>
      </w:r>
      <w:r>
        <w:rPr>
          <w:rFonts w:ascii="Times New Roman" w:hAnsi="宋体" w:eastAsia="宋体" w:cs="Times New Roman"/>
          <w:color w:val="auto"/>
          <w:highlight w:val="none"/>
        </w:rPr>
        <w:t>1</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w:t>
      </w:r>
      <w:r>
        <w:rPr>
          <w:rFonts w:hint="eastAsia" w:ascii="Times New Roman" w:hAnsi="宋体" w:eastAsia="宋体" w:cs="Times New Roman"/>
          <w:color w:val="auto"/>
          <w:highlight w:val="none"/>
        </w:rPr>
        <w:t>（</w:t>
      </w:r>
      <w:r>
        <w:rPr>
          <w:rFonts w:ascii="Times New Roman" w:hAnsi="宋体" w:eastAsia="宋体" w:cs="Times New Roman"/>
          <w:color w:val="auto"/>
          <w:highlight w:val="none"/>
        </w:rPr>
        <w:t>4</w:t>
      </w:r>
      <w:r>
        <w:rPr>
          <w:rFonts w:hint="eastAsia" w:ascii="Times New Roman" w:hAnsi="宋体" w:eastAsia="宋体" w:cs="Times New Roman"/>
          <w:color w:val="auto"/>
          <w:highlight w:val="none"/>
        </w:rPr>
        <w:t>）规定的顺序修正。修正后的报价经投标人确认后产生约束力，投标人不确认的，其投标无效。</w:t>
      </w:r>
    </w:p>
    <w:p w14:paraId="57827A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4.2经投标人确认修正后的报价若超过采购预算金额或者最高限价，投标人的投标文件作无效投标处理。</w:t>
      </w:r>
    </w:p>
    <w:p w14:paraId="0A98DE6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4.3经投标人确认修正后的报价作为签订合同的依据，并以此报价计算价格分。</w:t>
      </w:r>
    </w:p>
    <w:p w14:paraId="232D9E5E">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5.比较与评价</w:t>
      </w:r>
    </w:p>
    <w:p w14:paraId="54595B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5.1评标委员会按照招标文件中规定的评标方法和评标标准，对符合性审查合格的投标文件进行商务和技术评估，综合比较与评价。</w:t>
      </w:r>
    </w:p>
    <w:p w14:paraId="739196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5.2评标委员会</w:t>
      </w:r>
      <w:r>
        <w:rPr>
          <w:rFonts w:hint="eastAsia" w:ascii="宋体" w:hAnsi="宋体" w:eastAsia="宋体" w:cs="宋体"/>
          <w:color w:val="auto"/>
          <w:highlight w:val="none"/>
          <w:lang w:eastAsia="zh-CN"/>
        </w:rPr>
        <w:t>各成员</w:t>
      </w:r>
      <w:r>
        <w:rPr>
          <w:rFonts w:hint="eastAsia" w:ascii="宋体" w:hAnsi="宋体" w:eastAsia="宋体" w:cs="宋体"/>
          <w:color w:val="auto"/>
          <w:highlight w:val="none"/>
        </w:rPr>
        <w:t>独立对每个投标人的投标文件进行评价，并汇总每个投标人的得分。</w:t>
      </w:r>
    </w:p>
    <w:p w14:paraId="5729CC3B">
      <w:pPr>
        <w:widowControl/>
        <w:numPr>
          <w:ilvl w:val="0"/>
          <w:numId w:val="7"/>
        </w:numPr>
        <w:spacing w:after="150" w:line="48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评审委员会成员要根据政府采购法律法规和</w:t>
      </w:r>
      <w:r>
        <w:rPr>
          <w:rFonts w:hint="eastAsia" w:ascii="宋体" w:hAnsi="宋体" w:eastAsia="宋体" w:cs="宋体"/>
          <w:color w:val="auto"/>
          <w:highlight w:val="none"/>
          <w:lang w:eastAsia="zh-CN"/>
        </w:rPr>
        <w:t>招标</w:t>
      </w:r>
      <w:r>
        <w:rPr>
          <w:rFonts w:hint="eastAsia" w:ascii="宋体" w:hAnsi="宋体" w:eastAsia="宋体" w:cs="宋体"/>
          <w:color w:val="auto"/>
          <w:highlight w:val="none"/>
        </w:rPr>
        <w:t>文件所载明的评</w:t>
      </w:r>
      <w:r>
        <w:rPr>
          <w:rFonts w:hint="eastAsia" w:ascii="宋体" w:hAnsi="宋体" w:eastAsia="宋体" w:cs="宋体"/>
          <w:color w:val="auto"/>
          <w:highlight w:val="none"/>
          <w:lang w:eastAsia="zh-CN"/>
        </w:rPr>
        <w:t>标</w:t>
      </w:r>
      <w:r>
        <w:rPr>
          <w:rFonts w:hint="eastAsia" w:ascii="宋体" w:hAnsi="宋体" w:eastAsia="宋体" w:cs="宋体"/>
          <w:color w:val="auto"/>
          <w:highlight w:val="none"/>
        </w:rPr>
        <w:t>方法、标准进行评审。对</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的价格分等客观评分项的评分应当一致，对其他需要借助专业知识评判的主观评分项，应当严格按照评分细则公正评分。</w:t>
      </w:r>
    </w:p>
    <w:p w14:paraId="154503ED">
      <w:pPr>
        <w:widowControl/>
        <w:numPr>
          <w:ilvl w:val="0"/>
          <w:numId w:val="7"/>
        </w:numPr>
        <w:spacing w:after="150" w:line="480" w:lineRule="auto"/>
        <w:ind w:firstLine="422" w:firstLineChars="20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BBF63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5.3评标委员会按照招标文件中规定的评标方法和标准计算各投标人的报价得分。在评标过程中，不得去掉报价中的最高报价和最低报价。</w:t>
      </w:r>
    </w:p>
    <w:p w14:paraId="4300B4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5.4各投标人的得分为评标委员会各成员的有效评分的算术平均数。</w:t>
      </w:r>
    </w:p>
    <w:p w14:paraId="07F509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5.5评标委员会按照招标文件中的规定推荐中标候选人。</w:t>
      </w:r>
    </w:p>
    <w:p w14:paraId="1C6B6B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5.6起草并签署评标报告。评标委员会根据评标委员会</w:t>
      </w:r>
      <w:r>
        <w:rPr>
          <w:rFonts w:hint="eastAsia" w:ascii="宋体" w:hAnsi="宋体" w:eastAsia="宋体" w:cs="宋体"/>
          <w:color w:val="auto"/>
          <w:highlight w:val="none"/>
          <w:lang w:eastAsia="zh-CN"/>
        </w:rPr>
        <w:t>各</w:t>
      </w:r>
      <w:r>
        <w:rPr>
          <w:rFonts w:hint="eastAsia" w:ascii="宋体" w:hAnsi="宋体" w:eastAsia="宋体" w:cs="宋体"/>
          <w:color w:val="auto"/>
          <w:highlight w:val="none"/>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3ACBE5D">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6.评审复核</w:t>
      </w:r>
    </w:p>
    <w:p w14:paraId="5A88CAD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6.1评标报告签署前，评标委员会要对评审结果进行复核，复核意见要体现在评标报告中。</w:t>
      </w:r>
    </w:p>
    <w:p w14:paraId="36417416">
      <w:pPr>
        <w:widowControl/>
        <w:spacing w:line="560" w:lineRule="exact"/>
        <w:ind w:firstLine="420" w:firstLineChars="200"/>
        <w:jc w:val="left"/>
        <w:textAlignment w:val="baseline"/>
        <w:rPr>
          <w:rFonts w:hint="eastAsia" w:ascii="Times New Roman" w:hAnsi="宋体" w:eastAsia="宋体" w:cs="Times New Roman"/>
          <w:color w:val="auto"/>
          <w:highlight w:val="none"/>
        </w:rPr>
      </w:pPr>
      <w:r>
        <w:rPr>
          <w:rFonts w:hint="eastAsia" w:ascii="宋体" w:hAnsi="宋体" w:eastAsia="宋体" w:cs="宋体"/>
          <w:color w:val="auto"/>
          <w:highlight w:val="none"/>
        </w:rPr>
        <w:t>6.2</w:t>
      </w:r>
      <w:r>
        <w:rPr>
          <w:rFonts w:hint="eastAsia" w:ascii="Times New Roman" w:hAnsi="宋体" w:eastAsia="宋体" w:cs="Times New Roman"/>
          <w:color w:val="auto"/>
          <w:highlight w:val="none"/>
        </w:rPr>
        <w:t>评标结果汇总完成后，除下列情形外，任何人不得修改评标结果：</w:t>
      </w:r>
    </w:p>
    <w:p w14:paraId="4FDC24F2">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（一）分值汇总计算错误的；</w:t>
      </w:r>
    </w:p>
    <w:p w14:paraId="76DE64DE">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（二）分项评分超出评分标准范围的；</w:t>
      </w:r>
    </w:p>
    <w:p w14:paraId="04C31B70">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（三）评标委员会成员对客观评审因素评分不一致的；</w:t>
      </w:r>
    </w:p>
    <w:p w14:paraId="5726676B">
      <w:pPr>
        <w:widowControl/>
        <w:spacing w:line="560" w:lineRule="exact"/>
        <w:jc w:val="left"/>
        <w:textAlignment w:val="baseline"/>
        <w:rPr>
          <w:rFonts w:ascii="Times New Roman" w:hAnsi="宋体" w:eastAsia="宋体" w:cs="Times New Roman"/>
          <w:color w:val="auto"/>
          <w:highlight w:val="none"/>
        </w:rPr>
      </w:pPr>
      <w:r>
        <w:rPr>
          <w:rFonts w:hint="eastAsia" w:ascii="Times New Roman" w:hAnsi="宋体" w:eastAsia="宋体" w:cs="Times New Roman"/>
          <w:color w:val="auto"/>
          <w:highlight w:val="none"/>
        </w:rPr>
        <w:t>　　（四）经评标委员会认定评分畸高、畸低的。</w:t>
      </w:r>
    </w:p>
    <w:p w14:paraId="080EF701">
      <w:pPr>
        <w:spacing w:line="360" w:lineRule="auto"/>
        <w:ind w:firstLine="420" w:firstLineChars="200"/>
        <w:rPr>
          <w:rFonts w:ascii="Times New Roman" w:hAnsi="宋体" w:eastAsia="宋体" w:cs="Times New Roman"/>
          <w:color w:val="auto"/>
          <w:highlight w:val="none"/>
        </w:rPr>
      </w:pPr>
      <w:r>
        <w:rPr>
          <w:rFonts w:hint="eastAsia" w:ascii="Times New Roman" w:hAnsi="宋体" w:eastAsia="宋体" w:cs="Times New Roman"/>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4B0600E">
      <w:pPr>
        <w:pStyle w:val="5"/>
        <w:ind w:firstLine="3900" w:firstLineChars="1300"/>
        <w:jc w:val="both"/>
        <w:rPr>
          <w:rFonts w:cs="Times New Roman"/>
          <w:b w:val="0"/>
          <w:color w:val="auto"/>
          <w:sz w:val="30"/>
          <w:szCs w:val="30"/>
          <w:highlight w:val="none"/>
        </w:rPr>
      </w:pPr>
      <w:bookmarkStart w:id="297" w:name="_Toc13548"/>
      <w:bookmarkStart w:id="298" w:name="_Toc28829"/>
      <w:bookmarkStart w:id="299" w:name="_Toc4866"/>
      <w:bookmarkStart w:id="300" w:name="_Toc27331"/>
      <w:bookmarkStart w:id="301" w:name="_Toc17834"/>
      <w:bookmarkStart w:id="302" w:name="_Toc25728"/>
      <w:bookmarkStart w:id="303" w:name="_Toc19942"/>
      <w:bookmarkStart w:id="304" w:name="_Toc5755"/>
      <w:bookmarkStart w:id="305" w:name="_Toc22963"/>
      <w:bookmarkStart w:id="306" w:name="_Toc28193"/>
      <w:r>
        <w:rPr>
          <w:rFonts w:hint="eastAsia" w:cs="Times New Roman"/>
          <w:b w:val="0"/>
          <w:color w:val="auto"/>
          <w:sz w:val="30"/>
          <w:szCs w:val="30"/>
          <w:highlight w:val="none"/>
        </w:rPr>
        <w:t>第三节</w:t>
      </w:r>
      <w:r>
        <w:rPr>
          <w:rFonts w:cs="Times New Roman"/>
          <w:b w:val="0"/>
          <w:color w:val="auto"/>
          <w:sz w:val="30"/>
          <w:szCs w:val="30"/>
          <w:highlight w:val="none"/>
        </w:rPr>
        <w:t xml:space="preserve"> </w:t>
      </w:r>
      <w:r>
        <w:rPr>
          <w:rFonts w:hint="eastAsia" w:cs="Times New Roman"/>
          <w:b w:val="0"/>
          <w:color w:val="auto"/>
          <w:sz w:val="30"/>
          <w:szCs w:val="30"/>
          <w:highlight w:val="none"/>
        </w:rPr>
        <w:t>评分标准</w:t>
      </w:r>
      <w:bookmarkEnd w:id="297"/>
      <w:bookmarkEnd w:id="298"/>
      <w:bookmarkEnd w:id="299"/>
      <w:bookmarkEnd w:id="300"/>
      <w:bookmarkEnd w:id="301"/>
      <w:bookmarkEnd w:id="302"/>
      <w:bookmarkEnd w:id="303"/>
      <w:bookmarkEnd w:id="304"/>
      <w:bookmarkEnd w:id="305"/>
      <w:bookmarkEnd w:id="306"/>
    </w:p>
    <w:p w14:paraId="059C0606">
      <w:pPr>
        <w:pStyle w:val="15"/>
        <w:ind w:firstLine="602" w:firstLineChars="200"/>
        <w:jc w:val="both"/>
        <w:rPr>
          <w:rFonts w:hint="eastAsia" w:ascii="Times New Roman" w:hAnsi="Times New Roman" w:eastAsia="宋体" w:cs="Times New Roman"/>
          <w:b/>
          <w:color w:val="auto"/>
          <w:sz w:val="30"/>
          <w:szCs w:val="30"/>
          <w:highlight w:val="none"/>
        </w:rPr>
      </w:pPr>
      <w:r>
        <w:rPr>
          <w:rFonts w:hint="eastAsia" w:hAnsi="宋体" w:cs="宋体"/>
          <w:b/>
          <w:color w:val="auto"/>
          <w:sz w:val="30"/>
          <w:szCs w:val="30"/>
          <w:highlight w:val="none"/>
          <w:lang w:val="en-US" w:eastAsia="zh-CN"/>
        </w:rPr>
        <w:t xml:space="preserve">                       </w:t>
      </w:r>
      <w:r>
        <w:rPr>
          <w:rFonts w:hint="eastAsia" w:ascii="Times New Roman" w:hAnsi="Times New Roman" w:eastAsia="宋体" w:cs="Times New Roman"/>
          <w:b/>
          <w:color w:val="auto"/>
          <w:sz w:val="30"/>
          <w:szCs w:val="30"/>
          <w:highlight w:val="none"/>
        </w:rPr>
        <w:t>综合评分法</w:t>
      </w:r>
    </w:p>
    <w:p w14:paraId="0951FDD2">
      <w:pPr>
        <w:spacing w:line="360" w:lineRule="auto"/>
        <w:ind w:firstLine="420"/>
        <w:rPr>
          <w:rFonts w:hint="eastAsia" w:ascii="宋体" w:hAnsi="宋体" w:eastAsia="宋体" w:cs="Times New Roman"/>
          <w:bCs/>
          <w:color w:val="auto"/>
          <w:szCs w:val="20"/>
          <w:highlight w:val="none"/>
        </w:rPr>
      </w:pPr>
    </w:p>
    <w:p w14:paraId="55DDC309">
      <w:pPr>
        <w:spacing w:line="360" w:lineRule="auto"/>
        <w:ind w:firstLine="420"/>
        <w:rPr>
          <w:rFonts w:hint="eastAsia" w:ascii="宋体" w:hAnsi="宋体" w:eastAsia="宋体" w:cs="Times New Roman"/>
          <w:bCs/>
          <w:color w:val="auto"/>
          <w:szCs w:val="20"/>
          <w:highlight w:val="none"/>
        </w:rPr>
      </w:pPr>
      <w:r>
        <w:rPr>
          <w:rFonts w:hint="eastAsia" w:ascii="宋体" w:hAnsi="宋体" w:cs="Times New Roman"/>
          <w:bCs/>
          <w:color w:val="auto"/>
          <w:szCs w:val="20"/>
          <w:highlight w:val="none"/>
          <w:lang w:eastAsia="zh-CN"/>
        </w:rPr>
        <w:t>注：</w:t>
      </w:r>
      <w:r>
        <w:rPr>
          <w:rFonts w:hint="eastAsia" w:ascii="宋体" w:hAnsi="宋体" w:eastAsia="宋体" w:cs="Times New Roman"/>
          <w:bCs/>
          <w:color w:val="auto"/>
          <w:szCs w:val="20"/>
          <w:highlight w:val="none"/>
        </w:rPr>
        <w:t>计分方法按四舍五入取至百分位。</w:t>
      </w:r>
    </w:p>
    <w:tbl>
      <w:tblPr>
        <w:tblStyle w:val="38"/>
        <w:tblW w:w="960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588"/>
        <w:gridCol w:w="1449"/>
        <w:gridCol w:w="10"/>
        <w:gridCol w:w="5859"/>
        <w:gridCol w:w="21"/>
      </w:tblGrid>
      <w:tr w14:paraId="0F7FB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2152" w:type="dxa"/>
            <w:gridSpan w:val="2"/>
            <w:vAlign w:val="top"/>
          </w:tcPr>
          <w:p w14:paraId="742C428F">
            <w:pPr>
              <w:pStyle w:val="37"/>
              <w:spacing w:before="152" w:line="221" w:lineRule="auto"/>
              <w:ind w:left="838"/>
              <w:rPr>
                <w:color w:val="auto"/>
                <w:sz w:val="22"/>
                <w:szCs w:val="22"/>
                <w:highlight w:val="none"/>
              </w:rPr>
            </w:pPr>
            <w:r>
              <w:rPr>
                <w:b/>
                <w:bCs/>
                <w:color w:val="auto"/>
                <w:spacing w:val="-5"/>
                <w:sz w:val="22"/>
                <w:szCs w:val="22"/>
                <w:highlight w:val="none"/>
              </w:rPr>
              <w:t>序号</w:t>
            </w:r>
          </w:p>
        </w:tc>
        <w:tc>
          <w:tcPr>
            <w:tcW w:w="1459" w:type="dxa"/>
            <w:gridSpan w:val="2"/>
            <w:vAlign w:val="top"/>
          </w:tcPr>
          <w:p w14:paraId="5E43E7AE">
            <w:pPr>
              <w:pStyle w:val="37"/>
              <w:spacing w:before="170" w:line="219" w:lineRule="auto"/>
              <w:ind w:left="286"/>
              <w:rPr>
                <w:color w:val="auto"/>
                <w:sz w:val="22"/>
                <w:szCs w:val="22"/>
                <w:highlight w:val="none"/>
              </w:rPr>
            </w:pPr>
            <w:r>
              <w:rPr>
                <w:b/>
                <w:bCs/>
                <w:color w:val="auto"/>
                <w:spacing w:val="-4"/>
                <w:sz w:val="22"/>
                <w:szCs w:val="22"/>
                <w:highlight w:val="none"/>
              </w:rPr>
              <w:t>评审因素</w:t>
            </w:r>
          </w:p>
        </w:tc>
        <w:tc>
          <w:tcPr>
            <w:tcW w:w="5880" w:type="dxa"/>
            <w:gridSpan w:val="2"/>
            <w:vAlign w:val="top"/>
          </w:tcPr>
          <w:p w14:paraId="7458A544">
            <w:pPr>
              <w:pStyle w:val="37"/>
              <w:spacing w:before="171" w:line="220" w:lineRule="auto"/>
              <w:ind w:left="2537"/>
              <w:rPr>
                <w:color w:val="auto"/>
                <w:sz w:val="22"/>
                <w:szCs w:val="22"/>
                <w:highlight w:val="none"/>
              </w:rPr>
            </w:pPr>
            <w:r>
              <w:rPr>
                <w:b/>
                <w:bCs/>
                <w:color w:val="auto"/>
                <w:spacing w:val="-4"/>
                <w:sz w:val="22"/>
                <w:szCs w:val="22"/>
                <w:highlight w:val="none"/>
              </w:rPr>
              <w:t>评分标准</w:t>
            </w:r>
          </w:p>
        </w:tc>
      </w:tr>
      <w:tr w14:paraId="7079E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6" w:hRule="atLeast"/>
        </w:trPr>
        <w:tc>
          <w:tcPr>
            <w:tcW w:w="564" w:type="dxa"/>
            <w:vAlign w:val="top"/>
          </w:tcPr>
          <w:p w14:paraId="5EED6291">
            <w:pPr>
              <w:spacing w:line="258" w:lineRule="auto"/>
              <w:rPr>
                <w:rFonts w:ascii="Arial"/>
                <w:color w:val="auto"/>
                <w:sz w:val="21"/>
                <w:highlight w:val="none"/>
              </w:rPr>
            </w:pPr>
          </w:p>
          <w:p w14:paraId="75CC3CA0">
            <w:pPr>
              <w:spacing w:line="258" w:lineRule="auto"/>
              <w:rPr>
                <w:rFonts w:ascii="Arial"/>
                <w:color w:val="auto"/>
                <w:sz w:val="21"/>
                <w:highlight w:val="none"/>
              </w:rPr>
            </w:pPr>
          </w:p>
          <w:p w14:paraId="16ED9C92">
            <w:pPr>
              <w:spacing w:line="258" w:lineRule="auto"/>
              <w:rPr>
                <w:rFonts w:ascii="Arial"/>
                <w:color w:val="auto"/>
                <w:sz w:val="21"/>
                <w:highlight w:val="none"/>
              </w:rPr>
            </w:pPr>
          </w:p>
          <w:p w14:paraId="0277A125">
            <w:pPr>
              <w:spacing w:line="258" w:lineRule="auto"/>
              <w:rPr>
                <w:rFonts w:ascii="Arial"/>
                <w:color w:val="auto"/>
                <w:sz w:val="21"/>
                <w:highlight w:val="none"/>
              </w:rPr>
            </w:pPr>
          </w:p>
          <w:p w14:paraId="6636EF82">
            <w:pPr>
              <w:spacing w:line="258" w:lineRule="auto"/>
              <w:rPr>
                <w:rFonts w:ascii="Arial"/>
                <w:color w:val="auto"/>
                <w:sz w:val="21"/>
                <w:highlight w:val="none"/>
              </w:rPr>
            </w:pPr>
          </w:p>
          <w:p w14:paraId="7019B8AD">
            <w:pPr>
              <w:spacing w:line="259" w:lineRule="auto"/>
              <w:rPr>
                <w:rFonts w:ascii="Arial"/>
                <w:color w:val="auto"/>
                <w:sz w:val="21"/>
                <w:highlight w:val="none"/>
              </w:rPr>
            </w:pPr>
          </w:p>
          <w:p w14:paraId="4E155B08">
            <w:pPr>
              <w:spacing w:line="259" w:lineRule="auto"/>
              <w:rPr>
                <w:rFonts w:ascii="Arial"/>
                <w:color w:val="auto"/>
                <w:sz w:val="21"/>
                <w:highlight w:val="none"/>
              </w:rPr>
            </w:pPr>
          </w:p>
          <w:p w14:paraId="7D76494C">
            <w:pPr>
              <w:spacing w:line="259" w:lineRule="auto"/>
              <w:rPr>
                <w:rFonts w:ascii="Arial"/>
                <w:color w:val="auto"/>
                <w:sz w:val="21"/>
                <w:highlight w:val="none"/>
              </w:rPr>
            </w:pPr>
          </w:p>
          <w:p w14:paraId="683FB418">
            <w:pPr>
              <w:pStyle w:val="37"/>
              <w:spacing w:before="72" w:line="241" w:lineRule="auto"/>
              <w:ind w:left="215"/>
              <w:rPr>
                <w:color w:val="auto"/>
                <w:sz w:val="22"/>
                <w:szCs w:val="22"/>
                <w:highlight w:val="none"/>
              </w:rPr>
            </w:pPr>
            <w:r>
              <w:rPr>
                <w:color w:val="auto"/>
                <w:sz w:val="22"/>
                <w:szCs w:val="22"/>
                <w:highlight w:val="none"/>
              </w:rPr>
              <w:t>1</w:t>
            </w:r>
          </w:p>
        </w:tc>
        <w:tc>
          <w:tcPr>
            <w:tcW w:w="1588" w:type="dxa"/>
            <w:vAlign w:val="top"/>
          </w:tcPr>
          <w:p w14:paraId="4DC0D9C6">
            <w:pPr>
              <w:spacing w:line="255" w:lineRule="auto"/>
              <w:rPr>
                <w:rFonts w:ascii="Arial"/>
                <w:color w:val="auto"/>
                <w:sz w:val="21"/>
                <w:highlight w:val="none"/>
              </w:rPr>
            </w:pPr>
          </w:p>
          <w:p w14:paraId="7E11EAA0">
            <w:pPr>
              <w:spacing w:line="255" w:lineRule="auto"/>
              <w:rPr>
                <w:rFonts w:ascii="Arial"/>
                <w:color w:val="auto"/>
                <w:sz w:val="21"/>
                <w:highlight w:val="none"/>
              </w:rPr>
            </w:pPr>
          </w:p>
          <w:p w14:paraId="788427F7">
            <w:pPr>
              <w:spacing w:line="255" w:lineRule="auto"/>
              <w:rPr>
                <w:rFonts w:ascii="Arial"/>
                <w:color w:val="auto"/>
                <w:sz w:val="21"/>
                <w:highlight w:val="none"/>
              </w:rPr>
            </w:pPr>
          </w:p>
          <w:p w14:paraId="4C2462B5">
            <w:pPr>
              <w:spacing w:line="256" w:lineRule="auto"/>
              <w:rPr>
                <w:rFonts w:ascii="Arial"/>
                <w:color w:val="auto"/>
                <w:sz w:val="21"/>
                <w:highlight w:val="none"/>
              </w:rPr>
            </w:pPr>
          </w:p>
          <w:p w14:paraId="5616FDB3">
            <w:pPr>
              <w:spacing w:line="256" w:lineRule="auto"/>
              <w:rPr>
                <w:rFonts w:ascii="Arial"/>
                <w:color w:val="auto"/>
                <w:sz w:val="21"/>
                <w:highlight w:val="none"/>
              </w:rPr>
            </w:pPr>
          </w:p>
          <w:p w14:paraId="033E5420">
            <w:pPr>
              <w:spacing w:line="256" w:lineRule="auto"/>
              <w:rPr>
                <w:rFonts w:ascii="Arial"/>
                <w:color w:val="auto"/>
                <w:sz w:val="21"/>
                <w:highlight w:val="none"/>
              </w:rPr>
            </w:pPr>
          </w:p>
          <w:p w14:paraId="52EFEAC8">
            <w:pPr>
              <w:pStyle w:val="37"/>
              <w:spacing w:before="72" w:line="218" w:lineRule="auto"/>
              <w:ind w:left="454"/>
              <w:rPr>
                <w:color w:val="auto"/>
                <w:sz w:val="22"/>
                <w:szCs w:val="22"/>
                <w:highlight w:val="none"/>
              </w:rPr>
            </w:pPr>
            <w:r>
              <w:rPr>
                <w:b/>
                <w:bCs/>
                <w:color w:val="auto"/>
                <w:spacing w:val="-5"/>
                <w:sz w:val="22"/>
                <w:szCs w:val="22"/>
                <w:highlight w:val="none"/>
              </w:rPr>
              <w:t>价格分</w:t>
            </w:r>
          </w:p>
          <w:p w14:paraId="1F55A286">
            <w:pPr>
              <w:pStyle w:val="37"/>
              <w:spacing w:before="115" w:line="305" w:lineRule="auto"/>
              <w:ind w:left="91" w:right="125" w:firstLine="29"/>
              <w:rPr>
                <w:color w:val="auto"/>
                <w:sz w:val="22"/>
                <w:szCs w:val="22"/>
                <w:highlight w:val="none"/>
              </w:rPr>
            </w:pPr>
            <w:r>
              <w:rPr>
                <w:color w:val="auto"/>
                <w:spacing w:val="-19"/>
                <w:sz w:val="22"/>
                <w:szCs w:val="22"/>
                <w:highlight w:val="none"/>
              </w:rPr>
              <w:t>(</w:t>
            </w:r>
            <w:r>
              <w:rPr>
                <w:color w:val="auto"/>
                <w:spacing w:val="1"/>
                <w:sz w:val="22"/>
                <w:szCs w:val="22"/>
                <w:highlight w:val="none"/>
              </w:rPr>
              <w:t xml:space="preserve"> </w:t>
            </w:r>
            <w:r>
              <w:rPr>
                <w:color w:val="auto"/>
                <w:spacing w:val="-19"/>
                <w:sz w:val="22"/>
                <w:szCs w:val="22"/>
                <w:highlight w:val="none"/>
              </w:rPr>
              <w:t>满分</w:t>
            </w:r>
            <w:r>
              <w:rPr>
                <w:color w:val="auto"/>
                <w:spacing w:val="4"/>
                <w:sz w:val="22"/>
                <w:szCs w:val="22"/>
                <w:highlight w:val="none"/>
              </w:rPr>
              <w:t xml:space="preserve"> </w:t>
            </w:r>
            <w:r>
              <w:rPr>
                <w:color w:val="auto"/>
                <w:spacing w:val="-19"/>
                <w:sz w:val="22"/>
                <w:szCs w:val="22"/>
                <w:highlight w:val="none"/>
              </w:rPr>
              <w:t>5</w:t>
            </w:r>
            <w:r>
              <w:rPr>
                <w:color w:val="auto"/>
                <w:sz w:val="22"/>
                <w:szCs w:val="22"/>
                <w:highlight w:val="none"/>
              </w:rPr>
              <w:t xml:space="preserve"> </w:t>
            </w:r>
            <w:r>
              <w:rPr>
                <w:color w:val="auto"/>
                <w:spacing w:val="-19"/>
                <w:sz w:val="22"/>
                <w:szCs w:val="22"/>
                <w:highlight w:val="none"/>
              </w:rPr>
              <w:t>0</w:t>
            </w:r>
            <w:r>
              <w:rPr>
                <w:color w:val="auto"/>
                <w:sz w:val="22"/>
                <w:szCs w:val="22"/>
                <w:highlight w:val="none"/>
              </w:rPr>
              <w:t xml:space="preserve"> </w:t>
            </w:r>
            <w:r>
              <w:rPr>
                <w:color w:val="auto"/>
                <w:spacing w:val="-6"/>
                <w:sz w:val="22"/>
                <w:szCs w:val="22"/>
                <w:highlight w:val="none"/>
              </w:rPr>
              <w:t>分</w:t>
            </w:r>
            <w:r>
              <w:rPr>
                <w:color w:val="auto"/>
                <w:spacing w:val="-42"/>
                <w:sz w:val="22"/>
                <w:szCs w:val="22"/>
                <w:highlight w:val="none"/>
              </w:rPr>
              <w:t xml:space="preserve"> </w:t>
            </w:r>
            <w:r>
              <w:rPr>
                <w:color w:val="auto"/>
                <w:spacing w:val="-6"/>
                <w:sz w:val="22"/>
                <w:szCs w:val="22"/>
                <w:highlight w:val="none"/>
              </w:rPr>
              <w:t>)</w:t>
            </w:r>
          </w:p>
        </w:tc>
        <w:tc>
          <w:tcPr>
            <w:tcW w:w="1459" w:type="dxa"/>
            <w:gridSpan w:val="2"/>
            <w:vAlign w:val="top"/>
          </w:tcPr>
          <w:p w14:paraId="72CFDDCB">
            <w:pPr>
              <w:spacing w:line="255" w:lineRule="auto"/>
              <w:rPr>
                <w:rFonts w:ascii="Arial"/>
                <w:color w:val="auto"/>
                <w:sz w:val="21"/>
                <w:highlight w:val="none"/>
              </w:rPr>
            </w:pPr>
          </w:p>
          <w:p w14:paraId="7D91D34F">
            <w:pPr>
              <w:spacing w:line="255" w:lineRule="auto"/>
              <w:rPr>
                <w:rFonts w:ascii="Arial"/>
                <w:color w:val="auto"/>
                <w:sz w:val="21"/>
                <w:highlight w:val="none"/>
              </w:rPr>
            </w:pPr>
          </w:p>
          <w:p w14:paraId="11ACDD2E">
            <w:pPr>
              <w:spacing w:line="255" w:lineRule="auto"/>
              <w:rPr>
                <w:rFonts w:ascii="Arial"/>
                <w:color w:val="auto"/>
                <w:sz w:val="21"/>
                <w:highlight w:val="none"/>
              </w:rPr>
            </w:pPr>
          </w:p>
          <w:p w14:paraId="538B999F">
            <w:pPr>
              <w:spacing w:line="255" w:lineRule="auto"/>
              <w:rPr>
                <w:rFonts w:ascii="Arial"/>
                <w:color w:val="auto"/>
                <w:sz w:val="21"/>
                <w:highlight w:val="none"/>
              </w:rPr>
            </w:pPr>
          </w:p>
          <w:p w14:paraId="6D12017B">
            <w:pPr>
              <w:spacing w:line="255" w:lineRule="auto"/>
              <w:rPr>
                <w:rFonts w:ascii="Arial"/>
                <w:color w:val="auto"/>
                <w:sz w:val="21"/>
                <w:highlight w:val="none"/>
              </w:rPr>
            </w:pPr>
          </w:p>
          <w:p w14:paraId="46F97496">
            <w:pPr>
              <w:spacing w:line="255" w:lineRule="auto"/>
              <w:rPr>
                <w:rFonts w:ascii="Arial"/>
                <w:color w:val="auto"/>
                <w:sz w:val="21"/>
                <w:highlight w:val="none"/>
              </w:rPr>
            </w:pPr>
          </w:p>
          <w:p w14:paraId="2710D81E">
            <w:pPr>
              <w:spacing w:line="255" w:lineRule="auto"/>
              <w:rPr>
                <w:rFonts w:ascii="Arial"/>
                <w:color w:val="auto"/>
                <w:sz w:val="21"/>
                <w:highlight w:val="none"/>
              </w:rPr>
            </w:pPr>
          </w:p>
          <w:p w14:paraId="39AF77C7">
            <w:pPr>
              <w:spacing w:line="255" w:lineRule="auto"/>
              <w:rPr>
                <w:rFonts w:ascii="Arial"/>
                <w:color w:val="auto"/>
                <w:sz w:val="21"/>
                <w:highlight w:val="none"/>
              </w:rPr>
            </w:pPr>
          </w:p>
          <w:p w14:paraId="5C3BA537">
            <w:pPr>
              <w:pStyle w:val="37"/>
              <w:spacing w:before="72" w:line="218" w:lineRule="auto"/>
              <w:ind w:left="286"/>
              <w:rPr>
                <w:color w:val="auto"/>
                <w:sz w:val="22"/>
                <w:szCs w:val="22"/>
                <w:highlight w:val="none"/>
              </w:rPr>
            </w:pPr>
            <w:r>
              <w:rPr>
                <w:b/>
                <w:bCs/>
                <w:color w:val="auto"/>
                <w:spacing w:val="-5"/>
                <w:sz w:val="22"/>
                <w:szCs w:val="22"/>
                <w:highlight w:val="none"/>
              </w:rPr>
              <w:t>投标报价</w:t>
            </w:r>
          </w:p>
        </w:tc>
        <w:tc>
          <w:tcPr>
            <w:tcW w:w="5880" w:type="dxa"/>
            <w:gridSpan w:val="2"/>
            <w:vAlign w:val="top"/>
          </w:tcPr>
          <w:p w14:paraId="6EBADB29">
            <w:pPr>
              <w:pStyle w:val="37"/>
              <w:spacing w:before="238" w:line="341" w:lineRule="auto"/>
              <w:ind w:left="94" w:firstLine="531"/>
              <w:rPr>
                <w:color w:val="auto"/>
                <w:sz w:val="22"/>
                <w:szCs w:val="22"/>
                <w:highlight w:val="none"/>
              </w:rPr>
            </w:pPr>
            <w:r>
              <w:rPr>
                <w:color w:val="auto"/>
                <w:spacing w:val="-10"/>
                <w:sz w:val="22"/>
                <w:szCs w:val="22"/>
                <w:highlight w:val="none"/>
              </w:rPr>
              <w:t>(1)本项目为专门面向中小企业采购的项目，按照《政府</w:t>
            </w:r>
            <w:r>
              <w:rPr>
                <w:color w:val="auto"/>
                <w:spacing w:val="-3"/>
                <w:sz w:val="22"/>
                <w:szCs w:val="22"/>
                <w:highlight w:val="none"/>
              </w:rPr>
              <w:t>采购促进中小企业发展管理办法》(财库〔</w:t>
            </w:r>
            <w:r>
              <w:rPr>
                <w:color w:val="auto"/>
                <w:spacing w:val="-4"/>
                <w:sz w:val="22"/>
                <w:szCs w:val="22"/>
                <w:highlight w:val="none"/>
              </w:rPr>
              <w:t>2020〕46号)的规</w:t>
            </w:r>
            <w:r>
              <w:rPr>
                <w:color w:val="auto"/>
                <w:spacing w:val="-6"/>
                <w:sz w:val="22"/>
                <w:szCs w:val="22"/>
                <w:highlight w:val="none"/>
              </w:rPr>
              <w:t>定，对投标人的投标报价不再执行价格评审优惠的扶</w:t>
            </w:r>
            <w:r>
              <w:rPr>
                <w:color w:val="auto"/>
                <w:spacing w:val="-7"/>
                <w:sz w:val="22"/>
                <w:szCs w:val="22"/>
                <w:highlight w:val="none"/>
              </w:rPr>
              <w:t>持政策。</w:t>
            </w:r>
          </w:p>
          <w:p w14:paraId="3F2A4B47">
            <w:pPr>
              <w:pStyle w:val="37"/>
              <w:spacing w:before="169" w:line="315" w:lineRule="auto"/>
              <w:ind w:left="104" w:right="7" w:firstLine="510"/>
              <w:rPr>
                <w:color w:val="auto"/>
                <w:sz w:val="22"/>
                <w:szCs w:val="22"/>
                <w:highlight w:val="none"/>
              </w:rPr>
            </w:pPr>
            <w:r>
              <w:rPr>
                <w:color w:val="auto"/>
                <w:spacing w:val="-6"/>
                <w:sz w:val="22"/>
                <w:szCs w:val="22"/>
                <w:highlight w:val="none"/>
              </w:rPr>
              <w:t>(2)评标报价为投标人的投标报价，评标报价只是作为评</w:t>
            </w:r>
            <w:r>
              <w:rPr>
                <w:color w:val="auto"/>
                <w:spacing w:val="13"/>
                <w:sz w:val="22"/>
                <w:szCs w:val="22"/>
                <w:highlight w:val="none"/>
              </w:rPr>
              <w:t xml:space="preserve"> </w:t>
            </w:r>
            <w:r>
              <w:rPr>
                <w:color w:val="auto"/>
                <w:sz w:val="22"/>
                <w:szCs w:val="22"/>
                <w:highlight w:val="none"/>
              </w:rPr>
              <w:t>审时使用。最终中标人的中标金额等于投标报</w:t>
            </w:r>
            <w:r>
              <w:rPr>
                <w:color w:val="auto"/>
                <w:spacing w:val="-1"/>
                <w:sz w:val="22"/>
                <w:szCs w:val="22"/>
                <w:highlight w:val="none"/>
              </w:rPr>
              <w:t>价。</w:t>
            </w:r>
          </w:p>
          <w:p w14:paraId="01ED6775">
            <w:pPr>
              <w:pStyle w:val="37"/>
              <w:spacing w:before="210" w:line="302" w:lineRule="auto"/>
              <w:ind w:left="104" w:right="7" w:firstLine="510"/>
              <w:rPr>
                <w:color w:val="auto"/>
                <w:sz w:val="22"/>
                <w:szCs w:val="22"/>
                <w:highlight w:val="none"/>
              </w:rPr>
            </w:pPr>
            <w:r>
              <w:rPr>
                <w:color w:val="auto"/>
                <w:spacing w:val="-6"/>
                <w:sz w:val="22"/>
                <w:szCs w:val="22"/>
                <w:highlight w:val="none"/>
              </w:rPr>
              <w:t>(3)满足招标文件要求且评标报价最低的评标报价为评标</w:t>
            </w:r>
            <w:r>
              <w:rPr>
                <w:color w:val="auto"/>
                <w:spacing w:val="13"/>
                <w:sz w:val="22"/>
                <w:szCs w:val="22"/>
                <w:highlight w:val="none"/>
              </w:rPr>
              <w:t xml:space="preserve"> </w:t>
            </w:r>
            <w:r>
              <w:rPr>
                <w:color w:val="auto"/>
                <w:sz w:val="22"/>
                <w:szCs w:val="22"/>
                <w:highlight w:val="none"/>
              </w:rPr>
              <w:t>基准价，基准价得分为50分。</w:t>
            </w:r>
          </w:p>
          <w:p w14:paraId="5E4E1B0D">
            <w:pPr>
              <w:pStyle w:val="37"/>
              <w:spacing w:before="220" w:line="218" w:lineRule="auto"/>
              <w:ind w:left="614"/>
              <w:rPr>
                <w:color w:val="auto"/>
                <w:sz w:val="22"/>
                <w:szCs w:val="22"/>
                <w:highlight w:val="none"/>
              </w:rPr>
            </w:pPr>
            <w:r>
              <w:rPr>
                <w:color w:val="auto"/>
                <w:spacing w:val="-1"/>
                <w:sz w:val="22"/>
                <w:szCs w:val="22"/>
                <w:highlight w:val="none"/>
              </w:rPr>
              <w:t>(4)价格分计算公式：</w:t>
            </w:r>
          </w:p>
          <w:p w14:paraId="2AF0836F">
            <w:pPr>
              <w:pStyle w:val="37"/>
              <w:spacing w:before="200" w:line="218" w:lineRule="auto"/>
              <w:ind w:left="524"/>
              <w:rPr>
                <w:color w:val="auto"/>
                <w:sz w:val="22"/>
                <w:szCs w:val="22"/>
                <w:highlight w:val="none"/>
              </w:rPr>
            </w:pPr>
            <w:r>
              <w:rPr>
                <w:color w:val="auto"/>
                <w:spacing w:val="-1"/>
                <w:sz w:val="22"/>
                <w:szCs w:val="22"/>
                <w:highlight w:val="none"/>
              </w:rPr>
              <w:t>价格分=(评标基准价/评标报价)×50分</w:t>
            </w:r>
          </w:p>
        </w:tc>
      </w:tr>
      <w:tr w14:paraId="1D42F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9" w:hRule="atLeast"/>
        </w:trPr>
        <w:tc>
          <w:tcPr>
            <w:tcW w:w="564" w:type="dxa"/>
            <w:vAlign w:val="top"/>
          </w:tcPr>
          <w:p w14:paraId="02C8C18E">
            <w:pPr>
              <w:wordWrap w:val="0"/>
              <w:spacing w:line="248" w:lineRule="auto"/>
              <w:rPr>
                <w:rFonts w:ascii="Arial"/>
                <w:color w:val="auto"/>
                <w:sz w:val="21"/>
                <w:highlight w:val="none"/>
              </w:rPr>
            </w:pPr>
          </w:p>
          <w:p w14:paraId="210A1931">
            <w:pPr>
              <w:wordWrap w:val="0"/>
              <w:spacing w:line="248" w:lineRule="auto"/>
              <w:rPr>
                <w:rFonts w:ascii="Arial"/>
                <w:color w:val="auto"/>
                <w:sz w:val="21"/>
                <w:highlight w:val="none"/>
              </w:rPr>
            </w:pPr>
          </w:p>
          <w:p w14:paraId="23F30BBE">
            <w:pPr>
              <w:wordWrap w:val="0"/>
              <w:spacing w:line="248" w:lineRule="auto"/>
              <w:rPr>
                <w:rFonts w:ascii="Arial"/>
                <w:color w:val="auto"/>
                <w:sz w:val="21"/>
                <w:highlight w:val="none"/>
              </w:rPr>
            </w:pPr>
          </w:p>
          <w:p w14:paraId="3D0A48F3">
            <w:pPr>
              <w:wordWrap w:val="0"/>
              <w:spacing w:line="248" w:lineRule="auto"/>
              <w:rPr>
                <w:rFonts w:ascii="Arial"/>
                <w:color w:val="auto"/>
                <w:sz w:val="21"/>
                <w:highlight w:val="none"/>
              </w:rPr>
            </w:pPr>
          </w:p>
          <w:p w14:paraId="50189093">
            <w:pPr>
              <w:wordWrap w:val="0"/>
              <w:spacing w:line="249" w:lineRule="auto"/>
              <w:rPr>
                <w:rFonts w:ascii="Arial"/>
                <w:color w:val="auto"/>
                <w:sz w:val="21"/>
                <w:highlight w:val="none"/>
              </w:rPr>
            </w:pPr>
          </w:p>
          <w:p w14:paraId="5AA1C19C">
            <w:pPr>
              <w:wordWrap w:val="0"/>
              <w:spacing w:line="249" w:lineRule="auto"/>
              <w:rPr>
                <w:rFonts w:ascii="Arial"/>
                <w:color w:val="auto"/>
                <w:sz w:val="21"/>
                <w:highlight w:val="none"/>
              </w:rPr>
            </w:pPr>
          </w:p>
          <w:p w14:paraId="0429AD18">
            <w:pPr>
              <w:wordWrap w:val="0"/>
              <w:spacing w:line="249" w:lineRule="auto"/>
              <w:rPr>
                <w:rFonts w:ascii="Arial"/>
                <w:color w:val="auto"/>
                <w:sz w:val="21"/>
                <w:highlight w:val="none"/>
              </w:rPr>
            </w:pPr>
          </w:p>
          <w:p w14:paraId="2D6ABA96">
            <w:pPr>
              <w:wordWrap w:val="0"/>
              <w:spacing w:line="249" w:lineRule="auto"/>
              <w:rPr>
                <w:rFonts w:ascii="Arial"/>
                <w:color w:val="auto"/>
                <w:sz w:val="21"/>
                <w:highlight w:val="none"/>
              </w:rPr>
            </w:pPr>
          </w:p>
          <w:p w14:paraId="4EF1E49A">
            <w:pPr>
              <w:wordWrap w:val="0"/>
              <w:spacing w:line="249" w:lineRule="auto"/>
              <w:rPr>
                <w:rFonts w:ascii="Arial"/>
                <w:color w:val="auto"/>
                <w:sz w:val="21"/>
                <w:highlight w:val="none"/>
              </w:rPr>
            </w:pPr>
          </w:p>
          <w:p w14:paraId="33368B20">
            <w:pPr>
              <w:wordWrap w:val="0"/>
              <w:spacing w:line="249" w:lineRule="auto"/>
              <w:rPr>
                <w:rFonts w:ascii="Arial"/>
                <w:color w:val="auto"/>
                <w:sz w:val="21"/>
                <w:highlight w:val="none"/>
              </w:rPr>
            </w:pPr>
          </w:p>
          <w:p w14:paraId="566C6D0F">
            <w:pPr>
              <w:wordWrap w:val="0"/>
              <w:spacing w:line="249" w:lineRule="auto"/>
              <w:rPr>
                <w:rFonts w:ascii="Arial"/>
                <w:color w:val="auto"/>
                <w:sz w:val="21"/>
                <w:highlight w:val="none"/>
              </w:rPr>
            </w:pPr>
          </w:p>
          <w:p w14:paraId="42F2B492">
            <w:pPr>
              <w:wordWrap w:val="0"/>
              <w:spacing w:line="249" w:lineRule="auto"/>
              <w:rPr>
                <w:rFonts w:ascii="Arial"/>
                <w:color w:val="auto"/>
                <w:sz w:val="21"/>
                <w:highlight w:val="none"/>
              </w:rPr>
            </w:pPr>
          </w:p>
          <w:p w14:paraId="250B238F">
            <w:pPr>
              <w:wordWrap w:val="0"/>
              <w:spacing w:line="249" w:lineRule="auto"/>
              <w:rPr>
                <w:rFonts w:ascii="Arial"/>
                <w:color w:val="auto"/>
                <w:sz w:val="21"/>
                <w:highlight w:val="none"/>
              </w:rPr>
            </w:pPr>
          </w:p>
          <w:p w14:paraId="2AE8016B">
            <w:pPr>
              <w:wordWrap w:val="0"/>
              <w:spacing w:line="249" w:lineRule="auto"/>
              <w:rPr>
                <w:rFonts w:ascii="Arial"/>
                <w:color w:val="auto"/>
                <w:sz w:val="21"/>
                <w:highlight w:val="none"/>
              </w:rPr>
            </w:pPr>
          </w:p>
          <w:p w14:paraId="3156B02B">
            <w:pPr>
              <w:wordWrap w:val="0"/>
              <w:spacing w:line="249" w:lineRule="auto"/>
              <w:rPr>
                <w:rFonts w:ascii="Arial"/>
                <w:color w:val="auto"/>
                <w:sz w:val="21"/>
                <w:highlight w:val="none"/>
              </w:rPr>
            </w:pPr>
          </w:p>
          <w:p w14:paraId="30AFDBC2">
            <w:pPr>
              <w:pStyle w:val="37"/>
              <w:wordWrap w:val="0"/>
              <w:spacing w:before="71" w:line="241" w:lineRule="auto"/>
              <w:ind w:left="215"/>
              <w:rPr>
                <w:color w:val="auto"/>
                <w:sz w:val="22"/>
                <w:szCs w:val="22"/>
                <w:highlight w:val="none"/>
              </w:rPr>
            </w:pPr>
            <w:r>
              <w:rPr>
                <w:color w:val="auto"/>
                <w:sz w:val="22"/>
                <w:szCs w:val="22"/>
                <w:highlight w:val="none"/>
              </w:rPr>
              <w:t>2</w:t>
            </w:r>
          </w:p>
        </w:tc>
        <w:tc>
          <w:tcPr>
            <w:tcW w:w="1588" w:type="dxa"/>
            <w:vAlign w:val="top"/>
          </w:tcPr>
          <w:p w14:paraId="677634BB">
            <w:pPr>
              <w:wordWrap w:val="0"/>
              <w:spacing w:line="254" w:lineRule="auto"/>
              <w:rPr>
                <w:rFonts w:ascii="Arial"/>
                <w:color w:val="auto"/>
                <w:sz w:val="21"/>
                <w:highlight w:val="none"/>
              </w:rPr>
            </w:pPr>
          </w:p>
          <w:p w14:paraId="60F6F17C">
            <w:pPr>
              <w:wordWrap w:val="0"/>
              <w:spacing w:line="254" w:lineRule="auto"/>
              <w:rPr>
                <w:rFonts w:ascii="Arial"/>
                <w:color w:val="auto"/>
                <w:sz w:val="21"/>
                <w:highlight w:val="none"/>
              </w:rPr>
            </w:pPr>
          </w:p>
          <w:p w14:paraId="0544346C">
            <w:pPr>
              <w:wordWrap w:val="0"/>
              <w:spacing w:line="254" w:lineRule="auto"/>
              <w:rPr>
                <w:rFonts w:ascii="Arial"/>
                <w:color w:val="auto"/>
                <w:sz w:val="21"/>
                <w:highlight w:val="none"/>
              </w:rPr>
            </w:pPr>
          </w:p>
          <w:p w14:paraId="7DE041D0">
            <w:pPr>
              <w:wordWrap w:val="0"/>
              <w:spacing w:line="255" w:lineRule="auto"/>
              <w:rPr>
                <w:rFonts w:ascii="Arial"/>
                <w:color w:val="auto"/>
                <w:sz w:val="21"/>
                <w:highlight w:val="none"/>
              </w:rPr>
            </w:pPr>
          </w:p>
          <w:p w14:paraId="3B6BCA65">
            <w:pPr>
              <w:wordWrap w:val="0"/>
              <w:spacing w:line="255" w:lineRule="auto"/>
              <w:rPr>
                <w:rFonts w:ascii="Arial"/>
                <w:color w:val="auto"/>
                <w:sz w:val="21"/>
                <w:highlight w:val="none"/>
              </w:rPr>
            </w:pPr>
          </w:p>
          <w:p w14:paraId="089B5636">
            <w:pPr>
              <w:wordWrap w:val="0"/>
              <w:spacing w:line="255" w:lineRule="auto"/>
              <w:rPr>
                <w:rFonts w:ascii="Arial"/>
                <w:color w:val="auto"/>
                <w:sz w:val="21"/>
                <w:highlight w:val="none"/>
              </w:rPr>
            </w:pPr>
          </w:p>
          <w:p w14:paraId="24249ABC">
            <w:pPr>
              <w:wordWrap w:val="0"/>
              <w:spacing w:line="255" w:lineRule="auto"/>
              <w:rPr>
                <w:rFonts w:ascii="Arial"/>
                <w:color w:val="auto"/>
                <w:sz w:val="21"/>
                <w:highlight w:val="none"/>
              </w:rPr>
            </w:pPr>
          </w:p>
          <w:p w14:paraId="2036B83D">
            <w:pPr>
              <w:wordWrap w:val="0"/>
              <w:spacing w:line="255" w:lineRule="auto"/>
              <w:rPr>
                <w:rFonts w:ascii="Arial"/>
                <w:color w:val="auto"/>
                <w:sz w:val="21"/>
                <w:highlight w:val="none"/>
              </w:rPr>
            </w:pPr>
          </w:p>
          <w:p w14:paraId="60B57263">
            <w:pPr>
              <w:wordWrap w:val="0"/>
              <w:spacing w:line="255" w:lineRule="auto"/>
              <w:rPr>
                <w:rFonts w:ascii="Arial"/>
                <w:color w:val="auto"/>
                <w:sz w:val="21"/>
                <w:highlight w:val="none"/>
              </w:rPr>
            </w:pPr>
          </w:p>
          <w:p w14:paraId="6EF0846A">
            <w:pPr>
              <w:wordWrap w:val="0"/>
              <w:spacing w:line="255" w:lineRule="auto"/>
              <w:rPr>
                <w:rFonts w:ascii="Arial"/>
                <w:color w:val="auto"/>
                <w:sz w:val="21"/>
                <w:highlight w:val="none"/>
              </w:rPr>
            </w:pPr>
          </w:p>
          <w:p w14:paraId="2AA13B66">
            <w:pPr>
              <w:wordWrap w:val="0"/>
              <w:spacing w:line="255" w:lineRule="auto"/>
              <w:rPr>
                <w:rFonts w:ascii="Arial"/>
                <w:color w:val="auto"/>
                <w:sz w:val="21"/>
                <w:highlight w:val="none"/>
              </w:rPr>
            </w:pPr>
          </w:p>
          <w:p w14:paraId="277139EC">
            <w:pPr>
              <w:wordWrap w:val="0"/>
              <w:spacing w:line="255" w:lineRule="auto"/>
              <w:rPr>
                <w:rFonts w:ascii="Arial"/>
                <w:color w:val="auto"/>
                <w:sz w:val="21"/>
                <w:highlight w:val="none"/>
              </w:rPr>
            </w:pPr>
          </w:p>
          <w:p w14:paraId="2BFDD21C">
            <w:pPr>
              <w:wordWrap w:val="0"/>
              <w:spacing w:line="255" w:lineRule="auto"/>
              <w:rPr>
                <w:rFonts w:ascii="Arial"/>
                <w:color w:val="auto"/>
                <w:sz w:val="21"/>
                <w:highlight w:val="none"/>
              </w:rPr>
            </w:pPr>
          </w:p>
          <w:p w14:paraId="1637639C">
            <w:pPr>
              <w:wordWrap w:val="0"/>
              <w:spacing w:line="255" w:lineRule="auto"/>
              <w:rPr>
                <w:rFonts w:ascii="Arial"/>
                <w:color w:val="auto"/>
                <w:sz w:val="21"/>
                <w:highlight w:val="none"/>
              </w:rPr>
            </w:pPr>
          </w:p>
          <w:p w14:paraId="38040039">
            <w:pPr>
              <w:pStyle w:val="37"/>
              <w:wordWrap w:val="0"/>
              <w:spacing w:before="71" w:line="219" w:lineRule="auto"/>
              <w:ind w:left="454"/>
              <w:rPr>
                <w:color w:val="auto"/>
                <w:sz w:val="22"/>
                <w:szCs w:val="22"/>
                <w:highlight w:val="none"/>
              </w:rPr>
            </w:pPr>
            <w:r>
              <w:rPr>
                <w:b/>
                <w:bCs/>
                <w:color w:val="auto"/>
                <w:spacing w:val="-5"/>
                <w:sz w:val="22"/>
                <w:szCs w:val="22"/>
                <w:highlight w:val="none"/>
              </w:rPr>
              <w:t>技术分</w:t>
            </w:r>
          </w:p>
          <w:p w14:paraId="697582AF">
            <w:pPr>
              <w:pStyle w:val="37"/>
              <w:wordWrap w:val="0"/>
              <w:spacing w:before="112" w:line="219" w:lineRule="auto"/>
              <w:ind w:left="231"/>
              <w:rPr>
                <w:color w:val="auto"/>
                <w:sz w:val="22"/>
                <w:szCs w:val="22"/>
                <w:highlight w:val="none"/>
              </w:rPr>
            </w:pPr>
            <w:r>
              <w:rPr>
                <w:color w:val="auto"/>
                <w:spacing w:val="-2"/>
                <w:sz w:val="22"/>
                <w:szCs w:val="22"/>
                <w:highlight w:val="none"/>
                <w:u w:val="single" w:color="auto"/>
              </w:rPr>
              <w:t>(满分1</w:t>
            </w:r>
            <w:r>
              <w:rPr>
                <w:rFonts w:hint="eastAsia"/>
                <w:color w:val="auto"/>
                <w:spacing w:val="-2"/>
                <w:sz w:val="22"/>
                <w:szCs w:val="22"/>
                <w:highlight w:val="none"/>
                <w:u w:val="single" w:color="auto"/>
                <w:lang w:val="en-US" w:eastAsia="zh-CN"/>
              </w:rPr>
              <w:t>6</w:t>
            </w:r>
            <w:r>
              <w:rPr>
                <w:color w:val="auto"/>
                <w:spacing w:val="-2"/>
                <w:sz w:val="22"/>
                <w:szCs w:val="22"/>
                <w:highlight w:val="none"/>
              </w:rPr>
              <w:t>分</w:t>
            </w:r>
            <w:r>
              <w:rPr>
                <w:color w:val="auto"/>
                <w:spacing w:val="-40"/>
                <w:sz w:val="22"/>
                <w:szCs w:val="22"/>
                <w:highlight w:val="none"/>
              </w:rPr>
              <w:t xml:space="preserve"> </w:t>
            </w:r>
            <w:r>
              <w:rPr>
                <w:color w:val="auto"/>
                <w:spacing w:val="-2"/>
                <w:sz w:val="22"/>
                <w:szCs w:val="22"/>
                <w:highlight w:val="none"/>
              </w:rPr>
              <w:t>)</w:t>
            </w:r>
          </w:p>
        </w:tc>
        <w:tc>
          <w:tcPr>
            <w:tcW w:w="1459" w:type="dxa"/>
            <w:gridSpan w:val="2"/>
            <w:vAlign w:val="top"/>
          </w:tcPr>
          <w:p w14:paraId="66ABD2A3">
            <w:pPr>
              <w:wordWrap w:val="0"/>
              <w:spacing w:line="244" w:lineRule="auto"/>
              <w:rPr>
                <w:rFonts w:ascii="Arial"/>
                <w:color w:val="auto"/>
                <w:sz w:val="21"/>
                <w:highlight w:val="none"/>
              </w:rPr>
            </w:pPr>
          </w:p>
          <w:p w14:paraId="53503EF2">
            <w:pPr>
              <w:wordWrap w:val="0"/>
              <w:spacing w:line="244" w:lineRule="auto"/>
              <w:rPr>
                <w:rFonts w:ascii="Arial"/>
                <w:color w:val="auto"/>
                <w:sz w:val="21"/>
                <w:highlight w:val="none"/>
              </w:rPr>
            </w:pPr>
          </w:p>
          <w:p w14:paraId="33ED2B67">
            <w:pPr>
              <w:wordWrap w:val="0"/>
              <w:spacing w:line="244" w:lineRule="auto"/>
              <w:rPr>
                <w:rFonts w:ascii="Arial"/>
                <w:color w:val="auto"/>
                <w:sz w:val="21"/>
                <w:highlight w:val="none"/>
              </w:rPr>
            </w:pPr>
          </w:p>
          <w:p w14:paraId="6D773ACB">
            <w:pPr>
              <w:wordWrap w:val="0"/>
              <w:spacing w:line="244" w:lineRule="auto"/>
              <w:rPr>
                <w:rFonts w:ascii="Arial"/>
                <w:color w:val="auto"/>
                <w:sz w:val="21"/>
                <w:highlight w:val="none"/>
              </w:rPr>
            </w:pPr>
          </w:p>
          <w:p w14:paraId="4C3BCD65">
            <w:pPr>
              <w:wordWrap w:val="0"/>
              <w:spacing w:line="244" w:lineRule="auto"/>
              <w:rPr>
                <w:rFonts w:ascii="Arial"/>
                <w:color w:val="auto"/>
                <w:sz w:val="21"/>
                <w:highlight w:val="none"/>
              </w:rPr>
            </w:pPr>
          </w:p>
          <w:p w14:paraId="7B665AB1">
            <w:pPr>
              <w:wordWrap w:val="0"/>
              <w:spacing w:line="244" w:lineRule="auto"/>
              <w:rPr>
                <w:rFonts w:ascii="Arial"/>
                <w:color w:val="auto"/>
                <w:sz w:val="21"/>
                <w:highlight w:val="none"/>
              </w:rPr>
            </w:pPr>
          </w:p>
          <w:p w14:paraId="110DFA6E">
            <w:pPr>
              <w:wordWrap w:val="0"/>
              <w:spacing w:line="244" w:lineRule="auto"/>
              <w:rPr>
                <w:rFonts w:ascii="Arial"/>
                <w:color w:val="auto"/>
                <w:sz w:val="21"/>
                <w:highlight w:val="none"/>
              </w:rPr>
            </w:pPr>
          </w:p>
          <w:p w14:paraId="0E2C9859">
            <w:pPr>
              <w:wordWrap w:val="0"/>
              <w:spacing w:line="244" w:lineRule="auto"/>
              <w:rPr>
                <w:rFonts w:ascii="Arial"/>
                <w:color w:val="auto"/>
                <w:sz w:val="21"/>
                <w:highlight w:val="none"/>
              </w:rPr>
            </w:pPr>
          </w:p>
          <w:p w14:paraId="2800FC97">
            <w:pPr>
              <w:wordWrap w:val="0"/>
              <w:spacing w:line="244" w:lineRule="auto"/>
              <w:rPr>
                <w:rFonts w:ascii="Arial"/>
                <w:color w:val="auto"/>
                <w:sz w:val="21"/>
                <w:highlight w:val="none"/>
              </w:rPr>
            </w:pPr>
          </w:p>
          <w:p w14:paraId="26D4B53C">
            <w:pPr>
              <w:wordWrap w:val="0"/>
              <w:spacing w:line="244" w:lineRule="auto"/>
              <w:rPr>
                <w:rFonts w:ascii="Arial"/>
                <w:color w:val="auto"/>
                <w:sz w:val="21"/>
                <w:highlight w:val="none"/>
              </w:rPr>
            </w:pPr>
          </w:p>
          <w:p w14:paraId="01BAFD22">
            <w:pPr>
              <w:wordWrap w:val="0"/>
              <w:spacing w:line="244" w:lineRule="auto"/>
              <w:rPr>
                <w:rFonts w:ascii="Arial"/>
                <w:color w:val="auto"/>
                <w:sz w:val="21"/>
                <w:highlight w:val="none"/>
              </w:rPr>
            </w:pPr>
          </w:p>
          <w:p w14:paraId="104C16D7">
            <w:pPr>
              <w:wordWrap w:val="0"/>
              <w:spacing w:line="244" w:lineRule="auto"/>
              <w:rPr>
                <w:rFonts w:ascii="Arial"/>
                <w:color w:val="auto"/>
                <w:sz w:val="21"/>
                <w:highlight w:val="none"/>
              </w:rPr>
            </w:pPr>
          </w:p>
          <w:p w14:paraId="2324F7F6">
            <w:pPr>
              <w:wordWrap w:val="0"/>
              <w:spacing w:line="245" w:lineRule="auto"/>
              <w:rPr>
                <w:rFonts w:ascii="Arial"/>
                <w:color w:val="auto"/>
                <w:sz w:val="21"/>
                <w:highlight w:val="none"/>
              </w:rPr>
            </w:pPr>
          </w:p>
          <w:p w14:paraId="48E2FEA9">
            <w:pPr>
              <w:wordWrap w:val="0"/>
              <w:spacing w:line="245" w:lineRule="auto"/>
              <w:rPr>
                <w:rFonts w:ascii="Arial"/>
                <w:color w:val="auto"/>
                <w:sz w:val="21"/>
                <w:highlight w:val="none"/>
              </w:rPr>
            </w:pPr>
          </w:p>
          <w:p w14:paraId="1A972CAF">
            <w:pPr>
              <w:pStyle w:val="37"/>
              <w:wordWrap w:val="0"/>
              <w:spacing w:before="72" w:line="219" w:lineRule="auto"/>
              <w:ind w:left="176"/>
              <w:rPr>
                <w:color w:val="auto"/>
                <w:sz w:val="22"/>
                <w:szCs w:val="22"/>
                <w:highlight w:val="none"/>
              </w:rPr>
            </w:pPr>
            <w:r>
              <w:rPr>
                <w:b/>
                <w:bCs/>
                <w:color w:val="auto"/>
                <w:spacing w:val="-4"/>
                <w:sz w:val="22"/>
                <w:szCs w:val="22"/>
                <w:highlight w:val="none"/>
              </w:rPr>
              <w:t>配送服务及</w:t>
            </w:r>
          </w:p>
          <w:p w14:paraId="6F765E77">
            <w:pPr>
              <w:pStyle w:val="37"/>
              <w:wordWrap w:val="0"/>
              <w:spacing w:before="98" w:line="219" w:lineRule="auto"/>
              <w:ind w:left="116"/>
              <w:rPr>
                <w:color w:val="auto"/>
                <w:sz w:val="22"/>
                <w:szCs w:val="22"/>
                <w:highlight w:val="none"/>
              </w:rPr>
            </w:pPr>
            <w:r>
              <w:rPr>
                <w:b/>
                <w:bCs/>
                <w:color w:val="auto"/>
                <w:spacing w:val="-4"/>
                <w:sz w:val="22"/>
                <w:szCs w:val="22"/>
                <w:highlight w:val="none"/>
              </w:rPr>
              <w:t>应急方案(满</w:t>
            </w:r>
          </w:p>
          <w:p w14:paraId="75563AE2">
            <w:pPr>
              <w:pStyle w:val="37"/>
              <w:wordWrap w:val="0"/>
              <w:spacing w:before="99" w:line="220" w:lineRule="auto"/>
              <w:ind w:left="396"/>
              <w:rPr>
                <w:color w:val="auto"/>
                <w:sz w:val="22"/>
                <w:szCs w:val="22"/>
                <w:highlight w:val="none"/>
              </w:rPr>
            </w:pPr>
            <w:r>
              <w:rPr>
                <w:b/>
                <w:bCs/>
                <w:color w:val="auto"/>
                <w:spacing w:val="8"/>
                <w:sz w:val="22"/>
                <w:szCs w:val="22"/>
                <w:highlight w:val="none"/>
              </w:rPr>
              <w:t>分5分)</w:t>
            </w:r>
          </w:p>
        </w:tc>
        <w:tc>
          <w:tcPr>
            <w:tcW w:w="5880" w:type="dxa"/>
            <w:gridSpan w:val="2"/>
            <w:vAlign w:val="top"/>
          </w:tcPr>
          <w:p w14:paraId="516A34D1">
            <w:pPr>
              <w:pStyle w:val="37"/>
              <w:wordWrap w:val="0"/>
              <w:spacing w:before="53" w:line="270" w:lineRule="auto"/>
              <w:ind w:left="103" w:right="4" w:hanging="9"/>
              <w:rPr>
                <w:color w:val="auto"/>
                <w:sz w:val="22"/>
                <w:szCs w:val="22"/>
                <w:highlight w:val="none"/>
              </w:rPr>
            </w:pPr>
            <w:r>
              <w:rPr>
                <w:color w:val="auto"/>
                <w:spacing w:val="-6"/>
                <w:sz w:val="22"/>
                <w:szCs w:val="22"/>
                <w:highlight w:val="none"/>
              </w:rPr>
              <w:t>由评标委员会各成员根据投标人提供的配送</w:t>
            </w:r>
            <w:r>
              <w:rPr>
                <w:color w:val="auto"/>
                <w:spacing w:val="-7"/>
                <w:sz w:val="22"/>
                <w:szCs w:val="22"/>
                <w:highlight w:val="none"/>
              </w:rPr>
              <w:t>服务及应急方案独</w:t>
            </w:r>
            <w:r>
              <w:rPr>
                <w:color w:val="auto"/>
                <w:sz w:val="22"/>
                <w:szCs w:val="22"/>
                <w:highlight w:val="none"/>
              </w:rPr>
              <w:t xml:space="preserve"> 立评审打分，未提供配送服务及应急方案的不得</w:t>
            </w:r>
            <w:r>
              <w:rPr>
                <w:color w:val="auto"/>
                <w:spacing w:val="-1"/>
                <w:sz w:val="22"/>
                <w:szCs w:val="22"/>
                <w:highlight w:val="none"/>
              </w:rPr>
              <w:t>分。</w:t>
            </w:r>
          </w:p>
          <w:p w14:paraId="349B76AB">
            <w:pPr>
              <w:pStyle w:val="37"/>
              <w:wordWrap w:val="0"/>
              <w:spacing w:before="55" w:line="219" w:lineRule="auto"/>
              <w:ind w:left="524"/>
              <w:rPr>
                <w:color w:val="auto"/>
                <w:spacing w:val="-1"/>
                <w:sz w:val="22"/>
                <w:szCs w:val="22"/>
                <w:highlight w:val="none"/>
              </w:rPr>
            </w:pPr>
            <w:r>
              <w:rPr>
                <w:color w:val="auto"/>
                <w:spacing w:val="-1"/>
                <w:sz w:val="22"/>
                <w:szCs w:val="22"/>
                <w:highlight w:val="none"/>
              </w:rPr>
              <w:t>一档(1分):项目配送服务及应急方案描述简单，</w:t>
            </w:r>
            <w:r>
              <w:rPr>
                <w:rFonts w:hint="eastAsia"/>
                <w:color w:val="auto"/>
                <w:spacing w:val="-1"/>
                <w:sz w:val="22"/>
                <w:szCs w:val="22"/>
                <w:highlight w:val="none"/>
                <w:lang w:val="en-US" w:eastAsia="zh-CN"/>
              </w:rPr>
              <w:t>具备</w:t>
            </w:r>
            <w:r>
              <w:rPr>
                <w:color w:val="auto"/>
                <w:spacing w:val="-1"/>
                <w:sz w:val="22"/>
                <w:szCs w:val="22"/>
                <w:highlight w:val="none"/>
              </w:rPr>
              <w:t>管</w:t>
            </w:r>
          </w:p>
          <w:p w14:paraId="589C790E">
            <w:pPr>
              <w:pStyle w:val="37"/>
              <w:wordWrap w:val="0"/>
              <w:spacing w:before="55" w:line="219" w:lineRule="auto"/>
              <w:ind w:left="0" w:firstLine="0"/>
              <w:rPr>
                <w:color w:val="auto"/>
                <w:sz w:val="22"/>
                <w:szCs w:val="22"/>
                <w:highlight w:val="none"/>
              </w:rPr>
            </w:pPr>
            <w:r>
              <w:rPr>
                <w:color w:val="auto"/>
                <w:spacing w:val="-1"/>
                <w:sz w:val="22"/>
                <w:szCs w:val="22"/>
                <w:highlight w:val="none"/>
              </w:rPr>
              <w:t>理</w:t>
            </w:r>
            <w:r>
              <w:rPr>
                <w:color w:val="auto"/>
                <w:spacing w:val="-14"/>
                <w:sz w:val="22"/>
                <w:szCs w:val="22"/>
                <w:highlight w:val="none"/>
              </w:rPr>
              <w:t>制度、配送服务方案，</w:t>
            </w:r>
            <w:r>
              <w:rPr>
                <w:color w:val="auto"/>
                <w:spacing w:val="-6"/>
                <w:sz w:val="22"/>
                <w:szCs w:val="22"/>
                <w:highlight w:val="none"/>
              </w:rPr>
              <w:t>对问题食材发生紧急事件</w:t>
            </w:r>
            <w:r>
              <w:rPr>
                <w:rFonts w:hint="eastAsia"/>
                <w:color w:val="auto"/>
                <w:spacing w:val="-6"/>
                <w:sz w:val="22"/>
                <w:szCs w:val="22"/>
                <w:highlight w:val="none"/>
                <w:lang w:val="en-US" w:eastAsia="zh-CN"/>
              </w:rPr>
              <w:t>有</w:t>
            </w:r>
            <w:r>
              <w:rPr>
                <w:color w:val="auto"/>
                <w:spacing w:val="-6"/>
                <w:sz w:val="22"/>
                <w:szCs w:val="22"/>
                <w:highlight w:val="none"/>
              </w:rPr>
              <w:t>处理预案；</w:t>
            </w:r>
          </w:p>
          <w:p w14:paraId="3ECA6BCB">
            <w:pPr>
              <w:pStyle w:val="37"/>
              <w:wordWrap w:val="0"/>
              <w:spacing w:before="45" w:line="219" w:lineRule="auto"/>
              <w:ind w:left="524"/>
              <w:rPr>
                <w:color w:val="auto"/>
                <w:sz w:val="22"/>
                <w:szCs w:val="22"/>
                <w:highlight w:val="none"/>
              </w:rPr>
            </w:pPr>
            <w:r>
              <w:rPr>
                <w:color w:val="auto"/>
                <w:sz w:val="22"/>
                <w:szCs w:val="22"/>
                <w:highlight w:val="none"/>
              </w:rPr>
              <w:t>二档(2分):项目配送服务及应急方案能结合本项目实</w:t>
            </w:r>
          </w:p>
          <w:p w14:paraId="5F949A5B">
            <w:pPr>
              <w:pStyle w:val="37"/>
              <w:wordWrap w:val="0"/>
              <w:spacing w:before="127" w:line="334" w:lineRule="auto"/>
              <w:ind w:left="94" w:right="5" w:firstLine="9"/>
              <w:rPr>
                <w:color w:val="auto"/>
                <w:sz w:val="22"/>
                <w:szCs w:val="22"/>
                <w:highlight w:val="none"/>
              </w:rPr>
            </w:pPr>
            <w:r>
              <w:rPr>
                <w:color w:val="auto"/>
                <w:spacing w:val="-7"/>
                <w:sz w:val="22"/>
                <w:szCs w:val="22"/>
                <w:highlight w:val="none"/>
              </w:rPr>
              <w:t>施需求描述，项目配送供货时间</w:t>
            </w:r>
            <w:r>
              <w:rPr>
                <w:rFonts w:hint="eastAsia"/>
                <w:color w:val="auto"/>
                <w:spacing w:val="-7"/>
                <w:sz w:val="22"/>
                <w:szCs w:val="22"/>
                <w:highlight w:val="none"/>
                <w:lang w:val="en-US" w:eastAsia="zh-CN"/>
              </w:rPr>
              <w:t>满足招标要求</w:t>
            </w:r>
            <w:r>
              <w:rPr>
                <w:color w:val="auto"/>
                <w:spacing w:val="-7"/>
                <w:sz w:val="22"/>
                <w:szCs w:val="22"/>
                <w:highlight w:val="none"/>
              </w:rPr>
              <w:t>，</w:t>
            </w:r>
            <w:r>
              <w:rPr>
                <w:rFonts w:hint="eastAsia"/>
                <w:color w:val="auto"/>
                <w:spacing w:val="-7"/>
                <w:sz w:val="22"/>
                <w:szCs w:val="22"/>
                <w:highlight w:val="none"/>
                <w:lang w:val="en-US" w:eastAsia="zh-CN"/>
              </w:rPr>
              <w:t>具备</w:t>
            </w:r>
            <w:r>
              <w:rPr>
                <w:color w:val="auto"/>
                <w:spacing w:val="-7"/>
                <w:sz w:val="22"/>
                <w:szCs w:val="22"/>
                <w:highlight w:val="none"/>
              </w:rPr>
              <w:t>管理制度、配送服务方案、描述较简单，</w:t>
            </w:r>
            <w:r>
              <w:rPr>
                <w:rFonts w:hint="eastAsia"/>
                <w:color w:val="auto"/>
                <w:spacing w:val="-10"/>
                <w:sz w:val="22"/>
                <w:szCs w:val="22"/>
                <w:highlight w:val="none"/>
                <w:lang w:eastAsia="zh-CN"/>
              </w:rPr>
              <w:t>有</w:t>
            </w:r>
            <w:r>
              <w:rPr>
                <w:color w:val="auto"/>
                <w:spacing w:val="-10"/>
                <w:sz w:val="22"/>
                <w:szCs w:val="22"/>
                <w:highlight w:val="none"/>
              </w:rPr>
              <w:t>人员</w:t>
            </w:r>
            <w:r>
              <w:rPr>
                <w:color w:val="auto"/>
                <w:spacing w:val="-11"/>
                <w:sz w:val="22"/>
                <w:szCs w:val="22"/>
                <w:highlight w:val="none"/>
              </w:rPr>
              <w:t>配备方案</w:t>
            </w:r>
            <w:r>
              <w:rPr>
                <w:rFonts w:hint="eastAsia"/>
                <w:color w:val="auto"/>
                <w:spacing w:val="-11"/>
                <w:sz w:val="22"/>
                <w:szCs w:val="22"/>
                <w:highlight w:val="none"/>
                <w:lang w:eastAsia="zh-CN"/>
              </w:rPr>
              <w:t>（配备</w:t>
            </w:r>
            <w:r>
              <w:rPr>
                <w:rFonts w:hint="eastAsia"/>
                <w:color w:val="auto"/>
                <w:spacing w:val="-11"/>
                <w:sz w:val="22"/>
                <w:szCs w:val="22"/>
                <w:highlight w:val="none"/>
                <w:lang w:val="en-US" w:eastAsia="zh-CN"/>
              </w:rPr>
              <w:t>4名以上人员</w:t>
            </w:r>
            <w:r>
              <w:rPr>
                <w:rFonts w:hint="eastAsia"/>
                <w:color w:val="auto"/>
                <w:spacing w:val="-11"/>
                <w:sz w:val="22"/>
                <w:szCs w:val="22"/>
                <w:highlight w:val="none"/>
                <w:lang w:eastAsia="zh-CN"/>
              </w:rPr>
              <w:t>）</w:t>
            </w:r>
            <w:r>
              <w:rPr>
                <w:rFonts w:hint="eastAsia"/>
                <w:color w:val="auto"/>
                <w:spacing w:val="-11"/>
                <w:sz w:val="22"/>
                <w:szCs w:val="22"/>
                <w:highlight w:val="none"/>
                <w:lang w:eastAsia="zh-CN"/>
              </w:rPr>
              <w:t>，</w:t>
            </w:r>
            <w:r>
              <w:rPr>
                <w:color w:val="auto"/>
                <w:spacing w:val="-7"/>
                <w:sz w:val="22"/>
                <w:szCs w:val="22"/>
                <w:highlight w:val="none"/>
              </w:rPr>
              <w:t>具体实施步骤和要求描述较简单，能保证配送服务，对问题食材发生紧急事件处理预案</w:t>
            </w:r>
            <w:r>
              <w:rPr>
                <w:color w:val="auto"/>
                <w:spacing w:val="24"/>
                <w:sz w:val="22"/>
                <w:szCs w:val="22"/>
                <w:highlight w:val="none"/>
              </w:rPr>
              <w:t>内容简单；</w:t>
            </w:r>
          </w:p>
          <w:p w14:paraId="789C54CF">
            <w:pPr>
              <w:pStyle w:val="37"/>
              <w:wordWrap w:val="0"/>
              <w:spacing w:before="1" w:line="218" w:lineRule="auto"/>
              <w:ind w:left="534"/>
              <w:rPr>
                <w:color w:val="auto"/>
                <w:sz w:val="22"/>
                <w:szCs w:val="22"/>
                <w:highlight w:val="none"/>
              </w:rPr>
            </w:pPr>
            <w:r>
              <w:rPr>
                <w:color w:val="auto"/>
                <w:spacing w:val="-1"/>
                <w:sz w:val="22"/>
                <w:szCs w:val="22"/>
                <w:highlight w:val="none"/>
              </w:rPr>
              <w:t>三档(3分):项目配送服务及应急方案能结合本项目实</w:t>
            </w:r>
          </w:p>
          <w:p w14:paraId="70726EC2">
            <w:pPr>
              <w:pStyle w:val="37"/>
              <w:wordWrap w:val="0"/>
              <w:spacing w:before="140" w:line="337" w:lineRule="auto"/>
              <w:ind w:left="84" w:firstLine="19"/>
              <w:rPr>
                <w:color w:val="auto"/>
                <w:sz w:val="22"/>
                <w:szCs w:val="22"/>
                <w:highlight w:val="none"/>
              </w:rPr>
            </w:pPr>
            <w:r>
              <w:rPr>
                <w:color w:val="auto"/>
                <w:spacing w:val="-7"/>
                <w:sz w:val="22"/>
                <w:szCs w:val="22"/>
                <w:highlight w:val="none"/>
              </w:rPr>
              <w:t>施需求描述，项目配送体系、供货时间安排</w:t>
            </w:r>
            <w:r>
              <w:rPr>
                <w:rFonts w:hint="eastAsia"/>
                <w:color w:val="auto"/>
                <w:spacing w:val="-7"/>
                <w:sz w:val="22"/>
                <w:szCs w:val="22"/>
                <w:highlight w:val="none"/>
                <w:lang w:val="en-US" w:eastAsia="zh-CN"/>
              </w:rPr>
              <w:t>满足招标要求</w:t>
            </w:r>
            <w:r>
              <w:rPr>
                <w:color w:val="auto"/>
                <w:spacing w:val="-7"/>
                <w:sz w:val="22"/>
                <w:szCs w:val="22"/>
                <w:highlight w:val="none"/>
              </w:rPr>
              <w:t>，有结</w:t>
            </w:r>
            <w:r>
              <w:rPr>
                <w:color w:val="auto"/>
                <w:spacing w:val="-8"/>
                <w:sz w:val="22"/>
                <w:szCs w:val="22"/>
                <w:highlight w:val="none"/>
              </w:rPr>
              <w:t>合本</w:t>
            </w:r>
            <w:r>
              <w:rPr>
                <w:color w:val="auto"/>
                <w:spacing w:val="-7"/>
                <w:sz w:val="22"/>
                <w:szCs w:val="22"/>
                <w:highlight w:val="none"/>
              </w:rPr>
              <w:t>项目需求的管理制度、配送服务方案，描述较详细；</w:t>
            </w:r>
            <w:r>
              <w:rPr>
                <w:rFonts w:hint="eastAsia"/>
                <w:color w:val="auto"/>
                <w:spacing w:val="-10"/>
                <w:sz w:val="22"/>
                <w:szCs w:val="22"/>
                <w:highlight w:val="none"/>
                <w:lang w:eastAsia="zh-CN"/>
              </w:rPr>
              <w:t>有</w:t>
            </w:r>
            <w:r>
              <w:rPr>
                <w:color w:val="auto"/>
                <w:spacing w:val="-10"/>
                <w:sz w:val="22"/>
                <w:szCs w:val="22"/>
                <w:highlight w:val="none"/>
              </w:rPr>
              <w:t>人员</w:t>
            </w:r>
            <w:r>
              <w:rPr>
                <w:color w:val="auto"/>
                <w:spacing w:val="-11"/>
                <w:sz w:val="22"/>
                <w:szCs w:val="22"/>
                <w:highlight w:val="none"/>
              </w:rPr>
              <w:t>配备方案</w:t>
            </w:r>
            <w:r>
              <w:rPr>
                <w:rFonts w:hint="eastAsia"/>
                <w:color w:val="auto"/>
                <w:spacing w:val="-11"/>
                <w:sz w:val="22"/>
                <w:szCs w:val="22"/>
                <w:highlight w:val="none"/>
                <w:lang w:eastAsia="zh-CN"/>
              </w:rPr>
              <w:t>（配备</w:t>
            </w:r>
            <w:r>
              <w:rPr>
                <w:rFonts w:hint="eastAsia"/>
                <w:color w:val="auto"/>
                <w:spacing w:val="-11"/>
                <w:sz w:val="22"/>
                <w:szCs w:val="22"/>
                <w:highlight w:val="none"/>
                <w:lang w:val="en-US" w:eastAsia="zh-CN"/>
              </w:rPr>
              <w:t>6名以上人员</w:t>
            </w:r>
            <w:r>
              <w:rPr>
                <w:rFonts w:hint="eastAsia"/>
                <w:color w:val="auto"/>
                <w:spacing w:val="-11"/>
                <w:sz w:val="22"/>
                <w:szCs w:val="22"/>
                <w:highlight w:val="none"/>
                <w:lang w:eastAsia="zh-CN"/>
              </w:rPr>
              <w:t>）</w:t>
            </w:r>
            <w:r>
              <w:rPr>
                <w:rFonts w:hint="eastAsia"/>
                <w:color w:val="auto"/>
                <w:spacing w:val="-11"/>
                <w:sz w:val="22"/>
                <w:szCs w:val="22"/>
                <w:highlight w:val="none"/>
                <w:lang w:eastAsia="zh-CN"/>
              </w:rPr>
              <w:t>；</w:t>
            </w:r>
            <w:r>
              <w:rPr>
                <w:color w:val="auto"/>
                <w:spacing w:val="-7"/>
                <w:sz w:val="22"/>
                <w:szCs w:val="22"/>
                <w:highlight w:val="none"/>
              </w:rPr>
              <w:t>具体实施</w:t>
            </w:r>
            <w:r>
              <w:rPr>
                <w:color w:val="auto"/>
                <w:spacing w:val="-6"/>
                <w:sz w:val="22"/>
                <w:szCs w:val="22"/>
                <w:highlight w:val="none"/>
              </w:rPr>
              <w:t>步骤和要求描述较详细，在保证配送服务业务外有机动人员用</w:t>
            </w:r>
            <w:r>
              <w:rPr>
                <w:color w:val="auto"/>
                <w:spacing w:val="6"/>
                <w:sz w:val="22"/>
                <w:szCs w:val="22"/>
                <w:highlight w:val="none"/>
              </w:rPr>
              <w:t xml:space="preserve"> </w:t>
            </w:r>
            <w:r>
              <w:rPr>
                <w:color w:val="auto"/>
                <w:spacing w:val="-2"/>
                <w:sz w:val="22"/>
                <w:szCs w:val="22"/>
                <w:highlight w:val="none"/>
              </w:rPr>
              <w:t>于对紧急事件处理，对</w:t>
            </w:r>
            <w:r>
              <w:rPr>
                <w:color w:val="auto"/>
                <w:spacing w:val="-2"/>
                <w:sz w:val="22"/>
                <w:szCs w:val="22"/>
                <w:highlight w:val="none"/>
              </w:rPr>
              <w:t>配送及应急处理响应</w:t>
            </w:r>
            <w:r>
              <w:rPr>
                <w:color w:val="auto"/>
                <w:spacing w:val="-3"/>
                <w:sz w:val="22"/>
                <w:szCs w:val="22"/>
                <w:highlight w:val="none"/>
              </w:rPr>
              <w:t>时间在</w:t>
            </w:r>
            <w:r>
              <w:rPr>
                <w:rFonts w:hint="eastAsia"/>
                <w:color w:val="auto"/>
                <w:spacing w:val="-3"/>
                <w:sz w:val="22"/>
                <w:szCs w:val="22"/>
                <w:highlight w:val="none"/>
                <w:lang w:val="en-US" w:eastAsia="zh-CN"/>
              </w:rPr>
              <w:t>2</w:t>
            </w:r>
            <w:r>
              <w:rPr>
                <w:color w:val="auto"/>
                <w:spacing w:val="-3"/>
                <w:sz w:val="22"/>
                <w:szCs w:val="22"/>
                <w:highlight w:val="none"/>
              </w:rPr>
              <w:t>小时</w:t>
            </w:r>
            <w:r>
              <w:rPr>
                <w:rFonts w:hint="eastAsia"/>
                <w:color w:val="auto"/>
                <w:spacing w:val="-3"/>
                <w:sz w:val="22"/>
                <w:szCs w:val="22"/>
                <w:highlight w:val="none"/>
                <w:lang w:val="en-US" w:eastAsia="zh-CN"/>
              </w:rPr>
              <w:t>内</w:t>
            </w:r>
            <w:r>
              <w:rPr>
                <w:color w:val="auto"/>
                <w:spacing w:val="4"/>
                <w:sz w:val="22"/>
                <w:szCs w:val="22"/>
                <w:highlight w:val="none"/>
              </w:rPr>
              <w:t>)的</w:t>
            </w:r>
            <w:r>
              <w:rPr>
                <w:color w:val="auto"/>
                <w:spacing w:val="4"/>
                <w:sz w:val="22"/>
                <w:szCs w:val="22"/>
                <w:highlight w:val="none"/>
              </w:rPr>
              <w:t>，对问题食材发生紧急事件处理预案内容的较</w:t>
            </w:r>
            <w:r>
              <w:rPr>
                <w:color w:val="auto"/>
                <w:sz w:val="22"/>
                <w:szCs w:val="22"/>
                <w:highlight w:val="none"/>
              </w:rPr>
              <w:t xml:space="preserve"> </w:t>
            </w:r>
            <w:r>
              <w:rPr>
                <w:color w:val="auto"/>
                <w:spacing w:val="11"/>
                <w:sz w:val="22"/>
                <w:szCs w:val="22"/>
                <w:highlight w:val="none"/>
              </w:rPr>
              <w:t>具体，有一定针对性的；</w:t>
            </w:r>
          </w:p>
          <w:p w14:paraId="10F4F358">
            <w:pPr>
              <w:pStyle w:val="37"/>
              <w:wordWrap w:val="0"/>
              <w:spacing w:line="218" w:lineRule="auto"/>
              <w:ind w:left="514"/>
              <w:rPr>
                <w:color w:val="auto"/>
                <w:sz w:val="22"/>
                <w:szCs w:val="22"/>
                <w:highlight w:val="none"/>
              </w:rPr>
            </w:pPr>
            <w:r>
              <w:rPr>
                <w:color w:val="auto"/>
                <w:sz w:val="22"/>
                <w:szCs w:val="22"/>
                <w:highlight w:val="none"/>
              </w:rPr>
              <w:t>四档(4分):项目配送服务及应急方案能结合本项目实</w:t>
            </w:r>
          </w:p>
          <w:p w14:paraId="4EA25F46">
            <w:pPr>
              <w:pStyle w:val="37"/>
              <w:wordWrap w:val="0"/>
              <w:spacing w:before="130" w:line="271" w:lineRule="auto"/>
              <w:ind w:left="94" w:right="5" w:firstLine="9"/>
              <w:rPr>
                <w:color w:val="auto"/>
                <w:sz w:val="22"/>
                <w:szCs w:val="22"/>
                <w:highlight w:val="none"/>
              </w:rPr>
            </w:pPr>
            <w:r>
              <w:rPr>
                <w:color w:val="auto"/>
                <w:spacing w:val="-7"/>
                <w:sz w:val="22"/>
                <w:szCs w:val="22"/>
                <w:highlight w:val="none"/>
              </w:rPr>
              <w:t>施需求描述，配送工作体系、配送供货时间安排</w:t>
            </w:r>
            <w:r>
              <w:rPr>
                <w:rFonts w:hint="eastAsia"/>
                <w:color w:val="auto"/>
                <w:spacing w:val="-7"/>
                <w:sz w:val="22"/>
                <w:szCs w:val="22"/>
                <w:highlight w:val="none"/>
                <w:lang w:val="en-US" w:eastAsia="zh-CN"/>
              </w:rPr>
              <w:t>满足招标要求</w:t>
            </w:r>
            <w:r>
              <w:rPr>
                <w:color w:val="auto"/>
                <w:spacing w:val="-7"/>
                <w:sz w:val="22"/>
                <w:szCs w:val="22"/>
                <w:highlight w:val="none"/>
              </w:rPr>
              <w:t>，有结合</w:t>
            </w:r>
            <w:r>
              <w:rPr>
                <w:color w:val="auto"/>
                <w:spacing w:val="7"/>
                <w:sz w:val="22"/>
                <w:szCs w:val="22"/>
                <w:highlight w:val="none"/>
              </w:rPr>
              <w:t xml:space="preserve"> </w:t>
            </w:r>
            <w:r>
              <w:rPr>
                <w:color w:val="auto"/>
                <w:spacing w:val="-7"/>
                <w:sz w:val="22"/>
                <w:szCs w:val="22"/>
                <w:highlight w:val="none"/>
              </w:rPr>
              <w:t>本项目需求的管理制度、配送服务方案，描述详细；具体实施</w:t>
            </w:r>
          </w:p>
        </w:tc>
      </w:tr>
      <w:tr w14:paraId="22057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5774" w:hRule="atLeast"/>
        </w:trPr>
        <w:tc>
          <w:tcPr>
            <w:tcW w:w="564" w:type="dxa"/>
            <w:vMerge w:val="restart"/>
            <w:tcBorders>
              <w:bottom w:val="nil"/>
            </w:tcBorders>
            <w:vAlign w:val="top"/>
          </w:tcPr>
          <w:p w14:paraId="148DA4AD">
            <w:pPr>
              <w:wordWrap w:val="0"/>
              <w:rPr>
                <w:rFonts w:ascii="Arial"/>
                <w:color w:val="auto"/>
                <w:sz w:val="21"/>
                <w:highlight w:val="none"/>
              </w:rPr>
            </w:pPr>
          </w:p>
        </w:tc>
        <w:tc>
          <w:tcPr>
            <w:tcW w:w="1588" w:type="dxa"/>
            <w:vMerge w:val="restart"/>
            <w:tcBorders>
              <w:bottom w:val="nil"/>
            </w:tcBorders>
            <w:vAlign w:val="top"/>
          </w:tcPr>
          <w:p w14:paraId="0065051C">
            <w:pPr>
              <w:wordWrap w:val="0"/>
              <w:rPr>
                <w:rFonts w:ascii="Arial"/>
                <w:color w:val="auto"/>
                <w:sz w:val="21"/>
                <w:highlight w:val="none"/>
              </w:rPr>
            </w:pPr>
          </w:p>
        </w:tc>
        <w:tc>
          <w:tcPr>
            <w:tcW w:w="1449" w:type="dxa"/>
            <w:vAlign w:val="top"/>
          </w:tcPr>
          <w:p w14:paraId="4AEB3ACF">
            <w:pPr>
              <w:wordWrap w:val="0"/>
              <w:rPr>
                <w:rFonts w:ascii="Arial"/>
                <w:color w:val="auto"/>
                <w:sz w:val="21"/>
                <w:highlight w:val="none"/>
              </w:rPr>
            </w:pPr>
          </w:p>
        </w:tc>
        <w:tc>
          <w:tcPr>
            <w:tcW w:w="5869" w:type="dxa"/>
            <w:gridSpan w:val="2"/>
            <w:vAlign w:val="top"/>
          </w:tcPr>
          <w:p w14:paraId="72FD7B49">
            <w:pPr>
              <w:pStyle w:val="37"/>
              <w:wordWrap w:val="0"/>
              <w:spacing w:before="130" w:line="341" w:lineRule="auto"/>
              <w:ind w:left="0" w:firstLine="396" w:firstLineChars="200"/>
              <w:jc w:val="both"/>
              <w:rPr>
                <w:color w:val="auto"/>
                <w:sz w:val="22"/>
                <w:szCs w:val="22"/>
                <w:highlight w:val="none"/>
              </w:rPr>
            </w:pPr>
            <w:r>
              <w:rPr>
                <w:color w:val="auto"/>
                <w:spacing w:val="-11"/>
                <w:sz w:val="22"/>
                <w:szCs w:val="22"/>
                <w:highlight w:val="none"/>
              </w:rPr>
              <w:t>步骤和要求描述详细，在保证配送服务业务外有机动人员用于</w:t>
            </w:r>
            <w:r>
              <w:rPr>
                <w:color w:val="auto"/>
                <w:spacing w:val="-10"/>
                <w:sz w:val="22"/>
                <w:szCs w:val="22"/>
                <w:highlight w:val="none"/>
              </w:rPr>
              <w:t>对紧急事件处理，对配送及应急处理</w:t>
            </w:r>
            <w:r>
              <w:rPr>
                <w:rFonts w:hint="eastAsia"/>
                <w:color w:val="auto"/>
                <w:spacing w:val="-10"/>
                <w:sz w:val="22"/>
                <w:szCs w:val="22"/>
                <w:highlight w:val="none"/>
                <w:lang w:val="en-US" w:eastAsia="zh-CN"/>
              </w:rPr>
              <w:t>60分钟</w:t>
            </w:r>
            <w:r>
              <w:rPr>
                <w:color w:val="auto"/>
                <w:spacing w:val="-10"/>
                <w:sz w:val="22"/>
                <w:szCs w:val="22"/>
                <w:highlight w:val="none"/>
              </w:rPr>
              <w:t>内的</w:t>
            </w:r>
            <w:r>
              <w:rPr>
                <w:color w:val="auto"/>
                <w:spacing w:val="-10"/>
                <w:sz w:val="22"/>
                <w:szCs w:val="22"/>
                <w:highlight w:val="none"/>
              </w:rPr>
              <w:t>，</w:t>
            </w:r>
            <w:r>
              <w:rPr>
                <w:color w:val="auto"/>
                <w:spacing w:val="3"/>
                <w:sz w:val="22"/>
                <w:szCs w:val="22"/>
                <w:highlight w:val="none"/>
              </w:rPr>
              <w:t xml:space="preserve"> </w:t>
            </w:r>
            <w:r>
              <w:rPr>
                <w:color w:val="auto"/>
                <w:spacing w:val="-10"/>
                <w:sz w:val="22"/>
                <w:szCs w:val="22"/>
                <w:highlight w:val="none"/>
              </w:rPr>
              <w:t>对问题食材发生紧急事件处理预案内容的具体，</w:t>
            </w:r>
            <w:r>
              <w:rPr>
                <w:rFonts w:hint="eastAsia"/>
                <w:color w:val="auto"/>
                <w:spacing w:val="-10"/>
                <w:sz w:val="22"/>
                <w:szCs w:val="22"/>
                <w:highlight w:val="none"/>
                <w:lang w:eastAsia="zh-CN"/>
              </w:rPr>
              <w:t>有</w:t>
            </w:r>
            <w:r>
              <w:rPr>
                <w:color w:val="auto"/>
                <w:spacing w:val="-10"/>
                <w:sz w:val="22"/>
                <w:szCs w:val="22"/>
                <w:highlight w:val="none"/>
              </w:rPr>
              <w:t>人员</w:t>
            </w:r>
            <w:r>
              <w:rPr>
                <w:color w:val="auto"/>
                <w:spacing w:val="-11"/>
                <w:sz w:val="22"/>
                <w:szCs w:val="22"/>
                <w:highlight w:val="none"/>
              </w:rPr>
              <w:t>配备方案</w:t>
            </w:r>
            <w:r>
              <w:rPr>
                <w:rFonts w:hint="eastAsia"/>
                <w:color w:val="auto"/>
                <w:spacing w:val="-11"/>
                <w:sz w:val="22"/>
                <w:szCs w:val="22"/>
                <w:highlight w:val="none"/>
                <w:lang w:eastAsia="zh-CN"/>
              </w:rPr>
              <w:t>（配备</w:t>
            </w:r>
            <w:r>
              <w:rPr>
                <w:rFonts w:hint="eastAsia"/>
                <w:color w:val="auto"/>
                <w:spacing w:val="-11"/>
                <w:sz w:val="22"/>
                <w:szCs w:val="22"/>
                <w:highlight w:val="none"/>
                <w:lang w:val="en-US" w:eastAsia="zh-CN"/>
              </w:rPr>
              <w:t>8名以上人员</w:t>
            </w:r>
            <w:r>
              <w:rPr>
                <w:rFonts w:hint="eastAsia"/>
                <w:color w:val="auto"/>
                <w:spacing w:val="-11"/>
                <w:sz w:val="22"/>
                <w:szCs w:val="22"/>
                <w:highlight w:val="none"/>
                <w:lang w:eastAsia="zh-CN"/>
              </w:rPr>
              <w:t>），</w:t>
            </w:r>
            <w:r>
              <w:rPr>
                <w:color w:val="auto"/>
                <w:sz w:val="22"/>
                <w:szCs w:val="22"/>
                <w:highlight w:val="none"/>
              </w:rPr>
              <w:t xml:space="preserve">  </w:t>
            </w:r>
            <w:r>
              <w:rPr>
                <w:color w:val="auto"/>
                <w:spacing w:val="-10"/>
                <w:sz w:val="22"/>
                <w:szCs w:val="22"/>
                <w:highlight w:val="none"/>
              </w:rPr>
              <w:t>有针对性结合项目实际需求，且能从其它角度出</w:t>
            </w:r>
            <w:r>
              <w:rPr>
                <w:color w:val="auto"/>
                <w:spacing w:val="-11"/>
                <w:sz w:val="22"/>
                <w:szCs w:val="22"/>
                <w:highlight w:val="none"/>
              </w:rPr>
              <w:t>发，提出针对</w:t>
            </w:r>
            <w:r>
              <w:rPr>
                <w:color w:val="auto"/>
                <w:sz w:val="22"/>
                <w:szCs w:val="22"/>
                <w:highlight w:val="none"/>
              </w:rPr>
              <w:t xml:space="preserve">  </w:t>
            </w:r>
            <w:r>
              <w:rPr>
                <w:color w:val="auto"/>
                <w:spacing w:val="8"/>
                <w:sz w:val="22"/>
                <w:szCs w:val="22"/>
                <w:highlight w:val="none"/>
              </w:rPr>
              <w:t>本项目的合理化建议；</w:t>
            </w:r>
          </w:p>
          <w:p w14:paraId="0D3D3F80">
            <w:pPr>
              <w:pStyle w:val="37"/>
              <w:wordWrap w:val="0"/>
              <w:spacing w:before="130" w:line="341" w:lineRule="auto"/>
              <w:ind w:left="0" w:firstLine="440" w:firstLineChars="200"/>
              <w:rPr>
                <w:color w:val="auto"/>
                <w:sz w:val="22"/>
                <w:szCs w:val="22"/>
                <w:highlight w:val="none"/>
              </w:rPr>
            </w:pPr>
            <w:r>
              <w:rPr>
                <w:color w:val="auto"/>
                <w:sz w:val="22"/>
                <w:szCs w:val="22"/>
                <w:highlight w:val="none"/>
              </w:rPr>
              <w:t>五档(</w:t>
            </w:r>
            <w:r>
              <w:rPr>
                <w:rFonts w:hint="eastAsia"/>
                <w:color w:val="auto"/>
                <w:sz w:val="22"/>
                <w:szCs w:val="22"/>
                <w:highlight w:val="none"/>
                <w:lang w:val="en-US" w:eastAsia="zh-CN"/>
              </w:rPr>
              <w:t>5</w:t>
            </w:r>
            <w:r>
              <w:rPr>
                <w:color w:val="auto"/>
                <w:sz w:val="22"/>
                <w:szCs w:val="22"/>
                <w:highlight w:val="none"/>
              </w:rPr>
              <w:t>分):项目</w:t>
            </w:r>
            <w:r>
              <w:rPr>
                <w:rFonts w:hint="eastAsia"/>
                <w:color w:val="auto"/>
                <w:sz w:val="22"/>
                <w:szCs w:val="22"/>
                <w:highlight w:val="none"/>
                <w:lang w:val="en-US" w:eastAsia="zh-CN"/>
              </w:rPr>
              <w:t>配送</w:t>
            </w:r>
            <w:r>
              <w:rPr>
                <w:color w:val="auto"/>
                <w:sz w:val="22"/>
                <w:szCs w:val="22"/>
                <w:highlight w:val="none"/>
              </w:rPr>
              <w:t>能力能结合本项目实施需</w:t>
            </w:r>
            <w:r>
              <w:rPr>
                <w:color w:val="auto"/>
                <w:spacing w:val="-11"/>
                <w:sz w:val="22"/>
                <w:szCs w:val="22"/>
                <w:highlight w:val="none"/>
              </w:rPr>
              <w:t>求描述，配送工作体系、配送供货时间安排</w:t>
            </w:r>
            <w:r>
              <w:rPr>
                <w:rFonts w:hint="eastAsia"/>
                <w:color w:val="auto"/>
                <w:spacing w:val="-11"/>
                <w:sz w:val="22"/>
                <w:szCs w:val="22"/>
                <w:highlight w:val="none"/>
                <w:lang w:val="en-US" w:eastAsia="zh-CN"/>
              </w:rPr>
              <w:t>满足招标要求</w:t>
            </w:r>
            <w:r>
              <w:rPr>
                <w:color w:val="auto"/>
                <w:spacing w:val="-11"/>
                <w:sz w:val="22"/>
                <w:szCs w:val="22"/>
                <w:highlight w:val="none"/>
              </w:rPr>
              <w:t>，针对项目实</w:t>
            </w:r>
            <w:r>
              <w:rPr>
                <w:color w:val="auto"/>
                <w:spacing w:val="-4"/>
                <w:sz w:val="22"/>
                <w:szCs w:val="22"/>
                <w:highlight w:val="none"/>
              </w:rPr>
              <w:t>际情况，能提供结合本项目需求的管理制度、配送服务方案，</w:t>
            </w:r>
            <w:r>
              <w:rPr>
                <w:rFonts w:hint="eastAsia"/>
                <w:color w:val="auto"/>
                <w:spacing w:val="-4"/>
                <w:sz w:val="22"/>
                <w:szCs w:val="22"/>
                <w:highlight w:val="none"/>
                <w:lang w:eastAsia="zh-CN"/>
              </w:rPr>
              <w:t>有</w:t>
            </w:r>
            <w:r>
              <w:rPr>
                <w:color w:val="auto"/>
                <w:spacing w:val="-10"/>
                <w:sz w:val="22"/>
                <w:szCs w:val="22"/>
                <w:highlight w:val="none"/>
              </w:rPr>
              <w:t>人员</w:t>
            </w:r>
            <w:r>
              <w:rPr>
                <w:color w:val="auto"/>
                <w:spacing w:val="-11"/>
                <w:sz w:val="22"/>
                <w:szCs w:val="22"/>
                <w:highlight w:val="none"/>
              </w:rPr>
              <w:t>配备方案</w:t>
            </w:r>
            <w:r>
              <w:rPr>
                <w:rFonts w:hint="eastAsia"/>
                <w:color w:val="auto"/>
                <w:spacing w:val="-11"/>
                <w:sz w:val="22"/>
                <w:szCs w:val="22"/>
                <w:highlight w:val="none"/>
                <w:lang w:eastAsia="zh-CN"/>
              </w:rPr>
              <w:t>（配备</w:t>
            </w:r>
            <w:r>
              <w:rPr>
                <w:rFonts w:hint="eastAsia"/>
                <w:color w:val="auto"/>
                <w:spacing w:val="-11"/>
                <w:sz w:val="22"/>
                <w:szCs w:val="22"/>
                <w:highlight w:val="none"/>
                <w:lang w:val="en-US" w:eastAsia="zh-CN"/>
              </w:rPr>
              <w:t>10名以上人员</w:t>
            </w:r>
            <w:r>
              <w:rPr>
                <w:rFonts w:hint="eastAsia"/>
                <w:color w:val="auto"/>
                <w:spacing w:val="-11"/>
                <w:sz w:val="22"/>
                <w:szCs w:val="22"/>
                <w:highlight w:val="none"/>
                <w:lang w:eastAsia="zh-CN"/>
              </w:rPr>
              <w:t>）</w:t>
            </w:r>
            <w:r>
              <w:rPr>
                <w:rFonts w:hint="eastAsia"/>
                <w:color w:val="auto"/>
                <w:spacing w:val="-11"/>
                <w:sz w:val="22"/>
                <w:szCs w:val="22"/>
                <w:highlight w:val="none"/>
                <w:lang w:eastAsia="zh-CN"/>
              </w:rPr>
              <w:t>，</w:t>
            </w:r>
            <w:r>
              <w:rPr>
                <w:color w:val="auto"/>
                <w:spacing w:val="12"/>
                <w:sz w:val="22"/>
                <w:szCs w:val="22"/>
                <w:highlight w:val="none"/>
              </w:rPr>
              <w:t xml:space="preserve"> </w:t>
            </w:r>
            <w:r>
              <w:rPr>
                <w:color w:val="auto"/>
                <w:spacing w:val="-7"/>
                <w:sz w:val="22"/>
                <w:szCs w:val="22"/>
                <w:highlight w:val="none"/>
              </w:rPr>
              <w:t>描述详细；具</w:t>
            </w:r>
            <w:r>
              <w:rPr>
                <w:color w:val="auto"/>
                <w:spacing w:val="-10"/>
                <w:sz w:val="22"/>
                <w:szCs w:val="22"/>
                <w:highlight w:val="none"/>
              </w:rPr>
              <w:t>体实施步骤和要求描述详细，优于本项目需求，对问题食材发生紧急事件处理预案内容详细，在保证配送服务业务外有机动人员用于对紧急事件处理， 对配送及应急处理响应时间在</w:t>
            </w:r>
            <w:r>
              <w:rPr>
                <w:rFonts w:hint="eastAsia"/>
                <w:color w:val="auto"/>
                <w:spacing w:val="-10"/>
                <w:sz w:val="22"/>
                <w:szCs w:val="22"/>
                <w:highlight w:val="none"/>
                <w:lang w:val="en-US" w:eastAsia="zh-CN"/>
              </w:rPr>
              <w:t>30分钟</w:t>
            </w:r>
            <w:r>
              <w:rPr>
                <w:color w:val="auto"/>
                <w:spacing w:val="-10"/>
                <w:sz w:val="22"/>
                <w:szCs w:val="22"/>
                <w:highlight w:val="none"/>
              </w:rPr>
              <w:t>内的(含</w:t>
            </w:r>
            <w:r>
              <w:rPr>
                <w:rFonts w:hint="eastAsia"/>
                <w:color w:val="auto"/>
                <w:spacing w:val="-10"/>
                <w:sz w:val="22"/>
                <w:szCs w:val="22"/>
                <w:highlight w:val="none"/>
                <w:lang w:val="en-US" w:eastAsia="zh-CN"/>
              </w:rPr>
              <w:t>30分钟</w:t>
            </w:r>
            <w:r>
              <w:rPr>
                <w:color w:val="auto"/>
                <w:spacing w:val="-10"/>
                <w:sz w:val="22"/>
                <w:szCs w:val="22"/>
                <w:highlight w:val="none"/>
              </w:rPr>
              <w:t>),有重点，预案清晰且能根据具体情况做出具体细致方案且能保证采购食材卫生安全等重要因素的。</w:t>
            </w:r>
          </w:p>
        </w:tc>
      </w:tr>
      <w:tr w14:paraId="2177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6400" w:hRule="atLeast"/>
        </w:trPr>
        <w:tc>
          <w:tcPr>
            <w:tcW w:w="564" w:type="dxa"/>
            <w:vMerge w:val="continue"/>
            <w:tcBorders>
              <w:top w:val="nil"/>
            </w:tcBorders>
            <w:vAlign w:val="top"/>
          </w:tcPr>
          <w:p w14:paraId="065EDCED">
            <w:pPr>
              <w:rPr>
                <w:rFonts w:ascii="Arial"/>
                <w:color w:val="auto"/>
                <w:sz w:val="21"/>
                <w:highlight w:val="none"/>
              </w:rPr>
            </w:pPr>
          </w:p>
        </w:tc>
        <w:tc>
          <w:tcPr>
            <w:tcW w:w="1588" w:type="dxa"/>
            <w:vMerge w:val="continue"/>
            <w:tcBorders>
              <w:top w:val="nil"/>
            </w:tcBorders>
            <w:vAlign w:val="top"/>
          </w:tcPr>
          <w:p w14:paraId="7ACD26EB">
            <w:pPr>
              <w:rPr>
                <w:rFonts w:ascii="Arial"/>
                <w:color w:val="auto"/>
                <w:sz w:val="21"/>
                <w:highlight w:val="none"/>
              </w:rPr>
            </w:pPr>
          </w:p>
        </w:tc>
        <w:tc>
          <w:tcPr>
            <w:tcW w:w="1449" w:type="dxa"/>
            <w:vAlign w:val="top"/>
          </w:tcPr>
          <w:p w14:paraId="337F2F3B">
            <w:pPr>
              <w:rPr>
                <w:rFonts w:ascii="Arial"/>
                <w:color w:val="auto"/>
                <w:sz w:val="21"/>
                <w:highlight w:val="none"/>
              </w:rPr>
            </w:pPr>
          </w:p>
          <w:p w14:paraId="0196CFC6">
            <w:pPr>
              <w:rPr>
                <w:rFonts w:ascii="Arial"/>
                <w:color w:val="auto"/>
                <w:sz w:val="21"/>
                <w:highlight w:val="none"/>
              </w:rPr>
            </w:pPr>
          </w:p>
          <w:p w14:paraId="17E92FF5">
            <w:pPr>
              <w:rPr>
                <w:rFonts w:ascii="Arial"/>
                <w:color w:val="auto"/>
                <w:sz w:val="21"/>
                <w:highlight w:val="none"/>
              </w:rPr>
            </w:pPr>
          </w:p>
          <w:p w14:paraId="5D49876C">
            <w:pPr>
              <w:rPr>
                <w:rFonts w:ascii="Arial"/>
                <w:color w:val="auto"/>
                <w:sz w:val="21"/>
                <w:highlight w:val="none"/>
              </w:rPr>
            </w:pPr>
          </w:p>
          <w:p w14:paraId="328AA2AD">
            <w:pPr>
              <w:rPr>
                <w:rFonts w:ascii="Arial"/>
                <w:color w:val="auto"/>
                <w:sz w:val="21"/>
                <w:highlight w:val="none"/>
              </w:rPr>
            </w:pPr>
          </w:p>
          <w:p w14:paraId="65BA15B4">
            <w:pPr>
              <w:rPr>
                <w:rFonts w:ascii="Arial"/>
                <w:color w:val="auto"/>
                <w:sz w:val="21"/>
                <w:highlight w:val="none"/>
              </w:rPr>
            </w:pPr>
          </w:p>
          <w:p w14:paraId="44905AE9">
            <w:pPr>
              <w:rPr>
                <w:rFonts w:ascii="Arial"/>
                <w:color w:val="auto"/>
                <w:sz w:val="21"/>
                <w:highlight w:val="none"/>
              </w:rPr>
            </w:pPr>
          </w:p>
          <w:p w14:paraId="580DBA6F">
            <w:pPr>
              <w:rPr>
                <w:rFonts w:ascii="Arial"/>
                <w:color w:val="auto"/>
                <w:sz w:val="21"/>
                <w:highlight w:val="none"/>
              </w:rPr>
            </w:pPr>
          </w:p>
          <w:p w14:paraId="15CEFC37">
            <w:pPr>
              <w:spacing w:line="241" w:lineRule="auto"/>
              <w:rPr>
                <w:rFonts w:ascii="Arial"/>
                <w:color w:val="auto"/>
                <w:sz w:val="21"/>
                <w:highlight w:val="none"/>
              </w:rPr>
            </w:pPr>
          </w:p>
          <w:p w14:paraId="5454234E">
            <w:pPr>
              <w:spacing w:line="241" w:lineRule="auto"/>
              <w:rPr>
                <w:rFonts w:ascii="Arial"/>
                <w:color w:val="auto"/>
                <w:sz w:val="21"/>
                <w:highlight w:val="none"/>
              </w:rPr>
            </w:pPr>
          </w:p>
          <w:p w14:paraId="3FECC025">
            <w:pPr>
              <w:spacing w:line="241" w:lineRule="auto"/>
              <w:rPr>
                <w:rFonts w:ascii="Arial"/>
                <w:color w:val="auto"/>
                <w:sz w:val="21"/>
                <w:highlight w:val="none"/>
              </w:rPr>
            </w:pPr>
          </w:p>
          <w:p w14:paraId="2D444900">
            <w:pPr>
              <w:spacing w:line="241" w:lineRule="auto"/>
              <w:rPr>
                <w:rFonts w:ascii="Arial"/>
                <w:color w:val="auto"/>
                <w:sz w:val="21"/>
                <w:highlight w:val="none"/>
              </w:rPr>
            </w:pPr>
          </w:p>
          <w:p w14:paraId="3F123CB1">
            <w:pPr>
              <w:pStyle w:val="37"/>
              <w:spacing w:before="71" w:line="219" w:lineRule="auto"/>
              <w:ind w:left="53"/>
              <w:rPr>
                <w:color w:val="auto"/>
                <w:sz w:val="22"/>
                <w:szCs w:val="22"/>
                <w:highlight w:val="none"/>
              </w:rPr>
            </w:pPr>
            <w:r>
              <w:rPr>
                <w:color w:val="auto"/>
                <w:spacing w:val="-2"/>
                <w:sz w:val="22"/>
                <w:szCs w:val="22"/>
                <w:highlight w:val="none"/>
              </w:rPr>
              <w:t>食材安全措施</w:t>
            </w:r>
          </w:p>
          <w:p w14:paraId="1D58723E">
            <w:pPr>
              <w:pStyle w:val="37"/>
              <w:spacing w:before="110" w:line="219" w:lineRule="auto"/>
              <w:ind w:left="222"/>
              <w:rPr>
                <w:color w:val="auto"/>
                <w:sz w:val="22"/>
                <w:szCs w:val="22"/>
                <w:highlight w:val="none"/>
              </w:rPr>
            </w:pPr>
            <w:r>
              <w:rPr>
                <w:color w:val="auto"/>
                <w:spacing w:val="8"/>
                <w:sz w:val="22"/>
                <w:szCs w:val="22"/>
                <w:highlight w:val="none"/>
              </w:rPr>
              <w:t>(满分</w:t>
            </w:r>
            <w:r>
              <w:rPr>
                <w:rFonts w:hint="eastAsia"/>
                <w:color w:val="auto"/>
                <w:spacing w:val="8"/>
                <w:sz w:val="22"/>
                <w:szCs w:val="22"/>
                <w:highlight w:val="none"/>
                <w:lang w:val="en-US" w:eastAsia="zh-CN"/>
              </w:rPr>
              <w:t>8</w:t>
            </w:r>
            <w:r>
              <w:rPr>
                <w:color w:val="auto"/>
                <w:spacing w:val="8"/>
                <w:sz w:val="22"/>
                <w:szCs w:val="22"/>
                <w:highlight w:val="none"/>
              </w:rPr>
              <w:t>分)</w:t>
            </w:r>
          </w:p>
        </w:tc>
        <w:tc>
          <w:tcPr>
            <w:tcW w:w="5869" w:type="dxa"/>
            <w:gridSpan w:val="2"/>
            <w:vAlign w:val="top"/>
          </w:tcPr>
          <w:p w14:paraId="1CBD478D">
            <w:pPr>
              <w:pStyle w:val="37"/>
              <w:tabs>
                <w:tab w:val="left" w:pos="212"/>
              </w:tabs>
              <w:spacing w:before="153" w:line="337" w:lineRule="auto"/>
              <w:ind w:left="13" w:firstLine="519"/>
              <w:rPr>
                <w:color w:val="auto"/>
                <w:sz w:val="22"/>
                <w:szCs w:val="22"/>
                <w:highlight w:val="none"/>
              </w:rPr>
            </w:pPr>
            <w:r>
              <w:rPr>
                <w:color w:val="auto"/>
                <w:spacing w:val="-7"/>
                <w:sz w:val="22"/>
                <w:szCs w:val="22"/>
                <w:highlight w:val="none"/>
              </w:rPr>
              <w:t>由评标委员会各成员根据投标人提供的食材安全措施内容</w:t>
            </w:r>
            <w:r>
              <w:rPr>
                <w:color w:val="auto"/>
                <w:sz w:val="22"/>
                <w:szCs w:val="22"/>
                <w:highlight w:val="none"/>
              </w:rPr>
              <w:t xml:space="preserve"> </w:t>
            </w:r>
            <w:r>
              <w:rPr>
                <w:color w:val="auto"/>
                <w:sz w:val="22"/>
                <w:szCs w:val="22"/>
                <w:highlight w:val="none"/>
              </w:rPr>
              <w:tab/>
            </w:r>
            <w:r>
              <w:rPr>
                <w:color w:val="auto"/>
                <w:spacing w:val="-7"/>
                <w:sz w:val="22"/>
                <w:szCs w:val="22"/>
                <w:highlight w:val="none"/>
              </w:rPr>
              <w:t>(包括进货采购渠道、食材控制管理措施、检验检疫措施、食</w:t>
            </w:r>
            <w:r>
              <w:rPr>
                <w:color w:val="auto"/>
                <w:spacing w:val="3"/>
                <w:sz w:val="22"/>
                <w:szCs w:val="22"/>
                <w:highlight w:val="none"/>
              </w:rPr>
              <w:t xml:space="preserve"> </w:t>
            </w:r>
            <w:r>
              <w:rPr>
                <w:color w:val="auto"/>
                <w:sz w:val="22"/>
                <w:szCs w:val="22"/>
                <w:highlight w:val="none"/>
              </w:rPr>
              <w:t>材质量标准、追溯方式等情况)独立评审打分。未提供食材安</w:t>
            </w:r>
            <w:r>
              <w:rPr>
                <w:color w:val="auto"/>
                <w:spacing w:val="6"/>
                <w:sz w:val="22"/>
                <w:szCs w:val="22"/>
                <w:highlight w:val="none"/>
              </w:rPr>
              <w:t xml:space="preserve"> </w:t>
            </w:r>
            <w:r>
              <w:rPr>
                <w:color w:val="auto"/>
                <w:spacing w:val="11"/>
                <w:sz w:val="22"/>
                <w:szCs w:val="22"/>
                <w:highlight w:val="none"/>
              </w:rPr>
              <w:t>全措施的不得分。</w:t>
            </w:r>
          </w:p>
          <w:p w14:paraId="0E941B8D">
            <w:pPr>
              <w:pStyle w:val="37"/>
              <w:spacing w:before="13" w:line="219" w:lineRule="auto"/>
              <w:ind w:left="534"/>
              <w:rPr>
                <w:color w:val="auto"/>
                <w:sz w:val="22"/>
                <w:szCs w:val="22"/>
                <w:highlight w:val="none"/>
              </w:rPr>
            </w:pPr>
            <w:r>
              <w:rPr>
                <w:color w:val="auto"/>
                <w:sz w:val="22"/>
                <w:szCs w:val="22"/>
                <w:highlight w:val="none"/>
              </w:rPr>
              <w:t>一档(2分):对进货采购渠道、食材控制管理措施、食</w:t>
            </w:r>
          </w:p>
          <w:p w14:paraId="45E40298">
            <w:pPr>
              <w:pStyle w:val="37"/>
              <w:spacing w:before="140" w:line="295" w:lineRule="auto"/>
              <w:ind w:left="84" w:firstLine="9"/>
              <w:rPr>
                <w:color w:val="auto"/>
                <w:sz w:val="22"/>
                <w:szCs w:val="22"/>
                <w:highlight w:val="none"/>
              </w:rPr>
            </w:pPr>
            <w:r>
              <w:rPr>
                <w:color w:val="auto"/>
                <w:spacing w:val="-7"/>
                <w:sz w:val="22"/>
                <w:szCs w:val="22"/>
                <w:highlight w:val="none"/>
              </w:rPr>
              <w:t>材质量标准、追溯方式这几个方面描述较简单，检验检疫措施</w:t>
            </w:r>
            <w:r>
              <w:rPr>
                <w:color w:val="auto"/>
                <w:spacing w:val="12"/>
                <w:sz w:val="22"/>
                <w:szCs w:val="22"/>
                <w:highlight w:val="none"/>
              </w:rPr>
              <w:t xml:space="preserve"> </w:t>
            </w:r>
            <w:r>
              <w:rPr>
                <w:color w:val="auto"/>
                <w:spacing w:val="-8"/>
                <w:sz w:val="22"/>
                <w:szCs w:val="22"/>
                <w:highlight w:val="none"/>
              </w:rPr>
              <w:t>简</w:t>
            </w:r>
            <w:r>
              <w:rPr>
                <w:color w:val="auto"/>
                <w:spacing w:val="-13"/>
                <w:sz w:val="22"/>
                <w:szCs w:val="22"/>
                <w:highlight w:val="none"/>
              </w:rPr>
              <w:t xml:space="preserve"> </w:t>
            </w:r>
            <w:r>
              <w:rPr>
                <w:color w:val="auto"/>
                <w:spacing w:val="-8"/>
                <w:sz w:val="22"/>
                <w:szCs w:val="22"/>
                <w:highlight w:val="none"/>
              </w:rPr>
              <w:t>单</w:t>
            </w:r>
            <w:r>
              <w:rPr>
                <w:color w:val="auto"/>
                <w:spacing w:val="-23"/>
                <w:sz w:val="22"/>
                <w:szCs w:val="22"/>
                <w:highlight w:val="none"/>
              </w:rPr>
              <w:t xml:space="preserve"> </w:t>
            </w:r>
            <w:r>
              <w:rPr>
                <w:color w:val="auto"/>
                <w:spacing w:val="-8"/>
                <w:sz w:val="22"/>
                <w:szCs w:val="22"/>
                <w:highlight w:val="none"/>
              </w:rPr>
              <w:t>；</w:t>
            </w:r>
          </w:p>
          <w:p w14:paraId="00FFD8D1">
            <w:pPr>
              <w:pStyle w:val="37"/>
              <w:spacing w:before="75" w:line="219" w:lineRule="auto"/>
              <w:ind w:left="534"/>
              <w:rPr>
                <w:color w:val="auto"/>
                <w:sz w:val="22"/>
                <w:szCs w:val="22"/>
                <w:highlight w:val="none"/>
              </w:rPr>
            </w:pPr>
            <w:r>
              <w:rPr>
                <w:color w:val="auto"/>
                <w:sz w:val="22"/>
                <w:szCs w:val="22"/>
                <w:highlight w:val="none"/>
              </w:rPr>
              <w:t>二档(4分):对进货采购渠道、食材控制管理措施、食</w:t>
            </w:r>
          </w:p>
          <w:p w14:paraId="3F97BDA6">
            <w:pPr>
              <w:pStyle w:val="37"/>
              <w:spacing w:before="149" w:line="329" w:lineRule="auto"/>
              <w:ind w:left="103" w:hanging="9"/>
              <w:rPr>
                <w:color w:val="auto"/>
                <w:sz w:val="22"/>
                <w:szCs w:val="22"/>
                <w:highlight w:val="none"/>
              </w:rPr>
            </w:pPr>
            <w:r>
              <w:rPr>
                <w:color w:val="auto"/>
                <w:spacing w:val="-7"/>
                <w:sz w:val="22"/>
                <w:szCs w:val="22"/>
                <w:highlight w:val="none"/>
              </w:rPr>
              <w:t>材质量标准、追溯方式这几个方面描述较清晰，检验检疫措施</w:t>
            </w:r>
            <w:r>
              <w:rPr>
                <w:color w:val="auto"/>
                <w:spacing w:val="12"/>
                <w:sz w:val="22"/>
                <w:szCs w:val="22"/>
                <w:highlight w:val="none"/>
              </w:rPr>
              <w:t xml:space="preserve"> </w:t>
            </w:r>
            <w:r>
              <w:rPr>
                <w:color w:val="auto"/>
                <w:spacing w:val="-8"/>
                <w:sz w:val="22"/>
                <w:szCs w:val="22"/>
                <w:highlight w:val="none"/>
              </w:rPr>
              <w:t>简</w:t>
            </w:r>
            <w:r>
              <w:rPr>
                <w:color w:val="auto"/>
                <w:spacing w:val="-13"/>
                <w:sz w:val="22"/>
                <w:szCs w:val="22"/>
                <w:highlight w:val="none"/>
              </w:rPr>
              <w:t xml:space="preserve"> </w:t>
            </w:r>
            <w:r>
              <w:rPr>
                <w:color w:val="auto"/>
                <w:spacing w:val="-8"/>
                <w:sz w:val="22"/>
                <w:szCs w:val="22"/>
                <w:highlight w:val="none"/>
              </w:rPr>
              <w:t>单</w:t>
            </w:r>
            <w:r>
              <w:rPr>
                <w:color w:val="auto"/>
                <w:spacing w:val="-23"/>
                <w:sz w:val="22"/>
                <w:szCs w:val="22"/>
                <w:highlight w:val="none"/>
              </w:rPr>
              <w:t xml:space="preserve"> </w:t>
            </w:r>
            <w:r>
              <w:rPr>
                <w:color w:val="auto"/>
                <w:spacing w:val="-8"/>
                <w:sz w:val="22"/>
                <w:szCs w:val="22"/>
                <w:highlight w:val="none"/>
              </w:rPr>
              <w:t>；</w:t>
            </w:r>
          </w:p>
          <w:p w14:paraId="04F801FF">
            <w:pPr>
              <w:pStyle w:val="37"/>
              <w:spacing w:before="16" w:line="219" w:lineRule="auto"/>
              <w:ind w:left="534"/>
              <w:rPr>
                <w:color w:val="auto"/>
                <w:sz w:val="22"/>
                <w:szCs w:val="22"/>
                <w:highlight w:val="none"/>
              </w:rPr>
            </w:pPr>
            <w:r>
              <w:rPr>
                <w:color w:val="auto"/>
                <w:spacing w:val="-1"/>
                <w:sz w:val="22"/>
                <w:szCs w:val="22"/>
                <w:highlight w:val="none"/>
              </w:rPr>
              <w:t>三档(6分):对进货采购渠道、食材控制管理措施、食</w:t>
            </w:r>
          </w:p>
          <w:p w14:paraId="7A2F165E">
            <w:pPr>
              <w:pStyle w:val="37"/>
              <w:spacing w:before="129" w:line="340" w:lineRule="auto"/>
              <w:ind w:left="104"/>
              <w:rPr>
                <w:color w:val="auto"/>
                <w:sz w:val="22"/>
                <w:szCs w:val="22"/>
                <w:highlight w:val="none"/>
              </w:rPr>
            </w:pPr>
            <w:r>
              <w:rPr>
                <w:color w:val="auto"/>
                <w:spacing w:val="-7"/>
                <w:sz w:val="22"/>
                <w:szCs w:val="22"/>
                <w:highlight w:val="none"/>
              </w:rPr>
              <w:t>材质量标准、追溯方式这几个方面描述较清晰、较详细，检验</w:t>
            </w:r>
            <w:r>
              <w:rPr>
                <w:color w:val="auto"/>
                <w:spacing w:val="2"/>
                <w:sz w:val="22"/>
                <w:szCs w:val="22"/>
                <w:highlight w:val="none"/>
              </w:rPr>
              <w:t xml:space="preserve"> </w:t>
            </w:r>
            <w:r>
              <w:rPr>
                <w:color w:val="auto"/>
                <w:spacing w:val="4"/>
                <w:sz w:val="22"/>
                <w:szCs w:val="22"/>
                <w:highlight w:val="none"/>
              </w:rPr>
              <w:t>检疫措施结合项目实际需求，主动开展检验工作；</w:t>
            </w:r>
          </w:p>
          <w:p w14:paraId="6E0B54FB">
            <w:pPr>
              <w:pStyle w:val="37"/>
              <w:spacing w:line="218" w:lineRule="auto"/>
              <w:ind w:left="534"/>
              <w:rPr>
                <w:color w:val="auto"/>
                <w:sz w:val="22"/>
                <w:szCs w:val="22"/>
                <w:highlight w:val="none"/>
              </w:rPr>
            </w:pPr>
            <w:r>
              <w:rPr>
                <w:color w:val="auto"/>
                <w:sz w:val="22"/>
                <w:szCs w:val="22"/>
                <w:highlight w:val="none"/>
              </w:rPr>
              <w:t>四档(</w:t>
            </w:r>
            <w:r>
              <w:rPr>
                <w:rFonts w:hint="eastAsia"/>
                <w:color w:val="auto"/>
                <w:sz w:val="22"/>
                <w:szCs w:val="22"/>
                <w:highlight w:val="none"/>
                <w:lang w:val="en-US" w:eastAsia="zh-CN"/>
              </w:rPr>
              <w:t>8</w:t>
            </w:r>
            <w:r>
              <w:rPr>
                <w:color w:val="auto"/>
                <w:sz w:val="22"/>
                <w:szCs w:val="22"/>
                <w:highlight w:val="none"/>
              </w:rPr>
              <w:t>分):对进货采购渠道、食材控制管理措施、食</w:t>
            </w:r>
          </w:p>
          <w:p w14:paraId="0B8DB7FE">
            <w:pPr>
              <w:pStyle w:val="37"/>
              <w:spacing w:before="130" w:line="267" w:lineRule="auto"/>
              <w:ind w:left="94"/>
              <w:rPr>
                <w:color w:val="auto"/>
                <w:sz w:val="22"/>
                <w:szCs w:val="22"/>
                <w:highlight w:val="none"/>
              </w:rPr>
            </w:pPr>
            <w:r>
              <w:rPr>
                <w:color w:val="auto"/>
                <w:spacing w:val="-7"/>
                <w:sz w:val="22"/>
                <w:szCs w:val="22"/>
                <w:highlight w:val="none"/>
              </w:rPr>
              <w:t>材质量标准、追溯方式这几个方面描述清晰，详细，检验检疫</w:t>
            </w:r>
            <w:r>
              <w:rPr>
                <w:color w:val="auto"/>
                <w:spacing w:val="12"/>
                <w:sz w:val="22"/>
                <w:szCs w:val="22"/>
                <w:highlight w:val="none"/>
              </w:rPr>
              <w:t xml:space="preserve"> </w:t>
            </w:r>
            <w:r>
              <w:rPr>
                <w:color w:val="auto"/>
                <w:spacing w:val="-7"/>
                <w:sz w:val="22"/>
                <w:szCs w:val="22"/>
                <w:highlight w:val="none"/>
              </w:rPr>
              <w:t>措施详细且结合项目实际需求，能严格进行食材质量把关，主</w:t>
            </w:r>
          </w:p>
        </w:tc>
      </w:tr>
    </w:tbl>
    <w:p w14:paraId="009839D3">
      <w:pPr>
        <w:spacing w:line="237" w:lineRule="exact"/>
        <w:rPr>
          <w:rFonts w:ascii="Arial"/>
          <w:color w:val="auto"/>
          <w:sz w:val="20"/>
          <w:highlight w:val="none"/>
        </w:rPr>
      </w:pPr>
    </w:p>
    <w:p w14:paraId="4C8EEF7B">
      <w:pPr>
        <w:spacing w:line="237" w:lineRule="exact"/>
        <w:rPr>
          <w:rFonts w:ascii="Arial" w:hAnsi="Arial" w:eastAsia="Arial" w:cs="Arial"/>
          <w:color w:val="auto"/>
          <w:sz w:val="20"/>
          <w:szCs w:val="20"/>
          <w:highlight w:val="none"/>
        </w:rPr>
        <w:sectPr>
          <w:footerReference r:id="rId7" w:type="default"/>
          <w:pgSz w:w="11900" w:h="16820"/>
          <w:pgMar w:top="400" w:right="1175" w:bottom="1257" w:left="1244" w:header="0" w:footer="868" w:gutter="0"/>
          <w:pgNumType w:fmt="decimal"/>
          <w:cols w:space="720" w:num="1"/>
        </w:sectPr>
      </w:pPr>
    </w:p>
    <w:p w14:paraId="6C08D75D">
      <w:pPr>
        <w:spacing w:before="25"/>
        <w:rPr>
          <w:color w:val="auto"/>
          <w:highlight w:val="none"/>
        </w:rPr>
      </w:pPr>
    </w:p>
    <w:p w14:paraId="5270254F">
      <w:pPr>
        <w:spacing w:before="25"/>
        <w:rPr>
          <w:color w:val="auto"/>
          <w:highlight w:val="none"/>
        </w:rPr>
      </w:pPr>
    </w:p>
    <w:p w14:paraId="358B0616">
      <w:pPr>
        <w:spacing w:before="25"/>
        <w:rPr>
          <w:color w:val="auto"/>
          <w:highlight w:val="none"/>
        </w:rPr>
      </w:pPr>
    </w:p>
    <w:p w14:paraId="01BEE14B">
      <w:pPr>
        <w:spacing w:before="24"/>
        <w:rPr>
          <w:color w:val="auto"/>
          <w:highlight w:val="none"/>
        </w:rPr>
      </w:pPr>
    </w:p>
    <w:tbl>
      <w:tblPr>
        <w:tblStyle w:val="38"/>
        <w:tblW w:w="947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578"/>
        <w:gridCol w:w="1469"/>
        <w:gridCol w:w="5863"/>
      </w:tblGrid>
      <w:tr w14:paraId="3F63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564" w:type="dxa"/>
            <w:vMerge w:val="restart"/>
            <w:tcBorders>
              <w:bottom w:val="nil"/>
            </w:tcBorders>
            <w:vAlign w:val="top"/>
          </w:tcPr>
          <w:p w14:paraId="25D4560C">
            <w:pPr>
              <w:rPr>
                <w:rFonts w:ascii="Arial"/>
                <w:color w:val="auto"/>
                <w:sz w:val="21"/>
                <w:highlight w:val="none"/>
              </w:rPr>
            </w:pPr>
          </w:p>
        </w:tc>
        <w:tc>
          <w:tcPr>
            <w:tcW w:w="1578" w:type="dxa"/>
            <w:vMerge w:val="restart"/>
            <w:tcBorders>
              <w:bottom w:val="nil"/>
            </w:tcBorders>
            <w:vAlign w:val="top"/>
          </w:tcPr>
          <w:p w14:paraId="6D20137F">
            <w:pPr>
              <w:rPr>
                <w:rFonts w:ascii="Arial"/>
                <w:color w:val="auto"/>
                <w:sz w:val="21"/>
                <w:highlight w:val="none"/>
              </w:rPr>
            </w:pPr>
          </w:p>
        </w:tc>
        <w:tc>
          <w:tcPr>
            <w:tcW w:w="1469" w:type="dxa"/>
            <w:vAlign w:val="top"/>
          </w:tcPr>
          <w:p w14:paraId="40510E6D">
            <w:pPr>
              <w:rPr>
                <w:rFonts w:ascii="Arial"/>
                <w:color w:val="auto"/>
                <w:sz w:val="21"/>
                <w:highlight w:val="none"/>
              </w:rPr>
            </w:pPr>
          </w:p>
        </w:tc>
        <w:tc>
          <w:tcPr>
            <w:tcW w:w="5863" w:type="dxa"/>
            <w:vAlign w:val="top"/>
          </w:tcPr>
          <w:p w14:paraId="1901C623">
            <w:pPr>
              <w:pStyle w:val="37"/>
              <w:spacing w:before="124" w:line="219" w:lineRule="auto"/>
              <w:ind w:left="74"/>
              <w:rPr>
                <w:color w:val="auto"/>
                <w:sz w:val="22"/>
                <w:szCs w:val="22"/>
                <w:highlight w:val="none"/>
              </w:rPr>
            </w:pPr>
            <w:r>
              <w:rPr>
                <w:color w:val="auto"/>
                <w:spacing w:val="13"/>
                <w:sz w:val="22"/>
                <w:szCs w:val="22"/>
                <w:highlight w:val="none"/>
              </w:rPr>
              <w:t>动开展检验工作；</w:t>
            </w:r>
          </w:p>
        </w:tc>
      </w:tr>
      <w:tr w14:paraId="163C0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6" w:hRule="atLeast"/>
        </w:trPr>
        <w:tc>
          <w:tcPr>
            <w:tcW w:w="564" w:type="dxa"/>
            <w:vMerge w:val="continue"/>
            <w:tcBorders>
              <w:top w:val="nil"/>
            </w:tcBorders>
            <w:vAlign w:val="top"/>
          </w:tcPr>
          <w:p w14:paraId="7F498B44">
            <w:pPr>
              <w:rPr>
                <w:rFonts w:ascii="Arial"/>
                <w:color w:val="auto"/>
                <w:sz w:val="21"/>
                <w:highlight w:val="none"/>
              </w:rPr>
            </w:pPr>
          </w:p>
        </w:tc>
        <w:tc>
          <w:tcPr>
            <w:tcW w:w="1578" w:type="dxa"/>
            <w:vMerge w:val="continue"/>
            <w:tcBorders>
              <w:top w:val="nil"/>
            </w:tcBorders>
            <w:vAlign w:val="top"/>
          </w:tcPr>
          <w:p w14:paraId="3C639400">
            <w:pPr>
              <w:rPr>
                <w:rFonts w:ascii="Arial"/>
                <w:color w:val="auto"/>
                <w:sz w:val="21"/>
                <w:highlight w:val="none"/>
              </w:rPr>
            </w:pPr>
          </w:p>
        </w:tc>
        <w:tc>
          <w:tcPr>
            <w:tcW w:w="1469" w:type="dxa"/>
            <w:vAlign w:val="top"/>
          </w:tcPr>
          <w:p w14:paraId="3E8F85E7">
            <w:pPr>
              <w:spacing w:line="248" w:lineRule="auto"/>
              <w:rPr>
                <w:rFonts w:ascii="Arial"/>
                <w:color w:val="auto"/>
                <w:sz w:val="21"/>
                <w:highlight w:val="none"/>
              </w:rPr>
            </w:pPr>
          </w:p>
          <w:p w14:paraId="4E28A7DB">
            <w:pPr>
              <w:spacing w:line="248" w:lineRule="auto"/>
              <w:rPr>
                <w:rFonts w:ascii="Arial"/>
                <w:color w:val="auto"/>
                <w:sz w:val="21"/>
                <w:highlight w:val="none"/>
              </w:rPr>
            </w:pPr>
          </w:p>
          <w:p w14:paraId="275B5F7D">
            <w:pPr>
              <w:spacing w:line="248" w:lineRule="auto"/>
              <w:rPr>
                <w:rFonts w:ascii="Arial"/>
                <w:color w:val="auto"/>
                <w:sz w:val="21"/>
                <w:highlight w:val="none"/>
              </w:rPr>
            </w:pPr>
          </w:p>
          <w:p w14:paraId="6E1F76EB">
            <w:pPr>
              <w:spacing w:line="248" w:lineRule="auto"/>
              <w:rPr>
                <w:rFonts w:ascii="Arial"/>
                <w:color w:val="auto"/>
                <w:sz w:val="21"/>
                <w:highlight w:val="none"/>
              </w:rPr>
            </w:pPr>
          </w:p>
          <w:p w14:paraId="193ECE57">
            <w:pPr>
              <w:spacing w:line="248" w:lineRule="auto"/>
              <w:rPr>
                <w:rFonts w:ascii="Arial"/>
                <w:color w:val="auto"/>
                <w:sz w:val="21"/>
                <w:highlight w:val="none"/>
              </w:rPr>
            </w:pPr>
          </w:p>
          <w:p w14:paraId="55473DA5">
            <w:pPr>
              <w:spacing w:line="248" w:lineRule="auto"/>
              <w:rPr>
                <w:rFonts w:ascii="Arial"/>
                <w:color w:val="auto"/>
                <w:sz w:val="21"/>
                <w:highlight w:val="none"/>
              </w:rPr>
            </w:pPr>
          </w:p>
          <w:p w14:paraId="73031BBE">
            <w:pPr>
              <w:spacing w:line="248" w:lineRule="auto"/>
              <w:rPr>
                <w:rFonts w:ascii="Arial"/>
                <w:color w:val="auto"/>
                <w:sz w:val="21"/>
                <w:highlight w:val="none"/>
              </w:rPr>
            </w:pPr>
          </w:p>
          <w:p w14:paraId="09B3A0D6">
            <w:pPr>
              <w:spacing w:line="248" w:lineRule="auto"/>
              <w:rPr>
                <w:rFonts w:ascii="Arial"/>
                <w:color w:val="auto"/>
                <w:sz w:val="21"/>
                <w:highlight w:val="none"/>
              </w:rPr>
            </w:pPr>
          </w:p>
          <w:p w14:paraId="3071C286">
            <w:pPr>
              <w:spacing w:line="248" w:lineRule="auto"/>
              <w:rPr>
                <w:rFonts w:ascii="Arial"/>
                <w:color w:val="auto"/>
                <w:sz w:val="21"/>
                <w:highlight w:val="none"/>
              </w:rPr>
            </w:pPr>
          </w:p>
          <w:p w14:paraId="7BB425F8">
            <w:pPr>
              <w:spacing w:line="249" w:lineRule="auto"/>
              <w:rPr>
                <w:rFonts w:ascii="Arial"/>
                <w:color w:val="auto"/>
                <w:sz w:val="21"/>
                <w:highlight w:val="none"/>
              </w:rPr>
            </w:pPr>
          </w:p>
          <w:p w14:paraId="19153577">
            <w:pPr>
              <w:pStyle w:val="37"/>
              <w:spacing w:before="72" w:line="308" w:lineRule="auto"/>
              <w:ind w:left="172" w:right="45" w:hanging="109"/>
              <w:rPr>
                <w:color w:val="auto"/>
                <w:sz w:val="22"/>
                <w:szCs w:val="22"/>
                <w:highlight w:val="none"/>
              </w:rPr>
            </w:pPr>
            <w:r>
              <w:rPr>
                <w:color w:val="auto"/>
                <w:spacing w:val="5"/>
                <w:sz w:val="22"/>
                <w:szCs w:val="22"/>
                <w:highlight w:val="none"/>
              </w:rPr>
              <w:t>售后服务的内</w:t>
            </w:r>
            <w:r>
              <w:rPr>
                <w:color w:val="auto"/>
                <w:sz w:val="22"/>
                <w:szCs w:val="22"/>
                <w:highlight w:val="none"/>
              </w:rPr>
              <w:t xml:space="preserve"> </w:t>
            </w:r>
            <w:r>
              <w:rPr>
                <w:color w:val="auto"/>
                <w:spacing w:val="1"/>
                <w:sz w:val="22"/>
                <w:szCs w:val="22"/>
                <w:highlight w:val="none"/>
              </w:rPr>
              <w:t xml:space="preserve">容和措施分  </w:t>
            </w:r>
            <w:r>
              <w:rPr>
                <w:color w:val="auto"/>
                <w:spacing w:val="18"/>
                <w:sz w:val="22"/>
                <w:szCs w:val="22"/>
                <w:highlight w:val="none"/>
              </w:rPr>
              <w:t>(满分3分)</w:t>
            </w:r>
          </w:p>
        </w:tc>
        <w:tc>
          <w:tcPr>
            <w:tcW w:w="5863" w:type="dxa"/>
            <w:vAlign w:val="top"/>
          </w:tcPr>
          <w:p w14:paraId="7781D849">
            <w:pPr>
              <w:pStyle w:val="37"/>
              <w:spacing w:before="239" w:line="472" w:lineRule="auto"/>
              <w:ind w:left="74" w:right="287" w:firstLine="419"/>
              <w:rPr>
                <w:color w:val="auto"/>
                <w:sz w:val="22"/>
                <w:szCs w:val="22"/>
                <w:highlight w:val="none"/>
              </w:rPr>
            </w:pPr>
            <w:r>
              <w:rPr>
                <w:color w:val="auto"/>
                <w:sz w:val="22"/>
                <w:szCs w:val="22"/>
                <w:highlight w:val="none"/>
              </w:rPr>
              <w:t>一档(1分):有售后服务承诺，服务承诺、措施有可行</w:t>
            </w:r>
            <w:r>
              <w:rPr>
                <w:color w:val="auto"/>
                <w:spacing w:val="10"/>
                <w:sz w:val="22"/>
                <w:szCs w:val="22"/>
                <w:highlight w:val="none"/>
              </w:rPr>
              <w:t xml:space="preserve"> </w:t>
            </w:r>
            <w:r>
              <w:rPr>
                <w:color w:val="auto"/>
                <w:sz w:val="22"/>
                <w:szCs w:val="22"/>
                <w:highlight w:val="none"/>
              </w:rPr>
              <w:t>性，后期服务承诺响应满足项目需求。</w:t>
            </w:r>
          </w:p>
          <w:p w14:paraId="68784876">
            <w:pPr>
              <w:pStyle w:val="37"/>
              <w:spacing w:before="3" w:line="470" w:lineRule="auto"/>
              <w:ind w:left="84" w:firstLine="416"/>
              <w:jc w:val="both"/>
              <w:rPr>
                <w:color w:val="auto"/>
                <w:sz w:val="22"/>
                <w:szCs w:val="22"/>
                <w:highlight w:val="none"/>
              </w:rPr>
            </w:pPr>
            <w:r>
              <w:rPr>
                <w:color w:val="auto"/>
                <w:spacing w:val="2"/>
                <w:sz w:val="22"/>
                <w:szCs w:val="22"/>
                <w:highlight w:val="none"/>
              </w:rPr>
              <w:t>二档(2分):根据项目的实际情况，有基本的服务保障；</w:t>
            </w:r>
            <w:r>
              <w:rPr>
                <w:color w:val="auto"/>
                <w:spacing w:val="18"/>
                <w:sz w:val="22"/>
                <w:szCs w:val="22"/>
                <w:highlight w:val="none"/>
              </w:rPr>
              <w:t xml:space="preserve"> </w:t>
            </w:r>
            <w:r>
              <w:rPr>
                <w:color w:val="auto"/>
                <w:spacing w:val="-8"/>
                <w:sz w:val="22"/>
                <w:szCs w:val="22"/>
                <w:highlight w:val="none"/>
              </w:rPr>
              <w:t>承诺不合格产品退换时间，有详细的服务承诺、</w:t>
            </w:r>
            <w:r>
              <w:rPr>
                <w:color w:val="auto"/>
                <w:spacing w:val="-9"/>
                <w:sz w:val="22"/>
                <w:szCs w:val="22"/>
                <w:highlight w:val="none"/>
              </w:rPr>
              <w:t>后期售后服务</w:t>
            </w:r>
            <w:r>
              <w:rPr>
                <w:color w:val="auto"/>
                <w:spacing w:val="-2"/>
                <w:sz w:val="22"/>
                <w:szCs w:val="22"/>
                <w:highlight w:val="none"/>
              </w:rPr>
              <w:t>。</w:t>
            </w:r>
          </w:p>
          <w:p w14:paraId="28F14BCA">
            <w:pPr>
              <w:pStyle w:val="37"/>
              <w:spacing w:line="218" w:lineRule="auto"/>
              <w:ind w:left="514"/>
              <w:rPr>
                <w:color w:val="auto"/>
                <w:sz w:val="22"/>
                <w:szCs w:val="22"/>
                <w:highlight w:val="none"/>
              </w:rPr>
            </w:pPr>
            <w:r>
              <w:rPr>
                <w:color w:val="auto"/>
                <w:spacing w:val="-1"/>
                <w:sz w:val="22"/>
                <w:szCs w:val="22"/>
                <w:highlight w:val="none"/>
              </w:rPr>
              <w:t>三档(3分):针对本项目的实际情况，为项目提供的服</w:t>
            </w:r>
          </w:p>
          <w:p w14:paraId="48753696">
            <w:pPr>
              <w:pStyle w:val="37"/>
              <w:spacing w:before="310" w:line="471" w:lineRule="auto"/>
              <w:ind w:left="84" w:firstLine="9"/>
              <w:rPr>
                <w:color w:val="auto"/>
                <w:sz w:val="22"/>
                <w:szCs w:val="22"/>
                <w:highlight w:val="none"/>
              </w:rPr>
            </w:pPr>
            <w:r>
              <w:rPr>
                <w:color w:val="auto"/>
                <w:spacing w:val="-7"/>
                <w:sz w:val="22"/>
                <w:szCs w:val="22"/>
                <w:highlight w:val="none"/>
              </w:rPr>
              <w:t>务承诺有优质保障，售后服务明确响应时间、明确出现质量问</w:t>
            </w:r>
            <w:r>
              <w:rPr>
                <w:color w:val="auto"/>
                <w:spacing w:val="6"/>
                <w:sz w:val="22"/>
                <w:szCs w:val="22"/>
                <w:highlight w:val="none"/>
              </w:rPr>
              <w:t xml:space="preserve"> </w:t>
            </w:r>
            <w:r>
              <w:rPr>
                <w:color w:val="auto"/>
                <w:spacing w:val="-7"/>
                <w:sz w:val="22"/>
                <w:szCs w:val="22"/>
                <w:highlight w:val="none"/>
              </w:rPr>
              <w:t>题解决时间，并承诺不合格产品退换时间，有详细</w:t>
            </w:r>
            <w:r>
              <w:rPr>
                <w:rFonts w:hint="eastAsia"/>
                <w:color w:val="auto"/>
                <w:spacing w:val="-7"/>
                <w:sz w:val="22"/>
                <w:szCs w:val="22"/>
                <w:highlight w:val="none"/>
                <w:lang w:val="en-US" w:eastAsia="zh-CN"/>
              </w:rPr>
              <w:t>的</w:t>
            </w:r>
            <w:r>
              <w:rPr>
                <w:color w:val="auto"/>
                <w:spacing w:val="-7"/>
                <w:sz w:val="22"/>
                <w:szCs w:val="22"/>
                <w:highlight w:val="none"/>
              </w:rPr>
              <w:t>服务承诺、后期售后服务方式具有针对性，措施可行性，</w:t>
            </w:r>
            <w:r>
              <w:rPr>
                <w:color w:val="auto"/>
                <w:spacing w:val="2"/>
                <w:sz w:val="22"/>
                <w:szCs w:val="22"/>
                <w:highlight w:val="none"/>
              </w:rPr>
              <w:t>满足项目需求。</w:t>
            </w:r>
          </w:p>
        </w:tc>
      </w:tr>
      <w:tr w14:paraId="438A7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7" w:hRule="atLeast"/>
        </w:trPr>
        <w:tc>
          <w:tcPr>
            <w:tcW w:w="564" w:type="dxa"/>
            <w:vMerge w:val="restart"/>
            <w:tcBorders>
              <w:bottom w:val="nil"/>
            </w:tcBorders>
            <w:vAlign w:val="top"/>
          </w:tcPr>
          <w:p w14:paraId="6F9D2341">
            <w:pPr>
              <w:spacing w:line="254" w:lineRule="auto"/>
              <w:rPr>
                <w:rFonts w:ascii="Arial"/>
                <w:color w:val="auto"/>
                <w:sz w:val="21"/>
                <w:highlight w:val="none"/>
              </w:rPr>
            </w:pPr>
          </w:p>
          <w:p w14:paraId="3955ED2B">
            <w:pPr>
              <w:spacing w:line="254" w:lineRule="auto"/>
              <w:rPr>
                <w:rFonts w:ascii="Arial"/>
                <w:color w:val="auto"/>
                <w:sz w:val="21"/>
                <w:highlight w:val="none"/>
              </w:rPr>
            </w:pPr>
          </w:p>
          <w:p w14:paraId="4C92C3B1">
            <w:pPr>
              <w:spacing w:line="255" w:lineRule="auto"/>
              <w:rPr>
                <w:rFonts w:ascii="Arial"/>
                <w:color w:val="auto"/>
                <w:sz w:val="21"/>
                <w:highlight w:val="none"/>
              </w:rPr>
            </w:pPr>
          </w:p>
          <w:p w14:paraId="71F760AA">
            <w:pPr>
              <w:spacing w:line="255" w:lineRule="auto"/>
              <w:rPr>
                <w:rFonts w:ascii="Arial"/>
                <w:color w:val="auto"/>
                <w:sz w:val="21"/>
                <w:highlight w:val="none"/>
              </w:rPr>
            </w:pPr>
          </w:p>
          <w:p w14:paraId="612CECC2">
            <w:pPr>
              <w:spacing w:line="255" w:lineRule="auto"/>
              <w:rPr>
                <w:rFonts w:ascii="Arial"/>
                <w:color w:val="auto"/>
                <w:sz w:val="21"/>
                <w:highlight w:val="none"/>
              </w:rPr>
            </w:pPr>
          </w:p>
          <w:p w14:paraId="518D0E74">
            <w:pPr>
              <w:spacing w:line="255" w:lineRule="auto"/>
              <w:rPr>
                <w:rFonts w:ascii="Arial"/>
                <w:color w:val="auto"/>
                <w:sz w:val="21"/>
                <w:highlight w:val="none"/>
              </w:rPr>
            </w:pPr>
          </w:p>
          <w:p w14:paraId="75E981F1">
            <w:pPr>
              <w:spacing w:line="255" w:lineRule="auto"/>
              <w:rPr>
                <w:rFonts w:ascii="Arial"/>
                <w:color w:val="auto"/>
                <w:sz w:val="21"/>
                <w:highlight w:val="none"/>
              </w:rPr>
            </w:pPr>
          </w:p>
          <w:p w14:paraId="36931269">
            <w:pPr>
              <w:spacing w:line="255" w:lineRule="auto"/>
              <w:rPr>
                <w:rFonts w:ascii="Arial"/>
                <w:color w:val="auto"/>
                <w:sz w:val="21"/>
                <w:highlight w:val="none"/>
              </w:rPr>
            </w:pPr>
          </w:p>
          <w:p w14:paraId="36EE2D68">
            <w:pPr>
              <w:spacing w:line="255" w:lineRule="auto"/>
              <w:rPr>
                <w:rFonts w:ascii="Arial"/>
                <w:color w:val="auto"/>
                <w:sz w:val="21"/>
                <w:highlight w:val="none"/>
              </w:rPr>
            </w:pPr>
          </w:p>
          <w:p w14:paraId="7D690F7C">
            <w:pPr>
              <w:spacing w:line="255" w:lineRule="auto"/>
              <w:rPr>
                <w:rFonts w:ascii="Arial"/>
                <w:color w:val="auto"/>
                <w:sz w:val="21"/>
                <w:highlight w:val="none"/>
              </w:rPr>
            </w:pPr>
          </w:p>
          <w:p w14:paraId="0675F58E">
            <w:pPr>
              <w:spacing w:line="255" w:lineRule="auto"/>
              <w:rPr>
                <w:rFonts w:ascii="Arial"/>
                <w:color w:val="auto"/>
                <w:sz w:val="21"/>
                <w:highlight w:val="none"/>
              </w:rPr>
            </w:pPr>
          </w:p>
          <w:p w14:paraId="02F0E35C">
            <w:pPr>
              <w:spacing w:line="255" w:lineRule="auto"/>
              <w:rPr>
                <w:rFonts w:ascii="Arial"/>
                <w:color w:val="auto"/>
                <w:sz w:val="21"/>
                <w:highlight w:val="none"/>
              </w:rPr>
            </w:pPr>
          </w:p>
          <w:p w14:paraId="5B8E1704">
            <w:pPr>
              <w:spacing w:line="255" w:lineRule="auto"/>
              <w:rPr>
                <w:rFonts w:ascii="Arial"/>
                <w:color w:val="auto"/>
                <w:sz w:val="21"/>
                <w:highlight w:val="none"/>
              </w:rPr>
            </w:pPr>
          </w:p>
          <w:p w14:paraId="744F96AF">
            <w:pPr>
              <w:pStyle w:val="37"/>
              <w:spacing w:before="71"/>
              <w:ind w:left="175"/>
              <w:rPr>
                <w:color w:val="auto"/>
                <w:sz w:val="22"/>
                <w:szCs w:val="22"/>
                <w:highlight w:val="none"/>
              </w:rPr>
            </w:pPr>
            <w:r>
              <w:rPr>
                <w:color w:val="auto"/>
                <w:sz w:val="22"/>
                <w:szCs w:val="22"/>
                <w:highlight w:val="none"/>
              </w:rPr>
              <w:t>3</w:t>
            </w:r>
          </w:p>
        </w:tc>
        <w:tc>
          <w:tcPr>
            <w:tcW w:w="1578" w:type="dxa"/>
            <w:vMerge w:val="restart"/>
            <w:tcBorders>
              <w:bottom w:val="nil"/>
            </w:tcBorders>
            <w:vAlign w:val="top"/>
          </w:tcPr>
          <w:p w14:paraId="778E796E">
            <w:pPr>
              <w:spacing w:line="248" w:lineRule="auto"/>
              <w:rPr>
                <w:rFonts w:ascii="Arial"/>
                <w:color w:val="auto"/>
                <w:sz w:val="21"/>
                <w:highlight w:val="none"/>
              </w:rPr>
            </w:pPr>
          </w:p>
          <w:p w14:paraId="0609A13F">
            <w:pPr>
              <w:spacing w:line="248" w:lineRule="auto"/>
              <w:rPr>
                <w:rFonts w:ascii="Arial"/>
                <w:color w:val="auto"/>
                <w:sz w:val="21"/>
                <w:highlight w:val="none"/>
              </w:rPr>
            </w:pPr>
          </w:p>
          <w:p w14:paraId="0BFB06E4">
            <w:pPr>
              <w:spacing w:line="248" w:lineRule="auto"/>
              <w:rPr>
                <w:rFonts w:ascii="Arial"/>
                <w:color w:val="auto"/>
                <w:sz w:val="21"/>
                <w:highlight w:val="none"/>
              </w:rPr>
            </w:pPr>
          </w:p>
          <w:p w14:paraId="378B1BAA">
            <w:pPr>
              <w:spacing w:line="248" w:lineRule="auto"/>
              <w:rPr>
                <w:rFonts w:ascii="Arial"/>
                <w:color w:val="auto"/>
                <w:sz w:val="21"/>
                <w:highlight w:val="none"/>
              </w:rPr>
            </w:pPr>
          </w:p>
          <w:p w14:paraId="1E8F2A66">
            <w:pPr>
              <w:spacing w:line="248" w:lineRule="auto"/>
              <w:rPr>
                <w:rFonts w:ascii="Arial"/>
                <w:color w:val="auto"/>
                <w:sz w:val="21"/>
                <w:highlight w:val="none"/>
              </w:rPr>
            </w:pPr>
          </w:p>
          <w:p w14:paraId="42AC3456">
            <w:pPr>
              <w:spacing w:line="248" w:lineRule="auto"/>
              <w:rPr>
                <w:rFonts w:ascii="Arial"/>
                <w:color w:val="auto"/>
                <w:sz w:val="21"/>
                <w:highlight w:val="none"/>
              </w:rPr>
            </w:pPr>
          </w:p>
          <w:p w14:paraId="2D1405FD">
            <w:pPr>
              <w:spacing w:line="248" w:lineRule="auto"/>
              <w:rPr>
                <w:rFonts w:ascii="Arial"/>
                <w:color w:val="auto"/>
                <w:sz w:val="21"/>
                <w:highlight w:val="none"/>
              </w:rPr>
            </w:pPr>
          </w:p>
          <w:p w14:paraId="7384F110">
            <w:pPr>
              <w:spacing w:line="249" w:lineRule="auto"/>
              <w:rPr>
                <w:rFonts w:ascii="Arial"/>
                <w:color w:val="auto"/>
                <w:sz w:val="21"/>
                <w:highlight w:val="none"/>
              </w:rPr>
            </w:pPr>
          </w:p>
          <w:p w14:paraId="2A1FD3DE">
            <w:pPr>
              <w:spacing w:line="249" w:lineRule="auto"/>
              <w:rPr>
                <w:rFonts w:ascii="Arial"/>
                <w:color w:val="auto"/>
                <w:sz w:val="21"/>
                <w:highlight w:val="none"/>
              </w:rPr>
            </w:pPr>
          </w:p>
          <w:p w14:paraId="6980E59E">
            <w:pPr>
              <w:spacing w:line="249" w:lineRule="auto"/>
              <w:rPr>
                <w:rFonts w:ascii="Arial"/>
                <w:color w:val="auto"/>
                <w:sz w:val="21"/>
                <w:highlight w:val="none"/>
              </w:rPr>
            </w:pPr>
          </w:p>
          <w:p w14:paraId="4AC50D0A">
            <w:pPr>
              <w:spacing w:line="249" w:lineRule="auto"/>
              <w:rPr>
                <w:rFonts w:ascii="Arial"/>
                <w:color w:val="auto"/>
                <w:sz w:val="21"/>
                <w:highlight w:val="none"/>
              </w:rPr>
            </w:pPr>
          </w:p>
          <w:p w14:paraId="067C4C75">
            <w:pPr>
              <w:spacing w:line="249" w:lineRule="auto"/>
              <w:rPr>
                <w:rFonts w:ascii="Arial"/>
                <w:color w:val="auto"/>
                <w:sz w:val="21"/>
                <w:highlight w:val="none"/>
              </w:rPr>
            </w:pPr>
          </w:p>
          <w:p w14:paraId="2E08D8ED">
            <w:pPr>
              <w:pStyle w:val="37"/>
              <w:spacing w:before="71" w:line="219" w:lineRule="auto"/>
              <w:ind w:left="454"/>
              <w:rPr>
                <w:color w:val="auto"/>
                <w:sz w:val="22"/>
                <w:szCs w:val="22"/>
                <w:highlight w:val="none"/>
              </w:rPr>
            </w:pPr>
            <w:r>
              <w:rPr>
                <w:b/>
                <w:bCs/>
                <w:color w:val="auto"/>
                <w:spacing w:val="-6"/>
                <w:sz w:val="22"/>
                <w:szCs w:val="22"/>
                <w:highlight w:val="none"/>
              </w:rPr>
              <w:t>商务分</w:t>
            </w:r>
          </w:p>
          <w:p w14:paraId="000A04ED">
            <w:pPr>
              <w:pStyle w:val="37"/>
              <w:spacing w:before="100" w:line="314" w:lineRule="auto"/>
              <w:ind w:left="610" w:right="419" w:hanging="219"/>
              <w:rPr>
                <w:color w:val="auto"/>
                <w:sz w:val="22"/>
                <w:szCs w:val="22"/>
                <w:highlight w:val="none"/>
              </w:rPr>
            </w:pPr>
            <w:r>
              <w:rPr>
                <w:color w:val="auto"/>
                <w:spacing w:val="-3"/>
                <w:sz w:val="22"/>
                <w:szCs w:val="22"/>
                <w:highlight w:val="none"/>
                <w:u w:val="single" w:color="auto"/>
              </w:rPr>
              <w:t>(满分3</w:t>
            </w:r>
            <w:r>
              <w:rPr>
                <w:rFonts w:hint="eastAsia"/>
                <w:color w:val="auto"/>
                <w:spacing w:val="-3"/>
                <w:sz w:val="22"/>
                <w:szCs w:val="22"/>
                <w:highlight w:val="none"/>
                <w:u w:val="single" w:color="auto"/>
                <w:lang w:val="en-US" w:eastAsia="zh-CN"/>
              </w:rPr>
              <w:t>4</w:t>
            </w:r>
            <w:r>
              <w:rPr>
                <w:color w:val="auto"/>
                <w:sz w:val="22"/>
                <w:szCs w:val="22"/>
                <w:highlight w:val="none"/>
              </w:rPr>
              <w:t xml:space="preserve"> </w:t>
            </w:r>
            <w:r>
              <w:rPr>
                <w:color w:val="auto"/>
                <w:spacing w:val="-6"/>
                <w:sz w:val="22"/>
                <w:szCs w:val="22"/>
                <w:highlight w:val="none"/>
              </w:rPr>
              <w:t>分</w:t>
            </w:r>
            <w:r>
              <w:rPr>
                <w:color w:val="auto"/>
                <w:spacing w:val="-42"/>
                <w:sz w:val="22"/>
                <w:szCs w:val="22"/>
                <w:highlight w:val="none"/>
              </w:rPr>
              <w:t xml:space="preserve"> </w:t>
            </w:r>
            <w:r>
              <w:rPr>
                <w:color w:val="auto"/>
                <w:spacing w:val="-6"/>
                <w:sz w:val="22"/>
                <w:szCs w:val="22"/>
                <w:highlight w:val="none"/>
              </w:rPr>
              <w:t>)</w:t>
            </w:r>
          </w:p>
        </w:tc>
        <w:tc>
          <w:tcPr>
            <w:tcW w:w="1469" w:type="dxa"/>
            <w:vAlign w:val="top"/>
          </w:tcPr>
          <w:p w14:paraId="1F3B9FAF">
            <w:pPr>
              <w:spacing w:line="260" w:lineRule="auto"/>
              <w:rPr>
                <w:rFonts w:ascii="Arial"/>
                <w:color w:val="auto"/>
                <w:sz w:val="21"/>
                <w:highlight w:val="none"/>
              </w:rPr>
            </w:pPr>
          </w:p>
          <w:p w14:paraId="5D5C5476">
            <w:pPr>
              <w:spacing w:line="260" w:lineRule="auto"/>
              <w:rPr>
                <w:rFonts w:ascii="Arial"/>
                <w:color w:val="auto"/>
                <w:sz w:val="21"/>
                <w:highlight w:val="none"/>
              </w:rPr>
            </w:pPr>
          </w:p>
          <w:p w14:paraId="2C1B9CA3">
            <w:pPr>
              <w:spacing w:line="260" w:lineRule="auto"/>
              <w:rPr>
                <w:rFonts w:ascii="Arial"/>
                <w:color w:val="auto"/>
                <w:sz w:val="21"/>
                <w:highlight w:val="none"/>
              </w:rPr>
            </w:pPr>
          </w:p>
          <w:p w14:paraId="55736CAB">
            <w:pPr>
              <w:spacing w:line="261" w:lineRule="auto"/>
              <w:rPr>
                <w:rFonts w:ascii="Arial"/>
                <w:color w:val="auto"/>
                <w:sz w:val="21"/>
                <w:highlight w:val="none"/>
              </w:rPr>
            </w:pPr>
          </w:p>
          <w:p w14:paraId="4AEBB003">
            <w:pPr>
              <w:spacing w:line="261" w:lineRule="auto"/>
              <w:rPr>
                <w:rFonts w:ascii="Arial"/>
                <w:color w:val="auto"/>
                <w:sz w:val="21"/>
                <w:highlight w:val="none"/>
              </w:rPr>
            </w:pPr>
          </w:p>
          <w:p w14:paraId="708AE27C">
            <w:pPr>
              <w:spacing w:line="261" w:lineRule="auto"/>
              <w:rPr>
                <w:rFonts w:ascii="Arial"/>
                <w:color w:val="auto"/>
                <w:sz w:val="21"/>
                <w:highlight w:val="none"/>
              </w:rPr>
            </w:pPr>
          </w:p>
          <w:p w14:paraId="3C35FF3B">
            <w:pPr>
              <w:pStyle w:val="37"/>
              <w:spacing w:before="71" w:line="219" w:lineRule="auto"/>
              <w:ind w:left="173"/>
              <w:rPr>
                <w:color w:val="auto"/>
                <w:sz w:val="22"/>
                <w:szCs w:val="22"/>
                <w:highlight w:val="none"/>
              </w:rPr>
            </w:pPr>
            <w:r>
              <w:rPr>
                <w:color w:val="auto"/>
                <w:spacing w:val="-2"/>
                <w:sz w:val="22"/>
                <w:szCs w:val="22"/>
                <w:highlight w:val="none"/>
              </w:rPr>
              <w:t>配送能力分</w:t>
            </w:r>
          </w:p>
          <w:p w14:paraId="2CBCEE11">
            <w:pPr>
              <w:pStyle w:val="37"/>
              <w:spacing w:before="98" w:line="219" w:lineRule="auto"/>
              <w:ind w:left="232"/>
              <w:rPr>
                <w:color w:val="auto"/>
                <w:sz w:val="22"/>
                <w:szCs w:val="22"/>
                <w:highlight w:val="none"/>
              </w:rPr>
            </w:pPr>
            <w:r>
              <w:rPr>
                <w:color w:val="auto"/>
                <w:spacing w:val="8"/>
                <w:sz w:val="22"/>
                <w:szCs w:val="22"/>
                <w:highlight w:val="none"/>
              </w:rPr>
              <w:t>(满分</w:t>
            </w:r>
            <w:r>
              <w:rPr>
                <w:rFonts w:hint="eastAsia"/>
                <w:color w:val="auto"/>
                <w:spacing w:val="8"/>
                <w:sz w:val="22"/>
                <w:szCs w:val="22"/>
                <w:highlight w:val="none"/>
                <w:lang w:val="en-US" w:eastAsia="zh-CN"/>
              </w:rPr>
              <w:t>6</w:t>
            </w:r>
            <w:r>
              <w:rPr>
                <w:color w:val="auto"/>
                <w:spacing w:val="8"/>
                <w:sz w:val="22"/>
                <w:szCs w:val="22"/>
                <w:highlight w:val="none"/>
              </w:rPr>
              <w:t>分)</w:t>
            </w:r>
          </w:p>
        </w:tc>
        <w:tc>
          <w:tcPr>
            <w:tcW w:w="5863" w:type="dxa"/>
            <w:vAlign w:val="top"/>
          </w:tcPr>
          <w:p w14:paraId="2976DD8E">
            <w:pPr>
              <w:pStyle w:val="37"/>
              <w:spacing w:before="263" w:line="463" w:lineRule="auto"/>
              <w:ind w:left="104"/>
              <w:rPr>
                <w:color w:val="auto"/>
                <w:sz w:val="22"/>
                <w:szCs w:val="22"/>
                <w:highlight w:val="none"/>
              </w:rPr>
            </w:pPr>
            <w:r>
              <w:rPr>
                <w:color w:val="auto"/>
                <w:spacing w:val="-3"/>
                <w:sz w:val="22"/>
                <w:szCs w:val="22"/>
                <w:highlight w:val="none"/>
              </w:rPr>
              <w:t>投标人拟投入本项目的配送车辆，每投入一辆冷链车得2</w:t>
            </w:r>
            <w:r>
              <w:rPr>
                <w:color w:val="auto"/>
                <w:spacing w:val="-4"/>
                <w:sz w:val="22"/>
                <w:szCs w:val="22"/>
                <w:highlight w:val="none"/>
              </w:rPr>
              <w:t>分，</w:t>
            </w:r>
            <w:r>
              <w:rPr>
                <w:color w:val="auto"/>
                <w:sz w:val="22"/>
                <w:szCs w:val="22"/>
                <w:highlight w:val="none"/>
              </w:rPr>
              <w:t xml:space="preserve"> </w:t>
            </w:r>
            <w:r>
              <w:rPr>
                <w:color w:val="auto"/>
                <w:spacing w:val="-3"/>
                <w:sz w:val="22"/>
                <w:szCs w:val="22"/>
                <w:highlight w:val="none"/>
              </w:rPr>
              <w:t>满分4分；b.每投入一辆普通货车得1分，满分</w:t>
            </w:r>
            <w:r>
              <w:rPr>
                <w:rFonts w:hint="eastAsia"/>
                <w:color w:val="auto"/>
                <w:spacing w:val="-3"/>
                <w:sz w:val="22"/>
                <w:szCs w:val="22"/>
                <w:highlight w:val="none"/>
                <w:lang w:val="en-US" w:eastAsia="zh-CN"/>
              </w:rPr>
              <w:t>2</w:t>
            </w:r>
            <w:r>
              <w:rPr>
                <w:color w:val="auto"/>
                <w:spacing w:val="-3"/>
                <w:sz w:val="22"/>
                <w:szCs w:val="22"/>
                <w:highlight w:val="none"/>
              </w:rPr>
              <w:t>分。</w:t>
            </w:r>
          </w:p>
          <w:p w14:paraId="2FA74113">
            <w:pPr>
              <w:pStyle w:val="37"/>
              <w:spacing w:before="15" w:line="474" w:lineRule="auto"/>
              <w:ind w:left="84" w:right="2" w:firstLine="19"/>
              <w:rPr>
                <w:color w:val="auto"/>
                <w:sz w:val="22"/>
                <w:szCs w:val="22"/>
                <w:highlight w:val="none"/>
              </w:rPr>
            </w:pPr>
            <w:r>
              <w:rPr>
                <w:color w:val="auto"/>
                <w:spacing w:val="-8"/>
                <w:sz w:val="22"/>
                <w:szCs w:val="22"/>
                <w:highlight w:val="none"/>
              </w:rPr>
              <w:t>注：</w:t>
            </w:r>
            <w:r>
              <w:rPr>
                <w:color w:val="auto"/>
                <w:spacing w:val="-8"/>
                <w:sz w:val="22"/>
                <w:szCs w:val="22"/>
                <w:highlight w:val="none"/>
              </w:rPr>
              <w:t>以上投入车辆要求是供应商公司或其法定代表人名下登记</w:t>
            </w:r>
            <w:r>
              <w:rPr>
                <w:color w:val="auto"/>
                <w:spacing w:val="14"/>
                <w:sz w:val="22"/>
                <w:szCs w:val="22"/>
                <w:highlight w:val="none"/>
              </w:rPr>
              <w:t xml:space="preserve"> </w:t>
            </w:r>
            <w:r>
              <w:rPr>
                <w:color w:val="auto"/>
                <w:spacing w:val="-7"/>
                <w:sz w:val="22"/>
                <w:szCs w:val="22"/>
                <w:highlight w:val="none"/>
              </w:rPr>
              <w:t>的自有配送车辆或供应商公司租赁的配送车辆。提供车辆行驶</w:t>
            </w:r>
            <w:r>
              <w:rPr>
                <w:color w:val="auto"/>
                <w:spacing w:val="6"/>
                <w:sz w:val="22"/>
                <w:szCs w:val="22"/>
                <w:highlight w:val="none"/>
              </w:rPr>
              <w:t xml:space="preserve"> </w:t>
            </w:r>
            <w:r>
              <w:rPr>
                <w:color w:val="auto"/>
                <w:spacing w:val="-6"/>
                <w:sz w:val="22"/>
                <w:szCs w:val="22"/>
                <w:highlight w:val="none"/>
              </w:rPr>
              <w:t>证或机动车登记证、租赁协议(非自有车辆时提</w:t>
            </w:r>
            <w:r>
              <w:rPr>
                <w:color w:val="auto"/>
                <w:spacing w:val="-7"/>
                <w:sz w:val="22"/>
                <w:szCs w:val="22"/>
                <w:highlight w:val="none"/>
              </w:rPr>
              <w:t>供)及车辆照片</w:t>
            </w:r>
            <w:r>
              <w:rPr>
                <w:color w:val="auto"/>
                <w:sz w:val="22"/>
                <w:szCs w:val="22"/>
                <w:highlight w:val="none"/>
              </w:rPr>
              <w:t xml:space="preserve"> </w:t>
            </w:r>
            <w:r>
              <w:rPr>
                <w:color w:val="auto"/>
                <w:spacing w:val="1"/>
                <w:sz w:val="22"/>
                <w:szCs w:val="22"/>
                <w:highlight w:val="none"/>
              </w:rPr>
              <w:t>复印件，否则不予计分。</w:t>
            </w:r>
          </w:p>
        </w:tc>
      </w:tr>
      <w:tr w14:paraId="67B20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3" w:hRule="atLeast"/>
        </w:trPr>
        <w:tc>
          <w:tcPr>
            <w:tcW w:w="564" w:type="dxa"/>
            <w:vMerge w:val="continue"/>
            <w:tcBorders>
              <w:top w:val="nil"/>
            </w:tcBorders>
            <w:vAlign w:val="top"/>
          </w:tcPr>
          <w:p w14:paraId="66A8C749">
            <w:pPr>
              <w:rPr>
                <w:rFonts w:ascii="Arial"/>
                <w:color w:val="auto"/>
                <w:sz w:val="21"/>
                <w:highlight w:val="none"/>
              </w:rPr>
            </w:pPr>
          </w:p>
        </w:tc>
        <w:tc>
          <w:tcPr>
            <w:tcW w:w="1578" w:type="dxa"/>
            <w:vMerge w:val="continue"/>
            <w:tcBorders>
              <w:top w:val="nil"/>
            </w:tcBorders>
            <w:vAlign w:val="top"/>
          </w:tcPr>
          <w:p w14:paraId="03AA22DC">
            <w:pPr>
              <w:rPr>
                <w:rFonts w:ascii="Arial"/>
                <w:color w:val="auto"/>
                <w:sz w:val="21"/>
                <w:highlight w:val="none"/>
              </w:rPr>
            </w:pPr>
          </w:p>
        </w:tc>
        <w:tc>
          <w:tcPr>
            <w:tcW w:w="1469" w:type="dxa"/>
            <w:vAlign w:val="top"/>
          </w:tcPr>
          <w:p w14:paraId="1165C151">
            <w:pPr>
              <w:spacing w:line="261" w:lineRule="auto"/>
              <w:rPr>
                <w:rFonts w:ascii="Arial"/>
                <w:color w:val="auto"/>
                <w:sz w:val="21"/>
                <w:highlight w:val="none"/>
              </w:rPr>
            </w:pPr>
          </w:p>
          <w:p w14:paraId="4D18F40A">
            <w:pPr>
              <w:spacing w:line="261" w:lineRule="auto"/>
              <w:rPr>
                <w:rFonts w:ascii="Arial"/>
                <w:color w:val="auto"/>
                <w:sz w:val="21"/>
                <w:highlight w:val="none"/>
              </w:rPr>
            </w:pPr>
          </w:p>
          <w:p w14:paraId="6916B861">
            <w:pPr>
              <w:spacing w:line="261" w:lineRule="auto"/>
              <w:rPr>
                <w:rFonts w:ascii="Arial"/>
                <w:color w:val="auto"/>
                <w:sz w:val="21"/>
                <w:highlight w:val="none"/>
              </w:rPr>
            </w:pPr>
          </w:p>
          <w:p w14:paraId="6331546B">
            <w:pPr>
              <w:spacing w:line="261" w:lineRule="auto"/>
              <w:rPr>
                <w:rFonts w:ascii="Arial"/>
                <w:color w:val="auto"/>
                <w:sz w:val="21"/>
                <w:highlight w:val="none"/>
              </w:rPr>
            </w:pPr>
          </w:p>
          <w:p w14:paraId="751582CA">
            <w:pPr>
              <w:spacing w:line="262" w:lineRule="auto"/>
              <w:rPr>
                <w:rFonts w:ascii="Arial"/>
                <w:color w:val="auto"/>
                <w:sz w:val="21"/>
                <w:highlight w:val="none"/>
              </w:rPr>
            </w:pPr>
          </w:p>
          <w:p w14:paraId="615B3509">
            <w:pPr>
              <w:pStyle w:val="37"/>
              <w:spacing w:before="71" w:line="314" w:lineRule="auto"/>
              <w:ind w:left="73" w:right="134" w:firstLine="49"/>
              <w:rPr>
                <w:color w:val="auto"/>
                <w:sz w:val="22"/>
                <w:szCs w:val="22"/>
                <w:highlight w:val="none"/>
              </w:rPr>
            </w:pPr>
            <w:r>
              <w:rPr>
                <w:color w:val="auto"/>
                <w:spacing w:val="-2"/>
                <w:sz w:val="22"/>
                <w:szCs w:val="22"/>
                <w:highlight w:val="none"/>
              </w:rPr>
              <w:t>检验分(满分</w:t>
            </w:r>
            <w:r>
              <w:rPr>
                <w:color w:val="auto"/>
                <w:spacing w:val="2"/>
                <w:sz w:val="22"/>
                <w:szCs w:val="22"/>
                <w:highlight w:val="none"/>
              </w:rPr>
              <w:t xml:space="preserve"> </w:t>
            </w:r>
            <w:r>
              <w:rPr>
                <w:rFonts w:hint="eastAsia"/>
                <w:color w:val="auto"/>
                <w:spacing w:val="16"/>
                <w:sz w:val="22"/>
                <w:szCs w:val="22"/>
                <w:highlight w:val="none"/>
                <w:lang w:val="en-US" w:eastAsia="zh-CN"/>
              </w:rPr>
              <w:t>8</w:t>
            </w:r>
            <w:r>
              <w:rPr>
                <w:color w:val="auto"/>
                <w:spacing w:val="16"/>
                <w:sz w:val="22"/>
                <w:szCs w:val="22"/>
                <w:highlight w:val="none"/>
              </w:rPr>
              <w:t>分)</w:t>
            </w:r>
          </w:p>
        </w:tc>
        <w:tc>
          <w:tcPr>
            <w:tcW w:w="5863" w:type="dxa"/>
            <w:vAlign w:val="top"/>
          </w:tcPr>
          <w:p w14:paraId="6AAE3F8B">
            <w:pPr>
              <w:pStyle w:val="37"/>
              <w:spacing w:before="115" w:line="291" w:lineRule="auto"/>
              <w:ind w:left="84" w:right="8" w:firstLine="9"/>
              <w:rPr>
                <w:color w:val="auto"/>
                <w:sz w:val="22"/>
                <w:szCs w:val="22"/>
                <w:highlight w:val="none"/>
              </w:rPr>
            </w:pPr>
            <w:r>
              <w:rPr>
                <w:color w:val="auto"/>
                <w:spacing w:val="-11"/>
                <w:sz w:val="22"/>
                <w:szCs w:val="22"/>
                <w:highlight w:val="none"/>
              </w:rPr>
              <w:t>1、投标人拟投入本项目的标准化食品检测室并配备食品安全检</w:t>
            </w:r>
            <w:r>
              <w:rPr>
                <w:color w:val="auto"/>
                <w:spacing w:val="-7"/>
                <w:sz w:val="22"/>
                <w:szCs w:val="22"/>
                <w:highlight w:val="none"/>
              </w:rPr>
              <w:t>测设备设施，能按要求对供应的生鲜肉类、蔬菜等食材食品关</w:t>
            </w:r>
            <w:r>
              <w:rPr>
                <w:color w:val="auto"/>
                <w:spacing w:val="7"/>
                <w:sz w:val="22"/>
                <w:szCs w:val="22"/>
                <w:highlight w:val="none"/>
              </w:rPr>
              <w:t xml:space="preserve"> </w:t>
            </w:r>
            <w:r>
              <w:rPr>
                <w:color w:val="auto"/>
                <w:sz w:val="22"/>
                <w:szCs w:val="22"/>
                <w:highlight w:val="none"/>
              </w:rPr>
              <w:t>键性安全指标进行快速检测的得4分；(投标文件中提供快速</w:t>
            </w:r>
            <w:r>
              <w:rPr>
                <w:color w:val="auto"/>
                <w:spacing w:val="11"/>
                <w:sz w:val="22"/>
                <w:szCs w:val="22"/>
                <w:highlight w:val="none"/>
              </w:rPr>
              <w:t xml:space="preserve"> </w:t>
            </w:r>
            <w:r>
              <w:rPr>
                <w:color w:val="auto"/>
                <w:spacing w:val="2"/>
                <w:sz w:val="22"/>
                <w:szCs w:val="22"/>
                <w:highlight w:val="none"/>
              </w:rPr>
              <w:t>检测承诺函及食品安全检测室设备的设备图片及</w:t>
            </w:r>
            <w:r>
              <w:rPr>
                <w:color w:val="auto"/>
                <w:spacing w:val="1"/>
                <w:sz w:val="22"/>
                <w:szCs w:val="22"/>
                <w:highlight w:val="none"/>
              </w:rPr>
              <w:t>场地图片)</w:t>
            </w:r>
            <w:r>
              <w:rPr>
                <w:color w:val="auto"/>
                <w:sz w:val="22"/>
                <w:szCs w:val="22"/>
                <w:highlight w:val="none"/>
              </w:rPr>
              <w:t xml:space="preserve">  </w:t>
            </w:r>
            <w:r>
              <w:rPr>
                <w:color w:val="auto"/>
                <w:spacing w:val="5"/>
                <w:sz w:val="22"/>
                <w:szCs w:val="22"/>
                <w:highlight w:val="none"/>
              </w:rPr>
              <w:t>否则不予计分。</w:t>
            </w:r>
          </w:p>
          <w:p w14:paraId="5A179075">
            <w:pPr>
              <w:pStyle w:val="37"/>
              <w:spacing w:before="65" w:line="273" w:lineRule="auto"/>
              <w:ind w:left="103" w:hanging="39"/>
              <w:rPr>
                <w:color w:val="auto"/>
                <w:sz w:val="22"/>
                <w:szCs w:val="22"/>
                <w:highlight w:val="none"/>
              </w:rPr>
            </w:pPr>
            <w:r>
              <w:rPr>
                <w:color w:val="auto"/>
                <w:spacing w:val="-2"/>
                <w:sz w:val="22"/>
                <w:szCs w:val="22"/>
                <w:highlight w:val="none"/>
              </w:rPr>
              <w:t>2、为本项目配备有专职检测人员的，每</w:t>
            </w:r>
            <w:r>
              <w:rPr>
                <w:rFonts w:hint="eastAsia"/>
                <w:color w:val="auto"/>
                <w:spacing w:val="-2"/>
                <w:sz w:val="22"/>
                <w:szCs w:val="22"/>
                <w:highlight w:val="none"/>
                <w:lang w:val="en-US" w:eastAsia="zh-CN"/>
              </w:rPr>
              <w:t>一</w:t>
            </w:r>
            <w:r>
              <w:rPr>
                <w:color w:val="auto"/>
                <w:spacing w:val="-2"/>
                <w:sz w:val="22"/>
                <w:szCs w:val="22"/>
                <w:highlight w:val="none"/>
              </w:rPr>
              <w:t>人得1分，满分</w:t>
            </w:r>
            <w:r>
              <w:rPr>
                <w:rFonts w:hint="eastAsia"/>
                <w:color w:val="auto"/>
                <w:spacing w:val="-2"/>
                <w:sz w:val="22"/>
                <w:szCs w:val="22"/>
                <w:highlight w:val="none"/>
                <w:lang w:val="en-US" w:eastAsia="zh-CN"/>
              </w:rPr>
              <w:t>4</w:t>
            </w:r>
            <w:r>
              <w:rPr>
                <w:color w:val="auto"/>
                <w:spacing w:val="-2"/>
                <w:sz w:val="22"/>
                <w:szCs w:val="22"/>
                <w:highlight w:val="none"/>
              </w:rPr>
              <w:t>分。</w:t>
            </w:r>
            <w:r>
              <w:rPr>
                <w:color w:val="auto"/>
                <w:spacing w:val="13"/>
                <w:sz w:val="22"/>
                <w:szCs w:val="22"/>
                <w:highlight w:val="none"/>
              </w:rPr>
              <w:t xml:space="preserve"> </w:t>
            </w:r>
            <w:r>
              <w:rPr>
                <w:color w:val="auto"/>
                <w:spacing w:val="-4"/>
                <w:sz w:val="22"/>
                <w:szCs w:val="22"/>
                <w:highlight w:val="none"/>
              </w:rPr>
              <w:t>(投标文件中提供专职检测人员的劳动合同</w:t>
            </w:r>
            <w:r>
              <w:rPr>
                <w:rFonts w:hint="eastAsia"/>
                <w:color w:val="auto"/>
                <w:spacing w:val="-4"/>
                <w:sz w:val="22"/>
                <w:szCs w:val="22"/>
                <w:highlight w:val="none"/>
                <w:lang w:eastAsia="zh-CN"/>
              </w:rPr>
              <w:t>、</w:t>
            </w:r>
            <w:r>
              <w:rPr>
                <w:color w:val="auto"/>
                <w:spacing w:val="-4"/>
                <w:sz w:val="22"/>
                <w:szCs w:val="22"/>
                <w:highlight w:val="none"/>
              </w:rPr>
              <w:t>投标</w:t>
            </w:r>
            <w:r>
              <w:rPr>
                <w:color w:val="auto"/>
                <w:spacing w:val="-5"/>
                <w:sz w:val="22"/>
                <w:szCs w:val="22"/>
                <w:highlight w:val="none"/>
              </w:rPr>
              <w:t>人为该人员</w:t>
            </w:r>
            <w:r>
              <w:rPr>
                <w:color w:val="auto"/>
                <w:spacing w:val="-2"/>
                <w:sz w:val="22"/>
                <w:szCs w:val="22"/>
                <w:highlight w:val="none"/>
              </w:rPr>
              <w:t>发放工资的银行流水证明复印件),否则不予计分。</w:t>
            </w:r>
          </w:p>
        </w:tc>
      </w:tr>
    </w:tbl>
    <w:p w14:paraId="3174C9D7">
      <w:pPr>
        <w:rPr>
          <w:rFonts w:ascii="Arial"/>
          <w:color w:val="auto"/>
          <w:sz w:val="21"/>
          <w:highlight w:val="none"/>
        </w:rPr>
      </w:pPr>
    </w:p>
    <w:p w14:paraId="127A8127">
      <w:pPr>
        <w:rPr>
          <w:rFonts w:ascii="Arial" w:hAnsi="Arial" w:eastAsia="Arial" w:cs="Arial"/>
          <w:color w:val="auto"/>
          <w:sz w:val="21"/>
          <w:szCs w:val="21"/>
          <w:highlight w:val="none"/>
        </w:rPr>
        <w:sectPr>
          <w:footerReference r:id="rId8" w:type="default"/>
          <w:pgSz w:w="11900" w:h="16820"/>
          <w:pgMar w:top="400" w:right="1120" w:bottom="1254" w:left="1294" w:header="0" w:footer="839" w:gutter="0"/>
          <w:pgNumType w:fmt="decimal"/>
          <w:cols w:space="720" w:num="1"/>
        </w:sectPr>
      </w:pPr>
    </w:p>
    <w:p w14:paraId="39906ECE">
      <w:pPr>
        <w:spacing w:before="35"/>
        <w:rPr>
          <w:color w:val="auto"/>
          <w:highlight w:val="none"/>
        </w:rPr>
      </w:pPr>
    </w:p>
    <w:p w14:paraId="74256378">
      <w:pPr>
        <w:spacing w:before="35"/>
        <w:rPr>
          <w:color w:val="auto"/>
          <w:highlight w:val="none"/>
        </w:rPr>
      </w:pPr>
    </w:p>
    <w:p w14:paraId="68A445BC">
      <w:pPr>
        <w:spacing w:before="35"/>
        <w:rPr>
          <w:color w:val="auto"/>
          <w:highlight w:val="none"/>
        </w:rPr>
      </w:pPr>
    </w:p>
    <w:p w14:paraId="33BAC2A0">
      <w:pPr>
        <w:spacing w:before="34"/>
        <w:rPr>
          <w:color w:val="auto"/>
          <w:highlight w:val="none"/>
        </w:rPr>
      </w:pPr>
    </w:p>
    <w:tbl>
      <w:tblPr>
        <w:tblStyle w:val="38"/>
        <w:tblW w:w="94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4"/>
        <w:gridCol w:w="1588"/>
        <w:gridCol w:w="1459"/>
        <w:gridCol w:w="5859"/>
      </w:tblGrid>
      <w:tr w14:paraId="2EEC1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564" w:type="dxa"/>
            <w:vMerge w:val="restart"/>
            <w:tcBorders>
              <w:bottom w:val="nil"/>
            </w:tcBorders>
            <w:vAlign w:val="top"/>
          </w:tcPr>
          <w:p w14:paraId="1BE50D16">
            <w:pPr>
              <w:rPr>
                <w:rFonts w:ascii="Arial"/>
                <w:color w:val="auto"/>
                <w:sz w:val="21"/>
                <w:highlight w:val="none"/>
              </w:rPr>
            </w:pPr>
          </w:p>
        </w:tc>
        <w:tc>
          <w:tcPr>
            <w:tcW w:w="1588" w:type="dxa"/>
            <w:vMerge w:val="restart"/>
            <w:tcBorders>
              <w:bottom w:val="nil"/>
            </w:tcBorders>
            <w:vAlign w:val="top"/>
          </w:tcPr>
          <w:p w14:paraId="3592F59B">
            <w:pPr>
              <w:rPr>
                <w:rFonts w:ascii="Arial"/>
                <w:color w:val="auto"/>
                <w:sz w:val="21"/>
                <w:highlight w:val="none"/>
              </w:rPr>
            </w:pPr>
          </w:p>
        </w:tc>
        <w:tc>
          <w:tcPr>
            <w:tcW w:w="1459" w:type="dxa"/>
            <w:vAlign w:val="top"/>
          </w:tcPr>
          <w:p w14:paraId="71E3DF1A">
            <w:pPr>
              <w:spacing w:line="408" w:lineRule="auto"/>
              <w:rPr>
                <w:rFonts w:ascii="Arial"/>
                <w:color w:val="auto"/>
                <w:sz w:val="21"/>
                <w:highlight w:val="none"/>
              </w:rPr>
            </w:pPr>
          </w:p>
          <w:p w14:paraId="74C7593E">
            <w:pPr>
              <w:pStyle w:val="37"/>
              <w:spacing w:before="72" w:line="219" w:lineRule="auto"/>
              <w:ind w:left="173"/>
              <w:rPr>
                <w:color w:val="auto"/>
                <w:sz w:val="22"/>
                <w:szCs w:val="22"/>
                <w:highlight w:val="none"/>
              </w:rPr>
            </w:pPr>
            <w:r>
              <w:rPr>
                <w:color w:val="auto"/>
                <w:spacing w:val="2"/>
                <w:sz w:val="22"/>
                <w:szCs w:val="22"/>
                <w:highlight w:val="none"/>
              </w:rPr>
              <w:t>拟投入本项</w:t>
            </w:r>
          </w:p>
          <w:p w14:paraId="52675B8C">
            <w:pPr>
              <w:pStyle w:val="37"/>
              <w:spacing w:before="101" w:line="220" w:lineRule="auto"/>
              <w:ind w:left="173"/>
              <w:rPr>
                <w:color w:val="auto"/>
                <w:sz w:val="22"/>
                <w:szCs w:val="22"/>
                <w:highlight w:val="none"/>
              </w:rPr>
            </w:pPr>
            <w:r>
              <w:rPr>
                <w:color w:val="auto"/>
                <w:spacing w:val="1"/>
                <w:sz w:val="22"/>
                <w:szCs w:val="22"/>
                <w:highlight w:val="none"/>
              </w:rPr>
              <w:t>目的实施人</w:t>
            </w:r>
          </w:p>
          <w:p w14:paraId="32233887">
            <w:pPr>
              <w:pStyle w:val="37"/>
              <w:spacing w:before="107" w:line="305" w:lineRule="auto"/>
              <w:ind w:left="63" w:right="164" w:firstLine="109"/>
              <w:rPr>
                <w:color w:val="auto"/>
                <w:sz w:val="22"/>
                <w:szCs w:val="22"/>
                <w:highlight w:val="none"/>
              </w:rPr>
            </w:pPr>
            <w:r>
              <w:rPr>
                <w:color w:val="auto"/>
                <w:spacing w:val="1"/>
                <w:sz w:val="22"/>
                <w:szCs w:val="22"/>
                <w:highlight w:val="none"/>
              </w:rPr>
              <w:t>员分(满分</w:t>
            </w:r>
            <w:r>
              <w:rPr>
                <w:rFonts w:hint="eastAsia"/>
                <w:color w:val="auto"/>
                <w:spacing w:val="1"/>
                <w:sz w:val="22"/>
                <w:szCs w:val="22"/>
                <w:highlight w:val="none"/>
                <w:lang w:val="en-US" w:eastAsia="zh-CN"/>
              </w:rPr>
              <w:t>5</w:t>
            </w:r>
            <w:r>
              <w:rPr>
                <w:color w:val="auto"/>
                <w:spacing w:val="4"/>
                <w:sz w:val="22"/>
                <w:szCs w:val="22"/>
                <w:highlight w:val="none"/>
              </w:rPr>
              <w:t xml:space="preserve"> </w:t>
            </w:r>
            <w:r>
              <w:rPr>
                <w:color w:val="auto"/>
                <w:spacing w:val="-6"/>
                <w:sz w:val="22"/>
                <w:szCs w:val="22"/>
                <w:highlight w:val="none"/>
              </w:rPr>
              <w:t>分</w:t>
            </w:r>
            <w:r>
              <w:rPr>
                <w:color w:val="auto"/>
                <w:spacing w:val="-42"/>
                <w:sz w:val="22"/>
                <w:szCs w:val="22"/>
                <w:highlight w:val="none"/>
              </w:rPr>
              <w:t xml:space="preserve"> </w:t>
            </w:r>
            <w:r>
              <w:rPr>
                <w:color w:val="auto"/>
                <w:spacing w:val="-6"/>
                <w:sz w:val="22"/>
                <w:szCs w:val="22"/>
                <w:highlight w:val="none"/>
              </w:rPr>
              <w:t>)</w:t>
            </w:r>
          </w:p>
        </w:tc>
        <w:tc>
          <w:tcPr>
            <w:tcW w:w="5859" w:type="dxa"/>
            <w:vAlign w:val="top"/>
          </w:tcPr>
          <w:p w14:paraId="37C6DC41">
            <w:pPr>
              <w:pStyle w:val="37"/>
              <w:spacing w:before="12" w:line="453" w:lineRule="auto"/>
              <w:ind w:left="13" w:firstLine="99"/>
              <w:jc w:val="both"/>
              <w:rPr>
                <w:color w:val="auto"/>
                <w:sz w:val="22"/>
                <w:szCs w:val="22"/>
                <w:highlight w:val="none"/>
              </w:rPr>
            </w:pPr>
            <w:r>
              <w:rPr>
                <w:color w:val="auto"/>
                <w:sz w:val="22"/>
                <w:szCs w:val="22"/>
                <w:highlight w:val="none"/>
              </w:rPr>
              <w:t>投标人为本项目配备有食品安全管理员，每</w:t>
            </w:r>
            <w:r>
              <w:rPr>
                <w:color w:val="auto"/>
                <w:spacing w:val="-1"/>
                <w:sz w:val="22"/>
                <w:szCs w:val="22"/>
                <w:highlight w:val="none"/>
              </w:rPr>
              <w:t>配备1名得1分，</w:t>
            </w:r>
            <w:r>
              <w:rPr>
                <w:color w:val="auto"/>
                <w:sz w:val="22"/>
                <w:szCs w:val="22"/>
                <w:highlight w:val="none"/>
              </w:rPr>
              <w:t xml:space="preserve"> </w:t>
            </w:r>
            <w:r>
              <w:rPr>
                <w:color w:val="auto"/>
                <w:spacing w:val="1"/>
                <w:sz w:val="22"/>
                <w:szCs w:val="22"/>
                <w:highlight w:val="none"/>
              </w:rPr>
              <w:t>本项目满分</w:t>
            </w:r>
            <w:r>
              <w:rPr>
                <w:rFonts w:hint="eastAsia"/>
                <w:color w:val="auto"/>
                <w:spacing w:val="1"/>
                <w:sz w:val="22"/>
                <w:szCs w:val="22"/>
                <w:highlight w:val="none"/>
                <w:lang w:val="en-US" w:eastAsia="zh-CN"/>
              </w:rPr>
              <w:t>5</w:t>
            </w:r>
            <w:r>
              <w:rPr>
                <w:color w:val="auto"/>
                <w:spacing w:val="1"/>
                <w:sz w:val="22"/>
                <w:szCs w:val="22"/>
                <w:highlight w:val="none"/>
              </w:rPr>
              <w:t>分(提供相应的人员的健康证复印件及的劳动合</w:t>
            </w:r>
            <w:r>
              <w:rPr>
                <w:color w:val="auto"/>
                <w:spacing w:val="5"/>
                <w:sz w:val="22"/>
                <w:szCs w:val="22"/>
                <w:highlight w:val="none"/>
              </w:rPr>
              <w:t xml:space="preserve"> </w:t>
            </w:r>
            <w:r>
              <w:rPr>
                <w:color w:val="auto"/>
                <w:spacing w:val="-4"/>
                <w:sz w:val="22"/>
                <w:szCs w:val="22"/>
                <w:highlight w:val="none"/>
              </w:rPr>
              <w:t>同、投标人为该人员发放工资的银行流水证明复印件),否则不</w:t>
            </w:r>
            <w:r>
              <w:rPr>
                <w:color w:val="auto"/>
                <w:spacing w:val="6"/>
                <w:sz w:val="22"/>
                <w:szCs w:val="22"/>
                <w:highlight w:val="none"/>
              </w:rPr>
              <w:t xml:space="preserve"> </w:t>
            </w:r>
            <w:r>
              <w:rPr>
                <w:color w:val="auto"/>
                <w:spacing w:val="14"/>
                <w:sz w:val="22"/>
                <w:szCs w:val="22"/>
                <w:highlight w:val="none"/>
              </w:rPr>
              <w:t>予计分。</w:t>
            </w:r>
          </w:p>
        </w:tc>
      </w:tr>
      <w:tr w14:paraId="3E86E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7" w:hRule="atLeast"/>
        </w:trPr>
        <w:tc>
          <w:tcPr>
            <w:tcW w:w="564" w:type="dxa"/>
            <w:vMerge w:val="continue"/>
            <w:tcBorders>
              <w:top w:val="nil"/>
              <w:bottom w:val="nil"/>
            </w:tcBorders>
            <w:vAlign w:val="top"/>
          </w:tcPr>
          <w:p w14:paraId="78F35BCF">
            <w:pPr>
              <w:rPr>
                <w:rFonts w:ascii="Arial"/>
                <w:color w:val="auto"/>
                <w:sz w:val="21"/>
                <w:highlight w:val="none"/>
              </w:rPr>
            </w:pPr>
          </w:p>
        </w:tc>
        <w:tc>
          <w:tcPr>
            <w:tcW w:w="1588" w:type="dxa"/>
            <w:vMerge w:val="continue"/>
            <w:tcBorders>
              <w:top w:val="nil"/>
              <w:bottom w:val="nil"/>
            </w:tcBorders>
            <w:vAlign w:val="top"/>
          </w:tcPr>
          <w:p w14:paraId="37672072">
            <w:pPr>
              <w:rPr>
                <w:rFonts w:ascii="Arial"/>
                <w:color w:val="auto"/>
                <w:sz w:val="21"/>
                <w:highlight w:val="none"/>
              </w:rPr>
            </w:pPr>
          </w:p>
        </w:tc>
        <w:tc>
          <w:tcPr>
            <w:tcW w:w="1459" w:type="dxa"/>
            <w:vAlign w:val="top"/>
          </w:tcPr>
          <w:p w14:paraId="7244BF9D">
            <w:pPr>
              <w:spacing w:line="248" w:lineRule="auto"/>
              <w:rPr>
                <w:rFonts w:ascii="Arial"/>
                <w:color w:val="auto"/>
                <w:sz w:val="21"/>
                <w:highlight w:val="none"/>
              </w:rPr>
            </w:pPr>
          </w:p>
          <w:p w14:paraId="59EFA161">
            <w:pPr>
              <w:spacing w:line="248" w:lineRule="auto"/>
              <w:rPr>
                <w:rFonts w:ascii="Arial"/>
                <w:color w:val="auto"/>
                <w:sz w:val="21"/>
                <w:highlight w:val="none"/>
              </w:rPr>
            </w:pPr>
          </w:p>
          <w:p w14:paraId="7F2D0F26">
            <w:pPr>
              <w:spacing w:line="248" w:lineRule="auto"/>
              <w:rPr>
                <w:rFonts w:ascii="Arial"/>
                <w:color w:val="auto"/>
                <w:sz w:val="21"/>
                <w:highlight w:val="none"/>
              </w:rPr>
            </w:pPr>
          </w:p>
          <w:p w14:paraId="1F824BAA">
            <w:pPr>
              <w:spacing w:line="249" w:lineRule="auto"/>
              <w:rPr>
                <w:rFonts w:ascii="Arial"/>
                <w:color w:val="auto"/>
                <w:sz w:val="21"/>
                <w:highlight w:val="none"/>
              </w:rPr>
            </w:pPr>
          </w:p>
          <w:p w14:paraId="254A7EB7">
            <w:pPr>
              <w:pStyle w:val="37"/>
              <w:spacing w:before="71" w:line="306" w:lineRule="auto"/>
              <w:ind w:left="63" w:right="134" w:firstLine="49"/>
              <w:rPr>
                <w:color w:val="auto"/>
                <w:sz w:val="22"/>
                <w:szCs w:val="22"/>
                <w:highlight w:val="none"/>
              </w:rPr>
            </w:pPr>
            <w:r>
              <w:rPr>
                <w:color w:val="auto"/>
                <w:spacing w:val="-2"/>
                <w:sz w:val="22"/>
                <w:szCs w:val="22"/>
                <w:highlight w:val="none"/>
              </w:rPr>
              <w:t>信誉分(满分</w:t>
            </w:r>
            <w:r>
              <w:rPr>
                <w:color w:val="auto"/>
                <w:spacing w:val="2"/>
                <w:sz w:val="22"/>
                <w:szCs w:val="22"/>
                <w:highlight w:val="none"/>
              </w:rPr>
              <w:t xml:space="preserve"> </w:t>
            </w:r>
            <w:r>
              <w:rPr>
                <w:rFonts w:hint="eastAsia"/>
                <w:color w:val="auto"/>
                <w:spacing w:val="16"/>
                <w:sz w:val="22"/>
                <w:szCs w:val="22"/>
                <w:highlight w:val="none"/>
                <w:lang w:val="en-US" w:eastAsia="zh-CN"/>
              </w:rPr>
              <w:t>6</w:t>
            </w:r>
            <w:r>
              <w:rPr>
                <w:color w:val="auto"/>
                <w:spacing w:val="16"/>
                <w:sz w:val="22"/>
                <w:szCs w:val="22"/>
                <w:highlight w:val="none"/>
              </w:rPr>
              <w:t>分)</w:t>
            </w:r>
          </w:p>
        </w:tc>
        <w:tc>
          <w:tcPr>
            <w:tcW w:w="5859" w:type="dxa"/>
            <w:vAlign w:val="top"/>
          </w:tcPr>
          <w:p w14:paraId="34C82EE7">
            <w:pPr>
              <w:pStyle w:val="37"/>
              <w:numPr>
                <w:ilvl w:val="0"/>
                <w:numId w:val="0"/>
              </w:numPr>
              <w:spacing w:before="269" w:line="474" w:lineRule="auto"/>
              <w:ind w:right="46" w:rightChars="0"/>
              <w:jc w:val="both"/>
              <w:rPr>
                <w:rFonts w:hint="eastAsia" w:eastAsia="宋体"/>
                <w:color w:val="auto"/>
                <w:spacing w:val="2"/>
                <w:sz w:val="22"/>
                <w:szCs w:val="22"/>
                <w:highlight w:val="none"/>
                <w:lang w:eastAsia="zh-CN"/>
              </w:rPr>
            </w:pPr>
            <w:r>
              <w:rPr>
                <w:rFonts w:hint="eastAsia"/>
                <w:color w:val="auto"/>
                <w:sz w:val="22"/>
                <w:szCs w:val="22"/>
                <w:highlight w:val="none"/>
                <w:lang w:val="en-US" w:eastAsia="zh-CN"/>
              </w:rPr>
              <w:t>1.</w:t>
            </w:r>
            <w:r>
              <w:rPr>
                <w:color w:val="auto"/>
                <w:sz w:val="22"/>
                <w:szCs w:val="22"/>
                <w:highlight w:val="none"/>
              </w:rPr>
              <w:t>投标人具有IS09001质量管理体系认证证书、IS014001环</w:t>
            </w:r>
            <w:r>
              <w:rPr>
                <w:color w:val="auto"/>
                <w:spacing w:val="10"/>
                <w:sz w:val="22"/>
                <w:szCs w:val="22"/>
                <w:highlight w:val="none"/>
              </w:rPr>
              <w:t xml:space="preserve"> </w:t>
            </w:r>
            <w:r>
              <w:rPr>
                <w:color w:val="auto"/>
                <w:sz w:val="22"/>
                <w:szCs w:val="22"/>
                <w:highlight w:val="none"/>
              </w:rPr>
              <w:t>境管理体系认证证书、ISO45001职业健康管理体系认证证书</w:t>
            </w:r>
            <w:r>
              <w:rPr>
                <w:color w:val="auto"/>
                <w:spacing w:val="13"/>
                <w:sz w:val="22"/>
                <w:szCs w:val="22"/>
                <w:highlight w:val="none"/>
              </w:rPr>
              <w:t xml:space="preserve"> </w:t>
            </w:r>
            <w:r>
              <w:rPr>
                <w:color w:val="auto"/>
                <w:sz w:val="22"/>
                <w:szCs w:val="22"/>
                <w:highlight w:val="none"/>
              </w:rPr>
              <w:t>的，每有1项得</w:t>
            </w:r>
            <w:r>
              <w:rPr>
                <w:rFonts w:hint="eastAsia"/>
                <w:color w:val="auto"/>
                <w:sz w:val="22"/>
                <w:szCs w:val="22"/>
                <w:highlight w:val="none"/>
                <w:lang w:val="en-US" w:eastAsia="zh-CN"/>
              </w:rPr>
              <w:t>2</w:t>
            </w:r>
            <w:r>
              <w:rPr>
                <w:color w:val="auto"/>
                <w:sz w:val="22"/>
                <w:szCs w:val="22"/>
                <w:highlight w:val="none"/>
              </w:rPr>
              <w:t>分，满分</w:t>
            </w:r>
            <w:r>
              <w:rPr>
                <w:rFonts w:hint="eastAsia"/>
                <w:color w:val="auto"/>
                <w:sz w:val="22"/>
                <w:szCs w:val="22"/>
                <w:highlight w:val="none"/>
                <w:lang w:val="en-US" w:eastAsia="zh-CN"/>
              </w:rPr>
              <w:t>6</w:t>
            </w:r>
            <w:r>
              <w:rPr>
                <w:color w:val="auto"/>
                <w:sz w:val="22"/>
                <w:szCs w:val="22"/>
                <w:highlight w:val="none"/>
              </w:rPr>
              <w:t>分(投标文件中提供有效期内的相</w:t>
            </w:r>
            <w:r>
              <w:rPr>
                <w:color w:val="auto"/>
                <w:spacing w:val="17"/>
                <w:sz w:val="22"/>
                <w:szCs w:val="22"/>
                <w:highlight w:val="none"/>
              </w:rPr>
              <w:t xml:space="preserve"> </w:t>
            </w:r>
            <w:r>
              <w:rPr>
                <w:color w:val="auto"/>
                <w:spacing w:val="2"/>
                <w:sz w:val="22"/>
                <w:szCs w:val="22"/>
                <w:highlight w:val="none"/>
              </w:rPr>
              <w:t>应证书复印件)。</w:t>
            </w:r>
          </w:p>
        </w:tc>
      </w:tr>
      <w:tr w14:paraId="4932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564" w:type="dxa"/>
            <w:vMerge w:val="continue"/>
            <w:tcBorders>
              <w:top w:val="nil"/>
            </w:tcBorders>
            <w:vAlign w:val="top"/>
          </w:tcPr>
          <w:p w14:paraId="1D9B2F1E">
            <w:pPr>
              <w:rPr>
                <w:rFonts w:ascii="Arial"/>
                <w:color w:val="auto"/>
                <w:sz w:val="21"/>
                <w:highlight w:val="none"/>
              </w:rPr>
            </w:pPr>
          </w:p>
        </w:tc>
        <w:tc>
          <w:tcPr>
            <w:tcW w:w="1588" w:type="dxa"/>
            <w:vMerge w:val="continue"/>
            <w:tcBorders>
              <w:top w:val="nil"/>
            </w:tcBorders>
            <w:vAlign w:val="top"/>
          </w:tcPr>
          <w:p w14:paraId="0A26159D">
            <w:pPr>
              <w:rPr>
                <w:rFonts w:ascii="Arial"/>
                <w:color w:val="auto"/>
                <w:sz w:val="21"/>
                <w:highlight w:val="none"/>
              </w:rPr>
            </w:pPr>
          </w:p>
        </w:tc>
        <w:tc>
          <w:tcPr>
            <w:tcW w:w="1459" w:type="dxa"/>
            <w:vAlign w:val="top"/>
          </w:tcPr>
          <w:p w14:paraId="35FB6466">
            <w:pPr>
              <w:spacing w:line="299" w:lineRule="auto"/>
              <w:rPr>
                <w:rFonts w:ascii="Arial"/>
                <w:color w:val="auto"/>
                <w:sz w:val="21"/>
                <w:highlight w:val="none"/>
              </w:rPr>
            </w:pPr>
          </w:p>
          <w:p w14:paraId="3FCF1DC4">
            <w:pPr>
              <w:pStyle w:val="37"/>
              <w:spacing w:before="72" w:line="300" w:lineRule="auto"/>
              <w:ind w:left="333" w:right="370" w:firstLine="59"/>
              <w:jc w:val="right"/>
              <w:rPr>
                <w:color w:val="auto"/>
                <w:sz w:val="22"/>
                <w:szCs w:val="22"/>
                <w:highlight w:val="none"/>
              </w:rPr>
            </w:pPr>
            <w:r>
              <w:rPr>
                <w:color w:val="auto"/>
                <w:spacing w:val="-3"/>
                <w:sz w:val="22"/>
                <w:szCs w:val="22"/>
                <w:highlight w:val="none"/>
              </w:rPr>
              <w:t>业绩分</w:t>
            </w:r>
            <w:r>
              <w:rPr>
                <w:color w:val="auto"/>
                <w:sz w:val="22"/>
                <w:szCs w:val="22"/>
                <w:highlight w:val="none"/>
              </w:rPr>
              <w:t xml:space="preserve"> </w:t>
            </w:r>
            <w:r>
              <w:rPr>
                <w:color w:val="auto"/>
                <w:spacing w:val="-5"/>
                <w:sz w:val="22"/>
                <w:szCs w:val="22"/>
                <w:highlight w:val="none"/>
                <w:u w:val="none" w:color="auto"/>
              </w:rPr>
              <w:t>(满分</w:t>
            </w:r>
            <w:r>
              <w:rPr>
                <w:rFonts w:hint="eastAsia"/>
                <w:color w:val="auto"/>
                <w:spacing w:val="-5"/>
                <w:sz w:val="22"/>
                <w:szCs w:val="22"/>
                <w:highlight w:val="none"/>
                <w:u w:val="none" w:color="auto"/>
                <w:lang w:val="en-US" w:eastAsia="zh-CN"/>
              </w:rPr>
              <w:t>9</w:t>
            </w:r>
            <w:r>
              <w:rPr>
                <w:color w:val="auto"/>
                <w:sz w:val="22"/>
                <w:szCs w:val="22"/>
                <w:highlight w:val="none"/>
                <w:u w:val="none" w:color="auto"/>
              </w:rPr>
              <w:t xml:space="preserve"> </w:t>
            </w:r>
            <w:r>
              <w:rPr>
                <w:color w:val="auto"/>
                <w:spacing w:val="-6"/>
                <w:sz w:val="22"/>
                <w:szCs w:val="22"/>
                <w:highlight w:val="none"/>
              </w:rPr>
              <w:t>分</w:t>
            </w:r>
            <w:r>
              <w:rPr>
                <w:color w:val="auto"/>
                <w:spacing w:val="-42"/>
                <w:sz w:val="22"/>
                <w:szCs w:val="22"/>
                <w:highlight w:val="none"/>
              </w:rPr>
              <w:t xml:space="preserve"> </w:t>
            </w:r>
            <w:r>
              <w:rPr>
                <w:color w:val="auto"/>
                <w:spacing w:val="-6"/>
                <w:sz w:val="22"/>
                <w:szCs w:val="22"/>
                <w:highlight w:val="none"/>
              </w:rPr>
              <w:t>)</w:t>
            </w:r>
          </w:p>
        </w:tc>
        <w:tc>
          <w:tcPr>
            <w:tcW w:w="5859" w:type="dxa"/>
            <w:vAlign w:val="top"/>
          </w:tcPr>
          <w:p w14:paraId="2F53CBBF">
            <w:pPr>
              <w:pStyle w:val="37"/>
              <w:spacing w:before="36" w:line="447" w:lineRule="auto"/>
              <w:ind w:left="3" w:firstLine="9"/>
              <w:jc w:val="both"/>
              <w:rPr>
                <w:color w:val="auto"/>
                <w:sz w:val="22"/>
                <w:szCs w:val="22"/>
                <w:highlight w:val="none"/>
              </w:rPr>
            </w:pPr>
            <w:r>
              <w:rPr>
                <w:color w:val="auto"/>
                <w:spacing w:val="-4"/>
                <w:sz w:val="22"/>
                <w:szCs w:val="22"/>
                <w:highlight w:val="none"/>
              </w:rPr>
              <w:t>投标人自202</w:t>
            </w:r>
            <w:r>
              <w:rPr>
                <w:rFonts w:hint="eastAsia"/>
                <w:color w:val="auto"/>
                <w:spacing w:val="-4"/>
                <w:sz w:val="22"/>
                <w:szCs w:val="22"/>
                <w:highlight w:val="none"/>
                <w:lang w:val="en-US" w:eastAsia="zh-CN"/>
              </w:rPr>
              <w:t>2</w:t>
            </w:r>
            <w:r>
              <w:rPr>
                <w:color w:val="auto"/>
                <w:spacing w:val="-4"/>
                <w:sz w:val="22"/>
                <w:szCs w:val="22"/>
                <w:highlight w:val="none"/>
              </w:rPr>
              <w:t>年至提交投标文件截止时间止，投标人具有与本</w:t>
            </w:r>
            <w:r>
              <w:rPr>
                <w:color w:val="auto"/>
                <w:spacing w:val="10"/>
                <w:sz w:val="22"/>
                <w:szCs w:val="22"/>
                <w:highlight w:val="none"/>
              </w:rPr>
              <w:t xml:space="preserve"> </w:t>
            </w:r>
            <w:r>
              <w:rPr>
                <w:color w:val="auto"/>
                <w:sz w:val="22"/>
                <w:szCs w:val="22"/>
                <w:highlight w:val="none"/>
              </w:rPr>
              <w:t>次采购内容有关的类似项目业绩的(以合同或协议签订时间为</w:t>
            </w:r>
            <w:r>
              <w:rPr>
                <w:color w:val="auto"/>
                <w:spacing w:val="5"/>
                <w:sz w:val="22"/>
                <w:szCs w:val="22"/>
                <w:highlight w:val="none"/>
              </w:rPr>
              <w:t xml:space="preserve"> </w:t>
            </w:r>
            <w:r>
              <w:rPr>
                <w:color w:val="auto"/>
                <w:spacing w:val="-4"/>
                <w:sz w:val="22"/>
                <w:szCs w:val="22"/>
                <w:highlight w:val="none"/>
              </w:rPr>
              <w:t>准，提供合同或协议复印件，同一单位不重复计分，未提供或</w:t>
            </w:r>
            <w:r>
              <w:rPr>
                <w:color w:val="auto"/>
                <w:spacing w:val="11"/>
                <w:sz w:val="22"/>
                <w:szCs w:val="22"/>
                <w:highlight w:val="none"/>
              </w:rPr>
              <w:t xml:space="preserve"> </w:t>
            </w:r>
            <w:r>
              <w:rPr>
                <w:color w:val="auto"/>
                <w:spacing w:val="4"/>
                <w:sz w:val="22"/>
                <w:szCs w:val="22"/>
                <w:highlight w:val="none"/>
              </w:rPr>
              <w:t>不按要求提供不计分),每个</w:t>
            </w:r>
            <w:r>
              <w:rPr>
                <w:rFonts w:hint="eastAsia"/>
                <w:color w:val="auto"/>
                <w:spacing w:val="4"/>
                <w:sz w:val="22"/>
                <w:szCs w:val="22"/>
                <w:highlight w:val="none"/>
                <w:lang w:val="en-US" w:eastAsia="zh-CN"/>
              </w:rPr>
              <w:t>0.5</w:t>
            </w:r>
            <w:r>
              <w:rPr>
                <w:color w:val="auto"/>
                <w:spacing w:val="4"/>
                <w:sz w:val="22"/>
                <w:szCs w:val="22"/>
                <w:highlight w:val="none"/>
              </w:rPr>
              <w:t>分，满分</w:t>
            </w:r>
            <w:r>
              <w:rPr>
                <w:rFonts w:hint="eastAsia"/>
                <w:color w:val="auto"/>
                <w:spacing w:val="4"/>
                <w:sz w:val="22"/>
                <w:szCs w:val="22"/>
                <w:highlight w:val="none"/>
                <w:lang w:val="en-US" w:eastAsia="zh-CN"/>
              </w:rPr>
              <w:t>9</w:t>
            </w:r>
            <w:r>
              <w:rPr>
                <w:color w:val="auto"/>
                <w:spacing w:val="3"/>
                <w:sz w:val="22"/>
                <w:szCs w:val="22"/>
                <w:highlight w:val="none"/>
              </w:rPr>
              <w:t>分。</w:t>
            </w:r>
          </w:p>
        </w:tc>
      </w:tr>
      <w:tr w14:paraId="3D09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470" w:type="dxa"/>
            <w:gridSpan w:val="4"/>
            <w:vAlign w:val="top"/>
          </w:tcPr>
          <w:p w14:paraId="38132B7D">
            <w:pPr>
              <w:pStyle w:val="37"/>
              <w:spacing w:before="175" w:line="219" w:lineRule="auto"/>
              <w:ind w:left="108"/>
              <w:rPr>
                <w:color w:val="auto"/>
                <w:sz w:val="22"/>
                <w:szCs w:val="22"/>
                <w:highlight w:val="none"/>
              </w:rPr>
            </w:pPr>
            <w:r>
              <w:rPr>
                <w:b/>
                <w:bCs/>
                <w:color w:val="auto"/>
                <w:spacing w:val="-2"/>
                <w:sz w:val="22"/>
                <w:szCs w:val="22"/>
                <w:highlight w:val="none"/>
              </w:rPr>
              <w:t>总得分=1+2+3</w:t>
            </w:r>
          </w:p>
        </w:tc>
      </w:tr>
    </w:tbl>
    <w:p w14:paraId="673ADC10">
      <w:pPr>
        <w:rPr>
          <w:rFonts w:hint="eastAsia"/>
          <w:color w:val="auto"/>
          <w:highlight w:val="none"/>
          <w:lang w:eastAsia="zh-CN"/>
        </w:rPr>
      </w:pPr>
    </w:p>
    <w:p w14:paraId="0C58D780">
      <w:pPr>
        <w:pStyle w:val="5"/>
        <w:jc w:val="center"/>
        <w:rPr>
          <w:rFonts w:hint="eastAsia" w:cs="Times New Roman"/>
          <w:b w:val="0"/>
          <w:color w:val="auto"/>
          <w:sz w:val="30"/>
          <w:szCs w:val="30"/>
          <w:highlight w:val="none"/>
        </w:rPr>
      </w:pPr>
      <w:bookmarkStart w:id="307" w:name="_Toc2202"/>
      <w:bookmarkStart w:id="308" w:name="_Toc18582"/>
      <w:bookmarkStart w:id="309" w:name="_Toc23906"/>
      <w:bookmarkStart w:id="310" w:name="_Toc9480"/>
      <w:bookmarkStart w:id="311" w:name="_Toc12855"/>
      <w:bookmarkStart w:id="312" w:name="_Toc20313"/>
      <w:bookmarkStart w:id="313" w:name="_Toc15061"/>
      <w:bookmarkStart w:id="314" w:name="_Toc11083"/>
      <w:bookmarkStart w:id="315" w:name="_Toc16466"/>
      <w:bookmarkStart w:id="316" w:name="_Toc10751"/>
    </w:p>
    <w:p w14:paraId="74203701">
      <w:pPr>
        <w:pStyle w:val="5"/>
        <w:ind w:firstLine="2400" w:firstLineChars="800"/>
        <w:jc w:val="both"/>
        <w:rPr>
          <w:rFonts w:hint="eastAsia" w:cs="Times New Roman"/>
          <w:b w:val="0"/>
          <w:color w:val="auto"/>
          <w:sz w:val="30"/>
          <w:szCs w:val="30"/>
          <w:highlight w:val="none"/>
        </w:rPr>
      </w:pPr>
      <w:r>
        <w:rPr>
          <w:rFonts w:hint="eastAsia" w:cs="Times New Roman"/>
          <w:b w:val="0"/>
          <w:color w:val="auto"/>
          <w:sz w:val="30"/>
          <w:szCs w:val="30"/>
          <w:highlight w:val="none"/>
        </w:rPr>
        <w:t>第四节</w:t>
      </w:r>
      <w:r>
        <w:rPr>
          <w:rFonts w:cs="Times New Roman"/>
          <w:b w:val="0"/>
          <w:color w:val="auto"/>
          <w:sz w:val="30"/>
          <w:szCs w:val="30"/>
          <w:highlight w:val="none"/>
        </w:rPr>
        <w:t xml:space="preserve"> </w:t>
      </w:r>
      <w:r>
        <w:rPr>
          <w:rFonts w:hint="eastAsia" w:cs="Times New Roman"/>
          <w:b w:val="0"/>
          <w:color w:val="auto"/>
          <w:sz w:val="30"/>
          <w:szCs w:val="30"/>
          <w:highlight w:val="none"/>
        </w:rPr>
        <w:t>中标候选人推荐原则</w:t>
      </w:r>
      <w:bookmarkEnd w:id="307"/>
      <w:bookmarkEnd w:id="308"/>
      <w:bookmarkEnd w:id="309"/>
      <w:bookmarkEnd w:id="310"/>
      <w:bookmarkEnd w:id="311"/>
      <w:bookmarkEnd w:id="312"/>
      <w:bookmarkEnd w:id="313"/>
      <w:bookmarkEnd w:id="314"/>
      <w:bookmarkEnd w:id="315"/>
      <w:bookmarkEnd w:id="316"/>
    </w:p>
    <w:p w14:paraId="34C1C7D5">
      <w:pPr>
        <w:pStyle w:val="15"/>
        <w:numPr>
          <w:ilvl w:val="0"/>
          <w:numId w:val="0"/>
        </w:numPr>
        <w:spacing w:line="360" w:lineRule="auto"/>
        <w:ind w:left="472" w:leftChars="0"/>
        <w:contextualSpacing/>
        <w:rPr>
          <w:rFonts w:hAnsi="宋体" w:eastAsia="宋体" w:cs="Times New Roman"/>
          <w:b/>
          <w:bCs/>
          <w:color w:val="auto"/>
          <w:sz w:val="24"/>
          <w:szCs w:val="24"/>
          <w:highlight w:val="none"/>
        </w:rPr>
      </w:pPr>
      <w:r>
        <w:rPr>
          <w:rFonts w:hint="eastAsia" w:hAnsi="宋体" w:eastAsia="宋体" w:cs="Times New Roman"/>
          <w:b/>
          <w:bCs/>
          <w:color w:val="auto"/>
          <w:sz w:val="24"/>
          <w:szCs w:val="24"/>
          <w:highlight w:val="none"/>
        </w:rPr>
        <w:t>（一）综合评分法</w:t>
      </w:r>
    </w:p>
    <w:p w14:paraId="2F9D76D7">
      <w:pPr>
        <w:pStyle w:val="15"/>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评标委员会将根据评审后总得分由高到低排列次序并推荐中标候选人。总得分相同的，以投标报价由低到高顺序排列</w:t>
      </w:r>
      <w:r>
        <w:rPr>
          <w:rFonts w:hint="eastAsia" w:hAnsi="宋体" w:cs="Times New Roman"/>
          <w:color w:val="auto"/>
          <w:highlight w:val="none"/>
          <w:lang w:eastAsia="zh-CN"/>
        </w:rPr>
        <w:t>，</w:t>
      </w:r>
      <w:r>
        <w:rPr>
          <w:rFonts w:hint="eastAsia" w:hAnsi="宋体" w:eastAsia="宋体" w:cs="Times New Roman"/>
          <w:color w:val="auto"/>
          <w:highlight w:val="none"/>
        </w:rPr>
        <w:t>得分相同且投标报价相同的并列</w:t>
      </w:r>
      <w:r>
        <w:rPr>
          <w:rFonts w:hint="eastAsia" w:hAnsi="宋体" w:cs="Times New Roman"/>
          <w:color w:val="auto"/>
          <w:highlight w:val="none"/>
          <w:lang w:eastAsia="zh-CN"/>
        </w:rPr>
        <w:t>。</w:t>
      </w:r>
      <w:r>
        <w:rPr>
          <w:rFonts w:hint="eastAsia" w:hAnsi="宋体" w:eastAsia="宋体" w:cs="Times New Roman"/>
          <w:color w:val="auto"/>
          <w:highlight w:val="none"/>
        </w:rPr>
        <w:t>投标文件满足招标文件全部实质性要求，且按照评审因素的量化指标评审得分最高的投标人为排名第一的中标候选人。</w:t>
      </w:r>
    </w:p>
    <w:p w14:paraId="29EC2472">
      <w:pPr>
        <w:pStyle w:val="15"/>
        <w:spacing w:line="360" w:lineRule="auto"/>
        <w:ind w:firstLine="482" w:firstLineChars="200"/>
        <w:rPr>
          <w:rFonts w:hint="eastAsia" w:hAnsi="宋体" w:eastAsia="宋体" w:cs="Times New Roman"/>
          <w:color w:val="auto"/>
          <w:highlight w:val="none"/>
        </w:rPr>
      </w:pPr>
      <w:r>
        <w:rPr>
          <w:rFonts w:hint="eastAsia" w:hAnsi="宋体" w:eastAsia="宋体" w:cs="Times New Roman"/>
          <w:b/>
          <w:bCs/>
          <w:color w:val="auto"/>
          <w:sz w:val="24"/>
          <w:szCs w:val="24"/>
          <w:highlight w:val="none"/>
        </w:rPr>
        <w:t>（二）最低评标报价法</w:t>
      </w:r>
    </w:p>
    <w:p w14:paraId="1928A73A">
      <w:pPr>
        <w:pStyle w:val="15"/>
        <w:tabs>
          <w:tab w:val="left" w:pos="2472"/>
        </w:tabs>
        <w:spacing w:line="480" w:lineRule="exact"/>
        <w:ind w:firstLine="420" w:firstLineChars="200"/>
        <w:rPr>
          <w:rFonts w:hint="eastAsia" w:eastAsia="宋体" w:cs="Times New Roman"/>
          <w:color w:val="auto"/>
          <w:highlight w:val="none"/>
        </w:rPr>
      </w:pPr>
      <w:r>
        <w:rPr>
          <w:rFonts w:hint="eastAsia" w:hAnsi="宋体" w:eastAsia="宋体" w:cs="Times New Roman"/>
          <w:color w:val="auto"/>
          <w:highlight w:val="none"/>
        </w:rPr>
        <w:t>评标委员会将按照有效评标报价从低到高顺序排列，评标报价相同的并列。投标文件满足招标文件全部实质性要求且评标报价最低的投标人为排名第一的中标候选人。</w:t>
      </w:r>
    </w:p>
    <w:p w14:paraId="7461C0CD">
      <w:pPr>
        <w:pStyle w:val="5"/>
        <w:spacing w:before="0" w:after="0" w:line="360" w:lineRule="auto"/>
        <w:ind w:firstLine="600" w:firstLineChars="200"/>
        <w:jc w:val="center"/>
        <w:rPr>
          <w:rFonts w:hint="eastAsia" w:cs="Times New Roman"/>
          <w:b w:val="0"/>
          <w:color w:val="auto"/>
          <w:sz w:val="30"/>
          <w:szCs w:val="30"/>
          <w:highlight w:val="none"/>
        </w:rPr>
      </w:pPr>
      <w:bookmarkStart w:id="317" w:name="_Toc29218"/>
      <w:bookmarkStart w:id="318" w:name="_Toc27419"/>
      <w:bookmarkStart w:id="319" w:name="_Toc22384"/>
      <w:bookmarkStart w:id="320" w:name="_Toc11545"/>
      <w:bookmarkStart w:id="321" w:name="_Toc11073"/>
      <w:bookmarkStart w:id="322" w:name="_Toc9602"/>
      <w:bookmarkStart w:id="323" w:name="_Toc11695"/>
      <w:bookmarkStart w:id="324" w:name="_Toc7971"/>
      <w:bookmarkStart w:id="325" w:name="_Toc13808"/>
      <w:bookmarkStart w:id="326" w:name="_Toc13625"/>
      <w:r>
        <w:rPr>
          <w:rFonts w:hint="eastAsia" w:cs="Times New Roman"/>
          <w:b w:val="0"/>
          <w:color w:val="auto"/>
          <w:sz w:val="30"/>
          <w:szCs w:val="30"/>
          <w:highlight w:val="none"/>
        </w:rPr>
        <w:t>第五节</w:t>
      </w:r>
      <w:r>
        <w:rPr>
          <w:rFonts w:cs="Times New Roman"/>
          <w:b w:val="0"/>
          <w:color w:val="auto"/>
          <w:sz w:val="30"/>
          <w:szCs w:val="30"/>
          <w:highlight w:val="none"/>
        </w:rPr>
        <w:t xml:space="preserve"> </w:t>
      </w:r>
      <w:r>
        <w:rPr>
          <w:rFonts w:hint="eastAsia" w:cs="Times New Roman"/>
          <w:b w:val="0"/>
          <w:color w:val="auto"/>
          <w:sz w:val="30"/>
          <w:szCs w:val="30"/>
          <w:highlight w:val="none"/>
        </w:rPr>
        <w:t>评标报告</w:t>
      </w:r>
      <w:bookmarkEnd w:id="317"/>
      <w:bookmarkEnd w:id="318"/>
      <w:bookmarkEnd w:id="319"/>
      <w:bookmarkEnd w:id="320"/>
      <w:bookmarkEnd w:id="321"/>
      <w:bookmarkEnd w:id="322"/>
      <w:bookmarkEnd w:id="323"/>
      <w:bookmarkEnd w:id="324"/>
      <w:bookmarkEnd w:id="325"/>
      <w:bookmarkEnd w:id="326"/>
    </w:p>
    <w:p w14:paraId="14104A99">
      <w:pPr>
        <w:pStyle w:val="32"/>
        <w:spacing w:before="0"/>
        <w:ind w:firstLine="482"/>
        <w:rPr>
          <w:rFonts w:ascii="宋体" w:hAnsi="宋体" w:eastAsia="宋体" w:cs="Times New Roman"/>
          <w:b/>
          <w:bCs/>
          <w:color w:val="auto"/>
          <w:szCs w:val="24"/>
          <w:highlight w:val="none"/>
        </w:rPr>
      </w:pPr>
      <w:r>
        <w:rPr>
          <w:rFonts w:hint="eastAsia" w:ascii="宋体" w:hAnsi="宋体" w:eastAsia="宋体" w:cs="Times New Roman"/>
          <w:b/>
          <w:bCs/>
          <w:color w:val="auto"/>
          <w:szCs w:val="24"/>
          <w:highlight w:val="none"/>
        </w:rPr>
        <w:t>（一）评标报告与推荐中标候选人</w:t>
      </w:r>
    </w:p>
    <w:p w14:paraId="297FD764">
      <w:pPr>
        <w:pStyle w:val="15"/>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评标委员会根据原始评标记录和评标结果编写评标报告，并通过电子交易平台向采购人、采购代理机构提交。</w:t>
      </w:r>
    </w:p>
    <w:p w14:paraId="1CCE19D2">
      <w:pPr>
        <w:widowControl/>
        <w:spacing w:line="360" w:lineRule="auto"/>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（二）评标争议事项处理</w:t>
      </w:r>
    </w:p>
    <w:p w14:paraId="14D780F3">
      <w:pPr>
        <w:pStyle w:val="15"/>
        <w:tabs>
          <w:tab w:val="left" w:pos="2472"/>
        </w:tabs>
        <w:spacing w:line="360" w:lineRule="auto"/>
        <w:ind w:firstLine="420" w:firstLineChars="200"/>
        <w:rPr>
          <w:rFonts w:hint="eastAsia" w:hAnsi="宋体" w:eastAsia="宋体" w:cs="Times New Roman"/>
          <w:color w:val="auto"/>
          <w:highlight w:val="none"/>
        </w:rPr>
      </w:pPr>
      <w:r>
        <w:rPr>
          <w:rFonts w:hint="eastAsia" w:hAnsi="宋体" w:eastAsia="宋体" w:cs="Times New Roman"/>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16944F7">
      <w:pPr>
        <w:widowControl/>
        <w:jc w:val="left"/>
        <w:rPr>
          <w:b/>
          <w:color w:val="auto"/>
          <w:sz w:val="36"/>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6B3A9EC0">
      <w:pPr>
        <w:pStyle w:val="15"/>
        <w:tabs>
          <w:tab w:val="left" w:pos="2472"/>
        </w:tabs>
        <w:spacing w:line="460" w:lineRule="exact"/>
        <w:jc w:val="center"/>
        <w:rPr>
          <w:rFonts w:hint="eastAsia" w:ascii="Times New Roman" w:hAnsi="Times New Roman" w:eastAsia="宋体" w:cs="Times New Roman"/>
          <w:b/>
          <w:color w:val="auto"/>
          <w:sz w:val="36"/>
          <w:highlight w:val="none"/>
        </w:rPr>
      </w:pPr>
    </w:p>
    <w:p w14:paraId="6A25ADC3">
      <w:pPr>
        <w:pStyle w:val="15"/>
        <w:tabs>
          <w:tab w:val="left" w:pos="2472"/>
        </w:tabs>
        <w:spacing w:line="460" w:lineRule="exact"/>
        <w:jc w:val="center"/>
        <w:rPr>
          <w:rFonts w:ascii="Times New Roman" w:hAnsi="Times New Roman" w:eastAsia="宋体" w:cs="Times New Roman"/>
          <w:b/>
          <w:color w:val="auto"/>
          <w:sz w:val="36"/>
          <w:highlight w:val="none"/>
        </w:rPr>
      </w:pPr>
    </w:p>
    <w:p w14:paraId="0267AA67">
      <w:pPr>
        <w:pStyle w:val="15"/>
        <w:tabs>
          <w:tab w:val="left" w:pos="2472"/>
        </w:tabs>
        <w:spacing w:line="460" w:lineRule="exact"/>
        <w:jc w:val="center"/>
        <w:rPr>
          <w:rFonts w:ascii="Times New Roman" w:hAnsi="Times New Roman" w:eastAsia="宋体" w:cs="Times New Roman"/>
          <w:b/>
          <w:color w:val="auto"/>
          <w:sz w:val="36"/>
          <w:highlight w:val="none"/>
        </w:rPr>
      </w:pPr>
    </w:p>
    <w:p w14:paraId="4FB6D812">
      <w:pPr>
        <w:pStyle w:val="15"/>
        <w:tabs>
          <w:tab w:val="left" w:pos="2472"/>
        </w:tabs>
        <w:spacing w:line="460" w:lineRule="exact"/>
        <w:jc w:val="center"/>
        <w:rPr>
          <w:rFonts w:ascii="Times New Roman" w:hAnsi="Times New Roman" w:eastAsia="宋体" w:cs="Times New Roman"/>
          <w:b/>
          <w:color w:val="auto"/>
          <w:sz w:val="36"/>
          <w:highlight w:val="none"/>
        </w:rPr>
      </w:pPr>
    </w:p>
    <w:p w14:paraId="1DE4871F">
      <w:pPr>
        <w:pStyle w:val="15"/>
        <w:tabs>
          <w:tab w:val="left" w:pos="2472"/>
        </w:tabs>
        <w:spacing w:line="460" w:lineRule="exact"/>
        <w:jc w:val="center"/>
        <w:rPr>
          <w:rFonts w:ascii="Times New Roman" w:hAnsi="Times New Roman" w:eastAsia="宋体" w:cs="Times New Roman"/>
          <w:b/>
          <w:color w:val="auto"/>
          <w:sz w:val="36"/>
          <w:highlight w:val="none"/>
        </w:rPr>
      </w:pPr>
    </w:p>
    <w:p w14:paraId="6F19B24D">
      <w:pPr>
        <w:pStyle w:val="15"/>
        <w:tabs>
          <w:tab w:val="left" w:pos="2472"/>
        </w:tabs>
        <w:spacing w:line="460" w:lineRule="exact"/>
        <w:jc w:val="center"/>
        <w:rPr>
          <w:rFonts w:ascii="Times New Roman" w:hAnsi="Times New Roman" w:eastAsia="宋体" w:cs="Times New Roman"/>
          <w:b/>
          <w:color w:val="auto"/>
          <w:sz w:val="36"/>
          <w:highlight w:val="none"/>
        </w:rPr>
      </w:pPr>
    </w:p>
    <w:p w14:paraId="7250C872">
      <w:pPr>
        <w:pStyle w:val="15"/>
        <w:tabs>
          <w:tab w:val="left" w:pos="2472"/>
        </w:tabs>
        <w:spacing w:line="460" w:lineRule="exact"/>
        <w:jc w:val="center"/>
        <w:rPr>
          <w:rFonts w:ascii="Times New Roman" w:hAnsi="Times New Roman" w:eastAsia="宋体" w:cs="Times New Roman"/>
          <w:b/>
          <w:color w:val="auto"/>
          <w:sz w:val="36"/>
          <w:highlight w:val="none"/>
        </w:rPr>
      </w:pPr>
    </w:p>
    <w:p w14:paraId="1F64D077">
      <w:pPr>
        <w:pStyle w:val="15"/>
        <w:tabs>
          <w:tab w:val="left" w:pos="2472"/>
        </w:tabs>
        <w:spacing w:line="460" w:lineRule="exact"/>
        <w:jc w:val="center"/>
        <w:rPr>
          <w:rFonts w:ascii="Times New Roman" w:hAnsi="Times New Roman" w:eastAsia="宋体" w:cs="Times New Roman"/>
          <w:b/>
          <w:color w:val="auto"/>
          <w:sz w:val="36"/>
          <w:highlight w:val="none"/>
        </w:rPr>
      </w:pPr>
    </w:p>
    <w:p w14:paraId="01CBD6D4">
      <w:pPr>
        <w:pStyle w:val="15"/>
        <w:tabs>
          <w:tab w:val="left" w:pos="2472"/>
        </w:tabs>
        <w:spacing w:line="460" w:lineRule="exact"/>
        <w:jc w:val="center"/>
        <w:rPr>
          <w:rFonts w:ascii="Times New Roman" w:hAnsi="Times New Roman" w:eastAsia="宋体" w:cs="Times New Roman"/>
          <w:b/>
          <w:color w:val="auto"/>
          <w:sz w:val="36"/>
          <w:highlight w:val="none"/>
        </w:rPr>
      </w:pPr>
    </w:p>
    <w:p w14:paraId="5C5F151C">
      <w:pPr>
        <w:pStyle w:val="15"/>
        <w:tabs>
          <w:tab w:val="left" w:pos="2472"/>
        </w:tabs>
        <w:spacing w:line="460" w:lineRule="exact"/>
        <w:jc w:val="center"/>
        <w:rPr>
          <w:rFonts w:ascii="Times New Roman" w:hAnsi="Times New Roman" w:eastAsia="宋体" w:cs="Times New Roman"/>
          <w:b/>
          <w:color w:val="auto"/>
          <w:sz w:val="36"/>
          <w:highlight w:val="none"/>
        </w:rPr>
      </w:pPr>
    </w:p>
    <w:p w14:paraId="64E7034E">
      <w:pPr>
        <w:pStyle w:val="15"/>
        <w:tabs>
          <w:tab w:val="left" w:pos="2472"/>
        </w:tabs>
        <w:spacing w:line="460" w:lineRule="exact"/>
        <w:jc w:val="center"/>
        <w:rPr>
          <w:rFonts w:ascii="Times New Roman" w:hAnsi="Times New Roman" w:eastAsia="宋体" w:cs="Times New Roman"/>
          <w:b/>
          <w:color w:val="auto"/>
          <w:sz w:val="36"/>
          <w:highlight w:val="none"/>
        </w:rPr>
      </w:pPr>
    </w:p>
    <w:p w14:paraId="733DE1F8">
      <w:pPr>
        <w:pStyle w:val="15"/>
        <w:tabs>
          <w:tab w:val="left" w:pos="2472"/>
        </w:tabs>
        <w:spacing w:line="460" w:lineRule="exact"/>
        <w:jc w:val="center"/>
        <w:rPr>
          <w:rFonts w:ascii="Times New Roman" w:hAnsi="Times New Roman" w:eastAsia="宋体" w:cs="Times New Roman"/>
          <w:b/>
          <w:color w:val="auto"/>
          <w:sz w:val="36"/>
          <w:highlight w:val="none"/>
        </w:rPr>
      </w:pPr>
    </w:p>
    <w:p w14:paraId="30B5890A">
      <w:pPr>
        <w:pStyle w:val="15"/>
        <w:tabs>
          <w:tab w:val="left" w:pos="2472"/>
        </w:tabs>
        <w:spacing w:line="460" w:lineRule="exact"/>
        <w:jc w:val="center"/>
        <w:rPr>
          <w:rFonts w:ascii="Times New Roman" w:hAnsi="Times New Roman" w:eastAsia="宋体" w:cs="Times New Roman"/>
          <w:b/>
          <w:color w:val="auto"/>
          <w:sz w:val="36"/>
          <w:highlight w:val="none"/>
        </w:rPr>
      </w:pPr>
    </w:p>
    <w:p w14:paraId="701BDB30">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27" w:name="_Toc7167"/>
      <w:bookmarkStart w:id="328" w:name="_Toc9058"/>
      <w:bookmarkStart w:id="329" w:name="_Toc26262"/>
      <w:bookmarkStart w:id="330" w:name="_Toc31791"/>
      <w:bookmarkStart w:id="331" w:name="_Toc17049"/>
      <w:bookmarkStart w:id="332" w:name="_Toc32021"/>
      <w:bookmarkStart w:id="333" w:name="_Toc27014"/>
      <w:bookmarkStart w:id="334" w:name="_Toc3838"/>
      <w:bookmarkStart w:id="335" w:name="_Toc29347"/>
      <w:bookmarkStart w:id="336" w:name="_Toc20993"/>
      <w:bookmarkStart w:id="337" w:name="_Toc9012"/>
      <w:bookmarkStart w:id="338" w:name="_Toc3422"/>
      <w:bookmarkStart w:id="339" w:name="_Toc25572"/>
      <w:r>
        <w:rPr>
          <w:rFonts w:hint="eastAsia" w:ascii="Times New Roman" w:hAnsi="Times New Roman" w:eastAsia="宋体" w:cs="Times New Roman"/>
          <w:b/>
          <w:color w:val="auto"/>
          <w:sz w:val="36"/>
          <w:highlight w:val="none"/>
        </w:rPr>
        <w:t>第五章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拟签订的合同文本</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18B79873">
      <w:pPr>
        <w:widowControl/>
        <w:jc w:val="left"/>
        <w:rPr>
          <w:rFonts w:ascii="宋体" w:hAnsi="Courier New"/>
          <w:bCs/>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DC89F19">
      <w:pPr>
        <w:spacing w:line="560" w:lineRule="exact"/>
        <w:jc w:val="center"/>
        <w:rPr>
          <w:rFonts w:hint="eastAsia"/>
          <w:color w:val="auto"/>
          <w:sz w:val="28"/>
          <w:szCs w:val="28"/>
          <w:highlight w:val="none"/>
        </w:rPr>
      </w:pPr>
      <w:r>
        <w:rPr>
          <w:rFonts w:hint="eastAsia"/>
          <w:color w:val="auto"/>
          <w:sz w:val="28"/>
          <w:szCs w:val="28"/>
          <w:highlight w:val="none"/>
          <w:lang w:eastAsia="zh-CN"/>
        </w:rPr>
        <w:t>梧州市人民警察训练学校2025年至2026年食堂食材配送服务</w:t>
      </w:r>
      <w:r>
        <w:rPr>
          <w:rFonts w:hint="eastAsia"/>
          <w:color w:val="auto"/>
          <w:sz w:val="28"/>
          <w:szCs w:val="28"/>
          <w:highlight w:val="none"/>
        </w:rPr>
        <w:t>采购项目</w:t>
      </w:r>
    </w:p>
    <w:p w14:paraId="4DEC2B75">
      <w:pPr>
        <w:spacing w:line="560" w:lineRule="exact"/>
        <w:jc w:val="center"/>
        <w:rPr>
          <w:rFonts w:hint="eastAsia" w:eastAsia="宋体"/>
          <w:color w:val="auto"/>
          <w:highlight w:val="none"/>
          <w:lang w:eastAsia="zh-CN"/>
        </w:rPr>
      </w:pPr>
      <w:r>
        <w:rPr>
          <w:rFonts w:hint="eastAsia"/>
          <w:color w:val="auto"/>
          <w:sz w:val="28"/>
          <w:szCs w:val="28"/>
          <w:highlight w:val="none"/>
        </w:rPr>
        <w:t>采购</w:t>
      </w:r>
      <w:r>
        <w:rPr>
          <w:rFonts w:hint="eastAsia"/>
          <w:color w:val="auto"/>
          <w:sz w:val="28"/>
          <w:szCs w:val="28"/>
          <w:highlight w:val="none"/>
          <w:lang w:eastAsia="zh-CN"/>
        </w:rPr>
        <w:t>合同</w:t>
      </w:r>
    </w:p>
    <w:p w14:paraId="0DAB3D90">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名称：</w:t>
      </w:r>
    </w:p>
    <w:p w14:paraId="219F7A88">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编号：</w:t>
      </w:r>
    </w:p>
    <w:p w14:paraId="5BAF91A0">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甲方：（采购人）</w:t>
      </w:r>
    </w:p>
    <w:p w14:paraId="1CDD40D7">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27A5012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根据《中华人民共和国民法典》、《中华人民共和国食品安全法》及国家有关规定，甲乙双方本着平等、诚实守信、互惠互利的原则，经友好协商，就乙方向甲方供货事宜达成协议如下，双方必须共同遵守。</w:t>
      </w:r>
    </w:p>
    <w:p w14:paraId="353176F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第一条：采购内容</w:t>
      </w:r>
    </w:p>
    <w:p w14:paraId="13560A1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为保障甲方食堂的正常运行，乙方按照协议规定向甲方提供所需产品。</w:t>
      </w:r>
    </w:p>
    <w:p w14:paraId="41493CC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第二条：服务期限</w:t>
      </w:r>
    </w:p>
    <w:p w14:paraId="14AC930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自合同签订之日起1年。</w:t>
      </w:r>
    </w:p>
    <w:p w14:paraId="71953E37">
      <w:pPr>
        <w:spacing w:line="5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第三条：履约保证金</w:t>
      </w:r>
      <w:r>
        <w:rPr>
          <w:rFonts w:hint="eastAsia" w:ascii="宋体" w:hAnsi="宋体" w:eastAsia="宋体" w:cs="宋体"/>
          <w:color w:val="auto"/>
          <w:sz w:val="21"/>
          <w:szCs w:val="21"/>
          <w:highlight w:val="none"/>
          <w:lang w:val="en-US" w:eastAsia="zh-CN"/>
        </w:rPr>
        <w:t>及预算金额</w:t>
      </w:r>
    </w:p>
    <w:p w14:paraId="7DF7BFC9">
      <w:pPr>
        <w:spacing w:line="56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本项目不收取履约保证金。预算金额为</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0万元。</w:t>
      </w:r>
    </w:p>
    <w:p w14:paraId="79E8B35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第四条：供货要求及验收</w:t>
      </w:r>
    </w:p>
    <w:p w14:paraId="5B25732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1、按时、按质、按量向甲方供货。送货地点：   。</w:t>
      </w:r>
    </w:p>
    <w:p w14:paraId="44EF063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2、送货时间：甲方提前1天时间列明供货清单通知中标人，双方约定送货时间，乙方接到通知后按时供货，甲方如有临时需求，接到甲方临时进货通知后要在双方约定的时间内按时供货。</w:t>
      </w:r>
    </w:p>
    <w:p w14:paraId="32722C4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3、乙方管理人员及送货人员须持有卫生管理机构核发的有效的健康证，乙方更换人员时须向采购人报备。</w:t>
      </w:r>
    </w:p>
    <w:p w14:paraId="30023B5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4、送货车辆是专用，货厢可封闭，运输前后应对运输工具及时清洗消毒，防止污染产品。</w:t>
      </w:r>
    </w:p>
    <w:p w14:paraId="45670C8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5、人员、车辆进入甲方验货区、或库区等区域，要服从相关的安全、现场管理等相关的管理制度。</w:t>
      </w:r>
    </w:p>
    <w:p w14:paraId="2847984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6、验收时：乙方所提供的货品在甲方验收入库时如发现以下问题必须及时无条件退换货品。</w:t>
      </w:r>
    </w:p>
    <w:p w14:paraId="76D9F88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①感官品质质量不符合规定要求；②货品有变质现象；③超过保质期限；④内包装损坏；⑤预包装产品的包装标签内容不充分，进口产品没有中文标识；⑧其他不符合食品卫生标准和要求的食品。</w:t>
      </w:r>
    </w:p>
    <w:p w14:paraId="6406275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7、验收后：乙方所提供的货品虽经甲方抽检验收，但在使用过程中发现货品存在质量问题的应及时无条件给予退换。</w:t>
      </w:r>
    </w:p>
    <w:p w14:paraId="3390158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8、对不符合要求货物退换的及时性、及处置办法：</w:t>
      </w:r>
    </w:p>
    <w:p w14:paraId="36854D6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（1）乙方提供的货物必须符合我国《食品安全法》的要求、不符合卫生安全要求的一律退货处理，甲方有权要求乙方更换。</w:t>
      </w:r>
    </w:p>
    <w:p w14:paraId="04114F3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（2）在合同期内出现两次以上质量问题退货或两次以上逾期交货的，甲方可要求乙方进行限期整改，如乙方在整改期间或整改后仍出现同样问题，甲方有权解除本合同。</w:t>
      </w:r>
    </w:p>
    <w:p w14:paraId="5287B71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（3）因乙方供应</w:t>
      </w:r>
      <w:r>
        <w:rPr>
          <w:rFonts w:hint="eastAsia" w:ascii="宋体" w:hAnsi="宋体" w:eastAsia="宋体" w:cs="宋体"/>
          <w:color w:val="auto"/>
          <w:sz w:val="21"/>
          <w:szCs w:val="21"/>
          <w:highlight w:val="none"/>
          <w:lang w:eastAsia="zh-CN"/>
        </w:rPr>
        <w:t>出现</w:t>
      </w:r>
      <w:r>
        <w:rPr>
          <w:rFonts w:hint="eastAsia" w:ascii="宋体" w:hAnsi="宋体" w:eastAsia="宋体" w:cs="宋体"/>
          <w:color w:val="auto"/>
          <w:sz w:val="21"/>
          <w:szCs w:val="21"/>
          <w:highlight w:val="none"/>
        </w:rPr>
        <w:t>上述问题，导致食用后发生食物中毒、腹泻等疾病的，甲方有权依法追究供应商的经济赔偿和其他相关法律责任，且可以终止合同。</w:t>
      </w:r>
    </w:p>
    <w:p w14:paraId="2D9A394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第五条：安全质量</w:t>
      </w:r>
    </w:p>
    <w:p w14:paraId="408628A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（一）产品要求达到以下标准：</w:t>
      </w:r>
    </w:p>
    <w:p w14:paraId="30C43E1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针对实施</w:t>
      </w:r>
      <w:r>
        <w:rPr>
          <w:rFonts w:hint="eastAsia" w:ascii="宋体" w:hAnsi="宋体" w:eastAsia="宋体" w:cs="宋体"/>
          <w:color w:val="auto"/>
          <w:sz w:val="21"/>
          <w:szCs w:val="21"/>
          <w:highlight w:val="none"/>
        </w:rPr>
        <w:t>“QS”食品质量认证</w:t>
      </w:r>
      <w:r>
        <w:rPr>
          <w:rFonts w:hint="eastAsia" w:ascii="宋体" w:hAnsi="宋体" w:eastAsia="宋体" w:cs="宋体"/>
          <w:color w:val="auto"/>
          <w:sz w:val="21"/>
          <w:szCs w:val="21"/>
          <w:highlight w:val="none"/>
          <w:lang w:eastAsia="zh-CN"/>
        </w:rPr>
        <w:t>的产品，必须提供其</w:t>
      </w:r>
      <w:r>
        <w:rPr>
          <w:rFonts w:hint="eastAsia" w:ascii="宋体" w:hAnsi="宋体" w:eastAsia="宋体" w:cs="宋体"/>
          <w:color w:val="auto"/>
          <w:sz w:val="21"/>
          <w:szCs w:val="21"/>
          <w:highlight w:val="none"/>
        </w:rPr>
        <w:t>“QS”食品质量认证标志或标明生产许可证编号；</w:t>
      </w:r>
    </w:p>
    <w:p w14:paraId="58F37D0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2、保证符合食品安全法要求；</w:t>
      </w:r>
    </w:p>
    <w:p w14:paraId="163F269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3、密封、无毒、无害包装，包装的正面需印有供货企业名称、地址、联系电话及生产日期等字样，在保质期内。</w:t>
      </w:r>
    </w:p>
    <w:p w14:paraId="14CB419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4、要求正品，无杂物、污迹、发霉变色等，在质保期内不变质，货到送货地点时保质期距离到期日期至少一年。</w:t>
      </w:r>
    </w:p>
    <w:p w14:paraId="76E7DE2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供应的货物必须符合我国《中华人民共和国食品安全法》的要求，达到国家有关食品标准和卫生标准，无毒害、无腐烂变质。</w:t>
      </w:r>
    </w:p>
    <w:p w14:paraId="316311C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应的蔬菜配菜必须符合国家的食品卫生标准，新鲜、安全无毒、无腐烂变质、可食用；必须经过采购人进行农药残留量检测，蔬菜配菜生产或存放期间须施用农药时，必须严格执行国家和行业规定，交货时农药残留量不得超标；蔬菜配菜应鲜嫩、无根须、无黄叶、无杂草、无泥沙；每次供应的蔬菜配菜都必须提供《残留农药检测合格证明》。</w:t>
      </w:r>
    </w:p>
    <w:p w14:paraId="22303ED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供应的肉类必须符合我国《食品安全法》的要求，达到国家有关食品标准和卫生标准，无毒害、无腐烂变质；鸡鸭鱼必须是当天宰杀好，无内脏；肉色正常，无腐烂、无异味、无打水现象，每次供应的鸡鸭鱼都必须提供当地检疫合格证明，鲜猪肉、牛肉必须在梧州市指定的屠宰场屠宰，并经动物检验检疫合格，供货时提供相关证明材料。</w:t>
      </w:r>
    </w:p>
    <w:p w14:paraId="4FCE236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8.乙方供应的鲜鸡蛋应新鲜完整、不破损、不变质，保持鲜鸡蛋表面清洁，不沾附泥污等，母鸡产出的鸡蛋不超过7天。</w:t>
      </w:r>
    </w:p>
    <w:p w14:paraId="41512F7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9、乙方所提供产品质量必须要符合行业标准要求，不得有掺假、变质、变味、过期等现象出现，严禁伪劣、假冒、无证不合格物品进入仓库。</w:t>
      </w:r>
    </w:p>
    <w:p w14:paraId="6CD0C3D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10、乙方所提供产品必须价格合理，应按照投标报价供给，否则需方有权不用。另外，供应方所提供大米、食用油、调味料等必须有明显“QS”标志。</w:t>
      </w:r>
    </w:p>
    <w:p w14:paraId="35E0A3D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11、乙方在供应过程中，如果发生出现质量问题或造成食物中毒,如变质等情况，经查实后确属乙方责任，乙方应承担全部责任，主要包括食物中毒人员医疗费、误工费、事故处理费等，直至追究刑事责任。</w:t>
      </w:r>
    </w:p>
    <w:p w14:paraId="087C67F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（二）乙方应严格遵守《食品安全法》等相关规定，所提供的产品是合格安全的产品，一经发现供应以下食品，甲方除全部退货外，将立取消供货单位的供货资格，乙方承担由此造成的经济责任和法律责任：</w:t>
      </w:r>
    </w:p>
    <w:p w14:paraId="13F48A3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（1）腐败变质、油脂酸败、霉变、生虫、污秽不洁、混有异物或者其他感官性状异常，对人体健康有害的；</w:t>
      </w:r>
    </w:p>
    <w:p w14:paraId="126DBD5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（2）含有毒、有害物质或者被有害物质污染，对人体健康有害的；</w:t>
      </w:r>
    </w:p>
    <w:p w14:paraId="03EB4CA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（3）含有致病性寄生虫、微生物或者微生物含量超过国家限定标准的；</w:t>
      </w:r>
    </w:p>
    <w:p w14:paraId="3FEDF5D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（4）未经动物检疫部门检疫、检验或者检疫、检验不合格的肉类及其制品；</w:t>
      </w:r>
    </w:p>
    <w:p w14:paraId="2582236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（5）病死、毒死或者死因不明的禽、蓄、兽、水产动物等及其制品；</w:t>
      </w:r>
    </w:p>
    <w:p w14:paraId="05CF9D4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（6）掺假、掺杂、伪造，影响营养、卫生的；</w:t>
      </w:r>
    </w:p>
    <w:p w14:paraId="048EF40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（7）用非食品原料加工的，加入非食品用化学物质或者将非食品当作食品的；</w:t>
      </w:r>
    </w:p>
    <w:p w14:paraId="2B08D9E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（8）超过保质期限的。</w:t>
      </w:r>
    </w:p>
    <w:p w14:paraId="2CD1C472">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第六条：应急服务</w:t>
      </w:r>
    </w:p>
    <w:p w14:paraId="7BDD904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如遇到甲方食堂临时断电或其他特殊原因不能进行烹饪，甲方临时通知乙方，乙方必须为甲方另寻符合食品卫生安全标准的食堂或酒店烹饪，2小时内送至</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处，产生的费用双方另行协商。</w:t>
      </w:r>
    </w:p>
    <w:p w14:paraId="0EFD567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3、价格确定</w:t>
      </w:r>
    </w:p>
    <w:p w14:paraId="78ED3EE4">
      <w:pPr>
        <w:spacing w:line="560" w:lineRule="exact"/>
        <w:ind w:firstLine="2520" w:firstLineChars="1200"/>
        <w:rPr>
          <w:rFonts w:hint="eastAsia" w:ascii="宋体" w:hAnsi="宋体" w:eastAsia="宋体" w:cs="宋体"/>
          <w:color w:val="auto"/>
          <w:sz w:val="21"/>
          <w:szCs w:val="21"/>
          <w:highlight w:val="none"/>
        </w:rPr>
      </w:pPr>
    </w:p>
    <w:p w14:paraId="75B470C9">
      <w:pPr>
        <w:spacing w:line="560" w:lineRule="exact"/>
        <w:ind w:firstLine="2520" w:firstLineChars="1200"/>
        <w:rPr>
          <w:rFonts w:hint="eastAsia" w:ascii="宋体" w:hAnsi="宋体" w:eastAsia="宋体" w:cs="宋体"/>
          <w:color w:val="auto"/>
          <w:sz w:val="21"/>
          <w:szCs w:val="21"/>
          <w:highlight w:val="none"/>
        </w:rPr>
      </w:pPr>
    </w:p>
    <w:p w14:paraId="5BCCEEE6">
      <w:pPr>
        <w:spacing w:line="560" w:lineRule="exact"/>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798"/>
        <w:gridCol w:w="1332"/>
        <w:gridCol w:w="1065"/>
        <w:gridCol w:w="1066"/>
        <w:gridCol w:w="1066"/>
      </w:tblGrid>
      <w:tr w14:paraId="4D8F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4BE850B9">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 xml:space="preserve">项号 </w:t>
            </w:r>
          </w:p>
        </w:tc>
        <w:tc>
          <w:tcPr>
            <w:tcW w:w="1065" w:type="dxa"/>
            <w:noWrap w:val="0"/>
            <w:vAlign w:val="top"/>
          </w:tcPr>
          <w:p w14:paraId="536C3309">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货物名称</w:t>
            </w:r>
          </w:p>
        </w:tc>
        <w:tc>
          <w:tcPr>
            <w:tcW w:w="1065" w:type="dxa"/>
            <w:noWrap w:val="0"/>
            <w:vAlign w:val="top"/>
          </w:tcPr>
          <w:p w14:paraId="3B8B3FD7">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单位</w:t>
            </w:r>
          </w:p>
        </w:tc>
        <w:tc>
          <w:tcPr>
            <w:tcW w:w="798" w:type="dxa"/>
            <w:noWrap w:val="0"/>
            <w:vAlign w:val="top"/>
          </w:tcPr>
          <w:p w14:paraId="19FF32BC">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数量</w:t>
            </w:r>
          </w:p>
        </w:tc>
        <w:tc>
          <w:tcPr>
            <w:tcW w:w="1332" w:type="dxa"/>
            <w:noWrap w:val="0"/>
            <w:vAlign w:val="top"/>
          </w:tcPr>
          <w:p w14:paraId="2A3617FF">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品牌及生产厂家</w:t>
            </w:r>
          </w:p>
        </w:tc>
        <w:tc>
          <w:tcPr>
            <w:tcW w:w="1065" w:type="dxa"/>
            <w:noWrap w:val="0"/>
            <w:vAlign w:val="top"/>
          </w:tcPr>
          <w:p w14:paraId="5EFCF49B">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规格</w:t>
            </w:r>
          </w:p>
        </w:tc>
        <w:tc>
          <w:tcPr>
            <w:tcW w:w="1066" w:type="dxa"/>
            <w:noWrap w:val="0"/>
            <w:vAlign w:val="top"/>
          </w:tcPr>
          <w:p w14:paraId="58654ACC">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型号</w:t>
            </w:r>
          </w:p>
        </w:tc>
        <w:tc>
          <w:tcPr>
            <w:tcW w:w="1066" w:type="dxa"/>
            <w:noWrap w:val="0"/>
            <w:vAlign w:val="top"/>
          </w:tcPr>
          <w:p w14:paraId="5671B0E9">
            <w:pPr>
              <w:spacing w:line="560" w:lineRule="exact"/>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单价（元）</w:t>
            </w:r>
          </w:p>
        </w:tc>
      </w:tr>
      <w:tr w14:paraId="7604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3058F355">
            <w:pPr>
              <w:spacing w:line="5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065" w:type="dxa"/>
            <w:noWrap w:val="0"/>
            <w:vAlign w:val="top"/>
          </w:tcPr>
          <w:p w14:paraId="11136067">
            <w:pPr>
              <w:spacing w:line="560" w:lineRule="exact"/>
              <w:rPr>
                <w:rFonts w:hint="eastAsia" w:ascii="宋体" w:hAnsi="宋体" w:eastAsia="宋体" w:cs="宋体"/>
                <w:color w:val="auto"/>
                <w:sz w:val="21"/>
                <w:szCs w:val="21"/>
                <w:highlight w:val="none"/>
              </w:rPr>
            </w:pPr>
          </w:p>
        </w:tc>
        <w:tc>
          <w:tcPr>
            <w:tcW w:w="1065" w:type="dxa"/>
            <w:noWrap w:val="0"/>
            <w:vAlign w:val="top"/>
          </w:tcPr>
          <w:p w14:paraId="3DC020BA">
            <w:pPr>
              <w:spacing w:line="560" w:lineRule="exact"/>
              <w:rPr>
                <w:rFonts w:hint="eastAsia" w:ascii="宋体" w:hAnsi="宋体" w:eastAsia="宋体" w:cs="宋体"/>
                <w:color w:val="auto"/>
                <w:sz w:val="21"/>
                <w:szCs w:val="21"/>
                <w:highlight w:val="none"/>
              </w:rPr>
            </w:pPr>
          </w:p>
        </w:tc>
        <w:tc>
          <w:tcPr>
            <w:tcW w:w="798" w:type="dxa"/>
            <w:noWrap w:val="0"/>
            <w:vAlign w:val="top"/>
          </w:tcPr>
          <w:p w14:paraId="620C05DA">
            <w:pPr>
              <w:spacing w:line="560" w:lineRule="exact"/>
              <w:rPr>
                <w:rFonts w:hint="eastAsia" w:ascii="宋体" w:hAnsi="宋体" w:eastAsia="宋体" w:cs="宋体"/>
                <w:color w:val="auto"/>
                <w:sz w:val="21"/>
                <w:szCs w:val="21"/>
                <w:highlight w:val="none"/>
              </w:rPr>
            </w:pPr>
          </w:p>
        </w:tc>
        <w:tc>
          <w:tcPr>
            <w:tcW w:w="1332" w:type="dxa"/>
            <w:noWrap w:val="0"/>
            <w:vAlign w:val="top"/>
          </w:tcPr>
          <w:p w14:paraId="211E9B4F">
            <w:pPr>
              <w:spacing w:line="560" w:lineRule="exact"/>
              <w:rPr>
                <w:rFonts w:hint="eastAsia" w:ascii="宋体" w:hAnsi="宋体" w:eastAsia="宋体" w:cs="宋体"/>
                <w:color w:val="auto"/>
                <w:sz w:val="21"/>
                <w:szCs w:val="21"/>
                <w:highlight w:val="none"/>
              </w:rPr>
            </w:pPr>
          </w:p>
        </w:tc>
        <w:tc>
          <w:tcPr>
            <w:tcW w:w="1065" w:type="dxa"/>
            <w:noWrap w:val="0"/>
            <w:vAlign w:val="top"/>
          </w:tcPr>
          <w:p w14:paraId="4BE016B6">
            <w:pPr>
              <w:spacing w:line="560" w:lineRule="exact"/>
              <w:rPr>
                <w:rFonts w:hint="eastAsia" w:ascii="宋体" w:hAnsi="宋体" w:eastAsia="宋体" w:cs="宋体"/>
                <w:color w:val="auto"/>
                <w:sz w:val="21"/>
                <w:szCs w:val="21"/>
                <w:highlight w:val="none"/>
              </w:rPr>
            </w:pPr>
          </w:p>
        </w:tc>
        <w:tc>
          <w:tcPr>
            <w:tcW w:w="1066" w:type="dxa"/>
            <w:noWrap w:val="0"/>
            <w:vAlign w:val="top"/>
          </w:tcPr>
          <w:p w14:paraId="165C6439">
            <w:pPr>
              <w:spacing w:line="560" w:lineRule="exact"/>
              <w:rPr>
                <w:rFonts w:hint="eastAsia" w:ascii="宋体" w:hAnsi="宋体" w:eastAsia="宋体" w:cs="宋体"/>
                <w:color w:val="auto"/>
                <w:sz w:val="21"/>
                <w:szCs w:val="21"/>
                <w:highlight w:val="none"/>
              </w:rPr>
            </w:pPr>
          </w:p>
        </w:tc>
        <w:tc>
          <w:tcPr>
            <w:tcW w:w="1066" w:type="dxa"/>
            <w:noWrap w:val="0"/>
            <w:vAlign w:val="top"/>
          </w:tcPr>
          <w:p w14:paraId="75B1B290">
            <w:pPr>
              <w:spacing w:line="560" w:lineRule="exact"/>
              <w:rPr>
                <w:rFonts w:hint="eastAsia" w:ascii="宋体" w:hAnsi="宋体" w:eastAsia="宋体" w:cs="宋体"/>
                <w:color w:val="auto"/>
                <w:sz w:val="21"/>
                <w:szCs w:val="21"/>
                <w:highlight w:val="none"/>
              </w:rPr>
            </w:pPr>
          </w:p>
        </w:tc>
      </w:tr>
      <w:tr w14:paraId="789E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1FA39648">
            <w:pPr>
              <w:spacing w:line="5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65" w:type="dxa"/>
            <w:noWrap w:val="0"/>
            <w:vAlign w:val="top"/>
          </w:tcPr>
          <w:p w14:paraId="5BA23C80">
            <w:pPr>
              <w:spacing w:line="560" w:lineRule="exact"/>
              <w:rPr>
                <w:rFonts w:hint="eastAsia" w:ascii="宋体" w:hAnsi="宋体" w:eastAsia="宋体" w:cs="宋体"/>
                <w:color w:val="auto"/>
                <w:sz w:val="21"/>
                <w:szCs w:val="21"/>
                <w:highlight w:val="none"/>
              </w:rPr>
            </w:pPr>
          </w:p>
        </w:tc>
        <w:tc>
          <w:tcPr>
            <w:tcW w:w="1065" w:type="dxa"/>
            <w:noWrap w:val="0"/>
            <w:vAlign w:val="top"/>
          </w:tcPr>
          <w:p w14:paraId="2094CBE6">
            <w:pPr>
              <w:spacing w:line="560" w:lineRule="exact"/>
              <w:rPr>
                <w:rFonts w:hint="eastAsia" w:ascii="宋体" w:hAnsi="宋体" w:eastAsia="宋体" w:cs="宋体"/>
                <w:color w:val="auto"/>
                <w:sz w:val="21"/>
                <w:szCs w:val="21"/>
                <w:highlight w:val="none"/>
              </w:rPr>
            </w:pPr>
          </w:p>
        </w:tc>
        <w:tc>
          <w:tcPr>
            <w:tcW w:w="798" w:type="dxa"/>
            <w:noWrap w:val="0"/>
            <w:vAlign w:val="top"/>
          </w:tcPr>
          <w:p w14:paraId="0C6E4798">
            <w:pPr>
              <w:spacing w:line="560" w:lineRule="exact"/>
              <w:rPr>
                <w:rFonts w:hint="eastAsia" w:ascii="宋体" w:hAnsi="宋体" w:eastAsia="宋体" w:cs="宋体"/>
                <w:color w:val="auto"/>
                <w:sz w:val="21"/>
                <w:szCs w:val="21"/>
                <w:highlight w:val="none"/>
              </w:rPr>
            </w:pPr>
          </w:p>
        </w:tc>
        <w:tc>
          <w:tcPr>
            <w:tcW w:w="1332" w:type="dxa"/>
            <w:noWrap w:val="0"/>
            <w:vAlign w:val="top"/>
          </w:tcPr>
          <w:p w14:paraId="282CF45E">
            <w:pPr>
              <w:spacing w:line="560" w:lineRule="exact"/>
              <w:rPr>
                <w:rFonts w:hint="eastAsia" w:ascii="宋体" w:hAnsi="宋体" w:eastAsia="宋体" w:cs="宋体"/>
                <w:color w:val="auto"/>
                <w:sz w:val="21"/>
                <w:szCs w:val="21"/>
                <w:highlight w:val="none"/>
              </w:rPr>
            </w:pPr>
          </w:p>
        </w:tc>
        <w:tc>
          <w:tcPr>
            <w:tcW w:w="1065" w:type="dxa"/>
            <w:noWrap w:val="0"/>
            <w:vAlign w:val="top"/>
          </w:tcPr>
          <w:p w14:paraId="7247EED7">
            <w:pPr>
              <w:spacing w:line="560" w:lineRule="exact"/>
              <w:rPr>
                <w:rFonts w:hint="eastAsia" w:ascii="宋体" w:hAnsi="宋体" w:eastAsia="宋体" w:cs="宋体"/>
                <w:color w:val="auto"/>
                <w:sz w:val="21"/>
                <w:szCs w:val="21"/>
                <w:highlight w:val="none"/>
              </w:rPr>
            </w:pPr>
          </w:p>
        </w:tc>
        <w:tc>
          <w:tcPr>
            <w:tcW w:w="1066" w:type="dxa"/>
            <w:noWrap w:val="0"/>
            <w:vAlign w:val="top"/>
          </w:tcPr>
          <w:p w14:paraId="29169665">
            <w:pPr>
              <w:spacing w:line="560" w:lineRule="exact"/>
              <w:rPr>
                <w:rFonts w:hint="eastAsia" w:ascii="宋体" w:hAnsi="宋体" w:eastAsia="宋体" w:cs="宋体"/>
                <w:color w:val="auto"/>
                <w:sz w:val="21"/>
                <w:szCs w:val="21"/>
                <w:highlight w:val="none"/>
              </w:rPr>
            </w:pPr>
          </w:p>
        </w:tc>
        <w:tc>
          <w:tcPr>
            <w:tcW w:w="1066" w:type="dxa"/>
            <w:noWrap w:val="0"/>
            <w:vAlign w:val="top"/>
          </w:tcPr>
          <w:p w14:paraId="1BE5C96E">
            <w:pPr>
              <w:spacing w:line="560" w:lineRule="exact"/>
              <w:rPr>
                <w:rFonts w:hint="eastAsia" w:ascii="宋体" w:hAnsi="宋体" w:eastAsia="宋体" w:cs="宋体"/>
                <w:color w:val="auto"/>
                <w:sz w:val="21"/>
                <w:szCs w:val="21"/>
                <w:highlight w:val="none"/>
              </w:rPr>
            </w:pPr>
          </w:p>
        </w:tc>
      </w:tr>
      <w:tr w14:paraId="1732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784C4A01">
            <w:pPr>
              <w:spacing w:line="5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1065" w:type="dxa"/>
            <w:noWrap w:val="0"/>
            <w:vAlign w:val="top"/>
          </w:tcPr>
          <w:p w14:paraId="4B3FE09C">
            <w:pPr>
              <w:spacing w:line="560" w:lineRule="exact"/>
              <w:rPr>
                <w:rFonts w:hint="eastAsia" w:ascii="宋体" w:hAnsi="宋体" w:eastAsia="宋体" w:cs="宋体"/>
                <w:color w:val="auto"/>
                <w:sz w:val="21"/>
                <w:szCs w:val="21"/>
                <w:highlight w:val="none"/>
              </w:rPr>
            </w:pPr>
          </w:p>
        </w:tc>
        <w:tc>
          <w:tcPr>
            <w:tcW w:w="1065" w:type="dxa"/>
            <w:noWrap w:val="0"/>
            <w:vAlign w:val="top"/>
          </w:tcPr>
          <w:p w14:paraId="482B9D05">
            <w:pPr>
              <w:spacing w:line="560" w:lineRule="exact"/>
              <w:rPr>
                <w:rFonts w:hint="eastAsia" w:ascii="宋体" w:hAnsi="宋体" w:eastAsia="宋体" w:cs="宋体"/>
                <w:color w:val="auto"/>
                <w:sz w:val="21"/>
                <w:szCs w:val="21"/>
                <w:highlight w:val="none"/>
              </w:rPr>
            </w:pPr>
          </w:p>
        </w:tc>
        <w:tc>
          <w:tcPr>
            <w:tcW w:w="798" w:type="dxa"/>
            <w:noWrap w:val="0"/>
            <w:vAlign w:val="top"/>
          </w:tcPr>
          <w:p w14:paraId="4FB79F36">
            <w:pPr>
              <w:spacing w:line="560" w:lineRule="exact"/>
              <w:rPr>
                <w:rFonts w:hint="eastAsia" w:ascii="宋体" w:hAnsi="宋体" w:eastAsia="宋体" w:cs="宋体"/>
                <w:color w:val="auto"/>
                <w:sz w:val="21"/>
                <w:szCs w:val="21"/>
                <w:highlight w:val="none"/>
              </w:rPr>
            </w:pPr>
          </w:p>
        </w:tc>
        <w:tc>
          <w:tcPr>
            <w:tcW w:w="1332" w:type="dxa"/>
            <w:noWrap w:val="0"/>
            <w:vAlign w:val="top"/>
          </w:tcPr>
          <w:p w14:paraId="10306935">
            <w:pPr>
              <w:spacing w:line="560" w:lineRule="exact"/>
              <w:rPr>
                <w:rFonts w:hint="eastAsia" w:ascii="宋体" w:hAnsi="宋体" w:eastAsia="宋体" w:cs="宋体"/>
                <w:color w:val="auto"/>
                <w:sz w:val="21"/>
                <w:szCs w:val="21"/>
                <w:highlight w:val="none"/>
              </w:rPr>
            </w:pPr>
          </w:p>
        </w:tc>
        <w:tc>
          <w:tcPr>
            <w:tcW w:w="1065" w:type="dxa"/>
            <w:noWrap w:val="0"/>
            <w:vAlign w:val="top"/>
          </w:tcPr>
          <w:p w14:paraId="55DC0680">
            <w:pPr>
              <w:spacing w:line="560" w:lineRule="exact"/>
              <w:rPr>
                <w:rFonts w:hint="eastAsia" w:ascii="宋体" w:hAnsi="宋体" w:eastAsia="宋体" w:cs="宋体"/>
                <w:color w:val="auto"/>
                <w:sz w:val="21"/>
                <w:szCs w:val="21"/>
                <w:highlight w:val="none"/>
              </w:rPr>
            </w:pPr>
          </w:p>
        </w:tc>
        <w:tc>
          <w:tcPr>
            <w:tcW w:w="1066" w:type="dxa"/>
            <w:noWrap w:val="0"/>
            <w:vAlign w:val="top"/>
          </w:tcPr>
          <w:p w14:paraId="5759249D">
            <w:pPr>
              <w:spacing w:line="560" w:lineRule="exact"/>
              <w:rPr>
                <w:rFonts w:hint="eastAsia" w:ascii="宋体" w:hAnsi="宋体" w:eastAsia="宋体" w:cs="宋体"/>
                <w:color w:val="auto"/>
                <w:sz w:val="21"/>
                <w:szCs w:val="21"/>
                <w:highlight w:val="none"/>
              </w:rPr>
            </w:pPr>
          </w:p>
        </w:tc>
        <w:tc>
          <w:tcPr>
            <w:tcW w:w="1066" w:type="dxa"/>
            <w:noWrap w:val="0"/>
            <w:vAlign w:val="top"/>
          </w:tcPr>
          <w:p w14:paraId="208832EE">
            <w:pPr>
              <w:spacing w:line="560" w:lineRule="exact"/>
              <w:rPr>
                <w:rFonts w:hint="eastAsia" w:ascii="宋体" w:hAnsi="宋体" w:eastAsia="宋体" w:cs="宋体"/>
                <w:color w:val="auto"/>
                <w:sz w:val="21"/>
                <w:szCs w:val="21"/>
                <w:highlight w:val="none"/>
              </w:rPr>
            </w:pPr>
          </w:p>
        </w:tc>
      </w:tr>
    </w:tbl>
    <w:p w14:paraId="34FD612C">
      <w:pPr>
        <w:spacing w:line="560" w:lineRule="exact"/>
        <w:rPr>
          <w:rFonts w:hint="eastAsia" w:ascii="宋体" w:hAnsi="宋体" w:eastAsia="宋体" w:cs="宋体"/>
          <w:color w:val="auto"/>
          <w:sz w:val="21"/>
          <w:szCs w:val="21"/>
          <w:highlight w:val="none"/>
        </w:rPr>
      </w:pPr>
    </w:p>
    <w:p w14:paraId="79875087">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合同金额包含</w:t>
      </w:r>
      <w:r>
        <w:rPr>
          <w:rFonts w:hint="eastAsia" w:ascii="宋体" w:hAnsi="宋体" w:cs="宋体"/>
          <w:color w:val="auto"/>
          <w:highlight w:val="none"/>
          <w:lang w:eastAsia="zh-CN"/>
        </w:rPr>
        <w:t>服务的</w:t>
      </w:r>
      <w:r>
        <w:rPr>
          <w:rFonts w:hint="eastAsia" w:ascii="宋体" w:hAnsi="宋体" w:cs="宋体"/>
          <w:color w:val="auto"/>
          <w:highlight w:val="none"/>
          <w:lang w:val="en-US" w:eastAsia="zh-CN"/>
        </w:rPr>
        <w:t>价格</w:t>
      </w:r>
      <w:r>
        <w:rPr>
          <w:rFonts w:hint="eastAsia" w:ascii="宋体" w:hAnsi="宋体" w:cs="宋体"/>
          <w:color w:val="auto"/>
          <w:highlight w:val="none"/>
          <w:lang w:eastAsia="zh-CN"/>
        </w:rPr>
        <w:t>、</w:t>
      </w:r>
      <w:r>
        <w:rPr>
          <w:rFonts w:hint="eastAsia" w:ascii="宋体" w:hAnsi="宋体" w:eastAsia="宋体" w:cs="宋体"/>
          <w:color w:val="auto"/>
          <w:sz w:val="21"/>
          <w:szCs w:val="21"/>
          <w:highlight w:val="none"/>
        </w:rPr>
        <w:t>货物及所需附件的购置费、包装费、运输费、人工费、保险费、各种税费、资料费、验收费、售后服务费及合同实施过程中的不可预见费用等全部费用。</w:t>
      </w:r>
    </w:p>
    <w:p w14:paraId="0458C6B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注：合同期间甲方可根据上级机关的通知及本单位的管理实际需要调整、停止相关采购的部分物品项目。</w:t>
      </w:r>
    </w:p>
    <w:p w14:paraId="7EE59DC0">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4、价格调整机制</w:t>
      </w:r>
    </w:p>
    <w:p w14:paraId="5AE6601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食品原料采购价格的确定采用“随行就市”方式。</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时，各投标人根据各食品原料的市场行情进行报价。中标后，若该食品原料的市场价格浮动超过±10%则进行价格调整，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书面提出调价函通知对方，经双方协商讨论决定价格。当</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要临时采购“采购一览表”以外的产品时，乙方配送食品原料价格必须按照“随行就市、保本微利”为原则，以广西梧州市发展和改革委员公布的最新一次“市场价格监测-梧州市市场应急价格监测表”作参照（表中没有列出的品目参考单价可按市场价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共同进行市场调查确定一次的单价作为参考单价），合同期间</w:t>
      </w:r>
      <w:r>
        <w:rPr>
          <w:rFonts w:hint="eastAsia"/>
          <w:color w:val="auto"/>
          <w:highlight w:val="none"/>
          <w:lang w:val="en-US" w:eastAsia="zh-CN"/>
        </w:rPr>
        <w:t>甲方</w:t>
      </w:r>
      <w:r>
        <w:rPr>
          <w:rFonts w:hint="eastAsia" w:ascii="宋体" w:hAnsi="宋体" w:eastAsia="宋体" w:cs="宋体"/>
          <w:color w:val="auto"/>
          <w:sz w:val="21"/>
          <w:szCs w:val="21"/>
          <w:highlight w:val="none"/>
        </w:rPr>
        <w:t>可根据上级机关的通知及本单位的管理实际需要调整、停止采购的部分物品项目。</w:t>
      </w:r>
    </w:p>
    <w:p w14:paraId="095F360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第七条：付款方式</w:t>
      </w:r>
    </w:p>
    <w:p w14:paraId="6005CF95">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w:t>
      </w:r>
      <w:r>
        <w:rPr>
          <w:rFonts w:hint="eastAsia"/>
          <w:color w:val="auto"/>
          <w:highlight w:val="none"/>
          <w:lang w:val="en-US" w:eastAsia="zh-CN"/>
        </w:rPr>
        <w:t>甲方</w:t>
      </w:r>
      <w:r>
        <w:rPr>
          <w:rFonts w:hint="eastAsia" w:ascii="宋体" w:hAnsi="宋体" w:eastAsia="宋体" w:cs="宋体"/>
          <w:color w:val="auto"/>
          <w:sz w:val="21"/>
          <w:szCs w:val="21"/>
          <w:highlight w:val="none"/>
        </w:rPr>
        <w:t>财务规定及要求出具正式发票，进行公对公账户转账。当月采购的食材（食品）货款于次月上旬结算，每月结算金额按照实际供货数量计算，中标人提供详细的物品销售清单与</w:t>
      </w:r>
      <w:r>
        <w:rPr>
          <w:rFonts w:hint="eastAsia"/>
          <w:color w:val="auto"/>
          <w:highlight w:val="none"/>
          <w:lang w:val="en-US" w:eastAsia="zh-CN"/>
        </w:rPr>
        <w:t>甲方</w:t>
      </w:r>
      <w:r>
        <w:rPr>
          <w:rFonts w:hint="eastAsia" w:ascii="宋体" w:hAnsi="宋体" w:eastAsia="宋体" w:cs="宋体"/>
          <w:color w:val="auto"/>
          <w:sz w:val="21"/>
          <w:szCs w:val="21"/>
          <w:highlight w:val="none"/>
        </w:rPr>
        <w:t>收货单核对，无误后</w:t>
      </w:r>
      <w:r>
        <w:rPr>
          <w:rFonts w:hint="eastAsia" w:ascii="宋体" w:hAnsi="宋体" w:eastAsia="宋体" w:cs="宋体"/>
          <w:color w:val="auto"/>
          <w:sz w:val="21"/>
          <w:szCs w:val="21"/>
          <w:highlight w:val="none"/>
          <w:lang w:eastAsia="zh-CN"/>
        </w:rPr>
        <w:t>三十</w:t>
      </w:r>
      <w:r>
        <w:rPr>
          <w:rFonts w:hint="eastAsia" w:ascii="宋体" w:hAnsi="宋体" w:eastAsia="宋体" w:cs="宋体"/>
          <w:color w:val="auto"/>
          <w:sz w:val="21"/>
          <w:szCs w:val="21"/>
          <w:highlight w:val="none"/>
        </w:rPr>
        <w:t>个工作日内予以办理审批及转账手续。</w:t>
      </w:r>
    </w:p>
    <w:p w14:paraId="7C6DE27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第八条：突发食品卫生事件</w:t>
      </w:r>
    </w:p>
    <w:p w14:paraId="188A814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保证供给甲方的货物的卫生与安全是乙方的义务和责任，乙方应尽其可能履行义务和责任。</w:t>
      </w:r>
    </w:p>
    <w:p w14:paraId="68EA821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当发生非乙方原因导致的突发食品卫生事件时，甲乙双方各自承担损失，但因乙方能尽到而未尽到责任的，乙方应承担违约责任。</w:t>
      </w:r>
    </w:p>
    <w:p w14:paraId="35505B84">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第九条：违约责任</w:t>
      </w:r>
    </w:p>
    <w:p w14:paraId="07076FB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1、乙方应根据甲方约定的时间交货，延误交货时间超过15分钟，向甲方支付违约金为该次供货金额的10%</w:t>
      </w:r>
      <w:r>
        <w:rPr>
          <w:rFonts w:hint="eastAsia" w:ascii="宋体" w:hAnsi="宋体" w:cs="宋体"/>
          <w:color w:val="auto"/>
          <w:sz w:val="21"/>
          <w:szCs w:val="21"/>
          <w:highlight w:val="none"/>
          <w:lang w:eastAsia="zh-CN"/>
        </w:rPr>
        <w:t>；合同期内出现三次以上情形的，甲方有权终止合同，且未结算货款不再支付</w:t>
      </w:r>
      <w:r>
        <w:rPr>
          <w:rFonts w:hint="eastAsia" w:ascii="宋体" w:hAnsi="宋体" w:eastAsia="宋体" w:cs="宋体"/>
          <w:color w:val="auto"/>
          <w:sz w:val="21"/>
          <w:szCs w:val="21"/>
          <w:highlight w:val="none"/>
        </w:rPr>
        <w:t>。</w:t>
      </w:r>
    </w:p>
    <w:p w14:paraId="3C446D0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2、乙方违反本合同规定造成甲方人员伤害的，按相关法律追究责任。</w:t>
      </w:r>
    </w:p>
    <w:p w14:paraId="1977FCB8">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3、甲方未按规定时间转结算货款的，每超一天，按结算货款</w:t>
      </w:r>
      <w:r>
        <w:rPr>
          <w:rFonts w:hint="eastAsia" w:ascii="宋体" w:hAnsi="宋体" w:eastAsia="宋体" w:cs="宋体"/>
          <w:color w:val="auto"/>
          <w:sz w:val="21"/>
          <w:szCs w:val="21"/>
          <w:highlight w:val="none"/>
          <w:lang w:eastAsia="zh-CN"/>
        </w:rPr>
        <w:t>金额的</w:t>
      </w:r>
      <w:r>
        <w:rPr>
          <w:rFonts w:hint="eastAsia" w:ascii="宋体" w:hAnsi="宋体" w:eastAsia="宋体" w:cs="宋体"/>
          <w:color w:val="auto"/>
          <w:sz w:val="21"/>
          <w:szCs w:val="21"/>
          <w:highlight w:val="none"/>
        </w:rPr>
        <w:t>银行同期活期利率支付相应利息。</w:t>
      </w:r>
    </w:p>
    <w:p w14:paraId="7AFE5E6C">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4、因天灾或不可抗力力无法履行合同的，甲方乙方均无责任。</w:t>
      </w:r>
    </w:p>
    <w:p w14:paraId="4E1AF22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第十条：</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生效</w:t>
      </w:r>
    </w:p>
    <w:p w14:paraId="06CADD8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eastAsia="zh-CN"/>
        </w:rPr>
        <w:t>合同</w:t>
      </w:r>
      <w:r>
        <w:rPr>
          <w:rFonts w:hint="eastAsia" w:ascii="宋体" w:hAnsi="宋体" w:eastAsia="宋体" w:cs="宋体"/>
          <w:color w:val="auto"/>
          <w:sz w:val="21"/>
          <w:szCs w:val="21"/>
          <w:highlight w:val="none"/>
        </w:rPr>
        <w:t>由双方代表于   年 月 日签定，自签定之日起生效。</w:t>
      </w:r>
    </w:p>
    <w:p w14:paraId="0974035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lang w:eastAsia="zh-CN"/>
        </w:rPr>
        <w:t>八</w:t>
      </w:r>
      <w:r>
        <w:rPr>
          <w:rFonts w:hint="eastAsia" w:ascii="宋体" w:hAnsi="宋体" w:eastAsia="宋体" w:cs="宋体"/>
          <w:color w:val="auto"/>
          <w:sz w:val="21"/>
          <w:szCs w:val="21"/>
          <w:highlight w:val="none"/>
        </w:rPr>
        <w:t>份，甲乙双方各三份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财政部门（政府采购监管部门）、采购代理机构各一份。</w:t>
      </w:r>
    </w:p>
    <w:p w14:paraId="57BE7B2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第十一条：本合同未尽事宜由甲乙双方友好协商解决。违反本合同引起争议，甲乙双方应尽量协商，协商不能达到一致时，甲乙双方均有权向甲方所在地管辖区的人民法院提起诉讼。</w:t>
      </w:r>
    </w:p>
    <w:p w14:paraId="1D834BFD">
      <w:pPr>
        <w:spacing w:line="560" w:lineRule="exact"/>
        <w:rPr>
          <w:rFonts w:ascii="仿宋" w:hAnsi="仿宋" w:eastAsia="仿宋" w:cs="仿宋"/>
          <w:color w:val="auto"/>
          <w:sz w:val="32"/>
          <w:szCs w:val="32"/>
          <w:highlight w:val="none"/>
        </w:rPr>
      </w:pPr>
    </w:p>
    <w:p w14:paraId="3B4AEE4F">
      <w:pPr>
        <w:snapToGrid w:val="0"/>
        <w:spacing w:line="400" w:lineRule="exact"/>
        <w:jc w:val="both"/>
        <w:rPr>
          <w:rFonts w:hint="eastAsia" w:ascii="宋体" w:hAnsi="宋体" w:eastAsia="宋体" w:cs="宋体"/>
          <w:b/>
          <w:bCs/>
          <w:color w:val="auto"/>
          <w:sz w:val="32"/>
          <w:szCs w:val="32"/>
          <w:highlight w:val="none"/>
        </w:rPr>
      </w:pPr>
    </w:p>
    <w:tbl>
      <w:tblPr>
        <w:tblStyle w:val="23"/>
        <w:tblpPr w:leftFromText="180" w:rightFromText="180" w:vertAnchor="text" w:horzAnchor="margin" w:tblpY="214"/>
        <w:tblW w:w="9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2D9C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634D7D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0D96940A">
            <w:pPr>
              <w:snapToGrid w:val="0"/>
              <w:spacing w:line="360" w:lineRule="auto"/>
              <w:rPr>
                <w:rFonts w:hint="eastAsia" w:ascii="宋体" w:hAnsi="宋体" w:eastAsia="宋体" w:cs="宋体"/>
                <w:color w:val="auto"/>
                <w:szCs w:val="21"/>
                <w:highlight w:val="none"/>
              </w:rPr>
            </w:pPr>
          </w:p>
          <w:p w14:paraId="080367FB">
            <w:pPr>
              <w:snapToGrid w:val="0"/>
              <w:spacing w:line="360" w:lineRule="auto"/>
              <w:rPr>
                <w:rFonts w:hint="eastAsia" w:ascii="宋体" w:hAnsi="宋体" w:eastAsia="宋体" w:cs="宋体"/>
                <w:color w:val="auto"/>
                <w:szCs w:val="21"/>
                <w:highlight w:val="none"/>
              </w:rPr>
            </w:pPr>
          </w:p>
          <w:p w14:paraId="4E505865">
            <w:pPr>
              <w:snapToGrid w:val="0"/>
              <w:spacing w:line="360" w:lineRule="auto"/>
              <w:ind w:firstLine="945" w:firstLineChars="450"/>
              <w:jc w:val="right"/>
              <w:rPr>
                <w:rFonts w:hint="eastAsia" w:ascii="宋体" w:hAnsi="宋体" w:eastAsia="宋体" w:cs="宋体"/>
                <w:color w:val="auto"/>
                <w:szCs w:val="21"/>
                <w:highlight w:val="none"/>
              </w:rPr>
            </w:pPr>
          </w:p>
          <w:p w14:paraId="3D11289D">
            <w:pPr>
              <w:snapToGrid w:val="0"/>
              <w:spacing w:line="360" w:lineRule="auto"/>
              <w:ind w:firstLine="945" w:firstLineChars="45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12CE38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1C337F12">
            <w:pPr>
              <w:snapToGrid w:val="0"/>
              <w:spacing w:line="360" w:lineRule="auto"/>
              <w:rPr>
                <w:rFonts w:hint="eastAsia" w:ascii="宋体" w:hAnsi="宋体" w:eastAsia="宋体" w:cs="宋体"/>
                <w:color w:val="auto"/>
                <w:szCs w:val="21"/>
                <w:highlight w:val="none"/>
              </w:rPr>
            </w:pPr>
          </w:p>
          <w:p w14:paraId="1D98266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E31E8D6">
            <w:pPr>
              <w:snapToGrid w:val="0"/>
              <w:spacing w:line="360" w:lineRule="auto"/>
              <w:jc w:val="right"/>
              <w:rPr>
                <w:rFonts w:hint="eastAsia" w:ascii="宋体" w:hAnsi="宋体" w:eastAsia="宋体" w:cs="宋体"/>
                <w:color w:val="auto"/>
                <w:szCs w:val="21"/>
                <w:highlight w:val="none"/>
              </w:rPr>
            </w:pPr>
          </w:p>
          <w:p w14:paraId="5F1FBAE1">
            <w:pPr>
              <w:snapToGrid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FD11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CD6ACA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A338B1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03E68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3AB638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45C091A">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0AEE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998CDF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63429B0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7C9A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6DD58C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D5B97A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552B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574736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93BC91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5DA3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3A8B023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0F73C57">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0006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B01FD6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88CBC2E">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66626E88">
      <w:pPr>
        <w:snapToGrid w:val="0"/>
        <w:jc w:val="center"/>
        <w:rPr>
          <w:rFonts w:hint="eastAsia" w:ascii="宋体" w:hAnsi="宋体" w:eastAsia="宋体" w:cs="宋体"/>
          <w:b/>
          <w:bCs/>
          <w:color w:val="auto"/>
          <w:sz w:val="32"/>
          <w:szCs w:val="32"/>
          <w:highlight w:val="none"/>
        </w:rPr>
      </w:pPr>
    </w:p>
    <w:p w14:paraId="28D3F3F8">
      <w:pPr>
        <w:snapToGrid w:val="0"/>
        <w:spacing w:line="360" w:lineRule="auto"/>
        <w:ind w:left="420" w:hanging="420" w:hangingChars="200"/>
        <w:rPr>
          <w:rFonts w:hint="eastAsia" w:ascii="宋体" w:hAnsi="宋体" w:eastAsia="宋体" w:cs="宋体"/>
          <w:color w:val="auto"/>
          <w:szCs w:val="21"/>
          <w:highlight w:val="none"/>
        </w:rPr>
      </w:pPr>
    </w:p>
    <w:p w14:paraId="792732A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br w:type="page"/>
      </w:r>
    </w:p>
    <w:p w14:paraId="74521527">
      <w:pPr>
        <w:snapToGrid w:val="0"/>
        <w:spacing w:line="360" w:lineRule="auto"/>
        <w:jc w:val="left"/>
        <w:rPr>
          <w:rFonts w:hint="eastAsia" w:ascii="宋体" w:hAnsi="宋体" w:eastAsia="宋体" w:cs="宋体"/>
          <w:color w:val="auto"/>
          <w:szCs w:val="21"/>
          <w:highlight w:val="none"/>
        </w:rPr>
      </w:pPr>
    </w:p>
    <w:p w14:paraId="614B92A6">
      <w:pPr>
        <w:pStyle w:val="15"/>
        <w:tabs>
          <w:tab w:val="left" w:pos="2472"/>
        </w:tabs>
        <w:spacing w:line="460" w:lineRule="exact"/>
        <w:jc w:val="both"/>
        <w:rPr>
          <w:rFonts w:ascii="Times New Roman" w:hAnsi="Times New Roman" w:eastAsia="宋体" w:cs="Times New Roman"/>
          <w:b/>
          <w:color w:val="auto"/>
          <w:sz w:val="36"/>
          <w:highlight w:val="none"/>
        </w:rPr>
      </w:pPr>
    </w:p>
    <w:p w14:paraId="1EEE4F27">
      <w:pPr>
        <w:pStyle w:val="9"/>
        <w:rPr>
          <w:rFonts w:ascii="Times New Roman" w:hAnsi="Times New Roman" w:eastAsia="宋体" w:cs="Times New Roman"/>
          <w:b/>
          <w:color w:val="auto"/>
          <w:sz w:val="36"/>
          <w:highlight w:val="none"/>
        </w:rPr>
      </w:pPr>
    </w:p>
    <w:p w14:paraId="7F7D1E38">
      <w:pPr>
        <w:rPr>
          <w:rFonts w:ascii="Times New Roman" w:hAnsi="Times New Roman" w:eastAsia="宋体" w:cs="Times New Roman"/>
          <w:b/>
          <w:color w:val="auto"/>
          <w:sz w:val="36"/>
          <w:highlight w:val="none"/>
        </w:rPr>
      </w:pPr>
    </w:p>
    <w:p w14:paraId="74827BE4">
      <w:pPr>
        <w:rPr>
          <w:rFonts w:ascii="Times New Roman" w:hAnsi="Times New Roman" w:eastAsia="宋体" w:cs="Times New Roman"/>
          <w:b/>
          <w:color w:val="auto"/>
          <w:sz w:val="36"/>
          <w:highlight w:val="none"/>
        </w:rPr>
      </w:pPr>
    </w:p>
    <w:p w14:paraId="07511B53">
      <w:pPr>
        <w:rPr>
          <w:rFonts w:ascii="Times New Roman" w:hAnsi="Times New Roman" w:eastAsia="宋体" w:cs="Times New Roman"/>
          <w:b/>
          <w:color w:val="auto"/>
          <w:sz w:val="36"/>
          <w:highlight w:val="none"/>
        </w:rPr>
      </w:pPr>
    </w:p>
    <w:p w14:paraId="43C221BD">
      <w:pPr>
        <w:rPr>
          <w:rFonts w:ascii="Times New Roman" w:hAnsi="Times New Roman" w:eastAsia="宋体" w:cs="Times New Roman"/>
          <w:b/>
          <w:color w:val="auto"/>
          <w:sz w:val="36"/>
          <w:highlight w:val="none"/>
        </w:rPr>
      </w:pPr>
    </w:p>
    <w:p w14:paraId="52A1784E">
      <w:pPr>
        <w:rPr>
          <w:rFonts w:ascii="Times New Roman" w:hAnsi="Times New Roman" w:eastAsia="宋体" w:cs="Times New Roman"/>
          <w:b/>
          <w:color w:val="auto"/>
          <w:sz w:val="36"/>
          <w:highlight w:val="none"/>
        </w:rPr>
      </w:pPr>
    </w:p>
    <w:p w14:paraId="64767B35">
      <w:pPr>
        <w:rPr>
          <w:rFonts w:ascii="Times New Roman" w:hAnsi="Times New Roman" w:eastAsia="宋体" w:cs="Times New Roman"/>
          <w:b/>
          <w:color w:val="auto"/>
          <w:sz w:val="36"/>
          <w:highlight w:val="none"/>
        </w:rPr>
      </w:pPr>
    </w:p>
    <w:p w14:paraId="687D5DE6">
      <w:pPr>
        <w:rPr>
          <w:rFonts w:ascii="Times New Roman" w:hAnsi="Times New Roman" w:eastAsia="宋体" w:cs="Times New Roman"/>
          <w:b/>
          <w:color w:val="auto"/>
          <w:sz w:val="36"/>
          <w:highlight w:val="none"/>
        </w:rPr>
      </w:pPr>
    </w:p>
    <w:p w14:paraId="3D0573D9">
      <w:pPr>
        <w:pStyle w:val="15"/>
        <w:tabs>
          <w:tab w:val="left" w:pos="2472"/>
        </w:tabs>
        <w:spacing w:line="460" w:lineRule="exact"/>
        <w:jc w:val="center"/>
        <w:rPr>
          <w:rFonts w:ascii="Times New Roman" w:hAnsi="Times New Roman" w:eastAsia="宋体" w:cs="Times New Roman"/>
          <w:b/>
          <w:color w:val="auto"/>
          <w:sz w:val="36"/>
          <w:highlight w:val="none"/>
        </w:rPr>
      </w:pPr>
    </w:p>
    <w:p w14:paraId="2E9DAC49">
      <w:pPr>
        <w:pStyle w:val="15"/>
        <w:tabs>
          <w:tab w:val="left" w:pos="2472"/>
        </w:tabs>
        <w:spacing w:line="460" w:lineRule="exact"/>
        <w:jc w:val="center"/>
        <w:rPr>
          <w:rFonts w:ascii="Times New Roman" w:hAnsi="Times New Roman" w:eastAsia="宋体" w:cs="Times New Roman"/>
          <w:b/>
          <w:color w:val="auto"/>
          <w:sz w:val="36"/>
          <w:highlight w:val="none"/>
        </w:rPr>
      </w:pPr>
    </w:p>
    <w:p w14:paraId="52D3D347">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340" w:name="_Toc20296"/>
      <w:bookmarkStart w:id="341" w:name="_Toc24704"/>
      <w:bookmarkStart w:id="342" w:name="_Toc20832"/>
      <w:bookmarkStart w:id="343" w:name="_Toc26884"/>
      <w:bookmarkStart w:id="344" w:name="_Toc11043"/>
      <w:bookmarkStart w:id="345" w:name="_Toc32149"/>
      <w:bookmarkStart w:id="346" w:name="_Toc2377"/>
      <w:bookmarkStart w:id="347" w:name="_Toc5736"/>
      <w:bookmarkStart w:id="348" w:name="_Toc2517"/>
      <w:bookmarkStart w:id="349" w:name="_Toc19350"/>
      <w:bookmarkStart w:id="350" w:name="_Toc9123"/>
      <w:bookmarkStart w:id="351" w:name="_Toc26390"/>
      <w:bookmarkStart w:id="352" w:name="_Toc19106"/>
      <w:r>
        <w:rPr>
          <w:rFonts w:hint="eastAsia" w:ascii="Times New Roman" w:hAnsi="Times New Roman" w:eastAsia="宋体" w:cs="Times New Roman"/>
          <w:b/>
          <w:color w:val="auto"/>
          <w:sz w:val="36"/>
          <w:highlight w:val="none"/>
        </w:rPr>
        <w:t>第六章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投标文件格式</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3A1A680B">
      <w:pPr>
        <w:widowControl/>
        <w:spacing w:beforeAutospacing="1" w:line="360" w:lineRule="auto"/>
        <w:jc w:val="left"/>
        <w:rPr>
          <w:rFonts w:ascii="宋体" w:hAnsi="宋体"/>
          <w:color w:val="auto"/>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64339F49">
      <w:pPr>
        <w:pStyle w:val="15"/>
        <w:jc w:val="center"/>
        <w:outlineLvl w:val="1"/>
        <w:rPr>
          <w:rFonts w:hint="eastAsia" w:hAnsi="宋体" w:eastAsia="宋体" w:cs="Times New Roman"/>
          <w:b/>
          <w:bCs/>
          <w:color w:val="auto"/>
          <w:sz w:val="28"/>
          <w:szCs w:val="28"/>
          <w:highlight w:val="none"/>
        </w:rPr>
      </w:pPr>
      <w:bookmarkStart w:id="353" w:name="_Toc11854"/>
      <w:bookmarkStart w:id="354" w:name="_Toc23486"/>
      <w:bookmarkStart w:id="355" w:name="_Toc24486"/>
      <w:bookmarkStart w:id="356" w:name="_Toc4270"/>
      <w:bookmarkStart w:id="357" w:name="_Toc16890"/>
      <w:bookmarkStart w:id="358" w:name="_Toc32370"/>
      <w:bookmarkStart w:id="359" w:name="_Toc32508"/>
      <w:bookmarkStart w:id="360" w:name="_Toc20281"/>
      <w:bookmarkStart w:id="361" w:name="_Toc7817"/>
      <w:bookmarkStart w:id="362" w:name="_Toc21700"/>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一</w:t>
      </w:r>
      <w:r>
        <w:rPr>
          <w:rFonts w:hint="eastAsia" w:hAnsi="宋体" w:eastAsia="宋体" w:cs="Times New Roman"/>
          <w:b/>
          <w:bCs/>
          <w:color w:val="auto"/>
          <w:sz w:val="28"/>
          <w:szCs w:val="28"/>
          <w:highlight w:val="none"/>
        </w:rPr>
        <w:t>节 资格证明文件格式</w:t>
      </w:r>
      <w:bookmarkEnd w:id="353"/>
      <w:bookmarkEnd w:id="354"/>
      <w:bookmarkEnd w:id="355"/>
      <w:bookmarkEnd w:id="356"/>
      <w:bookmarkEnd w:id="357"/>
      <w:bookmarkEnd w:id="358"/>
      <w:bookmarkEnd w:id="359"/>
      <w:bookmarkEnd w:id="360"/>
      <w:bookmarkEnd w:id="361"/>
      <w:bookmarkEnd w:id="362"/>
    </w:p>
    <w:p w14:paraId="3F6867C5">
      <w:pPr>
        <w:pStyle w:val="15"/>
        <w:spacing w:line="360" w:lineRule="auto"/>
        <w:ind w:firstLine="420"/>
        <w:rPr>
          <w:rFonts w:hint="eastAsia" w:hAnsi="宋体" w:eastAsia="宋体" w:cs="Times New Roman"/>
          <w:color w:val="auto"/>
          <w:sz w:val="30"/>
          <w:highlight w:val="none"/>
        </w:rPr>
      </w:pPr>
    </w:p>
    <w:p w14:paraId="6D2BD3FB">
      <w:pPr>
        <w:pStyle w:val="9"/>
        <w:ind w:left="0"/>
        <w:jc w:val="left"/>
        <w:rPr>
          <w:rFonts w:hint="eastAsia" w:hAnsi="宋体" w:eastAsia="宋体" w:cs="Times New Roman"/>
          <w:color w:val="auto"/>
          <w:sz w:val="30"/>
          <w:highlight w:val="none"/>
        </w:rPr>
      </w:pPr>
      <w:r>
        <w:rPr>
          <w:rFonts w:hint="eastAsia" w:hAnsi="宋体" w:cs="宋体"/>
          <w:b/>
          <w:bCs/>
          <w:color w:val="auto"/>
          <w:sz w:val="28"/>
          <w:szCs w:val="28"/>
          <w:highlight w:val="none"/>
          <w:lang w:val="en-US" w:eastAsia="zh-CN"/>
        </w:rPr>
        <w:t>1.资格证明文件封面的格式（参照此格式自拟）：</w:t>
      </w:r>
    </w:p>
    <w:p w14:paraId="511786A8">
      <w:pPr>
        <w:rPr>
          <w:rFonts w:hint="eastAsia"/>
          <w:color w:val="auto"/>
          <w:highlight w:val="none"/>
        </w:rPr>
      </w:pPr>
    </w:p>
    <w:p w14:paraId="5A60CF65">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599B7032">
      <w:pPr>
        <w:snapToGrid w:val="0"/>
        <w:spacing w:before="165" w:beforeLines="50" w:after="50"/>
        <w:rPr>
          <w:rFonts w:hint="eastAsia" w:ascii="宋体" w:hAnsi="宋体" w:eastAsia="宋体" w:cs="Times New Roman"/>
          <w:color w:val="auto"/>
          <w:sz w:val="24"/>
          <w:szCs w:val="20"/>
          <w:highlight w:val="none"/>
        </w:rPr>
      </w:pPr>
    </w:p>
    <w:p w14:paraId="0D7BFFF5">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资格证明文件</w:t>
      </w:r>
    </w:p>
    <w:p w14:paraId="440E05B0">
      <w:pPr>
        <w:snapToGrid w:val="0"/>
        <w:spacing w:before="165" w:beforeLines="50" w:after="50"/>
        <w:rPr>
          <w:rFonts w:hint="eastAsia" w:ascii="宋体" w:hAnsi="宋体" w:eastAsia="宋体" w:cs="Times New Roman"/>
          <w:bCs/>
          <w:color w:val="auto"/>
          <w:sz w:val="24"/>
          <w:szCs w:val="20"/>
          <w:highlight w:val="none"/>
        </w:rPr>
      </w:pPr>
    </w:p>
    <w:p w14:paraId="152CA42E">
      <w:pPr>
        <w:snapToGrid w:val="0"/>
        <w:spacing w:before="165" w:beforeLines="50" w:after="50"/>
        <w:rPr>
          <w:rFonts w:hint="eastAsia" w:ascii="宋体" w:hAnsi="宋体" w:eastAsia="宋体" w:cs="Times New Roman"/>
          <w:bCs/>
          <w:color w:val="auto"/>
          <w:sz w:val="24"/>
          <w:szCs w:val="20"/>
          <w:highlight w:val="none"/>
        </w:rPr>
      </w:pPr>
    </w:p>
    <w:p w14:paraId="0B5FD354">
      <w:pPr>
        <w:snapToGrid w:val="0"/>
        <w:spacing w:before="165" w:beforeLines="50" w:after="50"/>
        <w:rPr>
          <w:rFonts w:hint="eastAsia" w:ascii="宋体" w:hAnsi="宋体" w:eastAsia="宋体" w:cs="Times New Roman"/>
          <w:bCs/>
          <w:color w:val="auto"/>
          <w:sz w:val="24"/>
          <w:szCs w:val="20"/>
          <w:highlight w:val="none"/>
        </w:rPr>
      </w:pPr>
    </w:p>
    <w:p w14:paraId="26702EAC">
      <w:pPr>
        <w:snapToGrid w:val="0"/>
        <w:spacing w:before="165" w:beforeLines="50" w:after="50"/>
        <w:rPr>
          <w:rFonts w:hint="eastAsia" w:ascii="宋体" w:hAnsi="宋体" w:eastAsia="宋体" w:cs="Times New Roman"/>
          <w:bCs/>
          <w:color w:val="auto"/>
          <w:sz w:val="24"/>
          <w:szCs w:val="20"/>
          <w:highlight w:val="none"/>
        </w:rPr>
      </w:pPr>
    </w:p>
    <w:p w14:paraId="40AE6BF5">
      <w:pPr>
        <w:snapToGrid w:val="0"/>
        <w:spacing w:before="165" w:beforeLines="50" w:after="50"/>
        <w:rPr>
          <w:rFonts w:hint="eastAsia" w:ascii="宋体" w:hAnsi="宋体" w:eastAsia="宋体" w:cs="Times New Roman"/>
          <w:bCs/>
          <w:color w:val="auto"/>
          <w:sz w:val="24"/>
          <w:szCs w:val="20"/>
          <w:highlight w:val="none"/>
        </w:rPr>
      </w:pPr>
    </w:p>
    <w:p w14:paraId="130142E2">
      <w:pPr>
        <w:snapToGrid w:val="0"/>
        <w:spacing w:before="165" w:beforeLines="50" w:after="50"/>
        <w:rPr>
          <w:rFonts w:hint="eastAsia" w:ascii="宋体" w:hAnsi="宋体" w:eastAsia="宋体" w:cs="Times New Roman"/>
          <w:bCs/>
          <w:color w:val="auto"/>
          <w:sz w:val="24"/>
          <w:szCs w:val="20"/>
          <w:highlight w:val="none"/>
        </w:rPr>
      </w:pPr>
    </w:p>
    <w:p w14:paraId="5DA4494E">
      <w:pPr>
        <w:snapToGrid w:val="0"/>
        <w:spacing w:before="165" w:beforeLines="50" w:after="50"/>
        <w:rPr>
          <w:rFonts w:hint="eastAsia" w:ascii="宋体" w:hAnsi="宋体" w:eastAsia="宋体" w:cs="Times New Roman"/>
          <w:bCs/>
          <w:color w:val="auto"/>
          <w:sz w:val="24"/>
          <w:szCs w:val="20"/>
          <w:highlight w:val="none"/>
        </w:rPr>
      </w:pPr>
    </w:p>
    <w:p w14:paraId="4276F4D4">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527F0D98">
      <w:pPr>
        <w:snapToGrid w:val="0"/>
        <w:spacing w:before="165" w:beforeLines="50" w:after="50"/>
        <w:ind w:firstLine="540" w:firstLineChars="225"/>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项目编号：</w:t>
      </w:r>
    </w:p>
    <w:p w14:paraId="06DF11EF">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 </w:t>
      </w:r>
    </w:p>
    <w:p w14:paraId="6F787753">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eastAsia="宋体" w:cs="Times New Roman"/>
          <w:bCs/>
          <w:color w:val="auto"/>
          <w:sz w:val="24"/>
          <w:highlight w:val="none"/>
        </w:rPr>
        <w:t>：</w:t>
      </w:r>
    </w:p>
    <w:p w14:paraId="47358EDE">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69774FBD">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30EB882D">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42299738">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0ACE67E8">
      <w:pPr>
        <w:snapToGrid w:val="0"/>
        <w:spacing w:before="165" w:beforeLines="50" w:after="50"/>
        <w:ind w:firstLine="645"/>
        <w:jc w:val="center"/>
        <w:rPr>
          <w:rFonts w:hint="eastAsia" w:ascii="宋体" w:hAnsi="宋体" w:eastAsia="宋体" w:cs="Times New Roman"/>
          <w:color w:val="auto"/>
          <w:sz w:val="24"/>
          <w:highlight w:val="none"/>
        </w:rPr>
      </w:pPr>
    </w:p>
    <w:p w14:paraId="14AAB3D8">
      <w:pPr>
        <w:snapToGrid w:val="0"/>
        <w:spacing w:before="165" w:beforeLines="50" w:after="50"/>
        <w:ind w:firstLine="645"/>
        <w:jc w:val="center"/>
        <w:rPr>
          <w:rFonts w:hint="eastAsia" w:ascii="宋体" w:hAnsi="宋体" w:eastAsia="宋体" w:cs="Times New Roman"/>
          <w:color w:val="auto"/>
          <w:sz w:val="24"/>
          <w:highlight w:val="none"/>
        </w:rPr>
      </w:pPr>
    </w:p>
    <w:p w14:paraId="54D7B281">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1E8BC128">
      <w:pPr>
        <w:widowControl/>
        <w:spacing w:line="360" w:lineRule="auto"/>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638A0A80">
      <w:pPr>
        <w:jc w:val="both"/>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rPr>
        <w:t>资格证明文件目录</w:t>
      </w:r>
    </w:p>
    <w:p w14:paraId="3A2069B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E653FAD">
      <w:pPr>
        <w:spacing w:line="360" w:lineRule="auto"/>
        <w:rPr>
          <w:rFonts w:hint="eastAsia" w:ascii="仿宋_GB2312" w:hAnsi="仿宋" w:eastAsia="仿宋_GB2312" w:cs="仿宋_GB2312"/>
          <w:b/>
          <w:bCs/>
          <w:color w:val="auto"/>
          <w:sz w:val="24"/>
          <w:highlight w:val="none"/>
        </w:rPr>
      </w:pPr>
    </w:p>
    <w:p w14:paraId="3EA5DF77">
      <w:pPr>
        <w:snapToGrid w:val="0"/>
        <w:spacing w:line="360" w:lineRule="auto"/>
        <w:rPr>
          <w:rFonts w:hint="eastAsia" w:ascii="仿宋_GB2312" w:hAnsi="仿宋" w:eastAsia="仿宋_GB2312" w:cs="仿宋_GB2312"/>
          <w:b/>
          <w:color w:val="auto"/>
          <w:kern w:val="0"/>
          <w:sz w:val="32"/>
          <w:szCs w:val="32"/>
          <w:highlight w:val="none"/>
          <w:lang w:val="zh-CN"/>
        </w:rPr>
      </w:pPr>
    </w:p>
    <w:p w14:paraId="2EF68E3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584CA6A0">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39F60B02">
      <w:pPr>
        <w:snapToGrid w:val="0"/>
        <w:spacing w:line="360" w:lineRule="auto"/>
        <w:ind w:right="480"/>
        <w:jc w:val="center"/>
        <w:rPr>
          <w:rFonts w:hint="eastAsia" w:ascii="宋体" w:hAnsi="宋体" w:eastAsia="宋体" w:cs="Times New Roman"/>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5E8CC632">
      <w:pPr>
        <w:pStyle w:val="11"/>
        <w:rPr>
          <w:rFonts w:hint="eastAsia"/>
          <w:color w:val="auto"/>
          <w:highlight w:val="none"/>
        </w:rPr>
      </w:pPr>
      <w:r>
        <w:rPr>
          <w:rFonts w:hint="eastAsia" w:ascii="宋体" w:hAnsi="宋体" w:cs="宋体"/>
          <w:b/>
          <w:color w:val="auto"/>
          <w:kern w:val="0"/>
          <w:sz w:val="32"/>
          <w:szCs w:val="32"/>
          <w:highlight w:val="none"/>
          <w:lang w:val="en-US" w:eastAsia="zh-CN"/>
        </w:rPr>
        <w:t>3.</w:t>
      </w:r>
      <w:r>
        <w:rPr>
          <w:rFonts w:hint="eastAsia" w:ascii="宋体" w:hAnsi="宋体" w:cs="宋体"/>
          <w:b/>
          <w:color w:val="auto"/>
          <w:sz w:val="28"/>
          <w:szCs w:val="28"/>
          <w:highlight w:val="none"/>
        </w:rPr>
        <w:t>声明函</w:t>
      </w:r>
      <w:r>
        <w:rPr>
          <w:rFonts w:hint="eastAsia" w:ascii="宋体" w:hAnsi="宋体" w:cs="宋体"/>
          <w:b/>
          <w:color w:val="auto"/>
          <w:sz w:val="28"/>
          <w:szCs w:val="28"/>
          <w:highlight w:val="none"/>
          <w:lang w:eastAsia="zh-CN"/>
        </w:rPr>
        <w:t>的格式</w:t>
      </w:r>
      <w:r>
        <w:rPr>
          <w:rFonts w:hint="eastAsia"/>
          <w:color w:val="auto"/>
          <w:sz w:val="28"/>
          <w:szCs w:val="28"/>
          <w:highlight w:val="none"/>
          <w:lang w:eastAsia="zh-CN"/>
        </w:rPr>
        <w:t>：</w:t>
      </w:r>
    </w:p>
    <w:p w14:paraId="1C0FD1F8">
      <w:pPr>
        <w:snapToGrid w:val="0"/>
        <w:spacing w:before="50" w:after="165" w:afterLines="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14:paraId="0B249873">
      <w:pPr>
        <w:tabs>
          <w:tab w:val="left" w:pos="7200"/>
        </w:tabs>
        <w:spacing w:line="360" w:lineRule="auto"/>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bookmarkStart w:id="363" w:name="PO_3000001866_PM031_5"/>
      <w:r>
        <w:rPr>
          <w:rFonts w:hint="eastAsia" w:ascii="宋体" w:hAnsi="宋体" w:eastAsia="宋体" w:cs="Times New Roman"/>
          <w:color w:val="auto"/>
          <w:szCs w:val="21"/>
          <w:highlight w:val="none"/>
          <w:u w:val="single"/>
          <w:lang w:eastAsia="zh-CN"/>
        </w:rPr>
        <w:t>广西科联招标中心有限公司</w:t>
      </w:r>
      <w:bookmarkEnd w:id="363"/>
      <w:r>
        <w:rPr>
          <w:rFonts w:hint="eastAsia" w:ascii="宋体" w:hAnsi="宋体" w:eastAsia="宋体" w:cs="Times New Roman"/>
          <w:color w:val="auto"/>
          <w:szCs w:val="21"/>
          <w:highlight w:val="none"/>
          <w:u w:val="single"/>
        </w:rPr>
        <w:t xml:space="preserve"> </w:t>
      </w:r>
    </w:p>
    <w:p w14:paraId="56A9E549">
      <w:pPr>
        <w:pStyle w:val="17"/>
        <w:ind w:firstLine="420" w:firstLineChars="200"/>
        <w:rPr>
          <w:rFonts w:hint="eastAsia"/>
          <w:color w:val="auto"/>
          <w:sz w:val="21"/>
          <w:szCs w:val="21"/>
          <w:highlight w:val="none"/>
        </w:rPr>
      </w:pPr>
      <w:r>
        <w:rPr>
          <w:rFonts w:hint="eastAsia" w:ascii="宋体" w:hAnsi="宋体" w:eastAsia="宋体" w:cs="宋体"/>
          <w:i/>
          <w:iCs/>
          <w:color w:val="auto"/>
          <w:sz w:val="21"/>
          <w:szCs w:val="21"/>
          <w:highlight w:val="none"/>
          <w:u w:val="single"/>
        </w:rPr>
        <w:t>（</w:t>
      </w:r>
      <w:r>
        <w:rPr>
          <w:rFonts w:hint="eastAsia" w:ascii="宋体" w:hAnsi="宋体" w:cs="宋体"/>
          <w:i/>
          <w:iCs/>
          <w:color w:val="auto"/>
          <w:sz w:val="21"/>
          <w:szCs w:val="21"/>
          <w:highlight w:val="none"/>
          <w:u w:val="single"/>
          <w:lang w:val="en-US" w:eastAsia="zh-CN"/>
        </w:rPr>
        <w:t>投标人</w:t>
      </w:r>
      <w:r>
        <w:rPr>
          <w:rFonts w:hint="eastAsia" w:ascii="宋体" w:hAnsi="宋体" w:eastAsia="宋体" w:cs="宋体"/>
          <w:i/>
          <w:iCs/>
          <w:color w:val="auto"/>
          <w:sz w:val="21"/>
          <w:szCs w:val="21"/>
          <w:highlight w:val="none"/>
          <w:u w:val="single"/>
        </w:rPr>
        <w:t>名称）</w:t>
      </w:r>
      <w:r>
        <w:rPr>
          <w:rFonts w:hint="eastAsia" w:ascii="宋体" w:hAnsi="宋体" w:eastAsia="宋体" w:cs="宋体"/>
          <w:color w:val="auto"/>
          <w:sz w:val="21"/>
          <w:szCs w:val="21"/>
          <w:highlight w:val="none"/>
        </w:rPr>
        <w:t>系中华人民共和国合法供应商，经营地址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5A3046">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我方愿意参加贵方组织的</w:t>
      </w:r>
      <w:r>
        <w:rPr>
          <w:rFonts w:hint="eastAsia" w:ascii="宋体" w:hAnsi="宋体" w:cs="Times New Roman"/>
          <w:i/>
          <w:iCs/>
          <w:color w:val="auto"/>
          <w:szCs w:val="21"/>
          <w:highlight w:val="none"/>
          <w:u w:val="single"/>
          <w:lang w:eastAsia="zh-CN"/>
        </w:rPr>
        <w:t>（项目名称）</w:t>
      </w:r>
      <w:r>
        <w:rPr>
          <w:rFonts w:hint="eastAsia" w:ascii="宋体" w:hAnsi="宋体" w:cs="Times New Roman"/>
          <w:i/>
          <w:iCs/>
          <w:color w:val="auto"/>
          <w:szCs w:val="21"/>
          <w:highlight w:val="none"/>
          <w:u w:val="single"/>
          <w:lang w:val="en-US" w:eastAsia="zh-CN"/>
        </w:rPr>
        <w:t xml:space="preserve"> </w:t>
      </w:r>
      <w:r>
        <w:rPr>
          <w:rFonts w:hint="eastAsia" w:ascii="宋体" w:hAnsi="宋体" w:eastAsia="宋体" w:cs="Times New Roman"/>
          <w:color w:val="auto"/>
          <w:szCs w:val="21"/>
          <w:highlight w:val="none"/>
        </w:rPr>
        <w:t>（项目编号：</w:t>
      </w:r>
      <w:r>
        <w:rPr>
          <w:rFonts w:hint="eastAsia" w:ascii="宋体" w:hAnsi="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）项目的投标，为便于贵方公正、择优地确定中标人，我方就本次投标有关事项郑重声明如下：</w:t>
      </w:r>
    </w:p>
    <w:p w14:paraId="55AF4418">
      <w:pPr>
        <w:pStyle w:val="17"/>
        <w:ind w:firstLine="420" w:firstLineChars="200"/>
        <w:rPr>
          <w:rFonts w:hint="eastAsia" w:eastAsia="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我方向贵方提交的所有</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文件、资料都是准确的和真实的</w:t>
      </w:r>
      <w:r>
        <w:rPr>
          <w:rFonts w:hint="eastAsia" w:ascii="宋体" w:hAnsi="宋体" w:cs="宋体"/>
          <w:color w:val="auto"/>
          <w:sz w:val="21"/>
          <w:szCs w:val="21"/>
          <w:highlight w:val="none"/>
          <w:lang w:eastAsia="zh-CN"/>
        </w:rPr>
        <w:t>。</w:t>
      </w:r>
    </w:p>
    <w:p w14:paraId="0FFC54A3">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F8BBB3D">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在此，我方宣布同意如下：</w:t>
      </w:r>
    </w:p>
    <w:p w14:paraId="1A850ED0">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（1）将按</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文件的约定履行合同责任和义务；</w:t>
      </w:r>
    </w:p>
    <w:p w14:paraId="76BA48DD">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（2）已详细审查</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全部</w:t>
      </w:r>
      <w:r>
        <w:rPr>
          <w:rFonts w:hint="eastAsia" w:ascii="宋体" w:hAnsi="宋体" w:cs="宋体"/>
          <w:color w:val="auto"/>
          <w:kern w:val="0"/>
          <w:sz w:val="21"/>
          <w:szCs w:val="21"/>
          <w:highlight w:val="none"/>
          <w:lang w:val="en-US" w:eastAsia="zh-CN"/>
        </w:rPr>
        <w:t>内容</w:t>
      </w:r>
      <w:r>
        <w:rPr>
          <w:rFonts w:hint="eastAsia" w:ascii="宋体" w:hAnsi="宋体" w:eastAsia="宋体" w:cs="宋体"/>
          <w:color w:val="auto"/>
          <w:sz w:val="21"/>
          <w:szCs w:val="21"/>
          <w:highlight w:val="none"/>
        </w:rPr>
        <w:t>，包括澄清或者更正公告（如有）；</w:t>
      </w:r>
    </w:p>
    <w:p w14:paraId="42E7BACD">
      <w:pPr>
        <w:spacing w:line="36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（3）同意提供按照贵方可能要求的与</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有关的一切数据或者资料。</w:t>
      </w:r>
    </w:p>
    <w:p w14:paraId="64D7B15B">
      <w:pPr>
        <w:pStyle w:val="17"/>
        <w:rPr>
          <w:rFonts w:hint="eastAsia"/>
          <w:color w:val="auto"/>
          <w:highlight w:val="none"/>
        </w:rPr>
      </w:pPr>
    </w:p>
    <w:p w14:paraId="561434BB">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4、</w:t>
      </w:r>
      <w:r>
        <w:rPr>
          <w:rFonts w:hint="eastAsia" w:ascii="宋体" w:hAnsi="宋体" w:eastAsia="宋体" w:cs="Times New Roman"/>
          <w:b w:val="0"/>
          <w:bCs w:val="0"/>
          <w:color w:val="auto"/>
          <w:kern w:val="2"/>
          <w:sz w:val="21"/>
          <w:szCs w:val="21"/>
          <w:highlight w:val="none"/>
          <w:lang w:val="en-US" w:eastAsia="zh-CN" w:bidi="ar-SA"/>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未被列入失信被执行人、</w:t>
      </w:r>
      <w:r>
        <w:rPr>
          <w:rFonts w:hint="eastAsia" w:ascii="宋体" w:hAnsi="宋体" w:cs="Times New Roman"/>
          <w:color w:val="auto"/>
          <w:szCs w:val="21"/>
          <w:highlight w:val="none"/>
          <w:lang w:eastAsia="zh-CN"/>
        </w:rPr>
        <w:t>重大税收违法失信主体</w:t>
      </w:r>
      <w:r>
        <w:rPr>
          <w:rFonts w:hint="eastAsia" w:ascii="宋体" w:hAnsi="宋体" w:eastAsia="宋体" w:cs="Times New Roman"/>
          <w:color w:val="auto"/>
          <w:szCs w:val="21"/>
          <w:highlight w:val="none"/>
        </w:rPr>
        <w:t>、政府采购严重违法失信行为记录名单。</w:t>
      </w:r>
    </w:p>
    <w:p w14:paraId="6B7C2AE3">
      <w:pPr>
        <w:spacing w:line="360" w:lineRule="exact"/>
        <w:ind w:firstLine="420" w:firstLineChars="200"/>
        <w:contextualSpacing/>
        <w:rPr>
          <w:rFonts w:hint="eastAsia" w:ascii="宋体" w:hAnsi="宋体" w:eastAsia="宋体" w:cs="宋体"/>
          <w:i/>
          <w:iCs/>
          <w:color w:val="auto"/>
          <w:sz w:val="21"/>
          <w:szCs w:val="21"/>
          <w:highlight w:val="none"/>
        </w:rPr>
      </w:pPr>
      <w:r>
        <w:rPr>
          <w:rFonts w:hint="eastAsia" w:ascii="宋体" w:hAnsi="宋体" w:cs="Times New Roman"/>
          <w:color w:val="auto"/>
          <w:szCs w:val="21"/>
          <w:highlight w:val="none"/>
          <w:lang w:val="en-US" w:eastAsia="zh-CN"/>
        </w:rPr>
        <w:t>5、</w:t>
      </w:r>
      <w:r>
        <w:rPr>
          <w:rFonts w:hint="eastAsia" w:ascii="宋体" w:hAnsi="宋体" w:eastAsia="宋体" w:cs="宋体"/>
          <w:color w:val="auto"/>
          <w:sz w:val="21"/>
          <w:szCs w:val="21"/>
          <w:highlight w:val="none"/>
        </w:rPr>
        <w:t>根据《中华人民共和国政府采购法实施条例》第五十条要求对政府采购合同进行公告，但政府采购合同中涉及国家秘密、商业秘密的内容除外。我方就对本次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文件进行注明如下：</w:t>
      </w:r>
      <w:r>
        <w:rPr>
          <w:rFonts w:hint="eastAsia" w:ascii="宋体" w:hAnsi="宋体" w:eastAsia="宋体" w:cs="宋体"/>
          <w:i/>
          <w:iCs/>
          <w:color w:val="auto"/>
          <w:sz w:val="21"/>
          <w:szCs w:val="21"/>
          <w:highlight w:val="none"/>
        </w:rPr>
        <w:t>（两项内容中必须选择一项）</w:t>
      </w:r>
    </w:p>
    <w:p w14:paraId="6D2BE0A9">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内容中</w:t>
      </w:r>
      <w:r>
        <w:rPr>
          <w:rFonts w:hint="eastAsia" w:ascii="宋体" w:hAnsi="宋体" w:eastAsia="宋体" w:cs="宋体"/>
          <w:color w:val="auto"/>
          <w:sz w:val="21"/>
          <w:szCs w:val="21"/>
          <w:highlight w:val="none"/>
        </w:rPr>
        <w:t>未</w:t>
      </w:r>
      <w:r>
        <w:rPr>
          <w:rFonts w:hint="eastAsia" w:ascii="宋体" w:hAnsi="宋体" w:eastAsia="宋体" w:cs="宋体"/>
          <w:color w:val="auto"/>
          <w:kern w:val="0"/>
          <w:sz w:val="21"/>
          <w:szCs w:val="21"/>
          <w:highlight w:val="none"/>
        </w:rPr>
        <w:t>涉及商业秘密</w:t>
      </w:r>
      <w:r>
        <w:rPr>
          <w:rFonts w:hint="eastAsia" w:ascii="宋体" w:hAnsi="宋体" w:cs="宋体"/>
          <w:color w:val="auto"/>
          <w:kern w:val="0"/>
          <w:sz w:val="21"/>
          <w:szCs w:val="21"/>
          <w:highlight w:val="none"/>
          <w:lang w:eastAsia="zh-CN"/>
        </w:rPr>
        <w:t>。</w:t>
      </w:r>
    </w:p>
    <w:p w14:paraId="68C350E7">
      <w:pPr>
        <w:spacing w:line="360" w:lineRule="exact"/>
        <w:ind w:firstLine="420" w:firstLineChars="20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□我方本次</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w:t>
      </w:r>
      <w:r>
        <w:rPr>
          <w:rFonts w:hint="eastAsia" w:ascii="宋体" w:hAnsi="宋体" w:eastAsia="宋体" w:cs="宋体"/>
          <w:color w:val="auto"/>
          <w:kern w:val="0"/>
          <w:sz w:val="21"/>
          <w:szCs w:val="21"/>
          <w:highlight w:val="none"/>
        </w:rPr>
        <w:t>涉及商业秘密的内容有：</w:t>
      </w:r>
      <w:r>
        <w:rPr>
          <w:rFonts w:hint="eastAsia" w:ascii="宋体" w:hAnsi="宋体" w:eastAsia="宋体" w:cs="宋体"/>
          <w:color w:val="auto"/>
          <w:kern w:val="0"/>
          <w:sz w:val="21"/>
          <w:szCs w:val="21"/>
          <w:highlight w:val="none"/>
          <w:u w:val="single"/>
        </w:rPr>
        <w:t xml:space="preserve">                         </w:t>
      </w:r>
      <w:r>
        <w:rPr>
          <w:rFonts w:hint="eastAsia" w:ascii="宋体" w:hAnsi="宋体" w:cs="宋体"/>
          <w:color w:val="auto"/>
          <w:kern w:val="0"/>
          <w:sz w:val="21"/>
          <w:szCs w:val="21"/>
          <w:highlight w:val="none"/>
          <w:lang w:eastAsia="zh-CN"/>
        </w:rPr>
        <w:t>。</w:t>
      </w:r>
    </w:p>
    <w:p w14:paraId="1F700833">
      <w:pPr>
        <w:pStyle w:val="17"/>
        <w:rPr>
          <w:rFonts w:hint="default" w:eastAsia="宋体"/>
          <w:color w:val="auto"/>
          <w:highlight w:val="none"/>
          <w:lang w:val="en-US" w:eastAsia="zh-CN"/>
        </w:rPr>
      </w:pPr>
    </w:p>
    <w:p w14:paraId="59904A86">
      <w:pPr>
        <w:snapToGrid w:val="0"/>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以上事项如有虚假或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隐瞒，我方愿意承担一切后果，并不再寻求任何旨在减轻或</w:t>
      </w:r>
      <w:r>
        <w:rPr>
          <w:rFonts w:hint="eastAsia" w:ascii="宋体" w:hAnsi="宋体" w:cs="Times New Roman"/>
          <w:color w:val="auto"/>
          <w:szCs w:val="21"/>
          <w:highlight w:val="none"/>
          <w:lang w:val="en-US" w:eastAsia="zh-CN"/>
        </w:rPr>
        <w:t>者</w:t>
      </w:r>
      <w:r>
        <w:rPr>
          <w:rFonts w:hint="eastAsia" w:ascii="宋体" w:hAnsi="宋体" w:eastAsia="宋体" w:cs="Times New Roman"/>
          <w:color w:val="auto"/>
          <w:szCs w:val="21"/>
          <w:highlight w:val="none"/>
        </w:rPr>
        <w:t xml:space="preserve">免除法律责任的辩解。 </w:t>
      </w:r>
    </w:p>
    <w:p w14:paraId="7A67D422">
      <w:pPr>
        <w:tabs>
          <w:tab w:val="left" w:pos="939"/>
        </w:tabs>
        <w:spacing w:line="360" w:lineRule="exact"/>
        <w:ind w:left="141" w:leftChars="67" w:firstLine="315" w:firstLineChars="15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14:paraId="143993D9">
      <w:pPr>
        <w:snapToGrid w:val="0"/>
        <w:spacing w:before="50" w:after="165" w:afterLines="50"/>
        <w:jc w:val="left"/>
        <w:rPr>
          <w:rFonts w:hint="eastAsia" w:ascii="宋体" w:hAnsi="宋体" w:eastAsia="宋体" w:cs="Times New Roman"/>
          <w:color w:val="auto"/>
          <w:sz w:val="18"/>
          <w:szCs w:val="18"/>
          <w:highlight w:val="none"/>
        </w:rPr>
      </w:pPr>
      <w:r>
        <w:rPr>
          <w:rFonts w:hint="eastAsia" w:ascii="宋体" w:hAnsi="宋体" w:eastAsia="宋体" w:cs="Times New Roman"/>
          <w:b/>
          <w:color w:val="auto"/>
          <w:sz w:val="18"/>
          <w:szCs w:val="18"/>
          <w:highlight w:val="none"/>
        </w:rPr>
        <w:t>.</w:t>
      </w:r>
      <w:r>
        <w:rPr>
          <w:rFonts w:hint="eastAsia" w:ascii="宋体" w:hAnsi="宋体" w:cs="Times New Roman"/>
          <w:b/>
          <w:color w:val="auto"/>
          <w:sz w:val="18"/>
          <w:szCs w:val="18"/>
          <w:highlight w:val="none"/>
          <w:lang w:val="en-US" w:eastAsia="zh-CN"/>
        </w:rPr>
        <w:t xml:space="preserve">   注： </w:t>
      </w:r>
      <w:r>
        <w:rPr>
          <w:rFonts w:hint="eastAsia" w:ascii="宋体" w:hAnsi="宋体" w:eastAsia="宋体" w:cs="Times New Roman"/>
          <w:b/>
          <w:color w:val="auto"/>
          <w:sz w:val="18"/>
          <w:szCs w:val="18"/>
          <w:highlight w:val="none"/>
        </w:rPr>
        <w:t>如为联合体投标，盖章处须加盖联合体各方公章，否则</w:t>
      </w:r>
      <w:r>
        <w:rPr>
          <w:rFonts w:hint="eastAsia" w:ascii="宋体" w:hAnsi="宋体" w:eastAsia="宋体" w:cs="宋体"/>
          <w:b/>
          <w:bCs/>
          <w:color w:val="auto"/>
          <w:sz w:val="18"/>
          <w:szCs w:val="18"/>
          <w:highlight w:val="none"/>
        </w:rPr>
        <w:t>其</w:t>
      </w:r>
      <w:r>
        <w:rPr>
          <w:rFonts w:hint="eastAsia" w:ascii="宋体" w:hAnsi="宋体" w:cs="宋体"/>
          <w:b/>
          <w:bCs/>
          <w:color w:val="auto"/>
          <w:sz w:val="18"/>
          <w:szCs w:val="18"/>
          <w:highlight w:val="none"/>
          <w:lang w:val="en-US" w:eastAsia="zh-CN"/>
        </w:rPr>
        <w:t>投标</w:t>
      </w:r>
      <w:r>
        <w:rPr>
          <w:rFonts w:hint="eastAsia" w:ascii="宋体" w:hAnsi="宋体" w:eastAsia="宋体" w:cs="宋体"/>
          <w:b/>
          <w:bCs/>
          <w:color w:val="auto"/>
          <w:sz w:val="18"/>
          <w:szCs w:val="18"/>
          <w:highlight w:val="none"/>
        </w:rPr>
        <w:t>文件</w:t>
      </w:r>
      <w:r>
        <w:rPr>
          <w:rFonts w:hint="eastAsia" w:ascii="宋体" w:hAnsi="宋体" w:eastAsia="宋体" w:cs="宋体"/>
          <w:b/>
          <w:bCs/>
          <w:color w:val="auto"/>
          <w:sz w:val="18"/>
          <w:szCs w:val="18"/>
          <w:highlight w:val="none"/>
          <w:lang w:eastAsia="zh-CN"/>
        </w:rPr>
        <w:t>作无效</w:t>
      </w:r>
      <w:r>
        <w:rPr>
          <w:rFonts w:hint="eastAsia" w:ascii="宋体" w:hAnsi="宋体" w:eastAsia="宋体" w:cs="宋体"/>
          <w:b/>
          <w:bCs/>
          <w:color w:val="auto"/>
          <w:sz w:val="18"/>
          <w:szCs w:val="18"/>
          <w:highlight w:val="none"/>
        </w:rPr>
        <w:t>响应处理</w:t>
      </w:r>
      <w:r>
        <w:rPr>
          <w:rFonts w:hint="eastAsia" w:ascii="宋体" w:hAnsi="宋体" w:eastAsia="宋体" w:cs="Times New Roman"/>
          <w:b/>
          <w:color w:val="auto"/>
          <w:sz w:val="18"/>
          <w:szCs w:val="18"/>
          <w:highlight w:val="none"/>
        </w:rPr>
        <w:t>。</w:t>
      </w:r>
    </w:p>
    <w:p w14:paraId="4021D0CD">
      <w:pPr>
        <w:snapToGrid w:val="0"/>
        <w:spacing w:before="50" w:after="331" w:afterLines="100" w:line="360" w:lineRule="auto"/>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rPr>
        <w:t xml:space="preserve">                                     </w:t>
      </w:r>
    </w:p>
    <w:p w14:paraId="279A4C67">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投标人名称(盖公章)：</w:t>
      </w:r>
      <w:r>
        <w:rPr>
          <w:rFonts w:hint="eastAsia" w:ascii="宋体" w:hAnsi="宋体" w:eastAsia="宋体" w:cs="Times New Roman"/>
          <w:color w:val="auto"/>
          <w:szCs w:val="21"/>
          <w:highlight w:val="none"/>
        </w:rPr>
        <w:t xml:space="preserve">                                     年    月    日</w:t>
      </w:r>
    </w:p>
    <w:p w14:paraId="0D8FC8B7">
      <w:pP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47E333DC">
      <w:pPr>
        <w:pStyle w:val="9"/>
        <w:ind w:left="0"/>
        <w:jc w:val="left"/>
        <w:rPr>
          <w:rFonts w:hint="eastAsia"/>
          <w:color w:val="auto"/>
          <w:highlight w:val="none"/>
        </w:rPr>
      </w:pPr>
      <w:r>
        <w:rPr>
          <w:rFonts w:hint="eastAsia" w:hAnsi="宋体" w:cs="宋体"/>
          <w:b/>
          <w:bCs/>
          <w:color w:val="auto"/>
          <w:sz w:val="28"/>
          <w:szCs w:val="28"/>
          <w:highlight w:val="none"/>
          <w:lang w:val="en-US" w:eastAsia="zh-CN"/>
        </w:rPr>
        <w:t>4.联合体投标协议书的格式：</w:t>
      </w:r>
    </w:p>
    <w:p w14:paraId="0BDAF056">
      <w:pPr>
        <w:pStyle w:val="15"/>
        <w:spacing w:line="600" w:lineRule="exact"/>
        <w:jc w:val="center"/>
        <w:rPr>
          <w:rFonts w:hint="eastAsia" w:ascii="宋体" w:hAnsi="宋体" w:cs="宋体"/>
          <w:b/>
          <w:bCs/>
          <w:color w:val="auto"/>
          <w:sz w:val="28"/>
          <w:szCs w:val="28"/>
          <w:highlight w:val="none"/>
        </w:rPr>
      </w:pPr>
    </w:p>
    <w:p w14:paraId="26EDABA2">
      <w:pPr>
        <w:pStyle w:val="15"/>
        <w:spacing w:line="600" w:lineRule="exact"/>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联合体</w:t>
      </w:r>
      <w:r>
        <w:rPr>
          <w:rFonts w:hint="eastAsia" w:ascii="宋体" w:hAnsi="宋体" w:cs="宋体"/>
          <w:b/>
          <w:bCs/>
          <w:color w:val="auto"/>
          <w:sz w:val="28"/>
          <w:szCs w:val="28"/>
          <w:highlight w:val="none"/>
          <w:lang w:eastAsia="zh-CN"/>
        </w:rPr>
        <w:t>投标</w:t>
      </w:r>
      <w:r>
        <w:rPr>
          <w:rFonts w:hint="eastAsia" w:ascii="宋体" w:hAnsi="宋体" w:cs="宋体"/>
          <w:b/>
          <w:bCs/>
          <w:color w:val="auto"/>
          <w:sz w:val="28"/>
          <w:szCs w:val="28"/>
          <w:highlight w:val="none"/>
        </w:rPr>
        <w:t>协议书</w:t>
      </w:r>
    </w:p>
    <w:p w14:paraId="1808F462">
      <w:pPr>
        <w:autoSpaceDE w:val="0"/>
        <w:autoSpaceDN w:val="0"/>
        <w:adjustRightInd w:val="0"/>
        <w:spacing w:line="360" w:lineRule="auto"/>
        <w:jc w:val="left"/>
        <w:rPr>
          <w:rFonts w:hint="eastAsia" w:ascii="宋体" w:hAnsi="宋体" w:cs="宋体"/>
          <w:color w:val="auto"/>
          <w:kern w:val="0"/>
          <w:szCs w:val="21"/>
          <w:highlight w:val="none"/>
          <w:u w:val="single"/>
        </w:rPr>
      </w:pPr>
    </w:p>
    <w:p w14:paraId="6A6E6C25">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364" w:name="PO_3000001919_PM031_1"/>
      <w:r>
        <w:rPr>
          <w:rFonts w:hint="eastAsia" w:ascii="宋体" w:hAnsi="宋体" w:cs="宋体"/>
          <w:color w:val="auto"/>
          <w:kern w:val="0"/>
          <w:szCs w:val="21"/>
          <w:highlight w:val="none"/>
          <w:u w:val="single"/>
          <w:lang w:eastAsia="zh-CN"/>
        </w:rPr>
        <w:t>广西科联招标中心有限公司</w:t>
      </w:r>
      <w:bookmarkEnd w:id="364"/>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i/>
          <w:iCs/>
          <w:color w:val="auto"/>
          <w:kern w:val="0"/>
          <w:szCs w:val="21"/>
          <w:highlight w:val="none"/>
          <w:u w:val="single"/>
          <w:lang w:eastAsia="zh-CN"/>
        </w:rPr>
        <w:t>（项目名称）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4097E702">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（某成员单位名称）为联合体名称牵头人。</w:t>
      </w:r>
    </w:p>
    <w:p w14:paraId="48DBCD66">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863340E">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人承担连带责任。</w:t>
      </w:r>
    </w:p>
    <w:p w14:paraId="25995F78">
      <w:pPr>
        <w:autoSpaceDE w:val="0"/>
        <w:autoSpaceDN w:val="0"/>
        <w:adjustRightInd w:val="0"/>
        <w:spacing w:line="360" w:lineRule="auto"/>
        <w:ind w:firstLine="42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                             。</w:t>
      </w:r>
    </w:p>
    <w:p w14:paraId="23F13A90">
      <w:pPr>
        <w:pStyle w:val="15"/>
        <w:spacing w:line="360" w:lineRule="auto"/>
        <w:ind w:firstLine="420" w:firstLineChars="200"/>
        <w:rPr>
          <w:rFonts w:hint="eastAsia" w:ascii="宋体"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kern w:val="0"/>
          <w:szCs w:val="21"/>
          <w:highlight w:val="none"/>
          <w:u w:val="single"/>
        </w:rPr>
        <w:t xml:space="preserve">                          </w:t>
      </w:r>
      <w:r>
        <w:rPr>
          <w:rFonts w:hint="eastAsia" w:hAnsi="宋体" w:cs="宋体"/>
          <w:color w:val="auto"/>
          <w:kern w:val="0"/>
          <w:highlight w:val="none"/>
          <w:u w:val="single"/>
        </w:rPr>
        <w:t>（某成员单位名称）为</w:t>
      </w:r>
      <w:r>
        <w:rPr>
          <w:rFonts w:hint="eastAsia" w:ascii="宋体" w:hAnsi="宋体" w:cs="宋体"/>
          <w:color w:val="auto"/>
          <w:kern w:val="0"/>
          <w:szCs w:val="21"/>
          <w:highlight w:val="none"/>
          <w:u w:val="single"/>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kern w:val="0"/>
          <w:szCs w:val="21"/>
          <w:highlight w:val="none"/>
          <w:u w:val="single"/>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4BE2F2B6">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0375DB1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AAFD457">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254A7BC1">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218EA90E">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48CF992E">
      <w:pPr>
        <w:autoSpaceDE w:val="0"/>
        <w:autoSpaceDN w:val="0"/>
        <w:adjustRightInd w:val="0"/>
        <w:spacing w:line="360" w:lineRule="auto"/>
        <w:jc w:val="left"/>
        <w:rPr>
          <w:rFonts w:hint="eastAsia" w:ascii="宋体" w:hAnsi="宋体" w:cs="宋体"/>
          <w:color w:val="auto"/>
          <w:kern w:val="0"/>
          <w:szCs w:val="21"/>
          <w:highlight w:val="none"/>
        </w:rPr>
      </w:pPr>
    </w:p>
    <w:p w14:paraId="044B7C76">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6E779879">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ascii="宋体" w:hAnsi="宋体" w:cs="宋体"/>
          <w:color w:val="auto"/>
          <w:kern w:val="0"/>
          <w:szCs w:val="21"/>
          <w:highlight w:val="none"/>
        </w:rPr>
        <w:t>）</w:t>
      </w:r>
    </w:p>
    <w:p w14:paraId="463C5FAB">
      <w:pPr>
        <w:autoSpaceDE w:val="0"/>
        <w:autoSpaceDN w:val="0"/>
        <w:adjustRightInd w:val="0"/>
        <w:spacing w:line="360" w:lineRule="auto"/>
        <w:jc w:val="left"/>
        <w:rPr>
          <w:rFonts w:hint="eastAsia" w:ascii="宋体" w:hAnsi="宋体" w:cs="宋体"/>
          <w:color w:val="auto"/>
          <w:kern w:val="0"/>
          <w:szCs w:val="21"/>
          <w:highlight w:val="none"/>
        </w:rPr>
      </w:pPr>
    </w:p>
    <w:p w14:paraId="7D23F133">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盖</w:t>
      </w:r>
      <w:r>
        <w:rPr>
          <w:rFonts w:hint="eastAsia" w:ascii="宋体" w:hAnsi="宋体" w:cs="宋体"/>
          <w:color w:val="auto"/>
          <w:kern w:val="0"/>
          <w:szCs w:val="21"/>
          <w:highlight w:val="none"/>
        </w:rPr>
        <w:t>公章）</w:t>
      </w:r>
    </w:p>
    <w:p w14:paraId="00B8BE54">
      <w:pPr>
        <w:pStyle w:val="15"/>
        <w:spacing w:line="360" w:lineRule="auto"/>
        <w:jc w:val="both"/>
        <w:rPr>
          <w:rFonts w:hint="eastAsia" w:hAnsi="宋体" w:cs="宋体"/>
          <w:color w:val="auto"/>
          <w:kern w:val="0"/>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w:t>
      </w:r>
      <w:r>
        <w:rPr>
          <w:rFonts w:hint="eastAsia" w:ascii="宋体" w:hAnsi="宋体" w:cs="宋体"/>
          <w:color w:val="auto"/>
          <w:kern w:val="0"/>
          <w:szCs w:val="21"/>
          <w:highlight w:val="none"/>
        </w:rPr>
        <w:t>签</w:t>
      </w:r>
      <w:r>
        <w:rPr>
          <w:rFonts w:hint="eastAsia" w:ascii="宋体" w:hAnsi="宋体" w:cs="宋体"/>
          <w:color w:val="auto"/>
          <w:kern w:val="0"/>
          <w:szCs w:val="21"/>
          <w:highlight w:val="none"/>
          <w:lang w:eastAsia="zh-CN"/>
        </w:rPr>
        <w:t>字</w:t>
      </w:r>
      <w:r>
        <w:rPr>
          <w:rFonts w:hint="eastAsia" w:hAnsi="宋体" w:cs="宋体"/>
          <w:color w:val="auto"/>
          <w:kern w:val="0"/>
          <w:szCs w:val="21"/>
          <w:highlight w:val="none"/>
        </w:rPr>
        <w:t>）</w:t>
      </w:r>
    </w:p>
    <w:p w14:paraId="5636C331">
      <w:pPr>
        <w:pStyle w:val="8"/>
        <w:overflowPunct w:val="0"/>
        <w:spacing w:line="360" w:lineRule="auto"/>
        <w:ind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1725932">
      <w:pPr>
        <w:pStyle w:val="8"/>
        <w:overflowPunct w:val="0"/>
        <w:spacing w:line="360" w:lineRule="auto"/>
        <w:ind w:firstLineChars="175"/>
        <w:rPr>
          <w:rFonts w:hint="eastAsia" w:ascii="宋体" w:hAnsi="宋体" w:eastAsia="宋体" w:cs="宋体"/>
          <w:color w:val="auto"/>
          <w:sz w:val="24"/>
          <w:highlight w:val="none"/>
        </w:rPr>
      </w:pPr>
    </w:p>
    <w:p w14:paraId="5AC1E23D">
      <w:pPr>
        <w:pStyle w:val="8"/>
        <w:overflowPunct w:val="0"/>
        <w:spacing w:line="360" w:lineRule="auto"/>
        <w:ind w:firstLine="7140" w:firstLineChars="2975"/>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7C8848B">
      <w:pPr>
        <w:pStyle w:val="15"/>
        <w:spacing w:line="600" w:lineRule="exact"/>
        <w:jc w:val="center"/>
        <w:rPr>
          <w:rFonts w:hint="eastAsia" w:hAnsi="宋体" w:cs="宋体"/>
          <w:color w:val="auto"/>
          <w:kern w:val="0"/>
          <w:szCs w:val="21"/>
          <w:highlight w:val="none"/>
        </w:rPr>
      </w:pPr>
    </w:p>
    <w:p w14:paraId="31153808">
      <w:pPr>
        <w:pStyle w:val="15"/>
        <w:jc w:val="both"/>
        <w:outlineLvl w:val="9"/>
        <w:rPr>
          <w:rFonts w:hAnsi="宋体" w:eastAsia="宋体" w:cs="Times New Roman"/>
          <w:color w:val="auto"/>
          <w:szCs w:val="21"/>
          <w:highlight w:val="none"/>
        </w:rPr>
      </w:pPr>
    </w:p>
    <w:p w14:paraId="68908186">
      <w:pPr>
        <w:pStyle w:val="15"/>
        <w:jc w:val="center"/>
        <w:outlineLvl w:val="1"/>
        <w:rPr>
          <w:rFonts w:hint="eastAsia" w:hAnsi="宋体" w:eastAsia="宋体" w:cs="Times New Roman"/>
          <w:b/>
          <w:bCs/>
          <w:color w:val="auto"/>
          <w:sz w:val="28"/>
          <w:szCs w:val="28"/>
          <w:highlight w:val="none"/>
        </w:rPr>
      </w:pPr>
      <w:bookmarkStart w:id="365" w:name="_Toc31528"/>
      <w:bookmarkStart w:id="366" w:name="_Toc3944"/>
      <w:bookmarkStart w:id="367" w:name="_Toc19686838"/>
      <w:bookmarkStart w:id="368" w:name="_Toc2566"/>
      <w:bookmarkStart w:id="369" w:name="_Toc13159"/>
      <w:bookmarkStart w:id="370" w:name="_Toc12624"/>
      <w:bookmarkStart w:id="371" w:name="_Toc6839"/>
      <w:bookmarkStart w:id="372" w:name="_Toc24133"/>
      <w:bookmarkStart w:id="373" w:name="_Toc8189"/>
      <w:bookmarkStart w:id="374" w:name="_Toc20777"/>
      <w:bookmarkStart w:id="375" w:name="_Toc16062"/>
    </w:p>
    <w:p w14:paraId="11496214">
      <w:pPr>
        <w:pStyle w:val="15"/>
        <w:jc w:val="center"/>
        <w:outlineLvl w:val="1"/>
        <w:rPr>
          <w:rFonts w:hint="eastAsia" w:hAnsi="宋体" w:eastAsia="宋体" w:cs="Times New Roman"/>
          <w:b/>
          <w:bCs/>
          <w:color w:val="auto"/>
          <w:sz w:val="28"/>
          <w:szCs w:val="28"/>
          <w:highlight w:val="none"/>
        </w:rPr>
      </w:pPr>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二</w:t>
      </w:r>
      <w:r>
        <w:rPr>
          <w:rFonts w:hint="eastAsia" w:hAnsi="宋体" w:eastAsia="宋体" w:cs="Times New Roman"/>
          <w:b/>
          <w:bCs/>
          <w:color w:val="auto"/>
          <w:sz w:val="28"/>
          <w:szCs w:val="28"/>
          <w:highlight w:val="none"/>
        </w:rPr>
        <w:t>节 商务文件格式</w:t>
      </w:r>
      <w:bookmarkEnd w:id="365"/>
      <w:bookmarkEnd w:id="366"/>
      <w:bookmarkEnd w:id="367"/>
      <w:bookmarkEnd w:id="368"/>
      <w:bookmarkEnd w:id="369"/>
      <w:bookmarkEnd w:id="370"/>
      <w:bookmarkEnd w:id="371"/>
      <w:bookmarkEnd w:id="372"/>
      <w:bookmarkEnd w:id="373"/>
      <w:bookmarkEnd w:id="374"/>
      <w:bookmarkEnd w:id="375"/>
    </w:p>
    <w:p w14:paraId="2E852EC7">
      <w:pPr>
        <w:snapToGrid w:val="0"/>
        <w:spacing w:before="165" w:beforeLines="50" w:after="50"/>
        <w:rPr>
          <w:rFonts w:hint="eastAsia" w:ascii="宋体" w:hAnsi="宋体" w:eastAsia="宋体" w:cs="Times New Roman"/>
          <w:color w:val="auto"/>
          <w:sz w:val="30"/>
          <w:szCs w:val="20"/>
          <w:highlight w:val="none"/>
        </w:rPr>
      </w:pPr>
    </w:p>
    <w:p w14:paraId="08751033">
      <w:pPr>
        <w:pStyle w:val="17"/>
        <w:rPr>
          <w:rFonts w:hint="eastAsia"/>
          <w:color w:val="auto"/>
          <w:highlight w:val="none"/>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商务文件封面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bCs/>
          <w:color w:val="auto"/>
          <w:sz w:val="28"/>
          <w:szCs w:val="28"/>
          <w:highlight w:val="none"/>
          <w:lang w:val="en-US" w:eastAsia="zh-CN"/>
        </w:rPr>
        <w:t>（参照此格式自拟）</w:t>
      </w:r>
      <w:r>
        <w:rPr>
          <w:rFonts w:hint="eastAsia" w:ascii="宋体" w:hAnsi="宋体" w:eastAsia="宋体" w:cs="宋体"/>
          <w:b/>
          <w:color w:val="auto"/>
          <w:sz w:val="28"/>
          <w:szCs w:val="28"/>
          <w:highlight w:val="none"/>
        </w:rPr>
        <w:t>：</w:t>
      </w:r>
    </w:p>
    <w:p w14:paraId="58AF9992">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 xml:space="preserve">             电子投标文件</w:t>
      </w:r>
    </w:p>
    <w:p w14:paraId="62589460">
      <w:pPr>
        <w:snapToGrid w:val="0"/>
        <w:spacing w:before="165" w:beforeLines="50" w:after="50"/>
        <w:rPr>
          <w:rFonts w:hint="eastAsia" w:ascii="宋体" w:hAnsi="宋体" w:eastAsia="宋体" w:cs="Times New Roman"/>
          <w:color w:val="auto"/>
          <w:sz w:val="24"/>
          <w:szCs w:val="20"/>
          <w:highlight w:val="none"/>
        </w:rPr>
      </w:pPr>
    </w:p>
    <w:p w14:paraId="24598949">
      <w:pPr>
        <w:snapToGrid w:val="0"/>
        <w:spacing w:before="165" w:beforeLines="50" w:after="50"/>
        <w:jc w:val="center"/>
        <w:rPr>
          <w:rFonts w:hint="eastAsia" w:ascii="宋体" w:hAnsi="宋体" w:eastAsia="宋体" w:cs="Times New Roman"/>
          <w:b/>
          <w:color w:val="auto"/>
          <w:sz w:val="24"/>
          <w:szCs w:val="20"/>
          <w:highlight w:val="none"/>
        </w:rPr>
      </w:pPr>
      <w:r>
        <w:rPr>
          <w:rFonts w:hint="eastAsia" w:ascii="宋体" w:hAnsi="宋体" w:eastAsia="宋体" w:cs="Times New Roman"/>
          <w:b/>
          <w:color w:val="auto"/>
          <w:sz w:val="32"/>
          <w:szCs w:val="32"/>
          <w:highlight w:val="none"/>
        </w:rPr>
        <w:t>商务文件</w:t>
      </w:r>
    </w:p>
    <w:p w14:paraId="65F1D8CB">
      <w:pPr>
        <w:snapToGrid w:val="0"/>
        <w:spacing w:before="165" w:beforeLines="50" w:after="50"/>
        <w:rPr>
          <w:rFonts w:hint="eastAsia" w:ascii="宋体" w:hAnsi="宋体" w:eastAsia="宋体" w:cs="Times New Roman"/>
          <w:bCs/>
          <w:color w:val="auto"/>
          <w:sz w:val="24"/>
          <w:szCs w:val="20"/>
          <w:highlight w:val="none"/>
        </w:rPr>
      </w:pPr>
    </w:p>
    <w:p w14:paraId="5BB98BAB">
      <w:pPr>
        <w:snapToGrid w:val="0"/>
        <w:spacing w:before="165" w:beforeLines="50" w:after="50"/>
        <w:ind w:firstLine="540" w:firstLineChars="225"/>
        <w:rPr>
          <w:rFonts w:hint="eastAsia" w:ascii="宋体" w:hAnsi="宋体" w:eastAsia="宋体" w:cs="Times New Roman"/>
          <w:bCs/>
          <w:color w:val="auto"/>
          <w:sz w:val="24"/>
          <w:highlight w:val="none"/>
        </w:rPr>
      </w:pPr>
    </w:p>
    <w:p w14:paraId="0CC74012">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项目名称：</w:t>
      </w:r>
    </w:p>
    <w:p w14:paraId="76B63CC5">
      <w:pPr>
        <w:snapToGrid w:val="0"/>
        <w:spacing w:before="165" w:beforeLines="50" w:after="50"/>
        <w:ind w:firstLine="540" w:firstLineChars="225"/>
        <w:rPr>
          <w:rFonts w:hint="eastAsia" w:ascii="宋体" w:hAnsi="宋体" w:eastAsia="宋体" w:cs="Times New Roman"/>
          <w:bCs/>
          <w:color w:val="auto"/>
          <w:sz w:val="24"/>
          <w:szCs w:val="20"/>
          <w:highlight w:val="none"/>
        </w:rPr>
      </w:pPr>
      <w:r>
        <w:rPr>
          <w:rFonts w:hint="eastAsia" w:ascii="宋体" w:hAnsi="宋体" w:eastAsia="宋体" w:cs="Times New Roman"/>
          <w:bCs/>
          <w:color w:val="auto"/>
          <w:sz w:val="24"/>
          <w:highlight w:val="none"/>
        </w:rPr>
        <w:t xml:space="preserve">项目编号： </w:t>
      </w:r>
    </w:p>
    <w:p w14:paraId="4D5C3CCB">
      <w:pPr>
        <w:snapToGrid w:val="0"/>
        <w:spacing w:before="165" w:beforeLines="50" w:after="50"/>
        <w:ind w:firstLine="540" w:firstLineChars="225"/>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32FAAFAE">
      <w:pPr>
        <w:snapToGrid w:val="0"/>
        <w:spacing w:before="165" w:beforeLines="50" w:after="50"/>
        <w:ind w:firstLine="540" w:firstLineChars="225"/>
        <w:rPr>
          <w:rFonts w:hint="eastAsia" w:ascii="宋体" w:hAnsi="宋体" w:eastAsia="宋体" w:cs="Times New Roman"/>
          <w:bCs/>
          <w:color w:val="auto"/>
          <w:sz w:val="24"/>
          <w:szCs w:val="20"/>
          <w:highlight w:val="none"/>
        </w:rPr>
      </w:pPr>
    </w:p>
    <w:p w14:paraId="0A864A89">
      <w:pPr>
        <w:pStyle w:val="8"/>
        <w:snapToGrid w:val="0"/>
        <w:spacing w:before="50" w:after="50"/>
        <w:ind w:firstLine="540" w:firstLineChars="225"/>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投标人名称：</w:t>
      </w:r>
    </w:p>
    <w:p w14:paraId="0E77DE61">
      <w:pPr>
        <w:pStyle w:val="8"/>
        <w:snapToGrid w:val="0"/>
        <w:spacing w:before="50" w:after="50"/>
        <w:ind w:firstLine="540" w:firstLineChars="225"/>
        <w:rPr>
          <w:rFonts w:hint="eastAsia" w:ascii="宋体" w:hAnsi="宋体" w:eastAsia="宋体" w:cs="Times New Roman"/>
          <w:bCs/>
          <w:color w:val="auto"/>
          <w:sz w:val="24"/>
          <w:szCs w:val="24"/>
          <w:highlight w:val="none"/>
        </w:rPr>
      </w:pPr>
    </w:p>
    <w:p w14:paraId="08685D25">
      <w:pPr>
        <w:pStyle w:val="8"/>
        <w:snapToGrid w:val="0"/>
        <w:spacing w:before="50" w:after="50"/>
        <w:ind w:firstLine="960" w:firstLineChars="400"/>
        <w:rPr>
          <w:rFonts w:hint="eastAsia" w:ascii="宋体" w:hAnsi="宋体" w:eastAsia="宋体" w:cs="Times New Roman"/>
          <w:bCs/>
          <w:color w:val="auto"/>
          <w:sz w:val="24"/>
          <w:szCs w:val="24"/>
          <w:highlight w:val="none"/>
        </w:rPr>
      </w:pPr>
    </w:p>
    <w:p w14:paraId="0B1127F6">
      <w:pPr>
        <w:snapToGrid w:val="0"/>
        <w:spacing w:before="165" w:beforeLines="50" w:after="50"/>
        <w:ind w:firstLine="645"/>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p>
    <w:p w14:paraId="1D6B2338">
      <w:pPr>
        <w:snapToGrid w:val="0"/>
        <w:spacing w:before="165" w:beforeLines="50" w:after="50"/>
        <w:ind w:firstLine="645"/>
        <w:rPr>
          <w:rFonts w:hint="eastAsia" w:ascii="宋体" w:hAnsi="宋体" w:cs="Times New Roman"/>
          <w:color w:val="auto"/>
          <w:sz w:val="24"/>
          <w:highlight w:val="none"/>
          <w:lang w:val="en-US" w:eastAsia="zh-CN"/>
        </w:rPr>
      </w:pPr>
    </w:p>
    <w:p w14:paraId="05A63D82">
      <w:pPr>
        <w:snapToGrid w:val="0"/>
        <w:spacing w:before="165" w:beforeLines="50" w:after="50"/>
        <w:ind w:firstLine="645"/>
        <w:rPr>
          <w:rFonts w:hint="eastAsia" w:ascii="宋体" w:hAnsi="宋体" w:cs="Times New Roman"/>
          <w:color w:val="auto"/>
          <w:sz w:val="24"/>
          <w:highlight w:val="none"/>
          <w:lang w:val="en-US" w:eastAsia="zh-CN"/>
        </w:rPr>
      </w:pPr>
    </w:p>
    <w:p w14:paraId="5B26E3C0">
      <w:pPr>
        <w:snapToGrid w:val="0"/>
        <w:spacing w:before="165" w:beforeLines="50" w:after="50"/>
        <w:ind w:firstLine="645"/>
        <w:rPr>
          <w:rFonts w:hint="eastAsia" w:ascii="宋体" w:hAnsi="宋体" w:cs="Times New Roman"/>
          <w:color w:val="auto"/>
          <w:sz w:val="24"/>
          <w:highlight w:val="none"/>
          <w:lang w:val="en-US" w:eastAsia="zh-CN"/>
        </w:rPr>
      </w:pPr>
    </w:p>
    <w:p w14:paraId="1F23A55C">
      <w:pPr>
        <w:snapToGrid w:val="0"/>
        <w:spacing w:before="165" w:beforeLines="50" w:after="50"/>
        <w:ind w:firstLine="645"/>
        <w:rPr>
          <w:rFonts w:hint="eastAsia" w:ascii="宋体" w:hAnsi="宋体" w:cs="Times New Roman"/>
          <w:color w:val="auto"/>
          <w:sz w:val="24"/>
          <w:highlight w:val="none"/>
          <w:lang w:val="en-US" w:eastAsia="zh-CN"/>
        </w:rPr>
      </w:pPr>
    </w:p>
    <w:p w14:paraId="4BAE5A34">
      <w:pPr>
        <w:snapToGrid w:val="0"/>
        <w:spacing w:before="165" w:beforeLines="50" w:after="50"/>
        <w:ind w:firstLine="4329" w:firstLineChars="1804"/>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1E57D247">
      <w:pPr>
        <w:spacing w:line="360" w:lineRule="auto"/>
        <w:ind w:right="420"/>
        <w:rPr>
          <w:rFonts w:hint="eastAsia" w:ascii="仿宋_GB2312" w:hAnsi="仿宋" w:eastAsia="仿宋_GB2312" w:cs="仿宋_GB2312"/>
          <w:b/>
          <w:color w:val="auto"/>
          <w:kern w:val="0"/>
          <w:sz w:val="36"/>
          <w:szCs w:val="36"/>
          <w:highlight w:val="none"/>
        </w:rPr>
      </w:pPr>
      <w:r>
        <w:rPr>
          <w:rFonts w:hint="eastAsia" w:ascii="宋体" w:hAnsi="宋体" w:eastAsia="宋体" w:cs="Times New Roman"/>
          <w:color w:val="auto"/>
          <w:sz w:val="24"/>
          <w:szCs w:val="20"/>
          <w:highlight w:val="none"/>
        </w:rPr>
        <w:t xml:space="preserve"> </w:t>
      </w:r>
    </w:p>
    <w:p w14:paraId="74175BF7">
      <w:pPr>
        <w:rPr>
          <w:rFonts w:hint="eastAsia" w:ascii="仿宋_GB2312" w:hAnsi="仿宋" w:eastAsia="仿宋_GB2312" w:cs="仿宋_GB2312"/>
          <w:b/>
          <w:color w:val="auto"/>
          <w:kern w:val="0"/>
          <w:sz w:val="24"/>
          <w:highlight w:val="none"/>
        </w:rPr>
      </w:pPr>
      <w:r>
        <w:rPr>
          <w:rFonts w:hint="eastAsia" w:ascii="仿宋_GB2312" w:hAnsi="仿宋" w:eastAsia="仿宋_GB2312" w:cs="仿宋_GB2312"/>
          <w:b/>
          <w:color w:val="auto"/>
          <w:kern w:val="0"/>
          <w:sz w:val="24"/>
          <w:highlight w:val="none"/>
        </w:rPr>
        <w:br w:type="page"/>
      </w:r>
    </w:p>
    <w:p w14:paraId="53E43810">
      <w:pPr>
        <w:spacing w:line="360" w:lineRule="auto"/>
        <w:ind w:right="420"/>
        <w:rPr>
          <w:rFonts w:hint="eastAsia" w:ascii="宋体" w:hAnsi="宋体" w:cs="宋体"/>
          <w:color w:val="auto"/>
          <w:sz w:val="24"/>
          <w:szCs w:val="20"/>
          <w:highlight w:val="none"/>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.商务文件目录</w:t>
      </w:r>
    </w:p>
    <w:p w14:paraId="79B951EB">
      <w:pPr>
        <w:snapToGrid/>
        <w:spacing w:before="0" w:beforeLines="-2147483648" w:after="0"/>
        <w:ind w:left="0"/>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color w:val="auto"/>
          <w:kern w:val="0"/>
          <w:sz w:val="24"/>
          <w:highlight w:val="none"/>
        </w:rPr>
        <w:t>根据招标文件规定及投标人提供的材料自行编写目录（部分格式后附）。</w:t>
      </w:r>
      <w:r>
        <w:rPr>
          <w:rFonts w:hint="eastAsia" w:ascii="Times New Roman" w:hAnsi="Times New Roman" w:eastAsia="宋体" w:cs="Times New Roman"/>
          <w:b/>
          <w:bCs/>
          <w:color w:val="auto"/>
          <w:sz w:val="30"/>
          <w:szCs w:val="30"/>
          <w:highlight w:val="none"/>
        </w:rPr>
        <w:br w:type="page"/>
      </w:r>
    </w:p>
    <w:p w14:paraId="685D035E">
      <w:pPr>
        <w:snapToGrid w:val="0"/>
        <w:spacing w:before="120" w:beforeLines="50" w:after="50"/>
        <w:ind w:left="0"/>
        <w:jc w:val="both"/>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w:t>
      </w:r>
      <w:r>
        <w:rPr>
          <w:rFonts w:hint="eastAsia" w:ascii="宋体" w:hAnsi="宋体" w:cs="宋体"/>
          <w:b/>
          <w:bCs/>
          <w:color w:val="auto"/>
          <w:sz w:val="28"/>
          <w:szCs w:val="28"/>
          <w:highlight w:val="none"/>
          <w:lang w:eastAsia="zh-CN"/>
        </w:rPr>
        <w:t>无串通投标行为的承诺函的格式：</w:t>
      </w:r>
    </w:p>
    <w:p w14:paraId="7FD074BC">
      <w:pPr>
        <w:snapToGrid w:val="0"/>
        <w:spacing w:before="120" w:beforeLines="50" w:after="50"/>
        <w:ind w:left="420"/>
        <w:jc w:val="center"/>
        <w:rPr>
          <w:rFonts w:hint="eastAsia" w:ascii="宋体" w:hAnsi="宋体" w:eastAsia="宋体" w:cs="Times New Roman"/>
          <w:b/>
          <w:color w:val="auto"/>
          <w:sz w:val="32"/>
          <w:szCs w:val="32"/>
          <w:highlight w:val="none"/>
        </w:rPr>
      </w:pPr>
    </w:p>
    <w:p w14:paraId="065F0345">
      <w:pPr>
        <w:snapToGrid w:val="0"/>
        <w:spacing w:before="120" w:beforeLines="50" w:after="50"/>
        <w:ind w:left="420"/>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参加本项目无</w:t>
      </w:r>
      <w:r>
        <w:rPr>
          <w:rFonts w:hint="eastAsia" w:ascii="Times New Roman" w:hAnsi="Times New Roman" w:eastAsia="宋体" w:cs="Times New Roman"/>
          <w:b/>
          <w:bCs/>
          <w:color w:val="auto"/>
          <w:sz w:val="32"/>
          <w:szCs w:val="32"/>
          <w:highlight w:val="none"/>
          <w:lang w:eastAsia="zh-CN"/>
        </w:rPr>
        <w:t>串通投</w:t>
      </w:r>
      <w:r>
        <w:rPr>
          <w:rFonts w:hint="eastAsia" w:ascii="宋体" w:hAnsi="宋体" w:eastAsia="宋体" w:cs="Times New Roman"/>
          <w:b/>
          <w:color w:val="auto"/>
          <w:sz w:val="32"/>
          <w:szCs w:val="32"/>
          <w:highlight w:val="none"/>
        </w:rPr>
        <w:t>标行为的承诺函</w:t>
      </w:r>
    </w:p>
    <w:p w14:paraId="2466CE2E">
      <w:pPr>
        <w:snapToGrid w:val="0"/>
        <w:spacing w:before="120" w:beforeLines="50" w:after="50"/>
        <w:rPr>
          <w:rFonts w:hint="eastAsia" w:ascii="宋体" w:hAnsi="宋体" w:eastAsia="宋体" w:cs="Times New Roman"/>
          <w:b/>
          <w:color w:val="auto"/>
          <w:szCs w:val="21"/>
          <w:highlight w:val="none"/>
        </w:rPr>
      </w:pPr>
    </w:p>
    <w:p w14:paraId="01288CE7">
      <w:pPr>
        <w:snapToGrid w:val="0"/>
        <w:spacing w:before="120" w:beforeLines="50" w:after="50" w:line="360" w:lineRule="auto"/>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一、我方承诺无下列相互串通投标的情形：</w:t>
      </w:r>
    </w:p>
    <w:p w14:paraId="6505BA3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1.不同投标人的投标文件由同一单位或者个人编制；</w:t>
      </w:r>
      <w:r>
        <w:rPr>
          <w:rFonts w:hint="eastAsia" w:ascii="宋体" w:hAnsi="宋体" w:cs="Times New Roman"/>
          <w:b w:val="0"/>
          <w:color w:val="auto"/>
          <w:szCs w:val="21"/>
          <w:highlight w:val="none"/>
        </w:rPr>
        <w:t>或者不同投标人报名的IP地址一致的；</w:t>
      </w:r>
    </w:p>
    <w:p w14:paraId="2072AE5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2.不同投标人委托同一单位或者个人办理投标事宜；</w:t>
      </w:r>
    </w:p>
    <w:p w14:paraId="128533AC">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3.不同的投标人的投标文件载明的项目管理员为同一个人；</w:t>
      </w:r>
    </w:p>
    <w:p w14:paraId="77E0255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4.不同投标人的投标文件异常一致或者投标报价呈规律性差异；</w:t>
      </w:r>
    </w:p>
    <w:p w14:paraId="596714AE">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5.不同投标人的投标文件相互混装；</w:t>
      </w:r>
    </w:p>
    <w:p w14:paraId="61C423BF">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default" w:ascii="宋体" w:hAnsi="宋体" w:eastAsia="宋体" w:cs="Times New Roman"/>
          <w:color w:val="auto"/>
          <w:szCs w:val="21"/>
          <w:highlight w:val="none"/>
          <w:lang w:val="en-US"/>
        </w:rPr>
        <w:t>6</w:t>
      </w:r>
      <w:r>
        <w:rPr>
          <w:rFonts w:hint="eastAsia" w:ascii="宋体" w:hAnsi="宋体" w:eastAsia="宋体" w:cs="Times New Roman"/>
          <w:color w:val="auto"/>
          <w:szCs w:val="21"/>
          <w:highlight w:val="none"/>
        </w:rPr>
        <w:t>.不同投标人的投标保证金从同一单位或者个人账户转出。</w:t>
      </w:r>
    </w:p>
    <w:p w14:paraId="60F2EE11">
      <w:pPr>
        <w:snapToGrid w:val="0"/>
        <w:spacing w:before="120" w:beforeLines="50" w:after="50" w:line="360" w:lineRule="auto"/>
        <w:jc w:val="left"/>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二、我方承诺无下列恶意串通的情形：</w:t>
      </w:r>
    </w:p>
    <w:p w14:paraId="37D36E87">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1.投标人直接或者间接从采购人或者采购代理机构处获得其他投标人的相关信息并修改其投标文件；</w:t>
      </w:r>
    </w:p>
    <w:p w14:paraId="616F1906">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2.投标人按照采购人或者采购代理机构的授意撤换、修改投标文件；</w:t>
      </w:r>
    </w:p>
    <w:p w14:paraId="4D54D423">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3.投标人之间协商报价、技术方案等投标文件的实质性内容；</w:t>
      </w:r>
    </w:p>
    <w:p w14:paraId="2BD4134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4.属于同一集团、协会、商会等组织成员的投标人按照该组织要求协同参加政府采购活动；</w:t>
      </w:r>
    </w:p>
    <w:p w14:paraId="77286FF8">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8EF7AC1">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6.投标人之间商定部分投标人放弃参加政府采购活动或者放弃中标；</w:t>
      </w:r>
    </w:p>
    <w:p w14:paraId="3D74BEC9">
      <w:pPr>
        <w:snapToGrid w:val="0"/>
        <w:spacing w:before="120" w:beforeLines="50" w:after="50" w:line="360" w:lineRule="auto"/>
        <w:ind w:firstLine="411" w:firstLineChars="196"/>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7.投标人与采购人或者采购代理机构之间、投标人相互之间，为谋求特定投标人中标或者排斥其他投标人的其他串通行为。</w:t>
      </w:r>
    </w:p>
    <w:p w14:paraId="7832F5BE">
      <w:pPr>
        <w:snapToGrid w:val="0"/>
        <w:spacing w:before="120" w:beforeLines="50" w:after="50"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以上情形一经核查属实，接受政府采购监管部门对我方认定存在围标串标行为，我方愿意承担一切后果，并不再寻求任何旨在减轻或者免除法律责任的辩解。</w:t>
      </w:r>
    </w:p>
    <w:p w14:paraId="075E028F">
      <w:pPr>
        <w:pStyle w:val="11"/>
        <w:rPr>
          <w:rFonts w:hint="eastAsia"/>
          <w:color w:val="auto"/>
          <w:highlight w:val="none"/>
          <w:lang w:eastAsia="zh-CN"/>
        </w:rPr>
      </w:pPr>
    </w:p>
    <w:p w14:paraId="0A313AD1">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341EF11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1B7689C">
      <w:pPr>
        <w:pStyle w:val="15"/>
        <w:snapToGrid w:val="0"/>
        <w:spacing w:before="295" w:after="295" w:line="360" w:lineRule="auto"/>
        <w:jc w:val="both"/>
        <w:rPr>
          <w:rFonts w:hint="eastAsia" w:hAnsi="宋体" w:eastAsia="宋体" w:cs="Times New Roman"/>
          <w:b/>
          <w:color w:val="auto"/>
          <w:sz w:val="24"/>
          <w:highlight w:val="none"/>
        </w:rPr>
      </w:pPr>
      <w:r>
        <w:rPr>
          <w:rFonts w:hint="eastAsia" w:hAnsi="宋体" w:eastAsia="宋体" w:cs="Times New Roman"/>
          <w:b/>
          <w:color w:val="auto"/>
          <w:sz w:val="24"/>
          <w:highlight w:val="none"/>
        </w:rPr>
        <w:br w:type="page"/>
      </w:r>
      <w:r>
        <w:rPr>
          <w:rFonts w:hint="eastAsia" w:hAnsi="宋体" w:cs="宋体"/>
          <w:b/>
          <w:bCs/>
          <w:color w:val="auto"/>
          <w:sz w:val="28"/>
          <w:szCs w:val="28"/>
          <w:highlight w:val="none"/>
          <w:lang w:val="en-US" w:eastAsia="zh-CN"/>
        </w:rPr>
        <w:t>4.</w:t>
      </w:r>
      <w:r>
        <w:rPr>
          <w:rFonts w:hint="eastAsia" w:ascii="宋体" w:hAnsi="宋体" w:cs="宋体"/>
          <w:b/>
          <w:bCs/>
          <w:color w:val="auto"/>
          <w:sz w:val="28"/>
          <w:szCs w:val="28"/>
          <w:highlight w:val="none"/>
        </w:rPr>
        <w:t>法定代表人身份证明</w:t>
      </w:r>
      <w:r>
        <w:rPr>
          <w:rFonts w:hint="eastAsia" w:hAnsi="宋体" w:cs="宋体"/>
          <w:b/>
          <w:bCs/>
          <w:color w:val="auto"/>
          <w:sz w:val="28"/>
          <w:szCs w:val="28"/>
          <w:highlight w:val="none"/>
          <w:lang w:eastAsia="zh-CN"/>
        </w:rPr>
        <w:t>的格式：</w:t>
      </w:r>
    </w:p>
    <w:p w14:paraId="54BEBFB1">
      <w:pPr>
        <w:spacing w:before="240" w:beforeLines="100" w:after="120" w:afterLines="50"/>
        <w:ind w:left="540"/>
        <w:jc w:val="center"/>
        <w:rPr>
          <w:rFonts w:hint="eastAsia" w:ascii="宋体" w:hAnsi="Courier New" w:eastAsia="宋体" w:cs="Times New Roman"/>
          <w:b/>
          <w:color w:val="auto"/>
          <w:sz w:val="32"/>
          <w:szCs w:val="32"/>
          <w:highlight w:val="none"/>
        </w:rPr>
      </w:pPr>
    </w:p>
    <w:p w14:paraId="192F6EF1">
      <w:pPr>
        <w:spacing w:before="240" w:beforeLines="100" w:after="120" w:afterLines="50"/>
        <w:ind w:left="540"/>
        <w:jc w:val="center"/>
        <w:rPr>
          <w:rFonts w:hint="eastAsia" w:ascii="黑体" w:hAnsi="宋体" w:eastAsia="黑体" w:cs="Times New Roman"/>
          <w:color w:val="auto"/>
          <w:sz w:val="32"/>
          <w:szCs w:val="32"/>
          <w:highlight w:val="none"/>
        </w:rPr>
      </w:pPr>
      <w:r>
        <w:rPr>
          <w:rFonts w:hint="eastAsia" w:ascii="宋体" w:hAnsi="Courier New" w:eastAsia="宋体" w:cs="Times New Roman"/>
          <w:b/>
          <w:color w:val="auto"/>
          <w:sz w:val="32"/>
          <w:szCs w:val="32"/>
          <w:highlight w:val="none"/>
        </w:rPr>
        <w:t>法定代表人身份证明</w:t>
      </w:r>
    </w:p>
    <w:p w14:paraId="11EA12BB">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 标 人：</w:t>
      </w:r>
      <w:r>
        <w:rPr>
          <w:rFonts w:hint="eastAsia" w:ascii="宋体" w:hAnsi="宋体" w:eastAsia="宋体" w:cs="Times New Roman"/>
          <w:color w:val="auto"/>
          <w:sz w:val="24"/>
          <w:highlight w:val="none"/>
          <w:u w:val="single"/>
        </w:rPr>
        <w:t xml:space="preserve">                                                        </w:t>
      </w:r>
    </w:p>
    <w:p w14:paraId="501AB7D0">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地    址：</w:t>
      </w:r>
      <w:r>
        <w:rPr>
          <w:rFonts w:hint="eastAsia" w:ascii="宋体" w:hAnsi="宋体" w:eastAsia="宋体" w:cs="Times New Roman"/>
          <w:color w:val="auto"/>
          <w:sz w:val="24"/>
          <w:highlight w:val="none"/>
          <w:u w:val="single"/>
        </w:rPr>
        <w:t xml:space="preserve">                                                        </w:t>
      </w:r>
    </w:p>
    <w:p w14:paraId="7DB139E2">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性      别：</w:t>
      </w:r>
      <w:r>
        <w:rPr>
          <w:rFonts w:hint="eastAsia" w:ascii="宋体" w:hAnsi="宋体" w:eastAsia="宋体" w:cs="Times New Roman"/>
          <w:color w:val="auto"/>
          <w:sz w:val="24"/>
          <w:highlight w:val="none"/>
          <w:u w:val="single"/>
        </w:rPr>
        <w:t xml:space="preserve">                </w:t>
      </w:r>
    </w:p>
    <w:p w14:paraId="2756236E">
      <w:pPr>
        <w:spacing w:line="500" w:lineRule="exact"/>
        <w:ind w:left="540"/>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年    龄：</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职      务：</w:t>
      </w:r>
      <w:r>
        <w:rPr>
          <w:rFonts w:hint="eastAsia" w:ascii="宋体" w:hAnsi="宋体" w:eastAsia="宋体" w:cs="Times New Roman"/>
          <w:color w:val="auto"/>
          <w:sz w:val="24"/>
          <w:highlight w:val="none"/>
          <w:u w:val="single"/>
        </w:rPr>
        <w:t xml:space="preserve">                </w:t>
      </w:r>
    </w:p>
    <w:p w14:paraId="6BE35D37">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w:t>
      </w:r>
      <w:r>
        <w:rPr>
          <w:rFonts w:hint="eastAsia" w:ascii="Times New Roman" w:hAnsi="Times New Roman" w:eastAsia="宋体" w:cs="Times New Roman"/>
          <w:color w:val="auto"/>
          <w:sz w:val="24"/>
          <w:highlight w:val="none"/>
        </w:rPr>
        <w:t>号码：</w:t>
      </w:r>
      <w:r>
        <w:rPr>
          <w:rFonts w:ascii="Times New Roman" w:hAnsi="Times New Roman" w:eastAsia="宋体" w:cs="Times New Roman"/>
          <w:color w:val="auto"/>
          <w:sz w:val="24"/>
          <w:highlight w:val="none"/>
          <w:u w:val="single"/>
        </w:rPr>
        <w:t xml:space="preserve">                                 </w:t>
      </w:r>
    </w:p>
    <w:p w14:paraId="7D173BDE">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系</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i/>
          <w:iCs/>
          <w:color w:val="auto"/>
          <w:sz w:val="24"/>
          <w:highlight w:val="none"/>
          <w:u w:val="single"/>
        </w:rPr>
        <w:t>（投标人名称</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的法定代表人。</w:t>
      </w:r>
    </w:p>
    <w:p w14:paraId="22908BAC">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特此证明。</w:t>
      </w:r>
    </w:p>
    <w:p w14:paraId="194C9A56">
      <w:pPr>
        <w:spacing w:line="500" w:lineRule="exact"/>
        <w:ind w:left="540"/>
        <w:rPr>
          <w:rFonts w:hint="eastAsia" w:ascii="宋体" w:hAnsi="宋体" w:eastAsia="宋体" w:cs="Times New Roman"/>
          <w:color w:val="auto"/>
          <w:sz w:val="24"/>
          <w:highlight w:val="none"/>
        </w:rPr>
      </w:pPr>
    </w:p>
    <w:p w14:paraId="3D5A05EC">
      <w:pPr>
        <w:spacing w:line="500" w:lineRule="exact"/>
        <w:ind w:left="540"/>
        <w:rPr>
          <w:rFonts w:hint="eastAsia" w:ascii="宋体" w:hAnsi="宋体" w:eastAsia="宋体" w:cs="Times New Roman"/>
          <w:color w:val="auto"/>
          <w:sz w:val="24"/>
          <w:highlight w:val="none"/>
        </w:rPr>
      </w:pPr>
    </w:p>
    <w:p w14:paraId="0272AFD8">
      <w:pPr>
        <w:spacing w:line="500" w:lineRule="exact"/>
        <w:ind w:left="54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附件：法定代表人有效身份证正反面复印件</w:t>
      </w:r>
    </w:p>
    <w:p w14:paraId="2EBF4DDE">
      <w:pPr>
        <w:spacing w:line="500" w:lineRule="exact"/>
        <w:ind w:left="540"/>
        <w:rPr>
          <w:rFonts w:hint="eastAsia" w:ascii="宋体" w:hAnsi="宋体" w:eastAsia="宋体" w:cs="Times New Roman"/>
          <w:color w:val="auto"/>
          <w:sz w:val="24"/>
          <w:highlight w:val="none"/>
        </w:rPr>
      </w:pPr>
    </w:p>
    <w:p w14:paraId="6A2F143E">
      <w:pPr>
        <w:snapToGrid w:val="0"/>
        <w:spacing w:line="360" w:lineRule="auto"/>
        <w:ind w:firstLine="4935" w:firstLineChars="2350"/>
        <w:rPr>
          <w:rFonts w:hint="eastAsia" w:ascii="宋体" w:hAnsi="宋体" w:eastAsia="宋体" w:cs="宋体"/>
          <w:color w:val="auto"/>
          <w:kern w:val="0"/>
          <w:sz w:val="24"/>
          <w:highlight w:val="none"/>
        </w:rPr>
      </w:pPr>
      <w:r>
        <w:rPr>
          <w:rFonts w:ascii="Times New Roman" w:hAnsi="宋体" w:eastAsia="宋体" w:cs="Times New Roman"/>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5F9D3AE6">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1F86DEF1">
      <w:pPr>
        <w:snapToGrid w:val="0"/>
        <w:spacing w:before="120" w:beforeLines="50" w:after="50"/>
        <w:jc w:val="center"/>
        <w:rPr>
          <w:rFonts w:hint="eastAsia" w:ascii="宋体" w:hAnsi="宋体" w:eastAsia="宋体" w:cs="Times New Roman"/>
          <w:b/>
          <w:color w:val="auto"/>
          <w:sz w:val="24"/>
          <w:highlight w:val="none"/>
        </w:rPr>
      </w:pPr>
    </w:p>
    <w:p w14:paraId="7F433799">
      <w:pPr>
        <w:snapToGrid w:val="0"/>
        <w:spacing w:before="120" w:beforeLines="50" w:after="50"/>
        <w:ind w:firstLine="600" w:firstLineChars="25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注：自然人投标的无需提供</w:t>
      </w:r>
    </w:p>
    <w:p w14:paraId="228A0415">
      <w:pPr>
        <w:snapToGrid w:val="0"/>
        <w:spacing w:before="120" w:beforeLines="50" w:after="50"/>
        <w:ind w:firstLine="600" w:firstLineChars="250"/>
        <w:jc w:val="left"/>
        <w:rPr>
          <w:rFonts w:hint="eastAsia" w:ascii="宋体" w:hAnsi="宋体" w:eastAsia="宋体" w:cs="Times New Roman"/>
          <w:color w:val="auto"/>
          <w:sz w:val="24"/>
          <w:highlight w:val="none"/>
        </w:rPr>
      </w:pPr>
    </w:p>
    <w:p w14:paraId="07DEA845">
      <w:pPr>
        <w:snapToGrid w:val="0"/>
        <w:spacing w:before="120" w:beforeLines="50" w:after="50"/>
        <w:ind w:firstLine="602" w:firstLineChars="250"/>
        <w:jc w:val="left"/>
        <w:rPr>
          <w:rFonts w:hint="eastAsia" w:ascii="宋体" w:hAnsi="宋体" w:eastAsia="宋体" w:cs="Times New Roman"/>
          <w:b/>
          <w:color w:val="auto"/>
          <w:sz w:val="24"/>
          <w:szCs w:val="20"/>
          <w:highlight w:val="none"/>
        </w:rPr>
      </w:pPr>
    </w:p>
    <w:tbl>
      <w:tblPr>
        <w:tblStyle w:val="23"/>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287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53902AE7">
            <w:pPr>
              <w:spacing w:line="360" w:lineRule="auto"/>
              <w:rPr>
                <w:rFonts w:hint="eastAsia" w:ascii="宋体" w:hAnsi="Times New Roman" w:eastAsia="宋体" w:cs="Times New Roman"/>
                <w:b/>
                <w:color w:val="auto"/>
                <w:sz w:val="24"/>
                <w:highlight w:val="none"/>
              </w:rPr>
            </w:pPr>
          </w:p>
          <w:p w14:paraId="5617C498">
            <w:pPr>
              <w:spacing w:line="360" w:lineRule="auto"/>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t>法定代表人有效身份证复印件粘</w:t>
            </w:r>
            <w:r>
              <w:rPr>
                <w:rFonts w:hint="eastAsia" w:ascii="宋体" w:cs="Times New Roman"/>
                <w:b/>
                <w:color w:val="auto"/>
                <w:sz w:val="24"/>
                <w:highlight w:val="none"/>
                <w:lang w:eastAsia="zh-CN"/>
              </w:rPr>
              <w:t>贴</w:t>
            </w:r>
            <w:r>
              <w:rPr>
                <w:rFonts w:hint="eastAsia" w:ascii="宋体" w:hAnsi="Times New Roman" w:eastAsia="宋体" w:cs="Times New Roman"/>
                <w:b/>
                <w:color w:val="auto"/>
                <w:sz w:val="24"/>
                <w:highlight w:val="none"/>
              </w:rPr>
              <w:t>处（正、反面）</w:t>
            </w:r>
          </w:p>
        </w:tc>
      </w:tr>
    </w:tbl>
    <w:p w14:paraId="33D75B0A">
      <w:pPr>
        <w:pStyle w:val="15"/>
        <w:snapToGrid w:val="0"/>
        <w:spacing w:before="295" w:after="295" w:line="360" w:lineRule="auto"/>
        <w:jc w:val="left"/>
        <w:rPr>
          <w:rFonts w:hint="eastAsia" w:hAnsi="宋体" w:eastAsia="宋体" w:cs="Times New Roman"/>
          <w:b/>
          <w:color w:val="auto"/>
          <w:sz w:val="24"/>
          <w:highlight w:val="none"/>
        </w:rPr>
      </w:pPr>
      <w:r>
        <w:rPr>
          <w:rFonts w:hint="eastAsia" w:hAnsi="宋体" w:eastAsia="宋体" w:cs="Times New Roman"/>
          <w:b/>
          <w:color w:val="auto"/>
          <w:sz w:val="24"/>
          <w:highlight w:val="none"/>
        </w:rPr>
        <w:t>附件：</w:t>
      </w:r>
      <w:r>
        <w:rPr>
          <w:rFonts w:hint="eastAsia" w:hAnsi="宋体" w:eastAsia="宋体" w:cs="Times New Roman"/>
          <w:b/>
          <w:color w:val="auto"/>
          <w:sz w:val="24"/>
          <w:highlight w:val="none"/>
        </w:rPr>
        <w:br w:type="page"/>
      </w:r>
      <w:r>
        <w:rPr>
          <w:rFonts w:hint="eastAsia" w:hAnsi="宋体" w:cs="宋体"/>
          <w:b/>
          <w:bCs/>
          <w:color w:val="auto"/>
          <w:sz w:val="30"/>
          <w:szCs w:val="30"/>
          <w:highlight w:val="none"/>
          <w:lang w:val="en-US" w:eastAsia="zh-CN"/>
        </w:rPr>
        <w:t>5.</w:t>
      </w:r>
      <w:r>
        <w:rPr>
          <w:rFonts w:hint="eastAsia" w:ascii="宋体" w:hAnsi="宋体" w:cs="宋体"/>
          <w:b/>
          <w:bCs/>
          <w:color w:val="auto"/>
          <w:sz w:val="30"/>
          <w:szCs w:val="30"/>
          <w:highlight w:val="none"/>
        </w:rPr>
        <w:t>法定代表人授权委托书</w:t>
      </w:r>
      <w:r>
        <w:rPr>
          <w:rFonts w:hint="eastAsia" w:hAnsi="宋体" w:cs="宋体"/>
          <w:b/>
          <w:bCs/>
          <w:color w:val="auto"/>
          <w:sz w:val="30"/>
          <w:szCs w:val="30"/>
          <w:highlight w:val="none"/>
          <w:lang w:eastAsia="zh-CN"/>
        </w:rPr>
        <w:t>的格式：</w:t>
      </w:r>
    </w:p>
    <w:p w14:paraId="054E3051">
      <w:pPr>
        <w:snapToGrid w:val="0"/>
        <w:spacing w:before="120" w:beforeLines="50" w:after="50"/>
        <w:jc w:val="center"/>
        <w:rPr>
          <w:rFonts w:hint="eastAsia" w:ascii="宋体" w:hAnsi="宋体" w:eastAsia="宋体" w:cs="Times New Roman"/>
          <w:b/>
          <w:color w:val="auto"/>
          <w:sz w:val="32"/>
          <w:szCs w:val="32"/>
          <w:highlight w:val="none"/>
        </w:rPr>
      </w:pPr>
    </w:p>
    <w:p w14:paraId="2D434935">
      <w:pPr>
        <w:snapToGrid w:val="0"/>
        <w:spacing w:before="120" w:beforeLines="50" w:after="5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法定代表人授权委托书（如有委托时）</w:t>
      </w:r>
    </w:p>
    <w:p w14:paraId="0A142364">
      <w:pPr>
        <w:snapToGrid w:val="0"/>
        <w:spacing w:before="120" w:beforeLines="50" w:after="50"/>
        <w:jc w:val="center"/>
        <w:rPr>
          <w:rFonts w:hint="eastAsia" w:ascii="宋体" w:hAnsi="宋体" w:eastAsia="宋体" w:cs="Times New Roman"/>
          <w:b/>
          <w:color w:val="auto"/>
          <w:sz w:val="24"/>
          <w:highlight w:val="none"/>
        </w:rPr>
      </w:pPr>
    </w:p>
    <w:p w14:paraId="4C64F65A">
      <w:pPr>
        <w:pStyle w:val="15"/>
        <w:spacing w:line="36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致：</w:t>
      </w:r>
      <w:r>
        <w:rPr>
          <w:rFonts w:ascii="Times New Roman" w:hAnsi="Times New Roman" w:eastAsia="宋体" w:cs="Times New Roman"/>
          <w:color w:val="auto"/>
          <w:highlight w:val="none"/>
          <w:u w:val="single"/>
        </w:rPr>
        <w:t xml:space="preserve"> </w:t>
      </w:r>
      <w:bookmarkStart w:id="376" w:name="PO_3000001866_PM031_7"/>
      <w:r>
        <w:rPr>
          <w:rFonts w:hint="eastAsia" w:ascii="Times New Roman" w:hAnsi="Times New Roman" w:eastAsia="宋体" w:cs="Times New Roman"/>
          <w:color w:val="auto"/>
          <w:highlight w:val="none"/>
          <w:u w:val="single"/>
          <w:lang w:eastAsia="zh-CN"/>
        </w:rPr>
        <w:t>广西科联招标中心有限公司</w:t>
      </w:r>
      <w:bookmarkEnd w:id="376"/>
      <w:r>
        <w:rPr>
          <w:rFonts w:ascii="Times New Roman" w:hAnsi="Times New Roman" w:eastAsia="宋体" w:cs="Times New Roman"/>
          <w:color w:val="auto"/>
          <w:highlight w:val="none"/>
          <w:u w:val="single"/>
        </w:rPr>
        <w:t xml:space="preserve"> </w:t>
      </w:r>
    </w:p>
    <w:p w14:paraId="38DBE7A2">
      <w:pPr>
        <w:pStyle w:val="15"/>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本人</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（姓名）系</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（投标人名称）的法定代表人，现授权我单位在职正式员工</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rPr>
        <w:t>（姓名和职务）为我方代理人。代理人根据授权，以我方名义签署、澄清、说明、补正、递交、撤回、修改贵方组织的</w:t>
      </w:r>
      <w:r>
        <w:rPr>
          <w:rFonts w:hint="eastAsia" w:eastAsia="宋体" w:cs="Times New Roman"/>
          <w:color w:val="auto"/>
          <w:highlight w:val="none"/>
          <w:u w:val="single"/>
        </w:rPr>
        <w:t xml:space="preserve"> </w:t>
      </w:r>
      <w:r>
        <w:rPr>
          <w:rFonts w:hint="eastAsia" w:cs="Times New Roman"/>
          <w:i/>
          <w:iCs/>
          <w:color w:val="auto"/>
          <w:highlight w:val="none"/>
          <w:u w:val="single"/>
          <w:lang w:eastAsia="zh-CN"/>
        </w:rPr>
        <w:t>（项目名称）</w:t>
      </w:r>
      <w:r>
        <w:rPr>
          <w:rFonts w:hint="eastAsia"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hAnsi="宋体" w:cs="Times New Roman"/>
          <w:color w:val="auto"/>
          <w:highlight w:val="none"/>
          <w:u w:val="single"/>
          <w:lang w:val="en-US" w:eastAsia="zh-CN"/>
        </w:rPr>
        <w:t xml:space="preserve">            </w:t>
      </w:r>
      <w:r>
        <w:rPr>
          <w:rFonts w:hint="eastAsia" w:eastAsia="宋体" w:cs="Times New Roman"/>
          <w:color w:val="auto"/>
          <w:highlight w:val="none"/>
        </w:rPr>
        <w:t>）</w:t>
      </w:r>
      <w:r>
        <w:rPr>
          <w:rFonts w:hint="eastAsia" w:ascii="Times New Roman" w:hAnsi="Times New Roman" w:eastAsia="宋体" w:cs="Times New Roman"/>
          <w:color w:val="auto"/>
          <w:highlight w:val="none"/>
        </w:rPr>
        <w:t>的投标文件、签订合同和处理一切有关事宜，其法律后果由我方承担。</w:t>
      </w:r>
    </w:p>
    <w:p w14:paraId="5BC42DF0">
      <w:pPr>
        <w:pStyle w:val="15"/>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本授权书于</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年</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月</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日签字生效，委托期限：</w:t>
      </w:r>
      <w:r>
        <w:rPr>
          <w:rFonts w:hint="eastAsia" w:eastAsia="宋体" w:cs="Times New Roman"/>
          <w:color w:val="auto"/>
          <w:spacing w:val="10"/>
          <w:sz w:val="24"/>
          <w:highlight w:val="none"/>
          <w:u w:val="single"/>
        </w:rPr>
        <w:t xml:space="preserve">    </w:t>
      </w:r>
      <w:r>
        <w:rPr>
          <w:rFonts w:hint="eastAsia" w:ascii="Times New Roman" w:hAnsi="Times New Roman" w:eastAsia="宋体" w:cs="Times New Roman"/>
          <w:color w:val="auto"/>
          <w:highlight w:val="none"/>
        </w:rPr>
        <w:t>。</w:t>
      </w:r>
    </w:p>
    <w:p w14:paraId="3C4215E4">
      <w:pPr>
        <w:pStyle w:val="15"/>
        <w:spacing w:line="360" w:lineRule="exact"/>
        <w:ind w:firstLine="42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代理人无转委托权。</w:t>
      </w:r>
    </w:p>
    <w:p w14:paraId="40FDA50A">
      <w:pPr>
        <w:pStyle w:val="15"/>
        <w:spacing w:line="360" w:lineRule="exact"/>
        <w:ind w:firstLine="420"/>
        <w:rPr>
          <w:rFonts w:ascii="Times New Roman" w:hAnsi="Times New Roman" w:eastAsia="宋体" w:cs="Times New Roman"/>
          <w:color w:val="auto"/>
          <w:highlight w:val="none"/>
        </w:rPr>
      </w:pPr>
    </w:p>
    <w:p w14:paraId="59FC4129">
      <w:pPr>
        <w:pStyle w:val="15"/>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投标人</w:t>
      </w:r>
      <w:r>
        <w:rPr>
          <w:rFonts w:hint="eastAsia" w:ascii="Times New Roman" w:hAnsi="Times New Roman" w:cs="Times New Roman"/>
          <w:color w:val="auto"/>
          <w:highlight w:val="none"/>
          <w:lang w:eastAsia="zh-CN"/>
        </w:rPr>
        <w:t>名称</w:t>
      </w:r>
      <w:r>
        <w:rPr>
          <w:rFonts w:hint="eastAsia" w:ascii="Times New Roman" w:hAnsi="Times New Roman" w:eastAsia="宋体" w:cs="Times New Roman"/>
          <w:color w:val="auto"/>
          <w:highlight w:val="none"/>
        </w:rPr>
        <w:t>（或联合体投标</w:t>
      </w:r>
      <w:r>
        <w:rPr>
          <w:rFonts w:hint="eastAsia" w:eastAsia="宋体" w:cs="宋体"/>
          <w:color w:val="auto"/>
          <w:kern w:val="0"/>
          <w:szCs w:val="21"/>
          <w:highlight w:val="none"/>
        </w:rPr>
        <w:t>牵头人名称</w:t>
      </w:r>
      <w:r>
        <w:rPr>
          <w:rFonts w:hint="eastAsia" w:ascii="Times New Roman" w:hAnsi="Times New Roman" w:eastAsia="宋体" w:cs="Times New Roman"/>
          <w:color w:val="auto"/>
          <w:highlight w:val="none"/>
        </w:rPr>
        <w:t>）（盖公章）：</w:t>
      </w:r>
      <w:r>
        <w:rPr>
          <w:rFonts w:ascii="Times New Roman" w:hAnsi="Times New Roman" w:eastAsia="宋体" w:cs="Times New Roman"/>
          <w:color w:val="auto"/>
          <w:highlight w:val="none"/>
          <w:u w:val="single"/>
        </w:rPr>
        <w:t xml:space="preserve">                                    </w:t>
      </w:r>
    </w:p>
    <w:p w14:paraId="3428EB90">
      <w:pPr>
        <w:pStyle w:val="15"/>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6B05328C">
      <w:pPr>
        <w:pStyle w:val="15"/>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法定代表人身份证号码：</w:t>
      </w:r>
      <w:r>
        <w:rPr>
          <w:rFonts w:ascii="Times New Roman" w:hAnsi="Times New Roman" w:eastAsia="宋体" w:cs="Times New Roman"/>
          <w:color w:val="auto"/>
          <w:highlight w:val="none"/>
          <w:u w:val="single"/>
        </w:rPr>
        <w:t xml:space="preserve">                                   </w:t>
      </w:r>
    </w:p>
    <w:p w14:paraId="50027E82">
      <w:pPr>
        <w:pStyle w:val="15"/>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委托代理人（签字）：</w:t>
      </w:r>
      <w:r>
        <w:rPr>
          <w:rFonts w:ascii="Times New Roman" w:hAnsi="Times New Roman" w:eastAsia="宋体" w:cs="Times New Roman"/>
          <w:color w:val="auto"/>
          <w:highlight w:val="none"/>
          <w:u w:val="single"/>
        </w:rPr>
        <w:t xml:space="preserve">                           </w:t>
      </w:r>
      <w:r>
        <w:rPr>
          <w:rFonts w:hint="eastAsia" w:ascii="Times New Roman" w:hAnsi="Times New Roman"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 xml:space="preserve">     </w:t>
      </w:r>
    </w:p>
    <w:p w14:paraId="035BDE8B">
      <w:pPr>
        <w:pStyle w:val="15"/>
        <w:spacing w:line="360" w:lineRule="exact"/>
        <w:ind w:firstLine="420"/>
        <w:rPr>
          <w:rFonts w:ascii="Times New Roman" w:hAnsi="Times New Roman" w:eastAsia="宋体" w:cs="Times New Roman"/>
          <w:color w:val="auto"/>
          <w:highlight w:val="none"/>
          <w:u w:val="single"/>
        </w:rPr>
      </w:pPr>
      <w:r>
        <w:rPr>
          <w:rFonts w:hint="eastAsia" w:ascii="Times New Roman" w:hAnsi="Times New Roman" w:eastAsia="宋体" w:cs="Times New Roman"/>
          <w:color w:val="auto"/>
          <w:highlight w:val="none"/>
        </w:rPr>
        <w:t>委托代理人身份证号码：</w:t>
      </w:r>
      <w:r>
        <w:rPr>
          <w:rFonts w:ascii="Times New Roman" w:hAnsi="Times New Roman" w:eastAsia="宋体" w:cs="Times New Roman"/>
          <w:color w:val="auto"/>
          <w:highlight w:val="none"/>
          <w:u w:val="single"/>
        </w:rPr>
        <w:t xml:space="preserve">                                   </w:t>
      </w:r>
    </w:p>
    <w:p w14:paraId="4AAC8C82">
      <w:pPr>
        <w:pStyle w:val="15"/>
        <w:spacing w:line="360" w:lineRule="exact"/>
        <w:ind w:firstLine="420"/>
        <w:rPr>
          <w:rFonts w:ascii="Times New Roman" w:hAnsi="Times New Roman" w:eastAsia="宋体" w:cs="Times New Roman"/>
          <w:color w:val="auto"/>
          <w:highlight w:val="none"/>
          <w:u w:val="single"/>
        </w:rPr>
      </w:pPr>
    </w:p>
    <w:p w14:paraId="7E61CD20">
      <w:pPr>
        <w:pStyle w:val="15"/>
        <w:spacing w:line="360" w:lineRule="exact"/>
        <w:ind w:firstLine="420"/>
        <w:rPr>
          <w:rFonts w:hint="eastAsia" w:ascii="宋体" w:hAnsi="宋体" w:cs="宋体"/>
          <w:color w:val="auto"/>
          <w:highlight w:val="none"/>
          <w:u w:val="single"/>
        </w:rPr>
      </w:pPr>
      <w:r>
        <w:rPr>
          <w:rFonts w:hint="eastAsia" w:hAnsi="宋体" w:cs="宋体"/>
          <w:color w:val="auto"/>
          <w:kern w:val="0"/>
          <w:szCs w:val="21"/>
          <w:highlight w:val="none"/>
        </w:rPr>
        <w:t>成员一名称</w:t>
      </w:r>
      <w:r>
        <w:rPr>
          <w:rFonts w:hint="eastAsia" w:ascii="宋体" w:hAnsi="宋体" w:cs="宋体"/>
          <w:color w:val="auto"/>
          <w:highlight w:val="none"/>
        </w:rPr>
        <w:t>（盖公章）：</w:t>
      </w:r>
      <w:r>
        <w:rPr>
          <w:rFonts w:hint="eastAsia" w:ascii="宋体" w:hAnsi="宋体" w:cs="宋体"/>
          <w:color w:val="auto"/>
          <w:highlight w:val="none"/>
          <w:u w:val="single"/>
        </w:rPr>
        <w:t xml:space="preserve">                                    </w:t>
      </w:r>
    </w:p>
    <w:p w14:paraId="16E53197">
      <w:pPr>
        <w:pStyle w:val="15"/>
        <w:spacing w:line="360" w:lineRule="exact"/>
        <w:ind w:firstLine="420"/>
        <w:rPr>
          <w:rFonts w:hint="eastAsia" w:ascii="宋体" w:hAnsi="宋体" w:cs="宋体"/>
          <w:color w:val="auto"/>
          <w:highlight w:val="none"/>
          <w:u w:val="single"/>
        </w:rPr>
      </w:pPr>
      <w:r>
        <w:rPr>
          <w:rFonts w:hint="eastAsia" w:ascii="宋体" w:hAnsi="宋体" w:cs="宋体"/>
          <w:color w:val="auto"/>
          <w:highlight w:val="none"/>
        </w:rPr>
        <w:t>法定代表人（签字）：</w:t>
      </w:r>
      <w:r>
        <w:rPr>
          <w:rFonts w:hint="eastAsia" w:ascii="宋体"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150A5760">
      <w:pPr>
        <w:pStyle w:val="9"/>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5513E875">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01FEDCE4">
      <w:pPr>
        <w:pStyle w:val="15"/>
        <w:spacing w:line="360" w:lineRule="exact"/>
        <w:ind w:firstLine="420"/>
        <w:rPr>
          <w:rFonts w:hint="eastAsia" w:ascii="宋体" w:hAnsi="宋体" w:cs="宋体"/>
          <w:color w:val="auto"/>
          <w:highlight w:val="none"/>
          <w:u w:val="single"/>
        </w:rPr>
      </w:pPr>
    </w:p>
    <w:p w14:paraId="5DAF30C7">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0906686E">
      <w:pPr>
        <w:autoSpaceDE w:val="0"/>
        <w:autoSpaceDN w:val="0"/>
        <w:adjustRightIn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4ED77693">
      <w:pPr>
        <w:pStyle w:val="9"/>
        <w:spacing w:line="360" w:lineRule="exact"/>
        <w:ind w:left="0" w:firstLine="420" w:firstLineChars="200"/>
        <w:rPr>
          <w:rFonts w:hint="eastAsia"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045D40F8">
      <w:pPr>
        <w:spacing w:line="360" w:lineRule="exact"/>
        <w:ind w:firstLine="420" w:firstLineChars="200"/>
        <w:rPr>
          <w:rFonts w:hint="eastAsia"/>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p>
    <w:p w14:paraId="2C56C866">
      <w:pPr>
        <w:pStyle w:val="15"/>
        <w:spacing w:line="360" w:lineRule="exact"/>
        <w:ind w:firstLine="420" w:firstLineChars="200"/>
        <w:rPr>
          <w:rFonts w:hint="eastAsia" w:eastAsia="宋体" w:cs="Times New Roman"/>
          <w:color w:val="auto"/>
          <w:highlight w:val="none"/>
        </w:rPr>
      </w:pPr>
      <w:r>
        <w:rPr>
          <w:rFonts w:hint="eastAsia" w:eastAsia="宋体" w:cs="Times New Roman"/>
          <w:color w:val="auto"/>
          <w:highlight w:val="none"/>
        </w:rPr>
        <w:t>......</w:t>
      </w:r>
    </w:p>
    <w:p w14:paraId="69A56C8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02103D2E">
      <w:pPr>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1.法定代表人和委托代理人必须在授权委托书上</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否则作无效投标处理</w:t>
      </w:r>
      <w:r>
        <w:rPr>
          <w:rFonts w:hint="eastAsia" w:ascii="宋体" w:hAnsi="宋体" w:eastAsia="宋体" w:cs="宋体"/>
          <w:b/>
          <w:bCs/>
          <w:color w:val="auto"/>
          <w:szCs w:val="21"/>
          <w:highlight w:val="none"/>
          <w:lang w:eastAsia="zh-CN"/>
        </w:rPr>
        <w:t>；</w:t>
      </w:r>
    </w:p>
    <w:p w14:paraId="02B3782A">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2.以联合体形式投标的，本授权委托书应由联合体牵头人的法定代表人按上述规定签署。</w:t>
      </w:r>
    </w:p>
    <w:p w14:paraId="4EAEB40F">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36D6EF1E">
      <w:pPr>
        <w:snapToGrid w:val="0"/>
        <w:spacing w:before="50" w:after="120" w:afterLines="50"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 若为联合体投标须各方签字或盖章。</w:t>
      </w:r>
    </w:p>
    <w:p w14:paraId="609591B4">
      <w:pPr>
        <w:spacing w:line="360" w:lineRule="auto"/>
        <w:rPr>
          <w:rFonts w:hint="eastAsia" w:ascii="宋体" w:hAnsi="Times New Roman" w:eastAsia="宋体" w:cs="Times New Roman"/>
          <w:b/>
          <w:color w:val="auto"/>
          <w:sz w:val="24"/>
          <w:highlight w:val="none"/>
        </w:rPr>
      </w:pPr>
    </w:p>
    <w:p w14:paraId="0665EF0F">
      <w:pPr>
        <w:rPr>
          <w:rFonts w:hint="eastAsia" w:ascii="宋体" w:hAnsi="Times New Roman" w:eastAsia="宋体" w:cs="Times New Roman"/>
          <w:b/>
          <w:color w:val="auto"/>
          <w:sz w:val="24"/>
          <w:highlight w:val="none"/>
        </w:rPr>
      </w:pPr>
      <w:r>
        <w:rPr>
          <w:rFonts w:hint="eastAsia" w:ascii="宋体" w:hAnsi="Times New Roman" w:eastAsia="宋体" w:cs="Times New Roman"/>
          <w:b/>
          <w:color w:val="auto"/>
          <w:sz w:val="24"/>
          <w:highlight w:val="none"/>
        </w:rPr>
        <w:br w:type="page"/>
      </w:r>
    </w:p>
    <w:p w14:paraId="3931D65F">
      <w:pPr>
        <w:spacing w:line="360" w:lineRule="auto"/>
        <w:rPr>
          <w:rFonts w:hint="eastAsia" w:ascii="Times New Roman" w:hAnsi="Times New Roman" w:eastAsia="宋体" w:cs="Times New Roman"/>
          <w:b/>
          <w:color w:val="auto"/>
          <w:sz w:val="24"/>
          <w:highlight w:val="none"/>
        </w:rPr>
      </w:pPr>
      <w:r>
        <w:rPr>
          <w:rFonts w:hint="eastAsia" w:ascii="宋体" w:hAnsi="Times New Roman" w:eastAsia="宋体" w:cs="Times New Roman"/>
          <w:b/>
          <w:color w:val="auto"/>
          <w:sz w:val="24"/>
          <w:highlight w:val="none"/>
        </w:rPr>
        <w:t>附件：</w:t>
      </w:r>
    </w:p>
    <w:tbl>
      <w:tblPr>
        <w:tblStyle w:val="23"/>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A23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335894FD">
            <w:pPr>
              <w:spacing w:line="360" w:lineRule="auto"/>
              <w:rPr>
                <w:rFonts w:ascii="宋体" w:hAnsi="Times New Roman" w:eastAsia="宋体" w:cs="Times New Roman"/>
                <w:b/>
                <w:color w:val="auto"/>
                <w:sz w:val="24"/>
                <w:highlight w:val="none"/>
              </w:rPr>
            </w:pPr>
          </w:p>
          <w:p w14:paraId="21FA1A64">
            <w:pPr>
              <w:spacing w:line="360" w:lineRule="auto"/>
              <w:rPr>
                <w:rFonts w:hint="eastAsia" w:ascii="宋体" w:hAnsi="Times New Roman" w:eastAsia="宋体" w:cs="Times New Roman"/>
                <w:b/>
                <w:color w:val="auto"/>
                <w:sz w:val="24"/>
                <w:highlight w:val="none"/>
              </w:rPr>
            </w:pPr>
            <w:r>
              <w:rPr>
                <w:rFonts w:hint="eastAsia" w:ascii="Times New Roman" w:hAnsi="Times New Roman" w:eastAsia="宋体" w:cs="Times New Roman"/>
                <w:b/>
                <w:bCs/>
                <w:color w:val="auto"/>
                <w:sz w:val="24"/>
                <w:szCs w:val="24"/>
                <w:highlight w:val="none"/>
              </w:rPr>
              <w:t>委托代理人</w:t>
            </w:r>
            <w:r>
              <w:rPr>
                <w:rFonts w:hint="eastAsia" w:ascii="Times New Roman" w:hAnsi="Times New Roman" w:cs="Times New Roman"/>
                <w:b/>
                <w:bCs/>
                <w:color w:val="auto"/>
                <w:sz w:val="24"/>
                <w:szCs w:val="24"/>
                <w:highlight w:val="none"/>
                <w:lang w:eastAsia="zh-CN"/>
              </w:rPr>
              <w:t>有效</w:t>
            </w:r>
            <w:r>
              <w:rPr>
                <w:rFonts w:hint="eastAsia" w:ascii="宋体" w:hAnsi="Times New Roman" w:eastAsia="宋体" w:cs="Times New Roman"/>
                <w:b/>
                <w:color w:val="auto"/>
                <w:sz w:val="24"/>
                <w:highlight w:val="none"/>
              </w:rPr>
              <w:t>身份证复印件粘帖处（正、反面）</w:t>
            </w:r>
          </w:p>
        </w:tc>
      </w:tr>
    </w:tbl>
    <w:p w14:paraId="678FA52E">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729B069C">
      <w:pPr>
        <w:snapToGrid w:val="0"/>
        <w:spacing w:before="120" w:beforeLines="50" w:after="50"/>
        <w:ind w:firstLine="566" w:firstLineChars="236"/>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3D932F5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460FAB0D">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2E0D987B">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721E823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48849AD7">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3E1BE5D5">
      <w:pPr>
        <w:snapToGrid w:val="0"/>
        <w:spacing w:before="120" w:beforeLines="50" w:after="50"/>
        <w:ind w:firstLine="660" w:firstLineChars="236"/>
        <w:jc w:val="both"/>
        <w:rPr>
          <w:rFonts w:hint="eastAsia" w:ascii="宋体" w:hAnsi="宋体" w:cs="Times New Roman"/>
          <w:color w:val="auto"/>
          <w:sz w:val="28"/>
          <w:szCs w:val="28"/>
          <w:highlight w:val="none"/>
          <w:lang w:eastAsia="zh-CN"/>
        </w:rPr>
      </w:pPr>
    </w:p>
    <w:p w14:paraId="757E8A84">
      <w:pPr>
        <w:snapToGrid w:val="0"/>
        <w:spacing w:before="120" w:beforeLines="50" w:after="50"/>
        <w:ind w:firstLine="566" w:firstLineChars="236"/>
        <w:jc w:val="both"/>
        <w:rPr>
          <w:rFonts w:hint="eastAsia" w:ascii="宋体" w:hAnsi="宋体" w:eastAsia="宋体" w:cs="Times New Roman"/>
          <w:color w:val="auto"/>
          <w:highlight w:val="none"/>
        </w:rPr>
      </w:pPr>
      <w:r>
        <w:rPr>
          <w:rFonts w:hint="eastAsia" w:ascii="宋体" w:hAnsi="宋体" w:eastAsia="宋体" w:cs="Times New Roman"/>
          <w:color w:val="auto"/>
          <w:sz w:val="24"/>
          <w:highlight w:val="none"/>
        </w:rPr>
        <w:br w:type="page"/>
      </w:r>
    </w:p>
    <w:p w14:paraId="08846838">
      <w:pPr>
        <w:jc w:val="left"/>
        <w:rPr>
          <w:rFonts w:hint="eastAsia" w:ascii="Times New Roman" w:hAnsi="Times New Roman" w:eastAsia="宋体" w:cs="Times New Roman"/>
          <w:b/>
          <w:bCs/>
          <w:color w:val="auto"/>
          <w:sz w:val="30"/>
          <w:szCs w:val="30"/>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eastAsia="zh-CN"/>
        </w:rPr>
        <w:t>：</w:t>
      </w:r>
    </w:p>
    <w:p w14:paraId="67D88D78">
      <w:pPr>
        <w:jc w:val="center"/>
        <w:rPr>
          <w:rFonts w:hint="eastAsia" w:ascii="Times New Roman" w:hAnsi="Times New Roman" w:eastAsia="宋体" w:cs="Times New Roman"/>
          <w:b/>
          <w:bCs/>
          <w:color w:val="auto"/>
          <w:sz w:val="30"/>
          <w:szCs w:val="30"/>
          <w:highlight w:val="none"/>
        </w:rPr>
      </w:pPr>
    </w:p>
    <w:p w14:paraId="4CBD9688">
      <w:pPr>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商务条款偏离表</w:t>
      </w:r>
    </w:p>
    <w:p w14:paraId="2C505A4A">
      <w:pPr>
        <w:spacing w:line="360" w:lineRule="auto"/>
        <w:ind w:firstLine="0" w:firstLineChars="0"/>
        <w:contextualSpacing/>
        <w:rPr>
          <w:rFonts w:hint="eastAsia" w:ascii="宋体" w:hAnsi="宋体" w:cs="宋体"/>
          <w:color w:val="auto"/>
          <w:sz w:val="24"/>
          <w:highlight w:val="none"/>
        </w:rPr>
      </w:pPr>
    </w:p>
    <w:p w14:paraId="65FC0A7B">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6CADB6E7">
      <w:pPr>
        <w:snapToGrid/>
        <w:spacing w:before="0" w:line="360" w:lineRule="auto"/>
        <w:contextualSpacing/>
        <w:jc w:val="left"/>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61B531F5">
      <w:pPr>
        <w:pStyle w:val="15"/>
        <w:spacing w:line="480" w:lineRule="auto"/>
        <w:ind w:left="-422" w:leftChars="-201" w:firstLine="424"/>
        <w:rPr>
          <w:rFonts w:hint="eastAsia"/>
          <w:color w:val="auto"/>
          <w:highlight w:val="none"/>
        </w:rPr>
      </w:pPr>
      <w:r>
        <w:rPr>
          <w:rFonts w:hint="eastAsia" w:hAnsi="宋体" w:cs="宋体"/>
          <w:color w:val="auto"/>
          <w:sz w:val="24"/>
          <w:szCs w:val="24"/>
          <w:highlight w:val="none"/>
          <w:lang w:eastAsia="zh-CN"/>
        </w:rPr>
        <w:t>所投</w:t>
      </w:r>
      <w:r>
        <w:rPr>
          <w:rFonts w:hint="eastAsia" w:ascii="宋体" w:hAnsi="宋体" w:cs="宋体"/>
          <w:color w:val="auto"/>
          <w:sz w:val="24"/>
          <w:szCs w:val="24"/>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tbl>
      <w:tblPr>
        <w:tblStyle w:val="23"/>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15F4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05E38C25">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19DD444E">
            <w:pPr>
              <w:spacing w:line="34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招标文件的商务</w:t>
            </w:r>
            <w:r>
              <w:rPr>
                <w:rFonts w:hint="eastAsia" w:ascii="宋体" w:hAnsi="宋体" w:cs="宋体"/>
                <w:color w:val="auto"/>
                <w:szCs w:val="21"/>
                <w:highlight w:val="none"/>
                <w:lang w:val="en-US" w:eastAsia="zh-CN"/>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236C2BF">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3B9A56E">
            <w:pPr>
              <w:spacing w:line="3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A80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45FF4470">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3F3ED119">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4AAF569">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8F04074">
            <w:pPr>
              <w:spacing w:line="300" w:lineRule="exact"/>
              <w:rPr>
                <w:rFonts w:hint="eastAsia" w:ascii="宋体" w:hAnsi="宋体" w:cs="宋体"/>
                <w:color w:val="auto"/>
                <w:szCs w:val="21"/>
                <w:highlight w:val="none"/>
              </w:rPr>
            </w:pPr>
          </w:p>
        </w:tc>
      </w:tr>
      <w:tr w14:paraId="50E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0ABC76BE">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4E058065">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EF0D5F4">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6928FC2E">
            <w:pPr>
              <w:spacing w:line="300" w:lineRule="exact"/>
              <w:rPr>
                <w:rFonts w:hint="eastAsia" w:ascii="宋体" w:hAnsi="宋体" w:cs="宋体"/>
                <w:color w:val="auto"/>
                <w:szCs w:val="21"/>
                <w:highlight w:val="none"/>
              </w:rPr>
            </w:pPr>
          </w:p>
        </w:tc>
      </w:tr>
      <w:tr w14:paraId="5CA2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33E729CB">
            <w:pPr>
              <w:spacing w:line="34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39CA4899">
            <w:pPr>
              <w:spacing w:line="340" w:lineRule="exact"/>
              <w:rPr>
                <w:rFonts w:hint="eastAsia"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4C6BECED">
            <w:pPr>
              <w:spacing w:line="340" w:lineRule="exact"/>
              <w:rPr>
                <w:rFonts w:hint="eastAsia"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00764470">
            <w:pPr>
              <w:spacing w:line="300" w:lineRule="exact"/>
              <w:rPr>
                <w:rFonts w:hint="eastAsia" w:ascii="宋体" w:hAnsi="宋体" w:cs="宋体"/>
                <w:color w:val="auto"/>
                <w:szCs w:val="21"/>
                <w:highlight w:val="none"/>
              </w:rPr>
            </w:pPr>
          </w:p>
        </w:tc>
      </w:tr>
    </w:tbl>
    <w:p w14:paraId="7CF03F4B">
      <w:pPr>
        <w:pStyle w:val="15"/>
        <w:spacing w:line="360" w:lineRule="auto"/>
        <w:ind w:left="-708" w:leftChars="-337"/>
        <w:rPr>
          <w:rFonts w:hint="eastAsia" w:ascii="Times New Roman" w:hAnsi="Times New Roman" w:eastAsia="宋体" w:cs="Times New Roman"/>
          <w:color w:val="auto"/>
          <w:highlight w:val="none"/>
        </w:rPr>
      </w:pPr>
    </w:p>
    <w:p w14:paraId="0BC66837">
      <w:pPr>
        <w:pStyle w:val="15"/>
        <w:spacing w:line="360" w:lineRule="auto"/>
        <w:ind w:left="0" w:leftChars="0"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注：</w:t>
      </w:r>
    </w:p>
    <w:p w14:paraId="4B483088">
      <w:pPr>
        <w:pStyle w:val="15"/>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1.表格内容均需按要求填写并加盖投标人公章。</w:t>
      </w:r>
    </w:p>
    <w:p w14:paraId="471F8A3E">
      <w:pPr>
        <w:pStyle w:val="15"/>
        <w:spacing w:line="360" w:lineRule="auto"/>
        <w:ind w:left="-424" w:leftChars="-202" w:firstLine="846" w:firstLineChars="0"/>
        <w:rPr>
          <w:rFonts w:hint="eastAsia" w:ascii="宋体" w:hAnsi="宋体" w:eastAsia="宋体" w:cs="宋体"/>
          <w:color w:val="auto"/>
          <w:highlight w:val="none"/>
        </w:rPr>
      </w:pPr>
      <w:r>
        <w:rPr>
          <w:rFonts w:hint="eastAsia" w:ascii="宋体" w:hAnsi="宋体" w:eastAsia="宋体" w:cs="宋体"/>
          <w:color w:val="auto"/>
          <w:highlight w:val="none"/>
        </w:rPr>
        <w:t>2.请逐条对应本项目招标文件</w:t>
      </w:r>
      <w:r>
        <w:rPr>
          <w:rFonts w:hint="eastAsia" w:ascii="宋体" w:hAnsi="宋体" w:cs="宋体"/>
          <w:color w:val="auto"/>
          <w:highlight w:val="none"/>
        </w:rPr>
        <w:t>“第二章</w:t>
      </w:r>
      <w:r>
        <w:rPr>
          <w:rFonts w:hint="eastAsia" w:ascii="宋体" w:hAnsi="宋体" w:cs="宋体"/>
          <w:color w:val="auto"/>
          <w:highlight w:val="none"/>
          <w:lang w:val="en-US" w:eastAsia="zh-CN"/>
        </w:rPr>
        <w:t xml:space="preserve">  </w:t>
      </w:r>
      <w:r>
        <w:rPr>
          <w:rFonts w:hint="eastAsia" w:ascii="宋体" w:hAnsi="宋体" w:cs="宋体"/>
          <w:b/>
          <w:color w:val="auto"/>
          <w:sz w:val="21"/>
          <w:szCs w:val="21"/>
          <w:highlight w:val="none"/>
        </w:rPr>
        <w:t>采购需求</w:t>
      </w:r>
      <w:r>
        <w:rPr>
          <w:rFonts w:hint="eastAsia" w:ascii="宋体" w:hAnsi="宋体" w:cs="宋体"/>
          <w:color w:val="auto"/>
          <w:highlight w:val="none"/>
        </w:rPr>
        <w:t>”</w:t>
      </w:r>
      <w:r>
        <w:rPr>
          <w:rFonts w:hint="eastAsia" w:ascii="宋体" w:hAnsi="宋体" w:eastAsia="宋体" w:cs="宋体"/>
          <w:color w:val="auto"/>
          <w:highlight w:val="none"/>
        </w:rPr>
        <w:t>中“商务条款”的要求，详细填写相应的具体内容。“偏离说明”一栏应当选择“正偏离”</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“负偏离”或“无偏离”进行填写。</w:t>
      </w:r>
    </w:p>
    <w:p w14:paraId="2661E8B9">
      <w:pPr>
        <w:pStyle w:val="15"/>
        <w:spacing w:line="360" w:lineRule="auto"/>
        <w:ind w:left="-603" w:leftChars="-287"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3.当投标文件的商务内容低于招标文件要求时，投标人应当如实写明“负偏离”。</w:t>
      </w:r>
    </w:p>
    <w:p w14:paraId="31F75319">
      <w:pPr>
        <w:pStyle w:val="15"/>
        <w:spacing w:line="360" w:lineRule="auto"/>
        <w:ind w:left="-708" w:leftChars="-337" w:firstLine="1050" w:firstLineChars="500"/>
        <w:rPr>
          <w:rFonts w:hint="eastAsia" w:ascii="宋体" w:hAnsi="宋体" w:eastAsia="宋体" w:cs="宋体"/>
          <w:color w:val="auto"/>
          <w:szCs w:val="21"/>
          <w:highlight w:val="none"/>
        </w:rPr>
      </w:pPr>
    </w:p>
    <w:p w14:paraId="1F97D671">
      <w:pPr>
        <w:snapToGrid w:val="0"/>
        <w:spacing w:before="50" w:after="50"/>
        <w:rPr>
          <w:rFonts w:ascii="宋体" w:hAnsi="宋体" w:eastAsia="宋体" w:cs="Times New Roman"/>
          <w:color w:val="auto"/>
          <w:sz w:val="24"/>
          <w:highlight w:val="none"/>
        </w:rPr>
      </w:pPr>
    </w:p>
    <w:p w14:paraId="7448AB3D">
      <w:pPr>
        <w:snapToGrid w:val="0"/>
        <w:spacing w:line="360" w:lineRule="auto"/>
        <w:ind w:firstLine="4935" w:firstLineChars="235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highlight w:val="none"/>
          <w:lang w:val="zh-CN"/>
        </w:rPr>
        <w:t>投标人名称(盖公章)：</w:t>
      </w:r>
    </w:p>
    <w:p w14:paraId="732C8DE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0E3353B">
      <w:pPr>
        <w:rPr>
          <w:rFonts w:hint="eastAsia"/>
          <w:color w:val="auto"/>
          <w:highlight w:val="none"/>
        </w:rPr>
      </w:pPr>
    </w:p>
    <w:p w14:paraId="1325D72D">
      <w:pPr>
        <w:widowControl/>
        <w:jc w:val="left"/>
        <w:rPr>
          <w:b/>
          <w:bCs/>
          <w:color w:val="auto"/>
          <w:sz w:val="30"/>
          <w:szCs w:val="30"/>
          <w:highlight w:val="none"/>
        </w:rPr>
        <w:sectPr>
          <w:pgSz w:w="11905" w:h="16838"/>
          <w:pgMar w:top="1134" w:right="1134" w:bottom="1134" w:left="1134" w:header="850" w:footer="850" w:gutter="0"/>
          <w:pgNumType w:fmt="decimal"/>
          <w:cols w:space="0" w:num="1"/>
          <w:titlePg/>
          <w:rtlGutter w:val="0"/>
          <w:docGrid w:linePitch="331" w:charSpace="0"/>
        </w:sectPr>
      </w:pPr>
    </w:p>
    <w:p w14:paraId="44DDF7E6">
      <w:pPr>
        <w:pStyle w:val="15"/>
        <w:jc w:val="center"/>
        <w:outlineLvl w:val="1"/>
        <w:rPr>
          <w:rFonts w:hint="eastAsia" w:hAnsi="宋体" w:eastAsia="宋体" w:cs="Times New Roman"/>
          <w:b/>
          <w:bCs/>
          <w:color w:val="auto"/>
          <w:sz w:val="28"/>
          <w:szCs w:val="28"/>
          <w:highlight w:val="none"/>
        </w:rPr>
      </w:pPr>
      <w:bookmarkStart w:id="377" w:name="_Toc17437"/>
      <w:bookmarkStart w:id="378" w:name="_Toc24407"/>
      <w:bookmarkStart w:id="379" w:name="_Toc23685"/>
      <w:bookmarkStart w:id="380" w:name="_Toc19686839"/>
      <w:bookmarkStart w:id="381" w:name="_Toc585"/>
      <w:bookmarkStart w:id="382" w:name="_Toc10435"/>
      <w:bookmarkStart w:id="383" w:name="_Toc8889"/>
      <w:bookmarkStart w:id="384" w:name="_Toc24098"/>
      <w:bookmarkStart w:id="385" w:name="_Toc27757"/>
      <w:bookmarkStart w:id="386" w:name="_Toc10197"/>
      <w:bookmarkStart w:id="387" w:name="_Toc1161"/>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三</w:t>
      </w:r>
      <w:r>
        <w:rPr>
          <w:rFonts w:hint="eastAsia" w:hAnsi="宋体" w:eastAsia="宋体" w:cs="Times New Roman"/>
          <w:b/>
          <w:bCs/>
          <w:color w:val="auto"/>
          <w:sz w:val="28"/>
          <w:szCs w:val="28"/>
          <w:highlight w:val="none"/>
        </w:rPr>
        <w:t>节 技术文件格式</w:t>
      </w:r>
      <w:bookmarkEnd w:id="377"/>
      <w:bookmarkEnd w:id="378"/>
      <w:bookmarkEnd w:id="379"/>
      <w:bookmarkEnd w:id="380"/>
      <w:bookmarkEnd w:id="381"/>
      <w:bookmarkEnd w:id="382"/>
      <w:bookmarkEnd w:id="383"/>
      <w:bookmarkEnd w:id="384"/>
      <w:bookmarkEnd w:id="385"/>
      <w:bookmarkEnd w:id="386"/>
      <w:bookmarkEnd w:id="387"/>
    </w:p>
    <w:p w14:paraId="08E8BCAE">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6B925DEE">
      <w:pPr>
        <w:snapToGrid w:val="0"/>
        <w:spacing w:before="165" w:beforeLines="50" w:after="50"/>
        <w:rPr>
          <w:rFonts w:hint="eastAsia" w:ascii="宋体" w:hAnsi="宋体" w:eastAsia="宋体" w:cs="Times New Roman"/>
          <w:color w:val="auto"/>
          <w:sz w:val="24"/>
          <w:highlight w:val="none"/>
        </w:rPr>
      </w:pPr>
      <w:r>
        <w:rPr>
          <w:rFonts w:hint="eastAsia" w:ascii="宋体" w:hAnsi="宋体" w:eastAsia="宋体" w:cs="宋体"/>
          <w:b/>
          <w:color w:val="auto"/>
          <w:sz w:val="28"/>
          <w:szCs w:val="28"/>
          <w:highlight w:val="none"/>
        </w:rPr>
        <w:t>1. 技术文件封面</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格式（参照此格式自拟）：</w:t>
      </w:r>
    </w:p>
    <w:p w14:paraId="25655F7C">
      <w:pPr>
        <w:snapToGrid w:val="0"/>
        <w:spacing w:before="165" w:beforeLines="50" w:after="50"/>
        <w:ind w:firstLine="1200" w:firstLineChars="5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bCs/>
          <w:color w:val="auto"/>
          <w:highlight w:val="none"/>
        </w:rPr>
        <w:t>电子投标文件</w:t>
      </w:r>
    </w:p>
    <w:p w14:paraId="140CC161">
      <w:pPr>
        <w:snapToGrid w:val="0"/>
        <w:spacing w:before="165" w:beforeLines="50" w:after="50"/>
        <w:rPr>
          <w:rFonts w:hint="eastAsia" w:ascii="宋体" w:hAnsi="宋体" w:eastAsia="宋体" w:cs="Times New Roman"/>
          <w:color w:val="auto"/>
          <w:sz w:val="24"/>
          <w:szCs w:val="20"/>
          <w:highlight w:val="none"/>
        </w:rPr>
      </w:pPr>
    </w:p>
    <w:p w14:paraId="00F571B7">
      <w:pPr>
        <w:snapToGrid w:val="0"/>
        <w:spacing w:before="165" w:beforeLines="50" w:after="50"/>
        <w:jc w:val="center"/>
        <w:rPr>
          <w:rFonts w:hint="eastAsia" w:ascii="宋体" w:hAnsi="宋体" w:eastAsia="宋体" w:cs="Times New Roman"/>
          <w:b/>
          <w:bCs/>
          <w:color w:val="auto"/>
          <w:sz w:val="32"/>
          <w:szCs w:val="32"/>
          <w:highlight w:val="none"/>
        </w:rPr>
      </w:pPr>
    </w:p>
    <w:p w14:paraId="30BC4481">
      <w:pPr>
        <w:snapToGrid w:val="0"/>
        <w:spacing w:before="165" w:beforeLines="50" w:after="50"/>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技术文件</w:t>
      </w:r>
    </w:p>
    <w:p w14:paraId="0191793F">
      <w:pPr>
        <w:snapToGrid w:val="0"/>
        <w:spacing w:before="165" w:beforeLines="50" w:after="50"/>
        <w:rPr>
          <w:rFonts w:hint="eastAsia" w:ascii="宋体" w:hAnsi="宋体" w:eastAsia="宋体" w:cs="Times New Roman"/>
          <w:bCs/>
          <w:color w:val="auto"/>
          <w:sz w:val="24"/>
          <w:szCs w:val="20"/>
          <w:highlight w:val="none"/>
        </w:rPr>
      </w:pPr>
    </w:p>
    <w:p w14:paraId="2D3B10C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项目名称： </w:t>
      </w:r>
    </w:p>
    <w:p w14:paraId="5517FAAE">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项目编号： </w:t>
      </w:r>
    </w:p>
    <w:p w14:paraId="1F9A92D3">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45EBBAE0">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173EB704">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C11D3BA">
      <w:pPr>
        <w:snapToGrid w:val="0"/>
        <w:spacing w:before="165" w:beforeLines="50" w:after="50"/>
        <w:ind w:firstLine="645"/>
        <w:jc w:val="center"/>
        <w:rPr>
          <w:rFonts w:hint="eastAsia" w:ascii="宋体" w:hAnsi="宋体" w:eastAsia="宋体" w:cs="Times New Roman"/>
          <w:color w:val="auto"/>
          <w:sz w:val="24"/>
          <w:highlight w:val="none"/>
        </w:rPr>
      </w:pPr>
    </w:p>
    <w:p w14:paraId="7FE810D6">
      <w:pPr>
        <w:snapToGrid w:val="0"/>
        <w:spacing w:before="165" w:beforeLines="50" w:after="50"/>
        <w:ind w:firstLine="645"/>
        <w:jc w:val="center"/>
        <w:rPr>
          <w:rFonts w:hint="eastAsia" w:ascii="宋体" w:hAnsi="宋体" w:eastAsia="宋体" w:cs="Times New Roman"/>
          <w:color w:val="auto"/>
          <w:sz w:val="24"/>
          <w:highlight w:val="none"/>
        </w:rPr>
      </w:pPr>
    </w:p>
    <w:p w14:paraId="1910FB1C">
      <w:pPr>
        <w:snapToGrid w:val="0"/>
        <w:spacing w:before="165" w:beforeLines="50" w:after="50"/>
        <w:ind w:firstLine="645"/>
        <w:jc w:val="center"/>
        <w:rPr>
          <w:rFonts w:hint="eastAsia" w:ascii="宋体" w:hAnsi="宋体" w:eastAsia="宋体" w:cs="Times New Roman"/>
          <w:color w:val="auto"/>
          <w:sz w:val="24"/>
          <w:highlight w:val="none"/>
        </w:rPr>
      </w:pPr>
    </w:p>
    <w:p w14:paraId="388EDFCA">
      <w:pPr>
        <w:snapToGrid w:val="0"/>
        <w:spacing w:before="165" w:beforeLines="50" w:after="50"/>
        <w:ind w:firstLine="645"/>
        <w:jc w:val="center"/>
        <w:rPr>
          <w:rFonts w:hint="eastAsia" w:ascii="宋体" w:hAnsi="宋体" w:eastAsia="宋体" w:cs="Times New Roman"/>
          <w:color w:val="auto"/>
          <w:sz w:val="24"/>
          <w:highlight w:val="none"/>
        </w:rPr>
      </w:pPr>
    </w:p>
    <w:p w14:paraId="6991D813">
      <w:pPr>
        <w:snapToGrid w:val="0"/>
        <w:spacing w:before="165" w:beforeLines="50" w:after="50"/>
        <w:ind w:firstLine="645"/>
        <w:jc w:val="center"/>
        <w:rPr>
          <w:rFonts w:hint="eastAsia" w:ascii="宋体" w:hAnsi="宋体" w:eastAsia="宋体" w:cs="Times New Roman"/>
          <w:color w:val="auto"/>
          <w:sz w:val="24"/>
          <w:highlight w:val="none"/>
        </w:rPr>
      </w:pPr>
    </w:p>
    <w:p w14:paraId="2A3AF8EC">
      <w:pPr>
        <w:snapToGrid w:val="0"/>
        <w:spacing w:before="165" w:beforeLines="50" w:after="50"/>
        <w:ind w:firstLine="645"/>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29A62E7F">
      <w:pPr>
        <w:snapToGrid w:val="0"/>
        <w:spacing w:before="165" w:beforeLines="50" w:after="50"/>
        <w:ind w:firstLine="645"/>
        <w:jc w:val="center"/>
        <w:rPr>
          <w:rFonts w:hint="eastAsia" w:ascii="宋体" w:hAnsi="宋体" w:eastAsia="宋体" w:cs="Times New Roman"/>
          <w:color w:val="auto"/>
          <w:sz w:val="24"/>
          <w:szCs w:val="20"/>
          <w:highlight w:val="none"/>
        </w:rPr>
      </w:pPr>
    </w:p>
    <w:p w14:paraId="378DED10">
      <w:pPr>
        <w:jc w:val="center"/>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br w:type="page"/>
      </w:r>
    </w:p>
    <w:p w14:paraId="4DD0EC5A">
      <w:pPr>
        <w:numPr>
          <w:ilvl w:val="0"/>
          <w:numId w:val="8"/>
        </w:numPr>
        <w:snapToGrid w:val="0"/>
        <w:spacing w:before="120" w:beforeLines="50" w:after="50"/>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技术文件目录</w:t>
      </w:r>
    </w:p>
    <w:p w14:paraId="1E87467E">
      <w:pPr>
        <w:snapToGrid w:val="0"/>
        <w:spacing w:before="120" w:beforeLines="50" w:after="50"/>
        <w:ind w:left="142" w:leftChars="0" w:firstLine="0" w:firstLineChars="0"/>
        <w:jc w:val="left"/>
        <w:rPr>
          <w:rFonts w:hint="eastAsia" w:ascii="宋体" w:hAnsi="宋体" w:eastAsia="宋体" w:cs="Times New Roman"/>
          <w:b/>
          <w:color w:val="auto"/>
          <w:sz w:val="24"/>
          <w:highlight w:val="none"/>
        </w:rPr>
      </w:pPr>
      <w:r>
        <w:rPr>
          <w:rFonts w:hint="eastAsia" w:ascii="宋体" w:hAnsi="宋体" w:eastAsia="宋体" w:cs="宋体"/>
          <w:color w:val="auto"/>
          <w:kern w:val="0"/>
          <w:sz w:val="24"/>
          <w:highlight w:val="none"/>
        </w:rPr>
        <w:t>根据招标文件规定及投标人提供的材料自行编写目录（部分格式后附）。</w:t>
      </w:r>
    </w:p>
    <w:p w14:paraId="309CF4A5">
      <w:pPr>
        <w:snapToGrid w:val="0"/>
        <w:spacing w:before="165" w:beforeLines="50" w:after="50"/>
        <w:ind w:left="0" w:leftChars="0" w:firstLine="0" w:firstLineChars="0"/>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br w:type="page"/>
      </w:r>
      <w:r>
        <w:rPr>
          <w:rFonts w:hint="eastAsia" w:ascii="宋体" w:hAnsi="宋体" w:eastAsia="宋体" w:cs="Times New Roman"/>
          <w:b/>
          <w:color w:val="auto"/>
          <w:sz w:val="24"/>
          <w:highlight w:val="none"/>
        </w:rPr>
        <w:t xml:space="preserve"> </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服务要求偏离表</w:t>
      </w:r>
      <w:r>
        <w:rPr>
          <w:rFonts w:hint="eastAsia"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hAnsi="宋体" w:cs="宋体"/>
          <w:b/>
          <w:color w:val="auto"/>
          <w:sz w:val="28"/>
          <w:szCs w:val="28"/>
          <w:highlight w:val="none"/>
          <w:lang w:eastAsia="zh-CN"/>
        </w:rPr>
        <w:t>：</w:t>
      </w:r>
    </w:p>
    <w:p w14:paraId="628358D3">
      <w:pPr>
        <w:pStyle w:val="15"/>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服务</w:t>
      </w:r>
      <w:r>
        <w:rPr>
          <w:rFonts w:hint="eastAsia" w:ascii="Times New Roman" w:hAnsi="Times New Roman" w:cs="Times New Roman"/>
          <w:b/>
          <w:bCs/>
          <w:color w:val="auto"/>
          <w:sz w:val="30"/>
          <w:szCs w:val="30"/>
          <w:highlight w:val="none"/>
          <w:lang w:eastAsia="zh-CN"/>
        </w:rPr>
        <w:t>要求</w:t>
      </w:r>
      <w:r>
        <w:rPr>
          <w:rFonts w:hint="eastAsia" w:ascii="Times New Roman" w:hAnsi="Times New Roman" w:eastAsia="宋体" w:cs="Times New Roman"/>
          <w:b/>
          <w:bCs/>
          <w:color w:val="auto"/>
          <w:sz w:val="30"/>
          <w:szCs w:val="30"/>
          <w:highlight w:val="none"/>
        </w:rPr>
        <w:t>偏离表</w:t>
      </w:r>
    </w:p>
    <w:p w14:paraId="6EFD316F">
      <w:pPr>
        <w:pStyle w:val="15"/>
        <w:spacing w:line="440" w:lineRule="exact"/>
        <w:ind w:firstLine="420" w:firstLineChars="200"/>
        <w:rPr>
          <w:rFonts w:eastAsia="宋体" w:cs="Times New Roman"/>
          <w:color w:val="auto"/>
          <w:highlight w:val="none"/>
        </w:rPr>
      </w:pPr>
    </w:p>
    <w:p w14:paraId="3F05CB5D">
      <w:pPr>
        <w:spacing w:line="360" w:lineRule="auto"/>
        <w:ind w:firstLine="0" w:firstLineChars="0"/>
        <w:contextualSpacing/>
        <w:rPr>
          <w:rFonts w:hint="eastAsia" w:ascii="宋体" w:hAnsi="宋体" w:cs="宋体"/>
          <w:color w:val="auto"/>
          <w:sz w:val="24"/>
          <w:highlight w:val="none"/>
          <w:u w:val="single"/>
        </w:rPr>
      </w:pPr>
      <w:r>
        <w:rPr>
          <w:rFonts w:hint="eastAsia" w:ascii="宋体" w:hAnsi="宋体" w:cs="宋体"/>
          <w:color w:val="auto"/>
          <w:sz w:val="24"/>
          <w:highlight w:val="none"/>
        </w:rPr>
        <w:t>项目</w:t>
      </w:r>
      <w:r>
        <w:rPr>
          <w:rFonts w:hint="eastAsia" w:hAnsi="宋体" w:cs="宋体"/>
          <w:color w:val="auto"/>
          <w:sz w:val="24"/>
          <w:highlight w:val="none"/>
        </w:rPr>
        <w:t>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D95DC63">
      <w:pPr>
        <w:pStyle w:val="15"/>
        <w:spacing w:line="600" w:lineRule="exact"/>
        <w:ind w:firstLine="0" w:firstLineChars="0"/>
        <w:rPr>
          <w:rFonts w:hint="eastAsia" w:hAnsi="宋体" w:cs="宋体"/>
          <w:color w:val="auto"/>
          <w:sz w:val="24"/>
          <w:highlight w:val="none"/>
          <w:u w:val="single"/>
        </w:rPr>
      </w:pPr>
      <w:r>
        <w:rPr>
          <w:rFonts w:hint="eastAsia" w:hAnsi="宋体" w:cs="宋体"/>
          <w:color w:val="auto"/>
          <w:sz w:val="24"/>
          <w:highlight w:val="none"/>
        </w:rPr>
        <w:t>项目</w:t>
      </w:r>
      <w:r>
        <w:rPr>
          <w:rFonts w:hint="eastAsia" w:ascii="宋体" w:hAnsi="宋体" w:cs="宋体"/>
          <w:color w:val="auto"/>
          <w:sz w:val="24"/>
          <w:highlight w:val="none"/>
        </w:rPr>
        <w:t>编号</w:t>
      </w:r>
      <w:r>
        <w:rPr>
          <w:rFonts w:hint="eastAsia" w:hAnsi="宋体" w:cs="宋体"/>
          <w:color w:val="auto"/>
          <w:sz w:val="24"/>
          <w:highlight w:val="none"/>
        </w:rPr>
        <w:t>：</w:t>
      </w:r>
      <w:r>
        <w:rPr>
          <w:rFonts w:hint="eastAsia" w:hAnsi="宋体" w:cs="宋体"/>
          <w:color w:val="auto"/>
          <w:sz w:val="24"/>
          <w:highlight w:val="none"/>
          <w:u w:val="single"/>
        </w:rPr>
        <w:t xml:space="preserve">                 </w:t>
      </w:r>
    </w:p>
    <w:p w14:paraId="790E2244">
      <w:pPr>
        <w:pStyle w:val="9"/>
        <w:rPr>
          <w:rFonts w:hint="eastAsia"/>
          <w:color w:val="auto"/>
          <w:highlight w:val="none"/>
        </w:rPr>
      </w:pPr>
    </w:p>
    <w:p w14:paraId="43D1166C">
      <w:pPr>
        <w:pStyle w:val="9"/>
        <w:ind w:left="0" w:firstLine="0" w:firstLineChars="0"/>
        <w:rPr>
          <w:rFonts w:hint="eastAsia" w:ascii="宋体" w:hAnsi="宋体" w:cs="宋体"/>
          <w:color w:val="auto"/>
          <w:sz w:val="24"/>
          <w:highlight w:val="none"/>
          <w:u w:val="single"/>
        </w:rPr>
      </w:pPr>
      <w:r>
        <w:rPr>
          <w:rFonts w:hint="eastAsia" w:hAnsi="宋体" w:cs="宋体"/>
          <w:color w:val="auto"/>
          <w:sz w:val="24"/>
          <w:szCs w:val="20"/>
          <w:highlight w:val="none"/>
          <w:lang w:eastAsia="zh-CN"/>
        </w:rPr>
        <w:t>所投</w:t>
      </w:r>
      <w:r>
        <w:rPr>
          <w:rFonts w:hint="eastAsia" w:ascii="宋体" w:hAnsi="宋体" w:cs="宋体"/>
          <w:color w:val="auto"/>
          <w:sz w:val="24"/>
          <w:szCs w:val="20"/>
          <w:highlight w:val="none"/>
        </w:rPr>
        <w:t>分标</w:t>
      </w:r>
      <w:r>
        <w:rPr>
          <w:rFonts w:hint="eastAsia" w:ascii="宋体" w:hAnsi="宋体" w:cs="宋体"/>
          <w:color w:val="auto"/>
          <w:sz w:val="21"/>
          <w:szCs w:val="21"/>
          <w:highlight w:val="none"/>
        </w:rPr>
        <w:t>（此处有分标时填写具体分标号，无分标时填写“无”）</w:t>
      </w:r>
      <w:r>
        <w:rPr>
          <w:rFonts w:hint="eastAsia" w:ascii="宋体" w:hAnsi="宋体" w:cs="宋体"/>
          <w:color w:val="auto"/>
          <w:sz w:val="24"/>
          <w:szCs w:val="24"/>
          <w:highlight w:val="none"/>
          <w:lang w:eastAsia="zh-CN"/>
        </w:rPr>
        <w:t>：</w:t>
      </w:r>
      <w:r>
        <w:rPr>
          <w:rFonts w:hint="eastAsia" w:ascii="宋体" w:hAnsi="宋体" w:cs="宋体"/>
          <w:color w:val="auto"/>
          <w:sz w:val="24"/>
          <w:highlight w:val="none"/>
          <w:u w:val="single"/>
        </w:rPr>
        <w:t xml:space="preserve">           </w:t>
      </w:r>
    </w:p>
    <w:p w14:paraId="402AD4B5">
      <w:pPr>
        <w:rPr>
          <w:rFonts w:hint="eastAsia"/>
          <w:color w:val="auto"/>
          <w:highlight w:val="none"/>
        </w:rPr>
      </w:pPr>
    </w:p>
    <w:tbl>
      <w:tblPr>
        <w:tblStyle w:val="23"/>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3B17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73CD5090">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项号</w:t>
            </w:r>
          </w:p>
        </w:tc>
        <w:tc>
          <w:tcPr>
            <w:tcW w:w="1262" w:type="dxa"/>
            <w:tcBorders>
              <w:top w:val="single" w:color="auto" w:sz="4" w:space="0"/>
              <w:left w:val="single" w:color="auto" w:sz="4" w:space="0"/>
              <w:right w:val="single" w:color="auto" w:sz="4" w:space="0"/>
            </w:tcBorders>
            <w:noWrap w:val="0"/>
            <w:vAlign w:val="center"/>
          </w:tcPr>
          <w:p w14:paraId="2162BC1A">
            <w:pPr>
              <w:jc w:val="center"/>
              <w:rPr>
                <w:rFonts w:hint="eastAsia" w:ascii="宋体" w:hAnsi="宋体" w:eastAsia="宋体" w:cs="Times New Roman"/>
                <w:color w:val="auto"/>
                <w:szCs w:val="21"/>
                <w:highlight w:val="none"/>
              </w:rPr>
            </w:pPr>
            <w:r>
              <w:rPr>
                <w:rFonts w:hint="eastAsia" w:ascii="宋体" w:hAnsi="宋体" w:cs="Times New Roman"/>
                <w:color w:val="auto"/>
                <w:szCs w:val="21"/>
                <w:highlight w:val="none"/>
                <w:lang w:eastAsia="zh-CN"/>
              </w:rPr>
              <w:t>标的</w:t>
            </w:r>
            <w:r>
              <w:rPr>
                <w:rFonts w:hint="eastAsia" w:ascii="宋体" w:hAnsi="宋体" w:eastAsia="宋体" w:cs="Times New Roman"/>
                <w:color w:val="auto"/>
                <w:szCs w:val="21"/>
                <w:highlight w:val="none"/>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1DA8BF7">
            <w:pPr>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招标文件</w:t>
            </w:r>
            <w:r>
              <w:rPr>
                <w:rFonts w:hint="eastAsia" w:ascii="宋体" w:hAnsi="宋体" w:cs="Times New Roman"/>
                <w:color w:val="auto"/>
                <w:szCs w:val="21"/>
                <w:highlight w:val="none"/>
                <w:lang w:eastAsia="zh-CN"/>
              </w:rPr>
              <w:t>采购需求</w:t>
            </w:r>
            <w:r>
              <w:rPr>
                <w:rFonts w:hint="eastAsia" w:ascii="宋体" w:hAnsi="宋体" w:cs="Times New Roman"/>
                <w:color w:val="auto"/>
                <w:szCs w:val="21"/>
                <w:highlight w:val="none"/>
                <w:lang w:val="en-US" w:eastAsia="zh-CN"/>
              </w:rPr>
              <w:t>中的</w:t>
            </w:r>
            <w:r>
              <w:rPr>
                <w:rFonts w:hint="eastAsia" w:ascii="宋体" w:hAnsi="宋体" w:eastAsia="宋体" w:cs="Times New Roman"/>
                <w:color w:val="auto"/>
                <w:szCs w:val="21"/>
                <w:highlight w:val="none"/>
              </w:rPr>
              <w:t>服务</w:t>
            </w:r>
            <w:r>
              <w:rPr>
                <w:rFonts w:hint="eastAsia" w:ascii="宋体" w:hAnsi="宋体" w:cs="Times New Roman"/>
                <w:color w:val="auto"/>
                <w:szCs w:val="21"/>
                <w:highlight w:val="none"/>
                <w:lang w:eastAsia="zh-CN"/>
              </w:rPr>
              <w:t>内容</w:t>
            </w:r>
          </w:p>
        </w:tc>
        <w:tc>
          <w:tcPr>
            <w:tcW w:w="3477" w:type="dxa"/>
            <w:tcBorders>
              <w:top w:val="single" w:color="auto" w:sz="4" w:space="0"/>
              <w:left w:val="single" w:color="auto" w:sz="4" w:space="0"/>
              <w:right w:val="single" w:color="auto" w:sz="4" w:space="0"/>
            </w:tcBorders>
            <w:noWrap w:val="0"/>
            <w:vAlign w:val="center"/>
          </w:tcPr>
          <w:p w14:paraId="4E086501">
            <w:pPr>
              <w:jc w:val="center"/>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投标</w:t>
            </w:r>
            <w:r>
              <w:rPr>
                <w:rFonts w:hint="eastAsia" w:ascii="宋体" w:hAnsi="宋体" w:eastAsia="宋体" w:cs="Times New Roman"/>
                <w:color w:val="auto"/>
                <w:szCs w:val="21"/>
                <w:highlight w:val="none"/>
              </w:rPr>
              <w:t>文件</w:t>
            </w:r>
            <w:r>
              <w:rPr>
                <w:rFonts w:hint="eastAsia" w:ascii="宋体" w:hAnsi="宋体" w:cs="Times New Roman"/>
                <w:color w:val="auto"/>
                <w:szCs w:val="21"/>
                <w:highlight w:val="none"/>
                <w:lang w:val="en-US" w:eastAsia="zh-CN"/>
              </w:rPr>
              <w:t>响应的</w:t>
            </w:r>
            <w:r>
              <w:rPr>
                <w:rFonts w:hint="eastAsia" w:ascii="宋体" w:hAnsi="宋体" w:cs="Times New Roman"/>
                <w:color w:val="auto"/>
                <w:szCs w:val="21"/>
                <w:highlight w:val="none"/>
                <w:lang w:eastAsia="zh-CN"/>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E545C5E">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偏离说明</w:t>
            </w:r>
          </w:p>
        </w:tc>
      </w:tr>
      <w:tr w14:paraId="1E23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174A7B6">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923D43C">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2E3FF1D">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6A931B3">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98233B2">
            <w:pPr>
              <w:rPr>
                <w:rFonts w:hint="eastAsia" w:ascii="宋体" w:hAnsi="宋体" w:eastAsia="宋体" w:cs="Times New Roman"/>
                <w:color w:val="auto"/>
                <w:szCs w:val="21"/>
                <w:highlight w:val="none"/>
              </w:rPr>
            </w:pPr>
          </w:p>
        </w:tc>
      </w:tr>
      <w:tr w14:paraId="08E0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2004AFB">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4D5347F">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BA7CAE8">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68994B6">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7CAAF84">
            <w:pPr>
              <w:rPr>
                <w:rFonts w:hint="eastAsia" w:ascii="宋体" w:hAnsi="宋体" w:eastAsia="宋体" w:cs="Times New Roman"/>
                <w:color w:val="auto"/>
                <w:szCs w:val="21"/>
                <w:highlight w:val="none"/>
              </w:rPr>
            </w:pPr>
          </w:p>
        </w:tc>
      </w:tr>
      <w:tr w14:paraId="6D45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5C8A5379">
            <w:pP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1B88D0DA">
            <w:pPr>
              <w:rPr>
                <w:rFonts w:hint="eastAsia" w:ascii="宋体" w:hAnsi="宋体" w:eastAsia="宋体" w:cs="Times New Roman"/>
                <w:color w:val="auto"/>
                <w:szCs w:val="21"/>
                <w:highlight w:val="none"/>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65E2C54C">
            <w:pPr>
              <w:rPr>
                <w:rFonts w:hint="eastAsia" w:ascii="宋体" w:hAnsi="宋体" w:eastAsia="宋体" w:cs="Times New Roman"/>
                <w:color w:val="auto"/>
                <w:szCs w:val="21"/>
                <w:highlight w:val="none"/>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63C706BE">
            <w:pPr>
              <w:rPr>
                <w:rFonts w:hint="eastAsia" w:ascii="宋体" w:hAnsi="宋体" w:eastAsia="宋体" w:cs="Times New Roman"/>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5C689A0">
            <w:pPr>
              <w:rPr>
                <w:rFonts w:hint="eastAsia" w:ascii="宋体" w:hAnsi="宋体" w:eastAsia="宋体" w:cs="Times New Roman"/>
                <w:color w:val="auto"/>
                <w:szCs w:val="21"/>
                <w:highlight w:val="none"/>
              </w:rPr>
            </w:pPr>
          </w:p>
        </w:tc>
      </w:tr>
    </w:tbl>
    <w:p w14:paraId="103ADA6F">
      <w:pPr>
        <w:pStyle w:val="15"/>
        <w:spacing w:line="360" w:lineRule="auto"/>
        <w:ind w:firstLine="0" w:firstLineChars="0"/>
        <w:rPr>
          <w:rFonts w:hint="eastAsia" w:hAnsi="宋体" w:cs="宋体"/>
          <w:color w:val="auto"/>
          <w:szCs w:val="21"/>
          <w:highlight w:val="none"/>
        </w:rPr>
      </w:pPr>
    </w:p>
    <w:p w14:paraId="086067F1">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注：</w:t>
      </w:r>
    </w:p>
    <w:p w14:paraId="391B5BA1">
      <w:pPr>
        <w:pStyle w:val="1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1.表格内容均需按要求填写并</w:t>
      </w:r>
      <w:r>
        <w:rPr>
          <w:rFonts w:hint="eastAsia" w:hAnsi="宋体" w:cs="宋体"/>
          <w:color w:val="auto"/>
          <w:szCs w:val="21"/>
          <w:highlight w:val="none"/>
          <w:lang w:eastAsia="zh-CN"/>
        </w:rPr>
        <w:t>加</w:t>
      </w:r>
      <w:r>
        <w:rPr>
          <w:rFonts w:hint="eastAsia" w:hAnsi="宋体" w:cs="宋体"/>
          <w:color w:val="auto"/>
          <w:szCs w:val="21"/>
          <w:highlight w:val="none"/>
        </w:rPr>
        <w:t>盖</w:t>
      </w:r>
      <w:r>
        <w:rPr>
          <w:rFonts w:hint="eastAsia" w:hAnsi="宋体" w:cs="宋体"/>
          <w:color w:val="auto"/>
          <w:szCs w:val="21"/>
          <w:highlight w:val="none"/>
          <w:lang w:eastAsia="zh-CN"/>
        </w:rPr>
        <w:t>投标人公</w:t>
      </w:r>
      <w:r>
        <w:rPr>
          <w:rFonts w:hint="eastAsia" w:hAnsi="宋体" w:cs="宋体"/>
          <w:color w:val="auto"/>
          <w:szCs w:val="21"/>
          <w:highlight w:val="none"/>
        </w:rPr>
        <w:t>章。</w:t>
      </w:r>
    </w:p>
    <w:p w14:paraId="043A004A">
      <w:pPr>
        <w:pStyle w:val="15"/>
        <w:spacing w:line="360" w:lineRule="auto"/>
        <w:ind w:firstLine="420" w:firstLineChars="200"/>
        <w:rPr>
          <w:rFonts w:hint="eastAsia" w:ascii="宋体" w:hAnsi="宋体" w:eastAsia="宋体" w:cs="宋体"/>
          <w:bCs w:val="0"/>
          <w:color w:val="auto"/>
          <w:szCs w:val="21"/>
          <w:highlight w:val="none"/>
        </w:rPr>
      </w:pPr>
      <w:r>
        <w:rPr>
          <w:rFonts w:hint="eastAsia" w:hAnsi="宋体" w:cs="宋体"/>
          <w:bCs/>
          <w:color w:val="auto"/>
          <w:szCs w:val="21"/>
          <w:highlight w:val="none"/>
        </w:rPr>
        <w:t>2.</w:t>
      </w:r>
      <w:r>
        <w:rPr>
          <w:rFonts w:hint="eastAsia" w:ascii="宋体" w:hAnsi="宋体" w:eastAsia="宋体" w:cs="宋体"/>
          <w:color w:val="auto"/>
          <w:sz w:val="21"/>
          <w:szCs w:val="21"/>
          <w:highlight w:val="none"/>
        </w:rPr>
        <w:t>请根据所投</w:t>
      </w:r>
      <w:r>
        <w:rPr>
          <w:rFonts w:hint="eastAsia" w:hAnsi="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本项目招标文件“第二章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eastAsia="zh-CN"/>
        </w:rPr>
        <w:t>服务要求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w:t>
      </w:r>
      <w:r>
        <w:rPr>
          <w:rFonts w:hint="eastAsia" w:hAnsi="宋体" w:cs="宋体"/>
          <w:color w:val="auto"/>
          <w:sz w:val="21"/>
          <w:szCs w:val="21"/>
          <w:highlight w:val="none"/>
          <w:lang w:val="en-US" w:eastAsia="zh-CN"/>
        </w:rPr>
        <w:t>服务内容作出明确响应，并作出偏离说明</w:t>
      </w:r>
      <w:r>
        <w:rPr>
          <w:rFonts w:hint="eastAsia" w:ascii="宋体" w:hAnsi="宋体" w:eastAsia="宋体" w:cs="宋体"/>
          <w:color w:val="auto"/>
          <w:sz w:val="21"/>
          <w:szCs w:val="21"/>
          <w:highlight w:val="none"/>
        </w:rPr>
        <w:t>。“偏离说明”一栏应当选择“正偏离”</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“负偏离”或“无偏离”进行填写。</w:t>
      </w:r>
    </w:p>
    <w:p w14:paraId="0389BF5A">
      <w:pPr>
        <w:pStyle w:val="15"/>
        <w:spacing w:line="360" w:lineRule="auto"/>
        <w:ind w:firstLine="420" w:firstLineChars="200"/>
        <w:rPr>
          <w:rFonts w:hint="eastAsia" w:hAnsi="宋体" w:cs="宋体"/>
          <w:color w:val="auto"/>
          <w:szCs w:val="21"/>
          <w:highlight w:val="none"/>
        </w:rPr>
      </w:pPr>
      <w:r>
        <w:rPr>
          <w:rFonts w:hint="eastAsia" w:hAnsi="宋体" w:cs="宋体"/>
          <w:bCs/>
          <w:color w:val="auto"/>
          <w:szCs w:val="21"/>
          <w:highlight w:val="none"/>
          <w:lang w:val="en-US" w:eastAsia="zh-CN"/>
        </w:rPr>
        <w:t>3.</w:t>
      </w:r>
      <w:r>
        <w:rPr>
          <w:rFonts w:hint="eastAsia" w:hAnsi="宋体" w:cs="宋体"/>
          <w:bCs/>
          <w:color w:val="auto"/>
          <w:szCs w:val="21"/>
          <w:highlight w:val="none"/>
        </w:rPr>
        <w:t>当投标文件的</w:t>
      </w:r>
      <w:r>
        <w:rPr>
          <w:rFonts w:hint="eastAsia" w:hAnsi="宋体" w:cs="宋体"/>
          <w:bCs/>
          <w:color w:val="auto"/>
          <w:szCs w:val="21"/>
          <w:highlight w:val="none"/>
          <w:lang w:eastAsia="zh-CN"/>
        </w:rPr>
        <w:t>服务</w:t>
      </w:r>
      <w:r>
        <w:rPr>
          <w:rFonts w:hint="eastAsia" w:hAnsi="宋体" w:cs="宋体"/>
          <w:bCs/>
          <w:color w:val="auto"/>
          <w:szCs w:val="21"/>
          <w:highlight w:val="none"/>
        </w:rPr>
        <w:t>内容低于招标文件要求时，投标人应当如实写明“负偏离”。</w:t>
      </w:r>
    </w:p>
    <w:p w14:paraId="7F7211CA">
      <w:pPr>
        <w:pStyle w:val="9"/>
        <w:rPr>
          <w:rFonts w:hint="eastAsia" w:hAnsi="宋体" w:eastAsia="宋体" w:cs="宋体"/>
          <w:color w:val="auto"/>
          <w:szCs w:val="21"/>
          <w:highlight w:val="none"/>
        </w:rPr>
      </w:pPr>
    </w:p>
    <w:p w14:paraId="2154AAD5">
      <w:pPr>
        <w:rPr>
          <w:rFonts w:hint="eastAsia" w:hAnsi="宋体" w:eastAsia="宋体" w:cs="宋体"/>
          <w:color w:val="auto"/>
          <w:szCs w:val="21"/>
          <w:highlight w:val="none"/>
        </w:rPr>
      </w:pPr>
    </w:p>
    <w:p w14:paraId="5D5DC202">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576C6F2A">
      <w:pPr>
        <w:snapToGrid w:val="0"/>
        <w:spacing w:line="360" w:lineRule="auto"/>
        <w:ind w:firstLine="5640" w:firstLineChars="23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0487B512">
      <w:pPr>
        <w:snapToGrid w:val="0"/>
        <w:spacing w:line="360" w:lineRule="auto"/>
        <w:ind w:firstLine="5640" w:firstLineChars="23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5BC75A8">
      <w:pPr>
        <w:widowControl/>
        <w:jc w:val="left"/>
        <w:rPr>
          <w:rFonts w:ascii="宋体" w:hAnsi="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54B7A9A9">
      <w:pPr>
        <w:snapToGrid w:val="0"/>
        <w:spacing w:before="165" w:beforeLines="50" w:after="50"/>
        <w:ind w:left="142"/>
        <w:jc w:val="left"/>
        <w:rPr>
          <w:rFonts w:hint="eastAsia" w:ascii="宋体" w:hAnsi="宋体" w:eastAsia="宋体" w:cs="Times New Roman"/>
          <w:b/>
          <w:color w:val="auto"/>
          <w:sz w:val="32"/>
          <w:szCs w:val="32"/>
          <w:highlight w:val="none"/>
        </w:rPr>
      </w:pP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售后服务机构情况表</w:t>
      </w:r>
      <w:r>
        <w:rPr>
          <w:rFonts w:hint="eastAsia" w:ascii="宋体" w:hAnsi="宋体" w:cs="宋体"/>
          <w:b/>
          <w:color w:val="auto"/>
          <w:sz w:val="28"/>
          <w:szCs w:val="28"/>
          <w:highlight w:val="none"/>
          <w:lang w:eastAsia="zh-CN"/>
        </w:rPr>
        <w:t>、售后服务人员情况表的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406EA859">
      <w:pPr>
        <w:snapToGrid w:val="0"/>
        <w:spacing w:before="165" w:beforeLines="50" w:after="50"/>
        <w:ind w:left="142"/>
        <w:jc w:val="center"/>
        <w:rPr>
          <w:rFonts w:hint="eastAsia" w:ascii="宋体" w:hAnsi="宋体" w:eastAsia="宋体" w:cs="Times New Roman"/>
          <w:b/>
          <w:color w:val="auto"/>
          <w:sz w:val="32"/>
          <w:szCs w:val="32"/>
          <w:highlight w:val="none"/>
        </w:rPr>
      </w:pPr>
    </w:p>
    <w:p w14:paraId="04D01AC4">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096"/>
        <w:gridCol w:w="1339"/>
        <w:gridCol w:w="1261"/>
        <w:gridCol w:w="1462"/>
        <w:gridCol w:w="1762"/>
      </w:tblGrid>
      <w:tr w14:paraId="0DA3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center"/>
          </w:tcPr>
          <w:p w14:paraId="440A7C4C">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F428DE6">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7AC3CC5A">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5E8EE4FD">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959E85A">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762" w:type="dxa"/>
            <w:tcBorders>
              <w:top w:val="single" w:color="auto" w:sz="4" w:space="0"/>
              <w:left w:val="single" w:color="auto" w:sz="4" w:space="0"/>
              <w:bottom w:val="single" w:color="auto" w:sz="4" w:space="0"/>
              <w:right w:val="single" w:color="auto" w:sz="4" w:space="0"/>
            </w:tcBorders>
            <w:noWrap w:val="0"/>
            <w:vAlign w:val="center"/>
          </w:tcPr>
          <w:p w14:paraId="2F4854DF">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08E9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70E1650">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3E8B5E32">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439265F8">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56015E5F">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2712A1F0">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6ED0DE0">
            <w:pPr>
              <w:autoSpaceDE w:val="0"/>
              <w:autoSpaceDN w:val="0"/>
              <w:spacing w:line="360" w:lineRule="auto"/>
              <w:jc w:val="center"/>
              <w:rPr>
                <w:rFonts w:hint="eastAsia" w:ascii="仿宋_GB2312" w:hAnsi="仿宋" w:eastAsia="仿宋_GB2312" w:cs="仿宋_GB2312"/>
                <w:color w:val="auto"/>
                <w:sz w:val="24"/>
                <w:highlight w:val="none"/>
              </w:rPr>
            </w:pPr>
          </w:p>
        </w:tc>
      </w:tr>
      <w:tr w14:paraId="762C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1E0E7EA">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303D1291">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5CC6C54">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69B47A97">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0BC1E65C">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04B75CC6">
            <w:pPr>
              <w:autoSpaceDE w:val="0"/>
              <w:autoSpaceDN w:val="0"/>
              <w:spacing w:line="360" w:lineRule="auto"/>
              <w:jc w:val="center"/>
              <w:rPr>
                <w:rFonts w:hint="eastAsia" w:ascii="仿宋_GB2312" w:hAnsi="仿宋" w:eastAsia="仿宋_GB2312" w:cs="仿宋_GB2312"/>
                <w:color w:val="auto"/>
                <w:sz w:val="24"/>
                <w:highlight w:val="none"/>
              </w:rPr>
            </w:pPr>
          </w:p>
        </w:tc>
      </w:tr>
      <w:tr w14:paraId="729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C5F33D9">
            <w:pPr>
              <w:autoSpaceDE w:val="0"/>
              <w:autoSpaceDN w:val="0"/>
              <w:spacing w:line="360" w:lineRule="auto"/>
              <w:jc w:val="center"/>
              <w:rPr>
                <w:rFonts w:hint="eastAsia" w:ascii="仿宋_GB2312" w:hAnsi="仿宋" w:eastAsia="仿宋_GB2312" w:cs="仿宋_GB2312"/>
                <w:color w:val="auto"/>
                <w:sz w:val="24"/>
                <w:highlight w:val="none"/>
              </w:rPr>
            </w:pPr>
          </w:p>
        </w:tc>
        <w:tc>
          <w:tcPr>
            <w:tcW w:w="2096" w:type="dxa"/>
            <w:tcBorders>
              <w:top w:val="single" w:color="auto" w:sz="4" w:space="0"/>
              <w:left w:val="single" w:color="auto" w:sz="4" w:space="0"/>
              <w:bottom w:val="single" w:color="auto" w:sz="4" w:space="0"/>
              <w:right w:val="single" w:color="auto" w:sz="4" w:space="0"/>
            </w:tcBorders>
            <w:noWrap w:val="0"/>
            <w:vAlign w:val="top"/>
          </w:tcPr>
          <w:p w14:paraId="20516598">
            <w:pPr>
              <w:autoSpaceDE w:val="0"/>
              <w:autoSpaceDN w:val="0"/>
              <w:spacing w:line="360" w:lineRule="auto"/>
              <w:jc w:val="center"/>
              <w:rPr>
                <w:rFonts w:hint="eastAsia" w:ascii="仿宋_GB2312" w:hAnsi="仿宋" w:eastAsia="仿宋_GB2312" w:cs="仿宋_GB2312"/>
                <w:color w:val="auto"/>
                <w:sz w:val="24"/>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top"/>
          </w:tcPr>
          <w:p w14:paraId="798DC31E">
            <w:pPr>
              <w:autoSpaceDE w:val="0"/>
              <w:autoSpaceDN w:val="0"/>
              <w:spacing w:line="360" w:lineRule="auto"/>
              <w:jc w:val="center"/>
              <w:rPr>
                <w:rFonts w:hint="eastAsia" w:ascii="仿宋_GB2312" w:hAnsi="仿宋" w:eastAsia="仿宋_GB2312" w:cs="仿宋_GB2312"/>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B5B1EA1">
            <w:pPr>
              <w:autoSpaceDE w:val="0"/>
              <w:autoSpaceDN w:val="0"/>
              <w:spacing w:line="360" w:lineRule="auto"/>
              <w:jc w:val="center"/>
              <w:rPr>
                <w:rFonts w:hint="eastAsia" w:ascii="仿宋_GB2312" w:hAnsi="仿宋" w:eastAsia="仿宋_GB2312" w:cs="仿宋_GB2312"/>
                <w:color w:val="auto"/>
                <w:sz w:val="24"/>
                <w:highlight w:val="none"/>
              </w:rPr>
            </w:pPr>
          </w:p>
        </w:tc>
        <w:tc>
          <w:tcPr>
            <w:tcW w:w="1462" w:type="dxa"/>
            <w:tcBorders>
              <w:top w:val="single" w:color="auto" w:sz="4" w:space="0"/>
              <w:left w:val="single" w:color="auto" w:sz="4" w:space="0"/>
              <w:bottom w:val="single" w:color="auto" w:sz="4" w:space="0"/>
              <w:right w:val="single" w:color="auto" w:sz="4" w:space="0"/>
            </w:tcBorders>
            <w:noWrap w:val="0"/>
            <w:vAlign w:val="top"/>
          </w:tcPr>
          <w:p w14:paraId="57B07DE2">
            <w:pPr>
              <w:autoSpaceDE w:val="0"/>
              <w:autoSpaceDN w:val="0"/>
              <w:spacing w:line="360" w:lineRule="auto"/>
              <w:jc w:val="center"/>
              <w:rPr>
                <w:rFonts w:hint="eastAsia" w:ascii="仿宋_GB2312" w:hAnsi="仿宋" w:eastAsia="仿宋_GB2312" w:cs="仿宋_GB2312"/>
                <w:color w:val="auto"/>
                <w:sz w:val="24"/>
                <w:highlight w:val="none"/>
              </w:rPr>
            </w:pPr>
          </w:p>
        </w:tc>
        <w:tc>
          <w:tcPr>
            <w:tcW w:w="1762" w:type="dxa"/>
            <w:tcBorders>
              <w:top w:val="single" w:color="auto" w:sz="4" w:space="0"/>
              <w:left w:val="single" w:color="auto" w:sz="4" w:space="0"/>
              <w:bottom w:val="single" w:color="auto" w:sz="4" w:space="0"/>
              <w:right w:val="single" w:color="auto" w:sz="4" w:space="0"/>
            </w:tcBorders>
            <w:noWrap w:val="0"/>
            <w:vAlign w:val="top"/>
          </w:tcPr>
          <w:p w14:paraId="640F60BC">
            <w:pPr>
              <w:autoSpaceDE w:val="0"/>
              <w:autoSpaceDN w:val="0"/>
              <w:spacing w:line="360" w:lineRule="auto"/>
              <w:jc w:val="center"/>
              <w:rPr>
                <w:rFonts w:hint="eastAsia" w:ascii="仿宋_GB2312" w:hAnsi="仿宋" w:eastAsia="仿宋_GB2312" w:cs="仿宋_GB2312"/>
                <w:color w:val="auto"/>
                <w:sz w:val="24"/>
                <w:highlight w:val="none"/>
              </w:rPr>
            </w:pPr>
          </w:p>
        </w:tc>
      </w:tr>
    </w:tbl>
    <w:p w14:paraId="30C89BDC">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注：关于项目涉及的所有售后服务机构均在本表注明，包括投标人本单位和符合条件的第三方服务机构；</w:t>
      </w:r>
    </w:p>
    <w:p w14:paraId="5A711155">
      <w:pPr>
        <w:autoSpaceDE w:val="0"/>
        <w:autoSpaceDN w:val="0"/>
        <w:spacing w:line="360" w:lineRule="auto"/>
        <w:rPr>
          <w:rFonts w:hint="eastAsia" w:ascii="仿宋_GB2312" w:hAnsi="仿宋" w:eastAsia="仿宋_GB2312" w:cs="仿宋_GB2312"/>
          <w:color w:val="auto"/>
          <w:kern w:val="0"/>
          <w:sz w:val="24"/>
          <w:highlight w:val="none"/>
        </w:rPr>
      </w:pPr>
    </w:p>
    <w:p w14:paraId="18094385">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（如有要求</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5246BEF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0278857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50266C5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74720F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510D036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8FC119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124937E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E0BA68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66750AE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4A9EDD9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1CF776A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62B1FD5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290597D1">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283F97C">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036F8F1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424DC0EF">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225BF4C">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1E6B394">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56160A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97144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31CFF20">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73073CD5">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3881919">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7C83D6B">
            <w:pPr>
              <w:autoSpaceDE w:val="0"/>
              <w:autoSpaceDN w:val="0"/>
              <w:spacing w:line="360" w:lineRule="auto"/>
              <w:rPr>
                <w:rFonts w:hint="eastAsia" w:ascii="仿宋_GB2312" w:hAnsi="仿宋" w:eastAsia="仿宋_GB2312" w:cs="仿宋_GB2312"/>
                <w:color w:val="auto"/>
                <w:sz w:val="24"/>
                <w:highlight w:val="none"/>
              </w:rPr>
            </w:pPr>
          </w:p>
        </w:tc>
      </w:tr>
      <w:tr w14:paraId="5189B48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E26FB30">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689E800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3F4F74E8">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333C3D9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7FF15F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0431DA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74CE3E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61EBCC6">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FD7F5E1">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F05DD6D">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56263164">
            <w:pPr>
              <w:autoSpaceDE w:val="0"/>
              <w:autoSpaceDN w:val="0"/>
              <w:spacing w:line="360" w:lineRule="auto"/>
              <w:rPr>
                <w:rFonts w:hint="eastAsia" w:ascii="仿宋_GB2312" w:hAnsi="仿宋" w:eastAsia="仿宋_GB2312" w:cs="仿宋_GB2312"/>
                <w:color w:val="auto"/>
                <w:sz w:val="24"/>
                <w:highlight w:val="none"/>
              </w:rPr>
            </w:pPr>
          </w:p>
        </w:tc>
      </w:tr>
      <w:tr w14:paraId="4979BB7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1BFC674">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0A20B53B">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02B643D">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F06AF8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79AD20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47B226">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AC5FC5E">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3A0DDF4">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6C7E027">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F35829B">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EB47ED6">
            <w:pPr>
              <w:autoSpaceDE w:val="0"/>
              <w:autoSpaceDN w:val="0"/>
              <w:spacing w:line="360" w:lineRule="auto"/>
              <w:rPr>
                <w:rFonts w:hint="eastAsia" w:ascii="仿宋_GB2312" w:hAnsi="仿宋" w:eastAsia="仿宋_GB2312" w:cs="仿宋_GB2312"/>
                <w:color w:val="auto"/>
                <w:sz w:val="24"/>
                <w:highlight w:val="none"/>
              </w:rPr>
            </w:pPr>
          </w:p>
        </w:tc>
      </w:tr>
      <w:tr w14:paraId="6A48D77F">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3E05618">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684D9555">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0A7273D8">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59DEFF8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7CB654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035D89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0C141BA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620C7B8">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23E9B09">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39A2CBD9">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5606B69">
            <w:pPr>
              <w:autoSpaceDE w:val="0"/>
              <w:autoSpaceDN w:val="0"/>
              <w:spacing w:line="360" w:lineRule="auto"/>
              <w:rPr>
                <w:rFonts w:hint="eastAsia" w:ascii="仿宋_GB2312" w:hAnsi="仿宋" w:eastAsia="仿宋_GB2312" w:cs="仿宋_GB2312"/>
                <w:color w:val="auto"/>
                <w:sz w:val="24"/>
                <w:highlight w:val="none"/>
              </w:rPr>
            </w:pPr>
          </w:p>
        </w:tc>
      </w:tr>
    </w:tbl>
    <w:p w14:paraId="76F77B19">
      <w:pPr>
        <w:snapToGrid w:val="0"/>
        <w:spacing w:before="165" w:beforeLines="50" w:after="50"/>
        <w:ind w:left="142"/>
        <w:jc w:val="center"/>
        <w:rPr>
          <w:rFonts w:hint="eastAsia" w:ascii="宋体" w:hAnsi="宋体" w:eastAsia="宋体" w:cs="Times New Roman"/>
          <w:b/>
          <w:color w:val="auto"/>
          <w:sz w:val="32"/>
          <w:szCs w:val="32"/>
          <w:highlight w:val="none"/>
        </w:rPr>
      </w:pPr>
    </w:p>
    <w:p w14:paraId="20061EF2">
      <w:pPr>
        <w:snapToGrid w:val="0"/>
        <w:spacing w:before="165" w:beforeLines="50" w:line="360" w:lineRule="auto"/>
        <w:ind w:right="480" w:firstLine="3967" w:firstLineChars="1653"/>
        <w:rPr>
          <w:rFonts w:hint="eastAsia" w:ascii="宋体" w:hAnsi="宋体" w:eastAsia="宋体" w:cs="Times New Roman"/>
          <w:color w:val="auto"/>
          <w:sz w:val="24"/>
          <w:highlight w:val="none"/>
        </w:rPr>
      </w:pPr>
    </w:p>
    <w:p w14:paraId="7C0C387C">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1D2C49AA">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42EF8FC">
      <w:pPr>
        <w:widowControl/>
        <w:spacing w:line="360" w:lineRule="auto"/>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2A2ED54D">
      <w:pPr>
        <w:pStyle w:val="20"/>
        <w:snapToGrid w:val="0"/>
        <w:ind w:left="480" w:hanging="480"/>
        <w:rPr>
          <w:rFonts w:hint="eastAsia" w:ascii="宋体" w:hAnsi="宋体" w:eastAsia="宋体" w:cs="宋体"/>
          <w:i/>
          <w:iCs/>
          <w:color w:val="auto"/>
          <w:sz w:val="24"/>
          <w:highlight w:val="none"/>
        </w:rPr>
      </w:pP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项目实施人员一览表</w:t>
      </w:r>
      <w:r>
        <w:rPr>
          <w:rFonts w:hint="eastAsia" w:ascii="宋体" w:hAnsi="宋体" w:cs="宋体"/>
          <w:b/>
          <w:color w:val="auto"/>
          <w:sz w:val="28"/>
          <w:szCs w:val="28"/>
          <w:highlight w:val="none"/>
          <w:lang w:eastAsia="zh-CN"/>
        </w:rPr>
        <w:t>的</w:t>
      </w:r>
      <w:r>
        <w:rPr>
          <w:rFonts w:hint="eastAsia" w:ascii="宋体" w:hAnsi="宋体" w:eastAsia="宋体" w:cs="宋体"/>
          <w:b/>
          <w:color w:val="auto"/>
          <w:sz w:val="28"/>
          <w:szCs w:val="28"/>
          <w:highlight w:val="none"/>
        </w:rPr>
        <w:t>格式</w:t>
      </w:r>
      <w:r>
        <w:rPr>
          <w:rFonts w:hint="eastAsia" w:ascii="宋体" w:hAnsi="宋体" w:cs="宋体"/>
          <w:b/>
          <w:bCs/>
          <w:color w:val="auto"/>
          <w:sz w:val="30"/>
          <w:szCs w:val="30"/>
          <w:highlight w:val="none"/>
          <w:lang w:eastAsia="zh-CN"/>
        </w:rPr>
        <w:t>：</w:t>
      </w:r>
    </w:p>
    <w:p w14:paraId="18CC612E">
      <w:pPr>
        <w:snapToGrid w:val="0"/>
        <w:spacing w:before="165" w:beforeLines="50" w:after="50"/>
        <w:ind w:left="142"/>
        <w:jc w:val="left"/>
        <w:rPr>
          <w:rFonts w:hint="eastAsia" w:ascii="宋体" w:hAnsi="宋体" w:eastAsia="宋体" w:cs="Times New Roman"/>
          <w:b/>
          <w:color w:val="auto"/>
          <w:sz w:val="32"/>
          <w:szCs w:val="32"/>
          <w:highlight w:val="none"/>
        </w:rPr>
      </w:pPr>
    </w:p>
    <w:p w14:paraId="03120E5B">
      <w:pPr>
        <w:snapToGrid w:val="0"/>
        <w:spacing w:before="165" w:beforeLines="50" w:after="50"/>
        <w:ind w:left="142"/>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项目实施人员一览表</w:t>
      </w:r>
      <w:r>
        <w:rPr>
          <w:rFonts w:hint="eastAsia" w:ascii="宋体" w:hAnsi="宋体" w:eastAsia="宋体" w:cs="Times New Roman"/>
          <w:b/>
          <w:i/>
          <w:iCs/>
          <w:color w:val="auto"/>
          <w:sz w:val="32"/>
          <w:szCs w:val="32"/>
          <w:highlight w:val="none"/>
        </w:rPr>
        <w:t>（如有要求）</w:t>
      </w:r>
    </w:p>
    <w:p w14:paraId="50FCBB3E">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5D224068">
      <w:pPr>
        <w:pStyle w:val="15"/>
        <w:rPr>
          <w:rFonts w:hint="eastAsia" w:eastAsia="宋体" w:cs="Times New Roman"/>
          <w:color w:val="auto"/>
          <w:sz w:val="24"/>
          <w:szCs w:val="24"/>
          <w:highlight w:val="none"/>
        </w:rPr>
      </w:pPr>
    </w:p>
    <w:p w14:paraId="07D86629">
      <w:pPr>
        <w:pStyle w:val="15"/>
        <w:rPr>
          <w:rFonts w:hint="eastAsia" w:eastAsia="宋体" w:cs="Times New Roman"/>
          <w:color w:val="auto"/>
          <w:sz w:val="24"/>
          <w:szCs w:val="24"/>
          <w:highlight w:val="none"/>
        </w:rPr>
      </w:pPr>
      <w:r>
        <w:rPr>
          <w:rFonts w:hint="eastAsia" w:eastAsia="宋体" w:cs="Times New Roman"/>
          <w:color w:val="auto"/>
          <w:sz w:val="24"/>
          <w:szCs w:val="24"/>
          <w:highlight w:val="none"/>
        </w:rPr>
        <w:t>所投分标（此处有分标时填写具体分标号，无分标时填写“无”）：</w:t>
      </w:r>
      <w:r>
        <w:rPr>
          <w:rFonts w:hint="eastAsia" w:eastAsia="宋体" w:cs="Times New Roman"/>
          <w:color w:val="auto"/>
          <w:sz w:val="24"/>
          <w:szCs w:val="24"/>
          <w:highlight w:val="none"/>
          <w:u w:val="single"/>
        </w:rPr>
        <w:t xml:space="preserve">   </w:t>
      </w:r>
      <w:r>
        <w:rPr>
          <w:rFonts w:hint="eastAsia" w:cs="Times New Roman"/>
          <w:color w:val="auto"/>
          <w:sz w:val="24"/>
          <w:szCs w:val="24"/>
          <w:highlight w:val="none"/>
          <w:u w:val="single"/>
          <w:lang w:val="en-US" w:eastAsia="zh-CN"/>
        </w:rPr>
        <w:t xml:space="preserve">   </w:t>
      </w:r>
      <w:r>
        <w:rPr>
          <w:rFonts w:hint="eastAsia" w:eastAsia="宋体" w:cs="Times New Roman"/>
          <w:color w:val="auto"/>
          <w:sz w:val="24"/>
          <w:szCs w:val="24"/>
          <w:highlight w:val="none"/>
          <w:u w:val="single"/>
        </w:rPr>
        <w:t xml:space="preserve">  </w:t>
      </w:r>
    </w:p>
    <w:p w14:paraId="43EA259B">
      <w:pPr>
        <w:keepNext/>
        <w:autoSpaceDE w:val="0"/>
        <w:autoSpaceDN w:val="0"/>
        <w:spacing w:line="360" w:lineRule="auto"/>
        <w:ind w:firstLine="0"/>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3"/>
        <w:tblW w:w="8755" w:type="dxa"/>
        <w:tblInd w:w="116" w:type="dxa"/>
        <w:tblLayout w:type="fixed"/>
        <w:tblCellMar>
          <w:top w:w="0" w:type="dxa"/>
          <w:left w:w="108" w:type="dxa"/>
          <w:bottom w:w="0" w:type="dxa"/>
          <w:right w:w="108" w:type="dxa"/>
        </w:tblCellMar>
      </w:tblPr>
      <w:tblGrid>
        <w:gridCol w:w="2061"/>
        <w:gridCol w:w="1287"/>
        <w:gridCol w:w="1260"/>
        <w:gridCol w:w="4147"/>
      </w:tblGrid>
      <w:tr w14:paraId="0B0852E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44C979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BF8958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69BC47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B6F9B8D">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341230E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160F8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420F4F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AF6804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3C7CE7B">
            <w:pPr>
              <w:autoSpaceDE w:val="0"/>
              <w:autoSpaceDN w:val="0"/>
              <w:spacing w:line="360" w:lineRule="auto"/>
              <w:jc w:val="center"/>
              <w:rPr>
                <w:rFonts w:hint="eastAsia" w:ascii="仿宋_GB2312" w:hAnsi="仿宋" w:eastAsia="仿宋_GB2312" w:cs="仿宋_GB2312"/>
                <w:color w:val="auto"/>
                <w:sz w:val="24"/>
                <w:highlight w:val="none"/>
              </w:rPr>
            </w:pPr>
          </w:p>
        </w:tc>
      </w:tr>
      <w:tr w14:paraId="0C3562F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0B3361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9283C32">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691C617">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AB5A6FF">
            <w:pPr>
              <w:widowControl/>
              <w:jc w:val="left"/>
              <w:rPr>
                <w:rFonts w:ascii="仿宋_GB2312" w:hAnsi="仿宋" w:eastAsia="仿宋_GB2312" w:cs="仿宋_GB2312"/>
                <w:color w:val="auto"/>
                <w:sz w:val="24"/>
                <w:highlight w:val="none"/>
              </w:rPr>
            </w:pPr>
          </w:p>
        </w:tc>
      </w:tr>
      <w:tr w14:paraId="70FD18B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646635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BF0CB7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7D394C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D114793">
            <w:pPr>
              <w:widowControl/>
              <w:jc w:val="left"/>
              <w:rPr>
                <w:rFonts w:ascii="仿宋_GB2312" w:hAnsi="仿宋" w:eastAsia="仿宋_GB2312" w:cs="仿宋_GB2312"/>
                <w:color w:val="auto"/>
                <w:sz w:val="24"/>
                <w:highlight w:val="none"/>
              </w:rPr>
            </w:pPr>
          </w:p>
        </w:tc>
      </w:tr>
      <w:tr w14:paraId="392FA72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EEFF07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2EFFFE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494CFE8">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3050C06">
            <w:pPr>
              <w:widowControl/>
              <w:jc w:val="left"/>
              <w:rPr>
                <w:rFonts w:ascii="仿宋_GB2312" w:hAnsi="仿宋" w:eastAsia="仿宋_GB2312" w:cs="仿宋_GB2312"/>
                <w:color w:val="auto"/>
                <w:sz w:val="24"/>
                <w:highlight w:val="none"/>
              </w:rPr>
            </w:pPr>
          </w:p>
        </w:tc>
      </w:tr>
      <w:tr w14:paraId="5D1B614D">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E89D01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B940668">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22C5FAD7">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6EE29B5">
            <w:pPr>
              <w:widowControl/>
              <w:jc w:val="left"/>
              <w:rPr>
                <w:rFonts w:ascii="仿宋_GB2312" w:hAnsi="仿宋" w:eastAsia="仿宋_GB2312" w:cs="仿宋_GB2312"/>
                <w:color w:val="auto"/>
                <w:sz w:val="24"/>
                <w:highlight w:val="none"/>
              </w:rPr>
            </w:pPr>
          </w:p>
        </w:tc>
      </w:tr>
      <w:tr w14:paraId="167F3009">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EAC69A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41AC47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094CB0C">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4095D6C">
            <w:pPr>
              <w:widowControl/>
              <w:jc w:val="left"/>
              <w:rPr>
                <w:rFonts w:ascii="仿宋_GB2312" w:hAnsi="仿宋" w:eastAsia="仿宋_GB2312" w:cs="仿宋_GB2312"/>
                <w:color w:val="auto"/>
                <w:sz w:val="24"/>
                <w:highlight w:val="none"/>
              </w:rPr>
            </w:pPr>
          </w:p>
        </w:tc>
      </w:tr>
      <w:tr w14:paraId="006C1C1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162EAF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2FFFB5">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13A5D276">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4D831615">
            <w:pPr>
              <w:widowControl/>
              <w:jc w:val="left"/>
              <w:rPr>
                <w:rFonts w:ascii="仿宋_GB2312" w:hAnsi="仿宋" w:eastAsia="仿宋_GB2312" w:cs="仿宋_GB2312"/>
                <w:color w:val="auto"/>
                <w:sz w:val="24"/>
                <w:highlight w:val="none"/>
              </w:rPr>
            </w:pPr>
          </w:p>
        </w:tc>
      </w:tr>
      <w:tr w14:paraId="079A0D9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217358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8D6547E">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6F24427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01269E6">
            <w:pPr>
              <w:widowControl/>
              <w:jc w:val="left"/>
              <w:rPr>
                <w:rFonts w:ascii="仿宋_GB2312" w:hAnsi="仿宋" w:eastAsia="仿宋_GB2312" w:cs="仿宋_GB2312"/>
                <w:color w:val="auto"/>
                <w:sz w:val="24"/>
                <w:highlight w:val="none"/>
              </w:rPr>
            </w:pPr>
          </w:p>
        </w:tc>
      </w:tr>
      <w:tr w14:paraId="6321FF87">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2961EA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49EBBA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088672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FF19760">
            <w:pPr>
              <w:widowControl/>
              <w:jc w:val="left"/>
              <w:rPr>
                <w:rFonts w:ascii="仿宋_GB2312" w:hAnsi="仿宋" w:eastAsia="仿宋_GB2312" w:cs="仿宋_GB2312"/>
                <w:color w:val="auto"/>
                <w:sz w:val="24"/>
                <w:highlight w:val="none"/>
              </w:rPr>
            </w:pPr>
          </w:p>
        </w:tc>
      </w:tr>
    </w:tbl>
    <w:p w14:paraId="196B27D9">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14:paraId="48114125">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w:t>
      </w:r>
      <w:r>
        <w:rPr>
          <w:rFonts w:hint="eastAsia" w:ascii="仿宋_GB2312" w:hAnsi="仿宋" w:eastAsia="仿宋_GB2312" w:cs="仿宋_GB2312"/>
          <w:color w:val="auto"/>
          <w:sz w:val="24"/>
          <w:highlight w:val="none"/>
          <w:lang w:eastAsia="zh-CN"/>
        </w:rPr>
        <w:t>参照</w:t>
      </w:r>
      <w:r>
        <w:rPr>
          <w:rFonts w:hint="eastAsia" w:ascii="仿宋_GB2312" w:hAnsi="仿宋" w:eastAsia="仿宋_GB2312" w:cs="仿宋_GB2312"/>
          <w:color w:val="auto"/>
          <w:sz w:val="24"/>
          <w:highlight w:val="none"/>
        </w:rPr>
        <w:t>此格式自制）</w:t>
      </w:r>
    </w:p>
    <w:tbl>
      <w:tblPr>
        <w:tblStyle w:val="23"/>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59D04C5">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2BA4364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21382F4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34ADBF5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728E3C8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7BC173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159B9AD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48DB7D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78ECEC0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68659B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73F649C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B24003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50FE9BE6">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673D14C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2372F541">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70ED3B5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EB634E4">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47B2E43">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7608DBE">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0A7D69C5">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672564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45523D">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B51E16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A2B5C5F">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CD814B5">
            <w:pPr>
              <w:autoSpaceDE w:val="0"/>
              <w:autoSpaceDN w:val="0"/>
              <w:spacing w:line="360" w:lineRule="auto"/>
              <w:rPr>
                <w:rFonts w:hint="eastAsia" w:ascii="仿宋_GB2312" w:hAnsi="仿宋" w:eastAsia="仿宋_GB2312" w:cs="仿宋_GB2312"/>
                <w:color w:val="auto"/>
                <w:sz w:val="24"/>
                <w:highlight w:val="none"/>
              </w:rPr>
            </w:pPr>
          </w:p>
        </w:tc>
      </w:tr>
      <w:tr w14:paraId="0CD45201">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F1634FE">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B286C2A">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2ABA4DB">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2E11DEB">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3C5613F7">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8F1ED41">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6D3BEB">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8109EFB">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AFDD960">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32254669">
            <w:pPr>
              <w:autoSpaceDE w:val="0"/>
              <w:autoSpaceDN w:val="0"/>
              <w:spacing w:line="360" w:lineRule="auto"/>
              <w:rPr>
                <w:rFonts w:hint="eastAsia" w:ascii="仿宋_GB2312" w:hAnsi="仿宋" w:eastAsia="仿宋_GB2312" w:cs="仿宋_GB2312"/>
                <w:color w:val="auto"/>
                <w:sz w:val="24"/>
                <w:highlight w:val="none"/>
              </w:rPr>
            </w:pPr>
          </w:p>
        </w:tc>
      </w:tr>
    </w:tbl>
    <w:p w14:paraId="29BC459B">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w:t>
      </w:r>
      <w:r>
        <w:rPr>
          <w:rFonts w:hint="eastAsia" w:ascii="仿宋_GB2312" w:hAnsi="仿宋" w:eastAsia="仿宋_GB2312" w:cs="仿宋_GB2312"/>
          <w:b/>
          <w:color w:val="auto"/>
          <w:sz w:val="24"/>
          <w:highlight w:val="none"/>
          <w:lang w:eastAsia="zh-CN"/>
        </w:rPr>
        <w:t>参照</w:t>
      </w:r>
      <w:r>
        <w:rPr>
          <w:rFonts w:hint="eastAsia" w:ascii="仿宋_GB2312" w:hAnsi="仿宋" w:eastAsia="仿宋_GB2312" w:cs="仿宋_GB2312"/>
          <w:b/>
          <w:color w:val="auto"/>
          <w:sz w:val="24"/>
          <w:highlight w:val="none"/>
        </w:rPr>
        <w:t>上述的格式自行编制，并注明所在投标技术文件页码。</w:t>
      </w:r>
    </w:p>
    <w:p w14:paraId="6E4B0094">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0E783129">
      <w:pPr>
        <w:snapToGrid w:val="0"/>
        <w:spacing w:line="360" w:lineRule="auto"/>
        <w:ind w:firstLine="4320" w:firstLineChars="1800"/>
        <w:rPr>
          <w:rFonts w:hint="eastAsia" w:ascii="仿宋_GB2312" w:hAnsi="仿宋" w:eastAsia="仿宋_GB2312" w:cs="仿宋_GB2312"/>
          <w:color w:val="auto"/>
          <w:kern w:val="0"/>
          <w:sz w:val="24"/>
          <w:highlight w:val="none"/>
          <w:lang w:val="zh-CN"/>
        </w:rPr>
      </w:pPr>
    </w:p>
    <w:p w14:paraId="45C22F68">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8E9BB5B">
      <w:pPr>
        <w:autoSpaceDE w:val="0"/>
        <w:autoSpaceDN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5541DC8">
      <w:pPr>
        <w:snapToGrid w:val="0"/>
        <w:spacing w:before="50" w:after="50"/>
        <w:rPr>
          <w:rFonts w:hint="eastAsia" w:ascii="宋体" w:hAnsi="宋体" w:eastAsia="宋体" w:cs="Times New Roman"/>
          <w:color w:val="auto"/>
          <w:sz w:val="24"/>
          <w:highlight w:val="none"/>
        </w:rPr>
      </w:pPr>
    </w:p>
    <w:p w14:paraId="24AA752A">
      <w:pPr>
        <w:pStyle w:val="15"/>
        <w:jc w:val="center"/>
        <w:outlineLvl w:val="1"/>
        <w:rPr>
          <w:rFonts w:hint="eastAsia" w:hAnsi="宋体" w:eastAsia="宋体" w:cs="Times New Roman"/>
          <w:b/>
          <w:bCs/>
          <w:color w:val="auto"/>
          <w:sz w:val="28"/>
          <w:szCs w:val="28"/>
          <w:highlight w:val="none"/>
        </w:rPr>
      </w:pPr>
      <w:bookmarkStart w:id="388" w:name="_Toc22926"/>
      <w:bookmarkStart w:id="389" w:name="_Toc12868"/>
      <w:bookmarkStart w:id="390" w:name="_Toc17719"/>
      <w:bookmarkStart w:id="391" w:name="_Toc30951"/>
      <w:bookmarkStart w:id="392" w:name="_Toc12675"/>
      <w:bookmarkStart w:id="393" w:name="_Toc28617"/>
      <w:bookmarkStart w:id="394" w:name="_Toc3481"/>
      <w:bookmarkStart w:id="395" w:name="_Toc1343"/>
      <w:bookmarkStart w:id="396" w:name="_Toc31920"/>
      <w:bookmarkStart w:id="397" w:name="_Toc9015"/>
      <w:r>
        <w:rPr>
          <w:rFonts w:hint="eastAsia" w:hAnsi="宋体" w:eastAsia="宋体" w:cs="Times New Roman"/>
          <w:b/>
          <w:bCs/>
          <w:color w:val="auto"/>
          <w:sz w:val="28"/>
          <w:szCs w:val="28"/>
          <w:highlight w:val="none"/>
        </w:rPr>
        <w:t>第</w:t>
      </w:r>
      <w:r>
        <w:rPr>
          <w:rFonts w:hint="eastAsia" w:hAnsi="宋体" w:cs="Times New Roman"/>
          <w:b/>
          <w:bCs/>
          <w:color w:val="auto"/>
          <w:sz w:val="28"/>
          <w:szCs w:val="28"/>
          <w:highlight w:val="none"/>
          <w:lang w:eastAsia="zh-CN"/>
        </w:rPr>
        <w:t>四</w:t>
      </w:r>
      <w:r>
        <w:rPr>
          <w:rFonts w:hint="eastAsia" w:hAnsi="宋体" w:eastAsia="宋体" w:cs="Times New Roman"/>
          <w:b/>
          <w:bCs/>
          <w:color w:val="auto"/>
          <w:sz w:val="28"/>
          <w:szCs w:val="28"/>
          <w:highlight w:val="none"/>
        </w:rPr>
        <w:t>节 报价文件格式</w:t>
      </w:r>
      <w:bookmarkEnd w:id="388"/>
      <w:bookmarkEnd w:id="389"/>
      <w:bookmarkEnd w:id="390"/>
      <w:bookmarkEnd w:id="391"/>
      <w:bookmarkEnd w:id="392"/>
      <w:bookmarkEnd w:id="393"/>
      <w:bookmarkEnd w:id="394"/>
      <w:bookmarkEnd w:id="395"/>
      <w:bookmarkEnd w:id="396"/>
      <w:bookmarkEnd w:id="397"/>
    </w:p>
    <w:p w14:paraId="4FB9E2EA">
      <w:pPr>
        <w:snapToGrid w:val="0"/>
        <w:spacing w:before="165" w:beforeLines="50" w:after="50" w:line="40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报价文件</w:t>
      </w:r>
      <w:r>
        <w:rPr>
          <w:rFonts w:hint="eastAsia" w:ascii="宋体" w:hAnsi="宋体" w:cs="宋体"/>
          <w:b/>
          <w:bCs/>
          <w:color w:val="auto"/>
          <w:sz w:val="28"/>
          <w:szCs w:val="28"/>
          <w:highlight w:val="none"/>
          <w:lang w:eastAsia="zh-CN"/>
        </w:rPr>
        <w:t>封面的格式（参照此格式自拟）：</w:t>
      </w:r>
      <w:r>
        <w:rPr>
          <w:rFonts w:hint="eastAsia" w:ascii="宋体" w:hAnsi="宋体" w:eastAsia="宋体" w:cs="Times New Roman"/>
          <w:color w:val="auto"/>
          <w:sz w:val="24"/>
          <w:highlight w:val="none"/>
        </w:rPr>
        <w:t xml:space="preserve">                                </w:t>
      </w:r>
    </w:p>
    <w:p w14:paraId="22C151AA">
      <w:pPr>
        <w:snapToGrid w:val="0"/>
        <w:spacing w:before="165" w:beforeLines="50" w:after="50" w:line="400" w:lineRule="exact"/>
        <w:rPr>
          <w:rFonts w:hint="eastAsia" w:ascii="宋体" w:hAnsi="宋体" w:eastAsia="宋体" w:cs="Times New Roman"/>
          <w:color w:val="auto"/>
          <w:sz w:val="24"/>
          <w:highlight w:val="none"/>
        </w:rPr>
      </w:pPr>
    </w:p>
    <w:p w14:paraId="52A26D75">
      <w:pPr>
        <w:snapToGrid w:val="0"/>
        <w:spacing w:before="165" w:beforeLines="50" w:after="50" w:line="400" w:lineRule="exact"/>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highlight w:val="none"/>
        </w:rPr>
        <w:t xml:space="preserve">                        </w:t>
      </w:r>
      <w:r>
        <w:rPr>
          <w:rFonts w:hint="eastAsia" w:ascii="宋体" w:hAnsi="宋体" w:cs="Times New Roman"/>
          <w:color w:val="auto"/>
          <w:sz w:val="24"/>
          <w:highlight w:val="none"/>
          <w:lang w:val="en-US" w:eastAsia="zh-CN"/>
        </w:rPr>
        <w:t xml:space="preserve">                                  </w:t>
      </w:r>
      <w:r>
        <w:rPr>
          <w:rFonts w:hint="eastAsia" w:ascii="宋体" w:hAnsi="宋体" w:eastAsia="宋体" w:cs="Times New Roman"/>
          <w:bCs/>
          <w:color w:val="auto"/>
          <w:highlight w:val="none"/>
        </w:rPr>
        <w:t>电子投标文件</w:t>
      </w:r>
    </w:p>
    <w:p w14:paraId="34764BAA">
      <w:pPr>
        <w:snapToGrid w:val="0"/>
        <w:spacing w:before="165" w:beforeLines="50" w:after="50" w:line="400" w:lineRule="exact"/>
        <w:jc w:val="center"/>
        <w:rPr>
          <w:rFonts w:hint="eastAsia" w:ascii="宋体" w:hAnsi="宋体" w:eastAsia="宋体" w:cs="Times New Roman"/>
          <w:bCs/>
          <w:color w:val="auto"/>
          <w:sz w:val="24"/>
          <w:szCs w:val="20"/>
          <w:highlight w:val="none"/>
        </w:rPr>
      </w:pPr>
    </w:p>
    <w:p w14:paraId="32B49AD0">
      <w:pPr>
        <w:snapToGrid w:val="0"/>
        <w:spacing w:before="165" w:beforeLines="50" w:after="50" w:line="400" w:lineRule="exact"/>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报价文件</w:t>
      </w:r>
    </w:p>
    <w:p w14:paraId="2FDCCE68">
      <w:pPr>
        <w:snapToGrid w:val="0"/>
        <w:spacing w:before="165" w:beforeLines="50" w:after="50" w:line="400" w:lineRule="exact"/>
        <w:rPr>
          <w:rFonts w:hint="eastAsia" w:ascii="宋体" w:hAnsi="宋体" w:eastAsia="宋体" w:cs="Times New Roman"/>
          <w:bCs/>
          <w:color w:val="auto"/>
          <w:sz w:val="24"/>
          <w:szCs w:val="20"/>
          <w:highlight w:val="none"/>
        </w:rPr>
      </w:pPr>
    </w:p>
    <w:p w14:paraId="3A9DE711">
      <w:pPr>
        <w:snapToGrid w:val="0"/>
        <w:spacing w:before="165" w:beforeLines="50" w:after="50" w:line="400" w:lineRule="exact"/>
        <w:rPr>
          <w:rFonts w:hint="eastAsia" w:ascii="宋体" w:hAnsi="宋体" w:eastAsia="宋体" w:cs="Times New Roman"/>
          <w:bCs/>
          <w:color w:val="auto"/>
          <w:sz w:val="24"/>
          <w:szCs w:val="20"/>
          <w:highlight w:val="none"/>
        </w:rPr>
      </w:pPr>
    </w:p>
    <w:p w14:paraId="28A76964">
      <w:pPr>
        <w:snapToGrid w:val="0"/>
        <w:spacing w:before="165" w:beforeLines="50" w:after="50" w:line="400" w:lineRule="exact"/>
        <w:rPr>
          <w:rFonts w:hint="eastAsia" w:ascii="宋体" w:hAnsi="宋体" w:eastAsia="宋体" w:cs="Times New Roman"/>
          <w:bCs/>
          <w:color w:val="auto"/>
          <w:sz w:val="24"/>
          <w:szCs w:val="20"/>
          <w:highlight w:val="none"/>
        </w:rPr>
      </w:pPr>
    </w:p>
    <w:p w14:paraId="0BF7D712">
      <w:pPr>
        <w:snapToGrid w:val="0"/>
        <w:spacing w:before="165" w:beforeLines="50" w:after="50" w:line="400" w:lineRule="exact"/>
        <w:rPr>
          <w:rFonts w:hint="eastAsia" w:ascii="宋体" w:hAnsi="宋体" w:eastAsia="宋体" w:cs="Times New Roman"/>
          <w:bCs/>
          <w:color w:val="auto"/>
          <w:sz w:val="24"/>
          <w:szCs w:val="20"/>
          <w:highlight w:val="none"/>
        </w:rPr>
      </w:pPr>
    </w:p>
    <w:p w14:paraId="46C1BC45">
      <w:pPr>
        <w:snapToGrid w:val="0"/>
        <w:spacing w:before="165" w:beforeLines="50" w:after="50" w:line="400" w:lineRule="exact"/>
        <w:ind w:firstLine="360" w:firstLineChars="150"/>
        <w:rPr>
          <w:rFonts w:hint="eastAsia" w:ascii="宋体" w:hAnsi="宋体" w:eastAsia="宋体" w:cs="Times New Roman"/>
          <w:bCs/>
          <w:color w:val="auto"/>
          <w:sz w:val="24"/>
          <w:highlight w:val="none"/>
          <w:lang w:eastAsia="zh-CN"/>
        </w:rPr>
      </w:pPr>
      <w:r>
        <w:rPr>
          <w:rFonts w:hint="eastAsia" w:ascii="宋体" w:hAnsi="宋体" w:eastAsia="宋体" w:cs="Times New Roman"/>
          <w:bCs/>
          <w:color w:val="auto"/>
          <w:sz w:val="24"/>
          <w:highlight w:val="none"/>
        </w:rPr>
        <w:t xml:space="preserve">项目名称： </w:t>
      </w:r>
    </w:p>
    <w:p w14:paraId="6BD7DF6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5AFAFC74">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项目编号： </w:t>
      </w:r>
    </w:p>
    <w:p w14:paraId="49DF8E2A">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6E80208B">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所投分标（如有则填写，无分标时填写“无”或者留空）：</w:t>
      </w:r>
    </w:p>
    <w:p w14:paraId="2729ABDF">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0C3E6547">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投标人名称：</w:t>
      </w:r>
    </w:p>
    <w:p w14:paraId="582D42C6">
      <w:pPr>
        <w:snapToGrid w:val="0"/>
        <w:spacing w:before="165" w:beforeLines="50" w:after="50" w:line="400" w:lineRule="exact"/>
        <w:ind w:firstLine="360" w:firstLineChars="150"/>
        <w:rPr>
          <w:rFonts w:hint="eastAsia" w:ascii="宋体" w:hAnsi="宋体" w:eastAsia="宋体" w:cs="Times New Roman"/>
          <w:bCs/>
          <w:color w:val="auto"/>
          <w:sz w:val="24"/>
          <w:highlight w:val="none"/>
        </w:rPr>
      </w:pPr>
    </w:p>
    <w:p w14:paraId="225A942C">
      <w:pPr>
        <w:pStyle w:val="8"/>
        <w:snapToGrid w:val="0"/>
        <w:spacing w:before="50" w:after="50" w:line="400" w:lineRule="exact"/>
        <w:ind w:firstLine="960" w:firstLineChars="400"/>
        <w:rPr>
          <w:rFonts w:hint="eastAsia" w:ascii="宋体" w:hAnsi="宋体" w:eastAsia="宋体" w:cs="Times New Roman"/>
          <w:bCs/>
          <w:color w:val="auto"/>
          <w:sz w:val="24"/>
          <w:szCs w:val="24"/>
          <w:highlight w:val="none"/>
        </w:rPr>
      </w:pPr>
    </w:p>
    <w:p w14:paraId="2B3D9DF8">
      <w:pPr>
        <w:snapToGrid w:val="0"/>
        <w:spacing w:before="165" w:beforeLines="50" w:after="50" w:line="40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w:t>
      </w:r>
    </w:p>
    <w:p w14:paraId="579F706A">
      <w:pPr>
        <w:snapToGrid w:val="0"/>
        <w:spacing w:before="165" w:beforeLines="50" w:after="50" w:line="400" w:lineRule="exact"/>
        <w:ind w:firstLine="3120" w:firstLineChars="1300"/>
        <w:rPr>
          <w:rFonts w:hint="eastAsia" w:ascii="宋体" w:hAnsi="宋体" w:eastAsia="宋体" w:cs="Times New Roman"/>
          <w:color w:val="auto"/>
          <w:sz w:val="24"/>
          <w:highlight w:val="none"/>
        </w:rPr>
      </w:pPr>
    </w:p>
    <w:p w14:paraId="7E6B95C9">
      <w:pPr>
        <w:snapToGrid w:val="0"/>
        <w:spacing w:before="165" w:beforeLines="50" w:after="50" w:line="400" w:lineRule="exact"/>
        <w:ind w:firstLine="4320" w:firstLineChars="18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39F294CF">
      <w:pPr>
        <w:widowControl/>
        <w:jc w:val="left"/>
        <w:rPr>
          <w:rFonts w:ascii="宋体" w:hAnsi="宋体"/>
          <w:color w:val="auto"/>
          <w:sz w:val="24"/>
          <w:highlight w:val="none"/>
        </w:rPr>
        <w:sectPr>
          <w:pgSz w:w="11905" w:h="16838"/>
          <w:pgMar w:top="1134" w:right="1134" w:bottom="1134" w:left="1134" w:header="850" w:footer="850" w:gutter="0"/>
          <w:pgNumType w:fmt="decimal"/>
          <w:cols w:space="0" w:num="1"/>
          <w:titlePg/>
          <w:rtlGutter w:val="0"/>
          <w:docGrid w:linePitch="331" w:charSpace="0"/>
        </w:sectPr>
      </w:pPr>
    </w:p>
    <w:p w14:paraId="0812D626">
      <w:pPr>
        <w:snapToGrid w:val="0"/>
        <w:spacing w:before="120" w:beforeLines="50" w:after="50" w:line="360" w:lineRule="auto"/>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2BD03AD8">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根据招标文件规定及投标人提供的材料自行编写目录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14:paraId="5B62E68E">
      <w:pPr>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br w:type="page"/>
      </w:r>
    </w:p>
    <w:p w14:paraId="49BDDD93">
      <w:pPr>
        <w:pStyle w:val="15"/>
        <w:spacing w:line="500" w:lineRule="exact"/>
        <w:jc w:val="left"/>
        <w:rPr>
          <w:rFonts w:hint="eastAsia" w:ascii="Times New Roman" w:hAnsi="Times New Roman" w:eastAsia="宋体" w:cs="Times New Roman"/>
          <w:b/>
          <w:bCs/>
          <w:color w:val="auto"/>
          <w:sz w:val="30"/>
          <w:szCs w:val="30"/>
          <w:highlight w:val="none"/>
        </w:rPr>
      </w:pPr>
      <w:r>
        <w:rPr>
          <w:rFonts w:hint="eastAsia" w:ascii="宋体" w:hAnsi="宋体" w:cs="宋体"/>
          <w:b/>
          <w:bCs/>
          <w:color w:val="auto"/>
          <w:sz w:val="28"/>
          <w:szCs w:val="28"/>
          <w:highlight w:val="none"/>
          <w:lang w:val="en-US" w:eastAsia="zh-CN"/>
        </w:rPr>
        <w:t>3.投标函的格式：</w:t>
      </w:r>
    </w:p>
    <w:p w14:paraId="268776FD">
      <w:pPr>
        <w:pStyle w:val="15"/>
        <w:spacing w:line="500" w:lineRule="exact"/>
        <w:jc w:val="center"/>
        <w:rPr>
          <w:rFonts w:hint="eastAsia"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投标函</w:t>
      </w:r>
    </w:p>
    <w:p w14:paraId="3169EA34">
      <w:pPr>
        <w:pStyle w:val="15"/>
        <w:spacing w:line="440" w:lineRule="exact"/>
        <w:ind w:firstLine="420" w:firstLineChars="200"/>
        <w:rPr>
          <w:rFonts w:hint="eastAsia" w:ascii="Times New Roman" w:hAnsi="Times New Roman" w:eastAsia="宋体" w:cs="Times New Roman"/>
          <w:color w:val="auto"/>
          <w:highlight w:val="none"/>
        </w:rPr>
      </w:pPr>
    </w:p>
    <w:p w14:paraId="7EA24335">
      <w:pPr>
        <w:pStyle w:val="15"/>
        <w:spacing w:line="440" w:lineRule="exact"/>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致：</w:t>
      </w:r>
      <w:bookmarkStart w:id="398" w:name="PO_3000001866_PM031_4"/>
      <w:r>
        <w:rPr>
          <w:rFonts w:hint="eastAsia" w:ascii="Times New Roman" w:hAnsi="Times New Roman" w:eastAsia="宋体" w:cs="Times New Roman"/>
          <w:color w:val="auto"/>
          <w:highlight w:val="none"/>
          <w:u w:val="single"/>
          <w:lang w:eastAsia="zh-CN"/>
        </w:rPr>
        <w:t>广西科联招标中心有限公司</w:t>
      </w:r>
      <w:bookmarkEnd w:id="398"/>
    </w:p>
    <w:p w14:paraId="1AAFD245">
      <w:pPr>
        <w:pStyle w:val="15"/>
        <w:spacing w:line="440" w:lineRule="exact"/>
        <w:ind w:firstLine="420" w:firstLineChars="200"/>
        <w:rPr>
          <w:rFonts w:eastAsia="宋体" w:cs="Times New Roman"/>
          <w:color w:val="auto"/>
          <w:highlight w:val="none"/>
        </w:rPr>
      </w:pPr>
      <w:r>
        <w:rPr>
          <w:rFonts w:hint="eastAsia" w:eastAsia="宋体" w:cs="Times New Roman"/>
          <w:color w:val="auto"/>
          <w:highlight w:val="none"/>
        </w:rPr>
        <w:t>我方已仔细阅读了贵方组织的</w:t>
      </w:r>
      <w:r>
        <w:rPr>
          <w:rFonts w:hint="eastAsia" w:ascii="宋体" w:hAnsi="宋体" w:cs="宋体"/>
          <w:i/>
          <w:iCs/>
          <w:color w:val="auto"/>
          <w:highlight w:val="none"/>
          <w:u w:val="single"/>
          <w:lang w:eastAsia="zh-CN"/>
        </w:rPr>
        <w:t>（项目名称）</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项目（项目编号：</w:t>
      </w:r>
      <w:r>
        <w:rPr>
          <w:rFonts w:hint="eastAsia" w:cs="Times New Roman"/>
          <w:color w:val="auto"/>
          <w:highlight w:val="none"/>
          <w:u w:val="single"/>
          <w:lang w:val="en-US" w:eastAsia="zh-CN"/>
        </w:rPr>
        <w:t xml:space="preserve">        </w:t>
      </w:r>
      <w:r>
        <w:rPr>
          <w:rFonts w:hint="eastAsia" w:eastAsia="宋体" w:cs="Times New Roman"/>
          <w:color w:val="auto"/>
          <w:highlight w:val="none"/>
        </w:rPr>
        <w:t>）的招标文件的全部内容，授权</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(全权代表姓名)</w:t>
      </w:r>
      <w:r>
        <w:rPr>
          <w:rFonts w:ascii="Times New Roman" w:hAnsi="Times New Roman" w:eastAsia="宋体" w:cs="Times New Roman"/>
          <w:color w:val="auto"/>
          <w:highlight w:val="none"/>
          <w:u w:val="single"/>
        </w:rPr>
        <w:t xml:space="preserve">          </w:t>
      </w:r>
      <w:r>
        <w:rPr>
          <w:rFonts w:hint="eastAsia" w:eastAsia="宋体" w:cs="Times New Roman"/>
          <w:color w:val="auto"/>
          <w:highlight w:val="none"/>
        </w:rPr>
        <w:t xml:space="preserve"> (职务、职称)为全权代表，现正式递交下述文件参加贵方组织的本次政府采购活动： </w:t>
      </w:r>
    </w:p>
    <w:p w14:paraId="2B8D0310">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一、报价文件电子版（包含按投标人须知前附表要求提交的全部文件）；</w:t>
      </w:r>
    </w:p>
    <w:p w14:paraId="3649290B">
      <w:pPr>
        <w:pStyle w:val="15"/>
        <w:spacing w:line="440" w:lineRule="exact"/>
        <w:ind w:firstLine="482"/>
        <w:rPr>
          <w:rFonts w:hint="eastAsia" w:eastAsia="宋体" w:cs="Times New Roman"/>
          <w:color w:val="auto"/>
          <w:highlight w:val="none"/>
        </w:rPr>
      </w:pPr>
      <w:r>
        <w:rPr>
          <w:rFonts w:hint="eastAsia" w:eastAsia="宋体" w:cs="Times New Roman"/>
          <w:color w:val="auto"/>
          <w:highlight w:val="none"/>
        </w:rPr>
        <w:t>二、资格文件电子版（包含按投标人须知前附表要求提交的全部文件）；</w:t>
      </w:r>
    </w:p>
    <w:p w14:paraId="21EDD430">
      <w:pPr>
        <w:pStyle w:val="15"/>
        <w:spacing w:line="440" w:lineRule="exact"/>
        <w:ind w:firstLine="482"/>
        <w:rPr>
          <w:rFonts w:hint="eastAsia" w:eastAsia="宋体" w:cs="Times New Roman"/>
          <w:color w:val="auto"/>
          <w:highlight w:val="none"/>
        </w:rPr>
      </w:pPr>
      <w:r>
        <w:rPr>
          <w:rFonts w:hint="eastAsia" w:eastAsia="宋体" w:cs="Times New Roman"/>
          <w:color w:val="auto"/>
          <w:highlight w:val="none"/>
        </w:rPr>
        <w:t>三、</w:t>
      </w:r>
      <w:r>
        <w:rPr>
          <w:rFonts w:hint="eastAsia" w:hAnsi="宋体" w:eastAsia="宋体" w:cs="Times New Roman"/>
          <w:color w:val="auto"/>
          <w:highlight w:val="none"/>
        </w:rPr>
        <w:t>技术</w:t>
      </w:r>
      <w:r>
        <w:rPr>
          <w:rFonts w:hint="eastAsia" w:eastAsia="宋体" w:cs="Times New Roman"/>
          <w:color w:val="auto"/>
          <w:highlight w:val="none"/>
        </w:rPr>
        <w:t>文件电子版（包含按投标人须知前附表要求提交的全部文件）；</w:t>
      </w:r>
    </w:p>
    <w:p w14:paraId="4D803E7E">
      <w:pPr>
        <w:pStyle w:val="15"/>
        <w:spacing w:line="440" w:lineRule="exact"/>
        <w:ind w:firstLine="482"/>
        <w:rPr>
          <w:rFonts w:hint="eastAsia" w:eastAsia="宋体" w:cs="Times New Roman"/>
          <w:color w:val="auto"/>
          <w:highlight w:val="none"/>
        </w:rPr>
      </w:pPr>
      <w:r>
        <w:rPr>
          <w:rFonts w:hint="eastAsia" w:hAnsi="宋体" w:eastAsia="宋体" w:cs="Times New Roman"/>
          <w:color w:val="auto"/>
          <w:highlight w:val="none"/>
        </w:rPr>
        <w:t>四、</w:t>
      </w:r>
      <w:r>
        <w:rPr>
          <w:rFonts w:hint="eastAsia" w:eastAsia="宋体" w:cs="Times New Roman"/>
          <w:color w:val="auto"/>
          <w:highlight w:val="none"/>
        </w:rPr>
        <w:t>商务</w:t>
      </w:r>
      <w:r>
        <w:rPr>
          <w:rFonts w:hint="eastAsia" w:hAnsi="宋体" w:eastAsia="宋体" w:cs="Times New Roman"/>
          <w:color w:val="auto"/>
          <w:highlight w:val="none"/>
        </w:rPr>
        <w:t>文件</w:t>
      </w:r>
      <w:r>
        <w:rPr>
          <w:rFonts w:hint="eastAsia" w:eastAsia="宋体" w:cs="Times New Roman"/>
          <w:color w:val="auto"/>
          <w:highlight w:val="none"/>
        </w:rPr>
        <w:t>电子版（包含按投标人须知前附表要求提交的全部文件）；</w:t>
      </w:r>
    </w:p>
    <w:p w14:paraId="6F272673">
      <w:pPr>
        <w:pStyle w:val="15"/>
        <w:spacing w:line="440" w:lineRule="exact"/>
        <w:ind w:firstLine="482"/>
        <w:rPr>
          <w:rFonts w:hint="eastAsia" w:ascii="Times New Roman" w:hAnsi="Times New Roman" w:eastAsia="宋体" w:cs="Times New Roman"/>
          <w:color w:val="auto"/>
          <w:highlight w:val="none"/>
        </w:rPr>
      </w:pPr>
      <w:r>
        <w:rPr>
          <w:rFonts w:hint="eastAsia" w:eastAsia="宋体" w:cs="Times New Roman"/>
          <w:color w:val="auto"/>
          <w:highlight w:val="none"/>
        </w:rPr>
        <w:t>据此函，</w:t>
      </w:r>
      <w:r>
        <w:rPr>
          <w:rFonts w:hint="eastAsia" w:cs="Times New Roman"/>
          <w:color w:val="auto"/>
          <w:highlight w:val="none"/>
          <w:lang w:val="en-US" w:eastAsia="zh-CN"/>
        </w:rPr>
        <w:t>我方</w:t>
      </w:r>
      <w:r>
        <w:rPr>
          <w:rFonts w:hint="default" w:eastAsia="宋体" w:cs="Times New Roman"/>
          <w:color w:val="auto"/>
          <w:highlight w:val="none"/>
          <w:lang w:val="en-US"/>
        </w:rPr>
        <w:t>兹</w:t>
      </w:r>
      <w:r>
        <w:rPr>
          <w:rFonts w:hint="eastAsia" w:eastAsia="宋体" w:cs="Times New Roman"/>
          <w:color w:val="auto"/>
          <w:highlight w:val="none"/>
        </w:rPr>
        <w:t>宣布：</w:t>
      </w:r>
    </w:p>
    <w:p w14:paraId="33A21607">
      <w:pPr>
        <w:pStyle w:val="15"/>
        <w:spacing w:line="440" w:lineRule="exact"/>
        <w:ind w:firstLine="420" w:firstLineChars="200"/>
        <w:rPr>
          <w:rFonts w:ascii="Times New Roman" w:hAnsi="Times New Roman" w:eastAsia="宋体" w:cs="Times New Roman"/>
          <w:color w:val="auto"/>
          <w:highlight w:val="none"/>
        </w:rPr>
      </w:pPr>
      <w:r>
        <w:rPr>
          <w:rFonts w:hint="eastAsia" w:eastAsia="宋体" w:cs="Times New Roman"/>
          <w:color w:val="auto"/>
          <w:highlight w:val="none"/>
        </w:rPr>
        <w:t>1、我方愿意以投标时提供</w:t>
      </w:r>
      <w:r>
        <w:rPr>
          <w:rFonts w:hint="eastAsia" w:hAnsi="宋体" w:cs="宋体"/>
          <w:color w:val="auto"/>
          <w:highlight w:val="none"/>
          <w:lang w:eastAsia="zh-CN"/>
        </w:rPr>
        <w:t>的开标一览表中的投标总</w:t>
      </w:r>
      <w:r>
        <w:rPr>
          <w:rFonts w:hint="eastAsia" w:ascii="宋体" w:hAnsi="宋体" w:cs="宋体"/>
          <w:color w:val="auto"/>
          <w:szCs w:val="22"/>
          <w:highlight w:val="none"/>
        </w:rPr>
        <w:t>报价</w:t>
      </w:r>
      <w:r>
        <w:rPr>
          <w:rFonts w:hint="eastAsia" w:hAnsi="宋体" w:cs="宋体"/>
          <w:color w:val="auto"/>
          <w:szCs w:val="22"/>
          <w:highlight w:val="none"/>
          <w:lang w:eastAsia="zh-CN"/>
        </w:rPr>
        <w:t>，在承诺的服务期内</w:t>
      </w:r>
      <w:r>
        <w:rPr>
          <w:rFonts w:hint="eastAsia" w:eastAsia="宋体" w:cs="Times New Roman"/>
          <w:color w:val="auto"/>
          <w:highlight w:val="none"/>
        </w:rPr>
        <w:t>提供本项目</w:t>
      </w:r>
      <w:r>
        <w:rPr>
          <w:rFonts w:hint="eastAsia" w:hAnsi="Times New Roman" w:eastAsia="宋体" w:cs="Times New Roman"/>
          <w:color w:val="auto"/>
          <w:highlight w:val="none"/>
        </w:rPr>
        <w:t>招标文件“第二章  采购需求”的“</w:t>
      </w:r>
      <w:r>
        <w:rPr>
          <w:rFonts w:hint="eastAsia" w:hAnsi="Times New Roman" w:cs="Times New Roman"/>
          <w:color w:val="auto"/>
          <w:highlight w:val="none"/>
          <w:lang w:eastAsia="zh-CN"/>
        </w:rPr>
        <w:t>服务要求</w:t>
      </w:r>
      <w:r>
        <w:rPr>
          <w:rFonts w:hint="eastAsia" w:hAnsi="Times New Roman" w:eastAsia="宋体" w:cs="Times New Roman"/>
          <w:color w:val="auto"/>
          <w:highlight w:val="none"/>
        </w:rPr>
        <w:t>”</w:t>
      </w:r>
      <w:r>
        <w:rPr>
          <w:rFonts w:hint="eastAsia" w:hAnsi="Times New Roman" w:cs="Times New Roman"/>
          <w:color w:val="auto"/>
          <w:highlight w:val="none"/>
          <w:lang w:eastAsia="zh-CN"/>
        </w:rPr>
        <w:t>中</w:t>
      </w:r>
      <w:r>
        <w:rPr>
          <w:rFonts w:hint="eastAsia" w:eastAsia="宋体" w:cs="Times New Roman"/>
          <w:color w:val="auto"/>
          <w:highlight w:val="none"/>
        </w:rPr>
        <w:t>的相应的采购内容</w:t>
      </w:r>
      <w:r>
        <w:rPr>
          <w:rFonts w:hint="eastAsia" w:hAnsi="宋体" w:cs="宋体"/>
          <w:color w:val="auto"/>
          <w:highlight w:val="none"/>
          <w:lang w:eastAsia="zh-CN"/>
        </w:rPr>
        <w:t>，具体详见开标一览表</w:t>
      </w:r>
      <w:r>
        <w:rPr>
          <w:rFonts w:hint="eastAsia" w:eastAsia="宋体" w:cs="Times New Roman"/>
          <w:color w:val="auto"/>
          <w:highlight w:val="none"/>
        </w:rPr>
        <w:t>。</w:t>
      </w:r>
    </w:p>
    <w:p w14:paraId="1724212C">
      <w:pPr>
        <w:pStyle w:val="15"/>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2、我方同意自本项目招标文件“第三章 投标人须知”第一节 投标人须知前附表 第21.</w:t>
      </w:r>
      <w:r>
        <w:rPr>
          <w:rFonts w:hint="eastAsia" w:cs="Times New Roman"/>
          <w:color w:val="auto"/>
          <w:highlight w:val="none"/>
          <w:lang w:val="en-US" w:eastAsia="zh-CN"/>
        </w:rPr>
        <w:t>1</w:t>
      </w:r>
      <w:r>
        <w:rPr>
          <w:rFonts w:hint="eastAsia" w:eastAsia="宋体" w:cs="Times New Roman"/>
          <w:color w:val="auto"/>
          <w:highlight w:val="none"/>
        </w:rPr>
        <w:t>项规定的投标截止时间（开标时间）起遵循</w:t>
      </w:r>
      <w:r>
        <w:rPr>
          <w:rFonts w:hint="eastAsia" w:hAnsi="宋体" w:eastAsia="宋体" w:cs="Times New Roman"/>
          <w:color w:val="auto"/>
          <w:highlight w:val="none"/>
        </w:rPr>
        <w:t>本投标函</w:t>
      </w:r>
      <w:r>
        <w:rPr>
          <w:rFonts w:hint="eastAsia" w:eastAsia="宋体" w:cs="Times New Roman"/>
          <w:color w:val="auto"/>
          <w:highlight w:val="none"/>
        </w:rPr>
        <w:t>，并承诺在“投标人须知前附表”第17.2项规定的投标有效期内不修改、撤销投标文件。</w:t>
      </w:r>
    </w:p>
    <w:p w14:paraId="2642B30F">
      <w:pPr>
        <w:pStyle w:val="15"/>
        <w:spacing w:line="360" w:lineRule="exact"/>
        <w:ind w:firstLine="420" w:firstLineChars="200"/>
        <w:rPr>
          <w:rFonts w:hint="eastAsia" w:eastAsia="宋体" w:cs="Times New Roman"/>
          <w:color w:val="auto"/>
          <w:highlight w:val="none"/>
          <w:u w:val="single"/>
        </w:rPr>
      </w:pPr>
      <w:r>
        <w:rPr>
          <w:rFonts w:hint="eastAsia" w:eastAsia="宋体" w:cs="Times New Roman"/>
          <w:color w:val="auto"/>
          <w:highlight w:val="none"/>
        </w:rPr>
        <w:t>3、我方</w:t>
      </w:r>
      <w:r>
        <w:rPr>
          <w:rFonts w:hint="eastAsia" w:ascii="宋体" w:hAnsi="宋体" w:eastAsia="宋体" w:cs="宋体"/>
          <w:color w:val="auto"/>
          <w:kern w:val="0"/>
          <w:sz w:val="20"/>
          <w:szCs w:val="21"/>
          <w:highlight w:val="none"/>
          <w:lang w:val="zh-CN" w:eastAsia="zh-CN"/>
        </w:rPr>
        <w:t>在此声明</w:t>
      </w:r>
      <w:r>
        <w:rPr>
          <w:rFonts w:hint="eastAsia" w:eastAsia="宋体" w:cs="Times New Roman"/>
          <w:color w:val="auto"/>
          <w:highlight w:val="none"/>
        </w:rPr>
        <w:t>所递交的投标文件及有关资料都是内容完整、真实和准确的。</w:t>
      </w:r>
    </w:p>
    <w:p w14:paraId="043FFD38">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4、</w:t>
      </w:r>
      <w:r>
        <w:rPr>
          <w:rFonts w:hint="eastAsia" w:eastAsia="宋体" w:cs="Times New Roman"/>
          <w:color w:val="auto"/>
          <w:szCs w:val="21"/>
          <w:highlight w:val="none"/>
        </w:rPr>
        <w:t>如本项目采购内容涉及须符合国家强制规定的，我方承诺我方本次投标（包括资格条件和所投产品）均符合国家有关强制规定。</w:t>
      </w:r>
    </w:p>
    <w:p w14:paraId="181A9F7F">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5、如我方中标，我方承诺在收到中标通知书后，在中标通知书规定的期限内，</w:t>
      </w:r>
      <w:r>
        <w:rPr>
          <w:rFonts w:hint="eastAsia" w:hAnsi="宋体" w:eastAsia="宋体" w:cs="Times New Roman"/>
          <w:color w:val="auto"/>
          <w:highlight w:val="none"/>
        </w:rPr>
        <w:t>根据招标文件、我方的投标文件及有关澄清承诺书的要求按第五章“拟签订的合同文本”与采购人订立书面合同，并按照合同约定</w:t>
      </w:r>
      <w:r>
        <w:rPr>
          <w:rFonts w:hint="eastAsia" w:eastAsia="宋体" w:cs="Times New Roman"/>
          <w:color w:val="auto"/>
          <w:highlight w:val="none"/>
        </w:rPr>
        <w:t>承担完成合同的责任和义务。</w:t>
      </w:r>
    </w:p>
    <w:p w14:paraId="6CDBF874">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6、我方已详细审核招标文件，我方知道必须放弃提出含糊不清或误解问题的权利。</w:t>
      </w:r>
    </w:p>
    <w:p w14:paraId="693FDC4E">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7、我方同意应贵方要求提供与本投标有关的任何数据或资料。若贵方需要，我方愿意提供我方作出的一切承诺的证明材料。</w:t>
      </w:r>
    </w:p>
    <w:p w14:paraId="34A3B085">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8、我方完全理解贵方不一定接受投标报价最低的投标人为中标</w:t>
      </w:r>
      <w:r>
        <w:rPr>
          <w:rFonts w:hint="eastAsia" w:cs="Times New Roman"/>
          <w:color w:val="auto"/>
          <w:highlight w:val="none"/>
          <w:lang w:val="en-US" w:eastAsia="zh-CN"/>
        </w:rPr>
        <w:t>人</w:t>
      </w:r>
      <w:r>
        <w:rPr>
          <w:rFonts w:hint="eastAsia" w:eastAsia="宋体" w:cs="Times New Roman"/>
          <w:color w:val="auto"/>
          <w:highlight w:val="none"/>
        </w:rPr>
        <w:t>的行为。</w:t>
      </w:r>
    </w:p>
    <w:p w14:paraId="4636081A">
      <w:pPr>
        <w:pStyle w:val="15"/>
        <w:spacing w:line="440" w:lineRule="exact"/>
        <w:ind w:firstLine="420" w:firstLineChars="200"/>
        <w:rPr>
          <w:rFonts w:hint="eastAsia" w:eastAsia="宋体" w:cs="Times New Roman"/>
          <w:color w:val="auto"/>
          <w:highlight w:val="none"/>
        </w:rPr>
      </w:pPr>
      <w:r>
        <w:rPr>
          <w:rFonts w:hint="eastAsia" w:eastAsia="宋体" w:cs="Times New Roman"/>
          <w:color w:val="auto"/>
          <w:highlight w:val="none"/>
        </w:rPr>
        <w:t>9、我方将严格遵守《中华人民共和国政府采购法》第七十七条的规定，即供应商有下列情形之一的，处以采购金额千分之五以上千分之十</w:t>
      </w:r>
      <w:r>
        <w:rPr>
          <w:rFonts w:hint="eastAsia" w:hAnsi="宋体" w:eastAsia="宋体" w:cs="Times New Roman"/>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2D56DA80">
      <w:pPr>
        <w:pStyle w:val="15"/>
        <w:numPr>
          <w:ilvl w:val="0"/>
          <w:numId w:val="9"/>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提供虚假材料谋取中标、成交的；</w:t>
      </w:r>
    </w:p>
    <w:p w14:paraId="776C51EC">
      <w:pPr>
        <w:pStyle w:val="15"/>
        <w:numPr>
          <w:ilvl w:val="0"/>
          <w:numId w:val="9"/>
        </w:numPr>
        <w:spacing w:line="440" w:lineRule="exact"/>
        <w:ind w:left="1140" w:hanging="720"/>
        <w:rPr>
          <w:rFonts w:hint="eastAsia" w:hAnsi="宋体" w:eastAsia="宋体" w:cs="Times New Roman"/>
          <w:color w:val="auto"/>
          <w:highlight w:val="none"/>
        </w:rPr>
      </w:pPr>
      <w:r>
        <w:rPr>
          <w:rFonts w:hint="eastAsia" w:hAnsi="宋体" w:eastAsia="宋体" w:cs="Times New Roman"/>
          <w:color w:val="auto"/>
          <w:highlight w:val="none"/>
        </w:rPr>
        <w:t>采取不正当手段诋毁、排挤其他供应商的；</w:t>
      </w:r>
    </w:p>
    <w:p w14:paraId="08BB6A6E">
      <w:pPr>
        <w:pStyle w:val="15"/>
        <w:numPr>
          <w:ilvl w:val="0"/>
          <w:numId w:val="9"/>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与采购人、其他供应商或者采购代理机构恶意串通的；</w:t>
      </w:r>
    </w:p>
    <w:p w14:paraId="3B04E6BB">
      <w:pPr>
        <w:pStyle w:val="15"/>
        <w:numPr>
          <w:ilvl w:val="0"/>
          <w:numId w:val="9"/>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向采购人、采购代理机构行贿或者提供其他不正当利益的；</w:t>
      </w:r>
    </w:p>
    <w:p w14:paraId="6D9B719C">
      <w:pPr>
        <w:pStyle w:val="15"/>
        <w:numPr>
          <w:ilvl w:val="0"/>
          <w:numId w:val="9"/>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在招标采购过程中与采购人进行协商谈判的；</w:t>
      </w:r>
    </w:p>
    <w:p w14:paraId="47F3A9BE">
      <w:pPr>
        <w:pStyle w:val="15"/>
        <w:numPr>
          <w:ilvl w:val="0"/>
          <w:numId w:val="9"/>
        </w:numPr>
        <w:spacing w:line="440" w:lineRule="exact"/>
        <w:ind w:left="1140" w:hanging="720"/>
        <w:rPr>
          <w:rFonts w:hint="eastAsia" w:eastAsia="宋体" w:cs="Times New Roman"/>
          <w:color w:val="auto"/>
          <w:highlight w:val="none"/>
        </w:rPr>
      </w:pPr>
      <w:r>
        <w:rPr>
          <w:rFonts w:hint="eastAsia" w:hAnsi="宋体" w:eastAsia="宋体" w:cs="Times New Roman"/>
          <w:color w:val="auto"/>
          <w:highlight w:val="none"/>
        </w:rPr>
        <w:t>拒绝有关部门监督检查或提供虚假情况的。</w:t>
      </w:r>
    </w:p>
    <w:p w14:paraId="75465804">
      <w:pPr>
        <w:pStyle w:val="15"/>
        <w:spacing w:line="360" w:lineRule="auto"/>
        <w:ind w:firstLine="420"/>
        <w:rPr>
          <w:rFonts w:hint="eastAsia" w:eastAsia="宋体" w:cs="Times New Roman"/>
          <w:color w:val="auto"/>
          <w:highlight w:val="none"/>
        </w:rPr>
      </w:pPr>
      <w:r>
        <w:rPr>
          <w:rFonts w:hint="eastAsia" w:eastAsia="宋体" w:cs="Times New Roman"/>
          <w:color w:val="auto"/>
          <w:highlight w:val="none"/>
        </w:rPr>
        <w:t>10、以上事项如有虚假或</w:t>
      </w:r>
      <w:r>
        <w:rPr>
          <w:rFonts w:hint="eastAsia"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cs="Times New Roman"/>
          <w:color w:val="auto"/>
          <w:highlight w:val="none"/>
          <w:lang w:val="en-US" w:eastAsia="zh-CN"/>
        </w:rPr>
        <w:t>者</w:t>
      </w:r>
      <w:r>
        <w:rPr>
          <w:rFonts w:hint="eastAsia" w:eastAsia="宋体" w:cs="Times New Roman"/>
          <w:color w:val="auto"/>
          <w:highlight w:val="none"/>
        </w:rPr>
        <w:t>免除法律责任的辩解。</w:t>
      </w:r>
    </w:p>
    <w:p w14:paraId="64301A74">
      <w:pPr>
        <w:pStyle w:val="15"/>
        <w:spacing w:line="360" w:lineRule="auto"/>
        <w:ind w:firstLine="420"/>
        <w:rPr>
          <w:rFonts w:hint="eastAsia" w:eastAsia="宋体" w:cs="Times New Roman"/>
          <w:color w:val="auto"/>
          <w:highlight w:val="none"/>
        </w:rPr>
      </w:pPr>
      <w:r>
        <w:rPr>
          <w:rFonts w:hint="eastAsia" w:eastAsia="宋体" w:cs="Times New Roman"/>
          <w:color w:val="auto"/>
          <w:highlight w:val="none"/>
        </w:rPr>
        <w:t>1</w:t>
      </w:r>
      <w:r>
        <w:rPr>
          <w:rFonts w:hint="eastAsia" w:cs="Times New Roman"/>
          <w:color w:val="auto"/>
          <w:highlight w:val="none"/>
          <w:lang w:val="en-US" w:eastAsia="zh-CN"/>
        </w:rPr>
        <w:t>1</w:t>
      </w:r>
      <w:r>
        <w:rPr>
          <w:rFonts w:hint="eastAsia" w:eastAsia="宋体" w:cs="Times New Roman"/>
          <w:color w:val="auto"/>
          <w:highlight w:val="none"/>
        </w:rPr>
        <w:t>、与本投标有关的一切正式往来信函请寄：</w:t>
      </w:r>
    </w:p>
    <w:p w14:paraId="5B1B70C1">
      <w:pPr>
        <w:pStyle w:val="15"/>
        <w:spacing w:line="360" w:lineRule="auto"/>
        <w:ind w:firstLine="420"/>
        <w:rPr>
          <w:rFonts w:hint="eastAsia" w:eastAsia="宋体" w:cs="Times New Roman"/>
          <w:color w:val="auto"/>
          <w:highlight w:val="none"/>
        </w:rPr>
      </w:pPr>
      <w:r>
        <w:rPr>
          <w:rFonts w:hint="eastAsia" w:eastAsia="宋体" w:cs="Times New Roman"/>
          <w:color w:val="auto"/>
          <w:highlight w:val="none"/>
        </w:rPr>
        <w:t>地址：</w:t>
      </w:r>
      <w:r>
        <w:rPr>
          <w:rFonts w:hint="eastAsia" w:eastAsia="宋体" w:cs="Times New Roman"/>
          <w:color w:val="auto"/>
          <w:highlight w:val="none"/>
          <w:u w:val="single"/>
        </w:rPr>
        <w:t xml:space="preserve">                                                        </w:t>
      </w:r>
      <w:r>
        <w:rPr>
          <w:rFonts w:hint="eastAsia" w:eastAsia="宋体" w:cs="Times New Roman"/>
          <w:color w:val="auto"/>
          <w:highlight w:val="none"/>
        </w:rPr>
        <w:t xml:space="preserve"> </w:t>
      </w:r>
    </w:p>
    <w:p w14:paraId="70979393">
      <w:pPr>
        <w:pStyle w:val="15"/>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电话：</w:t>
      </w:r>
      <w:r>
        <w:rPr>
          <w:rFonts w:hint="eastAsia" w:eastAsia="宋体" w:cs="Times New Roman"/>
          <w:color w:val="auto"/>
          <w:highlight w:val="none"/>
          <w:u w:val="single"/>
        </w:rPr>
        <w:t xml:space="preserve">                                      　　　　　　　　　</w:t>
      </w:r>
    </w:p>
    <w:p w14:paraId="02D43C0A">
      <w:pPr>
        <w:pStyle w:val="15"/>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传真：</w:t>
      </w:r>
      <w:r>
        <w:rPr>
          <w:rFonts w:hint="eastAsia" w:eastAsia="宋体" w:cs="Times New Roman"/>
          <w:color w:val="auto"/>
          <w:highlight w:val="none"/>
          <w:u w:val="single"/>
        </w:rPr>
        <w:t>　　　　　　　　　　　　　　　　　　　　　　　　　　　　</w:t>
      </w:r>
    </w:p>
    <w:p w14:paraId="15A64AB8">
      <w:pPr>
        <w:pStyle w:val="9"/>
        <w:spacing w:line="360" w:lineRule="auto"/>
        <w:ind w:left="0" w:firstLine="420" w:firstLineChars="200"/>
        <w:rPr>
          <w:rFonts w:hint="eastAsia"/>
          <w:color w:val="auto"/>
          <w:highlight w:val="none"/>
        </w:rPr>
      </w:pPr>
      <w:r>
        <w:rPr>
          <w:rFonts w:hint="eastAsia"/>
          <w:color w:val="auto"/>
          <w:highlight w:val="none"/>
          <w:u w:val="none"/>
        </w:rPr>
        <w:t>电子邮箱：</w:t>
      </w:r>
      <w:r>
        <w:rPr>
          <w:rFonts w:hint="eastAsia" w:eastAsia="宋体" w:cs="Times New Roman"/>
          <w:color w:val="auto"/>
          <w:highlight w:val="none"/>
          <w:u w:val="single"/>
        </w:rPr>
        <w:t>　　　　　　　　　　　　　　　　　　　　　　　　　　</w:t>
      </w:r>
    </w:p>
    <w:p w14:paraId="3CB25AE7">
      <w:pPr>
        <w:pStyle w:val="15"/>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邮政编码：</w:t>
      </w:r>
      <w:r>
        <w:rPr>
          <w:rFonts w:hint="eastAsia" w:eastAsia="宋体" w:cs="Times New Roman"/>
          <w:color w:val="auto"/>
          <w:highlight w:val="none"/>
          <w:u w:val="single"/>
        </w:rPr>
        <w:t xml:space="preserve">                                                    </w:t>
      </w:r>
    </w:p>
    <w:p w14:paraId="58D98F9A">
      <w:pPr>
        <w:pStyle w:val="15"/>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开户名称：</w:t>
      </w:r>
      <w:r>
        <w:rPr>
          <w:rFonts w:hint="eastAsia" w:eastAsia="宋体" w:cs="Times New Roman"/>
          <w:color w:val="auto"/>
          <w:highlight w:val="none"/>
          <w:u w:val="single"/>
        </w:rPr>
        <w:t xml:space="preserve">                                                    </w:t>
      </w:r>
    </w:p>
    <w:p w14:paraId="36D71C96">
      <w:pPr>
        <w:pStyle w:val="15"/>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开户银行：</w:t>
      </w:r>
      <w:r>
        <w:rPr>
          <w:rFonts w:hint="eastAsia" w:eastAsia="宋体" w:cs="Times New Roman"/>
          <w:color w:val="auto"/>
          <w:highlight w:val="none"/>
          <w:u w:val="single"/>
        </w:rPr>
        <w:t xml:space="preserve">                                                    </w:t>
      </w:r>
    </w:p>
    <w:p w14:paraId="5BAF50CC">
      <w:pPr>
        <w:pStyle w:val="15"/>
        <w:spacing w:line="360" w:lineRule="auto"/>
        <w:ind w:firstLine="420"/>
        <w:rPr>
          <w:rFonts w:hint="eastAsia" w:eastAsia="宋体" w:cs="Times New Roman"/>
          <w:color w:val="auto"/>
          <w:highlight w:val="none"/>
          <w:u w:val="single"/>
        </w:rPr>
      </w:pPr>
      <w:r>
        <w:rPr>
          <w:rFonts w:hint="eastAsia" w:eastAsia="宋体" w:cs="Times New Roman"/>
          <w:color w:val="auto"/>
          <w:highlight w:val="none"/>
        </w:rPr>
        <w:t>银行账号：</w:t>
      </w:r>
      <w:r>
        <w:rPr>
          <w:rFonts w:hint="eastAsia" w:eastAsia="宋体" w:cs="Times New Roman"/>
          <w:color w:val="auto"/>
          <w:highlight w:val="none"/>
          <w:u w:val="single"/>
        </w:rPr>
        <w:t xml:space="preserve">                                                    </w:t>
      </w:r>
    </w:p>
    <w:p w14:paraId="42B63C0F">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18ADDC2E">
      <w:pPr>
        <w:snapToGrid w:val="0"/>
        <w:spacing w:line="360" w:lineRule="auto"/>
        <w:ind w:firstLine="5040" w:firstLineChars="2100"/>
        <w:rPr>
          <w:rFonts w:hint="eastAsia" w:ascii="仿宋_GB2312" w:hAnsi="仿宋" w:eastAsia="仿宋_GB2312" w:cs="仿宋_GB2312"/>
          <w:color w:val="auto"/>
          <w:kern w:val="0"/>
          <w:sz w:val="24"/>
          <w:highlight w:val="none"/>
          <w:lang w:val="zh-CN"/>
        </w:rPr>
      </w:pPr>
    </w:p>
    <w:p w14:paraId="6D0B4B57">
      <w:pPr>
        <w:snapToGrid w:val="0"/>
        <w:spacing w:line="360" w:lineRule="auto"/>
        <w:ind w:firstLine="5280" w:firstLineChars="2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3F1DA8AE">
      <w:pPr>
        <w:snapToGrid w:val="0"/>
        <w:spacing w:line="360" w:lineRule="auto"/>
        <w:ind w:firstLine="5280" w:firstLineChars="2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1742F1A">
      <w:pPr>
        <w:widowControl/>
        <w:spacing w:line="360" w:lineRule="auto"/>
        <w:jc w:val="left"/>
        <w:rPr>
          <w:rFonts w:ascii="仿宋_GB2312" w:hAnsi="仿宋" w:eastAsia="仿宋_GB2312" w:cs="仿宋_GB2312"/>
          <w:color w:val="auto"/>
          <w:kern w:val="0"/>
          <w:sz w:val="24"/>
          <w:highlight w:val="none"/>
          <w:lang w:val="zh-CN"/>
        </w:rPr>
        <w:sectPr>
          <w:pgSz w:w="11905" w:h="16838"/>
          <w:pgMar w:top="1134" w:right="1134" w:bottom="1134" w:left="1134" w:header="850" w:footer="850" w:gutter="0"/>
          <w:pgNumType w:fmt="decimal"/>
          <w:cols w:space="0" w:num="1"/>
          <w:titlePg/>
          <w:rtlGutter w:val="0"/>
          <w:docGrid w:linePitch="331" w:charSpace="0"/>
        </w:sectPr>
      </w:pPr>
    </w:p>
    <w:p w14:paraId="30F3944F">
      <w:pPr>
        <w:pStyle w:val="15"/>
        <w:spacing w:line="360" w:lineRule="auto"/>
        <w:jc w:val="left"/>
        <w:rPr>
          <w:rFonts w:hint="eastAsia" w:hAnsi="宋体" w:cs="宋体"/>
          <w:b/>
          <w:bCs w:val="0"/>
          <w:color w:val="auto"/>
          <w:sz w:val="28"/>
          <w:szCs w:val="28"/>
          <w:highlight w:val="none"/>
        </w:rPr>
      </w:pPr>
      <w:r>
        <w:rPr>
          <w:rFonts w:hint="eastAsia" w:ascii="宋体" w:hAnsi="宋体" w:eastAsia="宋体" w:cs="宋体"/>
          <w:b/>
          <w:bCs w:val="0"/>
          <w:color w:val="auto"/>
          <w:sz w:val="28"/>
          <w:szCs w:val="28"/>
          <w:highlight w:val="none"/>
          <w:lang w:val="en-US"/>
        </w:rPr>
        <w:t>4</w:t>
      </w:r>
      <w:r>
        <w:rPr>
          <w:rFonts w:hint="eastAsia" w:ascii="宋体" w:hAnsi="宋体" w:eastAsia="宋体" w:cs="宋体"/>
          <w:b/>
          <w:bCs w:val="0"/>
          <w:color w:val="auto"/>
          <w:sz w:val="28"/>
          <w:szCs w:val="28"/>
          <w:highlight w:val="none"/>
        </w:rPr>
        <w:t>. 开标一览表</w:t>
      </w:r>
      <w:r>
        <w:rPr>
          <w:rFonts w:hint="eastAsia" w:hAnsi="宋体" w:cs="宋体"/>
          <w:b/>
          <w:bCs w:val="0"/>
          <w:color w:val="auto"/>
          <w:sz w:val="28"/>
          <w:szCs w:val="28"/>
          <w:highlight w:val="none"/>
          <w:lang w:eastAsia="zh-CN"/>
        </w:rPr>
        <w:t>的</w:t>
      </w:r>
      <w:r>
        <w:rPr>
          <w:rFonts w:hint="eastAsia" w:ascii="宋体" w:hAnsi="宋体" w:eastAsia="宋体" w:cs="宋体"/>
          <w:b/>
          <w:bCs w:val="0"/>
          <w:color w:val="auto"/>
          <w:sz w:val="28"/>
          <w:szCs w:val="28"/>
          <w:highlight w:val="none"/>
        </w:rPr>
        <w:t>格式</w:t>
      </w:r>
      <w:r>
        <w:rPr>
          <w:rFonts w:hint="eastAsia" w:hAnsi="宋体" w:cs="宋体"/>
          <w:b/>
          <w:bCs w:val="0"/>
          <w:color w:val="auto"/>
          <w:sz w:val="28"/>
          <w:szCs w:val="28"/>
          <w:highlight w:val="none"/>
          <w:lang w:eastAsia="zh-CN"/>
        </w:rPr>
        <w:t>：</w:t>
      </w:r>
    </w:p>
    <w:p w14:paraId="2F3EC8DB">
      <w:pPr>
        <w:pStyle w:val="15"/>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3819F786">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项目名称：</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5762CC84">
      <w:pPr>
        <w:snapToGrid w:val="0"/>
        <w:spacing w:before="50" w:after="50" w:line="360" w:lineRule="auto"/>
        <w:rPr>
          <w:rFonts w:hint="eastAsia" w:ascii="宋体" w:hAnsi="宋体" w:cs="Times New Roman"/>
          <w:color w:val="auto"/>
          <w:sz w:val="24"/>
          <w:highlight w:val="none"/>
          <w:u w:val="none"/>
          <w:lang w:val="en-US" w:eastAsia="zh-CN"/>
        </w:rPr>
      </w:pPr>
      <w:r>
        <w:rPr>
          <w:rFonts w:hint="eastAsia" w:ascii="宋体" w:hAnsi="宋体" w:eastAsia="宋体" w:cs="Times New Roman"/>
          <w:color w:val="auto"/>
          <w:sz w:val="24"/>
          <w:highlight w:val="none"/>
        </w:rPr>
        <w:t>项目编号：</w:t>
      </w:r>
      <w:r>
        <w:rPr>
          <w:rFonts w:hint="eastAsia" w:ascii="宋体" w:hAnsi="宋体" w:cs="Times New Roman"/>
          <w:color w:val="auto"/>
          <w:sz w:val="24"/>
          <w:highlight w:val="none"/>
          <w:u w:val="none"/>
          <w:lang w:eastAsia="zh-CN"/>
        </w:rPr>
        <w:t xml:space="preserve"> </w:t>
      </w:r>
      <w:r>
        <w:rPr>
          <w:rFonts w:hint="eastAsia" w:ascii="宋体" w:hAnsi="宋体" w:cs="Times New Roman"/>
          <w:color w:val="auto"/>
          <w:sz w:val="24"/>
          <w:highlight w:val="none"/>
          <w:u w:val="none"/>
          <w:lang w:val="en-US" w:eastAsia="zh-CN"/>
        </w:rPr>
        <w:t xml:space="preserve">  </w:t>
      </w:r>
    </w:p>
    <w:p w14:paraId="6ED95D09">
      <w:pPr>
        <w:snapToGrid w:val="0"/>
        <w:spacing w:before="50" w:after="50" w:line="360" w:lineRule="auto"/>
        <w:rPr>
          <w:rFonts w:hint="eastAsia" w:ascii="宋体" w:hAnsi="宋体" w:eastAsia="宋体" w:cs="Times New Roman"/>
          <w:color w:val="auto"/>
          <w:sz w:val="24"/>
          <w:highlight w:val="none"/>
          <w:u w:val="single"/>
        </w:rPr>
      </w:pPr>
      <w:r>
        <w:rPr>
          <w:rFonts w:hint="eastAsia" w:ascii="宋体" w:hAnsi="宋体" w:cs="宋体"/>
          <w:bCs/>
          <w:color w:val="auto"/>
          <w:sz w:val="24"/>
          <w:highlight w:val="none"/>
        </w:rPr>
        <w:t>所投分标（如有则填写，无分标时填写“无”或者留空）：</w:t>
      </w:r>
      <w:r>
        <w:rPr>
          <w:rFonts w:hint="eastAsia" w:ascii="宋体" w:hAnsi="宋体" w:cs="宋体"/>
          <w:color w:val="auto"/>
          <w:sz w:val="24"/>
          <w:highlight w:val="none"/>
          <w:u w:val="single"/>
        </w:rPr>
        <w:t xml:space="preserve">           </w:t>
      </w:r>
      <w:r>
        <w:rPr>
          <w:rFonts w:hint="eastAsia" w:ascii="宋体" w:hAnsi="宋体" w:cs="Times New Roman"/>
          <w:color w:val="auto"/>
          <w:sz w:val="24"/>
          <w:highlight w:val="none"/>
          <w:u w:val="none"/>
          <w:lang w:val="en-US" w:eastAsia="zh-CN"/>
        </w:rPr>
        <w:t xml:space="preserve">                    </w:t>
      </w:r>
    </w:p>
    <w:tbl>
      <w:tblPr>
        <w:tblStyle w:val="23"/>
        <w:tblW w:w="99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485"/>
        <w:gridCol w:w="1759"/>
        <w:gridCol w:w="1800"/>
        <w:gridCol w:w="832"/>
      </w:tblGrid>
      <w:tr w14:paraId="6080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623E2A">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99F9EAC">
            <w:pPr>
              <w:rPr>
                <w:rFonts w:hint="eastAsia" w:ascii="宋体" w:hAnsi="宋体" w:eastAsia="宋体" w:cs="Times New Roman"/>
                <w:color w:val="auto"/>
                <w:szCs w:val="22"/>
                <w:highlight w:val="none"/>
              </w:rPr>
            </w:pPr>
            <w:r>
              <w:rPr>
                <w:rFonts w:hint="eastAsia" w:ascii="宋体" w:hAnsi="宋体" w:cs="Times New Roman"/>
                <w:color w:val="auto"/>
                <w:szCs w:val="22"/>
                <w:highlight w:val="none"/>
                <w:lang w:eastAsia="zh-CN"/>
              </w:rPr>
              <w:t>货品名称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3EF6E0CF">
            <w:pPr>
              <w:jc w:val="center"/>
              <w:rPr>
                <w:rFonts w:hint="default" w:ascii="宋体" w:hAnsi="宋体" w:eastAsia="宋体" w:cs="Times New Roman"/>
                <w:color w:val="auto"/>
                <w:szCs w:val="22"/>
                <w:highlight w:val="none"/>
                <w:lang w:val="en-US" w:eastAsia="zh-CN"/>
              </w:rPr>
            </w:pPr>
            <w:r>
              <w:rPr>
                <w:rFonts w:hint="default" w:ascii="宋体" w:hAnsi="宋体" w:eastAsia="宋体" w:cs="Times New Roman"/>
                <w:color w:val="auto"/>
                <w:szCs w:val="22"/>
                <w:highlight w:val="none"/>
                <w:lang w:val="en-US" w:eastAsia="zh-CN"/>
              </w:rPr>
              <w:t>服务技术要求</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084AAD6">
            <w:pPr>
              <w:jc w:val="center"/>
              <w:rPr>
                <w:rFonts w:hint="eastAsia" w:ascii="宋体" w:hAnsi="宋体" w:eastAsia="宋体" w:cs="Times New Roman"/>
                <w:color w:val="auto"/>
                <w:szCs w:val="22"/>
                <w:highlight w:val="none"/>
                <w:lang w:eastAsia="zh-CN"/>
              </w:rPr>
            </w:pPr>
            <w:r>
              <w:rPr>
                <w:rFonts w:hint="eastAsia" w:ascii="宋体" w:hAnsi="宋体" w:cs="Times New Roman"/>
                <w:color w:val="auto"/>
                <w:szCs w:val="22"/>
                <w:highlight w:val="none"/>
                <w:lang w:eastAsia="zh-CN"/>
              </w:rPr>
              <w:t>数量</w:t>
            </w:r>
            <w:r>
              <w:rPr>
                <w:rFonts w:hint="eastAsia" w:ascii="宋体" w:hAnsi="宋体" w:eastAsia="宋体" w:cs="Times New Roman"/>
                <w:color w:val="auto"/>
                <w:szCs w:val="22"/>
                <w:highlight w:val="none"/>
              </w:rPr>
              <w:t>①</w:t>
            </w:r>
          </w:p>
        </w:tc>
        <w:tc>
          <w:tcPr>
            <w:tcW w:w="1759" w:type="dxa"/>
            <w:tcBorders>
              <w:top w:val="single" w:color="auto" w:sz="4" w:space="0"/>
              <w:left w:val="single" w:color="auto" w:sz="4" w:space="0"/>
              <w:bottom w:val="single" w:color="auto" w:sz="4" w:space="0"/>
              <w:right w:val="single" w:color="auto" w:sz="4" w:space="0"/>
            </w:tcBorders>
            <w:noWrap w:val="0"/>
            <w:vAlign w:val="center"/>
          </w:tcPr>
          <w:p w14:paraId="0861DBAA">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单价(元)②</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8190540">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单项合价（元）</w:t>
            </w:r>
          </w:p>
          <w:p w14:paraId="13FFF69D">
            <w:pPr>
              <w:spacing w:line="360" w:lineRule="auto"/>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③＝①×②</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7DF987BA">
            <w:pP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备注</w:t>
            </w:r>
          </w:p>
        </w:tc>
      </w:tr>
      <w:tr w14:paraId="53F1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FE421A">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68191A6">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99E27FB">
            <w:pPr>
              <w:rPr>
                <w:rFonts w:hint="eastAsia" w:ascii="宋体" w:hAnsi="宋体" w:eastAsia="宋体" w:cs="Times New Roman"/>
                <w:color w:val="auto"/>
                <w:szCs w:val="22"/>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A750D5F">
            <w:pPr>
              <w:rPr>
                <w:rFonts w:hint="eastAsia" w:ascii="宋体" w:hAnsi="宋体" w:eastAsia="宋体" w:cs="Times New Roman"/>
                <w:color w:val="auto"/>
                <w:szCs w:val="22"/>
                <w:highlight w:val="none"/>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1A34715A">
            <w:pPr>
              <w:rPr>
                <w:rFonts w:hint="eastAsia" w:ascii="宋体" w:hAnsi="宋体" w:eastAsia="宋体" w:cs="Times New Roman"/>
                <w:color w:val="auto"/>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A27667E">
            <w:pPr>
              <w:rPr>
                <w:rFonts w:hint="eastAsia" w:ascii="宋体" w:hAnsi="宋体" w:eastAsia="宋体" w:cs="Times New Roman"/>
                <w:color w:val="auto"/>
                <w:szCs w:val="22"/>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1A19CEF5">
            <w:pPr>
              <w:rPr>
                <w:rFonts w:hint="eastAsia" w:ascii="宋体" w:hAnsi="宋体" w:eastAsia="宋体" w:cs="Times New Roman"/>
                <w:color w:val="auto"/>
                <w:szCs w:val="22"/>
                <w:highlight w:val="none"/>
              </w:rPr>
            </w:pPr>
          </w:p>
        </w:tc>
      </w:tr>
      <w:tr w14:paraId="4F472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A6128B8">
            <w:pPr>
              <w:jc w:val="center"/>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8CE79A3">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0DEE3042">
            <w:pPr>
              <w:rPr>
                <w:rFonts w:hint="eastAsia" w:ascii="宋体" w:hAnsi="宋体" w:eastAsia="宋体" w:cs="Times New Roman"/>
                <w:color w:val="auto"/>
                <w:szCs w:val="22"/>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6F93C2F">
            <w:pPr>
              <w:rPr>
                <w:rFonts w:hint="eastAsia" w:ascii="宋体" w:hAnsi="宋体" w:eastAsia="宋体" w:cs="Times New Roman"/>
                <w:color w:val="auto"/>
                <w:szCs w:val="22"/>
                <w:highlight w:val="none"/>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E1C836B">
            <w:pPr>
              <w:rPr>
                <w:rFonts w:hint="eastAsia" w:ascii="宋体" w:hAnsi="宋体" w:eastAsia="宋体" w:cs="Times New Roman"/>
                <w:color w:val="auto"/>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81E1387">
            <w:pPr>
              <w:rPr>
                <w:rFonts w:hint="eastAsia" w:ascii="宋体" w:hAnsi="宋体" w:eastAsia="宋体" w:cs="Times New Roman"/>
                <w:color w:val="auto"/>
                <w:szCs w:val="22"/>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088CB3D8">
            <w:pPr>
              <w:rPr>
                <w:rFonts w:hint="eastAsia" w:ascii="宋体" w:hAnsi="宋体" w:eastAsia="宋体" w:cs="Times New Roman"/>
                <w:color w:val="auto"/>
                <w:szCs w:val="22"/>
                <w:highlight w:val="none"/>
              </w:rPr>
            </w:pPr>
          </w:p>
        </w:tc>
      </w:tr>
      <w:tr w14:paraId="5855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E2693AB">
            <w:pPr>
              <w:rPr>
                <w:rFonts w:hint="default"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CD12E3E">
            <w:pPr>
              <w:rPr>
                <w:rFonts w:hint="eastAsia" w:ascii="宋体" w:hAnsi="宋体" w:eastAsia="宋体" w:cs="Times New Roman"/>
                <w:color w:val="auto"/>
                <w:szCs w:val="22"/>
                <w:highlight w:val="none"/>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09136116">
            <w:pPr>
              <w:rPr>
                <w:rFonts w:hint="eastAsia" w:ascii="宋体" w:hAnsi="宋体" w:eastAsia="宋体" w:cs="Times New Roman"/>
                <w:color w:val="auto"/>
                <w:szCs w:val="22"/>
                <w:highlight w:val="none"/>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641BC08">
            <w:pPr>
              <w:rPr>
                <w:rFonts w:hint="eastAsia" w:ascii="宋体" w:hAnsi="宋体" w:eastAsia="宋体" w:cs="Times New Roman"/>
                <w:color w:val="auto"/>
                <w:szCs w:val="22"/>
                <w:highlight w:val="none"/>
              </w:rPr>
            </w:pPr>
          </w:p>
        </w:tc>
        <w:tc>
          <w:tcPr>
            <w:tcW w:w="1759" w:type="dxa"/>
            <w:tcBorders>
              <w:top w:val="single" w:color="auto" w:sz="4" w:space="0"/>
              <w:left w:val="single" w:color="auto" w:sz="4" w:space="0"/>
              <w:bottom w:val="single" w:color="auto" w:sz="4" w:space="0"/>
              <w:right w:val="single" w:color="auto" w:sz="4" w:space="0"/>
            </w:tcBorders>
            <w:noWrap w:val="0"/>
            <w:vAlign w:val="center"/>
          </w:tcPr>
          <w:p w14:paraId="24CA8BA0">
            <w:pPr>
              <w:rPr>
                <w:rFonts w:hint="eastAsia" w:ascii="宋体" w:hAnsi="宋体" w:eastAsia="宋体" w:cs="Times New Roman"/>
                <w:color w:val="auto"/>
                <w:szCs w:val="22"/>
                <w:highlight w:val="non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E5AE829">
            <w:pPr>
              <w:rPr>
                <w:rFonts w:hint="eastAsia" w:ascii="宋体" w:hAnsi="宋体" w:eastAsia="宋体" w:cs="Times New Roman"/>
                <w:color w:val="auto"/>
                <w:szCs w:val="22"/>
                <w:highlight w:val="none"/>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5C68ED41">
            <w:pPr>
              <w:rPr>
                <w:rFonts w:hint="eastAsia" w:ascii="宋体" w:hAnsi="宋体" w:eastAsia="宋体" w:cs="Times New Roman"/>
                <w:color w:val="auto"/>
                <w:szCs w:val="22"/>
                <w:highlight w:val="none"/>
              </w:rPr>
            </w:pPr>
          </w:p>
        </w:tc>
      </w:tr>
      <w:tr w14:paraId="4050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919" w:type="dxa"/>
            <w:gridSpan w:val="7"/>
            <w:tcBorders>
              <w:top w:val="single" w:color="auto" w:sz="4" w:space="0"/>
              <w:left w:val="single" w:color="auto" w:sz="4" w:space="0"/>
              <w:bottom w:val="single" w:color="auto" w:sz="4" w:space="0"/>
              <w:right w:val="single" w:color="auto" w:sz="4" w:space="0"/>
            </w:tcBorders>
            <w:noWrap w:val="0"/>
            <w:vAlign w:val="top"/>
          </w:tcPr>
          <w:p w14:paraId="751339A2">
            <w:pPr>
              <w:rPr>
                <w:rFonts w:hint="eastAsia" w:ascii="宋体" w:hAnsi="宋体" w:cs="宋体"/>
                <w:color w:val="auto"/>
                <w:szCs w:val="22"/>
                <w:highlight w:val="none"/>
              </w:rPr>
            </w:pPr>
            <w:r>
              <w:rPr>
                <w:rFonts w:hint="eastAsia" w:hAnsi="宋体" w:cs="宋体"/>
                <w:color w:val="auto"/>
                <w:highlight w:val="none"/>
                <w:lang w:eastAsia="zh-CN"/>
              </w:rPr>
              <w:t>投标总</w:t>
            </w:r>
            <w:r>
              <w:rPr>
                <w:rFonts w:hint="eastAsia" w:ascii="宋体" w:hAnsi="宋体" w:cs="宋体"/>
                <w:color w:val="auto"/>
                <w:szCs w:val="22"/>
                <w:highlight w:val="none"/>
              </w:rPr>
              <w:t>报价</w:t>
            </w:r>
            <w:r>
              <w:rPr>
                <w:rFonts w:hint="eastAsia" w:ascii="宋体" w:hAnsi="宋体" w:eastAsia="宋体" w:cs="Times New Roman"/>
                <w:color w:val="auto"/>
                <w:szCs w:val="21"/>
                <w:highlight w:val="none"/>
              </w:rPr>
              <w:t>（包含税费等所有费用）：</w:t>
            </w:r>
            <w:r>
              <w:rPr>
                <w:rFonts w:hint="eastAsia" w:ascii="宋体" w:hAnsi="宋体" w:cs="宋体"/>
                <w:color w:val="auto"/>
                <w:szCs w:val="22"/>
                <w:highlight w:val="none"/>
              </w:rPr>
              <w:t xml:space="preserve">（大写）人民币 </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w:t>
            </w:r>
            <w:r>
              <w:rPr>
                <w:rFonts w:hint="eastAsia" w:ascii="宋体" w:hAnsi="宋体" w:cs="宋体"/>
                <w:color w:val="auto"/>
                <w:szCs w:val="22"/>
                <w:highlight w:val="none"/>
                <w:lang w:eastAsia="zh-CN"/>
              </w:rPr>
              <w:t>小写</w:t>
            </w:r>
            <w:r>
              <w:rPr>
                <w:rFonts w:hint="eastAsia" w:ascii="宋体" w:hAnsi="宋体" w:cs="宋体"/>
                <w:color w:val="auto"/>
                <w:szCs w:val="22"/>
                <w:highlight w:val="none"/>
              </w:rPr>
              <w:t>）</w:t>
            </w:r>
            <w:r>
              <w:rPr>
                <w:rFonts w:hint="eastAsia" w:ascii="宋体" w:hAnsi="宋体" w:cs="宋体"/>
                <w:color w:val="auto"/>
                <w:szCs w:val="22"/>
                <w:highlight w:val="none"/>
                <w:lang w:eastAsia="zh-CN"/>
              </w:rPr>
              <w:t>¥</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u w:val="single"/>
                <w:lang w:val="en-US" w:eastAsia="zh-CN"/>
              </w:rPr>
              <w:t xml:space="preserve">       </w:t>
            </w:r>
            <w:r>
              <w:rPr>
                <w:rFonts w:hint="eastAsia" w:ascii="宋体" w:hAnsi="宋体" w:cs="宋体"/>
                <w:color w:val="auto"/>
                <w:szCs w:val="22"/>
                <w:highlight w:val="none"/>
                <w:u w:val="single"/>
              </w:rPr>
              <w:t xml:space="preserve">  </w:t>
            </w:r>
          </w:p>
          <w:p w14:paraId="4738F7F2">
            <w:pPr>
              <w:jc w:val="left"/>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服务期限：</w:t>
            </w:r>
          </w:p>
          <w:p w14:paraId="442DB9D2">
            <w:pPr>
              <w:jc w:val="left"/>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报价说明：如果执行价格有变动，以市场询价结果为依据，不超过市场单价结算</w:t>
            </w:r>
          </w:p>
        </w:tc>
      </w:tr>
    </w:tbl>
    <w:p w14:paraId="6DA1B8AC">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276BD494">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投标人需按本表格式填写，不得自行更改，也不得留空</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除外</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highlight w:val="none"/>
          <w:lang w:val="zh-CN"/>
        </w:rPr>
        <w:t>, 如有多分标，按分标分别提供开标一览表，必须加盖投标人有效公章，</w:t>
      </w:r>
      <w:r>
        <w:rPr>
          <w:rFonts w:hint="eastAsia" w:ascii="宋体" w:hAnsi="宋体" w:eastAsia="宋体" w:cs="宋体"/>
          <w:b/>
          <w:color w:val="auto"/>
          <w:kern w:val="0"/>
          <w:sz w:val="24"/>
          <w:highlight w:val="none"/>
          <w:lang w:val="zh-CN"/>
        </w:rPr>
        <w:t>否则其投标作无效标处理。</w:t>
      </w:r>
    </w:p>
    <w:p w14:paraId="473C1CF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2、本表内容均不能涂改，</w:t>
      </w:r>
      <w:r>
        <w:rPr>
          <w:rFonts w:hint="eastAsia" w:ascii="宋体" w:hAnsi="宋体" w:eastAsia="宋体" w:cs="宋体"/>
          <w:b/>
          <w:color w:val="auto"/>
          <w:kern w:val="0"/>
          <w:sz w:val="24"/>
          <w:highlight w:val="none"/>
          <w:lang w:val="zh-CN"/>
        </w:rPr>
        <w:t>否则其投标作无效标处理。</w:t>
      </w:r>
    </w:p>
    <w:p w14:paraId="62F7FA88">
      <w:pPr>
        <w:snapToGrid w:val="0"/>
        <w:spacing w:before="50" w:after="50"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否则其投标作无效标处理。</w:t>
      </w:r>
    </w:p>
    <w:p w14:paraId="3FC1BF7D">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请</w:t>
      </w:r>
      <w:r>
        <w:rPr>
          <w:rFonts w:hint="eastAsia" w:ascii="宋体" w:hAnsi="宋体" w:eastAsia="宋体" w:cs="宋体"/>
          <w:color w:val="auto"/>
          <w:sz w:val="24"/>
          <w:szCs w:val="24"/>
          <w:highlight w:val="none"/>
        </w:rPr>
        <w:t>根据所投</w:t>
      </w:r>
      <w:r>
        <w:rPr>
          <w:rFonts w:hint="eastAsia" w:hAnsi="宋体" w:cs="宋体"/>
          <w:color w:val="auto"/>
          <w:sz w:val="24"/>
          <w:szCs w:val="24"/>
          <w:highlight w:val="none"/>
          <w:lang w:eastAsia="zh-CN"/>
        </w:rPr>
        <w:t>服务内容</w:t>
      </w:r>
      <w:r>
        <w:rPr>
          <w:rFonts w:hint="eastAsia" w:ascii="宋体" w:hAnsi="宋体" w:eastAsia="宋体" w:cs="宋体"/>
          <w:color w:val="auto"/>
          <w:sz w:val="24"/>
          <w:szCs w:val="24"/>
          <w:highlight w:val="none"/>
        </w:rPr>
        <w:t>，</w:t>
      </w:r>
      <w:r>
        <w:rPr>
          <w:rFonts w:hint="eastAsia" w:ascii="宋体" w:hAnsi="宋体" w:eastAsia="宋体" w:cs="宋体"/>
          <w:b w:val="0"/>
          <w:color w:val="auto"/>
          <w:sz w:val="24"/>
          <w:szCs w:val="24"/>
          <w:highlight w:val="none"/>
        </w:rPr>
        <w:t>逐条对应</w:t>
      </w:r>
      <w:r>
        <w:rPr>
          <w:rFonts w:hint="eastAsia" w:ascii="宋体" w:hAnsi="宋体" w:eastAsia="宋体" w:cs="宋体"/>
          <w:color w:val="auto"/>
          <w:sz w:val="24"/>
          <w:szCs w:val="24"/>
          <w:highlight w:val="none"/>
        </w:rPr>
        <w:t>本项目招标文件“第二章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“技术要求</w:t>
      </w:r>
      <w:r>
        <w:rPr>
          <w:rFonts w:hint="eastAsia" w:ascii="宋体" w:hAnsi="宋体" w:cs="宋体"/>
          <w:color w:val="auto"/>
          <w:sz w:val="24"/>
          <w:szCs w:val="24"/>
          <w:highlight w:val="none"/>
          <w:lang w:eastAsia="zh-CN"/>
        </w:rPr>
        <w:t>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w:t>
      </w:r>
      <w:r>
        <w:rPr>
          <w:rFonts w:hint="eastAsia" w:hAnsi="宋体" w:cs="宋体"/>
          <w:color w:val="auto"/>
          <w:sz w:val="24"/>
          <w:szCs w:val="24"/>
          <w:highlight w:val="none"/>
          <w:lang w:eastAsia="zh-CN"/>
        </w:rPr>
        <w:t>内容</w:t>
      </w:r>
      <w:r>
        <w:rPr>
          <w:rFonts w:hint="eastAsia" w:ascii="宋体" w:hAnsi="宋体" w:eastAsia="宋体" w:cs="宋体"/>
          <w:color w:val="auto"/>
          <w:sz w:val="24"/>
          <w:szCs w:val="24"/>
          <w:highlight w:val="none"/>
        </w:rPr>
        <w:t>详细填写相应的具体内容。</w:t>
      </w:r>
    </w:p>
    <w:p w14:paraId="56CE2D45">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5、特别提示：采购代理机构将对项目名称和项目编号，中标</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val="zh-CN"/>
        </w:rPr>
        <w:t>名称、地址和中标金额，主要中标标的的名称、服务范围、服务要求、服务时间、服务标准等予以公示。</w:t>
      </w:r>
    </w:p>
    <w:p w14:paraId="26352156">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6、</w:t>
      </w:r>
      <w:r>
        <w:rPr>
          <w:rFonts w:hint="eastAsia" w:ascii="宋体" w:hAnsi="宋体" w:eastAsia="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D7EC622">
      <w:pPr>
        <w:pStyle w:val="11"/>
        <w:rPr>
          <w:rFonts w:hint="eastAsia" w:ascii="宋体" w:hAnsi="宋体" w:eastAsia="宋体" w:cs="宋体"/>
          <w:color w:val="auto"/>
          <w:highlight w:val="none"/>
          <w:lang w:val="zh-CN"/>
        </w:rPr>
      </w:pPr>
    </w:p>
    <w:p w14:paraId="5DA016F2">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58D571C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4B8E6D5E">
      <w:pPr>
        <w:widowControl/>
        <w:jc w:val="left"/>
        <w:rPr>
          <w:rFonts w:hint="eastAsia" w:ascii="宋体" w:hAnsi="宋体" w:eastAsia="宋体" w:cs="宋体"/>
          <w:color w:val="auto"/>
          <w:sz w:val="30"/>
          <w:szCs w:val="20"/>
          <w:highlight w:val="none"/>
        </w:rPr>
        <w:sectPr>
          <w:pgSz w:w="11905" w:h="16838"/>
          <w:pgMar w:top="1134" w:right="1134" w:bottom="1134" w:left="1134" w:header="850" w:footer="850" w:gutter="0"/>
          <w:pgNumType w:fmt="decimal"/>
          <w:cols w:space="0" w:num="1"/>
          <w:titlePg/>
          <w:rtlGutter w:val="0"/>
          <w:docGrid w:linePitch="331" w:charSpace="0"/>
        </w:sectPr>
      </w:pPr>
    </w:p>
    <w:p w14:paraId="4182A2FA">
      <w:pPr>
        <w:snapToGrid w:val="0"/>
        <w:spacing w:before="165" w:beforeLines="50" w:after="50"/>
        <w:jc w:val="center"/>
        <w:outlineLvl w:val="1"/>
        <w:rPr>
          <w:rFonts w:ascii="宋体" w:hAnsi="宋体" w:eastAsia="宋体" w:cs="Times New Roman"/>
          <w:b/>
          <w:bCs/>
          <w:color w:val="auto"/>
          <w:sz w:val="28"/>
          <w:szCs w:val="28"/>
          <w:highlight w:val="none"/>
        </w:rPr>
      </w:pPr>
      <w:bookmarkStart w:id="399" w:name="_Toc2783"/>
      <w:r>
        <w:rPr>
          <w:rFonts w:hint="eastAsia" w:ascii="宋体" w:hAnsi="宋体" w:eastAsia="宋体" w:cs="Times New Roman"/>
          <w:b/>
          <w:bCs/>
          <w:color w:val="auto"/>
          <w:sz w:val="28"/>
          <w:szCs w:val="28"/>
          <w:highlight w:val="none"/>
        </w:rPr>
        <w:t>第</w:t>
      </w:r>
      <w:r>
        <w:rPr>
          <w:rFonts w:hint="eastAsia" w:ascii="宋体" w:hAnsi="宋体" w:cs="Times New Roman"/>
          <w:b/>
          <w:bCs/>
          <w:color w:val="auto"/>
          <w:sz w:val="28"/>
          <w:szCs w:val="28"/>
          <w:highlight w:val="none"/>
          <w:lang w:eastAsia="zh-CN"/>
        </w:rPr>
        <w:t>五</w:t>
      </w:r>
      <w:r>
        <w:rPr>
          <w:rFonts w:hint="eastAsia" w:ascii="宋体" w:hAnsi="宋体" w:eastAsia="宋体" w:cs="Times New Roman"/>
          <w:b/>
          <w:bCs/>
          <w:color w:val="auto"/>
          <w:sz w:val="28"/>
          <w:szCs w:val="28"/>
          <w:highlight w:val="none"/>
        </w:rPr>
        <w:t>节 其他文书、文件格式</w:t>
      </w:r>
      <w:bookmarkEnd w:id="399"/>
    </w:p>
    <w:p w14:paraId="4E36FB08">
      <w:pPr>
        <w:pStyle w:val="15"/>
        <w:jc w:val="center"/>
        <w:rPr>
          <w:rFonts w:hint="eastAsia" w:ascii="Times New Roman" w:hAnsi="Times New Roman" w:eastAsia="宋体" w:cs="Times New Roman"/>
          <w:b/>
          <w:color w:val="auto"/>
          <w:sz w:val="30"/>
          <w:szCs w:val="30"/>
          <w:highlight w:val="none"/>
        </w:rPr>
      </w:pPr>
    </w:p>
    <w:p w14:paraId="74807FE5">
      <w:pPr>
        <w:pStyle w:val="15"/>
        <w:jc w:val="left"/>
        <w:rPr>
          <w:rFonts w:hint="eastAsia" w:ascii="Times New Roman" w:hAnsi="Times New Roman" w:eastAsia="宋体" w:cs="Times New Roman"/>
          <w:b/>
          <w:color w:val="auto"/>
          <w:sz w:val="30"/>
          <w:szCs w:val="30"/>
          <w:highlight w:val="none"/>
        </w:rPr>
      </w:pPr>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rPr>
        <w:t>中小企业声明函</w:t>
      </w:r>
      <w:r>
        <w:rPr>
          <w:rFonts w:hint="eastAsia" w:ascii="宋体" w:hAnsi="宋体" w:cs="宋体"/>
          <w:b/>
          <w:color w:val="auto"/>
          <w:sz w:val="28"/>
          <w:szCs w:val="28"/>
          <w:highlight w:val="none"/>
          <w:lang w:eastAsia="zh-CN"/>
        </w:rPr>
        <w:t>的格式：</w:t>
      </w:r>
    </w:p>
    <w:p w14:paraId="7B1BA4BF">
      <w:pPr>
        <w:pStyle w:val="15"/>
        <w:jc w:val="center"/>
        <w:rPr>
          <w:rFonts w:hint="eastAsia" w:ascii="Times New Roman" w:hAnsi="Times New Roman" w:eastAsia="宋体" w:cs="Times New Roman"/>
          <w:b/>
          <w:color w:val="auto"/>
          <w:sz w:val="30"/>
          <w:szCs w:val="30"/>
          <w:highlight w:val="none"/>
        </w:rPr>
      </w:pPr>
    </w:p>
    <w:p w14:paraId="4FA9FA61">
      <w:pPr>
        <w:pStyle w:val="15"/>
        <w:jc w:val="center"/>
        <w:rPr>
          <w:rFonts w:hint="eastAsia" w:ascii="Times New Roman" w:hAnsi="Times New Roman" w:eastAsia="宋体" w:cs="Times New Roman"/>
          <w:b/>
          <w:color w:val="auto"/>
          <w:sz w:val="30"/>
          <w:szCs w:val="30"/>
          <w:highlight w:val="none"/>
        </w:rPr>
      </w:pPr>
      <w:r>
        <w:rPr>
          <w:rFonts w:hint="eastAsia" w:ascii="Times New Roman" w:hAnsi="Times New Roman" w:eastAsia="宋体" w:cs="Times New Roman"/>
          <w:b/>
          <w:color w:val="auto"/>
          <w:sz w:val="30"/>
          <w:szCs w:val="30"/>
          <w:highlight w:val="none"/>
        </w:rPr>
        <w:t>中小企业声明函</w:t>
      </w:r>
    </w:p>
    <w:p w14:paraId="3D9841FD">
      <w:pPr>
        <w:pStyle w:val="13"/>
        <w:spacing w:line="240" w:lineRule="auto"/>
        <w:ind w:firstLine="404" w:firstLineChars="200"/>
        <w:rPr>
          <w:rFonts w:ascii="Times New Roman" w:hAnsi="宋体" w:eastAsia="宋体" w:cs="Times New Roman"/>
          <w:color w:val="auto"/>
          <w:sz w:val="21"/>
          <w:szCs w:val="21"/>
          <w:highlight w:val="none"/>
        </w:rPr>
      </w:pPr>
    </w:p>
    <w:p w14:paraId="74CE6B25">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本公司（联合体）郑重声明，根据《政府采购促进中小企业发展管理办法》（财库﹝2020﹞46 号）的规定，本公司（联合体）参加</w:t>
      </w:r>
      <w:r>
        <w:rPr>
          <w:rFonts w:hint="eastAsia" w:ascii="宋体" w:hAnsi="宋体" w:eastAsia="宋体" w:cs="宋体"/>
          <w:i/>
          <w:color w:val="auto"/>
          <w:kern w:val="0"/>
          <w:sz w:val="21"/>
          <w:szCs w:val="21"/>
          <w:highlight w:val="none"/>
          <w:u w:val="single"/>
        </w:rPr>
        <w:t>（单位名称）</w:t>
      </w:r>
      <w:r>
        <w:rPr>
          <w:rFonts w:hint="eastAsia" w:ascii="宋体" w:hAnsi="宋体" w:eastAsia="宋体" w:cs="宋体"/>
          <w:color w:val="auto"/>
          <w:kern w:val="0"/>
          <w:sz w:val="21"/>
          <w:szCs w:val="21"/>
          <w:highlight w:val="none"/>
        </w:rPr>
        <w:t>的</w:t>
      </w:r>
      <w:r>
        <w:rPr>
          <w:rFonts w:hint="eastAsia" w:ascii="宋体" w:hAnsi="宋体" w:eastAsia="宋体" w:cs="宋体"/>
          <w:i/>
          <w:color w:val="auto"/>
          <w:kern w:val="0"/>
          <w:sz w:val="21"/>
          <w:szCs w:val="21"/>
          <w:highlight w:val="none"/>
          <w:u w:val="single"/>
        </w:rPr>
        <w:t>（项目名称）</w:t>
      </w:r>
      <w:r>
        <w:rPr>
          <w:rFonts w:hint="eastAsia" w:ascii="宋体" w:hAnsi="宋体" w:eastAsia="宋体" w:cs="宋体"/>
          <w:color w:val="auto"/>
          <w:kern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046D953">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14:paraId="4C3E9629">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 </w:t>
      </w:r>
      <w:r>
        <w:rPr>
          <w:rFonts w:hint="eastAsia" w:ascii="宋体" w:hAnsi="宋体" w:eastAsia="宋体" w:cs="宋体"/>
          <w:i/>
          <w:color w:val="auto"/>
          <w:kern w:val="0"/>
          <w:sz w:val="21"/>
          <w:szCs w:val="21"/>
          <w:highlight w:val="none"/>
          <w:u w:val="single"/>
        </w:rPr>
        <w:t>（标的名称）</w:t>
      </w:r>
      <w:r>
        <w:rPr>
          <w:rFonts w:hint="eastAsia" w:ascii="宋体" w:hAnsi="宋体" w:eastAsia="宋体" w:cs="宋体"/>
          <w:color w:val="auto"/>
          <w:kern w:val="0"/>
          <w:sz w:val="21"/>
          <w:szCs w:val="21"/>
          <w:highlight w:val="none"/>
        </w:rPr>
        <w:t xml:space="preserve"> ，属于</w:t>
      </w:r>
      <w:r>
        <w:rPr>
          <w:rFonts w:hint="eastAsia" w:ascii="宋体" w:hAnsi="宋体" w:eastAsia="宋体" w:cs="宋体"/>
          <w:i/>
          <w:color w:val="auto"/>
          <w:kern w:val="0"/>
          <w:sz w:val="21"/>
          <w:szCs w:val="21"/>
          <w:highlight w:val="none"/>
          <w:u w:val="single"/>
        </w:rPr>
        <w:t>（</w:t>
      </w:r>
      <w:r>
        <w:rPr>
          <w:rFonts w:hint="eastAsia" w:ascii="宋体" w:hAnsi="宋体" w:eastAsia="宋体" w:cs="宋体"/>
          <w:i/>
          <w:color w:val="auto"/>
          <w:kern w:val="0"/>
          <w:sz w:val="21"/>
          <w:szCs w:val="21"/>
          <w:highlight w:val="none"/>
          <w:u w:val="single"/>
          <w:lang w:eastAsia="zh-CN"/>
        </w:rPr>
        <w:t>采购</w:t>
      </w:r>
      <w:r>
        <w:rPr>
          <w:rFonts w:hint="eastAsia" w:ascii="宋体" w:hAnsi="宋体" w:eastAsia="宋体" w:cs="宋体"/>
          <w:i/>
          <w:color w:val="auto"/>
          <w:kern w:val="0"/>
          <w:sz w:val="21"/>
          <w:szCs w:val="21"/>
          <w:highlight w:val="none"/>
          <w:u w:val="single"/>
        </w:rPr>
        <w:t>文件中明确的所属行业）</w:t>
      </w:r>
      <w:r>
        <w:rPr>
          <w:rFonts w:hint="eastAsia" w:ascii="宋体" w:hAnsi="宋体" w:eastAsia="宋体" w:cs="宋体"/>
          <w:color w:val="auto"/>
          <w:kern w:val="0"/>
          <w:sz w:val="21"/>
          <w:szCs w:val="21"/>
          <w:highlight w:val="none"/>
        </w:rPr>
        <w:t>；承建（承接）企业为</w:t>
      </w:r>
      <w:r>
        <w:rPr>
          <w:rFonts w:hint="eastAsia" w:ascii="宋体" w:hAnsi="宋体" w:eastAsia="宋体" w:cs="宋体"/>
          <w:i/>
          <w:color w:val="auto"/>
          <w:kern w:val="0"/>
          <w:sz w:val="21"/>
          <w:szCs w:val="21"/>
          <w:highlight w:val="none"/>
          <w:u w:val="single"/>
        </w:rPr>
        <w:t>（企业名称）</w:t>
      </w:r>
      <w:r>
        <w:rPr>
          <w:rFonts w:hint="eastAsia" w:ascii="宋体" w:hAnsi="宋体" w:eastAsia="宋体" w:cs="宋体"/>
          <w:color w:val="auto"/>
          <w:kern w:val="0"/>
          <w:sz w:val="21"/>
          <w:szCs w:val="21"/>
          <w:highlight w:val="none"/>
        </w:rPr>
        <w:t>，从业人员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人，营业收入为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万元，资产总额为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万元，属于</w:t>
      </w:r>
      <w:r>
        <w:rPr>
          <w:rFonts w:hint="eastAsia" w:ascii="宋体" w:hAnsi="宋体" w:eastAsia="宋体" w:cs="宋体"/>
          <w:i/>
          <w:color w:val="auto"/>
          <w:kern w:val="0"/>
          <w:sz w:val="21"/>
          <w:szCs w:val="21"/>
          <w:highlight w:val="none"/>
          <w:u w:val="single"/>
        </w:rPr>
        <w:t>（中型企业、小型企业、微型企业）</w:t>
      </w:r>
      <w:r>
        <w:rPr>
          <w:rFonts w:hint="eastAsia" w:ascii="宋体" w:hAnsi="宋体" w:eastAsia="宋体" w:cs="宋体"/>
          <w:color w:val="auto"/>
          <w:kern w:val="0"/>
          <w:sz w:val="21"/>
          <w:szCs w:val="21"/>
          <w:highlight w:val="none"/>
        </w:rPr>
        <w:t>；</w:t>
      </w:r>
    </w:p>
    <w:p w14:paraId="54E8BA9E">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p w14:paraId="158DFA29">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以上企业，不属于大企业的分支机构，不存在控股股东为大企业的情形，也不存在与大企业的负责人为同一人的情形。</w:t>
      </w:r>
    </w:p>
    <w:p w14:paraId="6F055AD7">
      <w:pPr>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本企业对上述声明内容的真实性负责。如有虚假，将依法承担相应责任。</w:t>
      </w:r>
    </w:p>
    <w:p w14:paraId="6A5E017A">
      <w:pPr>
        <w:pStyle w:val="15"/>
        <w:spacing w:line="360" w:lineRule="auto"/>
        <w:ind w:firstLine="420" w:firstLineChars="200"/>
        <w:rPr>
          <w:rFonts w:hint="eastAsia" w:hAnsi="宋体" w:eastAsia="宋体" w:cs="Times New Roman"/>
          <w:color w:val="auto"/>
          <w:szCs w:val="21"/>
          <w:highlight w:val="none"/>
        </w:rPr>
      </w:pPr>
    </w:p>
    <w:p w14:paraId="4F8A4282">
      <w:pPr>
        <w:pStyle w:val="15"/>
        <w:spacing w:line="360" w:lineRule="auto"/>
        <w:ind w:firstLine="420" w:firstLineChars="200"/>
        <w:rPr>
          <w:rFonts w:hint="eastAsia" w:ascii="宋体" w:hAnsi="宋体" w:eastAsia="宋体" w:cs="宋体"/>
          <w:color w:val="auto"/>
          <w:szCs w:val="21"/>
          <w:highlight w:val="none"/>
        </w:rPr>
      </w:pPr>
    </w:p>
    <w:p w14:paraId="19055AED">
      <w:pPr>
        <w:snapToGrid w:val="0"/>
        <w:spacing w:line="360" w:lineRule="auto"/>
        <w:ind w:firstLine="5040" w:firstLineChars="2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投标人名称(盖公章)：</w:t>
      </w:r>
    </w:p>
    <w:p w14:paraId="62904D3B">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4DEDC47">
      <w:pPr>
        <w:pStyle w:val="15"/>
        <w:spacing w:line="360" w:lineRule="auto"/>
        <w:ind w:firstLine="420" w:firstLineChars="200"/>
        <w:rPr>
          <w:rFonts w:hint="eastAsia" w:hAnsi="宋体" w:eastAsia="宋体" w:cs="Times New Roman"/>
          <w:color w:val="auto"/>
          <w:szCs w:val="21"/>
          <w:highlight w:val="none"/>
        </w:rPr>
      </w:pPr>
    </w:p>
    <w:p w14:paraId="2B0ABE71">
      <w:pPr>
        <w:snapToGrid w:val="0"/>
        <w:spacing w:before="50" w:after="165" w:afterLines="50" w:line="360" w:lineRule="auto"/>
        <w:ind w:firstLine="210" w:firstLine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F5C5D61">
      <w:pPr>
        <w:numPr>
          <w:ilvl w:val="0"/>
          <w:numId w:val="10"/>
        </w:numPr>
        <w:snapToGrid w:val="0"/>
        <w:spacing w:before="50" w:after="165" w:afterLines="50" w:line="360" w:lineRule="auto"/>
        <w:ind w:left="660" w:hanging="36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从业人员、营业收入、资产总额填报上一年度数据，无上一年度数据的新成立企业可不填报。</w:t>
      </w:r>
    </w:p>
    <w:p w14:paraId="4C78D504">
      <w:pPr>
        <w:snapToGrid w:val="0"/>
        <w:spacing w:before="50" w:after="165" w:afterLines="50"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2、请根据自己的真实情况出具《中小企业声明函》。依法享受中小企业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政策的，采购人或者采购代理机构在公告中标结果时，同时公告其《中小企业声明函》，接受社会监督。</w:t>
      </w:r>
    </w:p>
    <w:p w14:paraId="6B4F0831">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、本声明函主要供参加政府采购活动的中小企业填写，非中小企业无需填写。</w:t>
      </w:r>
    </w:p>
    <w:p w14:paraId="240CBF2F">
      <w:pPr>
        <w:pStyle w:val="13"/>
        <w:spacing w:line="360" w:lineRule="auto"/>
        <w:ind w:firstLine="406"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、小型、微型企业提供中型企业提供的服务的，视同为中型企业。</w:t>
      </w:r>
    </w:p>
    <w:p w14:paraId="53EC842D">
      <w:pPr>
        <w:pStyle w:val="17"/>
        <w:rPr>
          <w:rFonts w:hint="eastAsia" w:ascii="宋体" w:hAnsi="宋体" w:eastAsia="宋体" w:cs="宋体"/>
          <w:b/>
          <w:bCs/>
          <w:color w:val="auto"/>
          <w:highlight w:val="none"/>
        </w:rPr>
        <w:sectPr>
          <w:pgSz w:w="11905" w:h="16838"/>
          <w:pgMar w:top="1134" w:right="1134" w:bottom="1134" w:left="1134" w:header="850" w:footer="850" w:gutter="0"/>
          <w:pgNumType w:fmt="decimal"/>
          <w:cols w:space="0" w:num="1"/>
          <w:titlePg/>
          <w:rtlGutter w:val="0"/>
          <w:docGrid w:linePitch="331" w:charSpace="0"/>
        </w:sectPr>
      </w:pPr>
    </w:p>
    <w:p w14:paraId="3A9E588E">
      <w:pPr>
        <w:jc w:val="left"/>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2.残疾人福利性单位声明函的格式：</w:t>
      </w:r>
    </w:p>
    <w:p w14:paraId="7E9E6813">
      <w:pPr>
        <w:jc w:val="left"/>
        <w:rPr>
          <w:rFonts w:hint="eastAsia" w:hAnsi="宋体" w:cs="宋体"/>
          <w:b/>
          <w:color w:val="auto"/>
          <w:sz w:val="28"/>
          <w:szCs w:val="28"/>
          <w:highlight w:val="none"/>
          <w:lang w:val="en-US" w:eastAsia="zh-CN"/>
        </w:rPr>
      </w:pPr>
    </w:p>
    <w:p w14:paraId="3A6F4748">
      <w:pPr>
        <w:jc w:val="left"/>
        <w:rPr>
          <w:rFonts w:hint="eastAsia" w:hAnsi="宋体" w:cs="宋体"/>
          <w:b/>
          <w:color w:val="auto"/>
          <w:sz w:val="28"/>
          <w:szCs w:val="28"/>
          <w:highlight w:val="none"/>
          <w:lang w:val="en" w:eastAsia="zh-CN"/>
        </w:rPr>
      </w:pPr>
    </w:p>
    <w:p w14:paraId="4E172B21">
      <w:pPr>
        <w:pStyle w:val="15"/>
        <w:spacing w:line="360" w:lineRule="auto"/>
        <w:jc w:val="center"/>
        <w:rPr>
          <w:rFonts w:hint="eastAsia" w:eastAsia="宋体" w:cs="Times New Roman"/>
          <w:b/>
          <w:color w:val="auto"/>
          <w:sz w:val="30"/>
          <w:szCs w:val="30"/>
          <w:highlight w:val="none"/>
        </w:rPr>
      </w:pPr>
      <w:r>
        <w:rPr>
          <w:rFonts w:hint="eastAsia" w:eastAsia="宋体" w:cs="Times New Roman"/>
          <w:b/>
          <w:color w:val="auto"/>
          <w:sz w:val="30"/>
          <w:szCs w:val="30"/>
          <w:highlight w:val="none"/>
        </w:rPr>
        <w:t>残疾人福利性单位声明函</w:t>
      </w:r>
    </w:p>
    <w:p w14:paraId="3E339E64">
      <w:pPr>
        <w:pStyle w:val="15"/>
        <w:spacing w:line="360" w:lineRule="auto"/>
        <w:jc w:val="center"/>
        <w:rPr>
          <w:rFonts w:hint="eastAsia" w:eastAsia="宋体" w:cs="Times New Roman"/>
          <w:b/>
          <w:color w:val="auto"/>
          <w:sz w:val="30"/>
          <w:szCs w:val="30"/>
          <w:highlight w:val="none"/>
        </w:rPr>
      </w:pPr>
    </w:p>
    <w:p w14:paraId="2CB8D6B8">
      <w:pPr>
        <w:pStyle w:val="15"/>
        <w:spacing w:line="360" w:lineRule="auto"/>
        <w:jc w:val="left"/>
        <w:rPr>
          <w:rFonts w:hint="eastAsia" w:ascii="宋体" w:hAnsi="宋体" w:eastAsia="宋体" w:cs="宋体"/>
          <w:color w:val="auto"/>
          <w:sz w:val="24"/>
          <w:szCs w:val="24"/>
          <w:highlight w:val="none"/>
        </w:rPr>
      </w:pPr>
      <w:r>
        <w:rPr>
          <w:rFonts w:hint="eastAsia" w:eastAsia="宋体" w:cs="Times New Roman"/>
          <w:color w:val="auto"/>
          <w:sz w:val="30"/>
          <w:szCs w:val="30"/>
          <w:highlight w:val="none"/>
        </w:rPr>
        <w:t xml:space="preserve"> </w:t>
      </w: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45B58044">
      <w:pPr>
        <w:pStyle w:val="1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对上述声明的真实性负责。如有虚假，将依法承担相应责任。</w:t>
      </w:r>
    </w:p>
    <w:p w14:paraId="26945225">
      <w:pPr>
        <w:pStyle w:val="15"/>
        <w:spacing w:line="360" w:lineRule="auto"/>
        <w:jc w:val="left"/>
        <w:rPr>
          <w:rFonts w:hint="eastAsia" w:ascii="宋体" w:hAnsi="宋体" w:eastAsia="宋体" w:cs="宋体"/>
          <w:b/>
          <w:color w:val="auto"/>
          <w:szCs w:val="21"/>
          <w:highlight w:val="none"/>
        </w:rPr>
      </w:pPr>
    </w:p>
    <w:p w14:paraId="317E3D40">
      <w:pPr>
        <w:pStyle w:val="15"/>
        <w:spacing w:line="360" w:lineRule="auto"/>
        <w:jc w:val="left"/>
        <w:rPr>
          <w:rFonts w:hint="eastAsia" w:ascii="宋体" w:hAnsi="宋体" w:eastAsia="宋体" w:cs="宋体"/>
          <w:b/>
          <w:color w:val="auto"/>
          <w:szCs w:val="21"/>
          <w:highlight w:val="none"/>
        </w:rPr>
      </w:pPr>
    </w:p>
    <w:p w14:paraId="18503772">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投标人名称(盖公章)：</w:t>
      </w:r>
    </w:p>
    <w:p w14:paraId="4FBD666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258CA58">
      <w:pPr>
        <w:pStyle w:val="15"/>
        <w:spacing w:line="360" w:lineRule="auto"/>
        <w:ind w:left="5132" w:leftChars="1979" w:hanging="976" w:hangingChars="488"/>
        <w:rPr>
          <w:rFonts w:hint="eastAsia" w:ascii="宋体" w:hAnsi="宋体" w:eastAsia="宋体" w:cs="宋体"/>
          <w:color w:val="auto"/>
          <w:sz w:val="20"/>
          <w:highlight w:val="none"/>
        </w:rPr>
      </w:pPr>
    </w:p>
    <w:p w14:paraId="480BCB8E">
      <w:pPr>
        <w:spacing w:line="360" w:lineRule="auto"/>
        <w:ind w:right="420" w:firstLine="480" w:firstLineChars="200"/>
        <w:rPr>
          <w:rFonts w:hint="eastAsia" w:ascii="宋体" w:hAnsi="宋体" w:eastAsia="宋体" w:cs="宋体"/>
          <w:color w:val="auto"/>
          <w:sz w:val="24"/>
          <w:highlight w:val="none"/>
        </w:rPr>
      </w:pPr>
    </w:p>
    <w:p w14:paraId="088CB07E">
      <w:pPr>
        <w:spacing w:line="360" w:lineRule="auto"/>
        <w:ind w:right="420" w:firstLine="480" w:firstLineChars="200"/>
        <w:rPr>
          <w:rFonts w:hint="eastAsia" w:ascii="宋体" w:hAnsi="宋体" w:eastAsia="宋体" w:cs="宋体"/>
          <w:color w:val="auto"/>
          <w:sz w:val="24"/>
          <w:highlight w:val="none"/>
        </w:rPr>
      </w:pPr>
    </w:p>
    <w:p w14:paraId="646499B1">
      <w:pPr>
        <w:spacing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注：请根据自己的真实情况出具《残疾人福利性单位声明函》。依法享受中小企业</w:t>
      </w:r>
      <w:r>
        <w:rPr>
          <w:rFonts w:hint="eastAsia" w:ascii="宋体" w:hAnsi="宋体" w:eastAsia="宋体" w:cs="宋体"/>
          <w:color w:val="auto"/>
          <w:sz w:val="21"/>
          <w:szCs w:val="21"/>
          <w:highlight w:val="none"/>
          <w:lang w:eastAsia="zh-CN"/>
        </w:rPr>
        <w:t>扶持</w:t>
      </w:r>
      <w:r>
        <w:rPr>
          <w:rFonts w:hint="eastAsia" w:ascii="宋体" w:hAnsi="宋体" w:eastAsia="宋体" w:cs="宋体"/>
          <w:color w:val="auto"/>
          <w:sz w:val="21"/>
          <w:szCs w:val="21"/>
          <w:highlight w:val="none"/>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31D38815">
      <w:pPr>
        <w:widowControl/>
        <w:spacing w:line="240" w:lineRule="auto"/>
        <w:jc w:val="left"/>
        <w:rPr>
          <w:color w:val="auto"/>
          <w:sz w:val="20"/>
          <w:highlight w:val="none"/>
        </w:rPr>
      </w:pPr>
      <w:r>
        <w:rPr>
          <w:color w:val="auto"/>
          <w:sz w:val="20"/>
          <w:highlight w:val="none"/>
        </w:rPr>
        <w:br w:type="page"/>
      </w:r>
    </w:p>
    <w:p w14:paraId="78C5DDF1">
      <w:pPr>
        <w:pStyle w:val="17"/>
        <w:numPr>
          <w:ilvl w:val="0"/>
          <w:numId w:val="8"/>
        </w:numPr>
        <w:ind w:left="142"/>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56952EF4">
      <w:pPr>
        <w:pStyle w:val="17"/>
        <w:numPr>
          <w:ilvl w:val="0"/>
          <w:numId w:val="0"/>
        </w:numPr>
        <w:rPr>
          <w:rFonts w:hint="eastAsia" w:ascii="宋体" w:hAnsi="宋体" w:eastAsia="宋体" w:cs="宋体"/>
          <w:color w:val="auto"/>
          <w:kern w:val="0"/>
          <w:sz w:val="28"/>
          <w:szCs w:val="28"/>
          <w:highlight w:val="none"/>
          <w:lang w:eastAsia="zh-CN"/>
        </w:rPr>
      </w:pPr>
    </w:p>
    <w:p w14:paraId="5A930876">
      <w:pPr>
        <w:shd w:val="clear" w:color="auto" w:fill="FFFFFF"/>
        <w:spacing w:line="480" w:lineRule="atLeast"/>
        <w:jc w:val="center"/>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广西壮族自治区政府采购项目合同验收书</w:t>
      </w:r>
    </w:p>
    <w:p w14:paraId="5584084F">
      <w:pPr>
        <w:shd w:val="clear" w:color="auto" w:fill="FFFFFF"/>
        <w:spacing w:line="480" w:lineRule="atLeast"/>
        <w:jc w:val="center"/>
        <w:rPr>
          <w:rFonts w:hint="eastAsia" w:ascii="宋体" w:hAnsi="宋体" w:eastAsia="宋体" w:cs="宋体"/>
          <w:color w:val="auto"/>
          <w:kern w:val="0"/>
          <w:sz w:val="32"/>
          <w:szCs w:val="32"/>
          <w:highlight w:val="none"/>
        </w:rPr>
      </w:pPr>
    </w:p>
    <w:p w14:paraId="0BA031B5">
      <w:pPr>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政府采购项目中标（或者成交）投标人（</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23"/>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BB54FA0">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47800D55">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F139498">
            <w:pPr>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7B4277B4">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26DFB02">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921" w:type="dxa"/>
            <w:tcBorders>
              <w:top w:val="nil"/>
              <w:left w:val="nil"/>
              <w:bottom w:val="single" w:color="auto" w:sz="8" w:space="0"/>
              <w:right w:val="single" w:color="auto" w:sz="8" w:space="0"/>
            </w:tcBorders>
            <w:noWrap w:val="0"/>
            <w:vAlign w:val="center"/>
          </w:tcPr>
          <w:p w14:paraId="27CE1F93">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1BC40794">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0926C453">
            <w:pPr>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2354" w:type="dxa"/>
            <w:tcBorders>
              <w:top w:val="nil"/>
              <w:left w:val="nil"/>
              <w:bottom w:val="single" w:color="auto" w:sz="8" w:space="0"/>
              <w:right w:val="single" w:color="auto" w:sz="8" w:space="0"/>
            </w:tcBorders>
            <w:noWrap w:val="0"/>
            <w:vAlign w:val="center"/>
          </w:tcPr>
          <w:p w14:paraId="5EC90F56">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01C2EE4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3F8A79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4B0B8A45">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EC779EB">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3CC46B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7D2B8A5">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7F31E1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87960C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74B47D6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4144B7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7118CD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BBD2BA2">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F66574F">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DE6106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921" w:type="dxa"/>
            <w:tcBorders>
              <w:top w:val="nil"/>
              <w:left w:val="nil"/>
              <w:bottom w:val="single" w:color="auto" w:sz="8" w:space="0"/>
              <w:right w:val="single" w:color="auto" w:sz="8" w:space="0"/>
            </w:tcBorders>
            <w:noWrap w:val="0"/>
            <w:vAlign w:val="center"/>
          </w:tcPr>
          <w:p w14:paraId="0B400CEC">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83FFC62">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D00E4B0">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1B3FDFA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CCB1EAF">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26C28764">
            <w:pPr>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7E42E6A7">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354" w:type="dxa"/>
            <w:tcBorders>
              <w:top w:val="nil"/>
              <w:left w:val="nil"/>
              <w:bottom w:val="single" w:color="auto" w:sz="8" w:space="0"/>
              <w:right w:val="single" w:color="auto" w:sz="8" w:space="0"/>
            </w:tcBorders>
            <w:noWrap w:val="0"/>
            <w:vAlign w:val="center"/>
          </w:tcPr>
          <w:p w14:paraId="048BA0AF">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07F34EED">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852FB6A">
            <w:pPr>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亿 仟 佰 拾 万 仟 佰 拾 元</w:t>
            </w:r>
          </w:p>
        </w:tc>
      </w:tr>
      <w:tr w14:paraId="251B252E">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9B9CA06">
            <w:pPr>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auto" w:sz="8" w:space="0"/>
              <w:right w:val="single" w:color="auto" w:sz="8" w:space="0"/>
            </w:tcBorders>
            <w:noWrap w:val="0"/>
            <w:vAlign w:val="center"/>
          </w:tcPr>
          <w:p w14:paraId="3B8FE0B8">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7B6ACEF9">
            <w:pPr>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29487BBC">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43616F8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5B9EF7F">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719" w:type="dxa"/>
            <w:gridSpan w:val="2"/>
            <w:tcBorders>
              <w:top w:val="nil"/>
              <w:left w:val="nil"/>
              <w:bottom w:val="single" w:color="auto" w:sz="8" w:space="0"/>
              <w:right w:val="single" w:color="auto" w:sz="8" w:space="0"/>
            </w:tcBorders>
            <w:noWrap w:val="0"/>
            <w:vAlign w:val="center"/>
          </w:tcPr>
          <w:p w14:paraId="3301CEE9">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1A4F8CAA">
            <w:pPr>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039" w:type="dxa"/>
            <w:gridSpan w:val="2"/>
            <w:tcBorders>
              <w:top w:val="nil"/>
              <w:left w:val="nil"/>
              <w:bottom w:val="single" w:color="auto" w:sz="8" w:space="0"/>
              <w:right w:val="single" w:color="auto" w:sz="8" w:space="0"/>
            </w:tcBorders>
            <w:noWrap w:val="0"/>
            <w:vAlign w:val="center"/>
          </w:tcPr>
          <w:p w14:paraId="711824E2">
            <w:pPr>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7CDA29B">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18843">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E89C79">
            <w:pPr>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506777BD">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F633AB">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040" w:type="dxa"/>
            <w:gridSpan w:val="7"/>
            <w:tcBorders>
              <w:top w:val="nil"/>
              <w:left w:val="nil"/>
              <w:bottom w:val="single" w:color="auto" w:sz="8" w:space="0"/>
              <w:right w:val="single" w:color="auto" w:sz="8" w:space="0"/>
            </w:tcBorders>
            <w:noWrap w:val="0"/>
            <w:vAlign w:val="center"/>
          </w:tcPr>
          <w:p w14:paraId="6DBFC9D9">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37D8D43D">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2858B701">
            <w:pPr>
              <w:jc w:val="left"/>
              <w:rPr>
                <w:rFonts w:hint="eastAsia" w:ascii="宋体" w:hAnsi="宋体" w:eastAsia="宋体" w:cs="宋体"/>
                <w:color w:val="auto"/>
                <w:kern w:val="0"/>
                <w:szCs w:val="21"/>
                <w:highlight w:val="none"/>
              </w:rPr>
            </w:pPr>
          </w:p>
        </w:tc>
        <w:tc>
          <w:tcPr>
            <w:tcW w:w="8040" w:type="dxa"/>
            <w:gridSpan w:val="7"/>
            <w:tcBorders>
              <w:top w:val="nil"/>
              <w:left w:val="nil"/>
              <w:bottom w:val="single" w:color="auto" w:sz="8" w:space="0"/>
              <w:right w:val="single" w:color="auto" w:sz="8" w:space="0"/>
            </w:tcBorders>
            <w:noWrap w:val="0"/>
            <w:vAlign w:val="center"/>
          </w:tcPr>
          <w:p w14:paraId="09768948">
            <w:pPr>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650491A6">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3022AA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D694471">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40EF3585">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6983C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监督人员或者</w:t>
            </w:r>
            <w:r>
              <w:rPr>
                <w:rFonts w:hint="eastAsia" w:ascii="宋体" w:hAnsi="宋体" w:eastAsia="宋体" w:cs="宋体"/>
                <w:color w:val="auto"/>
                <w:kern w:val="0"/>
                <w:szCs w:val="21"/>
                <w:highlight w:val="none"/>
                <w:lang w:eastAsia="zh-CN"/>
              </w:rPr>
              <w:t>其他</w:t>
            </w:r>
            <w:r>
              <w:rPr>
                <w:rFonts w:hint="eastAsia" w:ascii="宋体" w:hAnsi="宋体" w:eastAsia="宋体" w:cs="宋体"/>
                <w:color w:val="auto"/>
                <w:kern w:val="0"/>
                <w:szCs w:val="21"/>
                <w:highlight w:val="none"/>
              </w:rPr>
              <w:t>相关人员签字：</w:t>
            </w:r>
          </w:p>
          <w:p w14:paraId="07E0EE93">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或者受邀机构的意见（盖章）：</w:t>
            </w:r>
          </w:p>
        </w:tc>
      </w:tr>
      <w:tr w14:paraId="27C7391C">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FD6352E">
            <w:pPr>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中标或者成交人负责人签字或者盖章：</w:t>
            </w:r>
          </w:p>
          <w:p w14:paraId="48EE2D20">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28B00550">
            <w:pPr>
              <w:spacing w:before="100" w:beforeAutospacing="1" w:after="100" w:afterAutospacing="1" w:line="320" w:lineRule="atLeast"/>
              <w:ind w:firstLine="2730" w:firstLineChars="1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EE6C684">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采购人或者受托机构的意见（盖章）：</w:t>
            </w:r>
          </w:p>
          <w:p w14:paraId="140FEABC">
            <w:pPr>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联系电话： </w:t>
            </w:r>
          </w:p>
          <w:p w14:paraId="0A618815">
            <w:pPr>
              <w:spacing w:before="100" w:beforeAutospacing="1" w:after="100" w:afterAutospacing="1" w:line="320" w:lineRule="atLeast"/>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tc>
      </w:tr>
    </w:tbl>
    <w:p w14:paraId="609A9210">
      <w:pPr>
        <w:pStyle w:val="17"/>
        <w:numPr>
          <w:ilvl w:val="0"/>
          <w:numId w:val="0"/>
        </w:numPr>
        <w:rPr>
          <w:rFonts w:hint="eastAsia" w:ascii="宋体" w:hAnsi="宋体" w:eastAsia="宋体" w:cs="宋体"/>
          <w:color w:val="auto"/>
          <w:kern w:val="0"/>
          <w:sz w:val="28"/>
          <w:szCs w:val="28"/>
          <w:highlight w:val="none"/>
          <w:lang w:eastAsia="zh-CN"/>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auto"/>
          <w:highlight w:val="none"/>
        </w:rPr>
        <w:br w:type="page"/>
      </w:r>
    </w:p>
    <w:p w14:paraId="790E1F97">
      <w:pPr>
        <w:jc w:val="left"/>
        <w:rPr>
          <w:rFonts w:hint="eastAsia" w:ascii="宋体" w:hAnsi="宋体" w:eastAsia="宋体" w:cs="宋体"/>
          <w:color w:val="auto"/>
          <w:highlight w:val="none"/>
        </w:rPr>
      </w:pPr>
      <w:r>
        <w:rPr>
          <w:rFonts w:hint="eastAsia" w:ascii="宋体" w:hAnsi="宋体" w:cs="宋体"/>
          <w:color w:val="auto"/>
          <w:sz w:val="28"/>
          <w:szCs w:val="28"/>
          <w:highlight w:val="none"/>
          <w:lang w:val="en-US" w:eastAsia="zh-CN"/>
        </w:rPr>
        <w:t>4.政府采购项目履约保证金退付意见书的格式：</w:t>
      </w:r>
    </w:p>
    <w:p w14:paraId="68DF0793">
      <w:pPr>
        <w:jc w:val="center"/>
        <w:rPr>
          <w:rFonts w:hint="eastAsia" w:ascii="宋体" w:hAnsi="宋体" w:eastAsia="宋体" w:cs="宋体"/>
          <w:color w:val="auto"/>
          <w:sz w:val="32"/>
          <w:szCs w:val="32"/>
          <w:highlight w:val="none"/>
        </w:rPr>
      </w:pPr>
    </w:p>
    <w:p w14:paraId="0C71D5C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政府采购项目履约保证金退付意见书（参考）</w:t>
      </w:r>
    </w:p>
    <w:p w14:paraId="71B099FA">
      <w:pPr>
        <w:jc w:val="center"/>
        <w:rPr>
          <w:rFonts w:hint="eastAsia" w:ascii="宋体" w:hAnsi="宋体" w:eastAsia="宋体" w:cs="宋体"/>
          <w:color w:val="auto"/>
          <w:sz w:val="36"/>
          <w:szCs w:val="36"/>
          <w:highlight w:val="none"/>
        </w:rPr>
      </w:pPr>
    </w:p>
    <w:tbl>
      <w:tblPr>
        <w:tblStyle w:val="23"/>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04EA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72E0CFE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w:t>
            </w:r>
          </w:p>
          <w:p w14:paraId="09F336E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应</w:t>
            </w:r>
          </w:p>
          <w:p w14:paraId="16F2195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10EEB8B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申</w:t>
            </w:r>
          </w:p>
          <w:p w14:paraId="77FD107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请</w:t>
            </w:r>
          </w:p>
        </w:tc>
        <w:tc>
          <w:tcPr>
            <w:tcW w:w="8456" w:type="dxa"/>
            <w:noWrap w:val="0"/>
            <w:vAlign w:val="center"/>
          </w:tcPr>
          <w:p w14:paraId="22F44662">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r>
      <w:tr w14:paraId="3174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4BC6054">
            <w:pPr>
              <w:rPr>
                <w:rFonts w:hint="eastAsia" w:ascii="宋体" w:hAnsi="宋体" w:eastAsia="宋体" w:cs="宋体"/>
                <w:color w:val="auto"/>
                <w:sz w:val="24"/>
                <w:highlight w:val="none"/>
              </w:rPr>
            </w:pPr>
          </w:p>
        </w:tc>
        <w:tc>
          <w:tcPr>
            <w:tcW w:w="8456" w:type="dxa"/>
            <w:noWrap w:val="0"/>
            <w:vAlign w:val="center"/>
          </w:tcPr>
          <w:p w14:paraId="7C2F1419">
            <w:pP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r>
      <w:tr w14:paraId="6C58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7F6A0FEF">
            <w:pPr>
              <w:rPr>
                <w:rFonts w:hint="eastAsia" w:ascii="宋体" w:hAnsi="宋体" w:eastAsia="宋体" w:cs="宋体"/>
                <w:color w:val="auto"/>
                <w:sz w:val="24"/>
                <w:highlight w:val="none"/>
              </w:rPr>
            </w:pPr>
          </w:p>
        </w:tc>
        <w:tc>
          <w:tcPr>
            <w:tcW w:w="8456" w:type="dxa"/>
            <w:noWrap w:val="0"/>
            <w:vAlign w:val="top"/>
          </w:tcPr>
          <w:p w14:paraId="60E0C406">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7639264">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该项目已于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日验收并交付使用。根据合同规定，该项目的履约保证金期限于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日已满，请将履约保证金（大写）</w:t>
            </w:r>
            <w:r>
              <w:rPr>
                <w:rFonts w:hint="eastAsia" w:ascii="宋体" w:hAnsi="宋体" w:eastAsia="宋体" w:cs="宋体"/>
                <w:color w:val="auto"/>
                <w:sz w:val="24"/>
                <w:highlight w:val="none"/>
                <w:u w:val="single"/>
                <w:lang w:eastAsia="zh-CN"/>
              </w:rPr>
              <w:t>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退付到达以下</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w:t>
            </w:r>
          </w:p>
          <w:p w14:paraId="343C2A9E">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p w14:paraId="2967E557">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p w14:paraId="6A47506F">
            <w:pPr>
              <w:spacing w:line="400" w:lineRule="exact"/>
              <w:ind w:firstLine="70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w:t>
            </w:r>
          </w:p>
          <w:p w14:paraId="35A777E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w:t>
            </w:r>
          </w:p>
          <w:p w14:paraId="629D4328">
            <w:pPr>
              <w:spacing w:line="400" w:lineRule="exact"/>
              <w:rPr>
                <w:rFonts w:hint="eastAsia" w:ascii="宋体" w:hAnsi="宋体" w:eastAsia="宋体" w:cs="宋体"/>
                <w:color w:val="auto"/>
                <w:sz w:val="24"/>
                <w:highlight w:val="none"/>
              </w:rPr>
            </w:pPr>
          </w:p>
          <w:p w14:paraId="03475651">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投标人签章：</w:t>
            </w:r>
          </w:p>
          <w:p w14:paraId="0B312359">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53CA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4B46B35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w:t>
            </w:r>
          </w:p>
          <w:p w14:paraId="7214238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购</w:t>
            </w:r>
          </w:p>
          <w:p w14:paraId="72A8EA9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w:t>
            </w:r>
          </w:p>
          <w:p w14:paraId="2C80FB5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意</w:t>
            </w:r>
          </w:p>
          <w:p w14:paraId="5567AF8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见</w:t>
            </w:r>
          </w:p>
        </w:tc>
        <w:tc>
          <w:tcPr>
            <w:tcW w:w="8456" w:type="dxa"/>
            <w:noWrap w:val="0"/>
            <w:vAlign w:val="top"/>
          </w:tcPr>
          <w:p w14:paraId="5A70330E">
            <w:pPr>
              <w:rPr>
                <w:rFonts w:hint="eastAsia" w:ascii="宋体" w:hAnsi="宋体" w:eastAsia="宋体" w:cs="宋体"/>
                <w:color w:val="auto"/>
                <w:sz w:val="24"/>
                <w:highlight w:val="none"/>
              </w:rPr>
            </w:pPr>
          </w:p>
          <w:p w14:paraId="1E42F630">
            <w:pPr>
              <w:rPr>
                <w:rFonts w:hint="eastAsia" w:ascii="宋体" w:hAnsi="宋体" w:eastAsia="宋体" w:cs="宋体"/>
                <w:color w:val="auto"/>
                <w:sz w:val="24"/>
                <w:highlight w:val="none"/>
              </w:rPr>
            </w:pPr>
            <w:r>
              <w:rPr>
                <w:rFonts w:hint="eastAsia" w:ascii="宋体" w:hAnsi="宋体" w:eastAsia="宋体" w:cs="宋体"/>
                <w:color w:val="auto"/>
                <w:sz w:val="24"/>
                <w:highlight w:val="none"/>
              </w:rPr>
              <w:t>退付意见：（是否同意退付履约保证金及退付金额）</w:t>
            </w:r>
          </w:p>
          <w:p w14:paraId="7792ACB5">
            <w:pPr>
              <w:rPr>
                <w:rFonts w:hint="eastAsia" w:ascii="宋体" w:hAnsi="宋体" w:eastAsia="宋体" w:cs="宋体"/>
                <w:color w:val="auto"/>
                <w:sz w:val="24"/>
                <w:highlight w:val="none"/>
              </w:rPr>
            </w:pPr>
          </w:p>
          <w:p w14:paraId="0090F4E9">
            <w:pPr>
              <w:rPr>
                <w:rFonts w:hint="eastAsia" w:ascii="宋体" w:hAnsi="宋体" w:eastAsia="宋体" w:cs="宋体"/>
                <w:color w:val="auto"/>
                <w:sz w:val="24"/>
                <w:highlight w:val="none"/>
              </w:rPr>
            </w:pPr>
          </w:p>
          <w:p w14:paraId="612FA409">
            <w:pPr>
              <w:rPr>
                <w:rFonts w:hint="eastAsia" w:ascii="宋体" w:hAnsi="宋体" w:eastAsia="宋体" w:cs="宋体"/>
                <w:color w:val="auto"/>
                <w:sz w:val="24"/>
                <w:highlight w:val="none"/>
              </w:rPr>
            </w:pPr>
          </w:p>
          <w:p w14:paraId="53EE8BE1">
            <w:pPr>
              <w:rPr>
                <w:rFonts w:hint="eastAsia" w:ascii="宋体" w:hAnsi="宋体" w:eastAsia="宋体" w:cs="宋体"/>
                <w:color w:val="auto"/>
                <w:sz w:val="24"/>
                <w:highlight w:val="none"/>
              </w:rPr>
            </w:pPr>
          </w:p>
          <w:p w14:paraId="54B86B92">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联系人及电话：                         采购人签章</w:t>
            </w:r>
          </w:p>
          <w:p w14:paraId="0EAEE1E6">
            <w:pPr>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tc>
      </w:tr>
      <w:tr w14:paraId="5EA9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5F2FA9E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8456" w:type="dxa"/>
            <w:noWrap w:val="0"/>
            <w:vAlign w:val="top"/>
          </w:tcPr>
          <w:p w14:paraId="06AD6554">
            <w:pPr>
              <w:rPr>
                <w:rFonts w:hint="eastAsia" w:ascii="宋体" w:hAnsi="宋体" w:eastAsia="宋体" w:cs="宋体"/>
                <w:color w:val="auto"/>
                <w:sz w:val="24"/>
                <w:highlight w:val="none"/>
              </w:rPr>
            </w:pPr>
          </w:p>
        </w:tc>
      </w:tr>
    </w:tbl>
    <w:p w14:paraId="68CA2CF2">
      <w:pPr>
        <w:pStyle w:val="11"/>
        <w:ind w:left="420" w:leftChars="114" w:hanging="181" w:hangingChars="100"/>
        <w:rPr>
          <w:rFonts w:hint="eastAsia" w:ascii="宋体" w:hAnsi="宋体" w:eastAsia="宋体" w:cs="宋体"/>
          <w:b/>
          <w:bCs/>
          <w:color w:val="auto"/>
          <w:sz w:val="18"/>
          <w:highlight w:val="none"/>
        </w:rPr>
      </w:pPr>
      <w:r>
        <w:rPr>
          <w:rFonts w:hint="eastAsia" w:ascii="宋体" w:hAnsi="宋体" w:eastAsia="宋体" w:cs="宋体"/>
          <w:b/>
          <w:bCs/>
          <w:color w:val="auto"/>
          <w:sz w:val="18"/>
          <w:highlight w:val="none"/>
        </w:rPr>
        <w:t>注：投标人凭经采购人审批的退付意见书到</w:t>
      </w:r>
      <w:r>
        <w:rPr>
          <w:rFonts w:hint="eastAsia"/>
          <w:b/>
          <w:bCs/>
          <w:color w:val="auto"/>
          <w:sz w:val="18"/>
          <w:szCs w:val="18"/>
          <w:highlight w:val="none"/>
          <w:lang w:eastAsia="zh-CN"/>
        </w:rPr>
        <w:t>履约</w:t>
      </w:r>
      <w:r>
        <w:rPr>
          <w:rFonts w:hint="eastAsia" w:ascii="宋体" w:hAnsi="宋体" w:eastAsia="宋体" w:cs="宋体"/>
          <w:b/>
          <w:bCs/>
          <w:color w:val="auto"/>
          <w:sz w:val="18"/>
          <w:highlight w:val="none"/>
        </w:rPr>
        <w:t>保证金收取单位办理履约保证金退付事宜。</w:t>
      </w:r>
    </w:p>
    <w:p w14:paraId="00CC3393">
      <w:pPr>
        <w:pStyle w:val="15"/>
        <w:snapToGrid w:val="0"/>
        <w:spacing w:before="120" w:after="120"/>
        <w:rPr>
          <w:rFonts w:hint="eastAsia" w:hAnsi="宋体" w:eastAsia="宋体" w:cs="宋体"/>
          <w:color w:val="auto"/>
          <w:highlight w:val="none"/>
        </w:rPr>
      </w:pPr>
    </w:p>
    <w:p w14:paraId="29F14778">
      <w:pPr>
        <w:snapToGrid w:val="0"/>
        <w:spacing w:before="50" w:after="165" w:afterLines="50" w:line="360" w:lineRule="auto"/>
        <w:jc w:val="left"/>
        <w:rPr>
          <w:rFonts w:hint="eastAsia" w:ascii="Times New Roman" w:hAnsi="Times New Roman" w:eastAsia="宋体" w:cs="Times New Roman"/>
          <w:color w:val="auto"/>
          <w:sz w:val="20"/>
          <w:highlight w:val="none"/>
        </w:rPr>
      </w:pPr>
    </w:p>
    <w:p w14:paraId="72A38315">
      <w:pPr>
        <w:pStyle w:val="15"/>
        <w:tabs>
          <w:tab w:val="left" w:pos="2472"/>
        </w:tabs>
        <w:spacing w:line="460" w:lineRule="exact"/>
        <w:jc w:val="center"/>
        <w:rPr>
          <w:rFonts w:ascii="Times New Roman" w:hAnsi="Times New Roman" w:eastAsia="宋体" w:cs="Times New Roman"/>
          <w:b/>
          <w:color w:val="auto"/>
          <w:sz w:val="36"/>
          <w:highlight w:val="none"/>
        </w:rPr>
      </w:pPr>
    </w:p>
    <w:p w14:paraId="034610EF">
      <w:pPr>
        <w:pStyle w:val="15"/>
        <w:tabs>
          <w:tab w:val="left" w:pos="2472"/>
        </w:tabs>
        <w:spacing w:line="460" w:lineRule="exact"/>
        <w:jc w:val="center"/>
        <w:rPr>
          <w:rFonts w:ascii="Times New Roman" w:hAnsi="Times New Roman" w:eastAsia="宋体" w:cs="Times New Roman"/>
          <w:b/>
          <w:color w:val="auto"/>
          <w:sz w:val="36"/>
          <w:highlight w:val="none"/>
        </w:rPr>
      </w:pPr>
    </w:p>
    <w:p w14:paraId="2C9E9604">
      <w:pPr>
        <w:pStyle w:val="15"/>
        <w:tabs>
          <w:tab w:val="left" w:pos="2472"/>
        </w:tabs>
        <w:spacing w:line="460" w:lineRule="exact"/>
        <w:jc w:val="center"/>
        <w:rPr>
          <w:rFonts w:ascii="Times New Roman" w:hAnsi="Times New Roman" w:eastAsia="宋体" w:cs="Times New Roman"/>
          <w:b/>
          <w:color w:val="auto"/>
          <w:sz w:val="36"/>
          <w:highlight w:val="none"/>
        </w:rPr>
      </w:pPr>
    </w:p>
    <w:p w14:paraId="3D777F3A">
      <w:pPr>
        <w:pStyle w:val="15"/>
        <w:tabs>
          <w:tab w:val="left" w:pos="2472"/>
        </w:tabs>
        <w:spacing w:line="460" w:lineRule="exact"/>
        <w:jc w:val="center"/>
        <w:rPr>
          <w:rFonts w:ascii="Times New Roman" w:hAnsi="Times New Roman" w:eastAsia="宋体" w:cs="Times New Roman"/>
          <w:b/>
          <w:color w:val="auto"/>
          <w:sz w:val="36"/>
          <w:highlight w:val="none"/>
        </w:rPr>
      </w:pPr>
    </w:p>
    <w:p w14:paraId="2AB83AAE">
      <w:pPr>
        <w:pStyle w:val="15"/>
        <w:tabs>
          <w:tab w:val="left" w:pos="2472"/>
        </w:tabs>
        <w:spacing w:line="460" w:lineRule="exact"/>
        <w:jc w:val="center"/>
        <w:rPr>
          <w:rFonts w:ascii="Times New Roman" w:hAnsi="Times New Roman" w:eastAsia="宋体" w:cs="Times New Roman"/>
          <w:b/>
          <w:color w:val="auto"/>
          <w:sz w:val="36"/>
          <w:highlight w:val="none"/>
        </w:rPr>
      </w:pPr>
    </w:p>
    <w:p w14:paraId="440E2784">
      <w:pPr>
        <w:pStyle w:val="15"/>
        <w:tabs>
          <w:tab w:val="left" w:pos="2472"/>
        </w:tabs>
        <w:spacing w:line="460" w:lineRule="exact"/>
        <w:jc w:val="center"/>
        <w:rPr>
          <w:rFonts w:ascii="Times New Roman" w:hAnsi="Times New Roman" w:eastAsia="宋体" w:cs="Times New Roman"/>
          <w:b/>
          <w:color w:val="auto"/>
          <w:sz w:val="36"/>
          <w:highlight w:val="none"/>
        </w:rPr>
      </w:pPr>
    </w:p>
    <w:p w14:paraId="6266B971">
      <w:pPr>
        <w:pStyle w:val="15"/>
        <w:tabs>
          <w:tab w:val="left" w:pos="2472"/>
        </w:tabs>
        <w:spacing w:line="460" w:lineRule="exact"/>
        <w:jc w:val="center"/>
        <w:rPr>
          <w:rFonts w:ascii="Times New Roman" w:hAnsi="Times New Roman" w:eastAsia="宋体" w:cs="Times New Roman"/>
          <w:b/>
          <w:color w:val="auto"/>
          <w:sz w:val="36"/>
          <w:highlight w:val="none"/>
        </w:rPr>
      </w:pPr>
    </w:p>
    <w:p w14:paraId="259F00AA">
      <w:pPr>
        <w:pStyle w:val="15"/>
        <w:tabs>
          <w:tab w:val="left" w:pos="2472"/>
        </w:tabs>
        <w:spacing w:line="460" w:lineRule="exact"/>
        <w:jc w:val="center"/>
        <w:rPr>
          <w:rFonts w:ascii="Times New Roman" w:hAnsi="Times New Roman" w:eastAsia="宋体" w:cs="Times New Roman"/>
          <w:b/>
          <w:color w:val="auto"/>
          <w:sz w:val="36"/>
          <w:highlight w:val="none"/>
        </w:rPr>
      </w:pPr>
    </w:p>
    <w:p w14:paraId="0130B586">
      <w:pPr>
        <w:pStyle w:val="15"/>
        <w:tabs>
          <w:tab w:val="left" w:pos="2472"/>
        </w:tabs>
        <w:spacing w:line="460" w:lineRule="exact"/>
        <w:jc w:val="center"/>
        <w:rPr>
          <w:rFonts w:ascii="Times New Roman" w:hAnsi="Times New Roman" w:eastAsia="宋体" w:cs="Times New Roman"/>
          <w:b/>
          <w:color w:val="auto"/>
          <w:sz w:val="36"/>
          <w:highlight w:val="none"/>
        </w:rPr>
      </w:pPr>
    </w:p>
    <w:p w14:paraId="5B8CAD0F">
      <w:pPr>
        <w:pStyle w:val="15"/>
        <w:tabs>
          <w:tab w:val="left" w:pos="2472"/>
        </w:tabs>
        <w:spacing w:line="460" w:lineRule="exact"/>
        <w:jc w:val="center"/>
        <w:rPr>
          <w:rFonts w:ascii="Times New Roman" w:hAnsi="Times New Roman" w:eastAsia="宋体" w:cs="Times New Roman"/>
          <w:b/>
          <w:color w:val="auto"/>
          <w:sz w:val="36"/>
          <w:highlight w:val="none"/>
        </w:rPr>
      </w:pPr>
    </w:p>
    <w:p w14:paraId="783AE295">
      <w:pPr>
        <w:pStyle w:val="15"/>
        <w:tabs>
          <w:tab w:val="left" w:pos="2472"/>
        </w:tabs>
        <w:spacing w:line="460" w:lineRule="exact"/>
        <w:jc w:val="center"/>
        <w:rPr>
          <w:rFonts w:ascii="Times New Roman" w:hAnsi="Times New Roman" w:eastAsia="宋体" w:cs="Times New Roman"/>
          <w:b/>
          <w:color w:val="auto"/>
          <w:sz w:val="36"/>
          <w:highlight w:val="none"/>
        </w:rPr>
      </w:pPr>
    </w:p>
    <w:p w14:paraId="7F8ABEC4">
      <w:pPr>
        <w:pStyle w:val="15"/>
        <w:tabs>
          <w:tab w:val="left" w:pos="2472"/>
        </w:tabs>
        <w:spacing w:line="460" w:lineRule="exact"/>
        <w:jc w:val="center"/>
        <w:outlineLvl w:val="0"/>
        <w:rPr>
          <w:rFonts w:ascii="Times New Roman" w:hAnsi="Times New Roman" w:eastAsia="宋体" w:cs="Times New Roman"/>
          <w:b/>
          <w:color w:val="auto"/>
          <w:sz w:val="36"/>
          <w:highlight w:val="none"/>
        </w:rPr>
      </w:pPr>
      <w:bookmarkStart w:id="400" w:name="_Toc2211"/>
      <w:bookmarkStart w:id="401" w:name="_Toc25113"/>
      <w:bookmarkStart w:id="402" w:name="_Toc491"/>
      <w:bookmarkStart w:id="403" w:name="_Toc7244"/>
      <w:bookmarkStart w:id="404" w:name="_Toc31310"/>
      <w:bookmarkStart w:id="405" w:name="_Toc32028"/>
      <w:bookmarkStart w:id="406" w:name="_Toc31429"/>
      <w:bookmarkStart w:id="407" w:name="_Toc6635"/>
      <w:bookmarkStart w:id="408" w:name="_Toc21753"/>
      <w:bookmarkStart w:id="409" w:name="_Toc18173"/>
      <w:bookmarkStart w:id="410" w:name="_Toc11260"/>
      <w:bookmarkStart w:id="411" w:name="_Toc17736"/>
      <w:bookmarkStart w:id="412" w:name="_Toc7254"/>
      <w:r>
        <w:rPr>
          <w:rFonts w:hint="eastAsia" w:ascii="Times New Roman" w:hAnsi="Times New Roman" w:eastAsia="宋体" w:cs="Times New Roman"/>
          <w:b/>
          <w:color w:val="auto"/>
          <w:sz w:val="36"/>
          <w:highlight w:val="none"/>
        </w:rPr>
        <w:t>第七章</w:t>
      </w:r>
      <w:r>
        <w:rPr>
          <w:rFonts w:ascii="Times New Roman" w:hAnsi="Times New Roman" w:eastAsia="宋体" w:cs="Times New Roman"/>
          <w:b/>
          <w:color w:val="auto"/>
          <w:sz w:val="36"/>
          <w:highlight w:val="none"/>
        </w:rPr>
        <w:t xml:space="preserve"> </w:t>
      </w:r>
      <w:r>
        <w:rPr>
          <w:rFonts w:hint="eastAsia" w:ascii="Times New Roman" w:hAnsi="Times New Roman" w:eastAsia="宋体" w:cs="Times New Roman"/>
          <w:b/>
          <w:color w:val="auto"/>
          <w:sz w:val="36"/>
          <w:highlight w:val="none"/>
        </w:rPr>
        <w:t>质疑、投诉材料格式</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7FEB6241">
      <w:pPr>
        <w:widowControl/>
        <w:spacing w:line="360" w:lineRule="auto"/>
        <w:jc w:val="left"/>
        <w:rPr>
          <w:color w:val="auto"/>
          <w:sz w:val="20"/>
          <w:highlight w:val="none"/>
        </w:rPr>
        <w:sectPr>
          <w:pgSz w:w="11905" w:h="16838"/>
          <w:pgMar w:top="1134" w:right="1134" w:bottom="1134" w:left="1134" w:header="850" w:footer="850" w:gutter="0"/>
          <w:pgNumType w:fmt="decimal"/>
          <w:cols w:space="0" w:num="1"/>
          <w:titlePg/>
          <w:rtlGutter w:val="0"/>
          <w:docGrid w:linePitch="331" w:charSpace="0"/>
        </w:sectPr>
      </w:pPr>
    </w:p>
    <w:p w14:paraId="3103004B">
      <w:pPr>
        <w:pStyle w:val="5"/>
        <w:jc w:val="center"/>
        <w:rPr>
          <w:rFonts w:hint="eastAsia" w:ascii="宋体" w:hAnsi="宋体" w:cs="Times New Roman"/>
          <w:b w:val="0"/>
          <w:bCs w:val="0"/>
          <w:color w:val="auto"/>
          <w:highlight w:val="none"/>
        </w:rPr>
      </w:pPr>
      <w:bookmarkStart w:id="413" w:name="_Toc17610"/>
      <w:bookmarkStart w:id="414" w:name="_Toc12016"/>
      <w:bookmarkStart w:id="415" w:name="_Toc15096"/>
      <w:bookmarkStart w:id="416" w:name="_Toc22540"/>
      <w:bookmarkStart w:id="417" w:name="_Toc31800"/>
      <w:bookmarkStart w:id="418" w:name="_Toc3458"/>
      <w:bookmarkStart w:id="419" w:name="_Toc990"/>
      <w:bookmarkStart w:id="420" w:name="_Toc10944"/>
      <w:bookmarkStart w:id="421" w:name="_Toc22595"/>
      <w:bookmarkStart w:id="422" w:name="_Toc25538"/>
      <w:r>
        <w:rPr>
          <w:rFonts w:hint="eastAsia" w:ascii="宋体" w:hAnsi="宋体" w:cs="Times New Roman"/>
          <w:b w:val="0"/>
          <w:bCs w:val="0"/>
          <w:color w:val="auto"/>
          <w:highlight w:val="none"/>
        </w:rPr>
        <w:t>第一节 质疑函（格式）</w:t>
      </w:r>
      <w:bookmarkEnd w:id="413"/>
      <w:bookmarkEnd w:id="414"/>
      <w:bookmarkEnd w:id="415"/>
      <w:bookmarkEnd w:id="416"/>
      <w:bookmarkEnd w:id="417"/>
      <w:bookmarkEnd w:id="418"/>
      <w:bookmarkEnd w:id="419"/>
      <w:bookmarkEnd w:id="420"/>
      <w:bookmarkEnd w:id="421"/>
      <w:bookmarkEnd w:id="422"/>
    </w:p>
    <w:p w14:paraId="18F4FCB5">
      <w:pPr>
        <w:adjustRightInd/>
        <w:snapToGrid/>
        <w:spacing w:before="0" w:beforeLines="-2147483648" w:line="240" w:lineRule="auto"/>
        <w:jc w:val="center"/>
        <w:rPr>
          <w:rFonts w:hint="eastAsia"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42219A6B">
      <w:pPr>
        <w:adjustRightInd w:val="0"/>
        <w:snapToGrid w:val="0"/>
        <w:spacing w:before="331" w:beforeLines="100"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7FFF284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18948C9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96F8F0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AC327B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7F95BB6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04339A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62AF612">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5792D26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9936CF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6E3C47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23" w:name="PO_3000001867_PM026_5"/>
      <w:r>
        <w:rPr>
          <w:rFonts w:hint="eastAsia" w:ascii="宋体" w:hAnsi="宋体" w:eastAsia="宋体" w:cs="宋体"/>
          <w:color w:val="auto"/>
          <w:sz w:val="24"/>
          <w:szCs w:val="24"/>
          <w:highlight w:val="none"/>
          <w:u w:val="dotted"/>
        </w:rPr>
        <w:t xml:space="preserve">                        </w:t>
      </w:r>
      <w:bookmarkEnd w:id="423"/>
      <w:r>
        <w:rPr>
          <w:rFonts w:hint="eastAsia" w:ascii="宋体" w:hAnsi="宋体" w:eastAsia="宋体" w:cs="宋体"/>
          <w:color w:val="auto"/>
          <w:sz w:val="24"/>
          <w:szCs w:val="24"/>
          <w:highlight w:val="none"/>
          <w:u w:val="dotted"/>
        </w:rPr>
        <w:t xml:space="preserve">  </w:t>
      </w:r>
    </w:p>
    <w:p w14:paraId="0AACCD2B">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质疑事项：</w:t>
      </w:r>
    </w:p>
    <w:p w14:paraId="53346124">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□采购文件   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bCs w:val="0"/>
          <w:color w:val="auto"/>
          <w:kern w:val="2"/>
          <w:sz w:val="24"/>
          <w:szCs w:val="24"/>
          <w:highlight w:val="none"/>
          <w:u w:val="none"/>
          <w:lang w:val="zh-CN" w:eastAsia="zh-CN"/>
        </w:rPr>
        <w:t xml:space="preserve">  </w:t>
      </w:r>
    </w:p>
    <w:p w14:paraId="5AF2B56F">
      <w:pPr>
        <w:adjustRightInd w:val="0"/>
        <w:snapToGrid w:val="0"/>
        <w:spacing w:line="360" w:lineRule="auto"/>
        <w:ind w:left="0" w:leftChars="0" w:firstLine="0" w:firstLineChars="0"/>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 xml:space="preserve">□采购过程   </w:t>
      </w:r>
    </w:p>
    <w:p w14:paraId="3109FEDE">
      <w:pPr>
        <w:adjustRightInd w:val="0"/>
        <w:snapToGrid w:val="0"/>
        <w:spacing w:line="360" w:lineRule="auto"/>
        <w:ind w:left="0" w:leftChars="0" w:firstLine="0" w:firstLineChars="0"/>
        <w:rPr>
          <w:rFonts w:hint="eastAsia" w:ascii="宋体" w:hAnsi="宋体" w:eastAsia="宋体" w:cs="宋体"/>
          <w:bCs w:val="0"/>
          <w:color w:val="auto"/>
          <w:kern w:val="2"/>
          <w:sz w:val="24"/>
          <w:szCs w:val="24"/>
          <w:highlight w:val="none"/>
          <w:u w:val="none"/>
          <w:lang w:val="zh-CN" w:eastAsia="zh-CN"/>
        </w:rPr>
      </w:pPr>
      <w:r>
        <w:rPr>
          <w:rFonts w:hint="eastAsia" w:ascii="宋体" w:hAnsi="宋体" w:eastAsia="宋体" w:cs="宋体"/>
          <w:color w:val="auto"/>
          <w:kern w:val="2"/>
          <w:sz w:val="24"/>
          <w:szCs w:val="24"/>
          <w:highlight w:val="none"/>
          <w:lang w:val="zh-CN" w:eastAsia="zh-CN"/>
        </w:rPr>
        <w:t xml:space="preserve">□中标结果   </w:t>
      </w:r>
    </w:p>
    <w:p w14:paraId="7377BC37">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33487FE3">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73FA99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7F0D8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46ABD60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B27CB1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0793CD4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328FDDA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6ACA5D">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6E75F7C">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305AC2C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28F67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E487B7F">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质疑函制作说明：</w:t>
      </w:r>
    </w:p>
    <w:p w14:paraId="57DDDF1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2CB59331">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65355E4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11C99E28">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32A6BA6">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656DF2D">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B50B14B">
      <w:pPr>
        <w:widowControl/>
        <w:spacing w:line="360" w:lineRule="auto"/>
        <w:ind w:firstLine="480" w:firstLineChars="200"/>
        <w:jc w:val="left"/>
        <w:rPr>
          <w:rFonts w:hint="eastAsia" w:ascii="宋体" w:hAnsi="宋体" w:eastAsia="宋体" w:cs="宋体"/>
          <w:color w:val="auto"/>
          <w:sz w:val="24"/>
          <w:szCs w:val="24"/>
          <w:highlight w:val="none"/>
        </w:rPr>
      </w:pPr>
    </w:p>
    <w:p w14:paraId="52CF966E">
      <w:pPr>
        <w:widowControl/>
        <w:spacing w:line="360" w:lineRule="auto"/>
        <w:jc w:val="left"/>
        <w:rPr>
          <w:rFonts w:hint="eastAsia" w:ascii="宋体" w:hAnsi="宋体" w:eastAsia="宋体" w:cs="宋体"/>
          <w:color w:val="auto"/>
          <w:kern w:val="0"/>
          <w:sz w:val="24"/>
          <w:highlight w:val="none"/>
        </w:rPr>
        <w:sectPr>
          <w:pgSz w:w="11905" w:h="16838"/>
          <w:pgMar w:top="1134" w:right="1134" w:bottom="1134" w:left="1134" w:header="850" w:footer="850" w:gutter="0"/>
          <w:pgNumType w:fmt="decimal"/>
          <w:cols w:space="0" w:num="1"/>
          <w:titlePg/>
          <w:rtlGutter w:val="0"/>
          <w:docGrid w:linePitch="331" w:charSpace="0"/>
        </w:sectPr>
      </w:pPr>
    </w:p>
    <w:p w14:paraId="72B951FE">
      <w:pPr>
        <w:pStyle w:val="5"/>
        <w:jc w:val="center"/>
        <w:rPr>
          <w:rFonts w:hint="eastAsia" w:ascii="宋体" w:hAnsi="宋体" w:cs="Times New Roman"/>
          <w:b w:val="0"/>
          <w:bCs w:val="0"/>
          <w:color w:val="auto"/>
          <w:highlight w:val="none"/>
        </w:rPr>
      </w:pPr>
      <w:bookmarkStart w:id="424" w:name="_Toc11428"/>
      <w:bookmarkStart w:id="425" w:name="_Toc11984"/>
      <w:bookmarkStart w:id="426" w:name="_Toc8862"/>
      <w:bookmarkStart w:id="427" w:name="_Toc7549"/>
      <w:bookmarkStart w:id="428" w:name="_Toc24568"/>
      <w:bookmarkStart w:id="429" w:name="_Toc24894"/>
      <w:bookmarkStart w:id="430" w:name="_Toc1896"/>
      <w:bookmarkStart w:id="431" w:name="_Toc6551"/>
      <w:bookmarkStart w:id="432" w:name="_Toc32540"/>
      <w:bookmarkStart w:id="433" w:name="_Toc31203"/>
      <w:r>
        <w:rPr>
          <w:rFonts w:hint="eastAsia" w:ascii="宋体" w:hAnsi="宋体" w:cs="Times New Roman"/>
          <w:b w:val="0"/>
          <w:bCs w:val="0"/>
          <w:color w:val="auto"/>
          <w:highlight w:val="none"/>
        </w:rPr>
        <w:t>第二节 投诉书（格式）</w:t>
      </w:r>
      <w:bookmarkEnd w:id="424"/>
      <w:bookmarkEnd w:id="425"/>
      <w:bookmarkEnd w:id="426"/>
      <w:bookmarkEnd w:id="427"/>
      <w:bookmarkEnd w:id="428"/>
      <w:bookmarkEnd w:id="429"/>
      <w:bookmarkEnd w:id="430"/>
      <w:bookmarkEnd w:id="431"/>
      <w:bookmarkEnd w:id="432"/>
      <w:bookmarkEnd w:id="433"/>
    </w:p>
    <w:p w14:paraId="7C809DA0">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32"/>
          <w:szCs w:val="32"/>
          <w:highlight w:val="none"/>
        </w:rPr>
        <w:t>投诉书</w:t>
      </w:r>
    </w:p>
    <w:p w14:paraId="6877AEDD">
      <w:pPr>
        <w:rPr>
          <w:rFonts w:hint="eastAsia" w:ascii="黑体" w:hAnsi="黑体" w:eastAsia="黑体" w:cs="Times New Roman"/>
          <w:color w:val="auto"/>
          <w:sz w:val="32"/>
          <w:szCs w:val="32"/>
          <w:highlight w:val="none"/>
        </w:rPr>
      </w:pPr>
    </w:p>
    <w:p w14:paraId="34941A3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06A8C9A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118E0DC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9E0CAC">
      <w:pPr>
        <w:tabs>
          <w:tab w:val="left" w:pos="6510"/>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p>
    <w:p w14:paraId="25E7543E">
      <w:pPr>
        <w:tabs>
          <w:tab w:val="left" w:pos="6510"/>
        </w:tabs>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BB86BE1">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00CD5539">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BCCC7B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p>
    <w:p w14:paraId="5D3AB63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A98B917">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5628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2C192CC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45AD16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p>
    <w:p w14:paraId="13DEB521">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EC24B0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623A1F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2AAD7FCE">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bookmarkStart w:id="434" w:name="PO_3000001867_PM002_12"/>
      <w:r>
        <w:rPr>
          <w:rFonts w:hint="eastAsia" w:ascii="宋体" w:hAnsi="宋体" w:eastAsia="宋体" w:cs="宋体"/>
          <w:color w:val="auto"/>
          <w:sz w:val="24"/>
          <w:szCs w:val="24"/>
          <w:highlight w:val="none"/>
          <w:u w:val="dotted"/>
        </w:rPr>
        <w:t xml:space="preserve">                    </w:t>
      </w:r>
      <w:bookmarkEnd w:id="434"/>
      <w:r>
        <w:rPr>
          <w:rFonts w:hint="eastAsia" w:ascii="宋体" w:hAnsi="宋体" w:eastAsia="宋体" w:cs="宋体"/>
          <w:color w:val="auto"/>
          <w:sz w:val="24"/>
          <w:szCs w:val="24"/>
          <w:highlight w:val="none"/>
          <w:u w:val="dotted"/>
        </w:rPr>
        <w:t xml:space="preserve">  </w:t>
      </w:r>
    </w:p>
    <w:p w14:paraId="37BA4725">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bookmarkStart w:id="435" w:name="PO_3000001867_PM001_9"/>
      <w:r>
        <w:rPr>
          <w:rFonts w:hint="eastAsia" w:ascii="宋体" w:hAnsi="宋体" w:eastAsia="宋体" w:cs="宋体"/>
          <w:color w:val="auto"/>
          <w:sz w:val="24"/>
          <w:szCs w:val="24"/>
          <w:highlight w:val="none"/>
          <w:u w:val="dotted"/>
        </w:rPr>
        <w:t xml:space="preserve">                    </w:t>
      </w:r>
      <w:bookmarkEnd w:id="435"/>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3262E7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bookmarkStart w:id="436" w:name="PO_3000001867_PM026_6"/>
      <w:r>
        <w:rPr>
          <w:rFonts w:hint="eastAsia" w:ascii="宋体" w:hAnsi="宋体" w:eastAsia="宋体" w:cs="宋体"/>
          <w:color w:val="auto"/>
          <w:sz w:val="24"/>
          <w:szCs w:val="24"/>
          <w:highlight w:val="none"/>
          <w:u w:val="dotted"/>
        </w:rPr>
        <w:t xml:space="preserve">                    </w:t>
      </w:r>
      <w:bookmarkEnd w:id="436"/>
      <w:r>
        <w:rPr>
          <w:rFonts w:hint="eastAsia" w:ascii="宋体" w:hAnsi="宋体" w:eastAsia="宋体" w:cs="宋体"/>
          <w:color w:val="auto"/>
          <w:sz w:val="24"/>
          <w:szCs w:val="24"/>
          <w:highlight w:val="none"/>
          <w:u w:val="dotted"/>
          <w:lang w:val="en-US" w:eastAsia="zh-CN"/>
        </w:rPr>
        <w:t xml:space="preserve">  </w:t>
      </w:r>
    </w:p>
    <w:p w14:paraId="17BE2DB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341470A3">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994278C">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39D5A52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0C3E98D1">
      <w:pPr>
        <w:spacing w:line="360" w:lineRule="auto"/>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24A7A934">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31D4B9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w:t>
      </w:r>
      <w:r>
        <w:rPr>
          <w:rFonts w:hint="eastAsia" w:ascii="宋体" w:hAnsi="宋体" w:cs="宋体"/>
          <w:color w:val="auto"/>
          <w:sz w:val="24"/>
          <w:szCs w:val="24"/>
          <w:highlight w:val="none"/>
          <w:u w:val="dotted"/>
          <w:lang w:eastAsia="zh-CN"/>
        </w:rPr>
        <w:t>采购</w:t>
      </w:r>
      <w:r>
        <w:rPr>
          <w:rFonts w:hint="eastAsia" w:ascii="宋体" w:hAnsi="宋体" w:eastAsia="宋体" w:cs="宋体"/>
          <w:color w:val="auto"/>
          <w:sz w:val="24"/>
          <w:szCs w:val="24"/>
          <w:highlight w:val="none"/>
          <w:u w:val="dotted"/>
        </w:rPr>
        <w:t>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71FBC2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564E278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18BA4E8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377F2420">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6193CE">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41B9459D">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83837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3C81F317">
      <w:pPr>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0030FC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48EB7D6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F1C21A8">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6BB2B4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1AACE35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32B8C2A2">
      <w:pPr>
        <w:spacing w:line="360" w:lineRule="auto"/>
        <w:rPr>
          <w:rFonts w:hint="eastAsia" w:ascii="宋体" w:hAnsi="宋体" w:eastAsia="宋体" w:cs="宋体"/>
          <w:b/>
          <w:color w:val="auto"/>
          <w:sz w:val="24"/>
          <w:szCs w:val="24"/>
          <w:highlight w:val="none"/>
        </w:rPr>
      </w:pPr>
    </w:p>
    <w:p w14:paraId="5F2BF718">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投诉书制作说明：</w:t>
      </w:r>
    </w:p>
    <w:p w14:paraId="62812560">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1.投诉人提起投诉时，应当提交投诉书和必要的证明材料，并按照被投诉人和与投诉事项有关的供应商数量提供投诉书副本。</w:t>
      </w:r>
    </w:p>
    <w:p w14:paraId="199EB45C">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szCs w:val="24"/>
          <w:highlight w:val="none"/>
        </w:rPr>
        <w:t>投诉人签署的授权委托书。授权委托书应当载明代理人的姓名或者名称、代理事项、具体权限、期限和相关事项。</w:t>
      </w:r>
    </w:p>
    <w:p w14:paraId="4C142C39">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3.投诉人若对项目的某一分包进行投诉，投诉书应列明具体分包号。</w:t>
      </w:r>
    </w:p>
    <w:p w14:paraId="04944AF3">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4.投诉书应简要列明质疑事项，质疑函、质疑答复等作为附件材料提供。</w:t>
      </w:r>
    </w:p>
    <w:p w14:paraId="14A6FF4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5.投诉书的投诉事项应具体、明确，并有必要的事实依据和法律依据。</w:t>
      </w:r>
    </w:p>
    <w:p w14:paraId="544420AE">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6.投诉书的投诉请求应与投诉事项相关。</w:t>
      </w:r>
    </w:p>
    <w:p w14:paraId="00C885B2">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7.投诉人为自然人的，投诉书应当由本人签字；投诉人为法人或者其他组织的，投诉书应当由法定代表人、主要负责人，或者其授权代表签字或者盖章，并加盖公章。</w:t>
      </w:r>
    </w:p>
    <w:p w14:paraId="71BEC628">
      <w:pPr>
        <w:rPr>
          <w:color w:val="auto"/>
          <w:highlight w:val="none"/>
        </w:rPr>
      </w:pPr>
    </w:p>
    <w:sectPr>
      <w:footerReference r:id="rId12" w:type="first"/>
      <w:headerReference r:id="rId9" w:type="default"/>
      <w:footerReference r:id="rId10" w:type="default"/>
      <w:footerReference r:id="rId11"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D494">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3EC12">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F3EC12">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DF5D">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C495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86C495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9F8EF">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482E79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4482E79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5CBB7706">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4922">
    <w:pPr>
      <w:spacing w:line="233" w:lineRule="auto"/>
      <w:rPr>
        <w:rFonts w:ascii="宋体" w:hAnsi="宋体" w:eastAsia="宋体" w:cs="宋体"/>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530B3">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2A530B3">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96D37">
    <w:pPr>
      <w:spacing w:before="1" w:line="233" w:lineRule="auto"/>
      <w:ind w:left="7695"/>
      <w:rPr>
        <w:rFonts w:ascii="宋体" w:hAnsi="宋体" w:eastAsia="宋体" w:cs="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B3034">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84B3034">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576C4">
    <w:pPr>
      <w:pStyle w:val="17"/>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F36E1">
                          <w:pPr>
                            <w:pStyle w:val="17"/>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2F36E1">
                    <w:pPr>
                      <w:pStyle w:val="17"/>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5A2C0822">
    <w:pPr>
      <w:pStyle w:val="17"/>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BAC17">
    <w:pPr>
      <w:pStyle w:val="17"/>
      <w:framePr w:wrap="around" w:vAnchor="text" w:hAnchor="margin" w:xAlign="center" w:y="1"/>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48363D1">
    <w:pPr>
      <w:pStyle w:val="17"/>
      <w:rPr>
        <w:rFonts w:ascii="Times New Roman" w:hAnsi="Times New Roman" w:eastAsia="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5DD78">
    <w:pPr>
      <w:pStyle w:val="17"/>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D3136">
                          <w:pPr>
                            <w:pStyle w:val="17"/>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7"/>
                              <w:rFonts w:ascii="Times New Roman" w:hAnsi="Times New Roman" w:eastAsia="宋体" w:cs="Times New Roman"/>
                            </w:rPr>
                            <w:t>122</w:t>
                          </w:r>
                          <w:r>
                            <w:rPr>
                              <w:rFonts w:ascii="Times New Roman" w:hAnsi="Times New Roman" w:eastAsia="宋体" w:cs="Times New Roman"/>
                            </w:rPr>
                            <w:fldChar w:fldCharType="end"/>
                          </w:r>
                        </w:p>
                        <w:p w14:paraId="59B2757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1D3136">
                    <w:pPr>
                      <w:pStyle w:val="17"/>
                      <w:rPr>
                        <w:rStyle w:val="27"/>
                        <w:rFonts w:ascii="Times New Roman" w:hAnsi="Times New Roman" w:eastAsia="宋体" w:cs="Times New Roman"/>
                      </w:rPr>
                    </w:pPr>
                    <w:r>
                      <w:rPr>
                        <w:rFonts w:ascii="Times New Roman" w:hAnsi="Times New Roman" w:eastAsia="宋体" w:cs="Times New Roman"/>
                      </w:rPr>
                      <w:fldChar w:fldCharType="begin"/>
                    </w:r>
                    <w:r>
                      <w:rPr>
                        <w:rStyle w:val="27"/>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7"/>
                        <w:rFonts w:ascii="Times New Roman" w:hAnsi="Times New Roman" w:eastAsia="宋体" w:cs="Times New Roman"/>
                      </w:rPr>
                      <w:t>122</w:t>
                    </w:r>
                    <w:r>
                      <w:rPr>
                        <w:rFonts w:ascii="Times New Roman" w:hAnsi="Times New Roman" w:eastAsia="宋体" w:cs="Times New Roman"/>
                      </w:rPr>
                      <w:fldChar w:fldCharType="end"/>
                    </w:r>
                  </w:p>
                  <w:p w14:paraId="59B2757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577A">
    <w:pPr>
      <w:pStyle w:val="18"/>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51C15">
    <w:pPr>
      <w:pStyle w:val="18"/>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6D820"/>
    <w:multiLevelType w:val="singleLevel"/>
    <w:tmpl w:val="8626D820"/>
    <w:lvl w:ilvl="0" w:tentative="0">
      <w:start w:val="1"/>
      <w:numFmt w:val="decimal"/>
      <w:suff w:val="nothing"/>
      <w:lvlText w:val="（%1）"/>
      <w:lvlJc w:val="left"/>
    </w:lvl>
  </w:abstractNum>
  <w:abstractNum w:abstractNumId="1">
    <w:nsid w:val="C042EF65"/>
    <w:multiLevelType w:val="singleLevel"/>
    <w:tmpl w:val="C042EF65"/>
    <w:lvl w:ilvl="0" w:tentative="0">
      <w:start w:val="1"/>
      <w:numFmt w:val="decimal"/>
      <w:suff w:val="nothing"/>
      <w:lvlText w:val="%1、"/>
      <w:lvlJc w:val="left"/>
    </w:lvl>
  </w:abstractNum>
  <w:abstractNum w:abstractNumId="2">
    <w:nsid w:val="DABE5580"/>
    <w:multiLevelType w:val="singleLevel"/>
    <w:tmpl w:val="DABE5580"/>
    <w:lvl w:ilvl="0" w:tentative="0">
      <w:start w:val="1"/>
      <w:numFmt w:val="lowerLetter"/>
      <w:suff w:val="nothing"/>
      <w:lvlText w:val="%1）"/>
      <w:lvlJc w:val="left"/>
    </w:lvl>
  </w:abstractNum>
  <w:abstractNum w:abstractNumId="3">
    <w:nsid w:val="DC3C4FD3"/>
    <w:multiLevelType w:val="singleLevel"/>
    <w:tmpl w:val="DC3C4FD3"/>
    <w:lvl w:ilvl="0" w:tentative="0">
      <w:start w:val="1"/>
      <w:numFmt w:val="decimal"/>
      <w:suff w:val="nothing"/>
      <w:lvlText w:val="（%1）"/>
      <w:lvlJc w:val="left"/>
    </w:lvl>
  </w:abstractNum>
  <w:abstractNum w:abstractNumId="4">
    <w:nsid w:val="E6B14C56"/>
    <w:multiLevelType w:val="singleLevel"/>
    <w:tmpl w:val="E6B14C56"/>
    <w:lvl w:ilvl="0" w:tentative="0">
      <w:start w:val="3"/>
      <w:numFmt w:val="decimal"/>
      <w:lvlText w:val="%1."/>
      <w:lvlJc w:val="left"/>
      <w:pPr>
        <w:tabs>
          <w:tab w:val="left" w:pos="312"/>
        </w:tabs>
      </w:pPr>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7">
    <w:nsid w:val="348E8DD0"/>
    <w:multiLevelType w:val="singleLevel"/>
    <w:tmpl w:val="348E8DD0"/>
    <w:lvl w:ilvl="0" w:tentative="0">
      <w:start w:val="2"/>
      <w:numFmt w:val="decimal"/>
      <w:suff w:val="space"/>
      <w:lvlText w:val="%1."/>
      <w:lvlJc w:val="left"/>
    </w:lvl>
  </w:abstractNum>
  <w:abstractNum w:abstractNumId="8">
    <w:nsid w:val="357FFC2F"/>
    <w:multiLevelType w:val="singleLevel"/>
    <w:tmpl w:val="357FFC2F"/>
    <w:lvl w:ilvl="0" w:tentative="0">
      <w:start w:val="1"/>
      <w:numFmt w:val="decimal"/>
      <w:lvlText w:val="%1."/>
      <w:lvlJc w:val="left"/>
      <w:pPr>
        <w:tabs>
          <w:tab w:val="left" w:pos="312"/>
        </w:tabs>
      </w:pPr>
    </w:lvl>
  </w:abstractNum>
  <w:abstractNum w:abstractNumId="9">
    <w:nsid w:val="51536378"/>
    <w:multiLevelType w:val="singleLevel"/>
    <w:tmpl w:val="51536378"/>
    <w:lvl w:ilvl="0" w:tentative="0">
      <w:start w:val="1"/>
      <w:numFmt w:val="decimal"/>
      <w:suff w:val="nothing"/>
      <w:lvlText w:val="（%1）"/>
      <w:lvlJc w:val="left"/>
      <w:pPr>
        <w:ind w:left="0" w:firstLine="0"/>
      </w:pPr>
    </w:lvl>
  </w:abstractNum>
  <w:num w:numId="1">
    <w:abstractNumId w:val="4"/>
  </w:num>
  <w:num w:numId="2">
    <w:abstractNumId w:val="1"/>
  </w:num>
  <w:num w:numId="3">
    <w:abstractNumId w:val="0"/>
  </w:num>
  <w:num w:numId="4">
    <w:abstractNumId w:val="2"/>
  </w:num>
  <w:num w:numId="5">
    <w:abstractNumId w:val="8"/>
  </w:num>
  <w:num w:numId="6">
    <w:abstractNumId w:val="3"/>
  </w:num>
  <w:num w:numId="7">
    <w:abstractNumId w:val="9"/>
    <w:lvlOverride w:ilvl="0">
      <w:startOverride w:val="1"/>
    </w:lvlOverride>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C1026D"/>
    <w:rsid w:val="00C621D0"/>
    <w:rsid w:val="00CF3665"/>
    <w:rsid w:val="00D26508"/>
    <w:rsid w:val="00D47C35"/>
    <w:rsid w:val="00D95B39"/>
    <w:rsid w:val="00DB6B5A"/>
    <w:rsid w:val="01095920"/>
    <w:rsid w:val="011B02F9"/>
    <w:rsid w:val="012A54D2"/>
    <w:rsid w:val="013A56CD"/>
    <w:rsid w:val="014275A5"/>
    <w:rsid w:val="014E69AF"/>
    <w:rsid w:val="01A72EEF"/>
    <w:rsid w:val="01BE6222"/>
    <w:rsid w:val="01C73E98"/>
    <w:rsid w:val="01C92250"/>
    <w:rsid w:val="02055082"/>
    <w:rsid w:val="02974B2C"/>
    <w:rsid w:val="029C5BD0"/>
    <w:rsid w:val="02A9566F"/>
    <w:rsid w:val="02CC6E30"/>
    <w:rsid w:val="02D92142"/>
    <w:rsid w:val="03323B4D"/>
    <w:rsid w:val="03491104"/>
    <w:rsid w:val="035C3D6F"/>
    <w:rsid w:val="036A4118"/>
    <w:rsid w:val="037B5A38"/>
    <w:rsid w:val="038207AB"/>
    <w:rsid w:val="038F07B3"/>
    <w:rsid w:val="04054EA8"/>
    <w:rsid w:val="041871BE"/>
    <w:rsid w:val="041C7FB9"/>
    <w:rsid w:val="041D36E6"/>
    <w:rsid w:val="04245B63"/>
    <w:rsid w:val="045E0B22"/>
    <w:rsid w:val="047475DC"/>
    <w:rsid w:val="04975296"/>
    <w:rsid w:val="049A7C20"/>
    <w:rsid w:val="04A57753"/>
    <w:rsid w:val="04C31FAE"/>
    <w:rsid w:val="04E34912"/>
    <w:rsid w:val="04E62E18"/>
    <w:rsid w:val="054579FD"/>
    <w:rsid w:val="054D6CFB"/>
    <w:rsid w:val="054F5D32"/>
    <w:rsid w:val="056D44BF"/>
    <w:rsid w:val="05A71B3F"/>
    <w:rsid w:val="05BE24D8"/>
    <w:rsid w:val="05D56DBB"/>
    <w:rsid w:val="05EC04F9"/>
    <w:rsid w:val="05F34893"/>
    <w:rsid w:val="060A5367"/>
    <w:rsid w:val="061760BE"/>
    <w:rsid w:val="066F5DC3"/>
    <w:rsid w:val="0676474C"/>
    <w:rsid w:val="068C4871"/>
    <w:rsid w:val="069602FF"/>
    <w:rsid w:val="06A51818"/>
    <w:rsid w:val="06F62551"/>
    <w:rsid w:val="072D0157"/>
    <w:rsid w:val="075D020D"/>
    <w:rsid w:val="07621280"/>
    <w:rsid w:val="0790327A"/>
    <w:rsid w:val="07A428E3"/>
    <w:rsid w:val="07CB185D"/>
    <w:rsid w:val="07DA4E9C"/>
    <w:rsid w:val="08093A71"/>
    <w:rsid w:val="08730E67"/>
    <w:rsid w:val="08A76D34"/>
    <w:rsid w:val="08F00221"/>
    <w:rsid w:val="08FB6F31"/>
    <w:rsid w:val="094A2991"/>
    <w:rsid w:val="09572877"/>
    <w:rsid w:val="097C1490"/>
    <w:rsid w:val="099E24B2"/>
    <w:rsid w:val="09AB0983"/>
    <w:rsid w:val="09B07E99"/>
    <w:rsid w:val="09CE1116"/>
    <w:rsid w:val="09E076C7"/>
    <w:rsid w:val="0A1E7575"/>
    <w:rsid w:val="0A2013A9"/>
    <w:rsid w:val="0A3934CB"/>
    <w:rsid w:val="0A435CEB"/>
    <w:rsid w:val="0A564057"/>
    <w:rsid w:val="0A765A8A"/>
    <w:rsid w:val="0A813285"/>
    <w:rsid w:val="0AA809C6"/>
    <w:rsid w:val="0ACE705D"/>
    <w:rsid w:val="0AD3705F"/>
    <w:rsid w:val="0AEC6CAF"/>
    <w:rsid w:val="0AF837E4"/>
    <w:rsid w:val="0B05035F"/>
    <w:rsid w:val="0B0567A8"/>
    <w:rsid w:val="0B2B22F5"/>
    <w:rsid w:val="0B5140BC"/>
    <w:rsid w:val="0B615CFF"/>
    <w:rsid w:val="0B831A63"/>
    <w:rsid w:val="0B8C6DD9"/>
    <w:rsid w:val="0B8F7AB0"/>
    <w:rsid w:val="0BA95626"/>
    <w:rsid w:val="0BC23C9A"/>
    <w:rsid w:val="0BC84512"/>
    <w:rsid w:val="0C01007F"/>
    <w:rsid w:val="0C463AE2"/>
    <w:rsid w:val="0CDC043F"/>
    <w:rsid w:val="0D300AB4"/>
    <w:rsid w:val="0D543F47"/>
    <w:rsid w:val="0D9269B0"/>
    <w:rsid w:val="0D992AED"/>
    <w:rsid w:val="0E0F21BC"/>
    <w:rsid w:val="0E1770D6"/>
    <w:rsid w:val="0E2B18D5"/>
    <w:rsid w:val="0E3218E4"/>
    <w:rsid w:val="0E73260E"/>
    <w:rsid w:val="0E9B3D4B"/>
    <w:rsid w:val="0EA91BC1"/>
    <w:rsid w:val="0EB84F33"/>
    <w:rsid w:val="0EE57B8A"/>
    <w:rsid w:val="0EEF6AAD"/>
    <w:rsid w:val="0EFB7D6B"/>
    <w:rsid w:val="0F035F56"/>
    <w:rsid w:val="0F17197D"/>
    <w:rsid w:val="0F3410B2"/>
    <w:rsid w:val="0F524821"/>
    <w:rsid w:val="0F6B1F01"/>
    <w:rsid w:val="0FB74DC9"/>
    <w:rsid w:val="101A621B"/>
    <w:rsid w:val="102F0E28"/>
    <w:rsid w:val="10390118"/>
    <w:rsid w:val="10A25EDA"/>
    <w:rsid w:val="10D4339F"/>
    <w:rsid w:val="10F53065"/>
    <w:rsid w:val="11652FD6"/>
    <w:rsid w:val="11B002DA"/>
    <w:rsid w:val="11D843F8"/>
    <w:rsid w:val="11F56084"/>
    <w:rsid w:val="120D6C92"/>
    <w:rsid w:val="12DE2AB6"/>
    <w:rsid w:val="12E271C4"/>
    <w:rsid w:val="12E63C04"/>
    <w:rsid w:val="13004370"/>
    <w:rsid w:val="13D773DA"/>
    <w:rsid w:val="144E3925"/>
    <w:rsid w:val="14523C8E"/>
    <w:rsid w:val="14814229"/>
    <w:rsid w:val="1485642A"/>
    <w:rsid w:val="148C55F5"/>
    <w:rsid w:val="1493579A"/>
    <w:rsid w:val="14A02656"/>
    <w:rsid w:val="14A757F4"/>
    <w:rsid w:val="14EF2214"/>
    <w:rsid w:val="15112FB3"/>
    <w:rsid w:val="1517629B"/>
    <w:rsid w:val="15A71FCF"/>
    <w:rsid w:val="15CE73E7"/>
    <w:rsid w:val="15DA6861"/>
    <w:rsid w:val="15F7039E"/>
    <w:rsid w:val="160A0A8E"/>
    <w:rsid w:val="16521360"/>
    <w:rsid w:val="168C2839"/>
    <w:rsid w:val="169D6CED"/>
    <w:rsid w:val="16A938D8"/>
    <w:rsid w:val="16CC463A"/>
    <w:rsid w:val="16D20B4B"/>
    <w:rsid w:val="172A6452"/>
    <w:rsid w:val="17526FA4"/>
    <w:rsid w:val="17643A3C"/>
    <w:rsid w:val="178A5D34"/>
    <w:rsid w:val="1795379C"/>
    <w:rsid w:val="17A75B29"/>
    <w:rsid w:val="17D31922"/>
    <w:rsid w:val="18063809"/>
    <w:rsid w:val="180725A6"/>
    <w:rsid w:val="18817186"/>
    <w:rsid w:val="18A53C2D"/>
    <w:rsid w:val="18CC437C"/>
    <w:rsid w:val="18E66AB2"/>
    <w:rsid w:val="19097C61"/>
    <w:rsid w:val="19155678"/>
    <w:rsid w:val="194E5E37"/>
    <w:rsid w:val="194F7902"/>
    <w:rsid w:val="19695A3B"/>
    <w:rsid w:val="19B81747"/>
    <w:rsid w:val="19DC1C4E"/>
    <w:rsid w:val="19FF33EE"/>
    <w:rsid w:val="1A1C4025"/>
    <w:rsid w:val="1A224809"/>
    <w:rsid w:val="1A3A4BA3"/>
    <w:rsid w:val="1A70567B"/>
    <w:rsid w:val="1A774458"/>
    <w:rsid w:val="1A846A93"/>
    <w:rsid w:val="1A917A14"/>
    <w:rsid w:val="1AA22304"/>
    <w:rsid w:val="1ABD34B5"/>
    <w:rsid w:val="1B1A3D35"/>
    <w:rsid w:val="1B634D6B"/>
    <w:rsid w:val="1B8B4540"/>
    <w:rsid w:val="1B980981"/>
    <w:rsid w:val="1BC83144"/>
    <w:rsid w:val="1C173FEB"/>
    <w:rsid w:val="1C5648D0"/>
    <w:rsid w:val="1C7476B3"/>
    <w:rsid w:val="1C9E7D2D"/>
    <w:rsid w:val="1CA43733"/>
    <w:rsid w:val="1CAB0B30"/>
    <w:rsid w:val="1CCA5C25"/>
    <w:rsid w:val="1CE35E40"/>
    <w:rsid w:val="1D556DBC"/>
    <w:rsid w:val="1DCB4A0E"/>
    <w:rsid w:val="1DCF12E5"/>
    <w:rsid w:val="1DF1639C"/>
    <w:rsid w:val="1E037DAC"/>
    <w:rsid w:val="1E2D191A"/>
    <w:rsid w:val="1E47282D"/>
    <w:rsid w:val="1E55723C"/>
    <w:rsid w:val="1EA4279A"/>
    <w:rsid w:val="1EA700B7"/>
    <w:rsid w:val="1F152A17"/>
    <w:rsid w:val="1F4E3E9E"/>
    <w:rsid w:val="1F6210D9"/>
    <w:rsid w:val="1F640C4B"/>
    <w:rsid w:val="1F7C3BBA"/>
    <w:rsid w:val="1FC2394D"/>
    <w:rsid w:val="1FCF2A25"/>
    <w:rsid w:val="202A5D19"/>
    <w:rsid w:val="207A2091"/>
    <w:rsid w:val="208D2FA3"/>
    <w:rsid w:val="20910DC7"/>
    <w:rsid w:val="209640CD"/>
    <w:rsid w:val="20967EE2"/>
    <w:rsid w:val="20C426EA"/>
    <w:rsid w:val="20D3473E"/>
    <w:rsid w:val="20DD79A8"/>
    <w:rsid w:val="20E233A0"/>
    <w:rsid w:val="21157CC0"/>
    <w:rsid w:val="21170006"/>
    <w:rsid w:val="213D7796"/>
    <w:rsid w:val="215E6B36"/>
    <w:rsid w:val="21660D84"/>
    <w:rsid w:val="217D1569"/>
    <w:rsid w:val="21AB6CB3"/>
    <w:rsid w:val="21D65932"/>
    <w:rsid w:val="21DA28C2"/>
    <w:rsid w:val="21E92535"/>
    <w:rsid w:val="21EA67DF"/>
    <w:rsid w:val="22494C50"/>
    <w:rsid w:val="22551944"/>
    <w:rsid w:val="225718E5"/>
    <w:rsid w:val="2279283A"/>
    <w:rsid w:val="227A5108"/>
    <w:rsid w:val="22AB5DF9"/>
    <w:rsid w:val="22B02124"/>
    <w:rsid w:val="22C87A6E"/>
    <w:rsid w:val="22CE4F93"/>
    <w:rsid w:val="22DA3051"/>
    <w:rsid w:val="22DC4C58"/>
    <w:rsid w:val="231328CD"/>
    <w:rsid w:val="23236BC0"/>
    <w:rsid w:val="23716F76"/>
    <w:rsid w:val="237F36A3"/>
    <w:rsid w:val="239C66C6"/>
    <w:rsid w:val="23AD68F9"/>
    <w:rsid w:val="23C31EAF"/>
    <w:rsid w:val="23C46C9C"/>
    <w:rsid w:val="23CD5BEA"/>
    <w:rsid w:val="23D46646"/>
    <w:rsid w:val="23E16DB3"/>
    <w:rsid w:val="23EF07BD"/>
    <w:rsid w:val="240B21ED"/>
    <w:rsid w:val="242D3833"/>
    <w:rsid w:val="243F62FD"/>
    <w:rsid w:val="24413E89"/>
    <w:rsid w:val="24816B05"/>
    <w:rsid w:val="24941690"/>
    <w:rsid w:val="24CF590E"/>
    <w:rsid w:val="24FD473D"/>
    <w:rsid w:val="2546399F"/>
    <w:rsid w:val="25581FF1"/>
    <w:rsid w:val="25665875"/>
    <w:rsid w:val="256C491B"/>
    <w:rsid w:val="25844A94"/>
    <w:rsid w:val="258F5A73"/>
    <w:rsid w:val="25CF57C2"/>
    <w:rsid w:val="25E2566C"/>
    <w:rsid w:val="26024071"/>
    <w:rsid w:val="26216F07"/>
    <w:rsid w:val="26650B4D"/>
    <w:rsid w:val="269E03BA"/>
    <w:rsid w:val="26A742E8"/>
    <w:rsid w:val="26AF5308"/>
    <w:rsid w:val="26CF1553"/>
    <w:rsid w:val="26DA0542"/>
    <w:rsid w:val="273259A9"/>
    <w:rsid w:val="27380A7A"/>
    <w:rsid w:val="27503865"/>
    <w:rsid w:val="275A5F00"/>
    <w:rsid w:val="276258F6"/>
    <w:rsid w:val="279A2560"/>
    <w:rsid w:val="27DA7DAA"/>
    <w:rsid w:val="27F23143"/>
    <w:rsid w:val="28063E8E"/>
    <w:rsid w:val="28790670"/>
    <w:rsid w:val="29095C9F"/>
    <w:rsid w:val="291B1976"/>
    <w:rsid w:val="292145DB"/>
    <w:rsid w:val="292D12B6"/>
    <w:rsid w:val="2999784A"/>
    <w:rsid w:val="29AB0C3B"/>
    <w:rsid w:val="29BB4910"/>
    <w:rsid w:val="29DB234D"/>
    <w:rsid w:val="29DD3939"/>
    <w:rsid w:val="2A1F36F3"/>
    <w:rsid w:val="2A636FF6"/>
    <w:rsid w:val="2AB6357C"/>
    <w:rsid w:val="2AD95EED"/>
    <w:rsid w:val="2AF56779"/>
    <w:rsid w:val="2B177065"/>
    <w:rsid w:val="2B3B1E66"/>
    <w:rsid w:val="2B6202D0"/>
    <w:rsid w:val="2B770163"/>
    <w:rsid w:val="2B960D99"/>
    <w:rsid w:val="2B9E3F4D"/>
    <w:rsid w:val="2B9E7E17"/>
    <w:rsid w:val="2BCB247B"/>
    <w:rsid w:val="2C7D12B4"/>
    <w:rsid w:val="2CAE5E5B"/>
    <w:rsid w:val="2CCA7EB6"/>
    <w:rsid w:val="2CED73A5"/>
    <w:rsid w:val="2CF72413"/>
    <w:rsid w:val="2D0E5D07"/>
    <w:rsid w:val="2D3347E7"/>
    <w:rsid w:val="2D4F38E3"/>
    <w:rsid w:val="2D5205CB"/>
    <w:rsid w:val="2D6045A9"/>
    <w:rsid w:val="2D9617F6"/>
    <w:rsid w:val="2DBE7E6A"/>
    <w:rsid w:val="2DCB0FE4"/>
    <w:rsid w:val="2DEC5B1F"/>
    <w:rsid w:val="2E0954C2"/>
    <w:rsid w:val="2E21726B"/>
    <w:rsid w:val="2E685538"/>
    <w:rsid w:val="2E7532C5"/>
    <w:rsid w:val="2E8869BF"/>
    <w:rsid w:val="2F423753"/>
    <w:rsid w:val="2F575FD4"/>
    <w:rsid w:val="2F653168"/>
    <w:rsid w:val="2FAA7FCD"/>
    <w:rsid w:val="2FB87BD1"/>
    <w:rsid w:val="2FF80F0E"/>
    <w:rsid w:val="304108B1"/>
    <w:rsid w:val="305807BF"/>
    <w:rsid w:val="306B5FE8"/>
    <w:rsid w:val="307E46AF"/>
    <w:rsid w:val="30D81EF7"/>
    <w:rsid w:val="30D93356"/>
    <w:rsid w:val="30DA1DD9"/>
    <w:rsid w:val="318D2CFD"/>
    <w:rsid w:val="31EF7B28"/>
    <w:rsid w:val="32015993"/>
    <w:rsid w:val="322118FB"/>
    <w:rsid w:val="322476CF"/>
    <w:rsid w:val="322B55AE"/>
    <w:rsid w:val="32390A38"/>
    <w:rsid w:val="32521B1D"/>
    <w:rsid w:val="32577CB5"/>
    <w:rsid w:val="325A4DC1"/>
    <w:rsid w:val="326C65A7"/>
    <w:rsid w:val="326D5167"/>
    <w:rsid w:val="326E6C1E"/>
    <w:rsid w:val="32896F87"/>
    <w:rsid w:val="329F5F4A"/>
    <w:rsid w:val="32AD00E0"/>
    <w:rsid w:val="32BB403E"/>
    <w:rsid w:val="32C85462"/>
    <w:rsid w:val="32DD681E"/>
    <w:rsid w:val="32E3590E"/>
    <w:rsid w:val="32FC3D25"/>
    <w:rsid w:val="33136037"/>
    <w:rsid w:val="3316675F"/>
    <w:rsid w:val="33394A1D"/>
    <w:rsid w:val="335726E0"/>
    <w:rsid w:val="33800A0F"/>
    <w:rsid w:val="338E424C"/>
    <w:rsid w:val="33962A97"/>
    <w:rsid w:val="339B377C"/>
    <w:rsid w:val="33D1368F"/>
    <w:rsid w:val="34222E91"/>
    <w:rsid w:val="345631E3"/>
    <w:rsid w:val="34572A71"/>
    <w:rsid w:val="349D7A9E"/>
    <w:rsid w:val="34BB41E0"/>
    <w:rsid w:val="34BC4B4B"/>
    <w:rsid w:val="34C46423"/>
    <w:rsid w:val="3507717E"/>
    <w:rsid w:val="350C2D09"/>
    <w:rsid w:val="3592350F"/>
    <w:rsid w:val="35A67A5F"/>
    <w:rsid w:val="3615435C"/>
    <w:rsid w:val="361C37F0"/>
    <w:rsid w:val="361E362C"/>
    <w:rsid w:val="3635774B"/>
    <w:rsid w:val="3642105E"/>
    <w:rsid w:val="366E1C81"/>
    <w:rsid w:val="366E4460"/>
    <w:rsid w:val="36773E5D"/>
    <w:rsid w:val="36801F8F"/>
    <w:rsid w:val="36936D06"/>
    <w:rsid w:val="369604D8"/>
    <w:rsid w:val="36AF573D"/>
    <w:rsid w:val="36BB169B"/>
    <w:rsid w:val="36BD41BF"/>
    <w:rsid w:val="36CF23CE"/>
    <w:rsid w:val="36D131EC"/>
    <w:rsid w:val="36D3565B"/>
    <w:rsid w:val="36E0622F"/>
    <w:rsid w:val="36ED3DEE"/>
    <w:rsid w:val="36ED517C"/>
    <w:rsid w:val="3720584E"/>
    <w:rsid w:val="375D21A8"/>
    <w:rsid w:val="3779039B"/>
    <w:rsid w:val="37880110"/>
    <w:rsid w:val="37FB3273"/>
    <w:rsid w:val="383967AA"/>
    <w:rsid w:val="386A5533"/>
    <w:rsid w:val="387F5AF8"/>
    <w:rsid w:val="38E50D89"/>
    <w:rsid w:val="39455184"/>
    <w:rsid w:val="39726B7C"/>
    <w:rsid w:val="399B6E57"/>
    <w:rsid w:val="39EA3076"/>
    <w:rsid w:val="3A2C1123"/>
    <w:rsid w:val="3A36500A"/>
    <w:rsid w:val="3A395E36"/>
    <w:rsid w:val="3A443C96"/>
    <w:rsid w:val="3A5E70A9"/>
    <w:rsid w:val="3A605AF2"/>
    <w:rsid w:val="3ADE1AAE"/>
    <w:rsid w:val="3B457F98"/>
    <w:rsid w:val="3B6C49BC"/>
    <w:rsid w:val="3B776CDF"/>
    <w:rsid w:val="3BA30382"/>
    <w:rsid w:val="3BAA39EE"/>
    <w:rsid w:val="3BB450C0"/>
    <w:rsid w:val="3C0359A7"/>
    <w:rsid w:val="3C457F4A"/>
    <w:rsid w:val="3C793F97"/>
    <w:rsid w:val="3C9C292F"/>
    <w:rsid w:val="3DBC4D27"/>
    <w:rsid w:val="3DBD339D"/>
    <w:rsid w:val="3DC34D1C"/>
    <w:rsid w:val="3DE47484"/>
    <w:rsid w:val="3E4F3CEB"/>
    <w:rsid w:val="3E8B7A4C"/>
    <w:rsid w:val="3E997609"/>
    <w:rsid w:val="3EF54968"/>
    <w:rsid w:val="3F043BAC"/>
    <w:rsid w:val="3F1B0FC1"/>
    <w:rsid w:val="3F246DEE"/>
    <w:rsid w:val="3F320B28"/>
    <w:rsid w:val="3F4A0470"/>
    <w:rsid w:val="3F5512BA"/>
    <w:rsid w:val="3FD602BE"/>
    <w:rsid w:val="400468BA"/>
    <w:rsid w:val="401447AA"/>
    <w:rsid w:val="404B72A7"/>
    <w:rsid w:val="405628EA"/>
    <w:rsid w:val="40A13026"/>
    <w:rsid w:val="40BD6C60"/>
    <w:rsid w:val="40D60483"/>
    <w:rsid w:val="40EF446D"/>
    <w:rsid w:val="40FD0A5D"/>
    <w:rsid w:val="41366D43"/>
    <w:rsid w:val="4152018A"/>
    <w:rsid w:val="416A4349"/>
    <w:rsid w:val="416C7DBD"/>
    <w:rsid w:val="41F122DB"/>
    <w:rsid w:val="42240501"/>
    <w:rsid w:val="4234381E"/>
    <w:rsid w:val="42954201"/>
    <w:rsid w:val="429823CB"/>
    <w:rsid w:val="429D5C8C"/>
    <w:rsid w:val="42A178EE"/>
    <w:rsid w:val="43050FCE"/>
    <w:rsid w:val="433831AE"/>
    <w:rsid w:val="433B256A"/>
    <w:rsid w:val="43460D6B"/>
    <w:rsid w:val="43974B56"/>
    <w:rsid w:val="43F31EC1"/>
    <w:rsid w:val="43F567E8"/>
    <w:rsid w:val="43FB1131"/>
    <w:rsid w:val="440A42B2"/>
    <w:rsid w:val="441A2345"/>
    <w:rsid w:val="443372AB"/>
    <w:rsid w:val="44385910"/>
    <w:rsid w:val="443F0DB6"/>
    <w:rsid w:val="445E4478"/>
    <w:rsid w:val="447E4A26"/>
    <w:rsid w:val="449F1233"/>
    <w:rsid w:val="44E471D7"/>
    <w:rsid w:val="456F717C"/>
    <w:rsid w:val="458F40E0"/>
    <w:rsid w:val="45D4622A"/>
    <w:rsid w:val="462E0726"/>
    <w:rsid w:val="4683709C"/>
    <w:rsid w:val="46AF2877"/>
    <w:rsid w:val="46BE37C3"/>
    <w:rsid w:val="470917E1"/>
    <w:rsid w:val="471760F8"/>
    <w:rsid w:val="47435B56"/>
    <w:rsid w:val="476123B9"/>
    <w:rsid w:val="4770328C"/>
    <w:rsid w:val="47720309"/>
    <w:rsid w:val="478009AC"/>
    <w:rsid w:val="47A42B87"/>
    <w:rsid w:val="47B03B4D"/>
    <w:rsid w:val="484A0F00"/>
    <w:rsid w:val="484E4048"/>
    <w:rsid w:val="4865059B"/>
    <w:rsid w:val="48787FAC"/>
    <w:rsid w:val="489B2F4B"/>
    <w:rsid w:val="48B567A0"/>
    <w:rsid w:val="48C0305C"/>
    <w:rsid w:val="48CF07C1"/>
    <w:rsid w:val="48D1046F"/>
    <w:rsid w:val="49360D0C"/>
    <w:rsid w:val="493865B5"/>
    <w:rsid w:val="495D3F4A"/>
    <w:rsid w:val="496C7C8D"/>
    <w:rsid w:val="498469FF"/>
    <w:rsid w:val="49B81DB5"/>
    <w:rsid w:val="49DF5A21"/>
    <w:rsid w:val="4A187D2D"/>
    <w:rsid w:val="4A243C94"/>
    <w:rsid w:val="4A8E515D"/>
    <w:rsid w:val="4AC863B5"/>
    <w:rsid w:val="4ADD6C7C"/>
    <w:rsid w:val="4B182BCD"/>
    <w:rsid w:val="4B410C16"/>
    <w:rsid w:val="4B44380D"/>
    <w:rsid w:val="4B6E48E5"/>
    <w:rsid w:val="4B7F5BCC"/>
    <w:rsid w:val="4BA43DD9"/>
    <w:rsid w:val="4BA94BA1"/>
    <w:rsid w:val="4BB30F42"/>
    <w:rsid w:val="4BC17ABD"/>
    <w:rsid w:val="4BEE18C0"/>
    <w:rsid w:val="4BF33563"/>
    <w:rsid w:val="4BF50CB2"/>
    <w:rsid w:val="4BF92F4D"/>
    <w:rsid w:val="4C5A73B1"/>
    <w:rsid w:val="4C6E15BF"/>
    <w:rsid w:val="4C737E6D"/>
    <w:rsid w:val="4C8B77E6"/>
    <w:rsid w:val="4C8D00A1"/>
    <w:rsid w:val="4CAF6EB5"/>
    <w:rsid w:val="4CB2054A"/>
    <w:rsid w:val="4CC65386"/>
    <w:rsid w:val="4CDF679D"/>
    <w:rsid w:val="4CE17B54"/>
    <w:rsid w:val="4CFE0910"/>
    <w:rsid w:val="4D165162"/>
    <w:rsid w:val="4D170BB5"/>
    <w:rsid w:val="4D574D34"/>
    <w:rsid w:val="4D640565"/>
    <w:rsid w:val="4D7213D6"/>
    <w:rsid w:val="4D8F0E43"/>
    <w:rsid w:val="4DB67C3F"/>
    <w:rsid w:val="4DB93C1C"/>
    <w:rsid w:val="4DCB144C"/>
    <w:rsid w:val="4DD7287E"/>
    <w:rsid w:val="4DDC3463"/>
    <w:rsid w:val="4DF558BF"/>
    <w:rsid w:val="4E050942"/>
    <w:rsid w:val="4E247E95"/>
    <w:rsid w:val="4E274294"/>
    <w:rsid w:val="4E4207B2"/>
    <w:rsid w:val="4E5649B8"/>
    <w:rsid w:val="4E762CDF"/>
    <w:rsid w:val="4E797C60"/>
    <w:rsid w:val="4EC84766"/>
    <w:rsid w:val="4ED133E0"/>
    <w:rsid w:val="4EE1639C"/>
    <w:rsid w:val="4EF94B51"/>
    <w:rsid w:val="4F4F2ACB"/>
    <w:rsid w:val="4F7A5C1F"/>
    <w:rsid w:val="4F8F33DB"/>
    <w:rsid w:val="4F940DFD"/>
    <w:rsid w:val="4F9D2D1D"/>
    <w:rsid w:val="4FDA0003"/>
    <w:rsid w:val="4FF8744B"/>
    <w:rsid w:val="4FFB507E"/>
    <w:rsid w:val="501C5568"/>
    <w:rsid w:val="503F1F7D"/>
    <w:rsid w:val="50815D87"/>
    <w:rsid w:val="50875DDA"/>
    <w:rsid w:val="50A67405"/>
    <w:rsid w:val="50BF7A86"/>
    <w:rsid w:val="50F7462E"/>
    <w:rsid w:val="50FC2C3C"/>
    <w:rsid w:val="5165451C"/>
    <w:rsid w:val="518F7337"/>
    <w:rsid w:val="51CA2B07"/>
    <w:rsid w:val="51D574B6"/>
    <w:rsid w:val="51D97625"/>
    <w:rsid w:val="520D40AC"/>
    <w:rsid w:val="52237D21"/>
    <w:rsid w:val="524B5983"/>
    <w:rsid w:val="527777E7"/>
    <w:rsid w:val="528E2E9A"/>
    <w:rsid w:val="52A248C9"/>
    <w:rsid w:val="533E54DE"/>
    <w:rsid w:val="53532AF5"/>
    <w:rsid w:val="5363174A"/>
    <w:rsid w:val="53781CD0"/>
    <w:rsid w:val="53BE66B0"/>
    <w:rsid w:val="53D272B4"/>
    <w:rsid w:val="53E429F3"/>
    <w:rsid w:val="53FC7D3D"/>
    <w:rsid w:val="542C531C"/>
    <w:rsid w:val="544A7282"/>
    <w:rsid w:val="544F4B17"/>
    <w:rsid w:val="54690E06"/>
    <w:rsid w:val="547D1B69"/>
    <w:rsid w:val="547D3CA1"/>
    <w:rsid w:val="549A78FD"/>
    <w:rsid w:val="54A20EE3"/>
    <w:rsid w:val="54A71544"/>
    <w:rsid w:val="54CD451A"/>
    <w:rsid w:val="54E03240"/>
    <w:rsid w:val="54E161E6"/>
    <w:rsid w:val="54F32A65"/>
    <w:rsid w:val="55717EF0"/>
    <w:rsid w:val="55B83796"/>
    <w:rsid w:val="55BD62FC"/>
    <w:rsid w:val="55CF4789"/>
    <w:rsid w:val="55E24205"/>
    <w:rsid w:val="55FF3119"/>
    <w:rsid w:val="56290606"/>
    <w:rsid w:val="56960007"/>
    <w:rsid w:val="569C33FD"/>
    <w:rsid w:val="56A67268"/>
    <w:rsid w:val="56AD53E1"/>
    <w:rsid w:val="56B93E4B"/>
    <w:rsid w:val="56BD0981"/>
    <w:rsid w:val="56E17E4B"/>
    <w:rsid w:val="571177FA"/>
    <w:rsid w:val="571A4D54"/>
    <w:rsid w:val="57285324"/>
    <w:rsid w:val="572C50A1"/>
    <w:rsid w:val="574A79DE"/>
    <w:rsid w:val="574E744D"/>
    <w:rsid w:val="57862A77"/>
    <w:rsid w:val="57AD39D0"/>
    <w:rsid w:val="57C5676A"/>
    <w:rsid w:val="57D26EB7"/>
    <w:rsid w:val="580653FD"/>
    <w:rsid w:val="580F63AE"/>
    <w:rsid w:val="586B7753"/>
    <w:rsid w:val="589905B5"/>
    <w:rsid w:val="58AA581E"/>
    <w:rsid w:val="58C919AA"/>
    <w:rsid w:val="58D5070A"/>
    <w:rsid w:val="59043E01"/>
    <w:rsid w:val="596D67DA"/>
    <w:rsid w:val="59BB60CF"/>
    <w:rsid w:val="59D34D02"/>
    <w:rsid w:val="5A3E099C"/>
    <w:rsid w:val="5A4E4EC1"/>
    <w:rsid w:val="5A4E7262"/>
    <w:rsid w:val="5A791DEA"/>
    <w:rsid w:val="5A7C75A7"/>
    <w:rsid w:val="5A831B3A"/>
    <w:rsid w:val="5AEE72F1"/>
    <w:rsid w:val="5B1A2F6E"/>
    <w:rsid w:val="5BC24B08"/>
    <w:rsid w:val="5BE34185"/>
    <w:rsid w:val="5BF6728A"/>
    <w:rsid w:val="5C083ADA"/>
    <w:rsid w:val="5C321BB9"/>
    <w:rsid w:val="5C766F57"/>
    <w:rsid w:val="5C7865A7"/>
    <w:rsid w:val="5C9F3A65"/>
    <w:rsid w:val="5CB11B30"/>
    <w:rsid w:val="5D10309F"/>
    <w:rsid w:val="5D2B4B79"/>
    <w:rsid w:val="5D3D543E"/>
    <w:rsid w:val="5D425978"/>
    <w:rsid w:val="5D6F03B3"/>
    <w:rsid w:val="5D8F57D0"/>
    <w:rsid w:val="5DB43D5B"/>
    <w:rsid w:val="5DC90AF1"/>
    <w:rsid w:val="5E1F3CF6"/>
    <w:rsid w:val="5E273D58"/>
    <w:rsid w:val="5E565CA2"/>
    <w:rsid w:val="5E68756F"/>
    <w:rsid w:val="5E7B08D1"/>
    <w:rsid w:val="5E826CA8"/>
    <w:rsid w:val="5E847D30"/>
    <w:rsid w:val="5EAB0D2C"/>
    <w:rsid w:val="5F2B1805"/>
    <w:rsid w:val="5F340CDF"/>
    <w:rsid w:val="5F476193"/>
    <w:rsid w:val="5F4D6DA2"/>
    <w:rsid w:val="5F8741B1"/>
    <w:rsid w:val="5FA17662"/>
    <w:rsid w:val="5FAE1170"/>
    <w:rsid w:val="5FB76261"/>
    <w:rsid w:val="5FC56E30"/>
    <w:rsid w:val="5FD15C60"/>
    <w:rsid w:val="604231D2"/>
    <w:rsid w:val="60573113"/>
    <w:rsid w:val="60D56C76"/>
    <w:rsid w:val="60E342E4"/>
    <w:rsid w:val="61151723"/>
    <w:rsid w:val="613432FE"/>
    <w:rsid w:val="614528AC"/>
    <w:rsid w:val="615B449E"/>
    <w:rsid w:val="617B565A"/>
    <w:rsid w:val="619D6B85"/>
    <w:rsid w:val="61B363CD"/>
    <w:rsid w:val="61F000D6"/>
    <w:rsid w:val="61FB170E"/>
    <w:rsid w:val="6273237F"/>
    <w:rsid w:val="62A00E16"/>
    <w:rsid w:val="62B722E1"/>
    <w:rsid w:val="62D14C9E"/>
    <w:rsid w:val="633F463B"/>
    <w:rsid w:val="639F7DC1"/>
    <w:rsid w:val="63EE313D"/>
    <w:rsid w:val="63F30435"/>
    <w:rsid w:val="63F743E1"/>
    <w:rsid w:val="64050ABF"/>
    <w:rsid w:val="642D1CFD"/>
    <w:rsid w:val="64363468"/>
    <w:rsid w:val="645239A3"/>
    <w:rsid w:val="64B32E2F"/>
    <w:rsid w:val="64C157D9"/>
    <w:rsid w:val="64CA7FBA"/>
    <w:rsid w:val="64E250F2"/>
    <w:rsid w:val="6500469F"/>
    <w:rsid w:val="659F6081"/>
    <w:rsid w:val="65A70C8A"/>
    <w:rsid w:val="65A76324"/>
    <w:rsid w:val="65A823F2"/>
    <w:rsid w:val="65B460C5"/>
    <w:rsid w:val="65ED414E"/>
    <w:rsid w:val="65EF4D81"/>
    <w:rsid w:val="65FD598B"/>
    <w:rsid w:val="664B343A"/>
    <w:rsid w:val="66620E80"/>
    <w:rsid w:val="669A3910"/>
    <w:rsid w:val="66A302C0"/>
    <w:rsid w:val="66B23A7E"/>
    <w:rsid w:val="66B5420B"/>
    <w:rsid w:val="66E2272E"/>
    <w:rsid w:val="670F7889"/>
    <w:rsid w:val="67126567"/>
    <w:rsid w:val="67211260"/>
    <w:rsid w:val="67460997"/>
    <w:rsid w:val="676557D9"/>
    <w:rsid w:val="676D705E"/>
    <w:rsid w:val="67A05B2A"/>
    <w:rsid w:val="67DE2C50"/>
    <w:rsid w:val="67DE7084"/>
    <w:rsid w:val="67F7300E"/>
    <w:rsid w:val="68342E8F"/>
    <w:rsid w:val="684729E9"/>
    <w:rsid w:val="68483D18"/>
    <w:rsid w:val="687D4BDD"/>
    <w:rsid w:val="68952F54"/>
    <w:rsid w:val="68DC3EFE"/>
    <w:rsid w:val="68F8398F"/>
    <w:rsid w:val="69125ADB"/>
    <w:rsid w:val="69507B39"/>
    <w:rsid w:val="698E0FEB"/>
    <w:rsid w:val="6998799E"/>
    <w:rsid w:val="6A3E6267"/>
    <w:rsid w:val="6A5979DE"/>
    <w:rsid w:val="6A8923D3"/>
    <w:rsid w:val="6A8E769B"/>
    <w:rsid w:val="6ADB3525"/>
    <w:rsid w:val="6B632B67"/>
    <w:rsid w:val="6B8723B0"/>
    <w:rsid w:val="6B8B2B72"/>
    <w:rsid w:val="6BCD5389"/>
    <w:rsid w:val="6C3170F0"/>
    <w:rsid w:val="6C3D49A4"/>
    <w:rsid w:val="6C9F3E51"/>
    <w:rsid w:val="6CA8352E"/>
    <w:rsid w:val="6CB97733"/>
    <w:rsid w:val="6CD725ED"/>
    <w:rsid w:val="6CEA4165"/>
    <w:rsid w:val="6D2C28FF"/>
    <w:rsid w:val="6D376AFE"/>
    <w:rsid w:val="6D3B35C4"/>
    <w:rsid w:val="6D546223"/>
    <w:rsid w:val="6DC8347D"/>
    <w:rsid w:val="6DD31059"/>
    <w:rsid w:val="6E141A2A"/>
    <w:rsid w:val="6E5509CC"/>
    <w:rsid w:val="6EA05AE1"/>
    <w:rsid w:val="6EAB20CD"/>
    <w:rsid w:val="6EBF723B"/>
    <w:rsid w:val="6EE06FEB"/>
    <w:rsid w:val="6EF74287"/>
    <w:rsid w:val="6F153218"/>
    <w:rsid w:val="6F1F0ECB"/>
    <w:rsid w:val="6F493209"/>
    <w:rsid w:val="6F76486B"/>
    <w:rsid w:val="6F924A6F"/>
    <w:rsid w:val="6FE55BBD"/>
    <w:rsid w:val="704D2477"/>
    <w:rsid w:val="707B47C4"/>
    <w:rsid w:val="709B4B83"/>
    <w:rsid w:val="70B64C12"/>
    <w:rsid w:val="70C11755"/>
    <w:rsid w:val="70DD2618"/>
    <w:rsid w:val="70E6544B"/>
    <w:rsid w:val="70ED0986"/>
    <w:rsid w:val="71125A7D"/>
    <w:rsid w:val="71881060"/>
    <w:rsid w:val="71CF0D35"/>
    <w:rsid w:val="71D728C9"/>
    <w:rsid w:val="71E003DD"/>
    <w:rsid w:val="71F41383"/>
    <w:rsid w:val="72021250"/>
    <w:rsid w:val="720F6D7D"/>
    <w:rsid w:val="72472963"/>
    <w:rsid w:val="726532FB"/>
    <w:rsid w:val="72670F93"/>
    <w:rsid w:val="72950198"/>
    <w:rsid w:val="72A93F87"/>
    <w:rsid w:val="72EA4658"/>
    <w:rsid w:val="7320375D"/>
    <w:rsid w:val="736C23ED"/>
    <w:rsid w:val="73F53DA6"/>
    <w:rsid w:val="73FE6554"/>
    <w:rsid w:val="74232DF5"/>
    <w:rsid w:val="742B4973"/>
    <w:rsid w:val="74444F9D"/>
    <w:rsid w:val="748725BD"/>
    <w:rsid w:val="74A01DFE"/>
    <w:rsid w:val="74B00652"/>
    <w:rsid w:val="74C57072"/>
    <w:rsid w:val="74C6075E"/>
    <w:rsid w:val="74F109DD"/>
    <w:rsid w:val="7509716F"/>
    <w:rsid w:val="753442AC"/>
    <w:rsid w:val="755A26D4"/>
    <w:rsid w:val="75667239"/>
    <w:rsid w:val="756D0B1E"/>
    <w:rsid w:val="75CC20CF"/>
    <w:rsid w:val="75E57090"/>
    <w:rsid w:val="761B4B26"/>
    <w:rsid w:val="762F10DD"/>
    <w:rsid w:val="766B56D8"/>
    <w:rsid w:val="76945580"/>
    <w:rsid w:val="769B575F"/>
    <w:rsid w:val="76BE180F"/>
    <w:rsid w:val="76E17EFC"/>
    <w:rsid w:val="77017B76"/>
    <w:rsid w:val="771C6DDB"/>
    <w:rsid w:val="77444BC6"/>
    <w:rsid w:val="774C11E5"/>
    <w:rsid w:val="77563BDF"/>
    <w:rsid w:val="77585E91"/>
    <w:rsid w:val="77970501"/>
    <w:rsid w:val="77CE4E49"/>
    <w:rsid w:val="77DD1955"/>
    <w:rsid w:val="78492BFF"/>
    <w:rsid w:val="784A2834"/>
    <w:rsid w:val="78986C8F"/>
    <w:rsid w:val="78F53EF1"/>
    <w:rsid w:val="79064ACA"/>
    <w:rsid w:val="79200D68"/>
    <w:rsid w:val="79404045"/>
    <w:rsid w:val="794B1CCF"/>
    <w:rsid w:val="794E1F75"/>
    <w:rsid w:val="799737F5"/>
    <w:rsid w:val="799E4EDF"/>
    <w:rsid w:val="79C40791"/>
    <w:rsid w:val="7A4D6843"/>
    <w:rsid w:val="7A721263"/>
    <w:rsid w:val="7A98300E"/>
    <w:rsid w:val="7AA812CD"/>
    <w:rsid w:val="7B2241A0"/>
    <w:rsid w:val="7B4E5F74"/>
    <w:rsid w:val="7B5B590C"/>
    <w:rsid w:val="7BC21276"/>
    <w:rsid w:val="7BCE6616"/>
    <w:rsid w:val="7BF232D8"/>
    <w:rsid w:val="7C0A10B0"/>
    <w:rsid w:val="7C2521C4"/>
    <w:rsid w:val="7C266A5E"/>
    <w:rsid w:val="7C4D471D"/>
    <w:rsid w:val="7C620CEE"/>
    <w:rsid w:val="7CC43F8D"/>
    <w:rsid w:val="7CC81220"/>
    <w:rsid w:val="7CD3033B"/>
    <w:rsid w:val="7CD4773D"/>
    <w:rsid w:val="7CDD2498"/>
    <w:rsid w:val="7D1428F3"/>
    <w:rsid w:val="7D1C52E3"/>
    <w:rsid w:val="7D2E060E"/>
    <w:rsid w:val="7D3714E0"/>
    <w:rsid w:val="7D3A2618"/>
    <w:rsid w:val="7D405FDE"/>
    <w:rsid w:val="7D53229B"/>
    <w:rsid w:val="7D9F232A"/>
    <w:rsid w:val="7DB84B7D"/>
    <w:rsid w:val="7DC03F63"/>
    <w:rsid w:val="7E2719D2"/>
    <w:rsid w:val="7E301C88"/>
    <w:rsid w:val="7E5706C0"/>
    <w:rsid w:val="7E730C2B"/>
    <w:rsid w:val="7E797FB0"/>
    <w:rsid w:val="7EA1239A"/>
    <w:rsid w:val="7EC81A6C"/>
    <w:rsid w:val="7ECB4974"/>
    <w:rsid w:val="7ED9582D"/>
    <w:rsid w:val="7F02670F"/>
    <w:rsid w:val="7F21731A"/>
    <w:rsid w:val="7F66149A"/>
    <w:rsid w:val="7FE07536"/>
    <w:rsid w:val="7FEC35BC"/>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6">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7">
    <w:name w:val="heading 5"/>
    <w:basedOn w:val="1"/>
    <w:next w:val="8"/>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8">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9">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10">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11">
    <w:name w:val="Body Text"/>
    <w:basedOn w:val="1"/>
    <w:next w:val="12"/>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2">
    <w:name w:val="Body Text First Indent 2"/>
    <w:basedOn w:val="13"/>
    <w:next w:val="1"/>
    <w:autoRedefine/>
    <w:qFormat/>
    <w:uiPriority w:val="0"/>
    <w:pPr>
      <w:autoSpaceDE w:val="0"/>
      <w:autoSpaceDN w:val="0"/>
      <w:spacing w:after="120" w:afterLines="0" w:line="360" w:lineRule="auto"/>
      <w:ind w:left="420" w:leftChars="200" w:firstLine="420" w:firstLineChars="200"/>
    </w:pPr>
    <w:rPr>
      <w:sz w:val="21"/>
      <w:szCs w:val="24"/>
    </w:rPr>
  </w:style>
  <w:style w:type="paragraph" w:styleId="13">
    <w:name w:val="Body Text Indent"/>
    <w:basedOn w:val="1"/>
    <w:next w:val="1"/>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5">
    <w:name w:val="Plain Text"/>
    <w:basedOn w:val="1"/>
    <w:next w:val="16"/>
    <w:autoRedefine/>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16">
    <w:name w:val="TOC 标题2"/>
    <w:next w:val="1"/>
    <w:autoRedefine/>
    <w:qFormat/>
    <w:uiPriority w:val="0"/>
    <w:pPr>
      <w:wordWrap w:val="0"/>
    </w:pPr>
    <w:rPr>
      <w:rFonts w:ascii="Times New Roman" w:hAnsi="Times New Roman" w:eastAsia="宋体" w:cs="Times New Roman"/>
      <w:sz w:val="32"/>
      <w:szCs w:val="22"/>
      <w:lang w:val="en-US" w:eastAsia="zh-CN" w:bidi="ar-SA"/>
    </w:rPr>
  </w:style>
  <w:style w:type="paragraph" w:styleId="17">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8">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9">
    <w:name w:val="toc 1"/>
    <w:basedOn w:val="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20">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21">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22">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table" w:styleId="24">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page number"/>
    <w:autoRedefine/>
    <w:qFormat/>
    <w:uiPriority w:val="0"/>
  </w:style>
  <w:style w:type="character" w:styleId="28">
    <w:name w:val="FollowedHyperlink"/>
    <w:basedOn w:val="25"/>
    <w:autoRedefine/>
    <w:qFormat/>
    <w:uiPriority w:val="0"/>
    <w:rPr>
      <w:rFonts w:hint="eastAsia" w:ascii="微软雅黑" w:hAnsi="微软雅黑" w:eastAsia="微软雅黑" w:cs="微软雅黑"/>
      <w:color w:val="02396F"/>
      <w:u w:val="single"/>
    </w:rPr>
  </w:style>
  <w:style w:type="character" w:styleId="29">
    <w:name w:val="Hyperlink"/>
    <w:basedOn w:val="25"/>
    <w:autoRedefine/>
    <w:qFormat/>
    <w:uiPriority w:val="0"/>
    <w:rPr>
      <w:color w:val="0000FF"/>
      <w:u w:val="single"/>
    </w:rPr>
  </w:style>
  <w:style w:type="character" w:styleId="30">
    <w:name w:val="annotation reference"/>
    <w:autoRedefine/>
    <w:qFormat/>
    <w:uiPriority w:val="0"/>
    <w:rPr>
      <w:sz w:val="21"/>
      <w:szCs w:val="21"/>
    </w:rPr>
  </w:style>
  <w:style w:type="character" w:customStyle="1" w:styleId="3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3">
    <w:name w:val="正文缩进1"/>
    <w:next w:val="13"/>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4">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5">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6">
    <w:name w:val="表格文字"/>
    <w:next w:val="11"/>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paragraph" w:customStyle="1" w:styleId="37">
    <w:name w:val="Table Text"/>
    <w:basedOn w:val="1"/>
    <w:autoRedefine/>
    <w:semiHidden/>
    <w:qFormat/>
    <w:uiPriority w:val="0"/>
    <w:rPr>
      <w:rFonts w:ascii="宋体" w:hAnsi="宋体" w:eastAsia="宋体" w:cs="宋体"/>
      <w:sz w:val="29"/>
      <w:szCs w:val="29"/>
      <w:lang w:val="en-US" w:eastAsia="en-US" w:bidi="ar-SA"/>
    </w:rPr>
  </w:style>
  <w:style w:type="table" w:customStyle="1" w:styleId="3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10322</Words>
  <Characters>10963</Characters>
  <Lines>0</Lines>
  <Paragraphs>0</Paragraphs>
  <TotalTime>307</TotalTime>
  <ScaleCrop>false</ScaleCrop>
  <LinksUpToDate>false</LinksUpToDate>
  <CharactersWithSpaces>11094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思</cp:lastModifiedBy>
  <cp:lastPrinted>2025-09-21T08:21:00Z</cp:lastPrinted>
  <dcterms:modified xsi:type="dcterms:W3CDTF">2025-09-26T02:14:28Z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43598E6B20804F41958C1688FC7E02B2</vt:lpwstr>
  </property>
  <property fmtid="{D5CDD505-2E9C-101B-9397-08002B2CF9AE}" pid="4" name="KSOTemplateDocerSaveRecord">
    <vt:lpwstr>eyJoZGlkIjoiMDI2ODhiZTA5N2FlN2ZmODhhNjdmZjVlYTIzMWNlYjIiLCJ1c2VySWQiOiI4OTc5NDMzMTIifQ==</vt:lpwstr>
  </property>
</Properties>
</file>