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CF0EC">
      <w:pPr>
        <w:spacing w:before="120" w:beforeLines="50" w:line="360" w:lineRule="auto"/>
        <w:jc w:val="center"/>
        <w:rPr>
          <w:rFonts w:hint="eastAsia"/>
          <w:color w:val="auto"/>
          <w:sz w:val="52"/>
          <w:szCs w:val="52"/>
          <w:highlight w:val="none"/>
        </w:rPr>
      </w:pPr>
    </w:p>
    <w:p w14:paraId="03E68BE6">
      <w:pPr>
        <w:spacing w:before="120" w:beforeLines="50" w:line="360" w:lineRule="auto"/>
        <w:jc w:val="center"/>
        <w:rPr>
          <w:rFonts w:hint="eastAsia"/>
          <w:color w:val="auto"/>
          <w:sz w:val="44"/>
          <w:szCs w:val="44"/>
          <w:highlight w:val="none"/>
        </w:rPr>
      </w:pPr>
      <w:r>
        <w:rPr>
          <w:rFonts w:hint="eastAsia"/>
          <w:color w:val="auto"/>
          <w:sz w:val="72"/>
          <w:szCs w:val="72"/>
          <w:highlight w:val="none"/>
        </w:rPr>
        <w:t>广西科联招标中心有限公司</w:t>
      </w:r>
    </w:p>
    <w:p w14:paraId="1D3D2F4F">
      <w:pPr>
        <w:spacing w:before="120" w:beforeLines="50" w:line="360" w:lineRule="auto"/>
        <w:jc w:val="center"/>
        <w:rPr>
          <w:rFonts w:hint="eastAsia"/>
          <w:color w:val="auto"/>
          <w:sz w:val="36"/>
          <w:szCs w:val="36"/>
          <w:highlight w:val="none"/>
        </w:rPr>
      </w:pPr>
    </w:p>
    <w:p w14:paraId="112A35C2">
      <w:pPr>
        <w:snapToGrid w:val="0"/>
        <w:spacing w:before="120" w:beforeLines="50" w:line="360" w:lineRule="auto"/>
        <w:jc w:val="center"/>
        <w:rPr>
          <w:rFonts w:hint="eastAsia"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3160BB1B">
      <w:pPr>
        <w:spacing w:before="240" w:beforeLines="100" w:after="120" w:afterLines="50"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（全流程电子化评标）</w:t>
      </w:r>
    </w:p>
    <w:p w14:paraId="7D5EFE5D">
      <w:pPr>
        <w:spacing w:line="360" w:lineRule="auto"/>
        <w:rPr>
          <w:rFonts w:hint="eastAsia" w:ascii="宋体" w:hAnsi="宋体" w:cs="宋体"/>
          <w:b/>
          <w:color w:val="auto"/>
          <w:sz w:val="32"/>
          <w:szCs w:val="32"/>
          <w:highlight w:val="none"/>
        </w:rPr>
      </w:pPr>
    </w:p>
    <w:p w14:paraId="40156849">
      <w:pPr>
        <w:spacing w:line="360" w:lineRule="auto"/>
        <w:jc w:val="center"/>
        <w:rPr>
          <w:rFonts w:hint="eastAsia" w:ascii="宋体" w:hAnsi="宋体" w:cs="宋体"/>
          <w:b/>
          <w:color w:val="auto"/>
          <w:sz w:val="32"/>
          <w:szCs w:val="32"/>
          <w:highlight w:val="none"/>
        </w:rPr>
      </w:pPr>
    </w:p>
    <w:p w14:paraId="63F47660">
      <w:pPr>
        <w:snapToGrid w:val="0"/>
        <w:spacing w:before="50" w:after="120" w:line="360" w:lineRule="auto"/>
        <w:ind w:firstLine="1684" w:firstLineChars="559"/>
        <w:rPr>
          <w:rFonts w:hint="eastAsia" w:ascii="宋体" w:hAnsi="宋体" w:cs="宋体"/>
          <w:b/>
          <w:bCs/>
          <w:color w:val="auto"/>
          <w:kern w:val="0"/>
          <w:sz w:val="30"/>
          <w:szCs w:val="30"/>
          <w:highlight w:val="none"/>
        </w:rPr>
      </w:pPr>
    </w:p>
    <w:p w14:paraId="53E0FA50">
      <w:pPr>
        <w:snapToGrid w:val="0"/>
        <w:spacing w:before="50" w:after="120" w:line="360" w:lineRule="auto"/>
        <w:jc w:val="center"/>
        <w:rPr>
          <w:rFonts w:hint="eastAsia" w:eastAsia="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b/>
          <w:bCs/>
          <w:color w:val="auto"/>
          <w:w w:val="95"/>
          <w:kern w:val="0"/>
          <w:sz w:val="30"/>
          <w:szCs w:val="30"/>
          <w:highlight w:val="none"/>
        </w:rPr>
        <w:t>名称</w:t>
      </w:r>
      <w:r>
        <w:rPr>
          <w:b/>
          <w:bCs/>
          <w:color w:val="auto"/>
          <w:kern w:val="0"/>
          <w:sz w:val="30"/>
          <w:szCs w:val="30"/>
          <w:highlight w:val="none"/>
        </w:rPr>
        <w:t>：</w:t>
      </w:r>
      <w:r>
        <w:rPr>
          <w:rFonts w:hint="eastAsia"/>
          <w:b/>
          <w:bCs/>
          <w:color w:val="auto"/>
          <w:kern w:val="0"/>
          <w:sz w:val="30"/>
          <w:szCs w:val="30"/>
          <w:highlight w:val="none"/>
          <w:lang w:eastAsia="zh-CN"/>
        </w:rPr>
        <w:t>生活垃圾中转站建设项目</w:t>
      </w:r>
    </w:p>
    <w:p w14:paraId="6C261B86">
      <w:pPr>
        <w:snapToGrid w:val="0"/>
        <w:spacing w:before="50" w:after="120" w:line="360" w:lineRule="auto"/>
        <w:ind w:firstLine="2467" w:firstLineChars="819"/>
        <w:rPr>
          <w:rFonts w:hint="eastAsia"/>
          <w:b/>
          <w:bCs/>
          <w:color w:val="auto"/>
          <w:kern w:val="0"/>
          <w:sz w:val="30"/>
          <w:szCs w:val="30"/>
          <w:highlight w:val="none"/>
          <w:lang w:eastAsia="zh-CN"/>
        </w:rPr>
      </w:pPr>
      <w:r>
        <w:rPr>
          <w:b/>
          <w:bCs/>
          <w:color w:val="auto"/>
          <w:kern w:val="0"/>
          <w:sz w:val="30"/>
          <w:szCs w:val="30"/>
          <w:highlight w:val="none"/>
        </w:rPr>
        <w:t>项目编号：</w:t>
      </w:r>
      <w:r>
        <w:rPr>
          <w:rFonts w:hint="eastAsia"/>
          <w:b/>
          <w:bCs/>
          <w:color w:val="auto"/>
          <w:kern w:val="0"/>
          <w:sz w:val="30"/>
          <w:szCs w:val="30"/>
          <w:highlight w:val="none"/>
        </w:rPr>
        <w:t>GLZC2025-C2-230037-GXKL</w:t>
      </w:r>
    </w:p>
    <w:p w14:paraId="2B5BA6FC">
      <w:pPr>
        <w:snapToGrid w:val="0"/>
        <w:spacing w:before="50" w:after="120" w:line="360" w:lineRule="auto"/>
        <w:ind w:firstLine="1684" w:firstLineChars="559"/>
        <w:rPr>
          <w:b/>
          <w:bCs/>
          <w:color w:val="auto"/>
          <w:kern w:val="0"/>
          <w:sz w:val="30"/>
          <w:szCs w:val="30"/>
          <w:highlight w:val="none"/>
        </w:rPr>
      </w:pPr>
    </w:p>
    <w:p w14:paraId="43FEFB32">
      <w:pPr>
        <w:pStyle w:val="20"/>
        <w:rPr>
          <w:b/>
          <w:bCs/>
          <w:color w:val="auto"/>
          <w:sz w:val="30"/>
          <w:szCs w:val="30"/>
          <w:highlight w:val="none"/>
        </w:rPr>
      </w:pPr>
    </w:p>
    <w:p w14:paraId="6ECD5C17">
      <w:pPr>
        <w:pStyle w:val="20"/>
        <w:rPr>
          <w:b/>
          <w:bCs/>
          <w:color w:val="auto"/>
          <w:sz w:val="30"/>
          <w:szCs w:val="30"/>
          <w:highlight w:val="none"/>
        </w:rPr>
      </w:pPr>
    </w:p>
    <w:p w14:paraId="6002F597">
      <w:pPr>
        <w:pStyle w:val="20"/>
        <w:rPr>
          <w:b/>
          <w:bCs/>
          <w:color w:val="auto"/>
          <w:sz w:val="30"/>
          <w:szCs w:val="30"/>
          <w:highlight w:val="none"/>
        </w:rPr>
      </w:pPr>
    </w:p>
    <w:p w14:paraId="25299B1D">
      <w:pPr>
        <w:snapToGrid w:val="0"/>
        <w:spacing w:before="50" w:after="120" w:line="360" w:lineRule="auto"/>
        <w:ind w:firstLine="1807" w:firstLineChars="600"/>
        <w:jc w:val="left"/>
        <w:rPr>
          <w:b/>
          <w:bCs/>
          <w:color w:val="auto"/>
          <w:kern w:val="0"/>
          <w:sz w:val="30"/>
          <w:szCs w:val="30"/>
          <w:highlight w:val="none"/>
        </w:rPr>
      </w:pPr>
    </w:p>
    <w:p w14:paraId="773306E8">
      <w:pPr>
        <w:snapToGrid w:val="0"/>
        <w:spacing w:before="50" w:after="120" w:line="360" w:lineRule="auto"/>
        <w:ind w:firstLine="1807" w:firstLineChars="600"/>
        <w:jc w:val="left"/>
        <w:rPr>
          <w:rFonts w:hint="eastAsia" w:eastAsia="宋体"/>
          <w:b/>
          <w:bCs/>
          <w:color w:val="auto"/>
          <w:kern w:val="0"/>
          <w:sz w:val="30"/>
          <w:szCs w:val="30"/>
          <w:highlight w:val="none"/>
          <w:lang w:eastAsia="zh-CN"/>
        </w:rPr>
      </w:pPr>
      <w:r>
        <w:rPr>
          <w:b/>
          <w:bCs/>
          <w:color w:val="auto"/>
          <w:kern w:val="0"/>
          <w:sz w:val="30"/>
          <w:szCs w:val="30"/>
          <w:highlight w:val="none"/>
        </w:rPr>
        <w:t>采购人：</w:t>
      </w:r>
      <w:r>
        <w:rPr>
          <w:rFonts w:hint="eastAsia"/>
          <w:b/>
          <w:bCs/>
          <w:color w:val="auto"/>
          <w:kern w:val="0"/>
          <w:sz w:val="30"/>
          <w:szCs w:val="30"/>
          <w:highlight w:val="none"/>
          <w:lang w:eastAsia="zh-CN"/>
        </w:rPr>
        <w:t>灵川县海洋乡人民政府</w:t>
      </w:r>
    </w:p>
    <w:p w14:paraId="10EF209E">
      <w:pPr>
        <w:snapToGrid w:val="0"/>
        <w:spacing w:before="50" w:after="120" w:line="360" w:lineRule="auto"/>
        <w:ind w:firstLine="1807" w:firstLineChars="600"/>
        <w:jc w:val="left"/>
        <w:rPr>
          <w:b/>
          <w:bCs/>
          <w:color w:val="auto"/>
          <w:kern w:val="0"/>
          <w:sz w:val="30"/>
          <w:szCs w:val="30"/>
          <w:highlight w:val="none"/>
        </w:rPr>
      </w:pPr>
      <w:r>
        <w:rPr>
          <w:b/>
          <w:bCs/>
          <w:color w:val="auto"/>
          <w:kern w:val="0"/>
          <w:sz w:val="30"/>
          <w:szCs w:val="30"/>
          <w:highlight w:val="none"/>
        </w:rPr>
        <w:t>采购代理机构：</w:t>
      </w:r>
      <w:bookmarkStart w:id="0" w:name="PO_3000001866_PM031"/>
      <w:r>
        <w:rPr>
          <w:b/>
          <w:bCs/>
          <w:color w:val="auto"/>
          <w:kern w:val="0"/>
          <w:sz w:val="30"/>
          <w:szCs w:val="30"/>
          <w:highlight w:val="none"/>
        </w:rPr>
        <w:t>广西科联招标中心有限公司</w:t>
      </w:r>
      <w:bookmarkEnd w:id="0"/>
    </w:p>
    <w:p w14:paraId="6931E1B4">
      <w:pPr>
        <w:snapToGrid w:val="0"/>
        <w:spacing w:before="50" w:after="120" w:line="360" w:lineRule="auto"/>
        <w:jc w:val="center"/>
        <w:rPr>
          <w:b/>
          <w:bCs/>
          <w:color w:val="auto"/>
          <w:w w:val="95"/>
          <w:kern w:val="0"/>
          <w:sz w:val="30"/>
          <w:szCs w:val="30"/>
          <w:highlight w:val="none"/>
        </w:rPr>
      </w:pPr>
      <w:r>
        <w:rPr>
          <w:rFonts w:hint="eastAsia"/>
          <w:b/>
          <w:bCs/>
          <w:color w:val="auto"/>
          <w:w w:val="95"/>
          <w:kern w:val="0"/>
          <w:sz w:val="30"/>
          <w:szCs w:val="30"/>
          <w:highlight w:val="none"/>
          <w:lang w:eastAsia="zh-CN"/>
        </w:rPr>
        <w:t>2025</w:t>
      </w:r>
      <w:r>
        <w:rPr>
          <w:b/>
          <w:bCs/>
          <w:color w:val="auto"/>
          <w:w w:val="95"/>
          <w:kern w:val="0"/>
          <w:sz w:val="30"/>
          <w:szCs w:val="30"/>
          <w:highlight w:val="none"/>
        </w:rPr>
        <w:t>年</w:t>
      </w:r>
      <w:r>
        <w:rPr>
          <w:rFonts w:hint="eastAsia"/>
          <w:b/>
          <w:bCs/>
          <w:color w:val="auto"/>
          <w:w w:val="95"/>
          <w:kern w:val="0"/>
          <w:sz w:val="30"/>
          <w:szCs w:val="30"/>
          <w:highlight w:val="none"/>
          <w:lang w:val="en-US" w:eastAsia="zh-CN"/>
        </w:rPr>
        <w:t>6</w:t>
      </w:r>
      <w:r>
        <w:rPr>
          <w:b/>
          <w:bCs/>
          <w:color w:val="auto"/>
          <w:w w:val="95"/>
          <w:kern w:val="0"/>
          <w:sz w:val="30"/>
          <w:szCs w:val="30"/>
          <w:highlight w:val="none"/>
        </w:rPr>
        <w:t>月</w:t>
      </w:r>
      <w:r>
        <w:rPr>
          <w:rFonts w:hint="eastAsia"/>
          <w:b/>
          <w:bCs/>
          <w:color w:val="auto"/>
          <w:w w:val="95"/>
          <w:kern w:val="0"/>
          <w:sz w:val="30"/>
          <w:szCs w:val="30"/>
          <w:highlight w:val="none"/>
          <w:lang w:val="en-US" w:eastAsia="zh-CN"/>
        </w:rPr>
        <w:t>13</w:t>
      </w:r>
      <w:r>
        <w:rPr>
          <w:b/>
          <w:bCs/>
          <w:color w:val="auto"/>
          <w:w w:val="95"/>
          <w:kern w:val="0"/>
          <w:sz w:val="30"/>
          <w:szCs w:val="30"/>
          <w:highlight w:val="none"/>
        </w:rPr>
        <w:t>日</w:t>
      </w:r>
    </w:p>
    <w:p w14:paraId="376A6C70">
      <w:pPr>
        <w:pStyle w:val="11"/>
        <w:ind w:firstLine="803"/>
        <w:jc w:val="center"/>
        <w:rPr>
          <w:rFonts w:hint="eastAsia" w:ascii="宋体" w:hAnsi="宋体" w:cs="宋体"/>
          <w:b/>
          <w:bCs/>
          <w:color w:val="auto"/>
          <w:w w:val="95"/>
          <w:sz w:val="30"/>
          <w:szCs w:val="30"/>
          <w:highlight w:val="none"/>
        </w:rPr>
        <w:sectPr>
          <w:headerReference r:id="rId5" w:type="first"/>
          <w:headerReference r:id="rId3" w:type="default"/>
          <w:footerReference r:id="rId6" w:type="default"/>
          <w:headerReference r:id="rId4" w:type="even"/>
          <w:footerReference r:id="rId7" w:type="even"/>
          <w:pgSz w:w="11911" w:h="16838"/>
          <w:pgMar w:top="1134" w:right="1134" w:bottom="1134" w:left="1134" w:header="720" w:footer="720" w:gutter="0"/>
          <w:pgNumType w:start="1"/>
          <w:cols w:space="720" w:num="1"/>
          <w:titlePg/>
          <w:docGrid w:linePitch="331" w:charSpace="0"/>
        </w:sectPr>
      </w:pPr>
    </w:p>
    <w:p w14:paraId="1F8A8967">
      <w:pPr>
        <w:spacing w:line="360" w:lineRule="auto"/>
        <w:jc w:val="center"/>
        <w:rPr>
          <w:rFonts w:hint="eastAsia"/>
          <w:b/>
          <w:color w:val="auto"/>
          <w:sz w:val="44"/>
          <w:szCs w:val="44"/>
          <w:highlight w:val="none"/>
        </w:rPr>
      </w:pPr>
      <w:r>
        <w:rPr>
          <w:rFonts w:hint="eastAsia"/>
          <w:b/>
          <w:color w:val="auto"/>
          <w:sz w:val="44"/>
          <w:szCs w:val="44"/>
          <w:highlight w:val="none"/>
        </w:rPr>
        <w:t>目   录</w:t>
      </w:r>
    </w:p>
    <w:p w14:paraId="5A8483F9">
      <w:pPr>
        <w:spacing w:line="400" w:lineRule="exact"/>
        <w:jc w:val="center"/>
        <w:rPr>
          <w:rFonts w:hint="eastAsia"/>
          <w:b/>
          <w:color w:val="auto"/>
          <w:sz w:val="44"/>
          <w:szCs w:val="44"/>
          <w:highlight w:val="none"/>
        </w:rPr>
      </w:pPr>
    </w:p>
    <w:p w14:paraId="210170E1">
      <w:pPr>
        <w:pStyle w:val="22"/>
        <w:tabs>
          <w:tab w:val="right" w:leader="dot" w:pos="9643"/>
        </w:tabs>
        <w:spacing w:line="480" w:lineRule="auto"/>
        <w:rPr>
          <w:color w:val="auto"/>
          <w:highlight w:val="none"/>
        </w:rPr>
      </w:pPr>
      <w:r>
        <w:rPr>
          <w:b/>
          <w:bCs/>
          <w:color w:val="auto"/>
          <w:sz w:val="24"/>
          <w:highlight w:val="none"/>
        </w:rPr>
        <w:fldChar w:fldCharType="begin"/>
      </w:r>
      <w:r>
        <w:rPr>
          <w:b/>
          <w:bCs/>
          <w:color w:val="auto"/>
          <w:sz w:val="24"/>
          <w:highlight w:val="none"/>
        </w:rPr>
        <w:instrText xml:space="preserve">TOC \o "1-1" \h \u </w:instrText>
      </w:r>
      <w:r>
        <w:rPr>
          <w:b/>
          <w:bCs/>
          <w:color w:val="auto"/>
          <w:sz w:val="24"/>
          <w:highlight w:val="none"/>
        </w:rPr>
        <w:fldChar w:fldCharType="separate"/>
      </w:r>
      <w:r>
        <w:rPr>
          <w:bCs/>
          <w:color w:val="auto"/>
          <w:highlight w:val="none"/>
        </w:rPr>
        <w:fldChar w:fldCharType="begin"/>
      </w:r>
      <w:r>
        <w:rPr>
          <w:bCs/>
          <w:color w:val="auto"/>
          <w:highlight w:val="none"/>
        </w:rPr>
        <w:instrText xml:space="preserve"> HYPERLINK \l _Toc29804 </w:instrText>
      </w:r>
      <w:r>
        <w:rPr>
          <w:bCs/>
          <w:color w:val="auto"/>
          <w:highlight w:val="none"/>
        </w:rPr>
        <w:fldChar w:fldCharType="separate"/>
      </w:r>
      <w:r>
        <w:rPr>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_Toc29804 </w:instrText>
      </w:r>
      <w:r>
        <w:rPr>
          <w:color w:val="auto"/>
          <w:highlight w:val="none"/>
        </w:rPr>
        <w:fldChar w:fldCharType="separate"/>
      </w:r>
      <w:r>
        <w:rPr>
          <w:color w:val="auto"/>
          <w:highlight w:val="none"/>
        </w:rPr>
        <w:t>2</w:t>
      </w:r>
      <w:r>
        <w:rPr>
          <w:color w:val="auto"/>
          <w:highlight w:val="none"/>
        </w:rPr>
        <w:fldChar w:fldCharType="end"/>
      </w:r>
      <w:r>
        <w:rPr>
          <w:bCs/>
          <w:color w:val="auto"/>
          <w:highlight w:val="none"/>
        </w:rPr>
        <w:fldChar w:fldCharType="end"/>
      </w:r>
    </w:p>
    <w:p w14:paraId="16472102">
      <w:pPr>
        <w:pStyle w:val="22"/>
        <w:tabs>
          <w:tab w:val="right" w:leader="dot" w:pos="9643"/>
        </w:tabs>
        <w:spacing w:line="480" w:lineRule="auto"/>
        <w:rPr>
          <w:color w:val="auto"/>
          <w:highlight w:val="none"/>
        </w:rPr>
      </w:pPr>
      <w:r>
        <w:rPr>
          <w:bCs/>
          <w:color w:val="auto"/>
          <w:highlight w:val="none"/>
        </w:rPr>
        <w:fldChar w:fldCharType="begin"/>
      </w:r>
      <w:r>
        <w:rPr>
          <w:bCs/>
          <w:color w:val="auto"/>
          <w:highlight w:val="none"/>
        </w:rPr>
        <w:instrText xml:space="preserve"> HYPERLINK \l _Toc9190 </w:instrText>
      </w:r>
      <w:r>
        <w:rPr>
          <w:bCs/>
          <w:color w:val="auto"/>
          <w:highlight w:val="none"/>
        </w:rPr>
        <w:fldChar w:fldCharType="separate"/>
      </w:r>
      <w:r>
        <w:rPr>
          <w:rFonts w:hint="eastAsia" w:ascii="Cambria" w:hAnsi="Cambr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_Toc9190 </w:instrText>
      </w:r>
      <w:r>
        <w:rPr>
          <w:color w:val="auto"/>
          <w:highlight w:val="none"/>
        </w:rPr>
        <w:fldChar w:fldCharType="separate"/>
      </w:r>
      <w:r>
        <w:rPr>
          <w:color w:val="auto"/>
          <w:highlight w:val="none"/>
        </w:rPr>
        <w:t>5</w:t>
      </w:r>
      <w:r>
        <w:rPr>
          <w:color w:val="auto"/>
          <w:highlight w:val="none"/>
        </w:rPr>
        <w:fldChar w:fldCharType="end"/>
      </w:r>
      <w:r>
        <w:rPr>
          <w:bCs/>
          <w:color w:val="auto"/>
          <w:highlight w:val="none"/>
        </w:rPr>
        <w:fldChar w:fldCharType="end"/>
      </w:r>
    </w:p>
    <w:p w14:paraId="482967D9">
      <w:pPr>
        <w:pStyle w:val="22"/>
        <w:tabs>
          <w:tab w:val="right" w:leader="dot" w:pos="9643"/>
        </w:tabs>
        <w:spacing w:line="480" w:lineRule="auto"/>
        <w:rPr>
          <w:rFonts w:hint="default" w:eastAsia="宋体"/>
          <w:color w:val="auto"/>
          <w:highlight w:val="none"/>
          <w:lang w:val="en-US" w:eastAsia="zh-CN"/>
        </w:rPr>
      </w:pPr>
      <w:r>
        <w:rPr>
          <w:bCs/>
          <w:color w:val="auto"/>
          <w:highlight w:val="none"/>
        </w:rPr>
        <w:fldChar w:fldCharType="begin"/>
      </w:r>
      <w:r>
        <w:rPr>
          <w:bCs/>
          <w:color w:val="auto"/>
          <w:highlight w:val="none"/>
        </w:rPr>
        <w:instrText xml:space="preserve"> HYPERLINK \l _Toc21050 </w:instrText>
      </w:r>
      <w:r>
        <w:rPr>
          <w:bCs/>
          <w:color w:val="auto"/>
          <w:highlight w:val="none"/>
        </w:rPr>
        <w:fldChar w:fldCharType="separate"/>
      </w:r>
      <w:r>
        <w:rPr>
          <w:rFonts w:hint="eastAsia" w:ascii="Cambria" w:hAnsi="Cambria"/>
          <w:bCs/>
          <w:color w:val="auto"/>
          <w:szCs w:val="32"/>
          <w:highlight w:val="none"/>
        </w:rPr>
        <w:t>第三章 供应商须知</w:t>
      </w:r>
      <w:r>
        <w:rPr>
          <w:color w:val="auto"/>
          <w:highlight w:val="none"/>
        </w:rPr>
        <w:tab/>
      </w:r>
      <w:r>
        <w:rPr>
          <w:bCs/>
          <w:color w:val="auto"/>
          <w:highlight w:val="none"/>
        </w:rPr>
        <w:fldChar w:fldCharType="end"/>
      </w:r>
      <w:r>
        <w:rPr>
          <w:rFonts w:hint="eastAsia"/>
          <w:color w:val="auto"/>
          <w:highlight w:val="none"/>
          <w:lang w:val="en-US" w:eastAsia="zh-CN"/>
        </w:rPr>
        <w:t>13</w:t>
      </w:r>
    </w:p>
    <w:p w14:paraId="4F82139C">
      <w:pPr>
        <w:pStyle w:val="22"/>
        <w:tabs>
          <w:tab w:val="right" w:leader="dot" w:pos="9643"/>
        </w:tabs>
        <w:spacing w:line="480" w:lineRule="auto"/>
        <w:rPr>
          <w:rFonts w:hint="default" w:eastAsia="宋体"/>
          <w:color w:val="auto"/>
          <w:highlight w:val="none"/>
          <w:lang w:val="en-US" w:eastAsia="zh-CN"/>
        </w:rPr>
      </w:pPr>
      <w:r>
        <w:rPr>
          <w:bCs/>
          <w:color w:val="auto"/>
          <w:highlight w:val="none"/>
        </w:rPr>
        <w:fldChar w:fldCharType="begin"/>
      </w:r>
      <w:r>
        <w:rPr>
          <w:bCs/>
          <w:color w:val="auto"/>
          <w:highlight w:val="none"/>
        </w:rPr>
        <w:instrText xml:space="preserve"> HYPERLINK \l _Toc29100 </w:instrText>
      </w:r>
      <w:r>
        <w:rPr>
          <w:bCs/>
          <w:color w:val="auto"/>
          <w:highlight w:val="none"/>
        </w:rPr>
        <w:fldChar w:fldCharType="separate"/>
      </w:r>
      <w:r>
        <w:rPr>
          <w:rFonts w:hint="eastAsia" w:ascii="Calibri" w:hAnsi="Calibri"/>
          <w:color w:val="auto"/>
          <w:highlight w:val="none"/>
        </w:rPr>
        <w:t>第四章  评审程序、评审方法和评审标准</w:t>
      </w:r>
      <w:r>
        <w:rPr>
          <w:color w:val="auto"/>
          <w:highlight w:val="none"/>
        </w:rPr>
        <w:tab/>
      </w:r>
      <w:r>
        <w:rPr>
          <w:bCs/>
          <w:color w:val="auto"/>
          <w:highlight w:val="none"/>
        </w:rPr>
        <w:fldChar w:fldCharType="end"/>
      </w:r>
      <w:r>
        <w:rPr>
          <w:rFonts w:hint="eastAsia"/>
          <w:color w:val="auto"/>
          <w:highlight w:val="none"/>
          <w:lang w:val="en-US" w:eastAsia="zh-CN"/>
        </w:rPr>
        <w:t>32</w:t>
      </w:r>
    </w:p>
    <w:p w14:paraId="6A7E9E6B">
      <w:pPr>
        <w:pStyle w:val="22"/>
        <w:tabs>
          <w:tab w:val="right" w:leader="dot" w:pos="9643"/>
        </w:tabs>
        <w:spacing w:line="480" w:lineRule="auto"/>
        <w:rPr>
          <w:rFonts w:hint="default" w:eastAsia="宋体"/>
          <w:color w:val="auto"/>
          <w:highlight w:val="none"/>
          <w:lang w:val="en-US" w:eastAsia="zh-CN"/>
        </w:rPr>
      </w:pPr>
      <w:r>
        <w:rPr>
          <w:bCs/>
          <w:color w:val="auto"/>
          <w:highlight w:val="none"/>
        </w:rPr>
        <w:fldChar w:fldCharType="begin"/>
      </w:r>
      <w:r>
        <w:rPr>
          <w:bCs/>
          <w:color w:val="auto"/>
          <w:highlight w:val="none"/>
        </w:rPr>
        <w:instrText xml:space="preserve"> HYPERLINK \l _Toc12792 </w:instrText>
      </w:r>
      <w:r>
        <w:rPr>
          <w:bCs/>
          <w:color w:val="auto"/>
          <w:highlight w:val="none"/>
        </w:rPr>
        <w:fldChar w:fldCharType="separate"/>
      </w:r>
      <w:r>
        <w:rPr>
          <w:rFonts w:hint="eastAsia" w:ascii="Calibri" w:hAnsi="Calibri"/>
          <w:color w:val="auto"/>
          <w:highlight w:val="none"/>
        </w:rPr>
        <w:t>第五章 响应文件格式</w:t>
      </w:r>
      <w:r>
        <w:rPr>
          <w:color w:val="auto"/>
          <w:highlight w:val="none"/>
        </w:rPr>
        <w:tab/>
      </w:r>
      <w:r>
        <w:rPr>
          <w:bCs/>
          <w:color w:val="auto"/>
          <w:highlight w:val="none"/>
        </w:rPr>
        <w:fldChar w:fldCharType="end"/>
      </w:r>
      <w:r>
        <w:rPr>
          <w:rFonts w:hint="eastAsia"/>
          <w:color w:val="auto"/>
          <w:highlight w:val="none"/>
          <w:lang w:val="en-US" w:eastAsia="zh-CN"/>
        </w:rPr>
        <w:t>42</w:t>
      </w:r>
    </w:p>
    <w:p w14:paraId="6D91B1D4">
      <w:pPr>
        <w:pStyle w:val="22"/>
        <w:tabs>
          <w:tab w:val="right" w:leader="dot" w:pos="9643"/>
        </w:tabs>
        <w:spacing w:line="480" w:lineRule="auto"/>
        <w:rPr>
          <w:rFonts w:hint="default" w:eastAsia="宋体"/>
          <w:color w:val="auto"/>
          <w:highlight w:val="none"/>
          <w:lang w:val="en-US" w:eastAsia="zh-CN"/>
        </w:rPr>
      </w:pPr>
      <w:r>
        <w:rPr>
          <w:bCs/>
          <w:color w:val="auto"/>
          <w:highlight w:val="none"/>
        </w:rPr>
        <w:fldChar w:fldCharType="begin"/>
      </w:r>
      <w:r>
        <w:rPr>
          <w:bCs/>
          <w:color w:val="auto"/>
          <w:highlight w:val="none"/>
        </w:rPr>
        <w:instrText xml:space="preserve"> HYPERLINK \l _Toc31579 </w:instrText>
      </w:r>
      <w:r>
        <w:rPr>
          <w:bCs/>
          <w:color w:val="auto"/>
          <w:highlight w:val="none"/>
        </w:rPr>
        <w:fldChar w:fldCharType="separate"/>
      </w:r>
      <w:r>
        <w:rPr>
          <w:rFonts w:hint="eastAsia"/>
          <w:bCs/>
          <w:color w:val="auto"/>
          <w:highlight w:val="none"/>
        </w:rPr>
        <w:t xml:space="preserve">第六章 </w:t>
      </w:r>
      <w:r>
        <w:rPr>
          <w:bCs/>
          <w:color w:val="auto"/>
          <w:highlight w:val="none"/>
        </w:rPr>
        <w:t xml:space="preserve"> </w:t>
      </w:r>
      <w:r>
        <w:rPr>
          <w:rFonts w:hint="eastAsia"/>
          <w:bCs/>
          <w:color w:val="auto"/>
          <w:highlight w:val="none"/>
        </w:rPr>
        <w:t>合同文本</w:t>
      </w:r>
      <w:r>
        <w:rPr>
          <w:color w:val="auto"/>
          <w:highlight w:val="none"/>
        </w:rPr>
        <w:tab/>
      </w:r>
      <w:r>
        <w:rPr>
          <w:bCs/>
          <w:color w:val="auto"/>
          <w:highlight w:val="none"/>
        </w:rPr>
        <w:fldChar w:fldCharType="end"/>
      </w:r>
      <w:r>
        <w:rPr>
          <w:rFonts w:hint="eastAsia"/>
          <w:color w:val="auto"/>
          <w:highlight w:val="none"/>
          <w:lang w:val="en-US" w:eastAsia="zh-CN"/>
        </w:rPr>
        <w:t>72</w:t>
      </w:r>
    </w:p>
    <w:p w14:paraId="652DA8BF">
      <w:pPr>
        <w:pStyle w:val="22"/>
        <w:tabs>
          <w:tab w:val="right" w:leader="dot" w:pos="9643"/>
        </w:tabs>
        <w:spacing w:line="480" w:lineRule="auto"/>
        <w:rPr>
          <w:rFonts w:hint="default" w:eastAsia="宋体"/>
          <w:color w:val="auto"/>
          <w:highlight w:val="none"/>
          <w:lang w:val="en-US" w:eastAsia="zh-CN"/>
        </w:rPr>
      </w:pPr>
      <w:r>
        <w:rPr>
          <w:bCs/>
          <w:color w:val="auto"/>
          <w:highlight w:val="none"/>
        </w:rPr>
        <w:fldChar w:fldCharType="begin"/>
      </w:r>
      <w:r>
        <w:rPr>
          <w:bCs/>
          <w:color w:val="auto"/>
          <w:highlight w:val="none"/>
        </w:rPr>
        <w:instrText xml:space="preserve"> HYPERLINK \l _Toc21822 </w:instrText>
      </w:r>
      <w:r>
        <w:rPr>
          <w:bCs/>
          <w:color w:val="auto"/>
          <w:highlight w:val="none"/>
        </w:rPr>
        <w:fldChar w:fldCharType="separate"/>
      </w:r>
      <w:bookmarkStart w:id="1" w:name="OLE_LINK1"/>
      <w:r>
        <w:rPr>
          <w:rFonts w:hint="eastAsia" w:cs="仿宋_GB2312"/>
          <w:bCs/>
          <w:color w:val="auto"/>
          <w:highlight w:val="none"/>
        </w:rPr>
        <w:t>第</w:t>
      </w:r>
      <w:r>
        <w:rPr>
          <w:rFonts w:hint="eastAsia" w:cs="仿宋_GB2312"/>
          <w:bCs/>
          <w:color w:val="auto"/>
          <w:highlight w:val="none"/>
          <w:lang w:eastAsia="zh-CN"/>
        </w:rPr>
        <w:t>七</w:t>
      </w:r>
      <w:r>
        <w:rPr>
          <w:rFonts w:hint="eastAsia" w:cs="仿宋_GB2312"/>
          <w:bCs/>
          <w:color w:val="auto"/>
          <w:highlight w:val="none"/>
        </w:rPr>
        <w:t>章 工程量清单</w:t>
      </w:r>
      <w:r>
        <w:rPr>
          <w:rFonts w:hint="eastAsia" w:cs="仿宋_GB2312"/>
          <w:bCs/>
          <w:color w:val="auto"/>
          <w:highlight w:val="none"/>
          <w:lang w:eastAsia="zh-CN"/>
        </w:rPr>
        <w:t>、图纸</w:t>
      </w:r>
      <w:bookmarkEnd w:id="1"/>
      <w:r>
        <w:rPr>
          <w:color w:val="auto"/>
          <w:highlight w:val="none"/>
        </w:rPr>
        <w:tab/>
      </w:r>
      <w:r>
        <w:rPr>
          <w:bCs/>
          <w:color w:val="auto"/>
          <w:highlight w:val="none"/>
        </w:rPr>
        <w:fldChar w:fldCharType="end"/>
      </w:r>
      <w:r>
        <w:rPr>
          <w:rFonts w:hint="eastAsia"/>
          <w:color w:val="auto"/>
          <w:highlight w:val="none"/>
          <w:lang w:val="en-US" w:eastAsia="zh-CN"/>
        </w:rPr>
        <w:t>122</w:t>
      </w:r>
    </w:p>
    <w:p w14:paraId="65ADF90D">
      <w:pPr>
        <w:pStyle w:val="22"/>
        <w:tabs>
          <w:tab w:val="right" w:leader="dot" w:pos="9643"/>
        </w:tabs>
        <w:spacing w:line="480" w:lineRule="auto"/>
        <w:rPr>
          <w:rFonts w:hint="default" w:eastAsia="宋体"/>
          <w:color w:val="auto"/>
          <w:highlight w:val="none"/>
          <w:lang w:val="en-US" w:eastAsia="zh-CN"/>
        </w:rPr>
      </w:pPr>
      <w:r>
        <w:rPr>
          <w:bCs/>
          <w:color w:val="auto"/>
          <w:highlight w:val="none"/>
        </w:rPr>
        <w:fldChar w:fldCharType="begin"/>
      </w:r>
      <w:r>
        <w:rPr>
          <w:bCs/>
          <w:color w:val="auto"/>
          <w:highlight w:val="none"/>
        </w:rPr>
        <w:instrText xml:space="preserve"> HYPERLINK \l _Toc18783 </w:instrText>
      </w:r>
      <w:r>
        <w:rPr>
          <w:bCs/>
          <w:color w:val="auto"/>
          <w:highlight w:val="none"/>
        </w:rPr>
        <w:fldChar w:fldCharType="separate"/>
      </w:r>
      <w:r>
        <w:rPr>
          <w:rFonts w:hint="eastAsia" w:cs="仿宋_GB2312"/>
          <w:color w:val="auto"/>
          <w:highlight w:val="none"/>
        </w:rPr>
        <w:t>第</w:t>
      </w:r>
      <w:r>
        <w:rPr>
          <w:rFonts w:hint="eastAsia" w:cs="仿宋_GB2312"/>
          <w:color w:val="auto"/>
          <w:highlight w:val="none"/>
          <w:lang w:eastAsia="zh-CN"/>
        </w:rPr>
        <w:t>八</w:t>
      </w:r>
      <w:r>
        <w:rPr>
          <w:rFonts w:hint="eastAsia" w:cs="仿宋_GB2312"/>
          <w:color w:val="auto"/>
          <w:highlight w:val="none"/>
        </w:rPr>
        <w:t>章 质疑、投诉材料格式</w:t>
      </w:r>
      <w:r>
        <w:rPr>
          <w:color w:val="auto"/>
          <w:highlight w:val="none"/>
        </w:rPr>
        <w:tab/>
      </w:r>
      <w:r>
        <w:rPr>
          <w:bCs/>
          <w:color w:val="auto"/>
          <w:highlight w:val="none"/>
        </w:rPr>
        <w:fldChar w:fldCharType="end"/>
      </w:r>
      <w:r>
        <w:rPr>
          <w:rFonts w:hint="eastAsia"/>
          <w:color w:val="auto"/>
          <w:highlight w:val="none"/>
          <w:lang w:val="en-US" w:eastAsia="zh-CN"/>
        </w:rPr>
        <w:t>127</w:t>
      </w:r>
    </w:p>
    <w:p w14:paraId="528E7941">
      <w:pPr>
        <w:pStyle w:val="24"/>
        <w:spacing w:line="480" w:lineRule="auto"/>
        <w:rPr>
          <w:rFonts w:hint="eastAsia" w:ascii="宋体" w:hAnsi="宋体" w:cs="宋体"/>
          <w:color w:val="auto"/>
          <w:sz w:val="24"/>
          <w:highlight w:val="none"/>
        </w:rPr>
      </w:pPr>
      <w:r>
        <w:rPr>
          <w:b/>
          <w:bCs/>
          <w:color w:val="auto"/>
          <w:highlight w:val="none"/>
        </w:rPr>
        <w:fldChar w:fldCharType="end"/>
      </w:r>
    </w:p>
    <w:p w14:paraId="24C94986">
      <w:pPr>
        <w:spacing w:line="400" w:lineRule="exact"/>
        <w:jc w:val="left"/>
        <w:rPr>
          <w:rFonts w:hint="eastAsia"/>
          <w:b/>
          <w:color w:val="auto"/>
          <w:sz w:val="32"/>
          <w:szCs w:val="32"/>
          <w:highlight w:val="none"/>
        </w:rPr>
      </w:pPr>
    </w:p>
    <w:p w14:paraId="7BB1A75E">
      <w:pPr>
        <w:spacing w:line="400" w:lineRule="exact"/>
        <w:jc w:val="center"/>
        <w:rPr>
          <w:rFonts w:hint="eastAsia"/>
          <w:b/>
          <w:color w:val="auto"/>
          <w:sz w:val="32"/>
          <w:szCs w:val="32"/>
          <w:highlight w:val="none"/>
        </w:rPr>
      </w:pPr>
    </w:p>
    <w:p w14:paraId="69F4AB15">
      <w:pPr>
        <w:spacing w:line="400" w:lineRule="exact"/>
        <w:jc w:val="center"/>
        <w:rPr>
          <w:rFonts w:hint="eastAsia"/>
          <w:b/>
          <w:color w:val="auto"/>
          <w:sz w:val="32"/>
          <w:szCs w:val="32"/>
          <w:highlight w:val="none"/>
        </w:rPr>
      </w:pPr>
    </w:p>
    <w:p w14:paraId="6FEB0A94">
      <w:pPr>
        <w:spacing w:line="400" w:lineRule="exact"/>
        <w:jc w:val="center"/>
        <w:rPr>
          <w:rFonts w:hint="eastAsia"/>
          <w:b/>
          <w:color w:val="auto"/>
          <w:sz w:val="32"/>
          <w:szCs w:val="32"/>
          <w:highlight w:val="none"/>
        </w:rPr>
      </w:pPr>
    </w:p>
    <w:p w14:paraId="05186152">
      <w:pPr>
        <w:spacing w:line="400" w:lineRule="exact"/>
        <w:jc w:val="center"/>
        <w:rPr>
          <w:rFonts w:hint="eastAsia"/>
          <w:b/>
          <w:color w:val="auto"/>
          <w:sz w:val="32"/>
          <w:szCs w:val="32"/>
          <w:highlight w:val="none"/>
        </w:rPr>
      </w:pPr>
    </w:p>
    <w:p w14:paraId="71AD5812">
      <w:pPr>
        <w:spacing w:line="400" w:lineRule="exact"/>
        <w:rPr>
          <w:rFonts w:hint="eastAsia"/>
          <w:b/>
          <w:color w:val="auto"/>
          <w:sz w:val="32"/>
          <w:szCs w:val="32"/>
          <w:highlight w:val="none"/>
        </w:rPr>
        <w:sectPr>
          <w:headerReference r:id="rId9" w:type="first"/>
          <w:footerReference r:id="rId11" w:type="first"/>
          <w:headerReference r:id="rId8" w:type="default"/>
          <w:footerReference r:id="rId10" w:type="default"/>
          <w:pgSz w:w="11911" w:h="16838"/>
          <w:pgMar w:top="1134" w:right="1537" w:bottom="1134" w:left="1134" w:header="720" w:footer="720" w:gutter="0"/>
          <w:pgNumType w:start="1"/>
          <w:cols w:space="720" w:num="1"/>
          <w:docGrid w:linePitch="312" w:charSpace="0"/>
        </w:sectPr>
      </w:pPr>
    </w:p>
    <w:p w14:paraId="2082F616">
      <w:pPr>
        <w:pStyle w:val="2"/>
        <w:spacing w:line="400" w:lineRule="exact"/>
        <w:jc w:val="center"/>
        <w:rPr>
          <w:color w:val="auto"/>
          <w:highlight w:val="none"/>
        </w:rPr>
      </w:pPr>
      <w:bookmarkStart w:id="2" w:name="_Toc80886925"/>
      <w:bookmarkStart w:id="3" w:name="_Toc12242"/>
      <w:bookmarkStart w:id="4" w:name="_Toc11382"/>
      <w:bookmarkStart w:id="5" w:name="_Toc27000"/>
      <w:bookmarkStart w:id="6" w:name="_Toc29804"/>
      <w:bookmarkStart w:id="7" w:name="_Toc22943"/>
      <w:bookmarkStart w:id="8" w:name="_Toc11989"/>
      <w:bookmarkStart w:id="9" w:name="_Toc15624"/>
      <w:r>
        <w:rPr>
          <w:color w:val="auto"/>
          <w:highlight w:val="none"/>
        </w:rPr>
        <w:t>第一章 竞争性磋商公告</w:t>
      </w:r>
      <w:bookmarkEnd w:id="2"/>
      <w:bookmarkEnd w:id="3"/>
      <w:bookmarkEnd w:id="4"/>
      <w:bookmarkEnd w:id="5"/>
      <w:bookmarkEnd w:id="6"/>
      <w:bookmarkEnd w:id="7"/>
      <w:bookmarkEnd w:id="8"/>
      <w:bookmarkEnd w:id="9"/>
      <w:bookmarkStart w:id="10" w:name="_Toc35393629"/>
      <w:bookmarkStart w:id="11" w:name="_Toc28359089"/>
      <w:bookmarkStart w:id="12" w:name="_Toc28359012"/>
      <w:bookmarkStart w:id="13" w:name="_Toc35393798"/>
      <w:bookmarkStart w:id="14" w:name="_Toc44229878"/>
      <w:bookmarkStart w:id="15" w:name="_Toc35393792"/>
      <w:bookmarkStart w:id="16" w:name="_Toc28359004"/>
      <w:bookmarkStart w:id="17" w:name="_Toc28359081"/>
      <w:bookmarkStart w:id="18" w:name="_Toc35393623"/>
    </w:p>
    <w:tbl>
      <w:tblPr>
        <w:tblStyle w:val="28"/>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0863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2670C014">
            <w:pPr>
              <w:spacing w:line="360" w:lineRule="auto"/>
              <w:ind w:firstLine="420" w:firstLineChars="200"/>
              <w:rPr>
                <w:color w:val="auto"/>
                <w:szCs w:val="21"/>
                <w:highlight w:val="none"/>
              </w:rPr>
            </w:pPr>
            <w:r>
              <w:rPr>
                <w:color w:val="auto"/>
                <w:szCs w:val="21"/>
                <w:highlight w:val="none"/>
              </w:rPr>
              <w:t>项目概况</w:t>
            </w:r>
          </w:p>
          <w:p w14:paraId="016BA2F0">
            <w:pPr>
              <w:spacing w:line="360" w:lineRule="auto"/>
              <w:ind w:firstLine="420" w:firstLineChars="200"/>
              <w:rPr>
                <w:rFonts w:eastAsia="黑体"/>
                <w:bCs/>
                <w:color w:val="auto"/>
                <w:sz w:val="24"/>
                <w:highlight w:val="none"/>
              </w:rPr>
            </w:pPr>
            <w:r>
              <w:rPr>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生活垃圾中转站建设项目</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rPr>
              <w:t>广西政府采购云平台（https://www.gcy.zfcg.gxzf.gov.cn/）</w:t>
            </w:r>
            <w:r>
              <w:rPr>
                <w:rStyle w:val="35"/>
                <w:rFonts w:hint="eastAsia" w:ascii="宋体" w:hAnsi="宋体"/>
                <w:color w:val="auto"/>
                <w:szCs w:val="21"/>
                <w:highlight w:val="none"/>
                <w:u w:val="none"/>
              </w:rPr>
              <w:t>获取</w:t>
            </w:r>
            <w:r>
              <w:rPr>
                <w:rStyle w:val="35"/>
                <w:rFonts w:hint="eastAsia" w:ascii="宋体" w:hAnsi="宋体"/>
                <w:color w:val="auto"/>
                <w:szCs w:val="21"/>
                <w:highlight w:val="none"/>
                <w:u w:val="none"/>
                <w:lang w:eastAsia="zh-CN"/>
              </w:rPr>
              <w:t>采购</w:t>
            </w:r>
            <w:r>
              <w:rPr>
                <w:rStyle w:val="35"/>
                <w:rFonts w:hint="eastAsia" w:ascii="宋体" w:hAnsi="宋体"/>
                <w:color w:val="auto"/>
                <w:szCs w:val="21"/>
                <w:highlight w:val="none"/>
                <w:u w:val="none"/>
              </w:rPr>
              <w:t>文件</w:t>
            </w:r>
            <w:r>
              <w:rPr>
                <w:rFonts w:hint="eastAsia"/>
                <w:color w:val="auto"/>
                <w:szCs w:val="21"/>
                <w:highlight w:val="none"/>
              </w:rPr>
              <w:t>，并于</w:t>
            </w:r>
            <w:r>
              <w:rPr>
                <w:rFonts w:hint="eastAsia"/>
                <w:color w:val="auto"/>
                <w:szCs w:val="21"/>
                <w:highlight w:val="none"/>
                <w:lang w:eastAsia="zh-CN"/>
              </w:rPr>
              <w:t>2025</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24</w:t>
            </w:r>
            <w:r>
              <w:rPr>
                <w:rFonts w:hint="eastAsia"/>
                <w:color w:val="auto"/>
                <w:szCs w:val="21"/>
                <w:highlight w:val="none"/>
              </w:rPr>
              <w:t>日09点</w:t>
            </w:r>
            <w:r>
              <w:rPr>
                <w:rFonts w:hint="eastAsia"/>
                <w:color w:val="auto"/>
                <w:szCs w:val="21"/>
                <w:highlight w:val="none"/>
                <w:lang w:val="en-US" w:eastAsia="zh-CN"/>
              </w:rPr>
              <w:t>3</w:t>
            </w:r>
            <w:r>
              <w:rPr>
                <w:rFonts w:hint="eastAsia"/>
                <w:color w:val="auto"/>
                <w:szCs w:val="21"/>
                <w:highlight w:val="none"/>
              </w:rPr>
              <w:t>0分（北京时间）前提交响应文件。</w:t>
            </w:r>
          </w:p>
        </w:tc>
      </w:tr>
    </w:tbl>
    <w:p w14:paraId="753B9355">
      <w:pPr>
        <w:spacing w:line="360" w:lineRule="auto"/>
        <w:ind w:firstLine="420" w:firstLineChars="200"/>
        <w:rPr>
          <w:color w:val="auto"/>
          <w:szCs w:val="21"/>
          <w:highlight w:val="none"/>
        </w:rPr>
      </w:pPr>
      <w:r>
        <w:rPr>
          <w:rFonts w:eastAsia="黑体"/>
          <w:bCs/>
          <w:color w:val="auto"/>
          <w:szCs w:val="21"/>
          <w:highlight w:val="none"/>
        </w:rPr>
        <w:t>一、项目基本情况</w:t>
      </w:r>
      <w:bookmarkEnd w:id="10"/>
      <w:bookmarkEnd w:id="11"/>
      <w:bookmarkEnd w:id="12"/>
      <w:bookmarkEnd w:id="13"/>
      <w:bookmarkEnd w:id="14"/>
    </w:p>
    <w:p w14:paraId="3E0ACC3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olor w:val="auto"/>
          <w:szCs w:val="21"/>
          <w:highlight w:val="none"/>
          <w:lang w:eastAsia="zh-CN"/>
        </w:rPr>
      </w:pPr>
      <w:bookmarkStart w:id="19" w:name="_Toc28359013"/>
      <w:bookmarkStart w:id="20" w:name="_Toc35393799"/>
      <w:bookmarkStart w:id="21" w:name="_Toc44229879"/>
      <w:bookmarkStart w:id="22" w:name="_Toc28359090"/>
      <w:bookmarkStart w:id="23" w:name="_Toc35393630"/>
      <w:r>
        <w:rPr>
          <w:rFonts w:hint="eastAsia"/>
          <w:color w:val="auto"/>
          <w:szCs w:val="21"/>
          <w:highlight w:val="none"/>
        </w:rPr>
        <w:t>项目编号：GLZC2025-C2-230037-GXKL</w:t>
      </w:r>
    </w:p>
    <w:p w14:paraId="3F4C73D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olor w:val="auto"/>
          <w:szCs w:val="21"/>
          <w:highlight w:val="none"/>
          <w:u w:val="single"/>
        </w:rPr>
      </w:pPr>
      <w:r>
        <w:rPr>
          <w:rFonts w:hint="eastAsia"/>
          <w:color w:val="auto"/>
          <w:szCs w:val="21"/>
          <w:highlight w:val="none"/>
        </w:rPr>
        <w:t>项目名称：</w:t>
      </w:r>
      <w:r>
        <w:rPr>
          <w:rFonts w:hint="eastAsia"/>
          <w:color w:val="auto"/>
          <w:szCs w:val="21"/>
          <w:highlight w:val="none"/>
          <w:lang w:eastAsia="zh-CN"/>
        </w:rPr>
        <w:t>生活垃圾中转站建设项目</w:t>
      </w:r>
    </w:p>
    <w:p w14:paraId="25CEDA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auto"/>
          <w:szCs w:val="21"/>
          <w:highlight w:val="none"/>
        </w:rPr>
      </w:pPr>
      <w:r>
        <w:rPr>
          <w:rFonts w:hint="eastAsia"/>
          <w:color w:val="auto"/>
          <w:szCs w:val="21"/>
          <w:highlight w:val="none"/>
        </w:rPr>
        <w:t>采购方式：</w:t>
      </w:r>
      <w:r>
        <w:rPr>
          <w:rFonts w:hint="eastAsia" w:ascii="宋体" w:hAnsi="宋体"/>
          <w:color w:val="auto"/>
          <w:szCs w:val="21"/>
          <w:highlight w:val="none"/>
        </w:rPr>
        <w:t>竞争性磋商</w:t>
      </w:r>
    </w:p>
    <w:p w14:paraId="6ECEC10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color w:val="auto"/>
          <w:szCs w:val="21"/>
          <w:highlight w:val="none"/>
          <w:lang w:val="en-US" w:eastAsia="zh-CN"/>
        </w:rPr>
      </w:pPr>
      <w:r>
        <w:rPr>
          <w:rFonts w:hint="eastAsia"/>
          <w:color w:val="auto"/>
          <w:szCs w:val="21"/>
          <w:highlight w:val="none"/>
        </w:rPr>
        <w:t>预算总金额：</w:t>
      </w:r>
      <w:r>
        <w:rPr>
          <w:rFonts w:hint="eastAsia"/>
          <w:color w:val="auto"/>
          <w:szCs w:val="21"/>
          <w:highlight w:val="none"/>
          <w:lang w:val="en-US" w:eastAsia="zh-CN"/>
        </w:rPr>
        <w:t>1198660.03元</w:t>
      </w:r>
    </w:p>
    <w:p w14:paraId="5540430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color w:val="auto"/>
          <w:szCs w:val="21"/>
          <w:highlight w:val="none"/>
        </w:rPr>
      </w:pPr>
      <w:r>
        <w:rPr>
          <w:rFonts w:hint="eastAsia"/>
          <w:color w:val="auto"/>
          <w:szCs w:val="21"/>
          <w:highlight w:val="none"/>
        </w:rPr>
        <w:t>采购需求：</w:t>
      </w:r>
    </w:p>
    <w:p w14:paraId="2D5CD75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color w:val="auto"/>
          <w:szCs w:val="21"/>
          <w:highlight w:val="none"/>
          <w:lang w:eastAsia="zh-CN"/>
        </w:rPr>
        <w:t>生活垃圾中转站建设项目</w:t>
      </w:r>
      <w:r>
        <w:rPr>
          <w:rFonts w:hint="eastAsia" w:ascii="宋体" w:hAnsi="宋体" w:cs="宋体"/>
          <w:color w:val="auto"/>
          <w:szCs w:val="21"/>
          <w:highlight w:val="none"/>
        </w:rPr>
        <w:t> </w:t>
      </w:r>
    </w:p>
    <w:p w14:paraId="3270A2F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数量：1 </w:t>
      </w:r>
    </w:p>
    <w:p w14:paraId="1E4B162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预算金额（元）：</w:t>
      </w:r>
      <w:r>
        <w:rPr>
          <w:rFonts w:hint="eastAsia"/>
          <w:color w:val="auto"/>
          <w:szCs w:val="21"/>
          <w:highlight w:val="none"/>
          <w:lang w:val="en-US" w:eastAsia="zh-CN"/>
        </w:rPr>
        <w:t>1198660.03</w:t>
      </w:r>
      <w:r>
        <w:rPr>
          <w:rFonts w:hint="eastAsia" w:ascii="宋体" w:hAnsi="宋体"/>
          <w:color w:val="auto"/>
          <w:szCs w:val="21"/>
          <w:highlight w:val="none"/>
          <w:lang w:val="en-US" w:eastAsia="zh-CN"/>
        </w:rPr>
        <w:t xml:space="preserve"> </w:t>
      </w:r>
    </w:p>
    <w:p w14:paraId="4B8613E3">
      <w:pPr>
        <w:pStyle w:val="13"/>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color w:val="auto"/>
          <w:highlight w:val="none"/>
        </w:rPr>
      </w:pPr>
      <w:r>
        <w:rPr>
          <w:rFonts w:hint="eastAsia" w:ascii="宋体" w:hAnsi="宋体" w:cs="宋体"/>
          <w:color w:val="auto"/>
          <w:szCs w:val="21"/>
          <w:highlight w:val="none"/>
          <w:lang w:val="en-US" w:eastAsia="zh-CN"/>
        </w:rPr>
        <w:t>建设内容：</w:t>
      </w:r>
      <w:r>
        <w:rPr>
          <w:rFonts w:hint="eastAsia"/>
          <w:color w:val="auto"/>
          <w:highlight w:val="none"/>
          <w:lang w:val="en-US" w:eastAsia="zh-CN"/>
        </w:rPr>
        <w:t>本工程为灵川县海洋乡生活垃圾中转站建设项目，位于广西桂林市灵川县海洋乡，工程包含建筑、安装等工程</w:t>
      </w:r>
      <w:r>
        <w:rPr>
          <w:rFonts w:hint="eastAsia" w:ascii="宋体" w:hAnsi="宋体" w:cs="宋体"/>
          <w:color w:val="auto"/>
          <w:szCs w:val="21"/>
          <w:highlight w:val="none"/>
          <w:lang w:val="en-US" w:eastAsia="zh-CN"/>
        </w:rPr>
        <w:t>。如需进一步了解详细内容，详见竞争性磋商文件、工程量清单及图纸。</w:t>
      </w:r>
    </w:p>
    <w:p w14:paraId="6461B67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color w:val="auto"/>
          <w:szCs w:val="21"/>
          <w:highlight w:val="none"/>
          <w:lang w:val="en-US" w:eastAsia="zh-CN"/>
        </w:rPr>
      </w:pPr>
      <w:r>
        <w:rPr>
          <w:rFonts w:hint="eastAsia" w:ascii="宋体" w:hAnsi="宋体" w:cs="宋体"/>
          <w:color w:val="auto"/>
          <w:szCs w:val="21"/>
          <w:highlight w:val="none"/>
        </w:rPr>
        <w:t>最高限价：</w:t>
      </w:r>
      <w:r>
        <w:rPr>
          <w:rFonts w:hint="eastAsia"/>
          <w:color w:val="auto"/>
          <w:szCs w:val="21"/>
          <w:highlight w:val="none"/>
          <w:lang w:val="en-US" w:eastAsia="zh-CN"/>
        </w:rPr>
        <w:t>1150713.63元</w:t>
      </w:r>
    </w:p>
    <w:p w14:paraId="7F6DEB2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olor w:val="auto"/>
          <w:szCs w:val="21"/>
          <w:highlight w:val="none"/>
          <w:u w:val="single"/>
        </w:rPr>
      </w:pPr>
      <w:r>
        <w:rPr>
          <w:rFonts w:hint="eastAsia"/>
          <w:color w:val="auto"/>
          <w:szCs w:val="21"/>
          <w:highlight w:val="none"/>
        </w:rPr>
        <w:t>合同履行期限：</w:t>
      </w:r>
      <w:r>
        <w:rPr>
          <w:rFonts w:hint="eastAsia"/>
          <w:color w:val="auto"/>
          <w:szCs w:val="21"/>
          <w:highlight w:val="none"/>
          <w:lang w:val="en-US" w:eastAsia="zh-CN"/>
        </w:rPr>
        <w:t>60个日历天</w:t>
      </w:r>
    </w:p>
    <w:p w14:paraId="6D5174B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w:t>
      </w:r>
      <w:r>
        <w:rPr>
          <w:rFonts w:hint="eastAsia" w:ascii="宋体" w:hAnsi="宋体"/>
          <w:color w:val="auto"/>
          <w:szCs w:val="21"/>
          <w:highlight w:val="none"/>
        </w:rPr>
        <w:t>是/否）接受联合体：否。</w:t>
      </w:r>
    </w:p>
    <w:p w14:paraId="4519A715">
      <w:pPr>
        <w:spacing w:line="360" w:lineRule="auto"/>
        <w:ind w:firstLine="422" w:firstLineChars="200"/>
        <w:rPr>
          <w:rFonts w:hint="eastAsia" w:eastAsia="黑体"/>
          <w:bCs/>
          <w:color w:val="auto"/>
          <w:szCs w:val="21"/>
          <w:highlight w:val="none"/>
          <w:lang w:eastAsia="zh-CN"/>
        </w:rPr>
      </w:pPr>
      <w:r>
        <w:rPr>
          <w:rFonts w:eastAsia="黑体"/>
          <w:b/>
          <w:color w:val="auto"/>
          <w:kern w:val="44"/>
          <w:szCs w:val="21"/>
          <w:highlight w:val="none"/>
        </w:rPr>
        <w:t>二、申请人的资格</w:t>
      </w:r>
      <w:bookmarkEnd w:id="19"/>
      <w:bookmarkEnd w:id="20"/>
      <w:bookmarkEnd w:id="21"/>
      <w:bookmarkEnd w:id="22"/>
      <w:bookmarkEnd w:id="23"/>
      <w:r>
        <w:rPr>
          <w:rFonts w:hint="eastAsia" w:eastAsia="黑体"/>
          <w:b/>
          <w:color w:val="auto"/>
          <w:kern w:val="44"/>
          <w:szCs w:val="21"/>
          <w:highlight w:val="none"/>
          <w:lang w:eastAsia="zh-CN"/>
        </w:rPr>
        <w:t>要求</w:t>
      </w:r>
    </w:p>
    <w:p w14:paraId="0F6AC67E">
      <w:pPr>
        <w:spacing w:line="360" w:lineRule="auto"/>
        <w:ind w:firstLine="420" w:firstLineChars="200"/>
        <w:rPr>
          <w:color w:val="auto"/>
          <w:szCs w:val="21"/>
          <w:highlight w:val="none"/>
        </w:rPr>
      </w:pPr>
      <w:r>
        <w:rPr>
          <w:color w:val="auto"/>
          <w:szCs w:val="21"/>
          <w:highlight w:val="none"/>
        </w:rPr>
        <w:t>1.满足《中华人民共和国政府采购法》第二十二条规定；</w:t>
      </w:r>
    </w:p>
    <w:p w14:paraId="1B713A5E">
      <w:pPr>
        <w:spacing w:line="360" w:lineRule="auto"/>
        <w:ind w:firstLine="420" w:firstLineChars="200"/>
        <w:rPr>
          <w:rFonts w:hint="eastAsia"/>
          <w:color w:val="auto"/>
          <w:szCs w:val="21"/>
          <w:highlight w:val="none"/>
        </w:rPr>
      </w:pPr>
      <w:r>
        <w:rPr>
          <w:color w:val="auto"/>
          <w:szCs w:val="21"/>
          <w:highlight w:val="none"/>
        </w:rPr>
        <w:t>2.落实政府采购政策需满足的资格要求：</w:t>
      </w:r>
      <w:r>
        <w:rPr>
          <w:rFonts w:hint="default"/>
          <w:color w:val="auto"/>
          <w:szCs w:val="21"/>
          <w:highlight w:val="none"/>
          <w:lang w:val="en-US" w:eastAsia="zh-CN"/>
        </w:rPr>
        <w:t>本项目为专门面向中小企业采购的项目。</w:t>
      </w:r>
      <w:r>
        <w:rPr>
          <w:color w:val="auto"/>
          <w:szCs w:val="21"/>
          <w:highlight w:val="none"/>
        </w:rPr>
        <w:t>供应商必须提供中小企业声明函或者残疾人福利性单位声明函（格式后附）或者供应商属于监狱企业的需提供由省级以上监狱管理局、戒毒管理局（含新疆生产建设兵团）出具的属于监狱企业的证明文件</w:t>
      </w:r>
      <w:r>
        <w:rPr>
          <w:rFonts w:hint="default"/>
          <w:color w:val="auto"/>
          <w:szCs w:val="21"/>
          <w:highlight w:val="none"/>
          <w:lang w:eastAsia="zh-CN"/>
        </w:rPr>
        <w:t>；</w:t>
      </w:r>
    </w:p>
    <w:p w14:paraId="4A7F8432">
      <w:pPr>
        <w:spacing w:line="360" w:lineRule="auto"/>
        <w:ind w:firstLine="420" w:firstLineChars="200"/>
        <w:rPr>
          <w:color w:val="auto"/>
          <w:szCs w:val="21"/>
          <w:highlight w:val="none"/>
        </w:rPr>
      </w:pPr>
      <w:r>
        <w:rPr>
          <w:color w:val="auto"/>
          <w:szCs w:val="21"/>
          <w:highlight w:val="none"/>
        </w:rPr>
        <w:t>3.本项目的特定资格要求：</w:t>
      </w:r>
      <w:r>
        <w:rPr>
          <w:rFonts w:hint="eastAsia"/>
          <w:color w:val="auto"/>
          <w:szCs w:val="21"/>
          <w:highlight w:val="none"/>
          <w:lang w:val="en-US" w:eastAsia="zh-CN"/>
        </w:rPr>
        <w:t>供应商须</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Cs w:val="21"/>
          <w:highlight w:val="none"/>
          <w:u w:val="none"/>
          <w:lang w:eastAsia="zh-CN"/>
        </w:rPr>
        <w:t>建筑工程施工总承包三级（含）以上</w:t>
      </w:r>
      <w:r>
        <w:rPr>
          <w:rFonts w:hint="eastAsia" w:ascii="宋体" w:hAnsi="宋体" w:eastAsia="宋体" w:cs="宋体"/>
          <w:color w:val="auto"/>
          <w:sz w:val="21"/>
          <w:szCs w:val="21"/>
          <w:highlight w:val="none"/>
          <w:lang w:val="en-US" w:eastAsia="zh-CN"/>
        </w:rPr>
        <w:t>资质，具备有效的安全生产许可证，并在人员、设备、资金等方面具备相应的施工能力。其中，供应商拟派项目经理须具备建筑工程专业二级（含）以上注册建造师执业资格，</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rFonts w:hint="eastAsia" w:ascii="宋体" w:hAnsi="宋体" w:cs="宋体"/>
          <w:color w:val="auto"/>
          <w:szCs w:val="21"/>
          <w:highlight w:val="none"/>
        </w:rPr>
        <w:t>。</w:t>
      </w:r>
    </w:p>
    <w:p w14:paraId="3C1D92A1">
      <w:pPr>
        <w:spacing w:line="360" w:lineRule="auto"/>
        <w:ind w:firstLine="422" w:firstLineChars="200"/>
        <w:rPr>
          <w:rFonts w:eastAsia="黑体"/>
          <w:b/>
          <w:bCs/>
          <w:color w:val="auto"/>
          <w:szCs w:val="21"/>
          <w:highlight w:val="none"/>
        </w:rPr>
      </w:pPr>
      <w:r>
        <w:rPr>
          <w:rFonts w:eastAsia="黑体"/>
          <w:b/>
          <w:bCs/>
          <w:color w:val="auto"/>
          <w:szCs w:val="21"/>
          <w:highlight w:val="none"/>
        </w:rPr>
        <w:t>三、获取采购文件</w:t>
      </w:r>
      <w:bookmarkEnd w:id="15"/>
      <w:bookmarkEnd w:id="16"/>
      <w:bookmarkEnd w:id="17"/>
      <w:bookmarkEnd w:id="18"/>
    </w:p>
    <w:p w14:paraId="1E1FBEA7">
      <w:pPr>
        <w:spacing w:line="360" w:lineRule="auto"/>
        <w:ind w:firstLine="420" w:firstLineChars="200"/>
        <w:rPr>
          <w:color w:val="auto"/>
          <w:szCs w:val="21"/>
          <w:highlight w:val="none"/>
        </w:rPr>
      </w:pPr>
      <w:bookmarkStart w:id="24" w:name="_Toc28359005"/>
      <w:bookmarkStart w:id="25" w:name="_Toc28359082"/>
      <w:bookmarkStart w:id="26" w:name="_Toc35393624"/>
      <w:bookmarkStart w:id="27" w:name="_Toc35393793"/>
      <w:r>
        <w:rPr>
          <w:color w:val="auto"/>
          <w:szCs w:val="21"/>
          <w:highlight w:val="none"/>
        </w:rPr>
        <w:t>时间：</w:t>
      </w:r>
      <w:r>
        <w:rPr>
          <w:bCs/>
          <w:color w:val="auto"/>
          <w:kern w:val="0"/>
          <w:szCs w:val="21"/>
          <w:highlight w:val="none"/>
          <w:u w:val="single"/>
        </w:rPr>
        <w:t xml:space="preserve"> </w:t>
      </w:r>
      <w:r>
        <w:rPr>
          <w:rFonts w:hint="eastAsia"/>
          <w:bCs/>
          <w:color w:val="auto"/>
          <w:kern w:val="0"/>
          <w:szCs w:val="21"/>
          <w:highlight w:val="none"/>
          <w:u w:val="single"/>
          <w:lang w:eastAsia="zh-CN"/>
        </w:rPr>
        <w:t>2025</w:t>
      </w:r>
      <w:r>
        <w:rPr>
          <w:bCs/>
          <w:color w:val="auto"/>
          <w:kern w:val="0"/>
          <w:szCs w:val="21"/>
          <w:highlight w:val="none"/>
        </w:rPr>
        <w:t>年</w:t>
      </w:r>
      <w:r>
        <w:rPr>
          <w:rFonts w:hint="eastAsia"/>
          <w:bCs/>
          <w:color w:val="auto"/>
          <w:kern w:val="0"/>
          <w:szCs w:val="21"/>
          <w:highlight w:val="none"/>
          <w:u w:val="single"/>
          <w:lang w:val="en-US" w:eastAsia="zh-CN"/>
        </w:rPr>
        <w:t>6</w:t>
      </w:r>
      <w:r>
        <w:rPr>
          <w:bCs/>
          <w:color w:val="auto"/>
          <w:kern w:val="0"/>
          <w:szCs w:val="21"/>
          <w:highlight w:val="none"/>
        </w:rPr>
        <w:t>月</w:t>
      </w:r>
      <w:r>
        <w:rPr>
          <w:rFonts w:hint="eastAsia"/>
          <w:bCs/>
          <w:color w:val="auto"/>
          <w:kern w:val="0"/>
          <w:szCs w:val="21"/>
          <w:highlight w:val="none"/>
          <w:u w:val="single"/>
          <w:lang w:val="en-US" w:eastAsia="zh-CN"/>
        </w:rPr>
        <w:t>13</w:t>
      </w:r>
      <w:r>
        <w:rPr>
          <w:bCs/>
          <w:color w:val="auto"/>
          <w:kern w:val="0"/>
          <w:szCs w:val="21"/>
          <w:highlight w:val="none"/>
        </w:rPr>
        <w:t>日至</w:t>
      </w:r>
      <w:r>
        <w:rPr>
          <w:bCs/>
          <w:color w:val="auto"/>
          <w:kern w:val="0"/>
          <w:szCs w:val="21"/>
          <w:highlight w:val="none"/>
          <w:u w:val="single"/>
        </w:rPr>
        <w:t xml:space="preserve"> </w:t>
      </w:r>
      <w:r>
        <w:rPr>
          <w:rFonts w:hint="eastAsia"/>
          <w:bCs/>
          <w:color w:val="auto"/>
          <w:kern w:val="0"/>
          <w:szCs w:val="21"/>
          <w:highlight w:val="none"/>
          <w:u w:val="single"/>
          <w:lang w:eastAsia="zh-CN"/>
        </w:rPr>
        <w:t>2025</w:t>
      </w:r>
      <w:r>
        <w:rPr>
          <w:bCs/>
          <w:color w:val="auto"/>
          <w:kern w:val="0"/>
          <w:szCs w:val="21"/>
          <w:highlight w:val="none"/>
        </w:rPr>
        <w:t>年</w:t>
      </w:r>
      <w:r>
        <w:rPr>
          <w:rFonts w:hint="eastAsia"/>
          <w:bCs/>
          <w:color w:val="auto"/>
          <w:kern w:val="0"/>
          <w:szCs w:val="21"/>
          <w:highlight w:val="none"/>
          <w:u w:val="single"/>
          <w:lang w:val="en-US" w:eastAsia="zh-CN"/>
        </w:rPr>
        <w:t>6</w:t>
      </w:r>
      <w:r>
        <w:rPr>
          <w:bCs/>
          <w:color w:val="auto"/>
          <w:kern w:val="0"/>
          <w:szCs w:val="21"/>
          <w:highlight w:val="none"/>
        </w:rPr>
        <w:t>月</w:t>
      </w:r>
      <w:r>
        <w:rPr>
          <w:rFonts w:hint="eastAsia"/>
          <w:bCs/>
          <w:color w:val="auto"/>
          <w:kern w:val="0"/>
          <w:szCs w:val="21"/>
          <w:highlight w:val="none"/>
          <w:u w:val="single"/>
          <w:lang w:val="en-US" w:eastAsia="zh-CN"/>
        </w:rPr>
        <w:t>23</w:t>
      </w:r>
      <w:r>
        <w:rPr>
          <w:bCs/>
          <w:color w:val="auto"/>
          <w:kern w:val="0"/>
          <w:szCs w:val="21"/>
          <w:highlight w:val="none"/>
        </w:rPr>
        <w:t>日，</w:t>
      </w:r>
      <w:r>
        <w:rPr>
          <w:rFonts w:hint="eastAsia" w:ascii="宋体" w:hAnsi="宋体" w:eastAsia="宋体" w:cs="宋体"/>
          <w:color w:val="auto"/>
          <w:sz w:val="21"/>
          <w:szCs w:val="21"/>
          <w:highlight w:val="none"/>
        </w:rPr>
        <w:t>每天上午00:00至11:59，下午12:00至23:59</w:t>
      </w:r>
      <w:r>
        <w:rPr>
          <w:bCs/>
          <w:color w:val="auto"/>
          <w:kern w:val="0"/>
          <w:szCs w:val="21"/>
          <w:highlight w:val="none"/>
        </w:rPr>
        <w:t>（北京时间，法定节假日除外）</w:t>
      </w:r>
      <w:r>
        <w:rPr>
          <w:color w:val="auto"/>
          <w:szCs w:val="21"/>
          <w:highlight w:val="none"/>
        </w:rPr>
        <w:t>。</w:t>
      </w:r>
    </w:p>
    <w:p w14:paraId="0639EADC">
      <w:pPr>
        <w:spacing w:line="360" w:lineRule="auto"/>
        <w:ind w:firstLine="420" w:firstLineChars="200"/>
        <w:rPr>
          <w:color w:val="auto"/>
          <w:szCs w:val="21"/>
          <w:highlight w:val="none"/>
        </w:rPr>
      </w:pPr>
      <w:r>
        <w:rPr>
          <w:bCs/>
          <w:color w:val="auto"/>
          <w:kern w:val="0"/>
          <w:szCs w:val="21"/>
          <w:highlight w:val="none"/>
        </w:rPr>
        <w:t>地点</w:t>
      </w:r>
      <w:r>
        <w:rPr>
          <w:rFonts w:hint="eastAsia"/>
          <w:color w:val="auto"/>
          <w:szCs w:val="21"/>
          <w:highlight w:val="none"/>
        </w:rPr>
        <w:t>（网址）</w:t>
      </w:r>
      <w:r>
        <w:rPr>
          <w:bCs/>
          <w:color w:val="auto"/>
          <w:kern w:val="0"/>
          <w:szCs w:val="21"/>
          <w:highlight w:val="none"/>
        </w:rPr>
        <w:t>：</w:t>
      </w:r>
      <w:r>
        <w:rPr>
          <w:rFonts w:hint="eastAsia"/>
          <w:color w:val="auto"/>
          <w:szCs w:val="21"/>
          <w:highlight w:val="none"/>
          <w:lang w:eastAsia="zh-CN"/>
        </w:rPr>
        <w:t>广西政府采购云平台（https://www.gcy.zfcg.gxzf.gov.cn/）</w:t>
      </w:r>
      <w:r>
        <w:rPr>
          <w:color w:val="auto"/>
          <w:szCs w:val="21"/>
          <w:highlight w:val="none"/>
        </w:rPr>
        <w:t xml:space="preserve"> </w:t>
      </w:r>
    </w:p>
    <w:p w14:paraId="6FE59080">
      <w:pPr>
        <w:pStyle w:val="11"/>
        <w:spacing w:line="360" w:lineRule="auto"/>
        <w:rPr>
          <w:b/>
          <w:bCs/>
          <w:color w:val="auto"/>
          <w:szCs w:val="21"/>
          <w:highlight w:val="none"/>
          <w:lang w:eastAsia="zh-CN"/>
        </w:rPr>
      </w:pPr>
      <w:r>
        <w:rPr>
          <w:color w:val="auto"/>
          <w:szCs w:val="21"/>
          <w:highlight w:val="none"/>
          <w:lang w:eastAsia="zh-CN"/>
        </w:rPr>
        <w:t>　　</w:t>
      </w:r>
      <w:r>
        <w:rPr>
          <w:color w:val="auto"/>
          <w:szCs w:val="21"/>
          <w:highlight w:val="none"/>
        </w:rPr>
        <w:t>方式</w:t>
      </w:r>
      <w:r>
        <w:rPr>
          <w:color w:val="auto"/>
          <w:szCs w:val="21"/>
          <w:highlight w:val="none"/>
          <w:lang w:eastAsia="zh-CN"/>
        </w:rPr>
        <w:t>：</w:t>
      </w:r>
      <w:r>
        <w:rPr>
          <w:color w:val="auto"/>
          <w:szCs w:val="21"/>
          <w:highlight w:val="none"/>
        </w:rPr>
        <w:t>网上下载。本项目不发放纸质采购文件</w:t>
      </w:r>
      <w:r>
        <w:rPr>
          <w:rFonts w:hint="eastAsia"/>
          <w:color w:val="auto"/>
          <w:szCs w:val="21"/>
          <w:highlight w:val="none"/>
          <w:lang w:eastAsia="zh-CN"/>
        </w:rPr>
        <w:t>、工程量清单、图纸。</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下载采购文件</w:t>
      </w:r>
      <w:r>
        <w:rPr>
          <w:rFonts w:hint="eastAsia"/>
          <w:color w:val="auto"/>
          <w:szCs w:val="21"/>
          <w:highlight w:val="none"/>
          <w:lang w:eastAsia="zh-CN"/>
        </w:rPr>
        <w:t>、工程量清单、图纸</w:t>
      </w:r>
      <w:r>
        <w:rPr>
          <w:rFonts w:hint="eastAsia" w:ascii="宋体" w:hAnsi="宋体" w:eastAsia="宋体" w:cs="宋体"/>
          <w:color w:val="auto"/>
          <w:szCs w:val="21"/>
          <w:highlight w:val="none"/>
        </w:rPr>
        <w:t>（操作路径：登录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r>
        <w:rPr>
          <w:color w:val="auto"/>
          <w:szCs w:val="21"/>
          <w:highlight w:val="none"/>
        </w:rPr>
        <w:t>。</w:t>
      </w:r>
    </w:p>
    <w:p w14:paraId="7AF410D7">
      <w:pPr>
        <w:snapToGrid w:val="0"/>
        <w:spacing w:line="360" w:lineRule="auto"/>
        <w:ind w:firstLine="420" w:firstLineChars="200"/>
        <w:rPr>
          <w:color w:val="auto"/>
          <w:szCs w:val="21"/>
          <w:highlight w:val="none"/>
        </w:rPr>
      </w:pPr>
      <w:r>
        <w:rPr>
          <w:color w:val="auto"/>
          <w:szCs w:val="21"/>
          <w:highlight w:val="none"/>
        </w:rPr>
        <w:t>售价：人民币0元。</w:t>
      </w:r>
    </w:p>
    <w:p w14:paraId="067795E5">
      <w:pPr>
        <w:spacing w:line="360" w:lineRule="auto"/>
        <w:ind w:firstLine="422" w:firstLineChars="200"/>
        <w:rPr>
          <w:rFonts w:eastAsia="黑体"/>
          <w:b/>
          <w:bCs/>
          <w:color w:val="auto"/>
          <w:szCs w:val="21"/>
          <w:highlight w:val="none"/>
        </w:rPr>
      </w:pPr>
      <w:r>
        <w:rPr>
          <w:rFonts w:eastAsia="黑体"/>
          <w:b/>
          <w:bCs/>
          <w:color w:val="auto"/>
          <w:szCs w:val="21"/>
          <w:highlight w:val="none"/>
        </w:rPr>
        <w:t>四、</w:t>
      </w:r>
      <w:bookmarkEnd w:id="24"/>
      <w:bookmarkEnd w:id="25"/>
      <w:bookmarkEnd w:id="26"/>
      <w:bookmarkEnd w:id="27"/>
      <w:r>
        <w:rPr>
          <w:rFonts w:eastAsia="黑体"/>
          <w:b/>
          <w:bCs/>
          <w:color w:val="auto"/>
          <w:szCs w:val="21"/>
          <w:highlight w:val="none"/>
        </w:rPr>
        <w:t>响应文件提交</w:t>
      </w:r>
    </w:p>
    <w:p w14:paraId="024FCC1F">
      <w:pPr>
        <w:spacing w:line="360" w:lineRule="auto"/>
        <w:ind w:firstLine="420" w:firstLineChars="200"/>
        <w:rPr>
          <w:i/>
          <w:iCs/>
          <w:color w:val="auto"/>
          <w:szCs w:val="21"/>
          <w:highlight w:val="none"/>
          <w:u w:val="single"/>
        </w:rPr>
      </w:pPr>
      <w:r>
        <w:rPr>
          <w:color w:val="auto"/>
          <w:szCs w:val="21"/>
          <w:highlight w:val="none"/>
        </w:rPr>
        <w:t>1、截止时间</w:t>
      </w:r>
      <w:r>
        <w:rPr>
          <w:bCs/>
          <w:color w:val="auto"/>
          <w:szCs w:val="21"/>
          <w:highlight w:val="none"/>
          <w:u w:val="none"/>
        </w:rPr>
        <w:t>：</w:t>
      </w:r>
      <w:bookmarkStart w:id="28" w:name="PO_3000001868_PM015"/>
      <w:r>
        <w:rPr>
          <w:rFonts w:hint="eastAsia"/>
          <w:bCs/>
          <w:color w:val="auto"/>
          <w:kern w:val="0"/>
          <w:szCs w:val="21"/>
          <w:highlight w:val="none"/>
          <w:u w:val="none"/>
        </w:rPr>
        <w:t xml:space="preserve"> </w:t>
      </w:r>
      <w:bookmarkEnd w:id="28"/>
      <w:r>
        <w:rPr>
          <w:rFonts w:hint="eastAsia"/>
          <w:bCs/>
          <w:color w:val="auto"/>
          <w:kern w:val="0"/>
          <w:szCs w:val="21"/>
          <w:highlight w:val="none"/>
          <w:u w:val="none"/>
          <w:lang w:eastAsia="zh-CN"/>
        </w:rPr>
        <w:t>2025年</w:t>
      </w:r>
      <w:r>
        <w:rPr>
          <w:rFonts w:hint="eastAsia"/>
          <w:bCs/>
          <w:color w:val="auto"/>
          <w:kern w:val="0"/>
          <w:szCs w:val="21"/>
          <w:highlight w:val="none"/>
          <w:u w:val="none"/>
          <w:lang w:val="en-US" w:eastAsia="zh-CN"/>
        </w:rPr>
        <w:t>6</w:t>
      </w:r>
      <w:r>
        <w:rPr>
          <w:rFonts w:hint="eastAsia"/>
          <w:bCs/>
          <w:color w:val="auto"/>
          <w:kern w:val="0"/>
          <w:szCs w:val="21"/>
          <w:highlight w:val="none"/>
          <w:u w:val="none"/>
          <w:lang w:eastAsia="zh-CN"/>
        </w:rPr>
        <w:t>月</w:t>
      </w:r>
      <w:r>
        <w:rPr>
          <w:rFonts w:hint="eastAsia"/>
          <w:bCs/>
          <w:color w:val="auto"/>
          <w:kern w:val="0"/>
          <w:szCs w:val="21"/>
          <w:highlight w:val="none"/>
          <w:u w:val="none"/>
          <w:lang w:val="en-US" w:eastAsia="zh-CN"/>
        </w:rPr>
        <w:t>24</w:t>
      </w:r>
      <w:r>
        <w:rPr>
          <w:rFonts w:hint="eastAsia"/>
          <w:bCs/>
          <w:color w:val="auto"/>
          <w:kern w:val="0"/>
          <w:szCs w:val="21"/>
          <w:highlight w:val="none"/>
          <w:u w:val="none"/>
          <w:lang w:eastAsia="zh-CN"/>
        </w:rPr>
        <w:t>日</w:t>
      </w:r>
      <w:r>
        <w:rPr>
          <w:rFonts w:hint="eastAsia"/>
          <w:bCs/>
          <w:color w:val="auto"/>
          <w:szCs w:val="21"/>
          <w:highlight w:val="none"/>
        </w:rPr>
        <w:t>09</w:t>
      </w:r>
      <w:r>
        <w:rPr>
          <w:rFonts w:hint="eastAsia"/>
          <w:bCs/>
          <w:color w:val="auto"/>
          <w:szCs w:val="21"/>
          <w:highlight w:val="none"/>
          <w:lang w:eastAsia="zh-CN"/>
        </w:rPr>
        <w:t>时</w:t>
      </w:r>
      <w:r>
        <w:rPr>
          <w:rFonts w:hint="eastAsia"/>
          <w:bCs/>
          <w:color w:val="auto"/>
          <w:szCs w:val="21"/>
          <w:highlight w:val="none"/>
          <w:lang w:val="en-US" w:eastAsia="zh-CN"/>
        </w:rPr>
        <w:t>30分</w:t>
      </w:r>
      <w:r>
        <w:rPr>
          <w:bCs/>
          <w:color w:val="auto"/>
          <w:szCs w:val="21"/>
          <w:highlight w:val="none"/>
        </w:rPr>
        <w:t>（北京时间）</w:t>
      </w:r>
    </w:p>
    <w:p w14:paraId="1CDCB11C">
      <w:pPr>
        <w:spacing w:line="360" w:lineRule="auto"/>
        <w:ind w:firstLine="420" w:firstLineChars="200"/>
        <w:rPr>
          <w:rFonts w:hint="eastAsia" w:eastAsia="宋体"/>
          <w:color w:val="auto"/>
          <w:szCs w:val="21"/>
          <w:highlight w:val="none"/>
          <w:lang w:eastAsia="zh-CN"/>
        </w:rPr>
      </w:pPr>
      <w:r>
        <w:rPr>
          <w:color w:val="auto"/>
          <w:szCs w:val="21"/>
          <w:highlight w:val="none"/>
        </w:rPr>
        <w:t>2、地点</w:t>
      </w:r>
      <w:r>
        <w:rPr>
          <w:rFonts w:hint="eastAsia"/>
          <w:color w:val="auto"/>
          <w:szCs w:val="21"/>
          <w:highlight w:val="none"/>
        </w:rPr>
        <w:t>（网址）</w:t>
      </w:r>
      <w:r>
        <w:rPr>
          <w:color w:val="auto"/>
          <w:szCs w:val="21"/>
          <w:highlight w:val="none"/>
        </w:rPr>
        <w:t>：</w:t>
      </w:r>
      <w:r>
        <w:rPr>
          <w:rFonts w:hint="eastAsia"/>
          <w:color w:val="auto"/>
          <w:szCs w:val="21"/>
          <w:highlight w:val="none"/>
          <w:lang w:eastAsia="zh-CN"/>
        </w:rPr>
        <w:t>广西政府采购云平台（https://www.gcy.zfcg.gxzf.gov.cn/）</w:t>
      </w:r>
    </w:p>
    <w:p w14:paraId="6178F9C1">
      <w:pPr>
        <w:spacing w:line="360" w:lineRule="auto"/>
        <w:ind w:firstLine="422" w:firstLineChars="200"/>
        <w:rPr>
          <w:rFonts w:eastAsia="黑体"/>
          <w:b/>
          <w:bCs/>
          <w:color w:val="auto"/>
          <w:szCs w:val="21"/>
          <w:highlight w:val="none"/>
        </w:rPr>
      </w:pPr>
      <w:r>
        <w:rPr>
          <w:rFonts w:eastAsia="黑体"/>
          <w:b/>
          <w:bCs/>
          <w:color w:val="auto"/>
          <w:szCs w:val="21"/>
          <w:highlight w:val="none"/>
        </w:rPr>
        <w:t>五、开启（首次响应文件开启时间）</w:t>
      </w:r>
    </w:p>
    <w:p w14:paraId="6AB518D4">
      <w:pPr>
        <w:spacing w:line="360" w:lineRule="auto"/>
        <w:ind w:firstLine="420" w:firstLineChars="200"/>
        <w:rPr>
          <w:bCs/>
          <w:color w:val="auto"/>
          <w:szCs w:val="21"/>
          <w:highlight w:val="none"/>
          <w:u w:val="single"/>
        </w:rPr>
      </w:pPr>
      <w:r>
        <w:rPr>
          <w:rFonts w:hint="eastAsia" w:ascii="宋体" w:hAnsi="宋体" w:eastAsia="宋体" w:cs="Times New Roman"/>
          <w:color w:val="auto"/>
          <w:sz w:val="21"/>
          <w:szCs w:val="21"/>
          <w:highlight w:val="none"/>
        </w:rPr>
        <w:t>开启</w:t>
      </w:r>
      <w:r>
        <w:rPr>
          <w:color w:val="auto"/>
          <w:szCs w:val="21"/>
          <w:highlight w:val="none"/>
        </w:rPr>
        <w:t>时间：</w:t>
      </w:r>
      <w:r>
        <w:rPr>
          <w:rFonts w:hint="eastAsia"/>
          <w:bCs/>
          <w:color w:val="auto"/>
          <w:kern w:val="0"/>
          <w:szCs w:val="21"/>
          <w:highlight w:val="none"/>
          <w:u w:val="none"/>
        </w:rPr>
        <w:t xml:space="preserve"> </w:t>
      </w:r>
      <w:r>
        <w:rPr>
          <w:rFonts w:hint="eastAsia"/>
          <w:bCs/>
          <w:color w:val="auto"/>
          <w:kern w:val="0"/>
          <w:szCs w:val="21"/>
          <w:highlight w:val="none"/>
          <w:u w:val="none"/>
          <w:lang w:eastAsia="zh-CN"/>
        </w:rPr>
        <w:t>2025</w:t>
      </w:r>
      <w:r>
        <w:rPr>
          <w:rFonts w:hint="eastAsia"/>
          <w:bCs/>
          <w:color w:val="auto"/>
          <w:kern w:val="0"/>
          <w:szCs w:val="21"/>
          <w:highlight w:val="none"/>
          <w:u w:val="none"/>
        </w:rPr>
        <w:t>年</w:t>
      </w:r>
      <w:r>
        <w:rPr>
          <w:rFonts w:hint="eastAsia"/>
          <w:bCs/>
          <w:color w:val="auto"/>
          <w:kern w:val="0"/>
          <w:szCs w:val="21"/>
          <w:highlight w:val="none"/>
          <w:u w:val="none"/>
          <w:lang w:val="en-US" w:eastAsia="zh-CN"/>
        </w:rPr>
        <w:t>6</w:t>
      </w:r>
      <w:r>
        <w:rPr>
          <w:rFonts w:hint="eastAsia"/>
          <w:bCs/>
          <w:color w:val="auto"/>
          <w:kern w:val="0"/>
          <w:szCs w:val="21"/>
          <w:highlight w:val="none"/>
          <w:u w:val="none"/>
        </w:rPr>
        <w:t>月</w:t>
      </w:r>
      <w:r>
        <w:rPr>
          <w:rFonts w:hint="eastAsia"/>
          <w:bCs/>
          <w:color w:val="auto"/>
          <w:kern w:val="0"/>
          <w:szCs w:val="21"/>
          <w:highlight w:val="none"/>
          <w:u w:val="none"/>
          <w:lang w:val="en-US" w:eastAsia="zh-CN"/>
        </w:rPr>
        <w:t>24</w:t>
      </w:r>
      <w:r>
        <w:rPr>
          <w:bCs/>
          <w:color w:val="auto"/>
          <w:kern w:val="0"/>
          <w:szCs w:val="21"/>
          <w:highlight w:val="none"/>
          <w:u w:val="none"/>
        </w:rPr>
        <w:t>日</w:t>
      </w:r>
      <w:r>
        <w:rPr>
          <w:rFonts w:hint="eastAsia"/>
          <w:bCs/>
          <w:color w:val="auto"/>
          <w:szCs w:val="21"/>
          <w:highlight w:val="none"/>
        </w:rPr>
        <w:t>09</w:t>
      </w:r>
      <w:r>
        <w:rPr>
          <w:rFonts w:hint="eastAsia"/>
          <w:bCs/>
          <w:color w:val="auto"/>
          <w:szCs w:val="21"/>
          <w:highlight w:val="none"/>
          <w:lang w:eastAsia="zh-CN"/>
        </w:rPr>
        <w:t>时</w:t>
      </w:r>
      <w:r>
        <w:rPr>
          <w:rFonts w:hint="eastAsia"/>
          <w:bCs/>
          <w:color w:val="auto"/>
          <w:szCs w:val="21"/>
          <w:highlight w:val="none"/>
          <w:lang w:val="en-US" w:eastAsia="zh-CN"/>
        </w:rPr>
        <w:t>30分</w:t>
      </w:r>
      <w:r>
        <w:rPr>
          <w:bCs/>
          <w:color w:val="auto"/>
          <w:szCs w:val="21"/>
          <w:highlight w:val="none"/>
        </w:rPr>
        <w:t>（北京时间）</w:t>
      </w:r>
    </w:p>
    <w:p w14:paraId="332F3EB3">
      <w:pPr>
        <w:spacing w:line="360" w:lineRule="auto"/>
        <w:ind w:firstLine="420" w:firstLineChars="200"/>
        <w:rPr>
          <w:rFonts w:hint="eastAsia" w:eastAsia="宋体"/>
          <w:bCs/>
          <w:color w:val="auto"/>
          <w:szCs w:val="21"/>
          <w:highlight w:val="none"/>
          <w:u w:val="single"/>
          <w:lang w:eastAsia="zh-CN"/>
        </w:rPr>
      </w:pPr>
      <w:r>
        <w:rPr>
          <w:color w:val="auto"/>
          <w:szCs w:val="21"/>
          <w:highlight w:val="none"/>
        </w:rPr>
        <w:t>地点：</w:t>
      </w:r>
      <w:r>
        <w:rPr>
          <w:rFonts w:hint="eastAsia"/>
          <w:color w:val="auto"/>
          <w:szCs w:val="21"/>
          <w:highlight w:val="none"/>
          <w:lang w:eastAsia="zh-CN"/>
        </w:rPr>
        <w:t>广西政府采购云平台（https://www.gcy.zfcg.gxzf.gov.cn/）</w:t>
      </w:r>
    </w:p>
    <w:p w14:paraId="7ACD5187">
      <w:pPr>
        <w:spacing w:line="360" w:lineRule="auto"/>
        <w:ind w:firstLine="422" w:firstLineChars="200"/>
        <w:rPr>
          <w:rFonts w:hint="default" w:eastAsia="黑体"/>
          <w:b/>
          <w:bCs/>
          <w:color w:val="auto"/>
          <w:szCs w:val="21"/>
          <w:highlight w:val="none"/>
          <w:lang w:val="en-US" w:eastAsia="zh-CN"/>
        </w:rPr>
      </w:pPr>
      <w:bookmarkStart w:id="29" w:name="_Toc35393794"/>
      <w:bookmarkStart w:id="30" w:name="_Toc28359084"/>
      <w:bookmarkStart w:id="31" w:name="_Toc28359007"/>
      <w:bookmarkStart w:id="32" w:name="_Toc35393625"/>
      <w:r>
        <w:rPr>
          <w:rFonts w:eastAsia="黑体"/>
          <w:b/>
          <w:bCs/>
          <w:color w:val="auto"/>
          <w:szCs w:val="21"/>
          <w:highlight w:val="none"/>
        </w:rPr>
        <w:t>六、公告期限</w:t>
      </w:r>
      <w:bookmarkEnd w:id="29"/>
      <w:bookmarkEnd w:id="30"/>
      <w:bookmarkEnd w:id="31"/>
      <w:bookmarkEnd w:id="32"/>
    </w:p>
    <w:p w14:paraId="32E0FA0F">
      <w:pPr>
        <w:spacing w:line="360" w:lineRule="auto"/>
        <w:ind w:firstLine="420" w:firstLineChars="200"/>
        <w:rPr>
          <w:color w:val="auto"/>
          <w:kern w:val="0"/>
          <w:szCs w:val="21"/>
          <w:highlight w:val="none"/>
        </w:rPr>
      </w:pPr>
      <w:r>
        <w:rPr>
          <w:color w:val="auto"/>
          <w:kern w:val="0"/>
          <w:szCs w:val="21"/>
          <w:highlight w:val="none"/>
        </w:rPr>
        <w:t>自本公告发布之日起</w:t>
      </w:r>
      <w:r>
        <w:rPr>
          <w:rFonts w:hint="eastAsia"/>
          <w:color w:val="auto"/>
          <w:kern w:val="0"/>
          <w:szCs w:val="21"/>
          <w:highlight w:val="none"/>
          <w:lang w:val="en-US" w:eastAsia="zh-CN"/>
        </w:rPr>
        <w:t>5</w:t>
      </w:r>
      <w:r>
        <w:rPr>
          <w:color w:val="auto"/>
          <w:kern w:val="0"/>
          <w:szCs w:val="21"/>
          <w:highlight w:val="none"/>
        </w:rPr>
        <w:t>个工作日。</w:t>
      </w:r>
    </w:p>
    <w:p w14:paraId="3215BE2D">
      <w:pPr>
        <w:spacing w:line="360" w:lineRule="auto"/>
        <w:ind w:firstLine="422" w:firstLineChars="200"/>
        <w:rPr>
          <w:rFonts w:eastAsia="黑体"/>
          <w:b/>
          <w:bCs/>
          <w:color w:val="auto"/>
          <w:szCs w:val="21"/>
          <w:highlight w:val="none"/>
        </w:rPr>
      </w:pPr>
      <w:bookmarkStart w:id="33" w:name="_Toc35393795"/>
      <w:bookmarkStart w:id="34" w:name="_Toc35393626"/>
      <w:r>
        <w:rPr>
          <w:rFonts w:eastAsia="黑体"/>
          <w:b/>
          <w:bCs/>
          <w:color w:val="auto"/>
          <w:szCs w:val="21"/>
          <w:highlight w:val="none"/>
        </w:rPr>
        <w:t>七、其他补充事宜</w:t>
      </w:r>
      <w:bookmarkEnd w:id="33"/>
      <w:bookmarkEnd w:id="34"/>
    </w:p>
    <w:p w14:paraId="322576EB">
      <w:pPr>
        <w:spacing w:line="360" w:lineRule="auto"/>
        <w:ind w:firstLine="420" w:firstLineChars="200"/>
        <w:rPr>
          <w:color w:val="auto"/>
          <w:kern w:val="0"/>
          <w:szCs w:val="21"/>
          <w:highlight w:val="none"/>
        </w:rPr>
      </w:pPr>
      <w:bookmarkStart w:id="35" w:name="_Hlk37429585"/>
      <w:r>
        <w:rPr>
          <w:color w:val="auto"/>
          <w:kern w:val="0"/>
          <w:szCs w:val="21"/>
          <w:highlight w:val="none"/>
        </w:rPr>
        <w:t>1.磋商保证金：</w:t>
      </w:r>
    </w:p>
    <w:p w14:paraId="0E2ECEBC">
      <w:pPr>
        <w:spacing w:line="360" w:lineRule="auto"/>
        <w:ind w:firstLine="422" w:firstLineChars="200"/>
        <w:rPr>
          <w:color w:val="auto"/>
          <w:kern w:val="0"/>
          <w:szCs w:val="21"/>
          <w:highlight w:val="none"/>
        </w:rPr>
      </w:pPr>
      <w:r>
        <w:rPr>
          <w:b/>
          <w:bCs/>
          <w:color w:val="auto"/>
          <w:szCs w:val="21"/>
          <w:highlight w:val="none"/>
        </w:rPr>
        <w:t>本项目</w:t>
      </w:r>
      <w:r>
        <w:rPr>
          <w:rFonts w:hint="eastAsia"/>
          <w:b/>
          <w:bCs/>
          <w:color w:val="auto"/>
          <w:szCs w:val="21"/>
          <w:highlight w:val="none"/>
          <w:lang w:eastAsia="zh-CN"/>
        </w:rPr>
        <w:t>不</w:t>
      </w:r>
      <w:r>
        <w:rPr>
          <w:b/>
          <w:bCs/>
          <w:color w:val="auto"/>
          <w:szCs w:val="21"/>
          <w:highlight w:val="none"/>
        </w:rPr>
        <w:t>需要缴</w:t>
      </w:r>
      <w:r>
        <w:rPr>
          <w:b/>
          <w:bCs/>
          <w:color w:val="auto"/>
          <w:kern w:val="0"/>
          <w:szCs w:val="21"/>
          <w:highlight w:val="none"/>
        </w:rPr>
        <w:t>纳</w:t>
      </w:r>
      <w:r>
        <w:rPr>
          <w:b/>
          <w:bCs/>
          <w:color w:val="auto"/>
          <w:szCs w:val="21"/>
          <w:highlight w:val="none"/>
        </w:rPr>
        <w:t>磋商保证金</w:t>
      </w:r>
      <w:r>
        <w:rPr>
          <w:rFonts w:hint="eastAsia"/>
          <w:b/>
          <w:bCs/>
          <w:color w:val="auto"/>
          <w:szCs w:val="21"/>
          <w:highlight w:val="none"/>
          <w:lang w:eastAsia="zh-CN"/>
        </w:rPr>
        <w:t>。</w:t>
      </w:r>
    </w:p>
    <w:p w14:paraId="6CB736E0">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w:t>
      </w:r>
      <w:bookmarkStart w:id="36" w:name="_Hlk37429595"/>
      <w:r>
        <w:rPr>
          <w:rFonts w:ascii="Times New Roman" w:hAnsi="Times New Roman" w:eastAsia="宋体" w:cs="Times New Roman"/>
          <w:color w:val="auto"/>
          <w:kern w:val="0"/>
          <w:szCs w:val="21"/>
          <w:highlight w:val="none"/>
        </w:rPr>
        <w:t>网上查询地址</w:t>
      </w:r>
    </w:p>
    <w:bookmarkEnd w:id="35"/>
    <w:bookmarkEnd w:id="36"/>
    <w:p w14:paraId="047C1E9B">
      <w:pPr>
        <w:spacing w:line="360" w:lineRule="auto"/>
        <w:ind w:firstLine="420" w:firstLineChars="200"/>
        <w:rPr>
          <w:rFonts w:hint="default"/>
          <w:color w:val="auto"/>
          <w:kern w:val="0"/>
          <w:szCs w:val="21"/>
          <w:highlight w:val="none"/>
        </w:rPr>
      </w:pPr>
      <w:bookmarkStart w:id="37" w:name="_Hlk37429674"/>
      <w:r>
        <w:rPr>
          <w:rFonts w:hint="eastAsia"/>
          <w:color w:val="auto"/>
          <w:kern w:val="0"/>
          <w:szCs w:val="21"/>
          <w:highlight w:val="none"/>
          <w:lang w:eastAsia="zh-CN"/>
        </w:rPr>
        <w:t>http://www.ccgp.gov.cn/</w:t>
      </w:r>
      <w:r>
        <w:rPr>
          <w:rFonts w:hint="default"/>
          <w:color w:val="auto"/>
          <w:kern w:val="0"/>
          <w:szCs w:val="21"/>
          <w:highlight w:val="none"/>
        </w:rPr>
        <w:t>（中国政府采购网）、http://www.ccgp-guangxi.gov.cn/（广西壮族自治区政府采购网）</w:t>
      </w:r>
      <w:r>
        <w:rPr>
          <w:rFonts w:hint="eastAsia"/>
          <w:color w:val="auto"/>
          <w:kern w:val="0"/>
          <w:szCs w:val="21"/>
          <w:highlight w:val="none"/>
          <w:lang w:eastAsia="zh-CN"/>
        </w:rPr>
        <w:t>、http://zfcg.czj.guilin.gov.cn/</w:t>
      </w:r>
      <w:r>
        <w:rPr>
          <w:rFonts w:hint="eastAsia"/>
          <w:color w:val="auto"/>
          <w:kern w:val="0"/>
          <w:szCs w:val="21"/>
          <w:highlight w:val="none"/>
        </w:rPr>
        <w:t>（桂林市政府采购网）</w:t>
      </w:r>
      <w:r>
        <w:rPr>
          <w:rFonts w:hint="default"/>
          <w:color w:val="auto"/>
          <w:kern w:val="0"/>
          <w:szCs w:val="21"/>
          <w:highlight w:val="none"/>
        </w:rPr>
        <w:t>。</w:t>
      </w:r>
    </w:p>
    <w:p w14:paraId="75E1D38B">
      <w:pPr>
        <w:spacing w:line="360" w:lineRule="auto"/>
        <w:ind w:firstLine="420" w:firstLineChars="200"/>
        <w:rPr>
          <w:color w:val="auto"/>
          <w:kern w:val="0"/>
          <w:szCs w:val="21"/>
          <w:highlight w:val="none"/>
        </w:rPr>
      </w:pPr>
      <w:r>
        <w:rPr>
          <w:color w:val="auto"/>
          <w:kern w:val="0"/>
          <w:szCs w:val="21"/>
          <w:highlight w:val="none"/>
        </w:rPr>
        <w:t>3</w:t>
      </w:r>
      <w:r>
        <w:rPr>
          <w:color w:val="auto"/>
          <w:szCs w:val="21"/>
          <w:highlight w:val="none"/>
        </w:rPr>
        <w:t xml:space="preserve">. </w:t>
      </w:r>
      <w:r>
        <w:rPr>
          <w:color w:val="auto"/>
          <w:kern w:val="0"/>
          <w:szCs w:val="21"/>
          <w:highlight w:val="none"/>
        </w:rPr>
        <w:t>本项目需要落实的政府采购政策</w:t>
      </w:r>
    </w:p>
    <w:p w14:paraId="420861A8">
      <w:pPr>
        <w:spacing w:line="360" w:lineRule="auto"/>
        <w:ind w:firstLine="420" w:firstLineChars="200"/>
        <w:rPr>
          <w:color w:val="auto"/>
          <w:kern w:val="0"/>
          <w:szCs w:val="21"/>
          <w:highlight w:val="none"/>
        </w:rPr>
      </w:pPr>
      <w:r>
        <w:rPr>
          <w:color w:val="auto"/>
          <w:kern w:val="0"/>
          <w:szCs w:val="21"/>
          <w:highlight w:val="none"/>
        </w:rPr>
        <w:t>（1）政府采购促进中小企业发展。</w:t>
      </w:r>
    </w:p>
    <w:p w14:paraId="205B72B7">
      <w:pPr>
        <w:spacing w:line="360" w:lineRule="auto"/>
        <w:ind w:firstLine="420" w:firstLineChars="200"/>
        <w:rPr>
          <w:color w:val="auto"/>
          <w:kern w:val="0"/>
          <w:szCs w:val="21"/>
          <w:highlight w:val="none"/>
        </w:rPr>
      </w:pPr>
      <w:r>
        <w:rPr>
          <w:color w:val="auto"/>
          <w:kern w:val="0"/>
          <w:szCs w:val="21"/>
          <w:highlight w:val="none"/>
        </w:rPr>
        <w:t>（2）政府采购支持采用本国产品的政策。</w:t>
      </w:r>
    </w:p>
    <w:p w14:paraId="3B8C367E">
      <w:pPr>
        <w:spacing w:line="360" w:lineRule="auto"/>
        <w:ind w:firstLine="420" w:firstLineChars="200"/>
        <w:rPr>
          <w:color w:val="auto"/>
          <w:kern w:val="0"/>
          <w:szCs w:val="21"/>
          <w:highlight w:val="none"/>
        </w:rPr>
      </w:pPr>
      <w:r>
        <w:rPr>
          <w:color w:val="auto"/>
          <w:kern w:val="0"/>
          <w:szCs w:val="21"/>
          <w:highlight w:val="none"/>
        </w:rPr>
        <w:t>（3）强制采购节能产品；优先采购节能产品、环境标志产品。</w:t>
      </w:r>
    </w:p>
    <w:p w14:paraId="272664E7">
      <w:pPr>
        <w:spacing w:line="360" w:lineRule="auto"/>
        <w:ind w:firstLine="420" w:firstLineChars="200"/>
        <w:rPr>
          <w:color w:val="auto"/>
          <w:kern w:val="0"/>
          <w:szCs w:val="21"/>
          <w:highlight w:val="none"/>
        </w:rPr>
      </w:pPr>
      <w:r>
        <w:rPr>
          <w:color w:val="auto"/>
          <w:kern w:val="0"/>
          <w:szCs w:val="21"/>
          <w:highlight w:val="none"/>
        </w:rPr>
        <w:t>（4）政府采购促进残疾人就业政策。</w:t>
      </w:r>
    </w:p>
    <w:p w14:paraId="3B1E3E31">
      <w:pPr>
        <w:spacing w:line="360" w:lineRule="auto"/>
        <w:ind w:firstLine="420" w:firstLineChars="200"/>
        <w:rPr>
          <w:color w:val="auto"/>
          <w:kern w:val="0"/>
          <w:szCs w:val="21"/>
          <w:highlight w:val="none"/>
        </w:rPr>
      </w:pPr>
      <w:r>
        <w:rPr>
          <w:color w:val="auto"/>
          <w:kern w:val="0"/>
          <w:szCs w:val="21"/>
          <w:highlight w:val="none"/>
        </w:rPr>
        <w:t>（5）政府采购支持监狱企业发展。</w:t>
      </w:r>
      <w:bookmarkEnd w:id="37"/>
    </w:p>
    <w:p w14:paraId="15FD0C6E">
      <w:pPr>
        <w:snapToGrid w:val="0"/>
        <w:spacing w:line="360" w:lineRule="auto"/>
        <w:ind w:firstLine="420" w:firstLineChars="200"/>
        <w:jc w:val="left"/>
        <w:rPr>
          <w:color w:val="auto"/>
          <w:szCs w:val="21"/>
          <w:highlight w:val="none"/>
        </w:rPr>
      </w:pPr>
      <w:r>
        <w:rPr>
          <w:color w:val="auto"/>
          <w:kern w:val="0"/>
          <w:szCs w:val="21"/>
          <w:highlight w:val="none"/>
        </w:rPr>
        <w:t>4.</w:t>
      </w:r>
      <w:r>
        <w:rPr>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4792864">
      <w:pPr>
        <w:snapToGrid w:val="0"/>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5.对在</w:t>
      </w:r>
      <w:r>
        <w:rPr>
          <w:rFonts w:hint="eastAsia" w:cs="Times New Roman"/>
          <w:color w:val="auto"/>
          <w:kern w:val="0"/>
          <w:szCs w:val="21"/>
          <w:highlight w:val="none"/>
          <w:lang w:eastAsia="zh-CN"/>
        </w:rPr>
        <w:t>“</w:t>
      </w:r>
      <w:r>
        <w:rPr>
          <w:rFonts w:ascii="Times New Roman" w:hAnsi="Times New Roman" w:eastAsia="宋体" w:cs="Times New Roman"/>
          <w:color w:val="auto"/>
          <w:kern w:val="0"/>
          <w:szCs w:val="21"/>
          <w:highlight w:val="none"/>
        </w:rPr>
        <w:t>信用中国</w:t>
      </w:r>
      <w:r>
        <w:rPr>
          <w:rFonts w:hint="eastAsia" w:cs="Times New Roman"/>
          <w:color w:val="auto"/>
          <w:kern w:val="0"/>
          <w:szCs w:val="21"/>
          <w:highlight w:val="none"/>
          <w:lang w:eastAsia="zh-CN"/>
        </w:rPr>
        <w:t>”</w:t>
      </w:r>
      <w:r>
        <w:rPr>
          <w:rFonts w:ascii="Times New Roman" w:hAnsi="Times New Roman" w:eastAsia="宋体" w:cs="Times New Roman"/>
          <w:color w:val="auto"/>
          <w:kern w:val="0"/>
          <w:szCs w:val="21"/>
          <w:highlight w:val="none"/>
        </w:rPr>
        <w:t>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10B3552">
      <w:pPr>
        <w:spacing w:line="360" w:lineRule="auto"/>
        <w:ind w:firstLine="422" w:firstLineChars="200"/>
        <w:rPr>
          <w:color w:val="auto"/>
          <w:kern w:val="0"/>
          <w:szCs w:val="21"/>
          <w:highlight w:val="none"/>
        </w:rPr>
      </w:pPr>
      <w:r>
        <w:rPr>
          <w:b/>
          <w:bCs/>
          <w:color w:val="auto"/>
          <w:kern w:val="0"/>
          <w:szCs w:val="21"/>
          <w:highlight w:val="none"/>
        </w:rPr>
        <w:t>6.</w:t>
      </w:r>
      <w:r>
        <w:rPr>
          <w:b/>
          <w:bCs/>
          <w:color w:val="auto"/>
          <w:szCs w:val="21"/>
          <w:highlight w:val="none"/>
        </w:rPr>
        <w:t>在线竞标的有关说明</w:t>
      </w:r>
      <w:r>
        <w:rPr>
          <w:b/>
          <w:bCs/>
          <w:color w:val="auto"/>
          <w:kern w:val="0"/>
          <w:szCs w:val="21"/>
          <w:highlight w:val="none"/>
        </w:rPr>
        <w:t>：</w:t>
      </w:r>
    </w:p>
    <w:p w14:paraId="48C70E0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14:paraId="1D75E1C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460B278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u w:val="singl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14:paraId="24CB677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168CB7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6B72DC0D">
      <w:pPr>
        <w:keepNext w:val="0"/>
        <w:keepLines w:val="0"/>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3A7B1314">
      <w:pPr>
        <w:spacing w:line="360" w:lineRule="auto"/>
        <w:ind w:firstLine="422" w:firstLineChars="200"/>
        <w:rPr>
          <w:rFonts w:eastAsia="黑体"/>
          <w:bCs/>
          <w:color w:val="auto"/>
          <w:szCs w:val="21"/>
          <w:highlight w:val="none"/>
        </w:rPr>
      </w:pPr>
      <w:r>
        <w:rPr>
          <w:rFonts w:eastAsia="黑体"/>
          <w:b/>
          <w:color w:val="auto"/>
          <w:kern w:val="44"/>
          <w:szCs w:val="21"/>
          <w:highlight w:val="none"/>
        </w:rPr>
        <w:t>八、凡对本次采购提出询问，请按以下方式联系。</w:t>
      </w:r>
    </w:p>
    <w:p w14:paraId="2DD7AC16">
      <w:pPr>
        <w:keepNext w:val="0"/>
        <w:keepLines w:val="0"/>
        <w:pageBreakBefore w:val="0"/>
        <w:widowControl w:val="0"/>
        <w:kinsoku/>
        <w:wordWrap/>
        <w:overflowPunct/>
        <w:topLinePunct w:val="0"/>
        <w:autoSpaceDE/>
        <w:autoSpaceDN/>
        <w:bidi w:val="0"/>
        <w:adjustRightInd/>
        <w:snapToGrid/>
        <w:spacing w:line="360" w:lineRule="auto"/>
        <w:ind w:firstLine="735" w:firstLineChars="350"/>
        <w:jc w:val="left"/>
        <w:textAlignment w:val="auto"/>
        <w:rPr>
          <w:color w:val="auto"/>
          <w:szCs w:val="21"/>
          <w:highlight w:val="none"/>
        </w:rPr>
      </w:pPr>
      <w:r>
        <w:rPr>
          <w:color w:val="auto"/>
          <w:szCs w:val="21"/>
          <w:highlight w:val="none"/>
        </w:rPr>
        <w:t>1.采购人信息</w:t>
      </w:r>
    </w:p>
    <w:p w14:paraId="70054014">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color w:val="auto"/>
          <w:szCs w:val="21"/>
          <w:highlight w:val="none"/>
        </w:rPr>
      </w:pPr>
      <w:r>
        <w:rPr>
          <w:color w:val="auto"/>
          <w:szCs w:val="21"/>
          <w:highlight w:val="none"/>
        </w:rPr>
        <w:t xml:space="preserve">名  </w:t>
      </w:r>
      <w:r>
        <w:rPr>
          <w:rFonts w:hint="eastAsia"/>
          <w:color w:val="auto"/>
          <w:szCs w:val="21"/>
          <w:highlight w:val="none"/>
        </w:rPr>
        <w:t xml:space="preserve"> </w:t>
      </w:r>
      <w:r>
        <w:rPr>
          <w:color w:val="auto"/>
          <w:szCs w:val="21"/>
          <w:highlight w:val="none"/>
        </w:rPr>
        <w:t>称：</w:t>
      </w:r>
      <w:r>
        <w:rPr>
          <w:rFonts w:hint="eastAsia"/>
          <w:color w:val="auto"/>
          <w:szCs w:val="21"/>
          <w:highlight w:val="none"/>
          <w:lang w:eastAsia="zh-CN"/>
        </w:rPr>
        <w:t>灵川县海洋乡人民政府</w:t>
      </w:r>
      <w:r>
        <w:rPr>
          <w:rFonts w:hint="eastAsia"/>
          <w:color w:val="auto"/>
          <w:szCs w:val="21"/>
          <w:highlight w:val="none"/>
        </w:rPr>
        <w:t xml:space="preserve"> </w:t>
      </w:r>
    </w:p>
    <w:p w14:paraId="5C66FCFB">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color w:val="auto"/>
          <w:szCs w:val="21"/>
          <w:highlight w:val="none"/>
          <w:lang w:eastAsia="zh-CN"/>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w:t>
      </w:r>
      <w:bookmarkStart w:id="38" w:name="EB3d41339109314122a04a60151a72504b"/>
      <w:r>
        <w:rPr>
          <w:rFonts w:hint="eastAsia" w:cs="Times New Roman"/>
          <w:color w:val="auto"/>
          <w:kern w:val="0"/>
          <w:szCs w:val="21"/>
          <w:highlight w:val="none"/>
          <w:lang w:eastAsia="zh-CN"/>
        </w:rPr>
        <w:t>灵川县海洋乡海洋西街102号</w:t>
      </w:r>
      <w:bookmarkEnd w:id="38"/>
    </w:p>
    <w:p w14:paraId="26922D53">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联系方式：</w:t>
      </w:r>
      <w:r>
        <w:rPr>
          <w:rFonts w:hint="eastAsia" w:cs="Times New Roman"/>
          <w:color w:val="auto"/>
          <w:szCs w:val="21"/>
          <w:highlight w:val="none"/>
          <w:lang w:val="en-US" w:eastAsia="zh-CN"/>
        </w:rPr>
        <w:t>陈鑫，</w:t>
      </w:r>
      <w:r>
        <w:rPr>
          <w:rFonts w:hint="eastAsia" w:ascii="Times New Roman" w:hAnsi="Times New Roman" w:eastAsia="宋体" w:cs="Times New Roman"/>
          <w:color w:val="auto"/>
          <w:kern w:val="2"/>
          <w:sz w:val="21"/>
          <w:szCs w:val="21"/>
          <w:highlight w:val="none"/>
          <w:u w:val="none"/>
          <w:lang w:val="en-US" w:eastAsia="zh-CN" w:bidi="ar-SA"/>
        </w:rPr>
        <w:t>0773-</w:t>
      </w:r>
      <w:r>
        <w:rPr>
          <w:rFonts w:hint="eastAsia" w:cs="Times New Roman"/>
          <w:color w:val="auto"/>
          <w:kern w:val="2"/>
          <w:sz w:val="21"/>
          <w:szCs w:val="21"/>
          <w:highlight w:val="none"/>
          <w:u w:val="none"/>
          <w:lang w:val="en-US" w:eastAsia="zh-CN" w:bidi="ar-SA"/>
        </w:rPr>
        <w:t>6358080</w:t>
      </w:r>
    </w:p>
    <w:p w14:paraId="6ADE121C">
      <w:pPr>
        <w:pStyle w:val="20"/>
        <w:rPr>
          <w:rFonts w:hint="eastAsia"/>
          <w:lang w:eastAsia="zh-CN"/>
        </w:rPr>
      </w:pPr>
    </w:p>
    <w:p w14:paraId="2D174CCE">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5F51920B">
      <w:pPr>
        <w:keepNext w:val="0"/>
        <w:keepLines w:val="0"/>
        <w:pageBreakBefore w:val="0"/>
        <w:kinsoku/>
        <w:wordWrap/>
        <w:overflowPunct/>
        <w:topLinePunct w:val="0"/>
        <w:bidi w:val="0"/>
        <w:adjustRightInd/>
        <w:spacing w:line="420" w:lineRule="exact"/>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名称：广西科联招标中心有限公司</w:t>
      </w:r>
    </w:p>
    <w:p w14:paraId="4B182543">
      <w:pPr>
        <w:keepNext w:val="0"/>
        <w:keepLines w:val="0"/>
        <w:pageBreakBefore w:val="0"/>
        <w:kinsoku/>
        <w:wordWrap/>
        <w:overflowPunct/>
        <w:topLinePunct w:val="0"/>
        <w:bidi w:val="0"/>
        <w:adjustRightInd/>
        <w:spacing w:line="420" w:lineRule="exact"/>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地址：桂林市七星区东江路28号28-8栋</w:t>
      </w:r>
    </w:p>
    <w:p w14:paraId="65AB136A">
      <w:pPr>
        <w:keepNext w:val="0"/>
        <w:keepLines w:val="0"/>
        <w:pageBreakBefore w:val="0"/>
        <w:kinsoku/>
        <w:wordWrap/>
        <w:overflowPunct/>
        <w:topLinePunct w:val="0"/>
        <w:bidi w:val="0"/>
        <w:adjustRightInd/>
        <w:spacing w:line="420" w:lineRule="exact"/>
        <w:ind w:firstLine="735" w:firstLineChars="350"/>
        <w:rPr>
          <w:rFonts w:hint="eastAsia" w:ascii="宋体" w:hAnsi="宋体" w:eastAsia="宋体" w:cs="宋体"/>
          <w:color w:val="auto"/>
          <w:szCs w:val="21"/>
          <w:highlight w:val="none"/>
        </w:rPr>
      </w:pPr>
      <w:bookmarkStart w:id="39" w:name="OLE_LINK19"/>
      <w:r>
        <w:rPr>
          <w:rFonts w:hint="eastAsia" w:ascii="宋体" w:hAnsi="宋体" w:eastAsia="宋体" w:cs="宋体"/>
          <w:color w:val="auto"/>
          <w:szCs w:val="21"/>
          <w:highlight w:val="none"/>
          <w:lang w:val="en-US" w:eastAsia="zh-CN"/>
        </w:rPr>
        <w:t>联系方式</w:t>
      </w:r>
      <w:bookmarkEnd w:id="39"/>
      <w:r>
        <w:rPr>
          <w:rFonts w:hint="eastAsia" w:ascii="宋体" w:hAnsi="宋体" w:eastAsia="宋体" w:cs="宋体"/>
          <w:color w:val="auto"/>
          <w:szCs w:val="21"/>
          <w:highlight w:val="none"/>
          <w:lang w:val="en-US" w:eastAsia="zh-CN"/>
        </w:rPr>
        <w:t>：徐霄0773-5442932</w:t>
      </w:r>
      <w:r>
        <w:rPr>
          <w:rFonts w:hint="eastAsia" w:ascii="宋体" w:hAnsi="宋体" w:eastAsia="宋体" w:cs="宋体"/>
          <w:color w:val="auto"/>
          <w:szCs w:val="21"/>
          <w:highlight w:val="none"/>
        </w:rPr>
        <w:t> </w:t>
      </w:r>
    </w:p>
    <w:p w14:paraId="653E0FD4">
      <w:pPr>
        <w:keepNext w:val="0"/>
        <w:keepLines w:val="0"/>
        <w:pageBreakBefore w:val="0"/>
        <w:kinsoku/>
        <w:wordWrap/>
        <w:overflowPunct/>
        <w:topLinePunct w:val="0"/>
        <w:bidi w:val="0"/>
        <w:adjustRightInd/>
        <w:spacing w:line="420" w:lineRule="exact"/>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3D78E942">
      <w:pPr>
        <w:keepNext w:val="0"/>
        <w:keepLines w:val="0"/>
        <w:pageBreakBefore w:val="0"/>
        <w:kinsoku/>
        <w:wordWrap/>
        <w:overflowPunct/>
        <w:topLinePunct w:val="0"/>
        <w:bidi w:val="0"/>
        <w:adjustRightInd/>
        <w:spacing w:line="420" w:lineRule="exact"/>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项目联系人：</w:t>
      </w:r>
      <w:r>
        <w:rPr>
          <w:rFonts w:hint="eastAsia" w:ascii="宋体" w:hAnsi="宋体" w:eastAsia="宋体" w:cs="宋体"/>
          <w:color w:val="auto"/>
          <w:szCs w:val="21"/>
          <w:highlight w:val="none"/>
          <w:lang w:eastAsia="zh-CN"/>
        </w:rPr>
        <w:t>蒋建英、</w:t>
      </w:r>
      <w:r>
        <w:rPr>
          <w:rFonts w:hint="eastAsia" w:ascii="宋体" w:hAnsi="宋体" w:eastAsia="宋体" w:cs="宋体"/>
          <w:color w:val="auto"/>
          <w:szCs w:val="21"/>
          <w:highlight w:val="none"/>
          <w:lang w:val="en-US" w:eastAsia="zh-CN"/>
        </w:rPr>
        <w:t>唐庆荣</w:t>
      </w:r>
    </w:p>
    <w:p w14:paraId="22CD2889">
      <w:pPr>
        <w:keepNext w:val="0"/>
        <w:keepLines w:val="0"/>
        <w:pageBreakBefore w:val="0"/>
        <w:kinsoku/>
        <w:wordWrap/>
        <w:overflowPunct/>
        <w:topLinePunct w:val="0"/>
        <w:bidi w:val="0"/>
        <w:adjustRightInd/>
        <w:spacing w:line="420" w:lineRule="exact"/>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  话：0773-5442932</w:t>
      </w:r>
    </w:p>
    <w:p w14:paraId="1A27A571">
      <w:pPr>
        <w:keepNext w:val="0"/>
        <w:keepLines w:val="0"/>
        <w:pageBreakBefore w:val="0"/>
        <w:kinsoku/>
        <w:wordWrap/>
        <w:overflowPunct/>
        <w:topLinePunct w:val="0"/>
        <w:bidi w:val="0"/>
        <w:adjustRightInd/>
        <w:spacing w:line="420" w:lineRule="exact"/>
        <w:ind w:firstLine="735" w:firstLineChars="350"/>
        <w:rPr>
          <w:rFonts w:hint="eastAsia" w:ascii="宋体" w:hAnsi="宋体" w:eastAsia="宋体" w:cs="宋体"/>
          <w:color w:val="auto"/>
          <w:szCs w:val="21"/>
          <w:highlight w:val="none"/>
          <w:lang w:eastAsia="zh-CN"/>
        </w:rPr>
      </w:pPr>
    </w:p>
    <w:p w14:paraId="1EAC60AB">
      <w:pPr>
        <w:spacing w:line="360" w:lineRule="auto"/>
        <w:ind w:left="1041" w:leftChars="371" w:hanging="262" w:hangingChars="125"/>
        <w:jc w:val="left"/>
        <w:rPr>
          <w:rFonts w:hint="eastAsia"/>
          <w:color w:val="auto"/>
          <w:szCs w:val="21"/>
          <w:highlight w:val="none"/>
        </w:rPr>
      </w:pPr>
      <w:r>
        <w:rPr>
          <w:color w:val="auto"/>
          <w:szCs w:val="21"/>
          <w:highlight w:val="none"/>
        </w:rPr>
        <w:t xml:space="preserve"> </w:t>
      </w:r>
      <w:r>
        <w:rPr>
          <w:rFonts w:hint="eastAsia"/>
          <w:color w:val="auto"/>
          <w:szCs w:val="21"/>
          <w:highlight w:val="none"/>
        </w:rPr>
        <w:t xml:space="preserve"> </w:t>
      </w:r>
    </w:p>
    <w:p w14:paraId="5D9469EC">
      <w:pPr>
        <w:spacing w:line="360" w:lineRule="auto"/>
        <w:ind w:firstLine="420" w:firstLineChars="200"/>
        <w:rPr>
          <w:color w:val="auto"/>
          <w:szCs w:val="21"/>
          <w:highlight w:val="none"/>
        </w:rPr>
      </w:pPr>
    </w:p>
    <w:p w14:paraId="551E7329">
      <w:pPr>
        <w:pStyle w:val="2"/>
        <w:spacing w:before="0" w:after="0" w:line="240" w:lineRule="auto"/>
        <w:jc w:val="center"/>
        <w:rPr>
          <w:rFonts w:hint="eastAsia" w:ascii="Cambria" w:hAnsi="Cambria"/>
          <w:bCs w:val="0"/>
          <w:color w:val="auto"/>
          <w:sz w:val="32"/>
          <w:szCs w:val="32"/>
          <w:highlight w:val="none"/>
        </w:rPr>
      </w:pPr>
      <w:bookmarkStart w:id="40" w:name="_Toc11093"/>
      <w:bookmarkStart w:id="41" w:name="_Toc9127"/>
      <w:bookmarkStart w:id="42" w:name="_Toc80886926"/>
      <w:bookmarkStart w:id="43" w:name="_Toc25520"/>
      <w:bookmarkStart w:id="44" w:name="_Toc7184"/>
      <w:bookmarkStart w:id="45" w:name="_Toc29321"/>
      <w:bookmarkStart w:id="46" w:name="_Toc22760"/>
      <w:r>
        <w:rPr>
          <w:rFonts w:hint="eastAsia" w:ascii="Cambria" w:hAnsi="Cambria"/>
          <w:bCs w:val="0"/>
          <w:color w:val="auto"/>
          <w:sz w:val="32"/>
          <w:szCs w:val="32"/>
          <w:highlight w:val="none"/>
        </w:rPr>
        <w:br w:type="page"/>
      </w:r>
      <w:bookmarkStart w:id="47" w:name="_Toc9190"/>
      <w:r>
        <w:rPr>
          <w:rFonts w:hint="eastAsia" w:ascii="Cambria" w:hAnsi="Cambria"/>
          <w:bCs w:val="0"/>
          <w:color w:val="auto"/>
          <w:sz w:val="32"/>
          <w:szCs w:val="32"/>
          <w:highlight w:val="none"/>
        </w:rPr>
        <w:t>第二章 采购需求</w:t>
      </w:r>
      <w:bookmarkEnd w:id="40"/>
      <w:bookmarkEnd w:id="41"/>
      <w:bookmarkEnd w:id="42"/>
      <w:bookmarkEnd w:id="43"/>
      <w:bookmarkEnd w:id="44"/>
      <w:bookmarkEnd w:id="45"/>
      <w:bookmarkEnd w:id="47"/>
    </w:p>
    <w:bookmarkEnd w:id="46"/>
    <w:p w14:paraId="6C5855D0">
      <w:pPr>
        <w:spacing w:line="420" w:lineRule="exact"/>
        <w:jc w:val="left"/>
        <w:rPr>
          <w:color w:val="auto"/>
          <w:szCs w:val="21"/>
          <w:highlight w:val="none"/>
        </w:rPr>
      </w:pPr>
      <w:r>
        <w:rPr>
          <w:color w:val="auto"/>
          <w:szCs w:val="21"/>
          <w:highlight w:val="none"/>
        </w:rPr>
        <w:t>说明：</w:t>
      </w:r>
    </w:p>
    <w:p w14:paraId="7460DE9D">
      <w:pPr>
        <w:spacing w:line="420" w:lineRule="exact"/>
        <w:ind w:firstLine="420" w:firstLineChars="200"/>
        <w:jc w:val="left"/>
        <w:rPr>
          <w:color w:val="auto"/>
          <w:szCs w:val="21"/>
          <w:highlight w:val="none"/>
        </w:rPr>
      </w:pPr>
      <w:r>
        <w:rPr>
          <w:color w:val="auto"/>
          <w:highlight w:val="none"/>
        </w:rPr>
        <w:t>1. 为落实政府采购政策需满足的要求：</w:t>
      </w:r>
    </w:p>
    <w:p w14:paraId="25F505BC">
      <w:pPr>
        <w:spacing w:line="420" w:lineRule="exact"/>
        <w:ind w:firstLine="420" w:firstLineChars="200"/>
        <w:jc w:val="left"/>
        <w:rPr>
          <w:color w:val="auto"/>
          <w:szCs w:val="21"/>
          <w:highlight w:val="none"/>
        </w:rPr>
      </w:pPr>
      <w:r>
        <w:rPr>
          <w:color w:val="auto"/>
          <w:szCs w:val="21"/>
          <w:highlight w:val="none"/>
        </w:rPr>
        <w:t>（1）本竞争性磋商文件所称中小企业必须符合《政府采购促进中小企业发展管理办法》（财库〔2020〕46号）的规定。</w:t>
      </w:r>
    </w:p>
    <w:p w14:paraId="20CC1754">
      <w:pPr>
        <w:spacing w:line="420" w:lineRule="exact"/>
        <w:ind w:firstLine="420" w:firstLineChars="200"/>
        <w:jc w:val="left"/>
        <w:rPr>
          <w:color w:val="auto"/>
          <w:szCs w:val="21"/>
          <w:highlight w:val="none"/>
        </w:rPr>
      </w:pPr>
      <w:r>
        <w:rPr>
          <w:color w:val="auto"/>
          <w:szCs w:val="21"/>
          <w:highlight w:val="none"/>
        </w:rPr>
        <w:t>（2）项目中包含货物的，根据《财政部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color w:val="auto"/>
          <w:szCs w:val="21"/>
          <w:highlight w:val="none"/>
          <w:lang w:eastAsia="zh-CN"/>
        </w:rPr>
        <w:t>“</w:t>
      </w:r>
      <w:r>
        <w:rPr>
          <w:color w:val="auto"/>
          <w:szCs w:val="21"/>
          <w:highlight w:val="none"/>
        </w:rPr>
        <w:t>★</w:t>
      </w:r>
      <w:r>
        <w:rPr>
          <w:rFonts w:hint="eastAsia"/>
          <w:color w:val="auto"/>
          <w:szCs w:val="21"/>
          <w:highlight w:val="none"/>
          <w:lang w:eastAsia="zh-CN"/>
        </w:rPr>
        <w:t>”</w:t>
      </w:r>
      <w:r>
        <w:rPr>
          <w:color w:val="auto"/>
          <w:szCs w:val="21"/>
          <w:highlight w:val="none"/>
        </w:rPr>
        <w:t>的，供应商必须在响应文件中提供所竞标产品有效期内的节能产品认证证书复印件（加盖供应商公章），</w:t>
      </w:r>
      <w:r>
        <w:rPr>
          <w:b/>
          <w:bCs/>
          <w:color w:val="auto"/>
          <w:szCs w:val="21"/>
          <w:highlight w:val="none"/>
        </w:rPr>
        <w:t>否则响应文件按无效处理</w:t>
      </w:r>
      <w:r>
        <w:rPr>
          <w:color w:val="auto"/>
          <w:szCs w:val="21"/>
          <w:highlight w:val="none"/>
        </w:rPr>
        <w:t>。如本项目包含的配套货物属于品目清单内非标注</w:t>
      </w:r>
      <w:r>
        <w:rPr>
          <w:rFonts w:hint="eastAsia"/>
          <w:color w:val="auto"/>
          <w:szCs w:val="21"/>
          <w:highlight w:val="none"/>
          <w:lang w:eastAsia="zh-CN"/>
        </w:rPr>
        <w:t>“</w:t>
      </w:r>
      <w:r>
        <w:rPr>
          <w:color w:val="auto"/>
          <w:szCs w:val="21"/>
          <w:highlight w:val="none"/>
        </w:rPr>
        <w:t>★</w:t>
      </w:r>
      <w:r>
        <w:rPr>
          <w:rFonts w:hint="eastAsia"/>
          <w:color w:val="auto"/>
          <w:szCs w:val="21"/>
          <w:highlight w:val="none"/>
          <w:lang w:eastAsia="zh-CN"/>
        </w:rPr>
        <w:t>”</w:t>
      </w:r>
      <w:r>
        <w:rPr>
          <w:color w:val="auto"/>
          <w:szCs w:val="21"/>
          <w:highlight w:val="none"/>
        </w:rPr>
        <w:t>的产品时，应优先采购，具体详见</w:t>
      </w:r>
      <w:r>
        <w:rPr>
          <w:rFonts w:hint="eastAsia"/>
          <w:color w:val="auto"/>
          <w:szCs w:val="21"/>
          <w:highlight w:val="none"/>
          <w:lang w:eastAsia="zh-CN"/>
        </w:rPr>
        <w:t>“</w:t>
      </w:r>
      <w:r>
        <w:rPr>
          <w:color w:val="auto"/>
          <w:szCs w:val="21"/>
          <w:highlight w:val="none"/>
        </w:rPr>
        <w:t xml:space="preserve">第四章 </w:t>
      </w:r>
      <w:r>
        <w:rPr>
          <w:rStyle w:val="35"/>
          <w:color w:val="auto"/>
          <w:highlight w:val="none"/>
          <w:u w:val="none"/>
        </w:rPr>
        <w:t>评审程序、评审方法和评审标准</w:t>
      </w:r>
      <w:r>
        <w:rPr>
          <w:rFonts w:hint="eastAsia"/>
          <w:color w:val="auto"/>
          <w:szCs w:val="21"/>
          <w:highlight w:val="none"/>
          <w:lang w:eastAsia="zh-CN"/>
        </w:rPr>
        <w:t>”</w:t>
      </w:r>
      <w:r>
        <w:rPr>
          <w:color w:val="auto"/>
          <w:szCs w:val="21"/>
          <w:highlight w:val="none"/>
        </w:rPr>
        <w:t>。</w:t>
      </w:r>
    </w:p>
    <w:p w14:paraId="54A6B335">
      <w:pPr>
        <w:spacing w:line="420" w:lineRule="exact"/>
        <w:ind w:firstLine="413" w:firstLineChars="196"/>
        <w:rPr>
          <w:b/>
          <w:bCs/>
          <w:color w:val="auto"/>
          <w:szCs w:val="21"/>
          <w:highlight w:val="none"/>
        </w:rPr>
      </w:pPr>
      <w:r>
        <w:rPr>
          <w:b/>
          <w:bCs/>
          <w:color w:val="auto"/>
          <w:szCs w:val="21"/>
          <w:highlight w:val="none"/>
        </w:rPr>
        <w:t>2.</w:t>
      </w:r>
      <w:r>
        <w:rPr>
          <w:rFonts w:hint="eastAsia"/>
          <w:b/>
          <w:bCs/>
          <w:color w:val="auto"/>
          <w:szCs w:val="21"/>
          <w:highlight w:val="none"/>
          <w:lang w:eastAsia="zh-CN"/>
        </w:rPr>
        <w:t>“</w:t>
      </w:r>
      <w:r>
        <w:rPr>
          <w:b/>
          <w:bCs/>
          <w:color w:val="auto"/>
          <w:szCs w:val="21"/>
          <w:highlight w:val="none"/>
        </w:rPr>
        <w:t>实质性要求</w:t>
      </w:r>
      <w:r>
        <w:rPr>
          <w:rFonts w:hint="eastAsia"/>
          <w:b/>
          <w:bCs/>
          <w:color w:val="auto"/>
          <w:szCs w:val="21"/>
          <w:highlight w:val="none"/>
          <w:lang w:eastAsia="zh-CN"/>
        </w:rPr>
        <w:t>”</w:t>
      </w:r>
      <w:r>
        <w:rPr>
          <w:b/>
          <w:bCs/>
          <w:color w:val="auto"/>
          <w:szCs w:val="21"/>
          <w:highlight w:val="none"/>
        </w:rPr>
        <w:t>是指磋商文件中已经指明不满足则响应文件按无效响应处理的条款，或者不能负偏离的条款，或者采购需求中带</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的条款。</w:t>
      </w:r>
    </w:p>
    <w:p w14:paraId="731D0143">
      <w:pPr>
        <w:pStyle w:val="11"/>
        <w:spacing w:line="420" w:lineRule="exact"/>
        <w:ind w:firstLine="420" w:firstLineChars="200"/>
        <w:rPr>
          <w:color w:val="auto"/>
          <w:highlight w:val="none"/>
        </w:rPr>
      </w:pPr>
      <w:r>
        <w:rPr>
          <w:color w:val="auto"/>
          <w:szCs w:val="21"/>
          <w:highlight w:val="none"/>
        </w:rPr>
        <w:t xml:space="preserve">3. </w:t>
      </w:r>
      <w:r>
        <w:rPr>
          <w:color w:val="auto"/>
          <w:highlight w:val="none"/>
        </w:rPr>
        <w:t>如</w:t>
      </w:r>
      <w:r>
        <w:rPr>
          <w:color w:val="auto"/>
          <w:highlight w:val="none"/>
          <w:lang w:eastAsia="zh-CN"/>
        </w:rPr>
        <w:t>竞</w:t>
      </w:r>
      <w:r>
        <w:rPr>
          <w:color w:val="auto"/>
          <w:highlight w:val="none"/>
        </w:rPr>
        <w:t>标产品存在侵犯他人的知识产权或者专利成果行为的，应承担相应法律责任。</w:t>
      </w:r>
    </w:p>
    <w:p w14:paraId="4631C69C">
      <w:pPr>
        <w:tabs>
          <w:tab w:val="left" w:pos="180"/>
          <w:tab w:val="left" w:pos="1620"/>
        </w:tabs>
        <w:spacing w:line="420" w:lineRule="exact"/>
        <w:ind w:firstLine="420" w:firstLineChars="200"/>
        <w:rPr>
          <w:i/>
          <w:iCs/>
          <w:color w:val="auto"/>
          <w:highlight w:val="none"/>
          <w:u w:val="single"/>
        </w:rPr>
      </w:pPr>
      <w:r>
        <w:rPr>
          <w:color w:val="auto"/>
          <w:highlight w:val="none"/>
        </w:rPr>
        <w:t>4.采购内容所属行业：</w:t>
      </w:r>
      <w:r>
        <w:rPr>
          <w:color w:val="auto"/>
          <w:highlight w:val="none"/>
          <w:u w:val="single"/>
        </w:rPr>
        <w:t xml:space="preserve">  </w:t>
      </w:r>
      <w:r>
        <w:rPr>
          <w:rFonts w:hint="eastAsia"/>
          <w:color w:val="auto"/>
          <w:highlight w:val="none"/>
          <w:u w:val="single"/>
        </w:rPr>
        <w:t xml:space="preserve">建筑业 </w:t>
      </w:r>
    </w:p>
    <w:p w14:paraId="70CE0ECF">
      <w:pPr>
        <w:pStyle w:val="7"/>
        <w:rPr>
          <w:rFonts w:hint="eastAsia"/>
          <w:color w:val="auto"/>
          <w:highlight w:val="none"/>
        </w:rPr>
      </w:pPr>
    </w:p>
    <w:tbl>
      <w:tblPr>
        <w:tblStyle w:val="2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1105"/>
        <w:gridCol w:w="6339"/>
        <w:gridCol w:w="967"/>
      </w:tblGrid>
      <w:tr w14:paraId="416F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noWrap w:val="0"/>
            <w:vAlign w:val="center"/>
          </w:tcPr>
          <w:p w14:paraId="57D0F35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需求一览表</w:t>
            </w:r>
          </w:p>
        </w:tc>
        <w:tc>
          <w:tcPr>
            <w:tcW w:w="596" w:type="dxa"/>
            <w:tcBorders>
              <w:top w:val="single" w:color="auto" w:sz="4" w:space="0"/>
            </w:tcBorders>
            <w:noWrap w:val="0"/>
            <w:vAlign w:val="center"/>
          </w:tcPr>
          <w:p w14:paraId="7D4DE979">
            <w:pPr>
              <w:spacing w:line="320" w:lineRule="exact"/>
              <w:jc w:val="center"/>
              <w:rPr>
                <w:color w:val="auto"/>
                <w:szCs w:val="21"/>
                <w:highlight w:val="none"/>
              </w:rPr>
            </w:pPr>
            <w:r>
              <w:rPr>
                <w:color w:val="auto"/>
                <w:szCs w:val="21"/>
                <w:highlight w:val="none"/>
              </w:rPr>
              <w:t>序号</w:t>
            </w:r>
          </w:p>
        </w:tc>
        <w:tc>
          <w:tcPr>
            <w:tcW w:w="675" w:type="dxa"/>
            <w:tcBorders>
              <w:top w:val="single" w:color="auto" w:sz="4" w:space="0"/>
            </w:tcBorders>
            <w:noWrap w:val="0"/>
            <w:vAlign w:val="center"/>
          </w:tcPr>
          <w:p w14:paraId="6D54F9B9">
            <w:pPr>
              <w:spacing w:line="320" w:lineRule="exact"/>
              <w:jc w:val="center"/>
              <w:rPr>
                <w:color w:val="auto"/>
                <w:szCs w:val="21"/>
                <w:highlight w:val="none"/>
              </w:rPr>
            </w:pPr>
            <w:r>
              <w:rPr>
                <w:color w:val="auto"/>
                <w:szCs w:val="21"/>
                <w:highlight w:val="none"/>
              </w:rPr>
              <w:t>标的的名称</w:t>
            </w:r>
          </w:p>
        </w:tc>
        <w:tc>
          <w:tcPr>
            <w:tcW w:w="1105" w:type="dxa"/>
            <w:tcBorders>
              <w:top w:val="single" w:color="auto" w:sz="4" w:space="0"/>
            </w:tcBorders>
            <w:noWrap w:val="0"/>
            <w:vAlign w:val="center"/>
          </w:tcPr>
          <w:p w14:paraId="37DC21FA">
            <w:pPr>
              <w:spacing w:line="320" w:lineRule="exact"/>
              <w:jc w:val="center"/>
              <w:rPr>
                <w:color w:val="auto"/>
                <w:szCs w:val="21"/>
                <w:highlight w:val="none"/>
              </w:rPr>
            </w:pPr>
            <w:r>
              <w:rPr>
                <w:color w:val="auto"/>
                <w:szCs w:val="21"/>
                <w:highlight w:val="none"/>
              </w:rPr>
              <w:t>数量及</w:t>
            </w:r>
          </w:p>
          <w:p w14:paraId="00CCB2AC">
            <w:pPr>
              <w:spacing w:line="320" w:lineRule="exact"/>
              <w:jc w:val="center"/>
              <w:rPr>
                <w:color w:val="auto"/>
                <w:szCs w:val="21"/>
                <w:highlight w:val="none"/>
              </w:rPr>
            </w:pPr>
            <w:r>
              <w:rPr>
                <w:color w:val="auto"/>
                <w:szCs w:val="21"/>
                <w:highlight w:val="none"/>
              </w:rPr>
              <w:t>单位</w:t>
            </w:r>
          </w:p>
          <w:p w14:paraId="4A86FE71">
            <w:pPr>
              <w:spacing w:line="320" w:lineRule="exact"/>
              <w:jc w:val="center"/>
              <w:rPr>
                <w:color w:val="auto"/>
                <w:szCs w:val="21"/>
                <w:highlight w:val="none"/>
              </w:rPr>
            </w:pPr>
          </w:p>
        </w:tc>
        <w:tc>
          <w:tcPr>
            <w:tcW w:w="6339" w:type="dxa"/>
            <w:tcBorders>
              <w:top w:val="single" w:color="auto" w:sz="4" w:space="0"/>
            </w:tcBorders>
            <w:noWrap w:val="0"/>
            <w:vAlign w:val="center"/>
          </w:tcPr>
          <w:p w14:paraId="1FD8A2DE">
            <w:pPr>
              <w:spacing w:line="320" w:lineRule="exact"/>
              <w:jc w:val="center"/>
              <w:rPr>
                <w:rFonts w:hint="eastAsia"/>
                <w:color w:val="auto"/>
                <w:szCs w:val="21"/>
                <w:highlight w:val="none"/>
              </w:rPr>
            </w:pPr>
            <w:r>
              <w:rPr>
                <w:rFonts w:hint="eastAsia"/>
                <w:color w:val="auto"/>
                <w:szCs w:val="21"/>
                <w:highlight w:val="none"/>
              </w:rPr>
              <w:t>技术要求</w:t>
            </w:r>
            <w:bookmarkStart w:id="310" w:name="_GoBack"/>
            <w:bookmarkEnd w:id="310"/>
          </w:p>
          <w:p w14:paraId="5B672FFF">
            <w:pPr>
              <w:spacing w:line="320" w:lineRule="exact"/>
              <w:jc w:val="center"/>
              <w:rPr>
                <w:color w:val="auto"/>
                <w:szCs w:val="21"/>
                <w:highlight w:val="none"/>
              </w:rPr>
            </w:pPr>
          </w:p>
          <w:p w14:paraId="7BC09F03">
            <w:pPr>
              <w:spacing w:line="320" w:lineRule="exact"/>
              <w:jc w:val="center"/>
              <w:rPr>
                <w:color w:val="auto"/>
                <w:szCs w:val="21"/>
                <w:highlight w:val="none"/>
              </w:rPr>
            </w:pPr>
          </w:p>
        </w:tc>
        <w:tc>
          <w:tcPr>
            <w:tcW w:w="967" w:type="dxa"/>
            <w:tcBorders>
              <w:top w:val="single" w:color="auto" w:sz="4" w:space="0"/>
            </w:tcBorders>
            <w:noWrap w:val="0"/>
            <w:vAlign w:val="center"/>
          </w:tcPr>
          <w:p w14:paraId="7819DC17">
            <w:pPr>
              <w:spacing w:line="320" w:lineRule="exact"/>
              <w:jc w:val="center"/>
              <w:rPr>
                <w:color w:val="auto"/>
                <w:szCs w:val="21"/>
                <w:highlight w:val="none"/>
              </w:rPr>
            </w:pPr>
            <w:r>
              <w:rPr>
                <w:color w:val="auto"/>
                <w:szCs w:val="21"/>
                <w:highlight w:val="none"/>
              </w:rPr>
              <w:t>中小企业划分标准所属行业名称（行业名称及划分见本章附件</w:t>
            </w:r>
            <w:r>
              <w:rPr>
                <w:rFonts w:hint="eastAsia"/>
                <w:color w:val="auto"/>
                <w:szCs w:val="21"/>
                <w:highlight w:val="none"/>
                <w:lang w:val="en-US" w:eastAsia="zh-CN"/>
              </w:rPr>
              <w:t>1</w:t>
            </w:r>
            <w:r>
              <w:rPr>
                <w:color w:val="auto"/>
                <w:szCs w:val="21"/>
                <w:highlight w:val="none"/>
              </w:rPr>
              <w:t>）</w:t>
            </w:r>
          </w:p>
        </w:tc>
      </w:tr>
      <w:tr w14:paraId="550A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3" w:type="dxa"/>
            <w:vMerge w:val="continue"/>
            <w:noWrap w:val="0"/>
            <w:vAlign w:val="center"/>
          </w:tcPr>
          <w:p w14:paraId="3AEB4BE5">
            <w:pPr>
              <w:spacing w:line="320" w:lineRule="exact"/>
              <w:jc w:val="center"/>
              <w:rPr>
                <w:rFonts w:hint="eastAsia" w:ascii="宋体" w:hAnsi="宋体" w:cs="宋体"/>
                <w:color w:val="auto"/>
                <w:szCs w:val="21"/>
                <w:highlight w:val="none"/>
              </w:rPr>
            </w:pPr>
          </w:p>
        </w:tc>
        <w:tc>
          <w:tcPr>
            <w:tcW w:w="596" w:type="dxa"/>
            <w:noWrap w:val="0"/>
            <w:vAlign w:val="center"/>
          </w:tcPr>
          <w:p w14:paraId="640A6990">
            <w:pPr>
              <w:spacing w:line="240" w:lineRule="exact"/>
              <w:jc w:val="center"/>
              <w:rPr>
                <w:color w:val="auto"/>
                <w:szCs w:val="21"/>
                <w:highlight w:val="none"/>
              </w:rPr>
            </w:pPr>
            <w:r>
              <w:rPr>
                <w:color w:val="auto"/>
                <w:szCs w:val="21"/>
                <w:highlight w:val="none"/>
              </w:rPr>
              <w:t>1</w:t>
            </w:r>
          </w:p>
        </w:tc>
        <w:tc>
          <w:tcPr>
            <w:tcW w:w="675" w:type="dxa"/>
            <w:noWrap w:val="0"/>
            <w:vAlign w:val="center"/>
          </w:tcPr>
          <w:p w14:paraId="182D67AB">
            <w:pPr>
              <w:spacing w:line="320" w:lineRule="exact"/>
              <w:jc w:val="left"/>
              <w:rPr>
                <w:color w:val="auto"/>
                <w:szCs w:val="21"/>
                <w:highlight w:val="none"/>
              </w:rPr>
            </w:pPr>
            <w:bookmarkStart w:id="48" w:name="OLE_LINK2"/>
            <w:r>
              <w:rPr>
                <w:rFonts w:hint="eastAsia"/>
                <w:color w:val="auto"/>
                <w:szCs w:val="21"/>
                <w:highlight w:val="none"/>
                <w:lang w:eastAsia="zh-CN"/>
              </w:rPr>
              <w:t>生活垃圾中转站建设项目</w:t>
            </w:r>
            <w:bookmarkEnd w:id="48"/>
          </w:p>
        </w:tc>
        <w:tc>
          <w:tcPr>
            <w:tcW w:w="1105" w:type="dxa"/>
            <w:noWrap w:val="0"/>
            <w:vAlign w:val="center"/>
          </w:tcPr>
          <w:p w14:paraId="391F4211">
            <w:pPr>
              <w:spacing w:line="320" w:lineRule="exact"/>
              <w:jc w:val="center"/>
              <w:rPr>
                <w:color w:val="auto"/>
                <w:szCs w:val="21"/>
                <w:highlight w:val="none"/>
              </w:rPr>
            </w:pPr>
            <w:r>
              <w:rPr>
                <w:rFonts w:hint="eastAsia"/>
                <w:color w:val="auto"/>
                <w:szCs w:val="21"/>
                <w:highlight w:val="none"/>
              </w:rPr>
              <w:t>1项</w:t>
            </w:r>
          </w:p>
        </w:tc>
        <w:tc>
          <w:tcPr>
            <w:tcW w:w="6339" w:type="dxa"/>
            <w:noWrap w:val="0"/>
            <w:vAlign w:val="center"/>
          </w:tcPr>
          <w:p w14:paraId="754550A7">
            <w:pPr>
              <w:numPr>
                <w:ilvl w:val="0"/>
                <w:numId w:val="0"/>
              </w:numPr>
              <w:spacing w:line="400" w:lineRule="exact"/>
              <w:rPr>
                <w:rFonts w:hint="eastAsia"/>
                <w:color w:val="auto"/>
                <w:highlight w:val="none"/>
                <w:lang w:val="en-US" w:eastAsia="zh-CN"/>
              </w:rPr>
            </w:pPr>
            <w:r>
              <w:rPr>
                <w:rFonts w:hint="eastAsia"/>
                <w:color w:val="auto"/>
                <w:highlight w:val="none"/>
                <w:lang w:val="en-US" w:eastAsia="zh-CN"/>
              </w:rPr>
              <w:t>1、建设</w:t>
            </w:r>
            <w:r>
              <w:rPr>
                <w:rFonts w:hint="eastAsia"/>
                <w:color w:val="auto"/>
                <w:highlight w:val="none"/>
              </w:rPr>
              <w:t>内容：</w:t>
            </w:r>
            <w:r>
              <w:rPr>
                <w:rFonts w:hint="eastAsia"/>
                <w:color w:val="auto"/>
                <w:highlight w:val="none"/>
                <w:lang w:val="en-US" w:eastAsia="zh-CN"/>
              </w:rPr>
              <w:t xml:space="preserve"> 本工程为灵川县海洋乡生活垃圾中转站建设项目，位于广西桂林市灵川县海洋乡，工程包含建筑、安装等工程（具体以施工图纸和工程量清单内容为准）。</w:t>
            </w:r>
          </w:p>
          <w:p w14:paraId="30B203BC">
            <w:pPr>
              <w:numPr>
                <w:ilvl w:val="0"/>
                <w:numId w:val="0"/>
              </w:num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2、建设地点：广西桂林市</w:t>
            </w:r>
            <w:r>
              <w:rPr>
                <w:rFonts w:hint="eastAsia"/>
                <w:color w:val="auto"/>
                <w:highlight w:val="none"/>
                <w:lang w:val="en-US" w:eastAsia="zh-CN"/>
              </w:rPr>
              <w:t>灵川县海洋乡</w:t>
            </w:r>
          </w:p>
          <w:p w14:paraId="20C1206D">
            <w:pPr>
              <w:spacing w:line="400" w:lineRule="exact"/>
              <w:rPr>
                <w:rFonts w:hint="eastAsia"/>
                <w:color w:val="auto"/>
                <w:highlight w:val="none"/>
              </w:rPr>
            </w:pPr>
            <w:r>
              <w:rPr>
                <w:color w:val="auto"/>
                <w:highlight w:val="none"/>
              </w:rPr>
              <w:t>▲</w:t>
            </w:r>
            <w:r>
              <w:rPr>
                <w:rFonts w:hint="eastAsia"/>
                <w:color w:val="auto"/>
                <w:highlight w:val="none"/>
                <w:lang w:val="en-US" w:eastAsia="zh-CN"/>
              </w:rPr>
              <w:t>3</w:t>
            </w:r>
            <w:r>
              <w:rPr>
                <w:rFonts w:hint="eastAsia"/>
                <w:color w:val="auto"/>
                <w:highlight w:val="none"/>
              </w:rPr>
              <w:t>、要求工期：</w:t>
            </w:r>
            <w:r>
              <w:rPr>
                <w:rFonts w:hint="eastAsia"/>
                <w:color w:val="auto"/>
                <w:highlight w:val="none"/>
                <w:lang w:val="en-US" w:eastAsia="zh-CN"/>
              </w:rPr>
              <w:t>60个日历天</w:t>
            </w:r>
            <w:r>
              <w:rPr>
                <w:rFonts w:hint="eastAsia"/>
                <w:color w:val="auto"/>
                <w:highlight w:val="none"/>
              </w:rPr>
              <w:t>。</w:t>
            </w:r>
          </w:p>
          <w:p w14:paraId="5C3EDF57">
            <w:pPr>
              <w:spacing w:line="400" w:lineRule="exact"/>
              <w:rPr>
                <w:color w:val="auto"/>
                <w:highlight w:val="none"/>
              </w:rPr>
            </w:pPr>
            <w:r>
              <w:rPr>
                <w:color w:val="auto"/>
                <w:highlight w:val="none"/>
              </w:rPr>
              <w:t>▲</w:t>
            </w:r>
            <w:r>
              <w:rPr>
                <w:rFonts w:hint="eastAsia"/>
                <w:color w:val="auto"/>
                <w:highlight w:val="none"/>
                <w:lang w:val="en-US" w:eastAsia="zh-CN"/>
              </w:rPr>
              <w:t>4</w:t>
            </w:r>
            <w:r>
              <w:rPr>
                <w:rFonts w:hint="eastAsia"/>
                <w:color w:val="auto"/>
                <w:highlight w:val="none"/>
              </w:rPr>
              <w:t>、质量要求：</w:t>
            </w:r>
            <w:r>
              <w:rPr>
                <w:rFonts w:hint="eastAsia"/>
                <w:color w:val="auto"/>
                <w:highlight w:val="none"/>
                <w:lang w:eastAsia="zh-CN"/>
              </w:rPr>
              <w:t>达到国家现行验收规范合格标准</w:t>
            </w:r>
            <w:r>
              <w:rPr>
                <w:rFonts w:hint="eastAsia"/>
                <w:color w:val="auto"/>
                <w:highlight w:val="none"/>
              </w:rPr>
              <w:t>。</w:t>
            </w:r>
          </w:p>
          <w:p w14:paraId="0E1CA60B">
            <w:pPr>
              <w:spacing w:line="400" w:lineRule="exact"/>
              <w:rPr>
                <w:rFonts w:hint="eastAsia"/>
                <w:color w:val="auto"/>
                <w:highlight w:val="none"/>
              </w:rPr>
            </w:pPr>
            <w:r>
              <w:rPr>
                <w:rFonts w:hint="eastAsia"/>
                <w:color w:val="auto"/>
                <w:highlight w:val="none"/>
                <w:lang w:val="en-US" w:eastAsia="zh-CN"/>
              </w:rPr>
              <w:t>5</w:t>
            </w:r>
            <w:r>
              <w:rPr>
                <w:rFonts w:hint="eastAsia"/>
                <w:color w:val="auto"/>
                <w:highlight w:val="none"/>
              </w:rPr>
              <w:t>、施工组织设计：供应商应根据设计施工图纸、工程量清单进行施工组织设计，包含但不仅限于</w:t>
            </w:r>
            <w:r>
              <w:rPr>
                <w:rFonts w:hint="default" w:ascii="Times New Roman" w:hAnsi="Times New Roman" w:eastAsia="宋体" w:cs="Times New Roman"/>
                <w:b w:val="0"/>
                <w:bCs/>
                <w:color w:val="auto"/>
                <w:kern w:val="2"/>
                <w:sz w:val="21"/>
                <w:szCs w:val="21"/>
                <w:highlight w:val="none"/>
                <w:lang w:val="en-US" w:eastAsia="zh-CN" w:bidi="ar-SA"/>
              </w:rPr>
              <w:t>总体概述</w:t>
            </w:r>
            <w:r>
              <w:rPr>
                <w:rFonts w:hint="eastAsia"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2"/>
                <w:highlight w:val="none"/>
                <w:lang w:val="en-US" w:eastAsia="zh-CN" w:bidi="ar-SA"/>
              </w:rPr>
              <w:t>主要施工方法</w:t>
            </w:r>
            <w:r>
              <w:rPr>
                <w:rFonts w:hint="eastAsia" w:cs="Times New Roman"/>
                <w:b w:val="0"/>
                <w:bCs/>
                <w:color w:val="auto"/>
                <w:kern w:val="2"/>
                <w:sz w:val="21"/>
                <w:szCs w:val="22"/>
                <w:highlight w:val="none"/>
                <w:lang w:val="en-US" w:eastAsia="zh-CN" w:bidi="ar-SA"/>
              </w:rPr>
              <w:t>、</w:t>
            </w:r>
            <w:r>
              <w:rPr>
                <w:rFonts w:hint="default" w:ascii="Times New Roman" w:hAnsi="Times New Roman" w:eastAsia="宋体" w:cs="Times New Roman"/>
                <w:b w:val="0"/>
                <w:bCs/>
                <w:color w:val="auto"/>
                <w:kern w:val="2"/>
                <w:sz w:val="21"/>
                <w:szCs w:val="21"/>
                <w:highlight w:val="none"/>
                <w:lang w:val="en-US" w:eastAsia="zh-CN" w:bidi="ar-SA"/>
              </w:rPr>
              <w:t>施工进度计划和各阶段进度的保证措施</w:t>
            </w:r>
            <w:r>
              <w:rPr>
                <w:rFonts w:hint="eastAsia"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2"/>
                <w:highlight w:val="none"/>
                <w:lang w:val="en-US" w:eastAsia="zh-CN" w:bidi="ar-SA"/>
              </w:rPr>
              <w:t>劳动力</w:t>
            </w:r>
            <w:r>
              <w:rPr>
                <w:rFonts w:hint="default" w:ascii="Times New Roman" w:hAnsi="Times New Roman" w:eastAsia="宋体" w:cs="Times New Roman"/>
                <w:b w:val="0"/>
                <w:bCs/>
                <w:color w:val="auto"/>
                <w:kern w:val="2"/>
                <w:sz w:val="21"/>
                <w:szCs w:val="21"/>
                <w:highlight w:val="none"/>
                <w:lang w:val="en-US" w:eastAsia="zh-CN" w:bidi="ar-SA"/>
              </w:rPr>
              <w:t>和材料投入计划及其保证措施</w:t>
            </w:r>
            <w:r>
              <w:rPr>
                <w:rFonts w:hint="eastAsia"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2"/>
                <w:highlight w:val="none"/>
                <w:lang w:val="en-US" w:eastAsia="zh-CN" w:bidi="ar-SA"/>
              </w:rPr>
              <w:t>施工</w:t>
            </w:r>
            <w:r>
              <w:rPr>
                <w:rFonts w:hint="default" w:ascii="Times New Roman" w:hAnsi="Times New Roman" w:eastAsia="宋体" w:cs="Times New Roman"/>
                <w:b w:val="0"/>
                <w:bCs/>
                <w:color w:val="auto"/>
                <w:kern w:val="2"/>
                <w:sz w:val="21"/>
                <w:szCs w:val="21"/>
                <w:highlight w:val="none"/>
                <w:lang w:val="en-US" w:eastAsia="zh-CN" w:bidi="ar-SA"/>
              </w:rPr>
              <w:t>平面布置和临时设施布置</w:t>
            </w:r>
            <w:r>
              <w:rPr>
                <w:rFonts w:hint="eastAsia"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1"/>
                <w:highlight w:val="none"/>
                <w:lang w:val="en-US" w:eastAsia="zh-CN" w:bidi="ar-SA"/>
              </w:rPr>
              <w:t>关键</w:t>
            </w:r>
            <w:r>
              <w:rPr>
                <w:rFonts w:hint="default" w:ascii="Times New Roman" w:hAnsi="Times New Roman" w:eastAsia="宋体" w:cs="Times New Roman"/>
                <w:b w:val="0"/>
                <w:bCs/>
                <w:color w:val="auto"/>
                <w:kern w:val="2"/>
                <w:sz w:val="21"/>
                <w:szCs w:val="22"/>
                <w:highlight w:val="none"/>
                <w:lang w:val="en-US" w:eastAsia="zh-CN" w:bidi="ar-SA"/>
              </w:rPr>
              <w:t>施工</w:t>
            </w:r>
            <w:r>
              <w:rPr>
                <w:rFonts w:hint="default" w:ascii="Times New Roman" w:hAnsi="Times New Roman" w:eastAsia="宋体" w:cs="Times New Roman"/>
                <w:b w:val="0"/>
                <w:bCs/>
                <w:color w:val="auto"/>
                <w:kern w:val="2"/>
                <w:sz w:val="21"/>
                <w:szCs w:val="21"/>
                <w:highlight w:val="none"/>
                <w:lang w:val="en-US" w:eastAsia="zh-CN" w:bidi="ar-SA"/>
              </w:rPr>
              <w:t>技术、工艺及工程实施的重点、难点和解决方案</w:t>
            </w:r>
            <w:r>
              <w:rPr>
                <w:rFonts w:hint="eastAsia"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0"/>
                <w:sz w:val="21"/>
                <w:szCs w:val="21"/>
                <w:highlight w:val="none"/>
                <w:lang w:val="en-US" w:eastAsia="zh-CN" w:bidi="ar-SA"/>
              </w:rPr>
              <w:t>安全文明施工措施</w:t>
            </w:r>
            <w:r>
              <w:rPr>
                <w:rFonts w:hint="eastAsia" w:cs="Times New Roman"/>
                <w:b w:val="0"/>
                <w:bCs/>
                <w:color w:val="auto"/>
                <w:kern w:val="0"/>
                <w:sz w:val="21"/>
                <w:szCs w:val="21"/>
                <w:highlight w:val="none"/>
                <w:lang w:val="en-US" w:eastAsia="zh-CN" w:bidi="ar-SA"/>
              </w:rPr>
              <w:t>、</w:t>
            </w:r>
            <w:r>
              <w:rPr>
                <w:rFonts w:hint="default" w:ascii="Times New Roman" w:hAnsi="Times New Roman" w:eastAsia="宋体" w:cs="Times New Roman"/>
                <w:b w:val="0"/>
                <w:bCs/>
                <w:color w:val="auto"/>
                <w:kern w:val="2"/>
                <w:sz w:val="21"/>
                <w:szCs w:val="22"/>
                <w:highlight w:val="none"/>
                <w:lang w:val="en-US" w:eastAsia="zh-CN" w:bidi="ar-SA"/>
              </w:rPr>
              <w:t>质量</w:t>
            </w:r>
            <w:r>
              <w:rPr>
                <w:rFonts w:hint="default" w:ascii="Times New Roman" w:hAnsi="Times New Roman" w:eastAsia="宋体" w:cs="Times New Roman"/>
                <w:b w:val="0"/>
                <w:bCs/>
                <w:color w:val="auto"/>
                <w:kern w:val="2"/>
                <w:sz w:val="21"/>
                <w:szCs w:val="21"/>
                <w:highlight w:val="none"/>
                <w:lang w:val="en-US" w:eastAsia="zh-CN" w:bidi="ar-SA"/>
              </w:rPr>
              <w:t>保证与承诺</w:t>
            </w:r>
            <w:r>
              <w:rPr>
                <w:rFonts w:hint="eastAsia"/>
                <w:color w:val="auto"/>
                <w:highlight w:val="none"/>
              </w:rPr>
              <w:t>等内容。</w:t>
            </w:r>
          </w:p>
          <w:p w14:paraId="5ED346D2">
            <w:pPr>
              <w:spacing w:line="400" w:lineRule="exact"/>
              <w:rPr>
                <w:rFonts w:hint="eastAsia"/>
                <w:color w:val="auto"/>
                <w:highlight w:val="none"/>
              </w:rPr>
            </w:pPr>
            <w:r>
              <w:rPr>
                <w:color w:val="auto"/>
                <w:highlight w:val="none"/>
              </w:rPr>
              <w:t>▲</w:t>
            </w:r>
            <w:r>
              <w:rPr>
                <w:rFonts w:hint="eastAsia"/>
                <w:color w:val="auto"/>
                <w:highlight w:val="none"/>
                <w:lang w:val="en-US" w:eastAsia="zh-CN"/>
              </w:rPr>
              <w:t>6</w:t>
            </w:r>
            <w:r>
              <w:rPr>
                <w:rFonts w:hint="eastAsia"/>
                <w:color w:val="auto"/>
                <w:highlight w:val="none"/>
              </w:rPr>
              <w:t>、人员要求：</w:t>
            </w:r>
          </w:p>
          <w:p w14:paraId="3054595D">
            <w:pPr>
              <w:spacing w:line="400" w:lineRule="exact"/>
              <w:rPr>
                <w:rFonts w:hint="eastAsia"/>
                <w:color w:val="auto"/>
                <w:highlight w:val="none"/>
              </w:rPr>
            </w:pPr>
            <w:r>
              <w:rPr>
                <w:rFonts w:hint="eastAsia"/>
                <w:color w:val="auto"/>
                <w:highlight w:val="none"/>
              </w:rPr>
              <w:t>（1）</w:t>
            </w:r>
            <w:bookmarkStart w:id="49" w:name="OLE_LINK3"/>
            <w:r>
              <w:rPr>
                <w:rFonts w:hint="eastAsia"/>
                <w:color w:val="auto"/>
                <w:highlight w:val="none"/>
              </w:rPr>
              <w:t>项目经理</w:t>
            </w:r>
            <w:bookmarkEnd w:id="49"/>
            <w:r>
              <w:rPr>
                <w:rFonts w:hint="eastAsia"/>
                <w:color w:val="auto"/>
                <w:highlight w:val="none"/>
              </w:rPr>
              <w:t>：具备</w:t>
            </w:r>
            <w:r>
              <w:rPr>
                <w:rFonts w:hint="eastAsia"/>
                <w:color w:val="auto"/>
                <w:highlight w:val="none"/>
                <w:u w:val="single"/>
              </w:rPr>
              <w:t>建筑工程</w:t>
            </w:r>
            <w:r>
              <w:rPr>
                <w:rFonts w:hint="eastAsia"/>
                <w:color w:val="auto"/>
                <w:highlight w:val="none"/>
              </w:rPr>
              <w:t>专业二级（含）以上注册建造师执业资格，具备有效的安全生产考核合格证书（B类）。</w:t>
            </w:r>
          </w:p>
          <w:p w14:paraId="3CDD3D2F">
            <w:pPr>
              <w:spacing w:line="400" w:lineRule="exact"/>
              <w:rPr>
                <w:rFonts w:hint="eastAsia"/>
                <w:color w:val="auto"/>
                <w:highlight w:val="none"/>
              </w:rPr>
            </w:pPr>
            <w:r>
              <w:rPr>
                <w:rFonts w:hint="eastAsia"/>
                <w:color w:val="auto"/>
                <w:highlight w:val="none"/>
              </w:rPr>
              <w:t>（2）安全员：具备有效的安全生产考核合格证书（C类）。</w:t>
            </w:r>
          </w:p>
          <w:p w14:paraId="6E9B1B47">
            <w:pPr>
              <w:spacing w:line="400" w:lineRule="exact"/>
              <w:rPr>
                <w:rFonts w:hint="eastAsia"/>
                <w:color w:val="auto"/>
              </w:rPr>
            </w:pPr>
            <w:r>
              <w:rPr>
                <w:rFonts w:hint="eastAsia"/>
                <w:color w:val="auto"/>
                <w:highlight w:val="none"/>
              </w:rPr>
              <w:t>（3）施工员、质量员、材料员：</w:t>
            </w:r>
            <w:r>
              <w:rPr>
                <w:rFonts w:hint="eastAsia" w:cs="宋体"/>
                <w:color w:val="auto"/>
                <w:kern w:val="0"/>
                <w:highlight w:val="none"/>
              </w:rPr>
              <w:t>具有相应施工现场专业人</w:t>
            </w:r>
            <w:r>
              <w:rPr>
                <w:rFonts w:hint="eastAsia"/>
                <w:color w:val="auto"/>
                <w:highlight w:val="none"/>
              </w:rPr>
              <w:t>员职业培训合格证书并在有效期内。</w:t>
            </w:r>
          </w:p>
          <w:p w14:paraId="104D772E">
            <w:pPr>
              <w:spacing w:line="400" w:lineRule="exact"/>
              <w:rPr>
                <w:rFonts w:hint="default" w:eastAsia="宋体"/>
                <w:color w:val="auto"/>
                <w:szCs w:val="21"/>
                <w:highlight w:val="none"/>
                <w:lang w:val="en-US" w:eastAsia="zh-CN"/>
              </w:rPr>
            </w:pPr>
            <w:r>
              <w:rPr>
                <w:color w:val="auto"/>
                <w:highlight w:val="none"/>
              </w:rPr>
              <w:t>▲</w:t>
            </w:r>
            <w:r>
              <w:rPr>
                <w:rFonts w:hint="eastAsia"/>
                <w:b/>
                <w:bCs/>
                <w:color w:val="auto"/>
                <w:highlight w:val="none"/>
                <w:lang w:val="en-US" w:eastAsia="zh-CN"/>
              </w:rPr>
              <w:t>7</w:t>
            </w:r>
            <w:r>
              <w:rPr>
                <w:rFonts w:hint="eastAsia"/>
                <w:b/>
                <w:bCs/>
                <w:color w:val="auto"/>
                <w:highlight w:val="none"/>
              </w:rPr>
              <w:t>、</w:t>
            </w:r>
            <w:r>
              <w:rPr>
                <w:rFonts w:hint="eastAsia"/>
                <w:b/>
                <w:bCs/>
                <w:color w:val="auto"/>
                <w:highlight w:val="none"/>
                <w:lang w:eastAsia="zh-CN"/>
              </w:rPr>
              <w:t>项目各项技术</w:t>
            </w:r>
            <w:r>
              <w:rPr>
                <w:rFonts w:hint="eastAsia" w:ascii="宋体" w:hAnsi="宋体" w:eastAsia="宋体" w:cs="宋体"/>
                <w:b/>
                <w:bCs/>
                <w:color w:val="auto"/>
                <w:kern w:val="2"/>
                <w:sz w:val="21"/>
                <w:szCs w:val="24"/>
                <w:lang w:val="en-US" w:eastAsia="zh-CN" w:bidi="ar-SA"/>
              </w:rPr>
              <w:t>指标要求：附后，具体内容详见附件3</w:t>
            </w:r>
            <w:r>
              <w:rPr>
                <w:b/>
                <w:bCs/>
                <w:color w:val="auto"/>
                <w:highlight w:val="none"/>
              </w:rPr>
              <w:t>。</w:t>
            </w:r>
            <w:r>
              <w:rPr>
                <w:rFonts w:hint="eastAsia"/>
                <w:b/>
                <w:bCs/>
                <w:color w:val="auto"/>
                <w:highlight w:val="none"/>
                <w:lang w:eastAsia="zh-CN"/>
              </w:rPr>
              <w:t>（供应商响应文件中必须附上附件</w:t>
            </w:r>
            <w:r>
              <w:rPr>
                <w:rFonts w:hint="eastAsia"/>
                <w:b/>
                <w:bCs/>
                <w:color w:val="auto"/>
                <w:highlight w:val="none"/>
                <w:lang w:val="en-US" w:eastAsia="zh-CN"/>
              </w:rPr>
              <w:t>3，否则按无效响应处理）</w:t>
            </w:r>
          </w:p>
        </w:tc>
        <w:tc>
          <w:tcPr>
            <w:tcW w:w="967" w:type="dxa"/>
            <w:noWrap w:val="0"/>
            <w:vAlign w:val="center"/>
          </w:tcPr>
          <w:p w14:paraId="578B5D6D">
            <w:pPr>
              <w:spacing w:line="320" w:lineRule="exact"/>
              <w:jc w:val="left"/>
              <w:rPr>
                <w:color w:val="auto"/>
                <w:szCs w:val="21"/>
                <w:highlight w:val="none"/>
              </w:rPr>
            </w:pPr>
            <w:r>
              <w:rPr>
                <w:rFonts w:hint="eastAsia"/>
                <w:color w:val="auto"/>
                <w:highlight w:val="none"/>
                <w:u w:val="single"/>
              </w:rPr>
              <w:t>建筑业</w:t>
            </w:r>
          </w:p>
        </w:tc>
      </w:tr>
      <w:tr w14:paraId="291E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7" w:hRule="atLeast"/>
          <w:jc w:val="center"/>
        </w:trPr>
        <w:tc>
          <w:tcPr>
            <w:tcW w:w="423" w:type="dxa"/>
            <w:noWrap w:val="0"/>
            <w:vAlign w:val="center"/>
          </w:tcPr>
          <w:p w14:paraId="51ADF929">
            <w:pPr>
              <w:spacing w:line="400" w:lineRule="exact"/>
              <w:rPr>
                <w:rFonts w:hint="eastAsia"/>
                <w:color w:val="auto"/>
                <w:highlight w:val="none"/>
              </w:rPr>
            </w:pPr>
            <w:r>
              <w:rPr>
                <w:rFonts w:hint="eastAsia"/>
                <w:color w:val="auto"/>
                <w:highlight w:val="none"/>
              </w:rPr>
              <w:t>商务条款</w:t>
            </w:r>
          </w:p>
        </w:tc>
        <w:tc>
          <w:tcPr>
            <w:tcW w:w="9682" w:type="dxa"/>
            <w:gridSpan w:val="5"/>
            <w:noWrap w:val="0"/>
            <w:vAlign w:val="top"/>
          </w:tcPr>
          <w:p w14:paraId="70A86448">
            <w:pPr>
              <w:spacing w:line="400" w:lineRule="exact"/>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w:t>
            </w:r>
            <w:bookmarkStart w:id="50" w:name="OLE_LINK6"/>
            <w:r>
              <w:rPr>
                <w:color w:val="auto"/>
                <w:highlight w:val="none"/>
              </w:rPr>
              <w:t>竞标有效期</w:t>
            </w:r>
            <w:bookmarkEnd w:id="50"/>
            <w:r>
              <w:rPr>
                <w:rFonts w:hint="eastAsia"/>
                <w:color w:val="auto"/>
                <w:highlight w:val="none"/>
              </w:rPr>
              <w:t>：</w:t>
            </w:r>
            <w:bookmarkStart w:id="51" w:name="OLE_LINK5"/>
            <w:r>
              <w:rPr>
                <w:rFonts w:hint="eastAsia"/>
                <w:color w:val="auto"/>
                <w:highlight w:val="none"/>
              </w:rPr>
              <w:t>自</w:t>
            </w:r>
            <w:r>
              <w:rPr>
                <w:color w:val="auto"/>
                <w:highlight w:val="none"/>
              </w:rPr>
              <w:t>首次响应文件提交截止</w:t>
            </w:r>
            <w:r>
              <w:rPr>
                <w:rFonts w:hint="eastAsia"/>
                <w:color w:val="auto"/>
                <w:lang w:eastAsia="zh-CN"/>
              </w:rPr>
              <w:t>之</w:t>
            </w:r>
            <w:r>
              <w:rPr>
                <w:rFonts w:hint="eastAsia"/>
                <w:color w:val="auto"/>
                <w:highlight w:val="none"/>
              </w:rPr>
              <w:t>日</w:t>
            </w:r>
            <w:r>
              <w:rPr>
                <w:color w:val="auto"/>
                <w:highlight w:val="none"/>
              </w:rPr>
              <w:t>起</w:t>
            </w:r>
            <w:r>
              <w:rPr>
                <w:rFonts w:hint="eastAsia"/>
                <w:color w:val="auto"/>
                <w:highlight w:val="none"/>
              </w:rPr>
              <w:t>6</w:t>
            </w:r>
            <w:r>
              <w:rPr>
                <w:color w:val="auto"/>
                <w:highlight w:val="none"/>
              </w:rPr>
              <w:t>0日</w:t>
            </w:r>
            <w:bookmarkEnd w:id="51"/>
          </w:p>
          <w:p w14:paraId="3229A0B3">
            <w:pPr>
              <w:spacing w:line="400" w:lineRule="exact"/>
              <w:rPr>
                <w:color w:val="auto"/>
                <w:highlight w:val="none"/>
              </w:rPr>
            </w:pPr>
            <w:r>
              <w:rPr>
                <w:color w:val="auto"/>
                <w:highlight w:val="none"/>
              </w:rPr>
              <w:t>▲</w:t>
            </w:r>
            <w:r>
              <w:rPr>
                <w:rFonts w:hint="eastAsia"/>
                <w:color w:val="auto"/>
                <w:highlight w:val="none"/>
                <w:lang w:val="en-US" w:eastAsia="zh-CN"/>
              </w:rPr>
              <w:t>2</w:t>
            </w:r>
            <w:r>
              <w:rPr>
                <w:rFonts w:hint="eastAsia"/>
                <w:color w:val="auto"/>
                <w:highlight w:val="none"/>
              </w:rPr>
              <w:t>、质量保修期</w:t>
            </w:r>
            <w:r>
              <w:rPr>
                <w:color w:val="auto"/>
                <w:highlight w:val="none"/>
              </w:rPr>
              <w:t>：</w:t>
            </w:r>
            <w:r>
              <w:rPr>
                <w:rFonts w:hint="eastAsia"/>
                <w:color w:val="auto"/>
                <w:highlight w:val="none"/>
                <w:lang w:val="en-US" w:eastAsia="zh-CN"/>
              </w:rPr>
              <w:t>24</w:t>
            </w:r>
            <w:r>
              <w:rPr>
                <w:rFonts w:hint="eastAsia"/>
                <w:color w:val="auto"/>
                <w:highlight w:val="none"/>
              </w:rPr>
              <w:t>个月</w:t>
            </w:r>
          </w:p>
          <w:p w14:paraId="4E61075C">
            <w:pPr>
              <w:spacing w:line="400" w:lineRule="exact"/>
              <w:rPr>
                <w:rFonts w:hint="eastAsia"/>
                <w:color w:val="auto"/>
                <w:highlight w:val="none"/>
              </w:rPr>
            </w:pPr>
            <w:r>
              <w:rPr>
                <w:rFonts w:hint="eastAsia"/>
                <w:color w:val="auto"/>
                <w:highlight w:val="none"/>
                <w:lang w:val="en-US" w:eastAsia="zh-CN"/>
              </w:rPr>
              <w:t>4</w:t>
            </w:r>
            <w:r>
              <w:rPr>
                <w:rFonts w:hint="eastAsia"/>
                <w:color w:val="auto"/>
                <w:highlight w:val="none"/>
              </w:rPr>
              <w:t>、计价依据：详见</w:t>
            </w:r>
            <w:bookmarkStart w:id="52" w:name="OLE_LINK7"/>
            <w:r>
              <w:rPr>
                <w:rFonts w:hint="eastAsia"/>
                <w:color w:val="auto"/>
                <w:highlight w:val="none"/>
              </w:rPr>
              <w:t>第七章</w:t>
            </w:r>
            <w:bookmarkEnd w:id="52"/>
            <w:r>
              <w:rPr>
                <w:rFonts w:hint="eastAsia"/>
                <w:color w:val="auto"/>
                <w:highlight w:val="none"/>
              </w:rPr>
              <w:t>工程量清单</w:t>
            </w:r>
          </w:p>
          <w:p w14:paraId="4803BEF6">
            <w:pPr>
              <w:spacing w:line="400" w:lineRule="exact"/>
              <w:rPr>
                <w:color w:val="auto"/>
                <w:highlight w:val="none"/>
              </w:rPr>
            </w:pPr>
            <w:r>
              <w:rPr>
                <w:rFonts w:hint="eastAsia"/>
                <w:color w:val="auto"/>
                <w:highlight w:val="none"/>
                <w:lang w:val="en-US" w:eastAsia="zh-CN"/>
              </w:rPr>
              <w:t>5</w:t>
            </w:r>
            <w:r>
              <w:rPr>
                <w:rFonts w:hint="eastAsia"/>
                <w:color w:val="auto"/>
                <w:highlight w:val="none"/>
              </w:rPr>
              <w:t>、</w:t>
            </w:r>
            <w:r>
              <w:rPr>
                <w:color w:val="auto"/>
                <w:highlight w:val="none"/>
              </w:rPr>
              <w:t>合同签订时间</w:t>
            </w:r>
            <w:r>
              <w:rPr>
                <w:rFonts w:hint="eastAsia"/>
                <w:color w:val="auto"/>
                <w:highlight w:val="none"/>
              </w:rPr>
              <w:t>：</w:t>
            </w:r>
            <w:r>
              <w:rPr>
                <w:rFonts w:hint="eastAsia"/>
                <w:color w:val="auto"/>
                <w:lang w:eastAsia="zh-CN"/>
              </w:rPr>
              <w:t>自</w:t>
            </w: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成交供应商应按规定与采购人签订合同。</w:t>
            </w:r>
          </w:p>
          <w:p w14:paraId="59051EBD">
            <w:pPr>
              <w:spacing w:line="400" w:lineRule="exact"/>
              <w:rPr>
                <w:color w:val="auto"/>
                <w:highlight w:val="none"/>
              </w:rPr>
            </w:pPr>
            <w:r>
              <w:rPr>
                <w:rFonts w:hint="eastAsia"/>
                <w:color w:val="auto"/>
                <w:highlight w:val="none"/>
                <w:lang w:val="en-US" w:eastAsia="zh-CN"/>
              </w:rPr>
              <w:t>6</w:t>
            </w:r>
            <w:r>
              <w:rPr>
                <w:rFonts w:hint="eastAsia"/>
                <w:color w:val="auto"/>
                <w:highlight w:val="none"/>
              </w:rPr>
              <w:t>、</w:t>
            </w:r>
            <w:r>
              <w:rPr>
                <w:color w:val="auto"/>
                <w:highlight w:val="none"/>
              </w:rPr>
              <w:t>验收标准：符合国家现行相关标准、行业标准、地方标准或者其他标准、规范。</w:t>
            </w:r>
          </w:p>
          <w:p w14:paraId="44E3A407">
            <w:pPr>
              <w:spacing w:line="400" w:lineRule="exact"/>
              <w:rPr>
                <w:rFonts w:hint="eastAsia" w:ascii="宋体" w:hAnsi="宋体" w:eastAsia="宋体" w:cs="宋体"/>
                <w:color w:val="auto"/>
                <w:spacing w:val="6"/>
                <w:kern w:val="48"/>
                <w:sz w:val="21"/>
                <w:szCs w:val="21"/>
                <w:highlight w:val="none"/>
              </w:rPr>
            </w:pPr>
            <w:r>
              <w:rPr>
                <w:rFonts w:hint="eastAsia"/>
                <w:color w:val="auto"/>
                <w:highlight w:val="none"/>
                <w:lang w:val="en-US" w:eastAsia="zh-CN"/>
              </w:rPr>
              <w:t>7、</w:t>
            </w:r>
            <w:r>
              <w:rPr>
                <w:rFonts w:hint="eastAsia" w:ascii="宋体" w:hAnsi="宋体" w:eastAsia="宋体" w:cs="宋体"/>
                <w:color w:val="auto"/>
                <w:spacing w:val="6"/>
                <w:kern w:val="48"/>
                <w:sz w:val="21"/>
                <w:szCs w:val="21"/>
                <w:highlight w:val="none"/>
              </w:rPr>
              <w:t>施工材料要求</w:t>
            </w:r>
            <w:r>
              <w:rPr>
                <w:rFonts w:hint="eastAsia" w:ascii="宋体" w:hAnsi="宋体" w:eastAsia="宋体" w:cs="宋体"/>
                <w:color w:val="auto"/>
                <w:spacing w:val="6"/>
                <w:kern w:val="48"/>
                <w:sz w:val="21"/>
                <w:szCs w:val="21"/>
                <w:highlight w:val="none"/>
                <w:lang w:eastAsia="zh-CN"/>
              </w:rPr>
              <w:t>：</w:t>
            </w:r>
            <w:r>
              <w:rPr>
                <w:rFonts w:hint="eastAsia" w:ascii="宋体" w:hAnsi="宋体" w:eastAsia="宋体" w:cs="宋体"/>
                <w:color w:val="auto"/>
                <w:spacing w:val="6"/>
                <w:kern w:val="48"/>
                <w:sz w:val="21"/>
                <w:szCs w:val="21"/>
                <w:highlight w:val="none"/>
              </w:rPr>
              <w:t>用于本工程的主要材料品质不得低于</w:t>
            </w:r>
            <w:r>
              <w:rPr>
                <w:rFonts w:hint="eastAsia" w:ascii="宋体" w:hAnsi="宋体" w:eastAsia="宋体" w:cs="宋体"/>
                <w:color w:val="auto"/>
                <w:spacing w:val="6"/>
                <w:kern w:val="48"/>
                <w:sz w:val="21"/>
                <w:szCs w:val="21"/>
                <w:highlight w:val="none"/>
                <w:lang w:eastAsia="zh-CN"/>
              </w:rPr>
              <w:t>工程量清单</w:t>
            </w:r>
            <w:r>
              <w:rPr>
                <w:rFonts w:hint="eastAsia" w:ascii="宋体" w:hAnsi="宋体" w:eastAsia="宋体" w:cs="宋体"/>
                <w:color w:val="auto"/>
                <w:spacing w:val="6"/>
                <w:kern w:val="48"/>
                <w:sz w:val="21"/>
                <w:szCs w:val="21"/>
                <w:highlight w:val="none"/>
              </w:rPr>
              <w:t>中对材料设备所规定的规格、技术参数</w:t>
            </w:r>
            <w:r>
              <w:rPr>
                <w:rFonts w:hint="eastAsia" w:ascii="宋体" w:hAnsi="宋体" w:eastAsia="宋体" w:cs="宋体"/>
                <w:color w:val="auto"/>
                <w:spacing w:val="6"/>
                <w:kern w:val="48"/>
                <w:sz w:val="21"/>
                <w:szCs w:val="21"/>
                <w:highlight w:val="none"/>
                <w:lang w:eastAsia="zh-CN"/>
              </w:rPr>
              <w:t>等</w:t>
            </w:r>
            <w:r>
              <w:rPr>
                <w:rFonts w:hint="eastAsia" w:ascii="宋体" w:hAnsi="宋体" w:eastAsia="宋体" w:cs="宋体"/>
                <w:color w:val="auto"/>
                <w:spacing w:val="6"/>
                <w:kern w:val="48"/>
                <w:sz w:val="21"/>
                <w:szCs w:val="21"/>
                <w:highlight w:val="none"/>
              </w:rPr>
              <w:t>各项指标，自行采购材料设备，质量应符合国家和行业标准、经</w:t>
            </w:r>
            <w:r>
              <w:rPr>
                <w:rFonts w:hint="eastAsia" w:ascii="宋体" w:hAnsi="宋体" w:eastAsia="宋体" w:cs="宋体"/>
                <w:color w:val="auto"/>
                <w:spacing w:val="6"/>
                <w:kern w:val="48"/>
                <w:sz w:val="21"/>
                <w:szCs w:val="21"/>
                <w:highlight w:val="none"/>
                <w:lang w:eastAsia="zh-CN"/>
              </w:rPr>
              <w:t>采购</w:t>
            </w:r>
            <w:r>
              <w:rPr>
                <w:rFonts w:hint="eastAsia" w:ascii="宋体" w:hAnsi="宋体" w:eastAsia="宋体" w:cs="宋体"/>
                <w:color w:val="auto"/>
                <w:spacing w:val="6"/>
                <w:kern w:val="48"/>
                <w:sz w:val="21"/>
                <w:szCs w:val="21"/>
                <w:highlight w:val="none"/>
              </w:rPr>
              <w:t>人确认，才能进行使用和安装，并同时提供相关质量证</w:t>
            </w:r>
            <w:r>
              <w:rPr>
                <w:rFonts w:hint="eastAsia" w:ascii="宋体" w:hAnsi="宋体" w:eastAsia="宋体" w:cs="宋体"/>
                <w:color w:val="auto"/>
                <w:spacing w:val="6"/>
                <w:kern w:val="48"/>
                <w:sz w:val="21"/>
                <w:szCs w:val="21"/>
                <w:highlight w:val="none"/>
                <w:lang w:eastAsia="zh-CN"/>
              </w:rPr>
              <w:t>明</w:t>
            </w:r>
            <w:r>
              <w:rPr>
                <w:rFonts w:hint="eastAsia" w:ascii="宋体" w:hAnsi="宋体" w:eastAsia="宋体" w:cs="宋体"/>
                <w:color w:val="auto"/>
                <w:spacing w:val="6"/>
                <w:kern w:val="48"/>
                <w:sz w:val="21"/>
                <w:szCs w:val="21"/>
                <w:highlight w:val="none"/>
              </w:rPr>
              <w:t>。如成交</w:t>
            </w:r>
            <w:r>
              <w:rPr>
                <w:rFonts w:hint="eastAsia" w:ascii="宋体" w:hAnsi="宋体" w:eastAsia="宋体" w:cs="宋体"/>
                <w:color w:val="auto"/>
                <w:spacing w:val="6"/>
                <w:kern w:val="48"/>
                <w:sz w:val="21"/>
                <w:szCs w:val="21"/>
                <w:highlight w:val="none"/>
                <w:lang w:eastAsia="zh-CN"/>
              </w:rPr>
              <w:t>供应商</w:t>
            </w:r>
            <w:r>
              <w:rPr>
                <w:rFonts w:hint="eastAsia" w:ascii="宋体" w:hAnsi="宋体" w:eastAsia="宋体" w:cs="宋体"/>
                <w:color w:val="auto"/>
                <w:spacing w:val="6"/>
                <w:kern w:val="48"/>
                <w:sz w:val="21"/>
                <w:szCs w:val="21"/>
                <w:highlight w:val="none"/>
              </w:rPr>
              <w:t>未按此采购材料，将视为违约，所造成的损失由成交</w:t>
            </w:r>
            <w:r>
              <w:rPr>
                <w:rFonts w:hint="eastAsia" w:ascii="宋体" w:hAnsi="宋体" w:eastAsia="宋体" w:cs="宋体"/>
                <w:color w:val="auto"/>
                <w:spacing w:val="6"/>
                <w:kern w:val="48"/>
                <w:sz w:val="21"/>
                <w:szCs w:val="21"/>
                <w:highlight w:val="none"/>
                <w:lang w:eastAsia="zh-CN"/>
              </w:rPr>
              <w:t>供应商</w:t>
            </w:r>
            <w:r>
              <w:rPr>
                <w:rFonts w:hint="eastAsia" w:ascii="宋体" w:hAnsi="宋体" w:eastAsia="宋体" w:cs="宋体"/>
                <w:color w:val="auto"/>
                <w:spacing w:val="6"/>
                <w:kern w:val="48"/>
                <w:sz w:val="21"/>
                <w:szCs w:val="21"/>
                <w:highlight w:val="none"/>
              </w:rPr>
              <w:t>承担，所有材料均为环保型优等品。如若成交</w:t>
            </w:r>
            <w:r>
              <w:rPr>
                <w:rFonts w:hint="eastAsia" w:ascii="宋体" w:hAnsi="宋体" w:eastAsia="宋体" w:cs="宋体"/>
                <w:color w:val="auto"/>
                <w:spacing w:val="6"/>
                <w:kern w:val="48"/>
                <w:sz w:val="21"/>
                <w:szCs w:val="21"/>
                <w:highlight w:val="none"/>
                <w:lang w:eastAsia="zh-CN"/>
              </w:rPr>
              <w:t>供应商</w:t>
            </w:r>
            <w:r>
              <w:rPr>
                <w:rFonts w:hint="eastAsia" w:ascii="宋体" w:hAnsi="宋体" w:eastAsia="宋体" w:cs="宋体"/>
                <w:color w:val="auto"/>
                <w:spacing w:val="6"/>
                <w:kern w:val="48"/>
                <w:sz w:val="21"/>
                <w:szCs w:val="21"/>
                <w:highlight w:val="none"/>
              </w:rPr>
              <w:t>未按此采购材料，将视为违约，所造成的损失由成交</w:t>
            </w:r>
            <w:r>
              <w:rPr>
                <w:rFonts w:hint="eastAsia" w:ascii="宋体" w:hAnsi="宋体" w:eastAsia="宋体" w:cs="宋体"/>
                <w:color w:val="auto"/>
                <w:spacing w:val="6"/>
                <w:kern w:val="48"/>
                <w:sz w:val="21"/>
                <w:szCs w:val="21"/>
                <w:highlight w:val="none"/>
                <w:lang w:eastAsia="zh-CN"/>
              </w:rPr>
              <w:t>供应商</w:t>
            </w:r>
            <w:r>
              <w:rPr>
                <w:rFonts w:hint="eastAsia" w:ascii="宋体" w:hAnsi="宋体" w:eastAsia="宋体" w:cs="宋体"/>
                <w:color w:val="auto"/>
                <w:spacing w:val="6"/>
                <w:kern w:val="48"/>
                <w:sz w:val="21"/>
                <w:szCs w:val="21"/>
                <w:highlight w:val="none"/>
              </w:rPr>
              <w:t>承担。</w:t>
            </w:r>
          </w:p>
          <w:p w14:paraId="29ECA7C4">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color w:val="auto"/>
                <w:kern w:val="0"/>
                <w:sz w:val="21"/>
                <w:szCs w:val="21"/>
                <w:highlight w:val="none"/>
              </w:rPr>
            </w:pPr>
            <w:r>
              <w:rPr>
                <w:rFonts w:hint="eastAsia" w:ascii="宋体" w:hAnsi="宋体" w:cs="宋体"/>
                <w:color w:val="auto"/>
                <w:spacing w:val="6"/>
                <w:kern w:val="48"/>
                <w:sz w:val="21"/>
                <w:szCs w:val="21"/>
                <w:highlight w:val="none"/>
                <w:lang w:val="en-US" w:eastAsia="zh-CN"/>
              </w:rPr>
              <w:t>8、</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color w:val="auto"/>
                <w:kern w:val="0"/>
                <w:sz w:val="21"/>
                <w:szCs w:val="21"/>
                <w:highlight w:val="none"/>
                <w:lang w:eastAsia="zh-CN"/>
              </w:rPr>
              <w:t>本项目</w:t>
            </w:r>
            <w:r>
              <w:rPr>
                <w:rFonts w:hint="default" w:ascii="Times New Roman" w:hAnsi="Times New Roman" w:eastAsia="宋体" w:cs="Times New Roman"/>
                <w:color w:val="auto"/>
                <w:kern w:val="0"/>
                <w:sz w:val="21"/>
                <w:szCs w:val="21"/>
                <w:highlight w:val="none"/>
              </w:rPr>
              <w:t>总造价为人民币</w:t>
            </w:r>
            <w:bookmarkStart w:id="53" w:name="OLE_LINK17"/>
            <w:r>
              <w:rPr>
                <w:rFonts w:hint="eastAsia" w:cs="Times New Roman"/>
                <w:color w:val="auto"/>
                <w:kern w:val="0"/>
                <w:sz w:val="21"/>
                <w:szCs w:val="21"/>
                <w:highlight w:val="none"/>
                <w:u w:val="single"/>
                <w:lang w:val="en-US" w:eastAsia="zh-CN"/>
              </w:rPr>
              <w:t>1198660.03</w:t>
            </w:r>
            <w:bookmarkEnd w:id="53"/>
            <w:r>
              <w:rPr>
                <w:rFonts w:hint="default" w:ascii="Times New Roman" w:hAnsi="Times New Roman" w:eastAsia="宋体" w:cs="Times New Roman"/>
                <w:color w:val="auto"/>
                <w:kern w:val="0"/>
                <w:sz w:val="21"/>
                <w:szCs w:val="21"/>
                <w:highlight w:val="none"/>
              </w:rPr>
              <w:t>元【</w:t>
            </w:r>
            <w:r>
              <w:rPr>
                <w:rFonts w:hint="eastAsia" w:ascii="Times New Roman" w:hAnsi="Times New Roman" w:cs="Times New Roman"/>
                <w:color w:val="auto"/>
                <w:kern w:val="0"/>
                <w:sz w:val="21"/>
                <w:szCs w:val="21"/>
                <w:highlight w:val="none"/>
                <w:lang w:eastAsia="zh-CN"/>
              </w:rPr>
              <w:t>其中：预算价</w:t>
            </w:r>
            <w:r>
              <w:rPr>
                <w:rFonts w:hint="eastAsia" w:cs="Times New Roman"/>
                <w:color w:val="auto"/>
                <w:kern w:val="0"/>
                <w:sz w:val="21"/>
                <w:szCs w:val="21"/>
                <w:highlight w:val="none"/>
                <w:u w:val="single"/>
                <w:lang w:val="en-US" w:eastAsia="zh-CN"/>
              </w:rPr>
              <w:t>1147365.20</w:t>
            </w:r>
            <w:r>
              <w:rPr>
                <w:rFonts w:hint="eastAsia" w:ascii="Times New Roman" w:hAnsi="Times New Roman" w:cs="Times New Roman"/>
                <w:color w:val="auto"/>
                <w:kern w:val="0"/>
                <w:sz w:val="21"/>
                <w:szCs w:val="21"/>
                <w:highlight w:val="none"/>
                <w:lang w:eastAsia="zh-CN"/>
              </w:rPr>
              <w:t>元，</w:t>
            </w:r>
            <w:r>
              <w:rPr>
                <w:rFonts w:hint="eastAsia" w:cs="Times New Roman"/>
                <w:color w:val="auto"/>
                <w:kern w:val="0"/>
                <w:sz w:val="21"/>
                <w:szCs w:val="21"/>
                <w:highlight w:val="none"/>
                <w:lang w:eastAsia="zh-CN"/>
              </w:rPr>
              <w:t>安全文明施工费</w:t>
            </w:r>
            <w:r>
              <w:rPr>
                <w:rFonts w:hint="eastAsia" w:cs="Times New Roman"/>
                <w:color w:val="auto"/>
                <w:kern w:val="0"/>
                <w:sz w:val="21"/>
                <w:szCs w:val="21"/>
                <w:highlight w:val="none"/>
                <w:u w:val="single"/>
                <w:lang w:val="en-US" w:eastAsia="zh-CN"/>
              </w:rPr>
              <w:t>49872.79</w:t>
            </w:r>
            <w:r>
              <w:rPr>
                <w:rFonts w:hint="eastAsia" w:ascii="Times New Roman" w:hAnsi="Times New Roman" w:cs="Times New Roman"/>
                <w:color w:val="auto"/>
                <w:kern w:val="0"/>
                <w:sz w:val="21"/>
                <w:szCs w:val="21"/>
                <w:highlight w:val="none"/>
                <w:lang w:eastAsia="zh-CN"/>
              </w:rPr>
              <w:t>元</w:t>
            </w:r>
            <w:r>
              <w:rPr>
                <w:rFonts w:ascii="Times New Roman" w:hAnsi="Times New Roman" w:cs="Times New Roman"/>
                <w:color w:val="auto"/>
              </w:rPr>
              <w:t>，暂列金额</w:t>
            </w:r>
            <w:r>
              <w:rPr>
                <w:rFonts w:hint="eastAsia" w:cs="Times New Roman"/>
                <w:color w:val="auto"/>
                <w:u w:val="single"/>
                <w:lang w:val="en-US" w:eastAsia="zh-CN"/>
              </w:rPr>
              <w:t xml:space="preserve">   /  </w:t>
            </w:r>
            <w:r>
              <w:rPr>
                <w:rFonts w:hint="eastAsia" w:cs="Times New Roman"/>
                <w:color w:val="auto"/>
                <w:lang w:val="en-US" w:eastAsia="zh-CN"/>
              </w:rPr>
              <w:t>元</w:t>
            </w:r>
            <w:r>
              <w:rPr>
                <w:rFonts w:ascii="Times New Roman" w:hAnsi="Times New Roman" w:cs="Times New Roman"/>
                <w:color w:val="auto"/>
              </w:rPr>
              <w:t>，</w:t>
            </w:r>
            <w:bookmarkStart w:id="54" w:name="OLE_LINK18"/>
            <w:r>
              <w:rPr>
                <w:rFonts w:hint="eastAsia" w:ascii="Times New Roman" w:hAnsi="Times New Roman" w:cs="Times New Roman"/>
                <w:color w:val="auto"/>
              </w:rPr>
              <w:t>安全生产责任保险费</w:t>
            </w:r>
            <w:bookmarkEnd w:id="54"/>
            <w:r>
              <w:rPr>
                <w:rFonts w:hint="eastAsia" w:ascii="Times New Roman" w:hAnsi="Times New Roman" w:cs="Times New Roman"/>
                <w:color w:val="auto"/>
              </w:rPr>
              <w:t>暂估价</w:t>
            </w:r>
            <w:r>
              <w:rPr>
                <w:rFonts w:hint="eastAsia" w:cs="Times New Roman"/>
                <w:color w:val="auto"/>
                <w:u w:val="single"/>
                <w:lang w:val="en-US" w:eastAsia="zh-CN"/>
              </w:rPr>
              <w:t>1422.04</w:t>
            </w:r>
            <w:r>
              <w:rPr>
                <w:rFonts w:hint="eastAsia" w:cs="Times New Roman"/>
                <w:color w:val="auto"/>
                <w:lang w:val="en-US" w:eastAsia="zh-CN"/>
              </w:rPr>
              <w:t>元</w:t>
            </w:r>
            <w:r>
              <w:rPr>
                <w:rFonts w:hint="eastAsia" w:cs="Times New Roman"/>
                <w:color w:val="auto"/>
                <w:kern w:val="0"/>
                <w:sz w:val="21"/>
                <w:szCs w:val="21"/>
                <w:highlight w:val="none"/>
                <w:lang w:eastAsia="zh-CN"/>
              </w:rPr>
              <w:t>，</w:t>
            </w:r>
            <w:r>
              <w:rPr>
                <w:rFonts w:ascii="Times New Roman" w:hAnsi="Times New Roman" w:cs="Times New Roman"/>
                <w:color w:val="auto"/>
              </w:rPr>
              <w:t>材料（工程设备）暂估价</w:t>
            </w:r>
            <w:r>
              <w:rPr>
                <w:rFonts w:hint="eastAsia" w:cs="Times New Roman"/>
                <w:color w:val="auto"/>
                <w:u w:val="single"/>
                <w:lang w:val="en-US" w:eastAsia="zh-CN"/>
              </w:rPr>
              <w:t xml:space="preserve">  /  </w:t>
            </w:r>
            <w:r>
              <w:rPr>
                <w:rFonts w:hint="eastAsia" w:ascii="Times New Roman" w:hAnsi="Times New Roman" w:cs="Times New Roman"/>
                <w:color w:val="auto"/>
              </w:rPr>
              <w:t>元</w:t>
            </w:r>
            <w:r>
              <w:rPr>
                <w:rFonts w:ascii="Times New Roman" w:hAnsi="Times New Roman" w:cs="Times New Roman"/>
                <w:color w:val="auto"/>
              </w:rPr>
              <w:t>，专业暂估价</w:t>
            </w:r>
            <w:r>
              <w:rPr>
                <w:rFonts w:ascii="Times New Roman" w:hAnsi="Times New Roman" w:cs="Times New Roman"/>
                <w:color w:val="auto"/>
                <w:u w:val="single"/>
              </w:rPr>
              <w:t xml:space="preserve">  /  </w:t>
            </w:r>
            <w:r>
              <w:rPr>
                <w:rFonts w:ascii="Times New Roman" w:hAnsi="Times New Roman" w:cs="Times New Roman"/>
                <w:color w:val="auto"/>
              </w:rPr>
              <w:t>元</w:t>
            </w:r>
            <w:r>
              <w:rPr>
                <w:rFonts w:hint="default" w:ascii="Times New Roman" w:hAnsi="Times New Roman" w:eastAsia="宋体" w:cs="Times New Roman"/>
                <w:color w:val="auto"/>
                <w:kern w:val="0"/>
                <w:sz w:val="21"/>
                <w:szCs w:val="21"/>
                <w:highlight w:val="none"/>
              </w:rPr>
              <w:t>】。</w:t>
            </w:r>
          </w:p>
          <w:p w14:paraId="3F8449F9">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eastAsia="zh-CN"/>
              </w:rPr>
              <w:t>最高限价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w:t>
            </w:r>
            <w:r>
              <w:rPr>
                <w:rFonts w:hint="eastAsia" w:cs="Times New Roman"/>
                <w:b/>
                <w:bCs/>
                <w:color w:val="auto"/>
                <w:kern w:val="0"/>
                <w:sz w:val="21"/>
                <w:szCs w:val="21"/>
                <w:highlight w:val="none"/>
                <w:lang w:eastAsia="zh-CN"/>
              </w:rPr>
              <w:t>本项目</w:t>
            </w:r>
            <w:r>
              <w:rPr>
                <w:rFonts w:hint="eastAsia" w:ascii="Times New Roman" w:hAnsi="Times New Roman" w:cs="Times New Roman"/>
                <w:b/>
                <w:bCs/>
                <w:color w:val="auto"/>
                <w:kern w:val="0"/>
                <w:sz w:val="21"/>
                <w:szCs w:val="21"/>
                <w:highlight w:val="none"/>
                <w:lang w:eastAsia="zh-CN"/>
              </w:rPr>
              <w:t>最高</w:t>
            </w:r>
            <w:r>
              <w:rPr>
                <w:rFonts w:hint="eastAsia" w:cs="Times New Roman"/>
                <w:b/>
                <w:bCs/>
                <w:color w:val="auto"/>
                <w:kern w:val="0"/>
                <w:sz w:val="21"/>
                <w:szCs w:val="21"/>
                <w:highlight w:val="none"/>
                <w:lang w:eastAsia="zh-CN"/>
              </w:rPr>
              <w:t>限价</w:t>
            </w:r>
            <w:r>
              <w:rPr>
                <w:rFonts w:hint="eastAsia" w:ascii="Times New Roman" w:hAnsi="Times New Roman" w:cs="Times New Roman"/>
                <w:b/>
                <w:bCs/>
                <w:color w:val="auto"/>
                <w:kern w:val="0"/>
                <w:sz w:val="21"/>
                <w:szCs w:val="21"/>
                <w:highlight w:val="none"/>
                <w:lang w:eastAsia="zh-CN"/>
              </w:rPr>
              <w:t>为</w:t>
            </w:r>
            <w:r>
              <w:rPr>
                <w:rFonts w:hint="eastAsia" w:ascii="Times New Roman" w:hAnsi="Times New Roman" w:cs="Times New Roman"/>
                <w:b/>
                <w:bCs/>
                <w:color w:val="auto"/>
                <w:kern w:val="0"/>
                <w:sz w:val="21"/>
                <w:szCs w:val="21"/>
                <w:highlight w:val="none"/>
                <w:lang w:val="en-US" w:eastAsia="zh-CN"/>
              </w:rPr>
              <w:t>1150713.63</w:t>
            </w:r>
            <w:r>
              <w:rPr>
                <w:rFonts w:hint="eastAsia" w:ascii="Times New Roman" w:hAnsi="Times New Roman" w:cs="Times New Roman"/>
                <w:b/>
                <w:bCs/>
                <w:color w:val="auto"/>
                <w:kern w:val="0"/>
                <w:sz w:val="21"/>
                <w:szCs w:val="21"/>
                <w:highlight w:val="none"/>
                <w:lang w:eastAsia="zh-CN"/>
              </w:rPr>
              <w:t>元【含</w:t>
            </w:r>
            <w:r>
              <w:rPr>
                <w:rFonts w:hint="eastAsia" w:cs="Times New Roman"/>
                <w:b/>
                <w:bCs/>
                <w:color w:val="auto"/>
                <w:lang w:eastAsia="zh-CN"/>
              </w:rPr>
              <w:t>安全文明施工费</w:t>
            </w:r>
            <w:r>
              <w:rPr>
                <w:rFonts w:hint="eastAsia" w:ascii="Times New Roman" w:hAnsi="Times New Roman" w:cs="Times New Roman"/>
                <w:b/>
                <w:bCs/>
                <w:color w:val="auto"/>
                <w:kern w:val="0"/>
                <w:sz w:val="21"/>
                <w:szCs w:val="21"/>
                <w:highlight w:val="none"/>
                <w:lang w:eastAsia="zh-CN"/>
              </w:rPr>
              <w:t>、规费、增值税、暂列金额、安全生产责任保险费暂估价</w:t>
            </w:r>
            <w:r>
              <w:rPr>
                <w:rFonts w:hint="eastAsia" w:cs="Times New Roman"/>
                <w:b/>
                <w:bCs/>
                <w:color w:val="auto"/>
                <w:kern w:val="0"/>
                <w:sz w:val="21"/>
                <w:szCs w:val="21"/>
                <w:highlight w:val="none"/>
                <w:lang w:eastAsia="zh-CN"/>
              </w:rPr>
              <w:t>、</w:t>
            </w:r>
            <w:r>
              <w:rPr>
                <w:rFonts w:hint="eastAsia" w:ascii="Times New Roman" w:hAnsi="Times New Roman" w:cs="Times New Roman"/>
                <w:b/>
                <w:bCs/>
                <w:color w:val="auto"/>
                <w:kern w:val="0"/>
                <w:sz w:val="21"/>
                <w:szCs w:val="21"/>
                <w:highlight w:val="none"/>
                <w:lang w:eastAsia="zh-CN"/>
              </w:rPr>
              <w:t>材料（工程设备）暂估价、专业暂估价】。</w:t>
            </w:r>
          </w:p>
          <w:p w14:paraId="6F9FE382">
            <w:pPr>
              <w:spacing w:line="400" w:lineRule="exact"/>
              <w:rPr>
                <w:rFonts w:hint="eastAsia" w:ascii="宋体" w:hAnsi="宋体" w:eastAsia="宋体" w:cs="宋体"/>
                <w:color w:val="auto"/>
                <w:spacing w:val="6"/>
                <w:kern w:val="48"/>
                <w:sz w:val="21"/>
                <w:szCs w:val="21"/>
                <w:highlight w:val="none"/>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总造价</w:t>
            </w:r>
            <w:r>
              <w:rPr>
                <w:rFonts w:hint="default" w:ascii="Times New Roman" w:hAnsi="Times New Roman" w:cs="Times New Roman"/>
                <w:b/>
                <w:bCs/>
                <w:color w:val="auto"/>
              </w:rPr>
              <w:t>（含</w:t>
            </w:r>
            <w:r>
              <w:rPr>
                <w:rFonts w:hint="eastAsia" w:cs="Times New Roman"/>
                <w:b/>
                <w:bCs/>
                <w:color w:val="auto"/>
                <w:lang w:eastAsia="zh-CN"/>
              </w:rPr>
              <w:t>安全文明施工费</w:t>
            </w:r>
            <w:r>
              <w:rPr>
                <w:rFonts w:hint="default" w:ascii="Times New Roman" w:hAnsi="Times New Roman" w:cs="Times New Roman"/>
                <w:b/>
                <w:bCs/>
                <w:color w:val="auto"/>
              </w:rPr>
              <w:t>、规费、增值税、暂列金额、</w:t>
            </w:r>
            <w:r>
              <w:rPr>
                <w:rFonts w:hint="eastAsia" w:ascii="Times New Roman" w:hAnsi="Times New Roman" w:cs="Times New Roman"/>
                <w:b/>
                <w:bCs/>
                <w:color w:val="auto"/>
                <w:kern w:val="0"/>
                <w:sz w:val="21"/>
                <w:szCs w:val="21"/>
                <w:highlight w:val="none"/>
                <w:lang w:eastAsia="zh-CN"/>
              </w:rPr>
              <w:t>安全生产责任保险费暂估价</w:t>
            </w:r>
            <w:r>
              <w:rPr>
                <w:rFonts w:hint="eastAsia" w:cs="Times New Roman"/>
                <w:b/>
                <w:bCs/>
                <w:color w:val="auto"/>
                <w:kern w:val="0"/>
                <w:sz w:val="21"/>
                <w:szCs w:val="21"/>
                <w:highlight w:val="none"/>
                <w:lang w:eastAsia="zh-CN"/>
              </w:rPr>
              <w:t>、</w:t>
            </w:r>
            <w:r>
              <w:rPr>
                <w:rFonts w:hint="default" w:ascii="Times New Roman" w:hAnsi="Times New Roman" w:cs="Times New Roman"/>
                <w:b/>
                <w:bCs/>
                <w:color w:val="auto"/>
              </w:rPr>
              <w:t>材料（工程设备）暂估价、专业暂估价）高于</w:t>
            </w:r>
            <w:r>
              <w:rPr>
                <w:rFonts w:hint="eastAsia" w:cs="Times New Roman"/>
                <w:b/>
                <w:bCs/>
                <w:color w:val="auto"/>
                <w:lang w:eastAsia="zh-CN"/>
              </w:rPr>
              <w:t>本项目最高限价</w:t>
            </w:r>
            <w:r>
              <w:rPr>
                <w:rFonts w:hint="default" w:ascii="Times New Roman" w:hAnsi="Times New Roman" w:cs="Times New Roman"/>
                <w:b/>
                <w:bCs/>
                <w:color w:val="auto"/>
                <w:lang w:eastAsia="zh-CN"/>
              </w:rPr>
              <w:t>的</w:t>
            </w:r>
            <w:r>
              <w:rPr>
                <w:rFonts w:hint="eastAsia" w:cs="Times New Roman"/>
                <w:b/>
                <w:bCs/>
                <w:color w:val="auto"/>
                <w:lang w:eastAsia="zh-CN"/>
              </w:rPr>
              <w:t>，</w:t>
            </w:r>
            <w:r>
              <w:rPr>
                <w:rFonts w:hint="default" w:ascii="Times New Roman" w:hAnsi="Times New Roman" w:cs="Times New Roman"/>
                <w:b/>
                <w:bCs/>
                <w:color w:val="auto"/>
                <w:lang w:eastAsia="zh-CN"/>
              </w:rPr>
              <w:t>作</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无效响应处理</w:t>
            </w:r>
            <w:r>
              <w:rPr>
                <w:rFonts w:hint="eastAsia" w:cs="Times New Roman"/>
                <w:b/>
                <w:bCs/>
                <w:color w:val="auto"/>
                <w:lang w:eastAsia="zh-CN"/>
              </w:rPr>
              <w:t>。</w:t>
            </w:r>
          </w:p>
        </w:tc>
      </w:tr>
    </w:tbl>
    <w:p w14:paraId="489D462F">
      <w:pPr>
        <w:spacing w:line="428" w:lineRule="exact"/>
        <w:ind w:left="119"/>
        <w:rPr>
          <w:rFonts w:eastAsia="Arial Unicode MS"/>
          <w:color w:val="auto"/>
          <w:sz w:val="32"/>
          <w:szCs w:val="32"/>
          <w:highlight w:val="none"/>
        </w:rPr>
      </w:pPr>
    </w:p>
    <w:p w14:paraId="0B7A982F">
      <w:pPr>
        <w:spacing w:line="428" w:lineRule="exact"/>
        <w:rPr>
          <w:rFonts w:eastAsia="Arial Unicode MS"/>
          <w:color w:val="auto"/>
          <w:sz w:val="32"/>
          <w:szCs w:val="32"/>
          <w:highlight w:val="none"/>
        </w:rPr>
      </w:pPr>
    </w:p>
    <w:p w14:paraId="30299DD0">
      <w:pPr>
        <w:pStyle w:val="7"/>
        <w:rPr>
          <w:rFonts w:eastAsia="Arial Unicode MS"/>
          <w:color w:val="auto"/>
          <w:sz w:val="32"/>
          <w:szCs w:val="32"/>
          <w:highlight w:val="none"/>
        </w:rPr>
      </w:pPr>
    </w:p>
    <w:p w14:paraId="62C18323">
      <w:pPr>
        <w:pStyle w:val="7"/>
        <w:rPr>
          <w:rFonts w:eastAsia="Arial Unicode MS"/>
          <w:color w:val="auto"/>
          <w:sz w:val="32"/>
          <w:szCs w:val="32"/>
          <w:highlight w:val="none"/>
        </w:rPr>
      </w:pPr>
    </w:p>
    <w:p w14:paraId="6C56559B">
      <w:pPr>
        <w:pStyle w:val="7"/>
        <w:rPr>
          <w:rFonts w:eastAsia="Arial Unicode MS"/>
          <w:color w:val="auto"/>
          <w:sz w:val="32"/>
          <w:szCs w:val="32"/>
          <w:highlight w:val="none"/>
        </w:rPr>
      </w:pPr>
    </w:p>
    <w:p w14:paraId="4C81BFBA">
      <w:pPr>
        <w:pStyle w:val="7"/>
        <w:rPr>
          <w:rFonts w:eastAsia="Arial Unicode MS"/>
          <w:color w:val="auto"/>
          <w:sz w:val="32"/>
          <w:szCs w:val="32"/>
          <w:highlight w:val="none"/>
        </w:rPr>
      </w:pPr>
    </w:p>
    <w:p w14:paraId="314BAB90">
      <w:pPr>
        <w:pStyle w:val="7"/>
        <w:ind w:firstLine="0"/>
        <w:rPr>
          <w:rFonts w:eastAsia="Arial Unicode MS"/>
          <w:color w:val="auto"/>
          <w:sz w:val="32"/>
          <w:szCs w:val="32"/>
          <w:highlight w:val="none"/>
        </w:rPr>
      </w:pPr>
    </w:p>
    <w:p w14:paraId="6F6A9E34">
      <w:pPr>
        <w:spacing w:line="428" w:lineRule="exact"/>
        <w:ind w:left="119"/>
        <w:rPr>
          <w:rFonts w:eastAsia="Arial Unicode MS"/>
          <w:color w:val="auto"/>
          <w:sz w:val="17"/>
          <w:szCs w:val="17"/>
          <w:highlight w:val="none"/>
        </w:rPr>
      </w:pPr>
      <w:r>
        <w:rPr>
          <w:rFonts w:eastAsia="Arial Unicode MS"/>
          <w:color w:val="auto"/>
          <w:sz w:val="32"/>
          <w:szCs w:val="32"/>
          <w:highlight w:val="none"/>
        </w:rPr>
        <w:br w:type="page"/>
      </w:r>
      <w:r>
        <w:rPr>
          <w:rFonts w:eastAsia="Arial Unicode MS"/>
          <w:color w:val="auto"/>
          <w:sz w:val="32"/>
          <w:szCs w:val="32"/>
          <w:highlight w:val="none"/>
        </w:rPr>
        <w:t>附件</w:t>
      </w:r>
      <w:r>
        <w:rPr>
          <w:color w:val="auto"/>
          <w:sz w:val="32"/>
          <w:szCs w:val="32"/>
          <w:highlight w:val="none"/>
        </w:rPr>
        <w:t>1</w:t>
      </w:r>
      <w:r>
        <w:rPr>
          <w:rFonts w:eastAsia="Arial Unicode MS"/>
          <w:color w:val="auto"/>
          <w:sz w:val="32"/>
          <w:szCs w:val="32"/>
          <w:highlight w:val="none"/>
        </w:rPr>
        <w:t>：</w:t>
      </w:r>
    </w:p>
    <w:p w14:paraId="13C4F2E5">
      <w:pPr>
        <w:spacing w:line="528" w:lineRule="exact"/>
        <w:jc w:val="center"/>
        <w:rPr>
          <w:rFonts w:eastAsia="Arial Unicode MS"/>
          <w:color w:val="auto"/>
          <w:sz w:val="40"/>
          <w:szCs w:val="40"/>
          <w:highlight w:val="none"/>
        </w:rPr>
      </w:pPr>
      <w:r>
        <w:rPr>
          <w:rFonts w:eastAsia="微软雅黑"/>
          <w:color w:val="auto"/>
          <w:sz w:val="40"/>
          <w:szCs w:val="40"/>
          <w:highlight w:val="none"/>
        </w:rPr>
        <w:t>节能产品政府采购品目清单</w:t>
      </w:r>
    </w:p>
    <w:tbl>
      <w:tblPr>
        <w:tblStyle w:val="28"/>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4B8B284E">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7BB07E16">
            <w:pPr>
              <w:widowControl/>
              <w:jc w:val="center"/>
              <w:rPr>
                <w:b/>
                <w:bCs/>
                <w:color w:val="auto"/>
                <w:kern w:val="0"/>
                <w:sz w:val="22"/>
                <w:szCs w:val="22"/>
                <w:highlight w:val="none"/>
              </w:rPr>
            </w:pPr>
            <w:r>
              <w:rPr>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0543F514">
            <w:pPr>
              <w:widowControl/>
              <w:jc w:val="center"/>
              <w:rPr>
                <w:b/>
                <w:bCs/>
                <w:color w:val="auto"/>
                <w:kern w:val="0"/>
                <w:sz w:val="22"/>
                <w:szCs w:val="22"/>
                <w:highlight w:val="none"/>
              </w:rPr>
            </w:pPr>
            <w:r>
              <w:rPr>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35528630">
            <w:pPr>
              <w:widowControl/>
              <w:jc w:val="center"/>
              <w:rPr>
                <w:b/>
                <w:bCs/>
                <w:color w:val="auto"/>
                <w:kern w:val="0"/>
                <w:sz w:val="22"/>
                <w:szCs w:val="22"/>
                <w:highlight w:val="none"/>
              </w:rPr>
            </w:pPr>
            <w:r>
              <w:rPr>
                <w:b/>
                <w:bCs/>
                <w:color w:val="auto"/>
                <w:kern w:val="0"/>
                <w:sz w:val="22"/>
                <w:szCs w:val="22"/>
                <w:highlight w:val="none"/>
              </w:rPr>
              <w:t>依据的标准</w:t>
            </w:r>
          </w:p>
        </w:tc>
      </w:tr>
      <w:tr w14:paraId="73C4D5CF">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B30508B">
            <w:pPr>
              <w:widowControl/>
              <w:jc w:val="center"/>
              <w:rPr>
                <w:color w:val="auto"/>
                <w:kern w:val="0"/>
                <w:sz w:val="20"/>
                <w:szCs w:val="20"/>
                <w:highlight w:val="none"/>
              </w:rPr>
            </w:pPr>
            <w:r>
              <w:rPr>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AC704E6">
            <w:pPr>
              <w:widowControl/>
              <w:jc w:val="center"/>
              <w:rPr>
                <w:color w:val="auto"/>
                <w:kern w:val="0"/>
                <w:sz w:val="20"/>
                <w:szCs w:val="20"/>
                <w:highlight w:val="none"/>
              </w:rPr>
            </w:pPr>
            <w:r>
              <w:rPr>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5F40867D">
            <w:pPr>
              <w:widowControl/>
              <w:jc w:val="center"/>
              <w:rPr>
                <w:color w:val="auto"/>
                <w:kern w:val="0"/>
                <w:sz w:val="20"/>
                <w:szCs w:val="20"/>
                <w:highlight w:val="none"/>
              </w:rPr>
            </w:pPr>
            <w:r>
              <w:rPr>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7AAF47D0">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C6E5B94">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14:paraId="211A1556">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B9435F3">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3CEF432">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A5552E3">
            <w:pPr>
              <w:widowControl/>
              <w:jc w:val="center"/>
              <w:rPr>
                <w:color w:val="auto"/>
                <w:kern w:val="0"/>
                <w:sz w:val="20"/>
                <w:szCs w:val="20"/>
                <w:highlight w:val="none"/>
              </w:rPr>
            </w:pPr>
            <w:r>
              <w:rPr>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6F25B2A3">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7574721">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14:paraId="5D260CB2">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7989CC7">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85E7507">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E287A6A">
            <w:pPr>
              <w:widowControl/>
              <w:jc w:val="center"/>
              <w:rPr>
                <w:color w:val="auto"/>
                <w:kern w:val="0"/>
                <w:sz w:val="20"/>
                <w:szCs w:val="20"/>
                <w:highlight w:val="none"/>
              </w:rPr>
            </w:pPr>
            <w:r>
              <w:rPr>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67B25C69">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6ABEE82">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14:paraId="35BC11C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04A940D">
            <w:pPr>
              <w:widowControl/>
              <w:jc w:val="center"/>
              <w:rPr>
                <w:color w:val="auto"/>
                <w:kern w:val="0"/>
                <w:sz w:val="20"/>
                <w:szCs w:val="20"/>
                <w:highlight w:val="none"/>
              </w:rPr>
            </w:pPr>
            <w:r>
              <w:rPr>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F0A1DA8">
            <w:pPr>
              <w:widowControl/>
              <w:jc w:val="center"/>
              <w:rPr>
                <w:color w:val="auto"/>
                <w:kern w:val="0"/>
                <w:sz w:val="20"/>
                <w:szCs w:val="20"/>
                <w:highlight w:val="none"/>
              </w:rPr>
            </w:pPr>
            <w:r>
              <w:rPr>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58777C5">
            <w:pPr>
              <w:widowControl/>
              <w:jc w:val="center"/>
              <w:rPr>
                <w:color w:val="auto"/>
                <w:kern w:val="0"/>
                <w:sz w:val="20"/>
                <w:szCs w:val="20"/>
                <w:highlight w:val="none"/>
              </w:rPr>
            </w:pPr>
            <w:r>
              <w:rPr>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5D5CEA1E">
            <w:pPr>
              <w:widowControl/>
              <w:jc w:val="center"/>
              <w:rPr>
                <w:color w:val="auto"/>
                <w:kern w:val="0"/>
                <w:sz w:val="20"/>
                <w:szCs w:val="20"/>
                <w:highlight w:val="none"/>
              </w:rPr>
            </w:pPr>
            <w:r>
              <w:rPr>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1EA1879C">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14:paraId="6EB8F24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BD3B5A9">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F9E09F6">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3776484">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4822C20">
            <w:pPr>
              <w:widowControl/>
              <w:jc w:val="center"/>
              <w:rPr>
                <w:color w:val="auto"/>
                <w:kern w:val="0"/>
                <w:sz w:val="20"/>
                <w:szCs w:val="20"/>
                <w:highlight w:val="none"/>
              </w:rPr>
            </w:pPr>
            <w:r>
              <w:rPr>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65140CC4">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14:paraId="23AA107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59D89C6">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5B26516">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22C5902">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2DA74B4">
            <w:pPr>
              <w:widowControl/>
              <w:jc w:val="center"/>
              <w:rPr>
                <w:color w:val="auto"/>
                <w:kern w:val="0"/>
                <w:sz w:val="20"/>
                <w:szCs w:val="20"/>
                <w:highlight w:val="none"/>
              </w:rPr>
            </w:pPr>
            <w:r>
              <w:rPr>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41E9DFBC">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14:paraId="50B623E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F461BEB">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7A82E3C">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F279F54">
            <w:pPr>
              <w:widowControl/>
              <w:jc w:val="center"/>
              <w:rPr>
                <w:color w:val="auto"/>
                <w:kern w:val="0"/>
                <w:sz w:val="20"/>
                <w:szCs w:val="20"/>
                <w:highlight w:val="none"/>
              </w:rPr>
            </w:pPr>
            <w:r>
              <w:rPr>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1B8FB29A">
            <w:pPr>
              <w:widowControl/>
              <w:jc w:val="center"/>
              <w:rPr>
                <w:color w:val="auto"/>
                <w:kern w:val="0"/>
                <w:sz w:val="20"/>
                <w:szCs w:val="20"/>
                <w:highlight w:val="none"/>
              </w:rPr>
            </w:pPr>
            <w:r>
              <w:rPr>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22B34477">
            <w:pPr>
              <w:widowControl/>
              <w:jc w:val="left"/>
              <w:rPr>
                <w:color w:val="auto"/>
                <w:kern w:val="0"/>
                <w:sz w:val="20"/>
                <w:szCs w:val="20"/>
                <w:highlight w:val="none"/>
              </w:rPr>
            </w:pPr>
            <w:r>
              <w:rPr>
                <w:color w:val="auto"/>
                <w:kern w:val="0"/>
                <w:sz w:val="20"/>
                <w:szCs w:val="20"/>
                <w:highlight w:val="none"/>
              </w:rPr>
              <w:t>《计算机显示器能效限定值及能效等级》（GB21520</w:t>
            </w:r>
            <w:bookmarkStart w:id="55" w:name="OLE_LINK13"/>
            <w:r>
              <w:rPr>
                <w:color w:val="auto"/>
                <w:kern w:val="0"/>
                <w:sz w:val="20"/>
                <w:szCs w:val="20"/>
                <w:highlight w:val="none"/>
              </w:rPr>
              <w:t>）</w:t>
            </w:r>
            <w:bookmarkEnd w:id="55"/>
          </w:p>
        </w:tc>
      </w:tr>
      <w:tr w14:paraId="2ABF942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A34948F">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CAC7CA6">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F223B7D">
            <w:pPr>
              <w:widowControl/>
              <w:jc w:val="center"/>
              <w:rPr>
                <w:color w:val="auto"/>
                <w:kern w:val="0"/>
                <w:sz w:val="20"/>
                <w:szCs w:val="20"/>
                <w:highlight w:val="none"/>
              </w:rPr>
            </w:pPr>
            <w:r>
              <w:rPr>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0123365A">
            <w:pPr>
              <w:widowControl/>
              <w:jc w:val="center"/>
              <w:rPr>
                <w:color w:val="auto"/>
                <w:kern w:val="0"/>
                <w:sz w:val="20"/>
                <w:szCs w:val="20"/>
                <w:highlight w:val="none"/>
              </w:rPr>
            </w:pPr>
            <w:r>
              <w:rPr>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76F785BE">
            <w:pPr>
              <w:widowControl/>
              <w:jc w:val="left"/>
              <w:rPr>
                <w:rFonts w:hint="eastAsia" w:eastAsia="宋体"/>
                <w:lang w:eastAsia="zh-CN"/>
              </w:rPr>
            </w:pPr>
            <w:r>
              <w:rPr>
                <w:color w:val="auto"/>
                <w:kern w:val="0"/>
                <w:sz w:val="20"/>
                <w:szCs w:val="20"/>
                <w:highlight w:val="none"/>
              </w:rPr>
              <w:t>参照《复印机、打印机和传真机能效限定值及能效等级》（GB21521</w:t>
            </w:r>
            <w:r>
              <w:rPr>
                <w:rFonts w:hint="eastAsia"/>
                <w:color w:val="auto"/>
                <w:kern w:val="0"/>
                <w:sz w:val="20"/>
                <w:szCs w:val="20"/>
                <w:highlight w:val="none"/>
                <w:lang w:val="en-US" w:eastAsia="zh-CN"/>
              </w:rPr>
              <w:t>)</w:t>
            </w:r>
            <w:r>
              <w:rPr>
                <w:color w:val="auto"/>
                <w:kern w:val="0"/>
                <w:sz w:val="20"/>
                <w:szCs w:val="20"/>
                <w:highlight w:val="none"/>
              </w:rPr>
              <w:t>中</w:t>
            </w:r>
            <w:bookmarkStart w:id="56" w:name="OLE_LINK10"/>
            <w:r>
              <w:rPr>
                <w:color w:val="auto"/>
                <w:kern w:val="0"/>
                <w:sz w:val="20"/>
                <w:szCs w:val="20"/>
                <w:highlight w:val="none"/>
              </w:rPr>
              <w:t>打印速度为15页/分的针式打印机相关要求</w:t>
            </w:r>
            <w:bookmarkEnd w:id="56"/>
          </w:p>
        </w:tc>
      </w:tr>
      <w:tr w14:paraId="6992003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A5D013D">
            <w:pPr>
              <w:widowControl/>
              <w:jc w:val="center"/>
              <w:rPr>
                <w:color w:val="auto"/>
                <w:kern w:val="0"/>
                <w:sz w:val="20"/>
                <w:szCs w:val="20"/>
                <w:highlight w:val="none"/>
              </w:rPr>
            </w:pPr>
            <w:r>
              <w:rPr>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469A6A0D">
            <w:pPr>
              <w:widowControl/>
              <w:jc w:val="center"/>
              <w:rPr>
                <w:color w:val="auto"/>
                <w:kern w:val="0"/>
                <w:sz w:val="20"/>
                <w:szCs w:val="20"/>
                <w:highlight w:val="none"/>
              </w:rPr>
            </w:pPr>
            <w:r>
              <w:rPr>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3F06EABA">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0342BCF4">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C95FDEB">
            <w:pPr>
              <w:widowControl/>
              <w:jc w:val="left"/>
              <w:rPr>
                <w:color w:val="auto"/>
                <w:kern w:val="0"/>
                <w:sz w:val="20"/>
                <w:szCs w:val="20"/>
                <w:highlight w:val="none"/>
              </w:rPr>
            </w:pPr>
            <w:r>
              <w:rPr>
                <w:color w:val="auto"/>
                <w:kern w:val="0"/>
                <w:sz w:val="20"/>
                <w:szCs w:val="20"/>
                <w:highlight w:val="none"/>
              </w:rPr>
              <w:t>《投影机能效限定值及能效等级》（GB32028）</w:t>
            </w:r>
          </w:p>
        </w:tc>
      </w:tr>
      <w:tr w14:paraId="7D4DA24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3564DCF">
            <w:pPr>
              <w:widowControl/>
              <w:jc w:val="center"/>
              <w:rPr>
                <w:color w:val="auto"/>
                <w:kern w:val="0"/>
                <w:sz w:val="20"/>
                <w:szCs w:val="20"/>
                <w:highlight w:val="none"/>
              </w:rPr>
            </w:pPr>
            <w:r>
              <w:rPr>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55193AD4">
            <w:pPr>
              <w:widowControl/>
              <w:jc w:val="center"/>
              <w:rPr>
                <w:color w:val="auto"/>
                <w:kern w:val="0"/>
                <w:sz w:val="20"/>
                <w:szCs w:val="20"/>
                <w:highlight w:val="none"/>
              </w:rPr>
            </w:pPr>
            <w:r>
              <w:rPr>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1BF3FF74">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09FE8C93">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AEE107C">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14:paraId="0850D0B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23ACFBF">
            <w:pPr>
              <w:widowControl/>
              <w:jc w:val="center"/>
              <w:rPr>
                <w:color w:val="auto"/>
                <w:kern w:val="0"/>
                <w:sz w:val="20"/>
                <w:szCs w:val="20"/>
                <w:highlight w:val="none"/>
              </w:rPr>
            </w:pPr>
            <w:r>
              <w:rPr>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2E53C72A">
            <w:pPr>
              <w:widowControl/>
              <w:jc w:val="center"/>
              <w:rPr>
                <w:color w:val="auto"/>
                <w:kern w:val="0"/>
                <w:sz w:val="20"/>
                <w:szCs w:val="20"/>
                <w:highlight w:val="none"/>
              </w:rPr>
            </w:pPr>
            <w:r>
              <w:rPr>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762E62D8">
            <w:pPr>
              <w:widowControl/>
              <w:jc w:val="center"/>
              <w:rPr>
                <w:color w:val="auto"/>
                <w:kern w:val="0"/>
                <w:sz w:val="20"/>
                <w:szCs w:val="20"/>
                <w:highlight w:val="none"/>
              </w:rPr>
            </w:pPr>
            <w:r>
              <w:rPr>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0081472F">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8D89380">
            <w:pPr>
              <w:widowControl/>
              <w:jc w:val="left"/>
              <w:rPr>
                <w:color w:val="auto"/>
                <w:kern w:val="0"/>
                <w:sz w:val="20"/>
                <w:szCs w:val="20"/>
                <w:highlight w:val="none"/>
              </w:rPr>
            </w:pPr>
            <w:r>
              <w:rPr>
                <w:color w:val="auto"/>
                <w:kern w:val="0"/>
                <w:sz w:val="20"/>
                <w:szCs w:val="20"/>
                <w:highlight w:val="none"/>
              </w:rPr>
              <w:t>《清水离心泵能效限定值及节能评价值》（GB19762）</w:t>
            </w:r>
          </w:p>
        </w:tc>
      </w:tr>
      <w:tr w14:paraId="49B132DE">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F9ABE60">
            <w:pPr>
              <w:widowControl/>
              <w:jc w:val="center"/>
              <w:rPr>
                <w:color w:val="auto"/>
                <w:kern w:val="0"/>
                <w:sz w:val="20"/>
                <w:szCs w:val="20"/>
                <w:highlight w:val="none"/>
              </w:rPr>
            </w:pPr>
            <w:r>
              <w:rPr>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063CBA1">
            <w:pPr>
              <w:widowControl/>
              <w:jc w:val="center"/>
              <w:rPr>
                <w:color w:val="auto"/>
                <w:kern w:val="0"/>
                <w:sz w:val="20"/>
                <w:szCs w:val="20"/>
                <w:highlight w:val="none"/>
              </w:rPr>
            </w:pPr>
            <w:r>
              <w:rPr>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9AD5549">
            <w:pPr>
              <w:widowControl/>
              <w:jc w:val="center"/>
              <w:rPr>
                <w:color w:val="auto"/>
                <w:kern w:val="0"/>
                <w:sz w:val="20"/>
                <w:szCs w:val="20"/>
                <w:highlight w:val="none"/>
              </w:rPr>
            </w:pPr>
            <w:r>
              <w:rPr>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5C61E6EC">
            <w:pPr>
              <w:widowControl/>
              <w:jc w:val="center"/>
              <w:rPr>
                <w:color w:val="auto"/>
                <w:kern w:val="0"/>
                <w:sz w:val="20"/>
                <w:szCs w:val="20"/>
                <w:highlight w:val="none"/>
              </w:rPr>
            </w:pPr>
            <w:r>
              <w:rPr>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52A3E5E8">
            <w:pPr>
              <w:widowControl/>
              <w:jc w:val="left"/>
              <w:rPr>
                <w:color w:val="auto"/>
                <w:kern w:val="0"/>
                <w:sz w:val="20"/>
                <w:szCs w:val="20"/>
                <w:highlight w:val="none"/>
              </w:rPr>
            </w:pPr>
            <w:r>
              <w:rPr>
                <w:color w:val="auto"/>
                <w:kern w:val="0"/>
                <w:sz w:val="20"/>
                <w:szCs w:val="20"/>
                <w:highlight w:val="none"/>
              </w:rPr>
              <w:t>《冷水机组能效限定值及能效等级》（GB19577），《低环境温度空气源热泵（冷水）机组能效限定值及能效等级》（GB37480）</w:t>
            </w:r>
          </w:p>
        </w:tc>
      </w:tr>
      <w:tr w14:paraId="0155D2C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129AACC">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F588D26">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F345DAE">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B1765B7">
            <w:pPr>
              <w:widowControl/>
              <w:jc w:val="center"/>
              <w:rPr>
                <w:color w:val="auto"/>
                <w:kern w:val="0"/>
                <w:sz w:val="20"/>
                <w:szCs w:val="20"/>
                <w:highlight w:val="none"/>
              </w:rPr>
            </w:pPr>
            <w:r>
              <w:rPr>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0FFF7274">
            <w:pPr>
              <w:widowControl/>
              <w:jc w:val="left"/>
              <w:rPr>
                <w:color w:val="auto"/>
                <w:kern w:val="0"/>
                <w:sz w:val="20"/>
                <w:szCs w:val="20"/>
                <w:highlight w:val="none"/>
              </w:rPr>
            </w:pPr>
            <w:r>
              <w:rPr>
                <w:color w:val="auto"/>
                <w:kern w:val="0"/>
                <w:sz w:val="20"/>
                <w:szCs w:val="20"/>
                <w:highlight w:val="none"/>
              </w:rPr>
              <w:t>《水（地）源热泵机组能效限定值及能效等级》（GB30721）</w:t>
            </w:r>
          </w:p>
        </w:tc>
      </w:tr>
      <w:tr w14:paraId="7A2380C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C300CF9">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D970AA3">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B7D3FB5">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5AF6C60">
            <w:pPr>
              <w:widowControl/>
              <w:jc w:val="center"/>
              <w:rPr>
                <w:color w:val="auto"/>
                <w:kern w:val="0"/>
                <w:sz w:val="20"/>
                <w:szCs w:val="20"/>
                <w:highlight w:val="none"/>
              </w:rPr>
            </w:pPr>
            <w:r>
              <w:rPr>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2ACA0E00">
            <w:pPr>
              <w:widowControl/>
              <w:jc w:val="left"/>
              <w:rPr>
                <w:color w:val="auto"/>
                <w:kern w:val="0"/>
                <w:sz w:val="20"/>
                <w:szCs w:val="20"/>
                <w:highlight w:val="none"/>
              </w:rPr>
            </w:pPr>
            <w:r>
              <w:rPr>
                <w:color w:val="auto"/>
                <w:kern w:val="0"/>
                <w:sz w:val="20"/>
                <w:szCs w:val="20"/>
                <w:highlight w:val="none"/>
              </w:rPr>
              <w:t>《溴化锂吸收式冷水机组能效限定值及能效等级》（GB29540）</w:t>
            </w:r>
          </w:p>
        </w:tc>
      </w:tr>
      <w:tr w14:paraId="1A5943D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8E120A3">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4E6F19D">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1A6C8B4">
            <w:pPr>
              <w:widowControl/>
              <w:jc w:val="center"/>
              <w:rPr>
                <w:color w:val="auto"/>
                <w:kern w:val="0"/>
                <w:sz w:val="20"/>
                <w:szCs w:val="20"/>
                <w:highlight w:val="none"/>
              </w:rPr>
            </w:pPr>
            <w:r>
              <w:rPr>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04BA87F1">
            <w:pPr>
              <w:widowControl/>
              <w:jc w:val="center"/>
              <w:rPr>
                <w:color w:val="auto"/>
                <w:kern w:val="0"/>
                <w:sz w:val="20"/>
                <w:szCs w:val="20"/>
                <w:highlight w:val="none"/>
              </w:rPr>
            </w:pPr>
            <w:r>
              <w:rPr>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51742F6D">
            <w:pPr>
              <w:widowControl/>
              <w:jc w:val="left"/>
              <w:rPr>
                <w:color w:val="auto"/>
                <w:kern w:val="0"/>
                <w:sz w:val="20"/>
                <w:szCs w:val="20"/>
                <w:highlight w:val="none"/>
              </w:rPr>
            </w:pPr>
            <w:r>
              <w:rPr>
                <w:color w:val="auto"/>
                <w:kern w:val="0"/>
                <w:sz w:val="20"/>
                <w:szCs w:val="20"/>
                <w:highlight w:val="none"/>
              </w:rPr>
              <w:t>《多联式空调（热泵）机组能效限定值及能源效率等级》（GB21454）</w:t>
            </w:r>
          </w:p>
        </w:tc>
      </w:tr>
      <w:tr w14:paraId="2181832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5999DD7">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141626D">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0FAEE01">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8D37B91">
            <w:pPr>
              <w:widowControl/>
              <w:jc w:val="center"/>
              <w:rPr>
                <w:color w:val="auto"/>
                <w:kern w:val="0"/>
                <w:sz w:val="20"/>
                <w:szCs w:val="20"/>
                <w:highlight w:val="none"/>
              </w:rPr>
            </w:pPr>
            <w:r>
              <w:rPr>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4E8AFA38">
            <w:pPr>
              <w:widowControl/>
              <w:jc w:val="left"/>
              <w:rPr>
                <w:color w:val="auto"/>
                <w:kern w:val="0"/>
                <w:sz w:val="20"/>
                <w:szCs w:val="20"/>
                <w:highlight w:val="none"/>
              </w:rPr>
            </w:pPr>
            <w:r>
              <w:rPr>
                <w:color w:val="auto"/>
                <w:kern w:val="0"/>
                <w:sz w:val="20"/>
                <w:szCs w:val="20"/>
                <w:highlight w:val="none"/>
              </w:rPr>
              <w:t>《单元式空气调节机能效限定值及能效等级》（GB19576）《风管送风式空调机组能效限定值及能效等级》（GB37479）</w:t>
            </w:r>
          </w:p>
        </w:tc>
      </w:tr>
      <w:tr w14:paraId="0FBDEDB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AA6991F">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2DE7B92">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C82350A">
            <w:pPr>
              <w:widowControl/>
              <w:jc w:val="center"/>
              <w:rPr>
                <w:color w:val="auto"/>
                <w:kern w:val="0"/>
                <w:sz w:val="20"/>
                <w:szCs w:val="20"/>
                <w:highlight w:val="none"/>
              </w:rPr>
            </w:pPr>
            <w:r>
              <w:rPr>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3E54301A">
            <w:pPr>
              <w:widowControl/>
              <w:jc w:val="center"/>
              <w:rPr>
                <w:color w:val="auto"/>
                <w:kern w:val="0"/>
                <w:sz w:val="20"/>
                <w:szCs w:val="20"/>
                <w:highlight w:val="none"/>
              </w:rPr>
            </w:pPr>
            <w:r>
              <w:rPr>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018B6198">
            <w:pPr>
              <w:widowControl/>
              <w:jc w:val="left"/>
              <w:rPr>
                <w:color w:val="auto"/>
                <w:kern w:val="0"/>
                <w:sz w:val="20"/>
                <w:szCs w:val="20"/>
                <w:highlight w:val="none"/>
              </w:rPr>
            </w:pPr>
            <w:r>
              <w:rPr>
                <w:color w:val="auto"/>
                <w:kern w:val="0"/>
                <w:sz w:val="20"/>
                <w:szCs w:val="20"/>
                <w:highlight w:val="none"/>
              </w:rPr>
              <w:t>《单元式空气调节机能效限定值及能效等级》（GB19576）</w:t>
            </w:r>
          </w:p>
        </w:tc>
      </w:tr>
      <w:tr w14:paraId="1E3700D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F8A45F1">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F083D50">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7F590D4">
            <w:pPr>
              <w:widowControl/>
              <w:jc w:val="center"/>
              <w:rPr>
                <w:color w:val="auto"/>
                <w:kern w:val="0"/>
                <w:sz w:val="20"/>
                <w:szCs w:val="20"/>
                <w:highlight w:val="none"/>
              </w:rPr>
            </w:pPr>
            <w:r>
              <w:rPr>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0BF3213A">
            <w:pPr>
              <w:widowControl/>
              <w:jc w:val="center"/>
              <w:rPr>
                <w:color w:val="auto"/>
                <w:kern w:val="0"/>
                <w:sz w:val="20"/>
                <w:szCs w:val="20"/>
                <w:highlight w:val="none"/>
              </w:rPr>
            </w:pPr>
            <w:r>
              <w:rPr>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37087C5A">
            <w:pPr>
              <w:widowControl/>
              <w:jc w:val="left"/>
              <w:rPr>
                <w:color w:val="auto"/>
                <w:kern w:val="0"/>
                <w:sz w:val="20"/>
                <w:szCs w:val="20"/>
                <w:highlight w:val="none"/>
              </w:rPr>
            </w:pPr>
            <w:r>
              <w:rPr>
                <w:color w:val="auto"/>
                <w:kern w:val="0"/>
                <w:sz w:val="20"/>
                <w:szCs w:val="20"/>
                <w:highlight w:val="none"/>
              </w:rPr>
              <w:t>《机械通风冷却塔第1部分：中小型开式冷却塔》（GB/T7190.1）；《机械通风冷却塔第2部分：大型开式冷却塔》（GB/T7190.2）</w:t>
            </w:r>
          </w:p>
        </w:tc>
      </w:tr>
      <w:tr w14:paraId="4901440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9B44368">
            <w:pPr>
              <w:widowControl/>
              <w:jc w:val="center"/>
              <w:rPr>
                <w:color w:val="auto"/>
                <w:kern w:val="0"/>
                <w:sz w:val="20"/>
                <w:szCs w:val="20"/>
                <w:highlight w:val="none"/>
              </w:rPr>
            </w:pPr>
            <w:r>
              <w:rPr>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216C3CD9">
            <w:pPr>
              <w:widowControl/>
              <w:jc w:val="center"/>
              <w:rPr>
                <w:color w:val="auto"/>
                <w:kern w:val="0"/>
                <w:sz w:val="20"/>
                <w:szCs w:val="20"/>
                <w:highlight w:val="none"/>
              </w:rPr>
            </w:pPr>
            <w:r>
              <w:rPr>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03167E21">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8C4D70A">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5D7EBDB">
            <w:pPr>
              <w:widowControl/>
              <w:jc w:val="left"/>
              <w:rPr>
                <w:color w:val="auto"/>
                <w:kern w:val="0"/>
                <w:sz w:val="20"/>
                <w:szCs w:val="20"/>
                <w:highlight w:val="none"/>
              </w:rPr>
            </w:pPr>
            <w:r>
              <w:rPr>
                <w:color w:val="auto"/>
                <w:kern w:val="0"/>
                <w:sz w:val="20"/>
                <w:szCs w:val="20"/>
                <w:highlight w:val="none"/>
              </w:rPr>
              <w:t>《中小型三相异步电动机能效限定值及能效等级》（GB18613）</w:t>
            </w:r>
          </w:p>
        </w:tc>
      </w:tr>
      <w:tr w14:paraId="6D83F55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C57A464">
            <w:pPr>
              <w:widowControl/>
              <w:jc w:val="center"/>
              <w:rPr>
                <w:color w:val="auto"/>
                <w:kern w:val="0"/>
                <w:sz w:val="20"/>
                <w:szCs w:val="20"/>
                <w:highlight w:val="none"/>
              </w:rPr>
            </w:pPr>
            <w:r>
              <w:rPr>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7C3D42DA">
            <w:pPr>
              <w:widowControl/>
              <w:jc w:val="center"/>
              <w:rPr>
                <w:color w:val="auto"/>
                <w:kern w:val="0"/>
                <w:sz w:val="20"/>
                <w:szCs w:val="20"/>
                <w:highlight w:val="none"/>
              </w:rPr>
            </w:pPr>
            <w:r>
              <w:rPr>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3900DE49">
            <w:pPr>
              <w:widowControl/>
              <w:jc w:val="center"/>
              <w:rPr>
                <w:color w:val="auto"/>
                <w:kern w:val="0"/>
                <w:sz w:val="20"/>
                <w:szCs w:val="20"/>
                <w:highlight w:val="none"/>
              </w:rPr>
            </w:pPr>
            <w:r>
              <w:rPr>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7DF19E39">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DC9AB80">
            <w:pPr>
              <w:widowControl/>
              <w:jc w:val="left"/>
              <w:rPr>
                <w:color w:val="auto"/>
                <w:kern w:val="0"/>
                <w:sz w:val="20"/>
                <w:szCs w:val="20"/>
                <w:highlight w:val="none"/>
              </w:rPr>
            </w:pPr>
            <w:r>
              <w:rPr>
                <w:color w:val="auto"/>
                <w:kern w:val="0"/>
                <w:sz w:val="20"/>
                <w:szCs w:val="20"/>
                <w:highlight w:val="none"/>
              </w:rPr>
              <w:t>《三相配电变压器能效限定值及能效等级》（GB20052）</w:t>
            </w:r>
          </w:p>
        </w:tc>
      </w:tr>
      <w:tr w14:paraId="13CA16B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58CD0EB">
            <w:pPr>
              <w:widowControl/>
              <w:jc w:val="center"/>
              <w:rPr>
                <w:color w:val="auto"/>
                <w:kern w:val="0"/>
                <w:sz w:val="20"/>
                <w:szCs w:val="20"/>
                <w:highlight w:val="none"/>
              </w:rPr>
            </w:pPr>
            <w:r>
              <w:rPr>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15B4BB01">
            <w:pPr>
              <w:widowControl/>
              <w:jc w:val="center"/>
              <w:rPr>
                <w:color w:val="auto"/>
                <w:kern w:val="0"/>
                <w:sz w:val="20"/>
                <w:szCs w:val="20"/>
                <w:highlight w:val="none"/>
              </w:rPr>
            </w:pPr>
            <w:r>
              <w:rPr>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673ABFF5">
            <w:pPr>
              <w:widowControl/>
              <w:jc w:val="center"/>
              <w:rPr>
                <w:color w:val="auto"/>
                <w:kern w:val="0"/>
                <w:sz w:val="20"/>
                <w:szCs w:val="20"/>
                <w:highlight w:val="none"/>
              </w:rPr>
            </w:pPr>
            <w:r>
              <w:rPr>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47E628C4">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0C72AE4">
            <w:pPr>
              <w:widowControl/>
              <w:jc w:val="left"/>
              <w:rPr>
                <w:color w:val="auto"/>
                <w:kern w:val="0"/>
                <w:sz w:val="20"/>
                <w:szCs w:val="20"/>
                <w:highlight w:val="none"/>
              </w:rPr>
            </w:pPr>
            <w:r>
              <w:rPr>
                <w:color w:val="auto"/>
                <w:kern w:val="0"/>
                <w:sz w:val="20"/>
                <w:szCs w:val="20"/>
                <w:highlight w:val="none"/>
              </w:rPr>
              <w:t>《管形荧光灯镇流器能效限定值及能效等级》（GB17896）</w:t>
            </w:r>
          </w:p>
        </w:tc>
      </w:tr>
      <w:tr w14:paraId="60BE5F0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8C5E901">
            <w:pPr>
              <w:widowControl/>
              <w:jc w:val="center"/>
              <w:rPr>
                <w:color w:val="auto"/>
                <w:kern w:val="0"/>
                <w:sz w:val="20"/>
                <w:szCs w:val="20"/>
                <w:highlight w:val="none"/>
              </w:rPr>
            </w:pPr>
            <w:r>
              <w:rPr>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F2E3F95">
            <w:pPr>
              <w:widowControl/>
              <w:jc w:val="center"/>
              <w:rPr>
                <w:color w:val="auto"/>
                <w:kern w:val="0"/>
                <w:sz w:val="20"/>
                <w:szCs w:val="20"/>
                <w:highlight w:val="none"/>
              </w:rPr>
            </w:pPr>
            <w:r>
              <w:rPr>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60ECF8C3">
            <w:pPr>
              <w:widowControl/>
              <w:jc w:val="center"/>
              <w:rPr>
                <w:color w:val="auto"/>
                <w:kern w:val="0"/>
                <w:sz w:val="20"/>
                <w:szCs w:val="20"/>
                <w:highlight w:val="none"/>
              </w:rPr>
            </w:pPr>
            <w:r>
              <w:rPr>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5CF554E5">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F9C1187">
            <w:pPr>
              <w:widowControl/>
              <w:jc w:val="left"/>
              <w:rPr>
                <w:color w:val="auto"/>
                <w:kern w:val="0"/>
                <w:sz w:val="20"/>
                <w:szCs w:val="20"/>
                <w:highlight w:val="none"/>
              </w:rPr>
            </w:pPr>
            <w:r>
              <w:rPr>
                <w:color w:val="auto"/>
                <w:kern w:val="0"/>
                <w:sz w:val="20"/>
                <w:szCs w:val="20"/>
                <w:highlight w:val="none"/>
              </w:rPr>
              <w:t>《家用电冰箱耗电量限定值及能效等级》（GB 12021.2）</w:t>
            </w:r>
          </w:p>
        </w:tc>
      </w:tr>
      <w:tr w14:paraId="317CD643">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7B34D3A">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C2FDE5C">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72F12E2">
            <w:pPr>
              <w:widowControl/>
              <w:jc w:val="center"/>
              <w:rPr>
                <w:color w:val="auto"/>
                <w:kern w:val="0"/>
                <w:sz w:val="20"/>
                <w:szCs w:val="20"/>
                <w:highlight w:val="none"/>
              </w:rPr>
            </w:pPr>
            <w:r>
              <w:rPr>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7A2198E7">
            <w:pPr>
              <w:widowControl/>
              <w:jc w:val="center"/>
              <w:rPr>
                <w:color w:val="auto"/>
                <w:kern w:val="0"/>
                <w:sz w:val="20"/>
                <w:szCs w:val="20"/>
                <w:highlight w:val="none"/>
              </w:rPr>
            </w:pPr>
            <w:r>
              <w:rPr>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53E42675">
            <w:pPr>
              <w:widowControl/>
              <w:jc w:val="left"/>
              <w:rPr>
                <w:color w:val="auto"/>
                <w:kern w:val="0"/>
                <w:sz w:val="20"/>
                <w:szCs w:val="20"/>
                <w:highlight w:val="none"/>
              </w:rPr>
            </w:pPr>
            <w:r>
              <w:rPr>
                <w:color w:val="auto"/>
                <w:kern w:val="0"/>
                <w:sz w:val="20"/>
                <w:szCs w:val="20"/>
                <w:highlight w:val="none"/>
              </w:rPr>
              <w:t>《转速可控型房间空气调节器能效限定值及能效等级》（GB21455-2013），待2019年修订发布后，按《房间空气调节器能效限定值及能效等级》（GB21455-2019</w:t>
            </w:r>
            <w:r>
              <w:rPr>
                <w:rFonts w:hint="eastAsia"/>
                <w:color w:val="auto"/>
                <w:kern w:val="0"/>
                <w:sz w:val="20"/>
                <w:szCs w:val="20"/>
                <w:highlight w:val="none"/>
                <w:lang w:eastAsia="zh-CN"/>
              </w:rPr>
              <w:t>）</w:t>
            </w:r>
            <w:r>
              <w:rPr>
                <w:color w:val="auto"/>
                <w:kern w:val="0"/>
                <w:sz w:val="20"/>
                <w:szCs w:val="20"/>
                <w:highlight w:val="none"/>
              </w:rPr>
              <w:t>实施。</w:t>
            </w:r>
          </w:p>
        </w:tc>
      </w:tr>
      <w:tr w14:paraId="77938E7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C0A9AF6">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FBF5D52">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5FA1F00">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C7D1EC0">
            <w:pPr>
              <w:widowControl/>
              <w:jc w:val="center"/>
              <w:rPr>
                <w:color w:val="auto"/>
                <w:kern w:val="0"/>
                <w:sz w:val="20"/>
                <w:szCs w:val="20"/>
                <w:highlight w:val="none"/>
              </w:rPr>
            </w:pPr>
            <w:r>
              <w:rPr>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2DC178EE">
            <w:pPr>
              <w:widowControl/>
              <w:jc w:val="left"/>
              <w:rPr>
                <w:color w:val="auto"/>
                <w:kern w:val="0"/>
                <w:sz w:val="20"/>
                <w:szCs w:val="20"/>
                <w:highlight w:val="none"/>
              </w:rPr>
            </w:pPr>
            <w:r>
              <w:rPr>
                <w:color w:val="auto"/>
                <w:kern w:val="0"/>
                <w:sz w:val="20"/>
                <w:szCs w:val="20"/>
                <w:highlight w:val="none"/>
              </w:rPr>
              <w:t>《多联式空调（热泵）机组能效限定值及能源效率等级》（GB21454）</w:t>
            </w:r>
          </w:p>
        </w:tc>
      </w:tr>
      <w:tr w14:paraId="0AAE8BF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56434C2">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F528BA9">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51BC935">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F9135CE">
            <w:pPr>
              <w:widowControl/>
              <w:jc w:val="center"/>
              <w:rPr>
                <w:color w:val="auto"/>
                <w:kern w:val="0"/>
                <w:sz w:val="20"/>
                <w:szCs w:val="20"/>
                <w:highlight w:val="none"/>
              </w:rPr>
            </w:pPr>
            <w:r>
              <w:rPr>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2A5AD447">
            <w:pPr>
              <w:widowControl/>
              <w:jc w:val="left"/>
              <w:rPr>
                <w:color w:val="auto"/>
                <w:kern w:val="0"/>
                <w:sz w:val="20"/>
                <w:szCs w:val="20"/>
                <w:highlight w:val="none"/>
              </w:rPr>
            </w:pPr>
            <w:r>
              <w:rPr>
                <w:color w:val="auto"/>
                <w:kern w:val="0"/>
                <w:sz w:val="20"/>
                <w:szCs w:val="20"/>
                <w:highlight w:val="none"/>
              </w:rPr>
              <w:t>《单元式空气调节机能效限定值及能源效率等级》（GB19576）《风管送风式空调机组能效限定值及能效等级》（GB37479）</w:t>
            </w:r>
          </w:p>
        </w:tc>
      </w:tr>
      <w:tr w14:paraId="6EF287E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54CFE21">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FF31B3D">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9D3C486">
            <w:pPr>
              <w:widowControl/>
              <w:jc w:val="center"/>
              <w:rPr>
                <w:color w:val="auto"/>
                <w:kern w:val="0"/>
                <w:sz w:val="20"/>
                <w:szCs w:val="20"/>
                <w:highlight w:val="none"/>
              </w:rPr>
            </w:pPr>
            <w:r>
              <w:rPr>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1D13CC40">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EACB133">
            <w:pPr>
              <w:widowControl/>
              <w:jc w:val="left"/>
              <w:rPr>
                <w:color w:val="auto"/>
                <w:kern w:val="0"/>
                <w:sz w:val="20"/>
                <w:szCs w:val="20"/>
                <w:highlight w:val="none"/>
              </w:rPr>
            </w:pPr>
            <w:r>
              <w:rPr>
                <w:color w:val="auto"/>
                <w:kern w:val="0"/>
                <w:sz w:val="20"/>
                <w:szCs w:val="20"/>
                <w:highlight w:val="none"/>
              </w:rPr>
              <w:t>《电动洗衣机能效水效限定值及等级》（GB12021.4）</w:t>
            </w:r>
          </w:p>
        </w:tc>
      </w:tr>
      <w:tr w14:paraId="5810C11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48BEB49">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549DFFC">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C997737">
            <w:pPr>
              <w:widowControl/>
              <w:jc w:val="center"/>
              <w:rPr>
                <w:color w:val="auto"/>
                <w:kern w:val="0"/>
                <w:sz w:val="20"/>
                <w:szCs w:val="20"/>
                <w:highlight w:val="none"/>
              </w:rPr>
            </w:pPr>
            <w:r>
              <w:rPr>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73A327ED">
            <w:pPr>
              <w:widowControl/>
              <w:jc w:val="center"/>
              <w:rPr>
                <w:color w:val="auto"/>
                <w:kern w:val="0"/>
                <w:sz w:val="20"/>
                <w:szCs w:val="20"/>
                <w:highlight w:val="none"/>
              </w:rPr>
            </w:pPr>
            <w:r>
              <w:rPr>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4BF6D4F3">
            <w:pPr>
              <w:widowControl/>
              <w:jc w:val="left"/>
              <w:rPr>
                <w:color w:val="auto"/>
                <w:kern w:val="0"/>
                <w:sz w:val="20"/>
                <w:szCs w:val="20"/>
                <w:highlight w:val="none"/>
              </w:rPr>
            </w:pPr>
            <w:r>
              <w:rPr>
                <w:color w:val="auto"/>
                <w:kern w:val="0"/>
                <w:sz w:val="20"/>
                <w:szCs w:val="20"/>
                <w:highlight w:val="none"/>
              </w:rPr>
              <w:t>《储水式电热水器能效限定值及能效等级》（GB21519）</w:t>
            </w:r>
          </w:p>
        </w:tc>
      </w:tr>
      <w:tr w14:paraId="6241CAF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AF25A15">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C4A5BC3">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D3CA167">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2D80FE6">
            <w:pPr>
              <w:widowControl/>
              <w:jc w:val="center"/>
              <w:rPr>
                <w:color w:val="auto"/>
                <w:kern w:val="0"/>
                <w:sz w:val="20"/>
                <w:szCs w:val="20"/>
                <w:highlight w:val="none"/>
              </w:rPr>
            </w:pPr>
            <w:r>
              <w:rPr>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0FB258A8">
            <w:pPr>
              <w:widowControl/>
              <w:jc w:val="left"/>
              <w:rPr>
                <w:color w:val="auto"/>
                <w:kern w:val="0"/>
                <w:sz w:val="20"/>
                <w:szCs w:val="20"/>
                <w:highlight w:val="none"/>
              </w:rPr>
            </w:pPr>
            <w:r>
              <w:rPr>
                <w:color w:val="auto"/>
                <w:kern w:val="0"/>
                <w:sz w:val="20"/>
                <w:szCs w:val="20"/>
                <w:highlight w:val="none"/>
              </w:rPr>
              <w:t>《家用燃气快速热水器和燃气采暖热水炉能效限定值及能效等级》（GB20665）</w:t>
            </w:r>
          </w:p>
        </w:tc>
      </w:tr>
      <w:tr w14:paraId="6984F34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9F5BFC8">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6818AB4">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364214D">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38C7E6F">
            <w:pPr>
              <w:widowControl/>
              <w:jc w:val="center"/>
              <w:rPr>
                <w:color w:val="auto"/>
                <w:kern w:val="0"/>
                <w:sz w:val="20"/>
                <w:szCs w:val="20"/>
                <w:highlight w:val="none"/>
              </w:rPr>
            </w:pPr>
            <w:r>
              <w:rPr>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52D85A75">
            <w:pPr>
              <w:widowControl/>
              <w:jc w:val="left"/>
              <w:rPr>
                <w:color w:val="auto"/>
                <w:kern w:val="0"/>
                <w:sz w:val="20"/>
                <w:szCs w:val="20"/>
                <w:highlight w:val="none"/>
              </w:rPr>
            </w:pPr>
            <w:r>
              <w:rPr>
                <w:color w:val="auto"/>
                <w:kern w:val="0"/>
                <w:sz w:val="20"/>
                <w:szCs w:val="20"/>
                <w:highlight w:val="none"/>
              </w:rPr>
              <w:t>《热泵热水机（器）能效限定值及能效等级》（GB29541）</w:t>
            </w:r>
          </w:p>
        </w:tc>
      </w:tr>
      <w:tr w14:paraId="1C7A3CC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007F92A">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FF235A7">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4E43567">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FEBD35E">
            <w:pPr>
              <w:widowControl/>
              <w:jc w:val="center"/>
              <w:rPr>
                <w:color w:val="auto"/>
                <w:kern w:val="0"/>
                <w:sz w:val="20"/>
                <w:szCs w:val="20"/>
                <w:highlight w:val="none"/>
              </w:rPr>
            </w:pPr>
            <w:r>
              <w:rPr>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1AF7CA7A">
            <w:pPr>
              <w:widowControl/>
              <w:jc w:val="left"/>
              <w:rPr>
                <w:color w:val="auto"/>
                <w:kern w:val="0"/>
                <w:sz w:val="20"/>
                <w:szCs w:val="20"/>
                <w:highlight w:val="none"/>
              </w:rPr>
            </w:pPr>
            <w:r>
              <w:rPr>
                <w:color w:val="auto"/>
                <w:kern w:val="0"/>
                <w:sz w:val="20"/>
                <w:szCs w:val="20"/>
                <w:highlight w:val="none"/>
              </w:rPr>
              <w:t>《家用太阳能热水系统能效限定值及能效等级》（GB26969）</w:t>
            </w:r>
          </w:p>
        </w:tc>
      </w:tr>
      <w:tr w14:paraId="1BB1F47A">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6D67F983">
            <w:pPr>
              <w:widowControl/>
              <w:jc w:val="center"/>
              <w:rPr>
                <w:color w:val="auto"/>
                <w:kern w:val="0"/>
                <w:sz w:val="20"/>
                <w:szCs w:val="20"/>
                <w:highlight w:val="none"/>
              </w:rPr>
            </w:pPr>
            <w:r>
              <w:rPr>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0A33CA86">
            <w:pPr>
              <w:widowControl/>
              <w:jc w:val="center"/>
              <w:rPr>
                <w:color w:val="auto"/>
                <w:kern w:val="0"/>
                <w:sz w:val="20"/>
                <w:szCs w:val="20"/>
                <w:highlight w:val="none"/>
              </w:rPr>
            </w:pPr>
            <w:r>
              <w:rPr>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0"/>
            <w:vAlign w:val="center"/>
          </w:tcPr>
          <w:p w14:paraId="454572C6">
            <w:pPr>
              <w:widowControl/>
              <w:jc w:val="center"/>
              <w:rPr>
                <w:color w:val="auto"/>
                <w:kern w:val="0"/>
                <w:sz w:val="20"/>
                <w:szCs w:val="20"/>
                <w:highlight w:val="none"/>
              </w:rPr>
            </w:pPr>
            <w:r>
              <w:rPr>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0"/>
            <w:vAlign w:val="center"/>
          </w:tcPr>
          <w:p w14:paraId="24274121">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17020375">
            <w:pPr>
              <w:widowControl/>
              <w:jc w:val="left"/>
              <w:rPr>
                <w:color w:val="auto"/>
                <w:kern w:val="0"/>
                <w:sz w:val="20"/>
                <w:szCs w:val="20"/>
                <w:highlight w:val="none"/>
              </w:rPr>
            </w:pPr>
            <w:r>
              <w:rPr>
                <w:color w:val="auto"/>
                <w:kern w:val="0"/>
                <w:sz w:val="20"/>
                <w:szCs w:val="20"/>
                <w:highlight w:val="none"/>
              </w:rPr>
              <w:t>《普通照明用双端荧光灯能效限定值及能效等级》（GB19043）</w:t>
            </w:r>
          </w:p>
        </w:tc>
      </w:tr>
      <w:tr w14:paraId="554B99BF">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75BB4B04">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653FE7CD">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76225A02">
            <w:pPr>
              <w:widowControl/>
              <w:jc w:val="center"/>
              <w:rPr>
                <w:color w:val="auto"/>
                <w:kern w:val="0"/>
                <w:sz w:val="20"/>
                <w:szCs w:val="20"/>
                <w:highlight w:val="none"/>
              </w:rPr>
            </w:pPr>
            <w:r>
              <w:rPr>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0"/>
            <w:vAlign w:val="center"/>
          </w:tcPr>
          <w:p w14:paraId="39B9EBE0">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2EC8F414">
            <w:pPr>
              <w:widowControl/>
              <w:jc w:val="left"/>
              <w:rPr>
                <w:color w:val="auto"/>
                <w:kern w:val="0"/>
                <w:sz w:val="20"/>
                <w:szCs w:val="20"/>
                <w:highlight w:val="none"/>
              </w:rPr>
            </w:pPr>
            <w:r>
              <w:rPr>
                <w:color w:val="auto"/>
                <w:kern w:val="0"/>
                <w:sz w:val="20"/>
                <w:szCs w:val="20"/>
                <w:highlight w:val="none"/>
              </w:rPr>
              <w:t>《道路和隧道照明用LED灯具能效限定值及能效等级》（GB37478）</w:t>
            </w:r>
          </w:p>
        </w:tc>
      </w:tr>
      <w:tr w14:paraId="004943C8">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7C25B70">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CA778CC">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390CB6F4">
            <w:pPr>
              <w:widowControl/>
              <w:jc w:val="center"/>
              <w:rPr>
                <w:color w:val="auto"/>
                <w:kern w:val="0"/>
                <w:sz w:val="20"/>
                <w:szCs w:val="20"/>
                <w:highlight w:val="none"/>
              </w:rPr>
            </w:pPr>
            <w:r>
              <w:rPr>
                <w:color w:val="auto"/>
                <w:kern w:val="0"/>
                <w:sz w:val="20"/>
                <w:szCs w:val="20"/>
                <w:highlight w:val="none"/>
              </w:rPr>
              <w:t>LED筒灯</w:t>
            </w:r>
          </w:p>
        </w:tc>
        <w:tc>
          <w:tcPr>
            <w:tcW w:w="1620" w:type="dxa"/>
            <w:tcBorders>
              <w:top w:val="nil"/>
              <w:left w:val="nil"/>
              <w:bottom w:val="single" w:color="auto" w:sz="8" w:space="0"/>
              <w:right w:val="single" w:color="auto" w:sz="8" w:space="0"/>
            </w:tcBorders>
            <w:noWrap w:val="0"/>
            <w:vAlign w:val="center"/>
          </w:tcPr>
          <w:p w14:paraId="1A764395">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3B59275B">
            <w:pPr>
              <w:widowControl/>
              <w:jc w:val="left"/>
              <w:rPr>
                <w:color w:val="auto"/>
                <w:kern w:val="0"/>
                <w:sz w:val="20"/>
                <w:szCs w:val="20"/>
                <w:highlight w:val="none"/>
              </w:rPr>
            </w:pPr>
            <w:r>
              <w:rPr>
                <w:color w:val="auto"/>
                <w:kern w:val="0"/>
                <w:sz w:val="20"/>
                <w:szCs w:val="20"/>
                <w:highlight w:val="none"/>
              </w:rPr>
              <w:t>《室内照明用LED产品能效限定值及能效等级》（GB30255）</w:t>
            </w:r>
          </w:p>
        </w:tc>
      </w:tr>
      <w:tr w14:paraId="489167C8">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7C7EAED6">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1F557D3">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04084B9A">
            <w:pPr>
              <w:widowControl/>
              <w:jc w:val="center"/>
              <w:rPr>
                <w:color w:val="auto"/>
                <w:kern w:val="0"/>
                <w:sz w:val="20"/>
                <w:szCs w:val="20"/>
                <w:highlight w:val="none"/>
              </w:rPr>
            </w:pPr>
            <w:r>
              <w:rPr>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0"/>
            <w:vAlign w:val="center"/>
          </w:tcPr>
          <w:p w14:paraId="1E537FC7">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473AEC42">
            <w:pPr>
              <w:widowControl/>
              <w:jc w:val="left"/>
              <w:rPr>
                <w:color w:val="auto"/>
                <w:kern w:val="0"/>
                <w:sz w:val="20"/>
                <w:szCs w:val="20"/>
                <w:highlight w:val="none"/>
              </w:rPr>
            </w:pPr>
            <w:r>
              <w:rPr>
                <w:color w:val="auto"/>
                <w:kern w:val="0"/>
                <w:sz w:val="20"/>
                <w:szCs w:val="20"/>
                <w:highlight w:val="none"/>
              </w:rPr>
              <w:t>《室内照明用LED产品能效限定值及能效等级》（GB30255）</w:t>
            </w:r>
          </w:p>
        </w:tc>
      </w:tr>
      <w:tr w14:paraId="4729C600">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7779E690">
            <w:pPr>
              <w:widowControl/>
              <w:jc w:val="center"/>
              <w:rPr>
                <w:color w:val="auto"/>
                <w:kern w:val="0"/>
                <w:sz w:val="20"/>
                <w:szCs w:val="20"/>
                <w:highlight w:val="none"/>
              </w:rPr>
            </w:pPr>
            <w:r>
              <w:rPr>
                <w:color w:val="auto"/>
                <w:kern w:val="0"/>
                <w:sz w:val="20"/>
                <w:szCs w:val="20"/>
                <w:highlight w:val="none"/>
              </w:rPr>
              <w:t>12</w:t>
            </w:r>
          </w:p>
        </w:tc>
        <w:tc>
          <w:tcPr>
            <w:tcW w:w="1080" w:type="dxa"/>
            <w:tcBorders>
              <w:top w:val="nil"/>
              <w:left w:val="nil"/>
              <w:bottom w:val="single" w:color="auto" w:sz="8" w:space="0"/>
              <w:right w:val="single" w:color="auto" w:sz="8" w:space="0"/>
            </w:tcBorders>
            <w:noWrap w:val="0"/>
            <w:vAlign w:val="center"/>
          </w:tcPr>
          <w:p w14:paraId="791BFB56">
            <w:pPr>
              <w:widowControl/>
              <w:jc w:val="center"/>
              <w:rPr>
                <w:color w:val="auto"/>
                <w:kern w:val="0"/>
                <w:sz w:val="20"/>
                <w:szCs w:val="20"/>
                <w:highlight w:val="none"/>
              </w:rPr>
            </w:pPr>
            <w:r>
              <w:rPr>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0"/>
            <w:vAlign w:val="center"/>
          </w:tcPr>
          <w:p w14:paraId="3C086A9C">
            <w:pPr>
              <w:widowControl/>
              <w:jc w:val="center"/>
              <w:rPr>
                <w:color w:val="auto"/>
                <w:kern w:val="0"/>
                <w:sz w:val="20"/>
                <w:szCs w:val="20"/>
                <w:highlight w:val="none"/>
              </w:rPr>
            </w:pPr>
            <w:r>
              <w:rPr>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0"/>
            <w:vAlign w:val="center"/>
          </w:tcPr>
          <w:p w14:paraId="36DB6F1F">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5A7FB46D">
            <w:pPr>
              <w:widowControl/>
              <w:jc w:val="left"/>
              <w:rPr>
                <w:color w:val="auto"/>
                <w:kern w:val="0"/>
                <w:sz w:val="20"/>
                <w:szCs w:val="20"/>
                <w:highlight w:val="none"/>
              </w:rPr>
            </w:pPr>
            <w:r>
              <w:rPr>
                <w:color w:val="auto"/>
                <w:kern w:val="0"/>
                <w:sz w:val="20"/>
                <w:szCs w:val="20"/>
                <w:highlight w:val="none"/>
              </w:rPr>
              <w:t>《平板电视能效限定值及能效等级》（GB24850）</w:t>
            </w:r>
          </w:p>
        </w:tc>
      </w:tr>
      <w:tr w14:paraId="6EF9A3AE">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0FFFB173">
            <w:pPr>
              <w:widowControl/>
              <w:jc w:val="center"/>
              <w:rPr>
                <w:color w:val="auto"/>
                <w:kern w:val="0"/>
                <w:sz w:val="20"/>
                <w:szCs w:val="20"/>
                <w:highlight w:val="none"/>
              </w:rPr>
            </w:pPr>
            <w:r>
              <w:rPr>
                <w:color w:val="auto"/>
                <w:kern w:val="0"/>
                <w:sz w:val="20"/>
                <w:szCs w:val="20"/>
                <w:highlight w:val="none"/>
              </w:rPr>
              <w:t>13</w:t>
            </w:r>
          </w:p>
        </w:tc>
        <w:tc>
          <w:tcPr>
            <w:tcW w:w="1080" w:type="dxa"/>
            <w:tcBorders>
              <w:top w:val="nil"/>
              <w:left w:val="nil"/>
              <w:bottom w:val="single" w:color="auto" w:sz="8" w:space="0"/>
              <w:right w:val="single" w:color="auto" w:sz="8" w:space="0"/>
            </w:tcBorders>
            <w:noWrap w:val="0"/>
            <w:vAlign w:val="center"/>
          </w:tcPr>
          <w:p w14:paraId="034527E9">
            <w:pPr>
              <w:widowControl/>
              <w:jc w:val="center"/>
              <w:rPr>
                <w:color w:val="auto"/>
                <w:kern w:val="0"/>
                <w:sz w:val="20"/>
                <w:szCs w:val="20"/>
                <w:highlight w:val="none"/>
              </w:rPr>
            </w:pPr>
            <w:r>
              <w:rPr>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0"/>
            <w:vAlign w:val="center"/>
          </w:tcPr>
          <w:p w14:paraId="103B4BAB">
            <w:pPr>
              <w:widowControl/>
              <w:jc w:val="center"/>
              <w:rPr>
                <w:color w:val="auto"/>
                <w:kern w:val="0"/>
                <w:sz w:val="20"/>
                <w:szCs w:val="20"/>
                <w:highlight w:val="none"/>
              </w:rPr>
            </w:pPr>
            <w:r>
              <w:rPr>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0"/>
            <w:vAlign w:val="center"/>
          </w:tcPr>
          <w:p w14:paraId="537C553D">
            <w:pPr>
              <w:widowControl/>
              <w:jc w:val="center"/>
              <w:rPr>
                <w:color w:val="auto"/>
                <w:kern w:val="0"/>
                <w:sz w:val="20"/>
                <w:szCs w:val="20"/>
                <w:highlight w:val="none"/>
              </w:rPr>
            </w:pPr>
            <w:r>
              <w:rPr>
                <w:color w:val="auto"/>
                <w:kern w:val="0"/>
                <w:sz w:val="20"/>
                <w:szCs w:val="20"/>
                <w:highlight w:val="none"/>
              </w:rPr>
              <w:t>监视器</w:t>
            </w:r>
          </w:p>
        </w:tc>
        <w:tc>
          <w:tcPr>
            <w:tcW w:w="4540" w:type="dxa"/>
            <w:tcBorders>
              <w:top w:val="nil"/>
              <w:left w:val="nil"/>
              <w:bottom w:val="single" w:color="auto" w:sz="8" w:space="0"/>
              <w:right w:val="single" w:color="auto" w:sz="8" w:space="0"/>
            </w:tcBorders>
            <w:noWrap w:val="0"/>
            <w:vAlign w:val="center"/>
          </w:tcPr>
          <w:p w14:paraId="46513831">
            <w:pPr>
              <w:widowControl/>
              <w:jc w:val="left"/>
              <w:rPr>
                <w:color w:val="auto"/>
                <w:kern w:val="0"/>
                <w:sz w:val="20"/>
                <w:szCs w:val="20"/>
                <w:highlight w:val="none"/>
              </w:rPr>
            </w:pPr>
            <w:r>
              <w:rPr>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FEADE83">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48512C0E">
            <w:pPr>
              <w:widowControl/>
              <w:jc w:val="center"/>
              <w:rPr>
                <w:color w:val="auto"/>
                <w:kern w:val="0"/>
                <w:sz w:val="20"/>
                <w:szCs w:val="20"/>
                <w:highlight w:val="none"/>
              </w:rPr>
            </w:pPr>
            <w:r>
              <w:rPr>
                <w:color w:val="auto"/>
                <w:kern w:val="0"/>
                <w:sz w:val="20"/>
                <w:szCs w:val="20"/>
                <w:highlight w:val="none"/>
              </w:rPr>
              <w:t>14</w:t>
            </w:r>
          </w:p>
        </w:tc>
        <w:tc>
          <w:tcPr>
            <w:tcW w:w="1080" w:type="dxa"/>
            <w:tcBorders>
              <w:top w:val="nil"/>
              <w:left w:val="nil"/>
              <w:bottom w:val="single" w:color="auto" w:sz="8" w:space="0"/>
              <w:right w:val="single" w:color="auto" w:sz="8" w:space="0"/>
            </w:tcBorders>
            <w:noWrap w:val="0"/>
            <w:vAlign w:val="center"/>
          </w:tcPr>
          <w:p w14:paraId="3602DE86">
            <w:pPr>
              <w:widowControl/>
              <w:jc w:val="center"/>
              <w:rPr>
                <w:color w:val="auto"/>
                <w:kern w:val="0"/>
                <w:sz w:val="20"/>
                <w:szCs w:val="20"/>
                <w:highlight w:val="none"/>
              </w:rPr>
            </w:pPr>
            <w:r>
              <w:rPr>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0"/>
            <w:vAlign w:val="center"/>
          </w:tcPr>
          <w:p w14:paraId="57ECE4A4">
            <w:pPr>
              <w:widowControl/>
              <w:jc w:val="center"/>
              <w:rPr>
                <w:color w:val="auto"/>
                <w:kern w:val="0"/>
                <w:sz w:val="20"/>
                <w:szCs w:val="20"/>
                <w:highlight w:val="none"/>
              </w:rPr>
            </w:pPr>
            <w:r>
              <w:rPr>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0"/>
            <w:vAlign w:val="center"/>
          </w:tcPr>
          <w:p w14:paraId="04AD0EEF">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176E964D">
            <w:pPr>
              <w:widowControl/>
              <w:jc w:val="left"/>
              <w:rPr>
                <w:color w:val="auto"/>
                <w:kern w:val="0"/>
                <w:sz w:val="20"/>
                <w:szCs w:val="20"/>
                <w:highlight w:val="none"/>
              </w:rPr>
            </w:pPr>
            <w:r>
              <w:rPr>
                <w:color w:val="auto"/>
                <w:kern w:val="0"/>
                <w:sz w:val="20"/>
                <w:szCs w:val="20"/>
                <w:highlight w:val="none"/>
              </w:rPr>
              <w:t>《商用燃气灶具能效限定值及能效等级》（GB30531）</w:t>
            </w:r>
          </w:p>
        </w:tc>
      </w:tr>
      <w:tr w14:paraId="4997470D">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2E7D5847">
            <w:pPr>
              <w:widowControl/>
              <w:jc w:val="center"/>
              <w:rPr>
                <w:color w:val="auto"/>
                <w:kern w:val="0"/>
                <w:sz w:val="20"/>
                <w:szCs w:val="20"/>
                <w:highlight w:val="none"/>
              </w:rPr>
            </w:pPr>
            <w:r>
              <w:rPr>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17A36C1D">
            <w:pPr>
              <w:widowControl/>
              <w:jc w:val="center"/>
              <w:rPr>
                <w:color w:val="auto"/>
                <w:kern w:val="0"/>
                <w:sz w:val="20"/>
                <w:szCs w:val="20"/>
                <w:highlight w:val="none"/>
              </w:rPr>
            </w:pPr>
            <w:r>
              <w:rPr>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0"/>
            <w:vAlign w:val="center"/>
          </w:tcPr>
          <w:p w14:paraId="74EF5A0C">
            <w:pPr>
              <w:widowControl/>
              <w:jc w:val="center"/>
              <w:rPr>
                <w:color w:val="auto"/>
                <w:kern w:val="0"/>
                <w:sz w:val="20"/>
                <w:szCs w:val="20"/>
                <w:highlight w:val="none"/>
              </w:rPr>
            </w:pPr>
            <w:r>
              <w:rPr>
                <w:color w:val="auto"/>
                <w:kern w:val="0"/>
                <w:sz w:val="20"/>
                <w:szCs w:val="20"/>
                <w:highlight w:val="none"/>
              </w:rPr>
              <w:t>坐便器</w:t>
            </w:r>
          </w:p>
        </w:tc>
        <w:tc>
          <w:tcPr>
            <w:tcW w:w="1620" w:type="dxa"/>
            <w:tcBorders>
              <w:top w:val="nil"/>
              <w:left w:val="nil"/>
              <w:bottom w:val="single" w:color="auto" w:sz="8" w:space="0"/>
              <w:right w:val="single" w:color="auto" w:sz="8" w:space="0"/>
            </w:tcBorders>
            <w:noWrap w:val="0"/>
            <w:vAlign w:val="center"/>
          </w:tcPr>
          <w:p w14:paraId="57F84A43">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162C8DC6">
            <w:pPr>
              <w:widowControl/>
              <w:jc w:val="left"/>
              <w:rPr>
                <w:color w:val="auto"/>
                <w:kern w:val="0"/>
                <w:sz w:val="20"/>
                <w:szCs w:val="20"/>
                <w:highlight w:val="none"/>
              </w:rPr>
            </w:pPr>
            <w:r>
              <w:rPr>
                <w:color w:val="auto"/>
                <w:kern w:val="0"/>
                <w:sz w:val="20"/>
                <w:szCs w:val="20"/>
                <w:highlight w:val="none"/>
              </w:rPr>
              <w:t>《坐便器水效限定值及水效等级》（GB25502）</w:t>
            </w:r>
          </w:p>
        </w:tc>
      </w:tr>
      <w:tr w14:paraId="12E6C986">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89268DA">
            <w:pPr>
              <w:widowControl/>
              <w:jc w:val="left"/>
              <w:rPr>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BC981E1">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41A94A69">
            <w:pPr>
              <w:widowControl/>
              <w:jc w:val="center"/>
              <w:rPr>
                <w:color w:val="auto"/>
                <w:kern w:val="0"/>
                <w:sz w:val="20"/>
                <w:szCs w:val="20"/>
                <w:highlight w:val="none"/>
              </w:rPr>
            </w:pPr>
            <w:r>
              <w:rPr>
                <w:color w:val="auto"/>
                <w:kern w:val="0"/>
                <w:sz w:val="20"/>
                <w:szCs w:val="20"/>
                <w:highlight w:val="none"/>
              </w:rPr>
              <w:t>蹲便器</w:t>
            </w:r>
          </w:p>
        </w:tc>
        <w:tc>
          <w:tcPr>
            <w:tcW w:w="1620" w:type="dxa"/>
            <w:tcBorders>
              <w:top w:val="nil"/>
              <w:left w:val="nil"/>
              <w:bottom w:val="single" w:color="auto" w:sz="8" w:space="0"/>
              <w:right w:val="single" w:color="auto" w:sz="8" w:space="0"/>
            </w:tcBorders>
            <w:noWrap w:val="0"/>
            <w:vAlign w:val="center"/>
          </w:tcPr>
          <w:p w14:paraId="3B476AA6">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617359C0">
            <w:pPr>
              <w:widowControl/>
              <w:jc w:val="left"/>
              <w:rPr>
                <w:color w:val="auto"/>
                <w:kern w:val="0"/>
                <w:sz w:val="20"/>
                <w:szCs w:val="20"/>
                <w:highlight w:val="none"/>
              </w:rPr>
            </w:pPr>
            <w:r>
              <w:rPr>
                <w:color w:val="auto"/>
                <w:kern w:val="0"/>
                <w:sz w:val="20"/>
                <w:szCs w:val="20"/>
                <w:highlight w:val="none"/>
              </w:rPr>
              <w:t>《蹲便器用水效率限定值及用水效率等级》（GB30717）</w:t>
            </w:r>
          </w:p>
        </w:tc>
      </w:tr>
      <w:tr w14:paraId="056430C6">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3BEDCC27">
            <w:pPr>
              <w:widowControl/>
              <w:jc w:val="left"/>
              <w:rPr>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253BDCD">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0F8AD340">
            <w:pPr>
              <w:widowControl/>
              <w:jc w:val="center"/>
              <w:rPr>
                <w:color w:val="auto"/>
                <w:kern w:val="0"/>
                <w:sz w:val="20"/>
                <w:szCs w:val="20"/>
                <w:highlight w:val="none"/>
              </w:rPr>
            </w:pPr>
            <w:r>
              <w:rPr>
                <w:color w:val="auto"/>
                <w:kern w:val="0"/>
                <w:sz w:val="20"/>
                <w:szCs w:val="20"/>
                <w:highlight w:val="none"/>
              </w:rPr>
              <w:t>小便器</w:t>
            </w:r>
          </w:p>
        </w:tc>
        <w:tc>
          <w:tcPr>
            <w:tcW w:w="1620" w:type="dxa"/>
            <w:tcBorders>
              <w:top w:val="nil"/>
              <w:left w:val="nil"/>
              <w:bottom w:val="single" w:color="auto" w:sz="8" w:space="0"/>
              <w:right w:val="single" w:color="auto" w:sz="8" w:space="0"/>
            </w:tcBorders>
            <w:noWrap w:val="0"/>
            <w:vAlign w:val="center"/>
          </w:tcPr>
          <w:p w14:paraId="597A309C">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6A543765">
            <w:pPr>
              <w:widowControl/>
              <w:jc w:val="left"/>
              <w:rPr>
                <w:color w:val="auto"/>
                <w:kern w:val="0"/>
                <w:sz w:val="20"/>
                <w:szCs w:val="20"/>
                <w:highlight w:val="none"/>
              </w:rPr>
            </w:pPr>
            <w:r>
              <w:rPr>
                <w:color w:val="auto"/>
                <w:kern w:val="0"/>
                <w:sz w:val="20"/>
                <w:szCs w:val="20"/>
                <w:highlight w:val="none"/>
              </w:rPr>
              <w:t>《小便器用水效率限定值及用水效率等级》（GB28377）</w:t>
            </w:r>
          </w:p>
        </w:tc>
      </w:tr>
      <w:tr w14:paraId="78A6C8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CC8BD1C">
            <w:pPr>
              <w:widowControl/>
              <w:jc w:val="center"/>
              <w:rPr>
                <w:color w:val="auto"/>
                <w:kern w:val="0"/>
                <w:sz w:val="20"/>
                <w:szCs w:val="20"/>
                <w:highlight w:val="none"/>
              </w:rPr>
            </w:pPr>
            <w:r>
              <w:rPr>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2E90AA17">
            <w:pPr>
              <w:widowControl/>
              <w:jc w:val="center"/>
              <w:rPr>
                <w:color w:val="auto"/>
                <w:kern w:val="0"/>
                <w:sz w:val="20"/>
                <w:szCs w:val="20"/>
                <w:highlight w:val="none"/>
              </w:rPr>
            </w:pPr>
            <w:r>
              <w:rPr>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3F5B61E6">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31FCF274">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7BE4BEA">
            <w:pPr>
              <w:widowControl/>
              <w:jc w:val="left"/>
              <w:rPr>
                <w:color w:val="auto"/>
                <w:kern w:val="0"/>
                <w:sz w:val="20"/>
                <w:szCs w:val="20"/>
                <w:highlight w:val="none"/>
              </w:rPr>
            </w:pPr>
            <w:r>
              <w:rPr>
                <w:color w:val="auto"/>
                <w:kern w:val="0"/>
                <w:sz w:val="20"/>
                <w:szCs w:val="20"/>
                <w:highlight w:val="none"/>
              </w:rPr>
              <w:t>《水嘴用水效率限定值及用水效率等级》（GB 25501）</w:t>
            </w:r>
          </w:p>
        </w:tc>
      </w:tr>
      <w:tr w14:paraId="082DFF0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1C64FCC">
            <w:pPr>
              <w:widowControl/>
              <w:jc w:val="center"/>
              <w:rPr>
                <w:color w:val="auto"/>
                <w:kern w:val="0"/>
                <w:sz w:val="20"/>
                <w:szCs w:val="20"/>
                <w:highlight w:val="none"/>
              </w:rPr>
            </w:pPr>
            <w:r>
              <w:rPr>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2BD3730F">
            <w:pPr>
              <w:widowControl/>
              <w:jc w:val="center"/>
              <w:rPr>
                <w:color w:val="auto"/>
                <w:kern w:val="0"/>
                <w:sz w:val="20"/>
                <w:szCs w:val="20"/>
                <w:highlight w:val="none"/>
              </w:rPr>
            </w:pPr>
            <w:r>
              <w:rPr>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50C80C87">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985AEE7">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FCCA70C">
            <w:pPr>
              <w:widowControl/>
              <w:jc w:val="left"/>
              <w:rPr>
                <w:color w:val="auto"/>
                <w:kern w:val="0"/>
                <w:sz w:val="20"/>
                <w:szCs w:val="20"/>
                <w:highlight w:val="none"/>
              </w:rPr>
            </w:pPr>
            <w:r>
              <w:rPr>
                <w:color w:val="auto"/>
                <w:kern w:val="0"/>
                <w:sz w:val="20"/>
                <w:szCs w:val="20"/>
                <w:highlight w:val="none"/>
              </w:rPr>
              <w:t>《便器冲洗阀用水效率限定值及用水效率等级》（GB28379）</w:t>
            </w:r>
          </w:p>
        </w:tc>
      </w:tr>
      <w:tr w14:paraId="1209E7C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843FDE4">
            <w:pPr>
              <w:widowControl/>
              <w:jc w:val="center"/>
              <w:rPr>
                <w:color w:val="auto"/>
                <w:kern w:val="0"/>
                <w:sz w:val="20"/>
                <w:szCs w:val="20"/>
                <w:highlight w:val="none"/>
              </w:rPr>
            </w:pPr>
            <w:r>
              <w:rPr>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6C9732FA">
            <w:pPr>
              <w:widowControl/>
              <w:jc w:val="center"/>
              <w:rPr>
                <w:color w:val="auto"/>
                <w:kern w:val="0"/>
                <w:sz w:val="20"/>
                <w:szCs w:val="20"/>
                <w:highlight w:val="none"/>
              </w:rPr>
            </w:pPr>
            <w:r>
              <w:rPr>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6374713C">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13791F7">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9723615">
            <w:pPr>
              <w:widowControl/>
              <w:jc w:val="left"/>
              <w:rPr>
                <w:color w:val="auto"/>
                <w:kern w:val="0"/>
                <w:sz w:val="20"/>
                <w:szCs w:val="20"/>
                <w:highlight w:val="none"/>
              </w:rPr>
            </w:pPr>
            <w:r>
              <w:rPr>
                <w:color w:val="auto"/>
                <w:kern w:val="0"/>
                <w:sz w:val="20"/>
                <w:szCs w:val="20"/>
                <w:highlight w:val="none"/>
              </w:rPr>
              <w:t>《淋浴器用水效率限定值及用水效率等级》（GB28378）</w:t>
            </w:r>
          </w:p>
        </w:tc>
      </w:tr>
    </w:tbl>
    <w:p w14:paraId="67876980">
      <w:pPr>
        <w:widowControl/>
        <w:rPr>
          <w:color w:val="auto"/>
          <w:sz w:val="20"/>
          <w:szCs w:val="20"/>
          <w:highlight w:val="none"/>
        </w:rPr>
      </w:pPr>
    </w:p>
    <w:p w14:paraId="069E46FD">
      <w:pPr>
        <w:pStyle w:val="13"/>
        <w:spacing w:line="360" w:lineRule="auto"/>
        <w:ind w:firstLine="408"/>
        <w:rPr>
          <w:color w:val="auto"/>
          <w:szCs w:val="21"/>
          <w:highlight w:val="none"/>
        </w:rPr>
      </w:pPr>
      <w:r>
        <w:rPr>
          <w:color w:val="auto"/>
          <w:spacing w:val="-3"/>
          <w:szCs w:val="21"/>
          <w:highlight w:val="none"/>
        </w:rPr>
        <w:t>注：1.节能产品认证应依据相关国家标准的最新版本，依据国家标准中二级能效（水效）</w:t>
      </w:r>
      <w:r>
        <w:rPr>
          <w:color w:val="auto"/>
          <w:szCs w:val="21"/>
          <w:highlight w:val="none"/>
        </w:rPr>
        <w:t>指标。</w:t>
      </w:r>
    </w:p>
    <w:p w14:paraId="6494D4AE">
      <w:pPr>
        <w:pStyle w:val="13"/>
        <w:spacing w:line="360" w:lineRule="auto"/>
        <w:rPr>
          <w:b/>
          <w:bCs/>
          <w:color w:val="auto"/>
          <w:szCs w:val="21"/>
          <w:highlight w:val="none"/>
        </w:rPr>
      </w:pPr>
      <w:r>
        <w:rPr>
          <w:color w:val="auto"/>
          <w:szCs w:val="21"/>
          <w:highlight w:val="none"/>
        </w:rPr>
        <w:t xml:space="preserve">   </w:t>
      </w:r>
      <w:r>
        <w:rPr>
          <w:color w:val="auto"/>
          <w:szCs w:val="21"/>
          <w:highlight w:val="none"/>
          <w:lang w:val="en-US" w:eastAsia="zh-CN"/>
        </w:rPr>
        <w:t xml:space="preserve">    </w:t>
      </w:r>
      <w:r>
        <w:rPr>
          <w:color w:val="auto"/>
          <w:szCs w:val="21"/>
          <w:highlight w:val="none"/>
        </w:rPr>
        <w:t xml:space="preserve"> 2</w:t>
      </w:r>
      <w:r>
        <w:rPr>
          <w:b/>
          <w:bCs/>
          <w:color w:val="auto"/>
          <w:szCs w:val="21"/>
          <w:highlight w:val="none"/>
        </w:rPr>
        <w:t>.以</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标注的为政府强制采购产品。</w:t>
      </w:r>
    </w:p>
    <w:p w14:paraId="5B338598">
      <w:pPr>
        <w:pStyle w:val="13"/>
        <w:spacing w:line="360" w:lineRule="auto"/>
        <w:rPr>
          <w:color w:val="auto"/>
          <w:spacing w:val="-3"/>
          <w:szCs w:val="21"/>
          <w:highlight w:val="none"/>
        </w:rPr>
      </w:pPr>
    </w:p>
    <w:p w14:paraId="6C526C9B">
      <w:pPr>
        <w:rPr>
          <w:color w:val="auto"/>
          <w:spacing w:val="-3"/>
          <w:szCs w:val="21"/>
          <w:highlight w:val="none"/>
        </w:rPr>
      </w:pPr>
    </w:p>
    <w:p w14:paraId="51161A60">
      <w:pPr>
        <w:pStyle w:val="7"/>
        <w:rPr>
          <w:rFonts w:eastAsia="Arial Unicode MS"/>
          <w:color w:val="auto"/>
          <w:kern w:val="0"/>
          <w:sz w:val="32"/>
          <w:szCs w:val="32"/>
          <w:highlight w:val="none"/>
        </w:rPr>
      </w:pPr>
      <w:r>
        <w:rPr>
          <w:color w:val="auto"/>
          <w:highlight w:val="none"/>
        </w:rPr>
        <w:br w:type="page"/>
      </w:r>
      <w:r>
        <w:rPr>
          <w:rFonts w:eastAsia="Arial Unicode MS"/>
          <w:color w:val="auto"/>
          <w:kern w:val="0"/>
          <w:sz w:val="32"/>
          <w:szCs w:val="32"/>
          <w:highlight w:val="none"/>
        </w:rPr>
        <w:t>附件2：</w:t>
      </w:r>
    </w:p>
    <w:p w14:paraId="3BB708D7">
      <w:pPr>
        <w:widowControl/>
        <w:spacing w:before="120" w:beforeLines="50" w:after="120" w:afterLines="50" w:line="280" w:lineRule="exact"/>
        <w:jc w:val="center"/>
        <w:rPr>
          <w:b/>
          <w:bCs/>
          <w:color w:val="auto"/>
          <w:kern w:val="0"/>
          <w:sz w:val="30"/>
          <w:szCs w:val="30"/>
          <w:highlight w:val="none"/>
        </w:rPr>
      </w:pPr>
      <w:bookmarkStart w:id="57" w:name="_Toc28361_WPSOffice_Level2"/>
      <w:r>
        <w:rPr>
          <w:b/>
          <w:bCs/>
          <w:color w:val="auto"/>
          <w:kern w:val="0"/>
          <w:sz w:val="30"/>
          <w:szCs w:val="30"/>
          <w:highlight w:val="none"/>
        </w:rPr>
        <w:t>统计上大中小微型企业划分标准</w:t>
      </w:r>
      <w:bookmarkEnd w:id="57"/>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87F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auto"/>
            <w:noWrap w:val="0"/>
            <w:vAlign w:val="center"/>
          </w:tcPr>
          <w:p w14:paraId="2B9C760C">
            <w:pPr>
              <w:widowControl/>
              <w:spacing w:line="280" w:lineRule="exact"/>
              <w:jc w:val="center"/>
              <w:rPr>
                <w:b/>
                <w:bCs/>
                <w:color w:val="auto"/>
                <w:kern w:val="0"/>
                <w:sz w:val="18"/>
                <w:szCs w:val="21"/>
                <w:highlight w:val="none"/>
              </w:rPr>
            </w:pPr>
            <w:r>
              <w:rPr>
                <w:b/>
                <w:bCs/>
                <w:color w:val="auto"/>
                <w:kern w:val="0"/>
                <w:sz w:val="18"/>
                <w:szCs w:val="21"/>
                <w:highlight w:val="none"/>
              </w:rPr>
              <w:t>行业名称</w:t>
            </w:r>
          </w:p>
        </w:tc>
        <w:tc>
          <w:tcPr>
            <w:tcW w:w="1369" w:type="dxa"/>
            <w:shd w:val="clear" w:color="auto" w:fill="auto"/>
            <w:noWrap w:val="0"/>
            <w:vAlign w:val="center"/>
          </w:tcPr>
          <w:p w14:paraId="2667FFCA">
            <w:pPr>
              <w:widowControl/>
              <w:spacing w:line="280" w:lineRule="exact"/>
              <w:jc w:val="center"/>
              <w:rPr>
                <w:b/>
                <w:bCs/>
                <w:color w:val="auto"/>
                <w:kern w:val="0"/>
                <w:sz w:val="18"/>
                <w:szCs w:val="18"/>
                <w:highlight w:val="none"/>
              </w:rPr>
            </w:pPr>
            <w:r>
              <w:rPr>
                <w:b/>
                <w:bCs/>
                <w:color w:val="auto"/>
                <w:kern w:val="0"/>
                <w:sz w:val="18"/>
                <w:szCs w:val="18"/>
                <w:highlight w:val="none"/>
              </w:rPr>
              <w:t>指标名称</w:t>
            </w:r>
          </w:p>
        </w:tc>
        <w:tc>
          <w:tcPr>
            <w:tcW w:w="709" w:type="dxa"/>
            <w:shd w:val="clear" w:color="auto" w:fill="auto"/>
            <w:noWrap w:val="0"/>
            <w:vAlign w:val="center"/>
          </w:tcPr>
          <w:p w14:paraId="66FDBFF2">
            <w:pPr>
              <w:widowControl/>
              <w:spacing w:line="280" w:lineRule="exact"/>
              <w:jc w:val="center"/>
              <w:rPr>
                <w:b/>
                <w:bCs/>
                <w:color w:val="auto"/>
                <w:kern w:val="0"/>
                <w:sz w:val="18"/>
                <w:szCs w:val="18"/>
                <w:highlight w:val="none"/>
              </w:rPr>
            </w:pPr>
            <w:r>
              <w:rPr>
                <w:b/>
                <w:bCs/>
                <w:color w:val="auto"/>
                <w:kern w:val="0"/>
                <w:sz w:val="18"/>
                <w:szCs w:val="18"/>
                <w:highlight w:val="none"/>
              </w:rPr>
              <w:t>计量</w:t>
            </w:r>
          </w:p>
          <w:p w14:paraId="78A62260">
            <w:pPr>
              <w:widowControl/>
              <w:spacing w:line="280" w:lineRule="exact"/>
              <w:jc w:val="center"/>
              <w:rPr>
                <w:b/>
                <w:bCs/>
                <w:color w:val="auto"/>
                <w:kern w:val="0"/>
                <w:sz w:val="18"/>
                <w:szCs w:val="18"/>
                <w:highlight w:val="none"/>
              </w:rPr>
            </w:pPr>
            <w:r>
              <w:rPr>
                <w:b/>
                <w:bCs/>
                <w:color w:val="auto"/>
                <w:kern w:val="0"/>
                <w:sz w:val="18"/>
                <w:szCs w:val="18"/>
                <w:highlight w:val="none"/>
              </w:rPr>
              <w:t>单位</w:t>
            </w:r>
          </w:p>
        </w:tc>
        <w:tc>
          <w:tcPr>
            <w:tcW w:w="1125" w:type="dxa"/>
            <w:shd w:val="clear" w:color="auto" w:fill="auto"/>
            <w:noWrap w:val="0"/>
            <w:vAlign w:val="center"/>
          </w:tcPr>
          <w:p w14:paraId="11FFFB34">
            <w:pPr>
              <w:widowControl/>
              <w:spacing w:line="280" w:lineRule="exact"/>
              <w:jc w:val="center"/>
              <w:rPr>
                <w:b/>
                <w:bCs/>
                <w:color w:val="auto"/>
                <w:kern w:val="0"/>
                <w:sz w:val="18"/>
                <w:szCs w:val="18"/>
                <w:highlight w:val="none"/>
              </w:rPr>
            </w:pPr>
            <w:r>
              <w:rPr>
                <w:b/>
                <w:bCs/>
                <w:color w:val="auto"/>
                <w:kern w:val="0"/>
                <w:sz w:val="18"/>
                <w:szCs w:val="18"/>
                <w:highlight w:val="none"/>
              </w:rPr>
              <w:t>大型</w:t>
            </w:r>
          </w:p>
        </w:tc>
        <w:tc>
          <w:tcPr>
            <w:tcW w:w="1701" w:type="dxa"/>
            <w:shd w:val="clear" w:color="auto" w:fill="auto"/>
            <w:noWrap w:val="0"/>
            <w:vAlign w:val="center"/>
          </w:tcPr>
          <w:p w14:paraId="35AB289F">
            <w:pPr>
              <w:widowControl/>
              <w:spacing w:line="280" w:lineRule="exact"/>
              <w:jc w:val="center"/>
              <w:rPr>
                <w:b/>
                <w:bCs/>
                <w:color w:val="auto"/>
                <w:kern w:val="0"/>
                <w:sz w:val="18"/>
                <w:szCs w:val="18"/>
                <w:highlight w:val="none"/>
              </w:rPr>
            </w:pPr>
            <w:r>
              <w:rPr>
                <w:b/>
                <w:bCs/>
                <w:color w:val="auto"/>
                <w:kern w:val="0"/>
                <w:sz w:val="18"/>
                <w:szCs w:val="18"/>
                <w:highlight w:val="none"/>
              </w:rPr>
              <w:t>中型</w:t>
            </w:r>
          </w:p>
        </w:tc>
        <w:tc>
          <w:tcPr>
            <w:tcW w:w="1426" w:type="dxa"/>
            <w:shd w:val="clear" w:color="auto" w:fill="auto"/>
            <w:noWrap w:val="0"/>
            <w:vAlign w:val="center"/>
          </w:tcPr>
          <w:p w14:paraId="1B2BCEAF">
            <w:pPr>
              <w:widowControl/>
              <w:spacing w:line="280" w:lineRule="exact"/>
              <w:jc w:val="center"/>
              <w:rPr>
                <w:b/>
                <w:bCs/>
                <w:color w:val="auto"/>
                <w:kern w:val="0"/>
                <w:sz w:val="18"/>
                <w:szCs w:val="18"/>
                <w:highlight w:val="none"/>
              </w:rPr>
            </w:pPr>
            <w:r>
              <w:rPr>
                <w:b/>
                <w:bCs/>
                <w:color w:val="auto"/>
                <w:kern w:val="0"/>
                <w:sz w:val="18"/>
                <w:szCs w:val="18"/>
                <w:highlight w:val="none"/>
              </w:rPr>
              <w:t>小型</w:t>
            </w:r>
          </w:p>
        </w:tc>
        <w:tc>
          <w:tcPr>
            <w:tcW w:w="992" w:type="dxa"/>
            <w:shd w:val="clear" w:color="auto" w:fill="auto"/>
            <w:noWrap w:val="0"/>
            <w:vAlign w:val="center"/>
          </w:tcPr>
          <w:p w14:paraId="1410E3A5">
            <w:pPr>
              <w:widowControl/>
              <w:spacing w:line="280" w:lineRule="exact"/>
              <w:jc w:val="center"/>
              <w:rPr>
                <w:b/>
                <w:bCs/>
                <w:color w:val="auto"/>
                <w:kern w:val="0"/>
                <w:sz w:val="18"/>
                <w:szCs w:val="18"/>
                <w:highlight w:val="none"/>
              </w:rPr>
            </w:pPr>
            <w:r>
              <w:rPr>
                <w:b/>
                <w:bCs/>
                <w:color w:val="auto"/>
                <w:kern w:val="0"/>
                <w:sz w:val="18"/>
                <w:szCs w:val="18"/>
                <w:highlight w:val="none"/>
              </w:rPr>
              <w:t>微型</w:t>
            </w:r>
          </w:p>
        </w:tc>
      </w:tr>
      <w:tr w14:paraId="13A3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FB9C347">
            <w:pPr>
              <w:widowControl/>
              <w:spacing w:line="280" w:lineRule="exact"/>
              <w:jc w:val="left"/>
              <w:rPr>
                <w:color w:val="auto"/>
                <w:kern w:val="0"/>
                <w:sz w:val="18"/>
                <w:szCs w:val="18"/>
                <w:highlight w:val="none"/>
              </w:rPr>
            </w:pPr>
            <w:r>
              <w:rPr>
                <w:color w:val="auto"/>
                <w:kern w:val="0"/>
                <w:sz w:val="18"/>
                <w:szCs w:val="18"/>
                <w:highlight w:val="none"/>
              </w:rPr>
              <w:t>农、林、牧、渔业</w:t>
            </w:r>
          </w:p>
        </w:tc>
        <w:tc>
          <w:tcPr>
            <w:tcW w:w="1369" w:type="dxa"/>
            <w:noWrap w:val="0"/>
            <w:vAlign w:val="center"/>
          </w:tcPr>
          <w:p w14:paraId="1742E98D">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4A761025">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0C3F80B5">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noWrap w:val="0"/>
            <w:vAlign w:val="center"/>
          </w:tcPr>
          <w:p w14:paraId="20F51273">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noWrap w:val="0"/>
            <w:vAlign w:val="center"/>
          </w:tcPr>
          <w:p w14:paraId="618D54F5">
            <w:pPr>
              <w:widowControl/>
              <w:spacing w:line="280" w:lineRule="exact"/>
              <w:jc w:val="center"/>
              <w:rPr>
                <w:color w:val="auto"/>
                <w:kern w:val="0"/>
                <w:sz w:val="18"/>
                <w:szCs w:val="18"/>
                <w:highlight w:val="none"/>
              </w:rPr>
            </w:pPr>
            <w:r>
              <w:rPr>
                <w:color w:val="auto"/>
                <w:kern w:val="0"/>
                <w:sz w:val="18"/>
                <w:szCs w:val="18"/>
                <w:highlight w:val="none"/>
              </w:rPr>
              <w:t>50≤Y＜500</w:t>
            </w:r>
          </w:p>
        </w:tc>
        <w:tc>
          <w:tcPr>
            <w:tcW w:w="992" w:type="dxa"/>
            <w:noWrap w:val="0"/>
            <w:vAlign w:val="center"/>
          </w:tcPr>
          <w:p w14:paraId="31AFA172">
            <w:pPr>
              <w:widowControl/>
              <w:spacing w:line="280" w:lineRule="exact"/>
              <w:jc w:val="center"/>
              <w:rPr>
                <w:color w:val="auto"/>
                <w:kern w:val="0"/>
                <w:sz w:val="18"/>
                <w:szCs w:val="18"/>
                <w:highlight w:val="none"/>
              </w:rPr>
            </w:pPr>
            <w:r>
              <w:rPr>
                <w:color w:val="auto"/>
                <w:kern w:val="0"/>
                <w:sz w:val="18"/>
                <w:szCs w:val="18"/>
                <w:highlight w:val="none"/>
              </w:rPr>
              <w:t>Y＜50</w:t>
            </w:r>
          </w:p>
        </w:tc>
      </w:tr>
      <w:tr w14:paraId="67A1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50C4E0">
            <w:pPr>
              <w:widowControl/>
              <w:spacing w:line="280" w:lineRule="exact"/>
              <w:jc w:val="left"/>
              <w:rPr>
                <w:color w:val="auto"/>
                <w:kern w:val="0"/>
                <w:sz w:val="18"/>
                <w:szCs w:val="18"/>
                <w:highlight w:val="none"/>
              </w:rPr>
            </w:pPr>
            <w:r>
              <w:rPr>
                <w:color w:val="auto"/>
                <w:kern w:val="0"/>
                <w:sz w:val="18"/>
                <w:szCs w:val="18"/>
                <w:highlight w:val="none"/>
              </w:rPr>
              <w:t>工业 *</w:t>
            </w:r>
          </w:p>
        </w:tc>
        <w:tc>
          <w:tcPr>
            <w:tcW w:w="1369" w:type="dxa"/>
            <w:noWrap w:val="0"/>
            <w:vAlign w:val="center"/>
          </w:tcPr>
          <w:p w14:paraId="5C95B00C">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3F3E5B5F">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506A98CC">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14:paraId="1F75E071">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14:paraId="02089530">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14:paraId="6E1D7047">
            <w:pPr>
              <w:widowControl/>
              <w:spacing w:line="280" w:lineRule="exact"/>
              <w:jc w:val="center"/>
              <w:rPr>
                <w:color w:val="auto"/>
                <w:kern w:val="0"/>
                <w:sz w:val="18"/>
                <w:szCs w:val="18"/>
                <w:highlight w:val="none"/>
              </w:rPr>
            </w:pPr>
            <w:r>
              <w:rPr>
                <w:color w:val="auto"/>
                <w:kern w:val="0"/>
                <w:sz w:val="18"/>
                <w:szCs w:val="18"/>
                <w:highlight w:val="none"/>
              </w:rPr>
              <w:t>X＜20</w:t>
            </w:r>
          </w:p>
        </w:tc>
      </w:tr>
      <w:tr w14:paraId="2867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5366D41">
            <w:pPr>
              <w:widowControl/>
              <w:spacing w:line="280" w:lineRule="exact"/>
              <w:jc w:val="left"/>
              <w:rPr>
                <w:color w:val="auto"/>
                <w:kern w:val="0"/>
                <w:sz w:val="18"/>
                <w:szCs w:val="18"/>
                <w:highlight w:val="none"/>
              </w:rPr>
            </w:pPr>
          </w:p>
        </w:tc>
        <w:tc>
          <w:tcPr>
            <w:tcW w:w="1369" w:type="dxa"/>
            <w:noWrap w:val="0"/>
            <w:vAlign w:val="center"/>
          </w:tcPr>
          <w:p w14:paraId="6AF0556C">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302D808A">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6ECC053C">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noWrap w:val="0"/>
            <w:vAlign w:val="center"/>
          </w:tcPr>
          <w:p w14:paraId="0F004790">
            <w:pPr>
              <w:widowControl/>
              <w:spacing w:line="280" w:lineRule="exact"/>
              <w:jc w:val="center"/>
              <w:rPr>
                <w:color w:val="auto"/>
                <w:kern w:val="0"/>
                <w:sz w:val="18"/>
                <w:szCs w:val="18"/>
                <w:highlight w:val="none"/>
              </w:rPr>
            </w:pPr>
            <w:r>
              <w:rPr>
                <w:color w:val="auto"/>
                <w:kern w:val="0"/>
                <w:sz w:val="18"/>
                <w:szCs w:val="18"/>
                <w:highlight w:val="none"/>
              </w:rPr>
              <w:t>2000≤Y＜40000</w:t>
            </w:r>
          </w:p>
        </w:tc>
        <w:tc>
          <w:tcPr>
            <w:tcW w:w="1426" w:type="dxa"/>
            <w:noWrap w:val="0"/>
            <w:vAlign w:val="center"/>
          </w:tcPr>
          <w:p w14:paraId="5707392E">
            <w:pPr>
              <w:widowControl/>
              <w:spacing w:line="280" w:lineRule="exact"/>
              <w:jc w:val="center"/>
              <w:rPr>
                <w:color w:val="auto"/>
                <w:kern w:val="0"/>
                <w:sz w:val="18"/>
                <w:szCs w:val="18"/>
                <w:highlight w:val="none"/>
              </w:rPr>
            </w:pPr>
            <w:r>
              <w:rPr>
                <w:color w:val="auto"/>
                <w:kern w:val="0"/>
                <w:sz w:val="18"/>
                <w:szCs w:val="18"/>
                <w:highlight w:val="none"/>
              </w:rPr>
              <w:t>300≤Y＜2000</w:t>
            </w:r>
          </w:p>
        </w:tc>
        <w:tc>
          <w:tcPr>
            <w:tcW w:w="992" w:type="dxa"/>
            <w:noWrap w:val="0"/>
            <w:vAlign w:val="center"/>
          </w:tcPr>
          <w:p w14:paraId="47BBBC04">
            <w:pPr>
              <w:widowControl/>
              <w:spacing w:line="280" w:lineRule="exact"/>
              <w:jc w:val="center"/>
              <w:rPr>
                <w:color w:val="auto"/>
                <w:kern w:val="0"/>
                <w:sz w:val="18"/>
                <w:szCs w:val="18"/>
                <w:highlight w:val="none"/>
              </w:rPr>
            </w:pPr>
            <w:r>
              <w:rPr>
                <w:color w:val="auto"/>
                <w:kern w:val="0"/>
                <w:sz w:val="18"/>
                <w:szCs w:val="18"/>
                <w:highlight w:val="none"/>
              </w:rPr>
              <w:t>Y＜300</w:t>
            </w:r>
          </w:p>
        </w:tc>
      </w:tr>
      <w:tr w14:paraId="0B22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06C53D">
            <w:pPr>
              <w:widowControl/>
              <w:spacing w:line="280" w:lineRule="exact"/>
              <w:jc w:val="left"/>
              <w:rPr>
                <w:color w:val="auto"/>
                <w:kern w:val="0"/>
                <w:sz w:val="18"/>
                <w:szCs w:val="18"/>
                <w:highlight w:val="none"/>
              </w:rPr>
            </w:pPr>
            <w:r>
              <w:rPr>
                <w:color w:val="auto"/>
                <w:kern w:val="0"/>
                <w:sz w:val="18"/>
                <w:szCs w:val="18"/>
                <w:highlight w:val="none"/>
              </w:rPr>
              <w:t>建筑业</w:t>
            </w:r>
          </w:p>
        </w:tc>
        <w:tc>
          <w:tcPr>
            <w:tcW w:w="1369" w:type="dxa"/>
            <w:noWrap w:val="0"/>
            <w:vAlign w:val="center"/>
          </w:tcPr>
          <w:p w14:paraId="7E4755D8">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2068ECE1">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2144892A">
            <w:pPr>
              <w:widowControl/>
              <w:spacing w:line="280" w:lineRule="exact"/>
              <w:jc w:val="center"/>
              <w:rPr>
                <w:color w:val="auto"/>
                <w:kern w:val="0"/>
                <w:sz w:val="18"/>
                <w:szCs w:val="18"/>
                <w:highlight w:val="none"/>
              </w:rPr>
            </w:pPr>
            <w:r>
              <w:rPr>
                <w:color w:val="auto"/>
                <w:kern w:val="0"/>
                <w:sz w:val="18"/>
                <w:szCs w:val="18"/>
                <w:highlight w:val="none"/>
              </w:rPr>
              <w:t>Y≥80000</w:t>
            </w:r>
          </w:p>
        </w:tc>
        <w:tc>
          <w:tcPr>
            <w:tcW w:w="1701" w:type="dxa"/>
            <w:noWrap w:val="0"/>
            <w:vAlign w:val="center"/>
          </w:tcPr>
          <w:p w14:paraId="5A959658">
            <w:pPr>
              <w:widowControl/>
              <w:spacing w:line="280" w:lineRule="exact"/>
              <w:jc w:val="center"/>
              <w:rPr>
                <w:color w:val="auto"/>
                <w:kern w:val="0"/>
                <w:sz w:val="18"/>
                <w:szCs w:val="18"/>
                <w:highlight w:val="none"/>
              </w:rPr>
            </w:pPr>
            <w:r>
              <w:rPr>
                <w:color w:val="auto"/>
                <w:kern w:val="0"/>
                <w:sz w:val="18"/>
                <w:szCs w:val="18"/>
                <w:highlight w:val="none"/>
              </w:rPr>
              <w:t>6000≤Y＜80000</w:t>
            </w:r>
          </w:p>
        </w:tc>
        <w:tc>
          <w:tcPr>
            <w:tcW w:w="1426" w:type="dxa"/>
            <w:noWrap w:val="0"/>
            <w:vAlign w:val="center"/>
          </w:tcPr>
          <w:p w14:paraId="4B6E828A">
            <w:pPr>
              <w:widowControl/>
              <w:spacing w:line="280" w:lineRule="exact"/>
              <w:jc w:val="center"/>
              <w:rPr>
                <w:color w:val="auto"/>
                <w:kern w:val="0"/>
                <w:sz w:val="18"/>
                <w:szCs w:val="18"/>
                <w:highlight w:val="none"/>
              </w:rPr>
            </w:pPr>
            <w:r>
              <w:rPr>
                <w:color w:val="auto"/>
                <w:kern w:val="0"/>
                <w:sz w:val="18"/>
                <w:szCs w:val="18"/>
                <w:highlight w:val="none"/>
              </w:rPr>
              <w:t>300≤Y＜6000</w:t>
            </w:r>
          </w:p>
        </w:tc>
        <w:tc>
          <w:tcPr>
            <w:tcW w:w="992" w:type="dxa"/>
            <w:noWrap w:val="0"/>
            <w:vAlign w:val="center"/>
          </w:tcPr>
          <w:p w14:paraId="48EBEC4E">
            <w:pPr>
              <w:widowControl/>
              <w:spacing w:line="280" w:lineRule="exact"/>
              <w:jc w:val="center"/>
              <w:rPr>
                <w:color w:val="auto"/>
                <w:kern w:val="0"/>
                <w:sz w:val="18"/>
                <w:szCs w:val="18"/>
                <w:highlight w:val="none"/>
              </w:rPr>
            </w:pPr>
            <w:r>
              <w:rPr>
                <w:color w:val="auto"/>
                <w:kern w:val="0"/>
                <w:sz w:val="18"/>
                <w:szCs w:val="18"/>
                <w:highlight w:val="none"/>
              </w:rPr>
              <w:t>Y＜300</w:t>
            </w:r>
          </w:p>
        </w:tc>
      </w:tr>
      <w:tr w14:paraId="747D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48C4E95">
            <w:pPr>
              <w:widowControl/>
              <w:spacing w:line="280" w:lineRule="exact"/>
              <w:jc w:val="left"/>
              <w:rPr>
                <w:color w:val="auto"/>
                <w:kern w:val="0"/>
                <w:sz w:val="18"/>
                <w:szCs w:val="18"/>
                <w:highlight w:val="none"/>
              </w:rPr>
            </w:pPr>
          </w:p>
        </w:tc>
        <w:tc>
          <w:tcPr>
            <w:tcW w:w="1369" w:type="dxa"/>
            <w:noWrap w:val="0"/>
            <w:vAlign w:val="center"/>
          </w:tcPr>
          <w:p w14:paraId="4FA9CF6A">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14:paraId="21826C01">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25C73ED8">
            <w:pPr>
              <w:widowControl/>
              <w:spacing w:line="280" w:lineRule="exact"/>
              <w:jc w:val="center"/>
              <w:rPr>
                <w:color w:val="auto"/>
                <w:kern w:val="0"/>
                <w:sz w:val="18"/>
                <w:szCs w:val="18"/>
                <w:highlight w:val="none"/>
              </w:rPr>
            </w:pPr>
            <w:r>
              <w:rPr>
                <w:color w:val="auto"/>
                <w:kern w:val="0"/>
                <w:sz w:val="18"/>
                <w:szCs w:val="18"/>
                <w:highlight w:val="none"/>
              </w:rPr>
              <w:t>Z≥80000</w:t>
            </w:r>
          </w:p>
        </w:tc>
        <w:tc>
          <w:tcPr>
            <w:tcW w:w="1701" w:type="dxa"/>
            <w:noWrap w:val="0"/>
            <w:vAlign w:val="center"/>
          </w:tcPr>
          <w:p w14:paraId="5498477E">
            <w:pPr>
              <w:widowControl/>
              <w:spacing w:line="280" w:lineRule="exact"/>
              <w:jc w:val="center"/>
              <w:rPr>
                <w:color w:val="auto"/>
                <w:kern w:val="0"/>
                <w:sz w:val="18"/>
                <w:szCs w:val="18"/>
                <w:highlight w:val="none"/>
              </w:rPr>
            </w:pPr>
            <w:r>
              <w:rPr>
                <w:color w:val="auto"/>
                <w:kern w:val="0"/>
                <w:sz w:val="18"/>
                <w:szCs w:val="18"/>
                <w:highlight w:val="none"/>
              </w:rPr>
              <w:t>5000≤Z＜80000</w:t>
            </w:r>
          </w:p>
        </w:tc>
        <w:tc>
          <w:tcPr>
            <w:tcW w:w="1426" w:type="dxa"/>
            <w:noWrap w:val="0"/>
            <w:vAlign w:val="center"/>
          </w:tcPr>
          <w:p w14:paraId="624651E1">
            <w:pPr>
              <w:widowControl/>
              <w:spacing w:line="280" w:lineRule="exact"/>
              <w:jc w:val="center"/>
              <w:rPr>
                <w:color w:val="auto"/>
                <w:kern w:val="0"/>
                <w:sz w:val="18"/>
                <w:szCs w:val="18"/>
                <w:highlight w:val="none"/>
              </w:rPr>
            </w:pPr>
            <w:r>
              <w:rPr>
                <w:color w:val="auto"/>
                <w:kern w:val="0"/>
                <w:sz w:val="18"/>
                <w:szCs w:val="18"/>
                <w:highlight w:val="none"/>
              </w:rPr>
              <w:t>300≤Z＜5000</w:t>
            </w:r>
          </w:p>
        </w:tc>
        <w:tc>
          <w:tcPr>
            <w:tcW w:w="992" w:type="dxa"/>
            <w:noWrap w:val="0"/>
            <w:vAlign w:val="center"/>
          </w:tcPr>
          <w:p w14:paraId="782337E5">
            <w:pPr>
              <w:widowControl/>
              <w:spacing w:line="280" w:lineRule="exact"/>
              <w:jc w:val="center"/>
              <w:rPr>
                <w:color w:val="auto"/>
                <w:kern w:val="0"/>
                <w:sz w:val="18"/>
                <w:szCs w:val="18"/>
                <w:highlight w:val="none"/>
              </w:rPr>
            </w:pPr>
            <w:r>
              <w:rPr>
                <w:color w:val="auto"/>
                <w:kern w:val="0"/>
                <w:sz w:val="18"/>
                <w:szCs w:val="18"/>
                <w:highlight w:val="none"/>
              </w:rPr>
              <w:t>Z＜300</w:t>
            </w:r>
          </w:p>
        </w:tc>
      </w:tr>
      <w:tr w14:paraId="2AE3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0062F94">
            <w:pPr>
              <w:widowControl/>
              <w:spacing w:line="280" w:lineRule="exact"/>
              <w:jc w:val="left"/>
              <w:rPr>
                <w:color w:val="auto"/>
                <w:kern w:val="0"/>
                <w:sz w:val="18"/>
                <w:szCs w:val="18"/>
                <w:highlight w:val="none"/>
              </w:rPr>
            </w:pPr>
            <w:r>
              <w:rPr>
                <w:color w:val="auto"/>
                <w:kern w:val="0"/>
                <w:sz w:val="18"/>
                <w:szCs w:val="18"/>
                <w:highlight w:val="none"/>
              </w:rPr>
              <w:t>批发业</w:t>
            </w:r>
          </w:p>
        </w:tc>
        <w:tc>
          <w:tcPr>
            <w:tcW w:w="1369" w:type="dxa"/>
            <w:noWrap w:val="0"/>
            <w:vAlign w:val="center"/>
          </w:tcPr>
          <w:p w14:paraId="7BACEFF7">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5D5E5645">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6147CC84">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noWrap w:val="0"/>
            <w:vAlign w:val="center"/>
          </w:tcPr>
          <w:p w14:paraId="0DB14ABC">
            <w:pPr>
              <w:widowControl/>
              <w:spacing w:line="280" w:lineRule="exact"/>
              <w:jc w:val="center"/>
              <w:rPr>
                <w:color w:val="auto"/>
                <w:kern w:val="0"/>
                <w:sz w:val="18"/>
                <w:szCs w:val="18"/>
                <w:highlight w:val="none"/>
              </w:rPr>
            </w:pPr>
            <w:r>
              <w:rPr>
                <w:color w:val="auto"/>
                <w:kern w:val="0"/>
                <w:sz w:val="18"/>
                <w:szCs w:val="18"/>
                <w:highlight w:val="none"/>
              </w:rPr>
              <w:t>20≤X＜200</w:t>
            </w:r>
          </w:p>
        </w:tc>
        <w:tc>
          <w:tcPr>
            <w:tcW w:w="1426" w:type="dxa"/>
            <w:noWrap w:val="0"/>
            <w:vAlign w:val="center"/>
          </w:tcPr>
          <w:p w14:paraId="2F235AAF">
            <w:pPr>
              <w:widowControl/>
              <w:spacing w:line="280" w:lineRule="exact"/>
              <w:jc w:val="center"/>
              <w:rPr>
                <w:color w:val="auto"/>
                <w:kern w:val="0"/>
                <w:sz w:val="18"/>
                <w:szCs w:val="18"/>
                <w:highlight w:val="none"/>
              </w:rPr>
            </w:pPr>
            <w:r>
              <w:rPr>
                <w:color w:val="auto"/>
                <w:kern w:val="0"/>
                <w:sz w:val="18"/>
                <w:szCs w:val="18"/>
                <w:highlight w:val="none"/>
              </w:rPr>
              <w:t>5≤X＜20</w:t>
            </w:r>
          </w:p>
        </w:tc>
        <w:tc>
          <w:tcPr>
            <w:tcW w:w="992" w:type="dxa"/>
            <w:noWrap w:val="0"/>
            <w:vAlign w:val="center"/>
          </w:tcPr>
          <w:p w14:paraId="1865A188">
            <w:pPr>
              <w:widowControl/>
              <w:spacing w:line="280" w:lineRule="exact"/>
              <w:jc w:val="center"/>
              <w:rPr>
                <w:color w:val="auto"/>
                <w:kern w:val="0"/>
                <w:sz w:val="18"/>
                <w:szCs w:val="18"/>
                <w:highlight w:val="none"/>
              </w:rPr>
            </w:pPr>
            <w:r>
              <w:rPr>
                <w:color w:val="auto"/>
                <w:kern w:val="0"/>
                <w:sz w:val="18"/>
                <w:szCs w:val="18"/>
                <w:highlight w:val="none"/>
              </w:rPr>
              <w:t>X＜5</w:t>
            </w:r>
          </w:p>
        </w:tc>
      </w:tr>
      <w:tr w14:paraId="23F4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DDFCAC">
            <w:pPr>
              <w:widowControl/>
              <w:spacing w:line="280" w:lineRule="exact"/>
              <w:jc w:val="left"/>
              <w:rPr>
                <w:color w:val="auto"/>
                <w:kern w:val="0"/>
                <w:sz w:val="18"/>
                <w:szCs w:val="18"/>
                <w:highlight w:val="none"/>
              </w:rPr>
            </w:pPr>
          </w:p>
        </w:tc>
        <w:tc>
          <w:tcPr>
            <w:tcW w:w="1369" w:type="dxa"/>
            <w:noWrap w:val="0"/>
            <w:vAlign w:val="center"/>
          </w:tcPr>
          <w:p w14:paraId="2098850E">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354225BB">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08C0F447">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noWrap w:val="0"/>
            <w:vAlign w:val="center"/>
          </w:tcPr>
          <w:p w14:paraId="53E502BF">
            <w:pPr>
              <w:widowControl/>
              <w:spacing w:line="280" w:lineRule="exact"/>
              <w:jc w:val="center"/>
              <w:rPr>
                <w:color w:val="auto"/>
                <w:kern w:val="0"/>
                <w:sz w:val="18"/>
                <w:szCs w:val="18"/>
                <w:highlight w:val="none"/>
              </w:rPr>
            </w:pPr>
            <w:r>
              <w:rPr>
                <w:color w:val="auto"/>
                <w:kern w:val="0"/>
                <w:sz w:val="18"/>
                <w:szCs w:val="18"/>
                <w:highlight w:val="none"/>
              </w:rPr>
              <w:t>5000≤Y＜40000</w:t>
            </w:r>
          </w:p>
        </w:tc>
        <w:tc>
          <w:tcPr>
            <w:tcW w:w="1426" w:type="dxa"/>
            <w:noWrap w:val="0"/>
            <w:vAlign w:val="center"/>
          </w:tcPr>
          <w:p w14:paraId="3B496B72">
            <w:pPr>
              <w:widowControl/>
              <w:spacing w:line="280" w:lineRule="exact"/>
              <w:ind w:left="-1" w:leftChars="-1" w:hanging="1"/>
              <w:jc w:val="center"/>
              <w:rPr>
                <w:color w:val="auto"/>
                <w:kern w:val="0"/>
                <w:sz w:val="18"/>
                <w:szCs w:val="18"/>
                <w:highlight w:val="none"/>
              </w:rPr>
            </w:pPr>
            <w:r>
              <w:rPr>
                <w:color w:val="auto"/>
                <w:kern w:val="0"/>
                <w:sz w:val="18"/>
                <w:szCs w:val="18"/>
                <w:highlight w:val="none"/>
              </w:rPr>
              <w:t>1000≤Y＜5000</w:t>
            </w:r>
          </w:p>
        </w:tc>
        <w:tc>
          <w:tcPr>
            <w:tcW w:w="992" w:type="dxa"/>
            <w:noWrap w:val="0"/>
            <w:vAlign w:val="center"/>
          </w:tcPr>
          <w:p w14:paraId="14F4E476">
            <w:pPr>
              <w:widowControl/>
              <w:spacing w:line="280" w:lineRule="exact"/>
              <w:jc w:val="center"/>
              <w:rPr>
                <w:color w:val="auto"/>
                <w:kern w:val="0"/>
                <w:sz w:val="18"/>
                <w:szCs w:val="18"/>
                <w:highlight w:val="none"/>
              </w:rPr>
            </w:pPr>
            <w:r>
              <w:rPr>
                <w:color w:val="auto"/>
                <w:kern w:val="0"/>
                <w:sz w:val="18"/>
                <w:szCs w:val="18"/>
                <w:highlight w:val="none"/>
              </w:rPr>
              <w:t>Y＜1000</w:t>
            </w:r>
          </w:p>
        </w:tc>
      </w:tr>
      <w:tr w14:paraId="21E8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8DD7BDF">
            <w:pPr>
              <w:widowControl/>
              <w:spacing w:line="280" w:lineRule="exact"/>
              <w:jc w:val="left"/>
              <w:rPr>
                <w:color w:val="auto"/>
                <w:kern w:val="0"/>
                <w:sz w:val="18"/>
                <w:szCs w:val="18"/>
                <w:highlight w:val="none"/>
              </w:rPr>
            </w:pPr>
            <w:r>
              <w:rPr>
                <w:color w:val="auto"/>
                <w:kern w:val="0"/>
                <w:sz w:val="18"/>
                <w:szCs w:val="18"/>
                <w:highlight w:val="none"/>
              </w:rPr>
              <w:t>零售业</w:t>
            </w:r>
          </w:p>
        </w:tc>
        <w:tc>
          <w:tcPr>
            <w:tcW w:w="1369" w:type="dxa"/>
            <w:noWrap w:val="0"/>
            <w:vAlign w:val="center"/>
          </w:tcPr>
          <w:p w14:paraId="60ECFD4E">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29F7932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5A63B155">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14:paraId="057C38BA">
            <w:pPr>
              <w:widowControl/>
              <w:spacing w:line="280" w:lineRule="exact"/>
              <w:jc w:val="center"/>
              <w:rPr>
                <w:color w:val="auto"/>
                <w:kern w:val="0"/>
                <w:sz w:val="18"/>
                <w:szCs w:val="18"/>
                <w:highlight w:val="none"/>
              </w:rPr>
            </w:pPr>
            <w:r>
              <w:rPr>
                <w:color w:val="auto"/>
                <w:kern w:val="0"/>
                <w:sz w:val="18"/>
                <w:szCs w:val="18"/>
                <w:highlight w:val="none"/>
              </w:rPr>
              <w:t>50≤X＜300</w:t>
            </w:r>
          </w:p>
        </w:tc>
        <w:tc>
          <w:tcPr>
            <w:tcW w:w="1426" w:type="dxa"/>
            <w:noWrap w:val="0"/>
            <w:vAlign w:val="center"/>
          </w:tcPr>
          <w:p w14:paraId="5AA6FD03">
            <w:pPr>
              <w:widowControl/>
              <w:spacing w:line="280" w:lineRule="exact"/>
              <w:ind w:left="-1" w:leftChars="-1" w:hanging="1"/>
              <w:jc w:val="center"/>
              <w:rPr>
                <w:color w:val="auto"/>
                <w:kern w:val="0"/>
                <w:sz w:val="18"/>
                <w:szCs w:val="18"/>
                <w:highlight w:val="none"/>
              </w:rPr>
            </w:pPr>
            <w:r>
              <w:rPr>
                <w:color w:val="auto"/>
                <w:kern w:val="0"/>
                <w:sz w:val="18"/>
                <w:szCs w:val="18"/>
                <w:highlight w:val="none"/>
              </w:rPr>
              <w:t xml:space="preserve">10≤X＜50 </w:t>
            </w:r>
          </w:p>
        </w:tc>
        <w:tc>
          <w:tcPr>
            <w:tcW w:w="992" w:type="dxa"/>
            <w:noWrap w:val="0"/>
            <w:vAlign w:val="center"/>
          </w:tcPr>
          <w:p w14:paraId="56372E30">
            <w:pPr>
              <w:widowControl/>
              <w:spacing w:line="280" w:lineRule="exact"/>
              <w:jc w:val="center"/>
              <w:rPr>
                <w:color w:val="auto"/>
                <w:kern w:val="0"/>
                <w:sz w:val="18"/>
                <w:szCs w:val="18"/>
                <w:highlight w:val="none"/>
              </w:rPr>
            </w:pPr>
            <w:r>
              <w:rPr>
                <w:color w:val="auto"/>
                <w:kern w:val="0"/>
                <w:sz w:val="18"/>
                <w:szCs w:val="18"/>
                <w:highlight w:val="none"/>
              </w:rPr>
              <w:t>X＜10</w:t>
            </w:r>
          </w:p>
        </w:tc>
      </w:tr>
      <w:tr w14:paraId="3782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013F0DF">
            <w:pPr>
              <w:widowControl/>
              <w:spacing w:line="280" w:lineRule="exact"/>
              <w:jc w:val="left"/>
              <w:rPr>
                <w:color w:val="auto"/>
                <w:kern w:val="0"/>
                <w:sz w:val="18"/>
                <w:szCs w:val="18"/>
                <w:highlight w:val="none"/>
              </w:rPr>
            </w:pPr>
          </w:p>
        </w:tc>
        <w:tc>
          <w:tcPr>
            <w:tcW w:w="1369" w:type="dxa"/>
            <w:noWrap w:val="0"/>
            <w:vAlign w:val="center"/>
          </w:tcPr>
          <w:p w14:paraId="04C61E48">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52827D7B">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7CE9F8A4">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noWrap w:val="0"/>
            <w:vAlign w:val="center"/>
          </w:tcPr>
          <w:p w14:paraId="597AA6BD">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noWrap w:val="0"/>
            <w:vAlign w:val="center"/>
          </w:tcPr>
          <w:p w14:paraId="7DD3E7EC">
            <w:pPr>
              <w:widowControl/>
              <w:spacing w:line="280" w:lineRule="exact"/>
              <w:ind w:left="-1" w:leftChars="-1" w:hanging="1"/>
              <w:jc w:val="center"/>
              <w:rPr>
                <w:color w:val="auto"/>
                <w:kern w:val="0"/>
                <w:sz w:val="18"/>
                <w:szCs w:val="18"/>
                <w:highlight w:val="none"/>
              </w:rPr>
            </w:pPr>
            <w:r>
              <w:rPr>
                <w:color w:val="auto"/>
                <w:kern w:val="0"/>
                <w:sz w:val="18"/>
                <w:szCs w:val="18"/>
                <w:highlight w:val="none"/>
              </w:rPr>
              <w:t>100≤Y＜500</w:t>
            </w:r>
          </w:p>
        </w:tc>
        <w:tc>
          <w:tcPr>
            <w:tcW w:w="992" w:type="dxa"/>
            <w:noWrap w:val="0"/>
            <w:vAlign w:val="center"/>
          </w:tcPr>
          <w:p w14:paraId="5759EFA3">
            <w:pPr>
              <w:widowControl/>
              <w:spacing w:line="280" w:lineRule="exact"/>
              <w:jc w:val="center"/>
              <w:rPr>
                <w:color w:val="auto"/>
                <w:kern w:val="0"/>
                <w:sz w:val="18"/>
                <w:szCs w:val="18"/>
                <w:highlight w:val="none"/>
              </w:rPr>
            </w:pPr>
            <w:r>
              <w:rPr>
                <w:color w:val="auto"/>
                <w:kern w:val="0"/>
                <w:sz w:val="18"/>
                <w:szCs w:val="18"/>
                <w:highlight w:val="none"/>
              </w:rPr>
              <w:t>Y＜100</w:t>
            </w:r>
          </w:p>
        </w:tc>
      </w:tr>
      <w:tr w14:paraId="598F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CFE0AF">
            <w:pPr>
              <w:widowControl/>
              <w:spacing w:line="280" w:lineRule="exact"/>
              <w:jc w:val="left"/>
              <w:rPr>
                <w:color w:val="auto"/>
                <w:kern w:val="0"/>
                <w:sz w:val="18"/>
                <w:szCs w:val="18"/>
                <w:highlight w:val="none"/>
              </w:rPr>
            </w:pPr>
            <w:r>
              <w:rPr>
                <w:color w:val="auto"/>
                <w:kern w:val="0"/>
                <w:sz w:val="18"/>
                <w:szCs w:val="18"/>
                <w:highlight w:val="none"/>
              </w:rPr>
              <w:t>交通运输业 *</w:t>
            </w:r>
          </w:p>
        </w:tc>
        <w:tc>
          <w:tcPr>
            <w:tcW w:w="1369" w:type="dxa"/>
            <w:noWrap w:val="0"/>
            <w:vAlign w:val="center"/>
          </w:tcPr>
          <w:p w14:paraId="1F351231">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50DE8931">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24A6393B">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14:paraId="362D9C34">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14:paraId="5D6FFDB4">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14:paraId="1ECE2294">
            <w:pPr>
              <w:widowControl/>
              <w:spacing w:line="280" w:lineRule="exact"/>
              <w:jc w:val="center"/>
              <w:rPr>
                <w:color w:val="auto"/>
                <w:kern w:val="0"/>
                <w:sz w:val="18"/>
                <w:szCs w:val="18"/>
                <w:highlight w:val="none"/>
              </w:rPr>
            </w:pPr>
            <w:r>
              <w:rPr>
                <w:color w:val="auto"/>
                <w:kern w:val="0"/>
                <w:sz w:val="18"/>
                <w:szCs w:val="18"/>
                <w:highlight w:val="none"/>
              </w:rPr>
              <w:t>X＜20</w:t>
            </w:r>
          </w:p>
        </w:tc>
      </w:tr>
      <w:tr w14:paraId="4547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F40D49F">
            <w:pPr>
              <w:widowControl/>
              <w:spacing w:line="280" w:lineRule="exact"/>
              <w:jc w:val="left"/>
              <w:rPr>
                <w:color w:val="auto"/>
                <w:kern w:val="0"/>
                <w:sz w:val="18"/>
                <w:szCs w:val="18"/>
                <w:highlight w:val="none"/>
              </w:rPr>
            </w:pPr>
          </w:p>
        </w:tc>
        <w:tc>
          <w:tcPr>
            <w:tcW w:w="1369" w:type="dxa"/>
            <w:noWrap w:val="0"/>
            <w:vAlign w:val="center"/>
          </w:tcPr>
          <w:p w14:paraId="6C3F9B28">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4649DED2">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2A5F5FE2">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14:paraId="7C4FE313">
            <w:pPr>
              <w:widowControl/>
              <w:spacing w:line="280" w:lineRule="exact"/>
              <w:jc w:val="center"/>
              <w:rPr>
                <w:color w:val="auto"/>
                <w:kern w:val="0"/>
                <w:sz w:val="18"/>
                <w:szCs w:val="18"/>
                <w:highlight w:val="none"/>
              </w:rPr>
            </w:pPr>
            <w:r>
              <w:rPr>
                <w:color w:val="auto"/>
                <w:kern w:val="0"/>
                <w:sz w:val="18"/>
                <w:szCs w:val="18"/>
                <w:highlight w:val="none"/>
              </w:rPr>
              <w:t>3000≤Y＜30000</w:t>
            </w:r>
          </w:p>
        </w:tc>
        <w:tc>
          <w:tcPr>
            <w:tcW w:w="1426" w:type="dxa"/>
            <w:noWrap w:val="0"/>
            <w:vAlign w:val="center"/>
          </w:tcPr>
          <w:p w14:paraId="57D06D4C">
            <w:pPr>
              <w:widowControl/>
              <w:spacing w:line="280" w:lineRule="exact"/>
              <w:jc w:val="center"/>
              <w:rPr>
                <w:color w:val="auto"/>
                <w:kern w:val="0"/>
                <w:sz w:val="18"/>
                <w:szCs w:val="18"/>
                <w:highlight w:val="none"/>
              </w:rPr>
            </w:pPr>
            <w:r>
              <w:rPr>
                <w:color w:val="auto"/>
                <w:kern w:val="0"/>
                <w:sz w:val="18"/>
                <w:szCs w:val="18"/>
                <w:highlight w:val="none"/>
              </w:rPr>
              <w:t>200≤Y＜3000</w:t>
            </w:r>
          </w:p>
        </w:tc>
        <w:tc>
          <w:tcPr>
            <w:tcW w:w="992" w:type="dxa"/>
            <w:noWrap w:val="0"/>
            <w:vAlign w:val="center"/>
          </w:tcPr>
          <w:p w14:paraId="4E126C24">
            <w:pPr>
              <w:widowControl/>
              <w:spacing w:line="280" w:lineRule="exact"/>
              <w:jc w:val="center"/>
              <w:rPr>
                <w:color w:val="auto"/>
                <w:kern w:val="0"/>
                <w:sz w:val="18"/>
                <w:szCs w:val="18"/>
                <w:highlight w:val="none"/>
              </w:rPr>
            </w:pPr>
            <w:r>
              <w:rPr>
                <w:color w:val="auto"/>
                <w:kern w:val="0"/>
                <w:sz w:val="18"/>
                <w:szCs w:val="18"/>
                <w:highlight w:val="none"/>
              </w:rPr>
              <w:t>Y＜200</w:t>
            </w:r>
          </w:p>
        </w:tc>
      </w:tr>
      <w:tr w14:paraId="3D54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E569181">
            <w:pPr>
              <w:widowControl/>
              <w:spacing w:line="280" w:lineRule="exact"/>
              <w:jc w:val="left"/>
              <w:rPr>
                <w:color w:val="auto"/>
                <w:kern w:val="0"/>
                <w:sz w:val="18"/>
                <w:szCs w:val="18"/>
                <w:highlight w:val="none"/>
              </w:rPr>
            </w:pPr>
            <w:r>
              <w:rPr>
                <w:color w:val="auto"/>
                <w:kern w:val="0"/>
                <w:sz w:val="18"/>
                <w:szCs w:val="18"/>
                <w:highlight w:val="none"/>
              </w:rPr>
              <w:t>仓储业*</w:t>
            </w:r>
          </w:p>
        </w:tc>
        <w:tc>
          <w:tcPr>
            <w:tcW w:w="1369" w:type="dxa"/>
            <w:noWrap w:val="0"/>
            <w:vAlign w:val="center"/>
          </w:tcPr>
          <w:p w14:paraId="4DBAA1CE">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55680D2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1D01F072">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noWrap w:val="0"/>
            <w:vAlign w:val="center"/>
          </w:tcPr>
          <w:p w14:paraId="7A60B061">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100≤X＜200</w:t>
            </w:r>
          </w:p>
        </w:tc>
        <w:tc>
          <w:tcPr>
            <w:tcW w:w="1426" w:type="dxa"/>
            <w:noWrap w:val="0"/>
            <w:vAlign w:val="center"/>
          </w:tcPr>
          <w:p w14:paraId="01BF4099">
            <w:pPr>
              <w:widowControl/>
              <w:spacing w:line="280" w:lineRule="exact"/>
              <w:jc w:val="center"/>
              <w:rPr>
                <w:color w:val="auto"/>
                <w:kern w:val="0"/>
                <w:sz w:val="18"/>
                <w:szCs w:val="18"/>
                <w:highlight w:val="none"/>
              </w:rPr>
            </w:pPr>
            <w:r>
              <w:rPr>
                <w:color w:val="auto"/>
                <w:kern w:val="0"/>
                <w:sz w:val="18"/>
                <w:szCs w:val="18"/>
                <w:highlight w:val="none"/>
              </w:rPr>
              <w:t>20≤X＜100</w:t>
            </w:r>
          </w:p>
        </w:tc>
        <w:tc>
          <w:tcPr>
            <w:tcW w:w="992" w:type="dxa"/>
            <w:noWrap w:val="0"/>
            <w:vAlign w:val="center"/>
          </w:tcPr>
          <w:p w14:paraId="2F9D04C1">
            <w:pPr>
              <w:widowControl/>
              <w:spacing w:line="280" w:lineRule="exact"/>
              <w:jc w:val="center"/>
              <w:rPr>
                <w:color w:val="auto"/>
                <w:kern w:val="0"/>
                <w:sz w:val="18"/>
                <w:szCs w:val="18"/>
                <w:highlight w:val="none"/>
              </w:rPr>
            </w:pPr>
            <w:r>
              <w:rPr>
                <w:color w:val="auto"/>
                <w:kern w:val="0"/>
                <w:sz w:val="18"/>
                <w:szCs w:val="18"/>
                <w:highlight w:val="none"/>
              </w:rPr>
              <w:t>X＜20</w:t>
            </w:r>
          </w:p>
        </w:tc>
      </w:tr>
      <w:tr w14:paraId="42C2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019227A">
            <w:pPr>
              <w:widowControl/>
              <w:spacing w:line="280" w:lineRule="exact"/>
              <w:jc w:val="left"/>
              <w:rPr>
                <w:color w:val="auto"/>
                <w:kern w:val="0"/>
                <w:sz w:val="18"/>
                <w:szCs w:val="18"/>
                <w:highlight w:val="none"/>
              </w:rPr>
            </w:pPr>
          </w:p>
        </w:tc>
        <w:tc>
          <w:tcPr>
            <w:tcW w:w="1369" w:type="dxa"/>
            <w:noWrap w:val="0"/>
            <w:vAlign w:val="center"/>
          </w:tcPr>
          <w:p w14:paraId="06A6C3E2">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665B8B48">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63BEC80F">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14:paraId="2F130D76">
            <w:pPr>
              <w:widowControl/>
              <w:spacing w:line="280" w:lineRule="exact"/>
              <w:jc w:val="center"/>
              <w:rPr>
                <w:color w:val="auto"/>
                <w:kern w:val="0"/>
                <w:sz w:val="18"/>
                <w:szCs w:val="18"/>
                <w:highlight w:val="none"/>
              </w:rPr>
            </w:pPr>
            <w:r>
              <w:rPr>
                <w:color w:val="auto"/>
                <w:kern w:val="0"/>
                <w:sz w:val="18"/>
                <w:szCs w:val="18"/>
                <w:highlight w:val="none"/>
              </w:rPr>
              <w:t>1000≤Y＜30000</w:t>
            </w:r>
          </w:p>
        </w:tc>
        <w:tc>
          <w:tcPr>
            <w:tcW w:w="1426" w:type="dxa"/>
            <w:noWrap w:val="0"/>
            <w:vAlign w:val="center"/>
          </w:tcPr>
          <w:p w14:paraId="18E8FE86">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14:paraId="526825FF">
            <w:pPr>
              <w:widowControl/>
              <w:spacing w:line="280" w:lineRule="exact"/>
              <w:jc w:val="center"/>
              <w:rPr>
                <w:color w:val="auto"/>
                <w:kern w:val="0"/>
                <w:sz w:val="18"/>
                <w:szCs w:val="18"/>
                <w:highlight w:val="none"/>
              </w:rPr>
            </w:pPr>
            <w:r>
              <w:rPr>
                <w:color w:val="auto"/>
                <w:kern w:val="0"/>
                <w:sz w:val="18"/>
                <w:szCs w:val="18"/>
                <w:highlight w:val="none"/>
              </w:rPr>
              <w:t>Y＜100</w:t>
            </w:r>
          </w:p>
        </w:tc>
      </w:tr>
      <w:tr w14:paraId="692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299F24">
            <w:pPr>
              <w:widowControl/>
              <w:spacing w:line="280" w:lineRule="exact"/>
              <w:jc w:val="left"/>
              <w:rPr>
                <w:color w:val="auto"/>
                <w:kern w:val="0"/>
                <w:sz w:val="18"/>
                <w:szCs w:val="18"/>
                <w:highlight w:val="none"/>
              </w:rPr>
            </w:pPr>
            <w:r>
              <w:rPr>
                <w:color w:val="auto"/>
                <w:kern w:val="0"/>
                <w:sz w:val="18"/>
                <w:szCs w:val="18"/>
                <w:highlight w:val="none"/>
              </w:rPr>
              <w:t>邮政业</w:t>
            </w:r>
          </w:p>
        </w:tc>
        <w:tc>
          <w:tcPr>
            <w:tcW w:w="1369" w:type="dxa"/>
            <w:noWrap w:val="0"/>
            <w:vAlign w:val="center"/>
          </w:tcPr>
          <w:p w14:paraId="59587A8D">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4AAD8618">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312A71B7">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14:paraId="1E6F5D5A">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14:paraId="47159075">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14:paraId="49DCD05F">
            <w:pPr>
              <w:widowControl/>
              <w:spacing w:line="280" w:lineRule="exact"/>
              <w:jc w:val="center"/>
              <w:rPr>
                <w:color w:val="auto"/>
                <w:kern w:val="0"/>
                <w:sz w:val="18"/>
                <w:szCs w:val="18"/>
                <w:highlight w:val="none"/>
              </w:rPr>
            </w:pPr>
            <w:r>
              <w:rPr>
                <w:color w:val="auto"/>
                <w:kern w:val="0"/>
                <w:sz w:val="18"/>
                <w:szCs w:val="18"/>
                <w:highlight w:val="none"/>
              </w:rPr>
              <w:t>X＜20</w:t>
            </w:r>
          </w:p>
        </w:tc>
      </w:tr>
      <w:tr w14:paraId="29D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8B2CE7">
            <w:pPr>
              <w:widowControl/>
              <w:spacing w:line="280" w:lineRule="exact"/>
              <w:jc w:val="left"/>
              <w:rPr>
                <w:color w:val="auto"/>
                <w:kern w:val="0"/>
                <w:sz w:val="18"/>
                <w:szCs w:val="18"/>
                <w:highlight w:val="none"/>
              </w:rPr>
            </w:pPr>
          </w:p>
        </w:tc>
        <w:tc>
          <w:tcPr>
            <w:tcW w:w="1369" w:type="dxa"/>
            <w:noWrap w:val="0"/>
            <w:vAlign w:val="center"/>
          </w:tcPr>
          <w:p w14:paraId="76B5B1F5">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74323342">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0D35DC82">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14:paraId="61A1E3C0">
            <w:pPr>
              <w:widowControl/>
              <w:spacing w:line="280" w:lineRule="exact"/>
              <w:jc w:val="center"/>
              <w:rPr>
                <w:color w:val="auto"/>
                <w:kern w:val="0"/>
                <w:sz w:val="18"/>
                <w:szCs w:val="18"/>
                <w:highlight w:val="none"/>
              </w:rPr>
            </w:pPr>
            <w:r>
              <w:rPr>
                <w:color w:val="auto"/>
                <w:kern w:val="0"/>
                <w:sz w:val="18"/>
                <w:szCs w:val="18"/>
                <w:highlight w:val="none"/>
              </w:rPr>
              <w:t>2000≤Y＜30000</w:t>
            </w:r>
          </w:p>
        </w:tc>
        <w:tc>
          <w:tcPr>
            <w:tcW w:w="1426" w:type="dxa"/>
            <w:noWrap w:val="0"/>
            <w:vAlign w:val="center"/>
          </w:tcPr>
          <w:p w14:paraId="5D716CB4">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14:paraId="2A672A51">
            <w:pPr>
              <w:widowControl/>
              <w:spacing w:line="280" w:lineRule="exact"/>
              <w:jc w:val="center"/>
              <w:rPr>
                <w:color w:val="auto"/>
                <w:kern w:val="0"/>
                <w:sz w:val="18"/>
                <w:szCs w:val="18"/>
                <w:highlight w:val="none"/>
              </w:rPr>
            </w:pPr>
            <w:r>
              <w:rPr>
                <w:color w:val="auto"/>
                <w:kern w:val="0"/>
                <w:sz w:val="18"/>
                <w:szCs w:val="18"/>
                <w:highlight w:val="none"/>
              </w:rPr>
              <w:t>Y＜100</w:t>
            </w:r>
          </w:p>
        </w:tc>
      </w:tr>
      <w:tr w14:paraId="41C8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0E7247">
            <w:pPr>
              <w:widowControl/>
              <w:spacing w:line="280" w:lineRule="exact"/>
              <w:jc w:val="left"/>
              <w:rPr>
                <w:color w:val="auto"/>
                <w:kern w:val="0"/>
                <w:sz w:val="18"/>
                <w:szCs w:val="18"/>
                <w:highlight w:val="none"/>
              </w:rPr>
            </w:pPr>
            <w:r>
              <w:rPr>
                <w:color w:val="auto"/>
                <w:kern w:val="0"/>
                <w:sz w:val="18"/>
                <w:szCs w:val="18"/>
                <w:highlight w:val="none"/>
              </w:rPr>
              <w:t>住宿业</w:t>
            </w:r>
          </w:p>
        </w:tc>
        <w:tc>
          <w:tcPr>
            <w:tcW w:w="1369" w:type="dxa"/>
            <w:noWrap w:val="0"/>
            <w:vAlign w:val="center"/>
          </w:tcPr>
          <w:p w14:paraId="2F57B18F">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617797BB">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383EFA90">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14:paraId="741E2878">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14:paraId="0222DC2D">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14:paraId="27764E5D">
            <w:pPr>
              <w:widowControl/>
              <w:spacing w:line="280" w:lineRule="exact"/>
              <w:jc w:val="center"/>
              <w:rPr>
                <w:color w:val="auto"/>
                <w:kern w:val="0"/>
                <w:sz w:val="18"/>
                <w:szCs w:val="18"/>
                <w:highlight w:val="none"/>
              </w:rPr>
            </w:pPr>
            <w:r>
              <w:rPr>
                <w:color w:val="auto"/>
                <w:kern w:val="0"/>
                <w:sz w:val="18"/>
                <w:szCs w:val="18"/>
                <w:highlight w:val="none"/>
              </w:rPr>
              <w:t>X＜10</w:t>
            </w:r>
          </w:p>
        </w:tc>
      </w:tr>
      <w:tr w14:paraId="07F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48C164">
            <w:pPr>
              <w:widowControl/>
              <w:spacing w:line="280" w:lineRule="exact"/>
              <w:jc w:val="left"/>
              <w:rPr>
                <w:color w:val="auto"/>
                <w:kern w:val="0"/>
                <w:sz w:val="18"/>
                <w:szCs w:val="18"/>
                <w:highlight w:val="none"/>
              </w:rPr>
            </w:pPr>
          </w:p>
        </w:tc>
        <w:tc>
          <w:tcPr>
            <w:tcW w:w="1369" w:type="dxa"/>
            <w:noWrap w:val="0"/>
            <w:vAlign w:val="center"/>
          </w:tcPr>
          <w:p w14:paraId="2C802D17">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6ECC4988">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44CA0067">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14:paraId="3765446F">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noWrap w:val="0"/>
            <w:vAlign w:val="center"/>
          </w:tcPr>
          <w:p w14:paraId="2FF62DA8">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14:paraId="3221378C">
            <w:pPr>
              <w:widowControl/>
              <w:spacing w:line="280" w:lineRule="exact"/>
              <w:jc w:val="center"/>
              <w:rPr>
                <w:color w:val="auto"/>
                <w:kern w:val="0"/>
                <w:sz w:val="18"/>
                <w:szCs w:val="18"/>
                <w:highlight w:val="none"/>
              </w:rPr>
            </w:pPr>
            <w:r>
              <w:rPr>
                <w:color w:val="auto"/>
                <w:kern w:val="0"/>
                <w:sz w:val="18"/>
                <w:szCs w:val="18"/>
                <w:highlight w:val="none"/>
              </w:rPr>
              <w:t>Y＜100</w:t>
            </w:r>
          </w:p>
        </w:tc>
      </w:tr>
      <w:tr w14:paraId="169E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B00994A">
            <w:pPr>
              <w:widowControl/>
              <w:spacing w:line="280" w:lineRule="exact"/>
              <w:jc w:val="left"/>
              <w:rPr>
                <w:color w:val="auto"/>
                <w:kern w:val="0"/>
                <w:sz w:val="18"/>
                <w:szCs w:val="18"/>
                <w:highlight w:val="none"/>
              </w:rPr>
            </w:pPr>
            <w:r>
              <w:rPr>
                <w:color w:val="auto"/>
                <w:kern w:val="0"/>
                <w:sz w:val="18"/>
                <w:szCs w:val="18"/>
                <w:highlight w:val="none"/>
              </w:rPr>
              <w:t>餐饮业</w:t>
            </w:r>
          </w:p>
        </w:tc>
        <w:tc>
          <w:tcPr>
            <w:tcW w:w="1369" w:type="dxa"/>
            <w:noWrap w:val="0"/>
            <w:vAlign w:val="center"/>
          </w:tcPr>
          <w:p w14:paraId="63C03E22">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3A8AD17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2490B528">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14:paraId="16682E70">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noWrap w:val="0"/>
            <w:vAlign w:val="center"/>
          </w:tcPr>
          <w:p w14:paraId="698A8E5B">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14:paraId="4DF4F324">
            <w:pPr>
              <w:widowControl/>
              <w:spacing w:line="280" w:lineRule="exact"/>
              <w:jc w:val="center"/>
              <w:rPr>
                <w:color w:val="auto"/>
                <w:kern w:val="0"/>
                <w:sz w:val="18"/>
                <w:szCs w:val="18"/>
                <w:highlight w:val="none"/>
              </w:rPr>
            </w:pPr>
            <w:r>
              <w:rPr>
                <w:color w:val="auto"/>
                <w:kern w:val="0"/>
                <w:sz w:val="18"/>
                <w:szCs w:val="18"/>
                <w:highlight w:val="none"/>
              </w:rPr>
              <w:t>X＜10</w:t>
            </w:r>
          </w:p>
        </w:tc>
      </w:tr>
      <w:tr w14:paraId="4C9A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8A1202A">
            <w:pPr>
              <w:widowControl/>
              <w:spacing w:line="280" w:lineRule="exact"/>
              <w:jc w:val="left"/>
              <w:rPr>
                <w:color w:val="auto"/>
                <w:kern w:val="0"/>
                <w:sz w:val="18"/>
                <w:szCs w:val="18"/>
                <w:highlight w:val="none"/>
              </w:rPr>
            </w:pPr>
          </w:p>
        </w:tc>
        <w:tc>
          <w:tcPr>
            <w:tcW w:w="1369" w:type="dxa"/>
            <w:noWrap w:val="0"/>
            <w:vAlign w:val="center"/>
          </w:tcPr>
          <w:p w14:paraId="44901C2B">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1CCE05DB">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132AB222">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14:paraId="52639749">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noWrap w:val="0"/>
            <w:vAlign w:val="center"/>
          </w:tcPr>
          <w:p w14:paraId="0433DDB8">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14:paraId="189119C2">
            <w:pPr>
              <w:widowControl/>
              <w:spacing w:line="280" w:lineRule="exact"/>
              <w:jc w:val="center"/>
              <w:rPr>
                <w:color w:val="auto"/>
                <w:kern w:val="0"/>
                <w:sz w:val="18"/>
                <w:szCs w:val="18"/>
                <w:highlight w:val="none"/>
              </w:rPr>
            </w:pPr>
            <w:r>
              <w:rPr>
                <w:color w:val="auto"/>
                <w:kern w:val="0"/>
                <w:sz w:val="18"/>
                <w:szCs w:val="18"/>
                <w:highlight w:val="none"/>
              </w:rPr>
              <w:t>Y＜100</w:t>
            </w:r>
          </w:p>
        </w:tc>
      </w:tr>
      <w:tr w14:paraId="6166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A9B391">
            <w:pPr>
              <w:widowControl/>
              <w:spacing w:line="280" w:lineRule="exact"/>
              <w:jc w:val="left"/>
              <w:rPr>
                <w:color w:val="auto"/>
                <w:kern w:val="0"/>
                <w:sz w:val="18"/>
                <w:szCs w:val="18"/>
                <w:highlight w:val="none"/>
              </w:rPr>
            </w:pPr>
            <w:r>
              <w:rPr>
                <w:color w:val="auto"/>
                <w:kern w:val="0"/>
                <w:sz w:val="18"/>
                <w:szCs w:val="18"/>
                <w:highlight w:val="none"/>
              </w:rPr>
              <w:t>信息传输业 *</w:t>
            </w:r>
          </w:p>
        </w:tc>
        <w:tc>
          <w:tcPr>
            <w:tcW w:w="1369" w:type="dxa"/>
            <w:noWrap w:val="0"/>
            <w:vAlign w:val="center"/>
          </w:tcPr>
          <w:p w14:paraId="464DD66B">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17E9A958">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298EB679">
            <w:pPr>
              <w:widowControl/>
              <w:spacing w:line="280" w:lineRule="exact"/>
              <w:jc w:val="center"/>
              <w:rPr>
                <w:color w:val="auto"/>
                <w:kern w:val="0"/>
                <w:sz w:val="18"/>
                <w:szCs w:val="18"/>
                <w:highlight w:val="none"/>
              </w:rPr>
            </w:pPr>
            <w:r>
              <w:rPr>
                <w:color w:val="auto"/>
                <w:kern w:val="0"/>
                <w:sz w:val="18"/>
                <w:szCs w:val="18"/>
                <w:highlight w:val="none"/>
              </w:rPr>
              <w:t>X≥2000</w:t>
            </w:r>
          </w:p>
        </w:tc>
        <w:tc>
          <w:tcPr>
            <w:tcW w:w="1701" w:type="dxa"/>
            <w:noWrap w:val="0"/>
            <w:vAlign w:val="center"/>
          </w:tcPr>
          <w:p w14:paraId="78222C15">
            <w:pPr>
              <w:widowControl/>
              <w:spacing w:line="280" w:lineRule="exact"/>
              <w:jc w:val="center"/>
              <w:rPr>
                <w:color w:val="auto"/>
                <w:kern w:val="0"/>
                <w:sz w:val="18"/>
                <w:szCs w:val="18"/>
                <w:highlight w:val="none"/>
              </w:rPr>
            </w:pPr>
            <w:r>
              <w:rPr>
                <w:color w:val="auto"/>
                <w:kern w:val="0"/>
                <w:sz w:val="18"/>
                <w:szCs w:val="18"/>
                <w:highlight w:val="none"/>
              </w:rPr>
              <w:t>100≤X＜2000</w:t>
            </w:r>
          </w:p>
        </w:tc>
        <w:tc>
          <w:tcPr>
            <w:tcW w:w="1426" w:type="dxa"/>
            <w:noWrap w:val="0"/>
            <w:vAlign w:val="center"/>
          </w:tcPr>
          <w:p w14:paraId="4A5F85EB">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14:paraId="06C0EAC5">
            <w:pPr>
              <w:widowControl/>
              <w:spacing w:line="280" w:lineRule="exact"/>
              <w:jc w:val="center"/>
              <w:rPr>
                <w:color w:val="auto"/>
                <w:kern w:val="0"/>
                <w:sz w:val="18"/>
                <w:szCs w:val="18"/>
                <w:highlight w:val="none"/>
              </w:rPr>
            </w:pPr>
            <w:r>
              <w:rPr>
                <w:color w:val="auto"/>
                <w:kern w:val="0"/>
                <w:sz w:val="18"/>
                <w:szCs w:val="18"/>
                <w:highlight w:val="none"/>
              </w:rPr>
              <w:t>X＜10</w:t>
            </w:r>
          </w:p>
        </w:tc>
      </w:tr>
      <w:tr w14:paraId="18A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0BBF85F">
            <w:pPr>
              <w:widowControl/>
              <w:spacing w:line="280" w:lineRule="exact"/>
              <w:jc w:val="left"/>
              <w:rPr>
                <w:color w:val="auto"/>
                <w:kern w:val="0"/>
                <w:sz w:val="18"/>
                <w:szCs w:val="18"/>
                <w:highlight w:val="none"/>
              </w:rPr>
            </w:pPr>
          </w:p>
        </w:tc>
        <w:tc>
          <w:tcPr>
            <w:tcW w:w="1369" w:type="dxa"/>
            <w:noWrap w:val="0"/>
            <w:vAlign w:val="center"/>
          </w:tcPr>
          <w:p w14:paraId="753072EF">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5C1EEC45">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36670F4E">
            <w:pPr>
              <w:widowControl/>
              <w:spacing w:line="280" w:lineRule="exact"/>
              <w:jc w:val="center"/>
              <w:rPr>
                <w:color w:val="auto"/>
                <w:kern w:val="0"/>
                <w:sz w:val="18"/>
                <w:szCs w:val="18"/>
                <w:highlight w:val="none"/>
              </w:rPr>
            </w:pPr>
            <w:r>
              <w:rPr>
                <w:color w:val="auto"/>
                <w:kern w:val="0"/>
                <w:sz w:val="18"/>
                <w:szCs w:val="18"/>
                <w:highlight w:val="none"/>
              </w:rPr>
              <w:t>Y≥100000</w:t>
            </w:r>
          </w:p>
        </w:tc>
        <w:tc>
          <w:tcPr>
            <w:tcW w:w="1701" w:type="dxa"/>
            <w:noWrap w:val="0"/>
            <w:vAlign w:val="center"/>
          </w:tcPr>
          <w:p w14:paraId="026BAD1E">
            <w:pPr>
              <w:widowControl/>
              <w:spacing w:line="280" w:lineRule="exact"/>
              <w:jc w:val="center"/>
              <w:rPr>
                <w:color w:val="auto"/>
                <w:kern w:val="0"/>
                <w:sz w:val="18"/>
                <w:szCs w:val="18"/>
                <w:highlight w:val="none"/>
              </w:rPr>
            </w:pPr>
            <w:r>
              <w:rPr>
                <w:color w:val="auto"/>
                <w:kern w:val="0"/>
                <w:sz w:val="18"/>
                <w:szCs w:val="18"/>
                <w:highlight w:val="none"/>
              </w:rPr>
              <w:t>1000≤Y＜100000</w:t>
            </w:r>
          </w:p>
        </w:tc>
        <w:tc>
          <w:tcPr>
            <w:tcW w:w="1426" w:type="dxa"/>
            <w:noWrap w:val="0"/>
            <w:vAlign w:val="center"/>
          </w:tcPr>
          <w:p w14:paraId="00F00A8F">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14:paraId="787DCF31">
            <w:pPr>
              <w:widowControl/>
              <w:spacing w:line="280" w:lineRule="exact"/>
              <w:jc w:val="center"/>
              <w:rPr>
                <w:color w:val="auto"/>
                <w:kern w:val="0"/>
                <w:sz w:val="18"/>
                <w:szCs w:val="18"/>
                <w:highlight w:val="none"/>
              </w:rPr>
            </w:pPr>
            <w:r>
              <w:rPr>
                <w:color w:val="auto"/>
                <w:kern w:val="0"/>
                <w:sz w:val="18"/>
                <w:szCs w:val="18"/>
                <w:highlight w:val="none"/>
              </w:rPr>
              <w:t>Y＜100</w:t>
            </w:r>
          </w:p>
        </w:tc>
      </w:tr>
      <w:tr w14:paraId="77D7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7A57D56">
            <w:pPr>
              <w:widowControl/>
              <w:spacing w:line="280" w:lineRule="exact"/>
              <w:jc w:val="left"/>
              <w:rPr>
                <w:color w:val="auto"/>
                <w:spacing w:val="-12"/>
                <w:kern w:val="0"/>
                <w:sz w:val="18"/>
                <w:szCs w:val="18"/>
                <w:highlight w:val="none"/>
              </w:rPr>
            </w:pPr>
            <w:r>
              <w:rPr>
                <w:color w:val="auto"/>
                <w:spacing w:val="-12"/>
                <w:kern w:val="0"/>
                <w:sz w:val="18"/>
                <w:szCs w:val="18"/>
                <w:highlight w:val="none"/>
              </w:rPr>
              <w:t>软件和信息技术服</w:t>
            </w:r>
            <w:r>
              <w:rPr>
                <w:color w:val="auto"/>
                <w:kern w:val="0"/>
                <w:sz w:val="18"/>
                <w:szCs w:val="18"/>
                <w:highlight w:val="none"/>
              </w:rPr>
              <w:t>务业</w:t>
            </w:r>
          </w:p>
        </w:tc>
        <w:tc>
          <w:tcPr>
            <w:tcW w:w="1369" w:type="dxa"/>
            <w:noWrap w:val="0"/>
            <w:vAlign w:val="center"/>
          </w:tcPr>
          <w:p w14:paraId="5B07D077">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557DFCEB">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3FF42AB0">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14:paraId="35822801">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noWrap w:val="0"/>
            <w:vAlign w:val="center"/>
          </w:tcPr>
          <w:p w14:paraId="39A3A70D">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14:paraId="6EC615BC">
            <w:pPr>
              <w:widowControl/>
              <w:spacing w:line="280" w:lineRule="exact"/>
              <w:jc w:val="center"/>
              <w:rPr>
                <w:color w:val="auto"/>
                <w:kern w:val="0"/>
                <w:sz w:val="18"/>
                <w:szCs w:val="18"/>
                <w:highlight w:val="none"/>
              </w:rPr>
            </w:pPr>
            <w:r>
              <w:rPr>
                <w:color w:val="auto"/>
                <w:kern w:val="0"/>
                <w:sz w:val="18"/>
                <w:szCs w:val="18"/>
                <w:highlight w:val="none"/>
              </w:rPr>
              <w:t>X＜10</w:t>
            </w:r>
          </w:p>
        </w:tc>
      </w:tr>
      <w:tr w14:paraId="4999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83890AD">
            <w:pPr>
              <w:widowControl/>
              <w:spacing w:line="280" w:lineRule="exact"/>
              <w:jc w:val="left"/>
              <w:rPr>
                <w:color w:val="auto"/>
                <w:spacing w:val="-12"/>
                <w:kern w:val="0"/>
                <w:sz w:val="18"/>
                <w:szCs w:val="18"/>
                <w:highlight w:val="none"/>
              </w:rPr>
            </w:pPr>
          </w:p>
        </w:tc>
        <w:tc>
          <w:tcPr>
            <w:tcW w:w="1369" w:type="dxa"/>
            <w:noWrap w:val="0"/>
            <w:vAlign w:val="center"/>
          </w:tcPr>
          <w:p w14:paraId="1EC29D2C">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11DBA3B6">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1EFF513F">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14:paraId="27B25883">
            <w:pPr>
              <w:widowControl/>
              <w:spacing w:line="280" w:lineRule="exact"/>
              <w:jc w:val="center"/>
              <w:rPr>
                <w:color w:val="auto"/>
                <w:kern w:val="0"/>
                <w:sz w:val="18"/>
                <w:szCs w:val="18"/>
                <w:highlight w:val="none"/>
              </w:rPr>
            </w:pPr>
            <w:r>
              <w:rPr>
                <w:color w:val="auto"/>
                <w:kern w:val="0"/>
                <w:sz w:val="18"/>
                <w:szCs w:val="18"/>
                <w:highlight w:val="none"/>
              </w:rPr>
              <w:t>1000≤Y＜10000</w:t>
            </w:r>
          </w:p>
        </w:tc>
        <w:tc>
          <w:tcPr>
            <w:tcW w:w="1426" w:type="dxa"/>
            <w:noWrap w:val="0"/>
            <w:vAlign w:val="center"/>
          </w:tcPr>
          <w:p w14:paraId="2101D1E6">
            <w:pPr>
              <w:widowControl/>
              <w:spacing w:line="280" w:lineRule="exact"/>
              <w:jc w:val="center"/>
              <w:rPr>
                <w:color w:val="auto"/>
                <w:kern w:val="0"/>
                <w:sz w:val="18"/>
                <w:szCs w:val="18"/>
                <w:highlight w:val="none"/>
              </w:rPr>
            </w:pPr>
            <w:r>
              <w:rPr>
                <w:color w:val="auto"/>
                <w:kern w:val="0"/>
                <w:sz w:val="18"/>
                <w:szCs w:val="18"/>
                <w:highlight w:val="none"/>
              </w:rPr>
              <w:t>50≤Y＜1000</w:t>
            </w:r>
          </w:p>
        </w:tc>
        <w:tc>
          <w:tcPr>
            <w:tcW w:w="992" w:type="dxa"/>
            <w:noWrap w:val="0"/>
            <w:vAlign w:val="center"/>
          </w:tcPr>
          <w:p w14:paraId="174FF9BC">
            <w:pPr>
              <w:widowControl/>
              <w:spacing w:line="280" w:lineRule="exact"/>
              <w:jc w:val="center"/>
              <w:rPr>
                <w:color w:val="auto"/>
                <w:kern w:val="0"/>
                <w:sz w:val="18"/>
                <w:szCs w:val="18"/>
                <w:highlight w:val="none"/>
              </w:rPr>
            </w:pPr>
            <w:r>
              <w:rPr>
                <w:color w:val="auto"/>
                <w:kern w:val="0"/>
                <w:sz w:val="18"/>
                <w:szCs w:val="18"/>
                <w:highlight w:val="none"/>
              </w:rPr>
              <w:t>Y＜50</w:t>
            </w:r>
          </w:p>
        </w:tc>
      </w:tr>
      <w:tr w14:paraId="15A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994F3A8">
            <w:pPr>
              <w:widowControl/>
              <w:spacing w:line="280" w:lineRule="exact"/>
              <w:jc w:val="left"/>
              <w:rPr>
                <w:color w:val="auto"/>
                <w:kern w:val="0"/>
                <w:sz w:val="18"/>
                <w:szCs w:val="18"/>
                <w:highlight w:val="none"/>
              </w:rPr>
            </w:pPr>
            <w:r>
              <w:rPr>
                <w:color w:val="auto"/>
                <w:kern w:val="0"/>
                <w:sz w:val="18"/>
                <w:szCs w:val="18"/>
                <w:highlight w:val="none"/>
              </w:rPr>
              <w:t>房地产开发经营</w:t>
            </w:r>
          </w:p>
        </w:tc>
        <w:tc>
          <w:tcPr>
            <w:tcW w:w="1369" w:type="dxa"/>
            <w:noWrap w:val="0"/>
            <w:vAlign w:val="center"/>
          </w:tcPr>
          <w:p w14:paraId="7DE5B56E">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7927BFBC">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07AFAFCF">
            <w:pPr>
              <w:widowControl/>
              <w:spacing w:line="280" w:lineRule="exact"/>
              <w:jc w:val="center"/>
              <w:rPr>
                <w:color w:val="auto"/>
                <w:kern w:val="0"/>
                <w:sz w:val="18"/>
                <w:szCs w:val="18"/>
                <w:highlight w:val="none"/>
              </w:rPr>
            </w:pPr>
            <w:r>
              <w:rPr>
                <w:color w:val="auto"/>
                <w:kern w:val="0"/>
                <w:sz w:val="18"/>
                <w:szCs w:val="18"/>
                <w:highlight w:val="none"/>
              </w:rPr>
              <w:t>Y≥200000</w:t>
            </w:r>
          </w:p>
        </w:tc>
        <w:tc>
          <w:tcPr>
            <w:tcW w:w="1701" w:type="dxa"/>
            <w:noWrap w:val="0"/>
            <w:vAlign w:val="center"/>
          </w:tcPr>
          <w:p w14:paraId="736AB321">
            <w:pPr>
              <w:widowControl/>
              <w:spacing w:line="280" w:lineRule="exact"/>
              <w:jc w:val="center"/>
              <w:rPr>
                <w:color w:val="auto"/>
                <w:kern w:val="0"/>
                <w:sz w:val="18"/>
                <w:szCs w:val="18"/>
                <w:highlight w:val="none"/>
              </w:rPr>
            </w:pPr>
            <w:r>
              <w:rPr>
                <w:color w:val="auto"/>
                <w:kern w:val="0"/>
                <w:sz w:val="18"/>
                <w:szCs w:val="18"/>
                <w:highlight w:val="none"/>
              </w:rPr>
              <w:t>1000≤Y＜200000</w:t>
            </w:r>
          </w:p>
        </w:tc>
        <w:tc>
          <w:tcPr>
            <w:tcW w:w="1426" w:type="dxa"/>
            <w:noWrap w:val="0"/>
            <w:vAlign w:val="center"/>
          </w:tcPr>
          <w:p w14:paraId="61BEEB0F">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14:paraId="2BE028F2">
            <w:pPr>
              <w:widowControl/>
              <w:spacing w:line="280" w:lineRule="exact"/>
              <w:jc w:val="center"/>
              <w:rPr>
                <w:color w:val="auto"/>
                <w:kern w:val="0"/>
                <w:sz w:val="18"/>
                <w:szCs w:val="18"/>
                <w:highlight w:val="none"/>
              </w:rPr>
            </w:pPr>
            <w:r>
              <w:rPr>
                <w:color w:val="auto"/>
                <w:kern w:val="0"/>
                <w:sz w:val="18"/>
                <w:szCs w:val="18"/>
                <w:highlight w:val="none"/>
              </w:rPr>
              <w:t>Y＜100</w:t>
            </w:r>
          </w:p>
        </w:tc>
      </w:tr>
      <w:tr w14:paraId="670A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4E58B6C">
            <w:pPr>
              <w:widowControl/>
              <w:spacing w:line="280" w:lineRule="exact"/>
              <w:jc w:val="left"/>
              <w:rPr>
                <w:color w:val="auto"/>
                <w:kern w:val="0"/>
                <w:sz w:val="18"/>
                <w:szCs w:val="18"/>
                <w:highlight w:val="none"/>
              </w:rPr>
            </w:pPr>
          </w:p>
        </w:tc>
        <w:tc>
          <w:tcPr>
            <w:tcW w:w="1369" w:type="dxa"/>
            <w:noWrap w:val="0"/>
            <w:vAlign w:val="center"/>
          </w:tcPr>
          <w:p w14:paraId="38693CC3">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14:paraId="72AFA0E3">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25C3279E">
            <w:pPr>
              <w:widowControl/>
              <w:spacing w:line="280" w:lineRule="exact"/>
              <w:jc w:val="center"/>
              <w:rPr>
                <w:color w:val="auto"/>
                <w:kern w:val="0"/>
                <w:sz w:val="18"/>
                <w:szCs w:val="18"/>
                <w:highlight w:val="none"/>
              </w:rPr>
            </w:pPr>
            <w:r>
              <w:rPr>
                <w:color w:val="auto"/>
                <w:kern w:val="0"/>
                <w:sz w:val="18"/>
                <w:szCs w:val="18"/>
                <w:highlight w:val="none"/>
              </w:rPr>
              <w:t>Z≥10000</w:t>
            </w:r>
          </w:p>
        </w:tc>
        <w:tc>
          <w:tcPr>
            <w:tcW w:w="1701" w:type="dxa"/>
            <w:noWrap w:val="0"/>
            <w:vAlign w:val="center"/>
          </w:tcPr>
          <w:p w14:paraId="46408A20">
            <w:pPr>
              <w:widowControl/>
              <w:spacing w:line="280" w:lineRule="exact"/>
              <w:jc w:val="center"/>
              <w:rPr>
                <w:color w:val="auto"/>
                <w:kern w:val="0"/>
                <w:sz w:val="18"/>
                <w:szCs w:val="18"/>
                <w:highlight w:val="none"/>
              </w:rPr>
            </w:pPr>
            <w:r>
              <w:rPr>
                <w:color w:val="auto"/>
                <w:kern w:val="0"/>
                <w:sz w:val="18"/>
                <w:szCs w:val="18"/>
                <w:highlight w:val="none"/>
              </w:rPr>
              <w:t>5000≤Z＜10000</w:t>
            </w:r>
          </w:p>
        </w:tc>
        <w:tc>
          <w:tcPr>
            <w:tcW w:w="1426" w:type="dxa"/>
            <w:noWrap w:val="0"/>
            <w:vAlign w:val="center"/>
          </w:tcPr>
          <w:p w14:paraId="7ABCDC5F">
            <w:pPr>
              <w:widowControl/>
              <w:spacing w:line="280" w:lineRule="exact"/>
              <w:jc w:val="center"/>
              <w:rPr>
                <w:color w:val="auto"/>
                <w:kern w:val="0"/>
                <w:sz w:val="18"/>
                <w:szCs w:val="18"/>
                <w:highlight w:val="none"/>
              </w:rPr>
            </w:pPr>
            <w:r>
              <w:rPr>
                <w:color w:val="auto"/>
                <w:kern w:val="0"/>
                <w:sz w:val="18"/>
                <w:szCs w:val="18"/>
                <w:highlight w:val="none"/>
              </w:rPr>
              <w:t>2000≤Z＜5000</w:t>
            </w:r>
          </w:p>
        </w:tc>
        <w:tc>
          <w:tcPr>
            <w:tcW w:w="992" w:type="dxa"/>
            <w:noWrap w:val="0"/>
            <w:vAlign w:val="center"/>
          </w:tcPr>
          <w:p w14:paraId="486C3D98">
            <w:pPr>
              <w:widowControl/>
              <w:spacing w:line="280" w:lineRule="exact"/>
              <w:jc w:val="center"/>
              <w:rPr>
                <w:color w:val="auto"/>
                <w:kern w:val="0"/>
                <w:sz w:val="18"/>
                <w:szCs w:val="18"/>
                <w:highlight w:val="none"/>
              </w:rPr>
            </w:pPr>
            <w:r>
              <w:rPr>
                <w:color w:val="auto"/>
                <w:kern w:val="0"/>
                <w:sz w:val="18"/>
                <w:szCs w:val="18"/>
                <w:highlight w:val="none"/>
              </w:rPr>
              <w:t>Z＜2000</w:t>
            </w:r>
          </w:p>
        </w:tc>
      </w:tr>
      <w:tr w14:paraId="3F6C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89617A">
            <w:pPr>
              <w:widowControl/>
              <w:spacing w:line="280" w:lineRule="exact"/>
              <w:jc w:val="left"/>
              <w:rPr>
                <w:color w:val="auto"/>
                <w:kern w:val="0"/>
                <w:sz w:val="18"/>
                <w:szCs w:val="18"/>
                <w:highlight w:val="none"/>
              </w:rPr>
            </w:pPr>
            <w:r>
              <w:rPr>
                <w:color w:val="auto"/>
                <w:kern w:val="0"/>
                <w:sz w:val="18"/>
                <w:szCs w:val="18"/>
                <w:highlight w:val="none"/>
              </w:rPr>
              <w:t>物业管理</w:t>
            </w:r>
          </w:p>
        </w:tc>
        <w:tc>
          <w:tcPr>
            <w:tcW w:w="1369" w:type="dxa"/>
            <w:noWrap w:val="0"/>
            <w:vAlign w:val="center"/>
          </w:tcPr>
          <w:p w14:paraId="7D9E905D">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29DFB5D1">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2C38B891">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14:paraId="70DAD856">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14:paraId="6431A843">
            <w:pPr>
              <w:widowControl/>
              <w:spacing w:line="280" w:lineRule="exact"/>
              <w:jc w:val="center"/>
              <w:rPr>
                <w:color w:val="auto"/>
                <w:kern w:val="0"/>
                <w:sz w:val="18"/>
                <w:szCs w:val="18"/>
                <w:highlight w:val="none"/>
              </w:rPr>
            </w:pPr>
            <w:r>
              <w:rPr>
                <w:color w:val="auto"/>
                <w:kern w:val="0"/>
                <w:sz w:val="18"/>
                <w:szCs w:val="18"/>
                <w:highlight w:val="none"/>
              </w:rPr>
              <w:t>100≤X＜300</w:t>
            </w:r>
          </w:p>
        </w:tc>
        <w:tc>
          <w:tcPr>
            <w:tcW w:w="992" w:type="dxa"/>
            <w:noWrap w:val="0"/>
            <w:vAlign w:val="center"/>
          </w:tcPr>
          <w:p w14:paraId="28EDC7CA">
            <w:pPr>
              <w:widowControl/>
              <w:spacing w:line="280" w:lineRule="exact"/>
              <w:jc w:val="center"/>
              <w:rPr>
                <w:color w:val="auto"/>
                <w:kern w:val="0"/>
                <w:sz w:val="18"/>
                <w:szCs w:val="18"/>
                <w:highlight w:val="none"/>
              </w:rPr>
            </w:pPr>
            <w:r>
              <w:rPr>
                <w:color w:val="auto"/>
                <w:kern w:val="0"/>
                <w:sz w:val="18"/>
                <w:szCs w:val="18"/>
                <w:highlight w:val="none"/>
              </w:rPr>
              <w:t>X＜100</w:t>
            </w:r>
          </w:p>
        </w:tc>
      </w:tr>
      <w:tr w14:paraId="1784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DBEF05">
            <w:pPr>
              <w:widowControl/>
              <w:spacing w:line="280" w:lineRule="exact"/>
              <w:jc w:val="left"/>
              <w:rPr>
                <w:color w:val="auto"/>
                <w:kern w:val="0"/>
                <w:sz w:val="18"/>
                <w:szCs w:val="18"/>
                <w:highlight w:val="none"/>
              </w:rPr>
            </w:pPr>
          </w:p>
        </w:tc>
        <w:tc>
          <w:tcPr>
            <w:tcW w:w="1369" w:type="dxa"/>
            <w:noWrap w:val="0"/>
            <w:vAlign w:val="center"/>
          </w:tcPr>
          <w:p w14:paraId="7C29D52F">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14:paraId="572771DC">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1FA3CD3F">
            <w:pPr>
              <w:widowControl/>
              <w:spacing w:line="280" w:lineRule="exact"/>
              <w:jc w:val="center"/>
              <w:rPr>
                <w:color w:val="auto"/>
                <w:kern w:val="0"/>
                <w:sz w:val="18"/>
                <w:szCs w:val="18"/>
                <w:highlight w:val="none"/>
              </w:rPr>
            </w:pPr>
            <w:r>
              <w:rPr>
                <w:color w:val="auto"/>
                <w:kern w:val="0"/>
                <w:sz w:val="18"/>
                <w:szCs w:val="18"/>
                <w:highlight w:val="none"/>
              </w:rPr>
              <w:t>Y≥5000</w:t>
            </w:r>
          </w:p>
        </w:tc>
        <w:tc>
          <w:tcPr>
            <w:tcW w:w="1701" w:type="dxa"/>
            <w:noWrap w:val="0"/>
            <w:vAlign w:val="center"/>
          </w:tcPr>
          <w:p w14:paraId="1353408F">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1000≤Y＜5000</w:t>
            </w:r>
          </w:p>
        </w:tc>
        <w:tc>
          <w:tcPr>
            <w:tcW w:w="1426" w:type="dxa"/>
            <w:noWrap w:val="0"/>
            <w:vAlign w:val="center"/>
          </w:tcPr>
          <w:p w14:paraId="40C78DF8">
            <w:pPr>
              <w:widowControl/>
              <w:spacing w:line="280" w:lineRule="exact"/>
              <w:jc w:val="center"/>
              <w:rPr>
                <w:color w:val="auto"/>
                <w:kern w:val="0"/>
                <w:sz w:val="18"/>
                <w:szCs w:val="18"/>
                <w:highlight w:val="none"/>
              </w:rPr>
            </w:pPr>
            <w:r>
              <w:rPr>
                <w:color w:val="auto"/>
                <w:kern w:val="0"/>
                <w:sz w:val="18"/>
                <w:szCs w:val="18"/>
                <w:highlight w:val="none"/>
              </w:rPr>
              <w:t>500≤Y＜1000</w:t>
            </w:r>
          </w:p>
        </w:tc>
        <w:tc>
          <w:tcPr>
            <w:tcW w:w="992" w:type="dxa"/>
            <w:noWrap w:val="0"/>
            <w:vAlign w:val="center"/>
          </w:tcPr>
          <w:p w14:paraId="34FE0F6D">
            <w:pPr>
              <w:widowControl/>
              <w:spacing w:line="280" w:lineRule="exact"/>
              <w:jc w:val="center"/>
              <w:rPr>
                <w:color w:val="auto"/>
                <w:kern w:val="0"/>
                <w:sz w:val="18"/>
                <w:szCs w:val="18"/>
                <w:highlight w:val="none"/>
              </w:rPr>
            </w:pPr>
            <w:r>
              <w:rPr>
                <w:color w:val="auto"/>
                <w:kern w:val="0"/>
                <w:sz w:val="18"/>
                <w:szCs w:val="18"/>
                <w:highlight w:val="none"/>
              </w:rPr>
              <w:t>Y＜500</w:t>
            </w:r>
          </w:p>
        </w:tc>
      </w:tr>
      <w:tr w14:paraId="372B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465537D">
            <w:pPr>
              <w:widowControl/>
              <w:spacing w:line="280" w:lineRule="exact"/>
              <w:jc w:val="left"/>
              <w:rPr>
                <w:color w:val="auto"/>
                <w:kern w:val="0"/>
                <w:sz w:val="18"/>
                <w:szCs w:val="18"/>
                <w:highlight w:val="none"/>
              </w:rPr>
            </w:pPr>
            <w:r>
              <w:rPr>
                <w:color w:val="auto"/>
                <w:kern w:val="0"/>
                <w:sz w:val="18"/>
                <w:szCs w:val="18"/>
                <w:highlight w:val="none"/>
              </w:rPr>
              <w:t>租赁和商务服务业</w:t>
            </w:r>
          </w:p>
        </w:tc>
        <w:tc>
          <w:tcPr>
            <w:tcW w:w="1369" w:type="dxa"/>
            <w:noWrap w:val="0"/>
            <w:vAlign w:val="center"/>
          </w:tcPr>
          <w:p w14:paraId="0EF7BFE5">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5E860B65">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710804A0">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14:paraId="63A0C337">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14:paraId="49C6ACD5">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14:paraId="2676870F">
            <w:pPr>
              <w:widowControl/>
              <w:spacing w:line="280" w:lineRule="exact"/>
              <w:jc w:val="center"/>
              <w:rPr>
                <w:color w:val="auto"/>
                <w:kern w:val="0"/>
                <w:sz w:val="18"/>
                <w:szCs w:val="18"/>
                <w:highlight w:val="none"/>
              </w:rPr>
            </w:pPr>
            <w:r>
              <w:rPr>
                <w:color w:val="auto"/>
                <w:kern w:val="0"/>
                <w:sz w:val="18"/>
                <w:szCs w:val="18"/>
                <w:highlight w:val="none"/>
              </w:rPr>
              <w:t>X＜10</w:t>
            </w:r>
          </w:p>
        </w:tc>
      </w:tr>
      <w:tr w14:paraId="225D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EAD6479">
            <w:pPr>
              <w:widowControl/>
              <w:spacing w:line="280" w:lineRule="exact"/>
              <w:jc w:val="left"/>
              <w:rPr>
                <w:color w:val="auto"/>
                <w:kern w:val="0"/>
                <w:sz w:val="18"/>
                <w:szCs w:val="18"/>
                <w:highlight w:val="none"/>
              </w:rPr>
            </w:pPr>
          </w:p>
        </w:tc>
        <w:tc>
          <w:tcPr>
            <w:tcW w:w="1369" w:type="dxa"/>
            <w:noWrap w:val="0"/>
            <w:vAlign w:val="center"/>
          </w:tcPr>
          <w:p w14:paraId="06B0328F">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14:paraId="2F2281DB">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14:paraId="285DBDC2">
            <w:pPr>
              <w:widowControl/>
              <w:spacing w:line="280" w:lineRule="exact"/>
              <w:jc w:val="center"/>
              <w:rPr>
                <w:color w:val="auto"/>
                <w:kern w:val="0"/>
                <w:sz w:val="18"/>
                <w:szCs w:val="18"/>
                <w:highlight w:val="none"/>
              </w:rPr>
            </w:pPr>
            <w:r>
              <w:rPr>
                <w:color w:val="auto"/>
                <w:kern w:val="0"/>
                <w:sz w:val="18"/>
                <w:szCs w:val="18"/>
                <w:highlight w:val="none"/>
              </w:rPr>
              <w:t>Z≥120000</w:t>
            </w:r>
          </w:p>
        </w:tc>
        <w:tc>
          <w:tcPr>
            <w:tcW w:w="1701" w:type="dxa"/>
            <w:noWrap w:val="0"/>
            <w:vAlign w:val="center"/>
          </w:tcPr>
          <w:p w14:paraId="09566802">
            <w:pPr>
              <w:widowControl/>
              <w:spacing w:line="280" w:lineRule="exact"/>
              <w:jc w:val="center"/>
              <w:rPr>
                <w:color w:val="auto"/>
                <w:kern w:val="0"/>
                <w:sz w:val="18"/>
                <w:szCs w:val="18"/>
                <w:highlight w:val="none"/>
              </w:rPr>
            </w:pPr>
            <w:r>
              <w:rPr>
                <w:color w:val="auto"/>
                <w:kern w:val="0"/>
                <w:sz w:val="18"/>
                <w:szCs w:val="18"/>
                <w:highlight w:val="none"/>
              </w:rPr>
              <w:t>8000≤Z＜120000</w:t>
            </w:r>
          </w:p>
        </w:tc>
        <w:tc>
          <w:tcPr>
            <w:tcW w:w="1426" w:type="dxa"/>
            <w:noWrap w:val="0"/>
            <w:vAlign w:val="center"/>
          </w:tcPr>
          <w:p w14:paraId="12256F8C">
            <w:pPr>
              <w:widowControl/>
              <w:spacing w:line="280" w:lineRule="exact"/>
              <w:jc w:val="center"/>
              <w:rPr>
                <w:color w:val="auto"/>
                <w:kern w:val="0"/>
                <w:sz w:val="18"/>
                <w:szCs w:val="18"/>
                <w:highlight w:val="none"/>
              </w:rPr>
            </w:pPr>
            <w:r>
              <w:rPr>
                <w:color w:val="auto"/>
                <w:kern w:val="0"/>
                <w:sz w:val="18"/>
                <w:szCs w:val="18"/>
                <w:highlight w:val="none"/>
              </w:rPr>
              <w:t>100≤Z＜8000</w:t>
            </w:r>
          </w:p>
        </w:tc>
        <w:tc>
          <w:tcPr>
            <w:tcW w:w="992" w:type="dxa"/>
            <w:noWrap w:val="0"/>
            <w:vAlign w:val="center"/>
          </w:tcPr>
          <w:p w14:paraId="6F343C11">
            <w:pPr>
              <w:widowControl/>
              <w:spacing w:line="280" w:lineRule="exact"/>
              <w:jc w:val="center"/>
              <w:rPr>
                <w:color w:val="auto"/>
                <w:kern w:val="0"/>
                <w:sz w:val="18"/>
                <w:szCs w:val="18"/>
                <w:highlight w:val="none"/>
              </w:rPr>
            </w:pPr>
            <w:r>
              <w:rPr>
                <w:color w:val="auto"/>
                <w:kern w:val="0"/>
                <w:sz w:val="18"/>
                <w:szCs w:val="18"/>
                <w:highlight w:val="none"/>
              </w:rPr>
              <w:t>Z＜100</w:t>
            </w:r>
          </w:p>
        </w:tc>
      </w:tr>
      <w:tr w14:paraId="7B9B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DCF23F3">
            <w:pPr>
              <w:widowControl/>
              <w:spacing w:line="280" w:lineRule="exact"/>
              <w:jc w:val="left"/>
              <w:rPr>
                <w:color w:val="auto"/>
                <w:kern w:val="0"/>
                <w:sz w:val="18"/>
                <w:szCs w:val="18"/>
                <w:highlight w:val="none"/>
              </w:rPr>
            </w:pPr>
            <w:r>
              <w:rPr>
                <w:color w:val="auto"/>
                <w:kern w:val="0"/>
                <w:sz w:val="18"/>
                <w:szCs w:val="18"/>
                <w:highlight w:val="none"/>
              </w:rPr>
              <w:t>其他未列明行业 *</w:t>
            </w:r>
          </w:p>
        </w:tc>
        <w:tc>
          <w:tcPr>
            <w:tcW w:w="1369" w:type="dxa"/>
            <w:noWrap w:val="0"/>
            <w:vAlign w:val="center"/>
          </w:tcPr>
          <w:p w14:paraId="3BDC85FB">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14:paraId="7975CA6A">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14:paraId="68FDC91B">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14:paraId="0332A052">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14:paraId="1639E396">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14:paraId="148B5EC8">
            <w:pPr>
              <w:widowControl/>
              <w:spacing w:line="280" w:lineRule="exact"/>
              <w:jc w:val="center"/>
              <w:rPr>
                <w:color w:val="auto"/>
                <w:kern w:val="0"/>
                <w:sz w:val="18"/>
                <w:szCs w:val="18"/>
                <w:highlight w:val="none"/>
              </w:rPr>
            </w:pPr>
            <w:r>
              <w:rPr>
                <w:color w:val="auto"/>
                <w:kern w:val="0"/>
                <w:sz w:val="18"/>
                <w:szCs w:val="18"/>
                <w:highlight w:val="none"/>
              </w:rPr>
              <w:t>X＜10</w:t>
            </w:r>
          </w:p>
        </w:tc>
      </w:tr>
    </w:tbl>
    <w:p w14:paraId="2FD9097D">
      <w:pPr>
        <w:widowControl/>
        <w:spacing w:line="280" w:lineRule="exact"/>
        <w:rPr>
          <w:color w:val="auto"/>
          <w:spacing w:val="8"/>
          <w:kern w:val="0"/>
          <w:sz w:val="24"/>
          <w:highlight w:val="none"/>
        </w:rPr>
      </w:pPr>
    </w:p>
    <w:p w14:paraId="1B233EB8">
      <w:pPr>
        <w:widowControl/>
        <w:spacing w:line="480" w:lineRule="auto"/>
        <w:rPr>
          <w:color w:val="auto"/>
          <w:spacing w:val="8"/>
          <w:kern w:val="0"/>
          <w:szCs w:val="21"/>
          <w:highlight w:val="none"/>
        </w:rPr>
      </w:pPr>
      <w:r>
        <w:rPr>
          <w:color w:val="auto"/>
          <w:spacing w:val="8"/>
          <w:kern w:val="0"/>
          <w:szCs w:val="21"/>
          <w:highlight w:val="none"/>
        </w:rPr>
        <w:t>说明：</w:t>
      </w:r>
    </w:p>
    <w:p w14:paraId="145E3FC1">
      <w:pPr>
        <w:pStyle w:val="17"/>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1.大型、中型和小型企业须同时满足所列指标的下限，否则下划一档；微型企业只须满足所列指标中的一项即可。</w:t>
      </w:r>
    </w:p>
    <w:p w14:paraId="096B6AF5">
      <w:pPr>
        <w:pStyle w:val="17"/>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hAnsi="Times New Roman"/>
          <w:color w:val="auto"/>
          <w:spacing w:val="8"/>
          <w:highlight w:val="none"/>
          <w:lang w:eastAsia="zh-CN"/>
        </w:rPr>
        <w:t>；</w:t>
      </w:r>
      <w:r>
        <w:rPr>
          <w:rFonts w:ascii="Times New Roman" w:hAnsi="Times New Roman"/>
          <w:color w:val="auto"/>
          <w:spacing w:val="8"/>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090025A">
      <w:pPr>
        <w:pStyle w:val="17"/>
        <w:spacing w:line="480" w:lineRule="auto"/>
        <w:ind w:firstLine="432" w:firstLineChars="200"/>
        <w:rPr>
          <w:rFonts w:ascii="Times New Roman" w:hAnsi="Times New Roman" w:eastAsia="宋体" w:cs="Times New Roman"/>
          <w:color w:val="auto"/>
          <w:kern w:val="2"/>
          <w:sz w:val="21"/>
          <w:szCs w:val="21"/>
          <w:highlight w:val="none"/>
          <w:lang w:val="en-US" w:eastAsia="zh-CN" w:bidi="ar-SA"/>
        </w:rPr>
      </w:pPr>
      <w:r>
        <w:rPr>
          <w:rFonts w:ascii="Times New Roman" w:hAnsi="Times New Roman"/>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w:t>
      </w:r>
      <w:r>
        <w:rPr>
          <w:rFonts w:ascii="Times New Roman" w:hAnsi="Times New Roman" w:eastAsia="宋体" w:cs="Times New Roman"/>
          <w:color w:val="auto"/>
          <w:kern w:val="2"/>
          <w:sz w:val="21"/>
          <w:szCs w:val="21"/>
          <w:highlight w:val="none"/>
          <w:lang w:val="en-US" w:eastAsia="zh-CN" w:bidi="ar-SA"/>
        </w:rPr>
        <w:t>收入代替；其他未设置主营业务收入的行业，采用营业收入指标。（3）资产总额，采用资产总计代替。</w:t>
      </w:r>
    </w:p>
    <w:p w14:paraId="4B4CE579">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bookmarkStart w:id="58" w:name="_Toc3319"/>
      <w:bookmarkStart w:id="59" w:name="_Toc80886927"/>
    </w:p>
    <w:p w14:paraId="6F8F9085">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p>
    <w:p w14:paraId="362A4D6E">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p>
    <w:p w14:paraId="052A1132">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p>
    <w:p w14:paraId="31DF0C00">
      <w:pPr>
        <w:pStyle w:val="20"/>
        <w:rPr>
          <w:rFonts w:hint="eastAsia" w:ascii="Times New Roman" w:hAnsi="Times New Roman" w:eastAsia="宋体" w:cs="Times New Roman"/>
          <w:color w:val="auto"/>
          <w:kern w:val="0"/>
          <w:szCs w:val="21"/>
          <w:highlight w:val="none"/>
          <w:lang w:val="en-US" w:eastAsia="zh-CN"/>
        </w:rPr>
      </w:pPr>
    </w:p>
    <w:p w14:paraId="66026281">
      <w:pPr>
        <w:rPr>
          <w:rFonts w:hint="eastAsia" w:ascii="Times New Roman" w:hAnsi="Times New Roman" w:eastAsia="宋体" w:cs="Times New Roman"/>
          <w:color w:val="auto"/>
          <w:kern w:val="0"/>
          <w:szCs w:val="21"/>
          <w:highlight w:val="none"/>
          <w:lang w:val="en-US" w:eastAsia="zh-CN"/>
        </w:rPr>
      </w:pPr>
    </w:p>
    <w:p w14:paraId="447F9DD2">
      <w:pPr>
        <w:pStyle w:val="20"/>
        <w:rPr>
          <w:rFonts w:hint="eastAsia" w:ascii="Times New Roman" w:hAnsi="Times New Roman" w:eastAsia="宋体" w:cs="Times New Roman"/>
          <w:color w:val="auto"/>
          <w:kern w:val="0"/>
          <w:szCs w:val="21"/>
          <w:highlight w:val="none"/>
          <w:lang w:val="en-US" w:eastAsia="zh-CN"/>
        </w:rPr>
      </w:pPr>
    </w:p>
    <w:p w14:paraId="06467CEE">
      <w:pPr>
        <w:rPr>
          <w:rFonts w:hint="eastAsia" w:ascii="Times New Roman" w:hAnsi="Times New Roman" w:eastAsia="宋体" w:cs="Times New Roman"/>
          <w:color w:val="auto"/>
          <w:kern w:val="0"/>
          <w:szCs w:val="21"/>
          <w:highlight w:val="none"/>
          <w:lang w:val="en-US" w:eastAsia="zh-CN"/>
        </w:rPr>
      </w:pPr>
    </w:p>
    <w:p w14:paraId="53EF066C">
      <w:pPr>
        <w:pStyle w:val="20"/>
        <w:rPr>
          <w:rFonts w:hint="eastAsia" w:ascii="Times New Roman" w:hAnsi="Times New Roman" w:eastAsia="宋体" w:cs="Times New Roman"/>
          <w:color w:val="auto"/>
          <w:kern w:val="0"/>
          <w:szCs w:val="21"/>
          <w:highlight w:val="none"/>
          <w:lang w:val="en-US" w:eastAsia="zh-CN"/>
        </w:rPr>
      </w:pPr>
    </w:p>
    <w:p w14:paraId="6FB98786">
      <w:pPr>
        <w:rPr>
          <w:rFonts w:hint="eastAsia" w:ascii="Times New Roman" w:hAnsi="Times New Roman" w:eastAsia="宋体" w:cs="Times New Roman"/>
          <w:color w:val="auto"/>
          <w:kern w:val="0"/>
          <w:szCs w:val="21"/>
          <w:highlight w:val="none"/>
          <w:lang w:val="en-US" w:eastAsia="zh-CN"/>
        </w:rPr>
      </w:pPr>
    </w:p>
    <w:p w14:paraId="3093BB68">
      <w:pPr>
        <w:pStyle w:val="20"/>
        <w:rPr>
          <w:rFonts w:hint="eastAsia" w:ascii="Times New Roman" w:hAnsi="Times New Roman" w:eastAsia="宋体" w:cs="Times New Roman"/>
          <w:color w:val="auto"/>
          <w:kern w:val="0"/>
          <w:szCs w:val="21"/>
          <w:highlight w:val="none"/>
          <w:lang w:val="en-US" w:eastAsia="zh-CN"/>
        </w:rPr>
      </w:pPr>
    </w:p>
    <w:p w14:paraId="67C770D4">
      <w:pPr>
        <w:rPr>
          <w:rFonts w:hint="eastAsia" w:ascii="Times New Roman" w:hAnsi="Times New Roman" w:eastAsia="宋体" w:cs="Times New Roman"/>
          <w:color w:val="auto"/>
          <w:kern w:val="0"/>
          <w:szCs w:val="21"/>
          <w:highlight w:val="none"/>
          <w:lang w:val="en-US" w:eastAsia="zh-CN"/>
        </w:rPr>
      </w:pPr>
    </w:p>
    <w:p w14:paraId="5C4DBD3B">
      <w:pPr>
        <w:pStyle w:val="20"/>
        <w:rPr>
          <w:rFonts w:hint="eastAsia" w:ascii="Times New Roman" w:hAnsi="Times New Roman" w:eastAsia="宋体" w:cs="Times New Roman"/>
          <w:color w:val="auto"/>
          <w:kern w:val="0"/>
          <w:szCs w:val="21"/>
          <w:highlight w:val="none"/>
          <w:lang w:val="en-US" w:eastAsia="zh-CN"/>
        </w:rPr>
      </w:pPr>
    </w:p>
    <w:p w14:paraId="3050F608">
      <w:pPr>
        <w:rPr>
          <w:rFonts w:hint="eastAsia" w:ascii="Times New Roman" w:hAnsi="Times New Roman" w:eastAsia="宋体" w:cs="Times New Roman"/>
          <w:color w:val="auto"/>
          <w:kern w:val="0"/>
          <w:szCs w:val="21"/>
          <w:highlight w:val="none"/>
          <w:lang w:val="en-US" w:eastAsia="zh-CN"/>
        </w:rPr>
      </w:pPr>
    </w:p>
    <w:p w14:paraId="69EFEF0A">
      <w:pPr>
        <w:pStyle w:val="20"/>
        <w:rPr>
          <w:rFonts w:hint="eastAsia" w:ascii="Times New Roman" w:hAnsi="Times New Roman" w:eastAsia="宋体" w:cs="Times New Roman"/>
          <w:color w:val="auto"/>
          <w:kern w:val="0"/>
          <w:szCs w:val="21"/>
          <w:highlight w:val="none"/>
          <w:lang w:val="en-US" w:eastAsia="zh-CN"/>
        </w:rPr>
      </w:pPr>
    </w:p>
    <w:p w14:paraId="738FA70B">
      <w:pPr>
        <w:rPr>
          <w:rFonts w:hint="eastAsia" w:ascii="Times New Roman" w:hAnsi="Times New Roman" w:eastAsia="宋体" w:cs="Times New Roman"/>
          <w:color w:val="auto"/>
          <w:kern w:val="0"/>
          <w:szCs w:val="21"/>
          <w:highlight w:val="none"/>
          <w:lang w:val="en-US" w:eastAsia="zh-CN"/>
        </w:rPr>
      </w:pPr>
    </w:p>
    <w:p w14:paraId="5FE89E37">
      <w:pPr>
        <w:pStyle w:val="20"/>
        <w:rPr>
          <w:rFonts w:hint="eastAsia" w:ascii="Times New Roman" w:hAnsi="Times New Roman" w:eastAsia="宋体" w:cs="Times New Roman"/>
          <w:color w:val="auto"/>
          <w:kern w:val="0"/>
          <w:szCs w:val="21"/>
          <w:highlight w:val="none"/>
          <w:lang w:val="en-US" w:eastAsia="zh-CN"/>
        </w:rPr>
      </w:pPr>
    </w:p>
    <w:p w14:paraId="731BD839">
      <w:pPr>
        <w:rPr>
          <w:rFonts w:hint="eastAsia" w:ascii="Times New Roman" w:hAnsi="Times New Roman" w:eastAsia="宋体" w:cs="Times New Roman"/>
          <w:color w:val="auto"/>
          <w:kern w:val="0"/>
          <w:szCs w:val="21"/>
          <w:highlight w:val="none"/>
          <w:lang w:val="en-US" w:eastAsia="zh-CN"/>
        </w:rPr>
      </w:pPr>
    </w:p>
    <w:p w14:paraId="1E54B123">
      <w:pPr>
        <w:pStyle w:val="20"/>
        <w:rPr>
          <w:rFonts w:hint="eastAsia" w:ascii="Times New Roman" w:hAnsi="Times New Roman" w:eastAsia="宋体" w:cs="Times New Roman"/>
          <w:color w:val="auto"/>
          <w:kern w:val="0"/>
          <w:szCs w:val="21"/>
          <w:highlight w:val="none"/>
          <w:lang w:val="en-US" w:eastAsia="zh-CN"/>
        </w:rPr>
      </w:pPr>
    </w:p>
    <w:p w14:paraId="3C3160B0">
      <w:pPr>
        <w:pStyle w:val="7"/>
        <w:rPr>
          <w:rFonts w:eastAsia="Arial Unicode MS"/>
          <w:color w:val="auto"/>
          <w:kern w:val="0"/>
          <w:sz w:val="32"/>
          <w:szCs w:val="32"/>
          <w:highlight w:val="none"/>
        </w:rPr>
      </w:pPr>
    </w:p>
    <w:p w14:paraId="38982744">
      <w:pPr>
        <w:pStyle w:val="7"/>
        <w:rPr>
          <w:rFonts w:eastAsia="Arial Unicode MS"/>
          <w:color w:val="auto"/>
          <w:kern w:val="0"/>
          <w:sz w:val="32"/>
          <w:szCs w:val="32"/>
          <w:highlight w:val="none"/>
        </w:rPr>
      </w:pPr>
    </w:p>
    <w:p w14:paraId="39F8E0FE">
      <w:pPr>
        <w:pStyle w:val="7"/>
        <w:rPr>
          <w:rFonts w:eastAsia="Arial Unicode MS"/>
          <w:color w:val="auto"/>
          <w:kern w:val="0"/>
          <w:sz w:val="32"/>
          <w:szCs w:val="32"/>
          <w:highlight w:val="none"/>
        </w:rPr>
      </w:pPr>
    </w:p>
    <w:p w14:paraId="36AF3663">
      <w:pPr>
        <w:pStyle w:val="7"/>
        <w:rPr>
          <w:rFonts w:eastAsia="Arial Unicode MS"/>
          <w:color w:val="auto"/>
          <w:kern w:val="0"/>
          <w:sz w:val="32"/>
          <w:szCs w:val="32"/>
          <w:highlight w:val="none"/>
        </w:rPr>
      </w:pPr>
    </w:p>
    <w:p w14:paraId="71EB95E3">
      <w:pPr>
        <w:pStyle w:val="7"/>
        <w:rPr>
          <w:rFonts w:eastAsia="Arial Unicode MS"/>
          <w:color w:val="auto"/>
          <w:kern w:val="0"/>
          <w:sz w:val="32"/>
          <w:szCs w:val="32"/>
          <w:highlight w:val="none"/>
        </w:rPr>
      </w:pPr>
    </w:p>
    <w:p w14:paraId="479AB8DC">
      <w:pPr>
        <w:pStyle w:val="7"/>
        <w:rPr>
          <w:rFonts w:eastAsia="Arial Unicode MS"/>
          <w:color w:val="auto"/>
          <w:kern w:val="0"/>
          <w:sz w:val="32"/>
          <w:szCs w:val="32"/>
          <w:highlight w:val="none"/>
        </w:rPr>
      </w:pPr>
    </w:p>
    <w:p w14:paraId="414963F0">
      <w:pPr>
        <w:pStyle w:val="7"/>
        <w:rPr>
          <w:rFonts w:eastAsia="Arial Unicode MS"/>
          <w:color w:val="auto"/>
          <w:kern w:val="0"/>
          <w:sz w:val="32"/>
          <w:szCs w:val="32"/>
          <w:highlight w:val="none"/>
        </w:rPr>
      </w:pPr>
    </w:p>
    <w:p w14:paraId="389A6C5D">
      <w:pPr>
        <w:pStyle w:val="7"/>
        <w:rPr>
          <w:rFonts w:eastAsia="Arial Unicode MS"/>
          <w:color w:val="auto"/>
          <w:kern w:val="0"/>
          <w:sz w:val="32"/>
          <w:szCs w:val="32"/>
          <w:highlight w:val="none"/>
        </w:rPr>
      </w:pPr>
      <w:r>
        <w:rPr>
          <w:rFonts w:eastAsia="Arial Unicode MS"/>
          <w:color w:val="auto"/>
          <w:kern w:val="0"/>
          <w:sz w:val="32"/>
          <w:szCs w:val="32"/>
          <w:highlight w:val="none"/>
        </w:rPr>
        <w:t>附件</w:t>
      </w:r>
      <w:r>
        <w:rPr>
          <w:rFonts w:hint="eastAsia" w:eastAsia="Arial Unicode MS"/>
          <w:color w:val="auto"/>
          <w:kern w:val="0"/>
          <w:sz w:val="32"/>
          <w:szCs w:val="32"/>
          <w:highlight w:val="none"/>
          <w:lang w:val="en-US" w:eastAsia="zh-CN"/>
        </w:rPr>
        <w:t>3</w:t>
      </w:r>
      <w:r>
        <w:rPr>
          <w:rFonts w:eastAsia="Arial Unicode MS"/>
          <w:color w:val="auto"/>
          <w:kern w:val="0"/>
          <w:sz w:val="32"/>
          <w:szCs w:val="32"/>
          <w:highlight w:val="none"/>
        </w:rPr>
        <w:t>：</w:t>
      </w:r>
    </w:p>
    <w:p w14:paraId="75A7D812">
      <w:pPr>
        <w:widowControl/>
        <w:spacing w:before="120" w:beforeLines="50" w:after="120" w:afterLines="50" w:line="280" w:lineRule="exact"/>
        <w:jc w:val="center"/>
        <w:rPr>
          <w:rFonts w:hint="eastAsia" w:ascii="Times New Roman" w:hAnsi="Times New Roman" w:eastAsia="宋体" w:cs="Times New Roman"/>
          <w:b/>
          <w:bCs/>
          <w:color w:val="auto"/>
          <w:kern w:val="0"/>
          <w:sz w:val="30"/>
          <w:szCs w:val="30"/>
          <w:highlight w:val="none"/>
          <w:lang w:val="en-US" w:eastAsia="zh-CN"/>
        </w:rPr>
      </w:pPr>
      <w:bookmarkStart w:id="60" w:name="OLE_LINK4"/>
      <w:r>
        <w:rPr>
          <w:rFonts w:hint="eastAsia" w:ascii="Times New Roman" w:hAnsi="Times New Roman" w:eastAsia="宋体" w:cs="Times New Roman"/>
          <w:b/>
          <w:bCs/>
          <w:color w:val="auto"/>
          <w:kern w:val="0"/>
          <w:sz w:val="30"/>
          <w:szCs w:val="30"/>
          <w:highlight w:val="none"/>
          <w:lang w:eastAsia="zh-CN"/>
        </w:rPr>
        <w:t>项目各项技术</w:t>
      </w:r>
      <w:r>
        <w:rPr>
          <w:rFonts w:hint="eastAsia" w:ascii="Times New Roman" w:hAnsi="Times New Roman" w:eastAsia="宋体" w:cs="Times New Roman"/>
          <w:b/>
          <w:bCs/>
          <w:color w:val="auto"/>
          <w:kern w:val="0"/>
          <w:sz w:val="30"/>
          <w:szCs w:val="30"/>
          <w:highlight w:val="none"/>
          <w:lang w:val="en-US" w:eastAsia="zh-CN"/>
        </w:rPr>
        <w:t>指标要求</w:t>
      </w:r>
      <w:bookmarkEnd w:id="60"/>
    </w:p>
    <w:p w14:paraId="3E5D8936">
      <w:pPr>
        <w:rPr>
          <w:rFonts w:hint="eastAsia" w:ascii="Times New Roman" w:hAnsi="Times New Roman" w:eastAsia="宋体" w:cs="Times New Roman"/>
          <w:color w:val="auto"/>
          <w:kern w:val="0"/>
          <w:szCs w:val="21"/>
          <w:highlight w:val="none"/>
          <w:lang w:val="en-US" w:eastAsia="zh-CN"/>
        </w:rPr>
      </w:pPr>
    </w:p>
    <w:p w14:paraId="7EA66A5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bookmarkStart w:id="61" w:name="_Toc24174"/>
      <w:bookmarkStart w:id="62" w:name="_Toc7704"/>
      <w:bookmarkStart w:id="63" w:name="_Toc13614"/>
      <w:bookmarkStart w:id="64" w:name="_Toc16791"/>
      <w:bookmarkStart w:id="65" w:name="_Toc9239"/>
      <w:bookmarkStart w:id="66" w:name="_Toc21050"/>
    </w:p>
    <w:p w14:paraId="5CC1E59F">
      <w:pPr>
        <w:spacing w:line="360" w:lineRule="auto"/>
        <w:jc w:val="center"/>
        <w:rPr>
          <w:rFonts w:ascii="宋体" w:hAnsi="宋体" w:eastAsia="宋体" w:cs="宋体"/>
          <w:b/>
          <w:bCs/>
          <w:iCs/>
          <w:sz w:val="28"/>
          <w:szCs w:val="28"/>
        </w:rPr>
      </w:pPr>
      <w:bookmarkStart w:id="67" w:name="OLE_LINK8"/>
      <w:r>
        <w:rPr>
          <w:rFonts w:hint="eastAsia" w:ascii="宋体" w:hAnsi="宋体" w:eastAsia="宋体" w:cs="宋体"/>
          <w:b/>
          <w:bCs/>
          <w:iCs/>
          <w:sz w:val="28"/>
          <w:szCs w:val="28"/>
        </w:rPr>
        <w:t>整体式垃圾压缩机技术参数</w:t>
      </w:r>
    </w:p>
    <w:bookmarkEnd w:id="67"/>
    <w:p w14:paraId="20E4FC9A">
      <w:pPr>
        <w:spacing w:line="360" w:lineRule="auto"/>
        <w:rPr>
          <w:rFonts w:hint="eastAsia" w:ascii="宋体" w:hAnsi="宋体"/>
          <w:color w:val="000000"/>
          <w:sz w:val="21"/>
          <w:szCs w:val="21"/>
        </w:rPr>
      </w:pPr>
      <w:r>
        <w:rPr>
          <w:rFonts w:hint="eastAsia" w:ascii="宋体" w:hAnsi="宋体" w:eastAsia="宋体" w:cs="宋体"/>
          <w:b/>
          <w:bCs/>
          <w:iCs/>
          <w:sz w:val="21"/>
          <w:szCs w:val="21"/>
        </w:rPr>
        <w:t>一、主要技术参数</w:t>
      </w:r>
    </w:p>
    <w:p w14:paraId="6032FE73">
      <w:pPr>
        <w:numPr>
          <w:ilvl w:val="0"/>
          <w:numId w:val="1"/>
        </w:numPr>
        <w:spacing w:line="360" w:lineRule="auto"/>
        <w:rPr>
          <w:rFonts w:ascii="宋体" w:hAnsi="宋体" w:eastAsia="宋体"/>
          <w:sz w:val="21"/>
          <w:szCs w:val="21"/>
        </w:rPr>
      </w:pPr>
      <w:r>
        <w:rPr>
          <w:rFonts w:hint="eastAsia" w:ascii="宋体" w:hAnsi="宋体"/>
          <w:color w:val="000000"/>
          <w:sz w:val="21"/>
          <w:szCs w:val="21"/>
        </w:rPr>
        <w:t>理论压缩能力</w:t>
      </w:r>
      <w:r>
        <w:rPr>
          <w:rFonts w:hint="eastAsia" w:ascii="宋体" w:hAnsi="宋体" w:eastAsia="宋体"/>
          <w:sz w:val="21"/>
          <w:szCs w:val="21"/>
        </w:rPr>
        <w:t>(</w:t>
      </w:r>
      <w:r>
        <w:rPr>
          <w:rFonts w:hint="eastAsia" w:ascii="宋体" w:hAnsi="宋体"/>
          <w:color w:val="000000"/>
          <w:sz w:val="21"/>
          <w:szCs w:val="21"/>
        </w:rPr>
        <w:t>m³/h</w:t>
      </w:r>
      <w:r>
        <w:rPr>
          <w:rFonts w:hint="eastAsia" w:ascii="宋体" w:hAnsi="宋体" w:cs="宋体"/>
          <w:kern w:val="0"/>
          <w:sz w:val="21"/>
          <w:szCs w:val="21"/>
        </w:rPr>
        <w:t>)</w:t>
      </w:r>
      <w:r>
        <w:rPr>
          <w:rFonts w:hint="eastAsia" w:ascii="宋体" w:hAnsi="宋体"/>
          <w:color w:val="000000"/>
          <w:sz w:val="21"/>
          <w:szCs w:val="21"/>
        </w:rPr>
        <w:t>≥</w:t>
      </w:r>
      <w:r>
        <w:rPr>
          <w:rFonts w:hint="eastAsia" w:ascii="宋体" w:hAnsi="宋体" w:cs="宋体"/>
          <w:kern w:val="0"/>
          <w:sz w:val="21"/>
          <w:szCs w:val="21"/>
        </w:rPr>
        <w:t>13</w:t>
      </w:r>
      <w:r>
        <w:rPr>
          <w:rFonts w:ascii="宋体" w:hAnsi="宋体" w:cs="宋体"/>
          <w:kern w:val="0"/>
          <w:sz w:val="21"/>
          <w:szCs w:val="21"/>
        </w:rPr>
        <w:t>0</w:t>
      </w:r>
      <w:r>
        <w:rPr>
          <w:rFonts w:hint="eastAsia" w:ascii="宋体" w:hAnsi="宋体"/>
          <w:sz w:val="21"/>
          <w:szCs w:val="21"/>
        </w:rPr>
        <w:t>，</w:t>
      </w:r>
    </w:p>
    <w:p w14:paraId="15B501B1">
      <w:pPr>
        <w:numPr>
          <w:ilvl w:val="0"/>
          <w:numId w:val="1"/>
        </w:numPr>
        <w:spacing w:line="360" w:lineRule="auto"/>
        <w:rPr>
          <w:rFonts w:ascii="宋体" w:hAnsi="宋体" w:eastAsia="宋体"/>
          <w:sz w:val="21"/>
          <w:szCs w:val="21"/>
        </w:rPr>
      </w:pPr>
      <w:r>
        <w:rPr>
          <w:rFonts w:hint="eastAsia" w:ascii="宋体" w:hAnsi="宋体" w:cs="宋体"/>
          <w:kern w:val="0"/>
          <w:sz w:val="21"/>
          <w:szCs w:val="21"/>
        </w:rPr>
        <w:t>垃圾箱有效容积(m</w:t>
      </w:r>
      <w:r>
        <w:rPr>
          <w:rFonts w:hint="eastAsia" w:ascii="宋体" w:hAnsi="宋体" w:cs="宋体"/>
          <w:kern w:val="0"/>
          <w:sz w:val="21"/>
          <w:szCs w:val="21"/>
          <w:vertAlign w:val="superscript"/>
        </w:rPr>
        <w:t>3</w:t>
      </w:r>
      <w:r>
        <w:rPr>
          <w:rFonts w:hint="eastAsia" w:ascii="宋体" w:hAnsi="宋体" w:cs="宋体"/>
          <w:kern w:val="0"/>
          <w:sz w:val="21"/>
          <w:szCs w:val="21"/>
        </w:rPr>
        <w:t>)≥</w:t>
      </w:r>
      <w:r>
        <w:rPr>
          <w:rFonts w:hint="eastAsia" w:ascii="宋体" w:hAnsi="宋体" w:eastAsia="宋体" w:cs="宋体"/>
          <w:kern w:val="0"/>
          <w:sz w:val="21"/>
          <w:szCs w:val="21"/>
        </w:rPr>
        <w:t>12</w:t>
      </w:r>
      <w:r>
        <w:rPr>
          <w:rFonts w:hint="eastAsia" w:ascii="宋体" w:hAnsi="宋体" w:eastAsia="宋体" w:cs="Arial"/>
          <w:sz w:val="21"/>
          <w:szCs w:val="21"/>
        </w:rPr>
        <w:t>，</w:t>
      </w:r>
    </w:p>
    <w:p w14:paraId="423AC7AC">
      <w:pPr>
        <w:numPr>
          <w:ilvl w:val="0"/>
          <w:numId w:val="1"/>
        </w:numPr>
        <w:spacing w:line="360" w:lineRule="auto"/>
        <w:rPr>
          <w:rFonts w:ascii="宋体" w:hAnsi="宋体" w:eastAsia="宋体"/>
          <w:sz w:val="21"/>
          <w:szCs w:val="21"/>
        </w:rPr>
      </w:pPr>
      <w:r>
        <w:rPr>
          <w:rFonts w:hint="eastAsia" w:ascii="宋体" w:hAnsi="宋体" w:cs="宋体"/>
          <w:kern w:val="0"/>
          <w:sz w:val="21"/>
          <w:szCs w:val="21"/>
        </w:rPr>
        <w:t>最大压缩力(kN)≥</w:t>
      </w:r>
      <w:r>
        <w:rPr>
          <w:rFonts w:ascii="宋体" w:hAnsi="宋体" w:cs="宋体"/>
          <w:kern w:val="0"/>
          <w:sz w:val="21"/>
          <w:szCs w:val="21"/>
        </w:rPr>
        <w:t>360</w:t>
      </w:r>
      <w:r>
        <w:rPr>
          <w:rFonts w:hint="eastAsia" w:ascii="宋体" w:hAnsi="宋体" w:cs="宋体"/>
          <w:kern w:val="0"/>
          <w:sz w:val="21"/>
          <w:szCs w:val="21"/>
        </w:rPr>
        <w:t>，</w:t>
      </w:r>
    </w:p>
    <w:p w14:paraId="5A0A1586">
      <w:pPr>
        <w:numPr>
          <w:ilvl w:val="0"/>
          <w:numId w:val="1"/>
        </w:numPr>
        <w:spacing w:line="360" w:lineRule="auto"/>
        <w:rPr>
          <w:rFonts w:ascii="宋体" w:hAnsi="宋体" w:eastAsia="宋体"/>
          <w:sz w:val="21"/>
          <w:szCs w:val="21"/>
        </w:rPr>
      </w:pPr>
      <w:r>
        <w:rPr>
          <w:rFonts w:hint="eastAsia" w:ascii="宋体" w:hAnsi="宋体" w:eastAsia="宋体" w:cs="宋体"/>
          <w:kern w:val="0"/>
          <w:sz w:val="21"/>
          <w:szCs w:val="21"/>
        </w:rPr>
        <w:t>料斗有效容积(m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w:t>
      </w:r>
      <w:r>
        <w:rPr>
          <w:rFonts w:hint="eastAsia" w:ascii="宋体" w:hAnsi="宋体" w:cs="宋体"/>
          <w:kern w:val="0"/>
          <w:sz w:val="21"/>
          <w:szCs w:val="21"/>
        </w:rPr>
        <w:t>≥</w:t>
      </w:r>
      <w:r>
        <w:rPr>
          <w:rFonts w:ascii="宋体" w:hAnsi="宋体" w:eastAsia="宋体" w:cs="宋体"/>
          <w:kern w:val="0"/>
          <w:sz w:val="21"/>
          <w:szCs w:val="21"/>
        </w:rPr>
        <w:t>3</w:t>
      </w:r>
      <w:r>
        <w:rPr>
          <w:rFonts w:hint="eastAsia" w:ascii="宋体" w:hAnsi="宋体" w:eastAsia="宋体" w:cs="宋体"/>
          <w:kern w:val="0"/>
          <w:sz w:val="21"/>
          <w:szCs w:val="21"/>
        </w:rPr>
        <w:t>，</w:t>
      </w:r>
    </w:p>
    <w:p w14:paraId="4ECE5059">
      <w:pPr>
        <w:numPr>
          <w:ilvl w:val="0"/>
          <w:numId w:val="1"/>
        </w:numPr>
        <w:spacing w:line="360" w:lineRule="auto"/>
        <w:rPr>
          <w:rFonts w:ascii="宋体" w:hAnsi="宋体" w:eastAsia="宋体"/>
          <w:sz w:val="21"/>
          <w:szCs w:val="21"/>
        </w:rPr>
      </w:pPr>
      <w:r>
        <w:rPr>
          <w:rFonts w:hint="eastAsia" w:ascii="宋体" w:hAnsi="宋体" w:eastAsia="宋体"/>
          <w:sz w:val="21"/>
          <w:szCs w:val="21"/>
        </w:rPr>
        <w:t>料斗有效宽度(mm)</w:t>
      </w:r>
      <w:r>
        <w:rPr>
          <w:rFonts w:hint="eastAsia" w:ascii="宋体" w:hAnsi="宋体" w:cs="宋体"/>
          <w:kern w:val="0"/>
          <w:sz w:val="21"/>
          <w:szCs w:val="21"/>
        </w:rPr>
        <w:t>≥2200，</w:t>
      </w:r>
    </w:p>
    <w:p w14:paraId="34461103">
      <w:pPr>
        <w:numPr>
          <w:ilvl w:val="0"/>
          <w:numId w:val="1"/>
        </w:numPr>
        <w:spacing w:line="360" w:lineRule="auto"/>
        <w:rPr>
          <w:rFonts w:ascii="宋体" w:hAnsi="宋体" w:eastAsia="宋体"/>
          <w:sz w:val="21"/>
          <w:szCs w:val="21"/>
        </w:rPr>
      </w:pPr>
      <w:r>
        <w:rPr>
          <w:rFonts w:hint="eastAsia" w:ascii="宋体" w:hAnsi="宋体"/>
          <w:color w:val="000000"/>
          <w:sz w:val="21"/>
          <w:szCs w:val="21"/>
        </w:rPr>
        <w:t>预压腔有效容积</w:t>
      </w:r>
      <w:r>
        <w:rPr>
          <w:rFonts w:hint="eastAsia" w:ascii="宋体" w:hAnsi="宋体" w:cs="宋体"/>
          <w:kern w:val="0"/>
          <w:sz w:val="21"/>
          <w:szCs w:val="21"/>
        </w:rPr>
        <w:t>(m</w:t>
      </w:r>
      <w:r>
        <w:rPr>
          <w:rFonts w:hint="eastAsia" w:ascii="宋体" w:hAnsi="宋体" w:cs="宋体"/>
          <w:kern w:val="0"/>
          <w:sz w:val="21"/>
          <w:szCs w:val="21"/>
          <w:vertAlign w:val="superscript"/>
        </w:rPr>
        <w:t>3</w:t>
      </w:r>
      <w:r>
        <w:rPr>
          <w:rFonts w:hint="eastAsia" w:ascii="宋体" w:hAnsi="宋体" w:cs="宋体"/>
          <w:kern w:val="0"/>
          <w:sz w:val="21"/>
          <w:szCs w:val="21"/>
        </w:rPr>
        <w:t>)≥3.5</w:t>
      </w:r>
      <w:r>
        <w:rPr>
          <w:rFonts w:hint="eastAsia" w:ascii="宋体" w:hAnsi="宋体" w:eastAsia="宋体" w:cs="宋体"/>
          <w:kern w:val="0"/>
          <w:sz w:val="21"/>
          <w:szCs w:val="21"/>
        </w:rPr>
        <w:t>，</w:t>
      </w:r>
    </w:p>
    <w:p w14:paraId="0AEFE6C5">
      <w:pPr>
        <w:numPr>
          <w:ilvl w:val="0"/>
          <w:numId w:val="1"/>
        </w:numPr>
        <w:spacing w:line="360" w:lineRule="auto"/>
        <w:rPr>
          <w:rFonts w:ascii="宋体" w:hAnsi="宋体" w:eastAsia="宋体"/>
          <w:sz w:val="21"/>
          <w:szCs w:val="21"/>
        </w:rPr>
      </w:pPr>
      <w:r>
        <w:rPr>
          <w:rFonts w:hint="eastAsia" w:ascii="宋体" w:hAnsi="宋体" w:cs="宋体"/>
          <w:kern w:val="0"/>
          <w:sz w:val="21"/>
          <w:szCs w:val="21"/>
        </w:rPr>
        <w:t>压缩循环时间(s)≤35，</w:t>
      </w:r>
    </w:p>
    <w:p w14:paraId="27D683CE">
      <w:pPr>
        <w:numPr>
          <w:ilvl w:val="0"/>
          <w:numId w:val="1"/>
        </w:numPr>
        <w:spacing w:line="360" w:lineRule="auto"/>
        <w:rPr>
          <w:rFonts w:ascii="宋体" w:hAnsi="宋体" w:eastAsia="宋体"/>
          <w:sz w:val="21"/>
          <w:szCs w:val="21"/>
        </w:rPr>
      </w:pPr>
      <w:r>
        <w:rPr>
          <w:rFonts w:hint="eastAsia" w:ascii="宋体" w:hAnsi="宋体" w:cs="宋体"/>
          <w:kern w:val="0"/>
          <w:sz w:val="21"/>
          <w:szCs w:val="21"/>
        </w:rPr>
        <w:t>上料循环作业时间(s)≤</w:t>
      </w:r>
      <w:r>
        <w:rPr>
          <w:rFonts w:hint="eastAsia" w:ascii="宋体" w:hAnsi="宋体" w:eastAsia="宋体" w:cs="宋体"/>
          <w:kern w:val="0"/>
          <w:sz w:val="21"/>
          <w:szCs w:val="21"/>
        </w:rPr>
        <w:t>3</w:t>
      </w:r>
      <w:r>
        <w:rPr>
          <w:rFonts w:ascii="宋体" w:hAnsi="宋体" w:eastAsia="宋体" w:cs="宋体"/>
          <w:kern w:val="0"/>
          <w:sz w:val="21"/>
          <w:szCs w:val="21"/>
        </w:rPr>
        <w:t>5</w:t>
      </w:r>
      <w:r>
        <w:rPr>
          <w:rFonts w:hint="eastAsia" w:ascii="宋体" w:hAnsi="宋体" w:eastAsia="宋体" w:cs="宋体"/>
          <w:kern w:val="0"/>
          <w:sz w:val="21"/>
          <w:szCs w:val="21"/>
        </w:rPr>
        <w:t>，</w:t>
      </w:r>
    </w:p>
    <w:p w14:paraId="22FC1A73">
      <w:pPr>
        <w:numPr>
          <w:ilvl w:val="0"/>
          <w:numId w:val="1"/>
        </w:numPr>
        <w:spacing w:line="360" w:lineRule="auto"/>
        <w:rPr>
          <w:rFonts w:ascii="宋体" w:hAnsi="宋体" w:eastAsia="宋体"/>
          <w:sz w:val="21"/>
          <w:szCs w:val="21"/>
        </w:rPr>
      </w:pPr>
      <w:r>
        <w:rPr>
          <w:rFonts w:hint="eastAsia" w:ascii="宋体" w:hAnsi="宋体" w:eastAsia="宋体"/>
          <w:sz w:val="21"/>
          <w:szCs w:val="21"/>
        </w:rPr>
        <w:t>垃圾密实度(t/m³</w:t>
      </w:r>
      <w:r>
        <w:rPr>
          <w:rFonts w:hint="eastAsia" w:ascii="宋体" w:hAnsi="宋体" w:cs="宋体"/>
          <w:kern w:val="0"/>
          <w:sz w:val="21"/>
          <w:szCs w:val="21"/>
        </w:rPr>
        <w:t>)≥0.7</w:t>
      </w:r>
      <w:r>
        <w:rPr>
          <w:rFonts w:hint="eastAsia" w:ascii="宋体" w:hAnsi="宋体" w:eastAsia="宋体" w:cs="宋体"/>
          <w:kern w:val="0"/>
          <w:sz w:val="21"/>
          <w:szCs w:val="21"/>
        </w:rPr>
        <w:t>，</w:t>
      </w:r>
    </w:p>
    <w:p w14:paraId="2F1E199F">
      <w:pPr>
        <w:numPr>
          <w:ilvl w:val="0"/>
          <w:numId w:val="1"/>
        </w:numPr>
        <w:spacing w:line="360" w:lineRule="auto"/>
        <w:rPr>
          <w:rFonts w:ascii="宋体" w:hAnsi="宋体" w:eastAsia="宋体"/>
          <w:sz w:val="21"/>
          <w:szCs w:val="21"/>
        </w:rPr>
      </w:pPr>
      <w:r>
        <w:rPr>
          <w:rFonts w:hint="eastAsia" w:ascii="宋体" w:hAnsi="宋体" w:eastAsia="宋体"/>
          <w:sz w:val="21"/>
          <w:szCs w:val="21"/>
        </w:rPr>
        <w:t>作业噪声(dB(A)</w:t>
      </w:r>
      <w:r>
        <w:rPr>
          <w:rFonts w:hint="eastAsia" w:ascii="宋体" w:hAnsi="宋体" w:cs="宋体"/>
          <w:kern w:val="0"/>
          <w:sz w:val="21"/>
          <w:szCs w:val="21"/>
        </w:rPr>
        <w:t>)≤7</w:t>
      </w:r>
      <w:r>
        <w:rPr>
          <w:rFonts w:ascii="宋体" w:hAnsi="宋体" w:cs="宋体"/>
          <w:kern w:val="0"/>
          <w:sz w:val="21"/>
          <w:szCs w:val="21"/>
        </w:rPr>
        <w:t>0</w:t>
      </w:r>
      <w:r>
        <w:rPr>
          <w:rFonts w:hint="eastAsia" w:ascii="宋体" w:hAnsi="宋体" w:eastAsia="宋体" w:cs="宋体"/>
          <w:kern w:val="0"/>
          <w:sz w:val="21"/>
          <w:szCs w:val="21"/>
        </w:rPr>
        <w:t>，</w:t>
      </w:r>
    </w:p>
    <w:p w14:paraId="65F9D915">
      <w:pPr>
        <w:numPr>
          <w:ilvl w:val="0"/>
          <w:numId w:val="1"/>
        </w:numPr>
        <w:spacing w:line="360" w:lineRule="auto"/>
        <w:rPr>
          <w:rFonts w:ascii="宋体" w:hAnsi="宋体" w:eastAsia="宋体"/>
          <w:sz w:val="21"/>
          <w:szCs w:val="21"/>
        </w:rPr>
      </w:pPr>
      <w:r>
        <w:rPr>
          <w:rFonts w:hint="eastAsia" w:ascii="宋体" w:hAnsi="宋体"/>
          <w:sz w:val="21"/>
          <w:szCs w:val="21"/>
        </w:rPr>
        <w:t>液压系统</w:t>
      </w:r>
      <w:r>
        <w:rPr>
          <w:rFonts w:ascii="宋体" w:hAnsi="宋体"/>
          <w:sz w:val="21"/>
          <w:szCs w:val="21"/>
        </w:rPr>
        <w:t>最大工作压力</w:t>
      </w:r>
      <w:r>
        <w:rPr>
          <w:rFonts w:hint="eastAsia" w:ascii="宋体" w:hAnsi="宋体"/>
          <w:sz w:val="21"/>
          <w:szCs w:val="21"/>
        </w:rPr>
        <w:t>(</w:t>
      </w:r>
      <w:r>
        <w:rPr>
          <w:rFonts w:ascii="宋体" w:hAnsi="宋体"/>
          <w:sz w:val="21"/>
          <w:szCs w:val="21"/>
        </w:rPr>
        <w:t>MPa</w:t>
      </w:r>
      <w:r>
        <w:rPr>
          <w:rFonts w:hint="eastAsia" w:ascii="宋体" w:hAnsi="宋体"/>
          <w:sz w:val="21"/>
          <w:szCs w:val="21"/>
        </w:rPr>
        <w:t>)</w:t>
      </w:r>
      <w:r>
        <w:rPr>
          <w:rFonts w:hint="eastAsia" w:ascii="宋体" w:hAnsi="宋体" w:cs="宋体"/>
          <w:kern w:val="0"/>
          <w:sz w:val="21"/>
          <w:szCs w:val="21"/>
        </w:rPr>
        <w:t>≥19，</w:t>
      </w:r>
    </w:p>
    <w:p w14:paraId="360D063A">
      <w:pPr>
        <w:pStyle w:val="81"/>
        <w:numPr>
          <w:ilvl w:val="0"/>
          <w:numId w:val="1"/>
        </w:numPr>
        <w:spacing w:line="360" w:lineRule="auto"/>
        <w:ind w:firstLineChars="0"/>
        <w:rPr>
          <w:rFonts w:ascii="宋体" w:hAnsi="宋体" w:cstheme="minorBidi"/>
          <w:sz w:val="21"/>
          <w:szCs w:val="21"/>
        </w:rPr>
      </w:pPr>
      <w:r>
        <w:rPr>
          <w:rFonts w:hint="eastAsia" w:ascii="宋体" w:hAnsi="宋体" w:cstheme="minorBidi"/>
          <w:sz w:val="21"/>
          <w:szCs w:val="21"/>
        </w:rPr>
        <w:t>电机功率(kW)≥5.5，</w:t>
      </w:r>
    </w:p>
    <w:p w14:paraId="64C411E8">
      <w:pPr>
        <w:numPr>
          <w:ilvl w:val="0"/>
          <w:numId w:val="1"/>
        </w:numPr>
        <w:spacing w:line="360" w:lineRule="auto"/>
        <w:rPr>
          <w:rFonts w:ascii="宋体" w:hAnsi="宋体" w:eastAsia="宋体"/>
          <w:sz w:val="21"/>
          <w:szCs w:val="21"/>
        </w:rPr>
      </w:pPr>
      <w:r>
        <w:rPr>
          <w:rFonts w:hint="eastAsia" w:ascii="宋体" w:hAnsi="宋体" w:eastAsia="宋体" w:cs="宋体"/>
          <w:kern w:val="0"/>
          <w:sz w:val="21"/>
          <w:szCs w:val="21"/>
        </w:rPr>
        <w:t>结构尺寸（翻斗翻起状态）(mm):</w:t>
      </w:r>
      <w:r>
        <w:rPr>
          <w:rFonts w:hint="eastAsia" w:ascii="宋体" w:hAnsi="宋体" w:cs="宋体"/>
          <w:kern w:val="0"/>
          <w:szCs w:val="21"/>
        </w:rPr>
        <w:t xml:space="preserve"> </w:t>
      </w:r>
      <w:r>
        <w:rPr>
          <w:rFonts w:hint="eastAsia" w:ascii="宋体" w:hAnsi="宋体" w:eastAsia="宋体" w:cs="宋体"/>
          <w:kern w:val="0"/>
          <w:sz w:val="21"/>
          <w:szCs w:val="21"/>
        </w:rPr>
        <w:t>5000</w:t>
      </w:r>
      <w:r>
        <w:rPr>
          <w:rFonts w:hint="eastAsia" w:ascii="宋体" w:hAnsi="宋体" w:cs="宋体"/>
          <w:kern w:val="0"/>
          <w:sz w:val="21"/>
          <w:szCs w:val="21"/>
        </w:rPr>
        <w:t>×</w:t>
      </w:r>
      <w:r>
        <w:rPr>
          <w:rFonts w:hint="eastAsia" w:ascii="宋体" w:hAnsi="宋体" w:eastAsia="宋体" w:cs="宋体"/>
          <w:kern w:val="0"/>
          <w:sz w:val="21"/>
          <w:szCs w:val="21"/>
        </w:rPr>
        <w:t>2500</w:t>
      </w:r>
      <w:r>
        <w:rPr>
          <w:rFonts w:hint="eastAsia" w:ascii="宋体" w:hAnsi="宋体" w:cs="宋体"/>
          <w:kern w:val="0"/>
          <w:sz w:val="21"/>
          <w:szCs w:val="21"/>
        </w:rPr>
        <w:t>×</w:t>
      </w:r>
      <w:r>
        <w:rPr>
          <w:rFonts w:hint="eastAsia" w:ascii="宋体" w:hAnsi="宋体" w:eastAsia="宋体" w:cs="宋体"/>
          <w:kern w:val="0"/>
          <w:sz w:val="21"/>
          <w:szCs w:val="21"/>
        </w:rPr>
        <w:t>2400</w:t>
      </w:r>
      <w:r>
        <w:rPr>
          <w:rFonts w:hint="eastAsia" w:ascii="宋体" w:hAnsi="宋体" w:cs="宋体"/>
          <w:kern w:val="0"/>
          <w:sz w:val="21"/>
          <w:szCs w:val="21"/>
        </w:rPr>
        <w:t>±200</w:t>
      </w:r>
    </w:p>
    <w:p w14:paraId="2E0C12E7">
      <w:pPr>
        <w:pStyle w:val="95"/>
        <w:tabs>
          <w:tab w:val="left" w:pos="1080"/>
          <w:tab w:val="left" w:pos="1260"/>
          <w:tab w:val="left" w:pos="1620"/>
          <w:tab w:val="left" w:pos="1980"/>
        </w:tabs>
        <w:rPr>
          <w:rFonts w:cs="宋体"/>
          <w:b/>
          <w:bCs/>
          <w:sz w:val="21"/>
          <w:szCs w:val="21"/>
        </w:rPr>
      </w:pPr>
      <w:r>
        <w:rPr>
          <w:rFonts w:hint="eastAsia" w:cs="宋体"/>
          <w:b/>
          <w:bCs/>
          <w:sz w:val="21"/>
          <w:szCs w:val="21"/>
        </w:rPr>
        <w:t>二、主要性能特点</w:t>
      </w:r>
    </w:p>
    <w:p w14:paraId="3C6C0F2B">
      <w:pPr>
        <w:numPr>
          <w:ilvl w:val="0"/>
          <w:numId w:val="2"/>
        </w:numPr>
        <w:spacing w:line="360" w:lineRule="auto"/>
        <w:rPr>
          <w:rFonts w:ascii="宋体" w:hAnsi="宋体" w:eastAsia="宋体"/>
          <w:sz w:val="21"/>
          <w:szCs w:val="21"/>
        </w:rPr>
      </w:pPr>
      <w:r>
        <w:rPr>
          <w:rFonts w:hint="eastAsia" w:ascii="宋体" w:hAnsi="宋体"/>
          <w:sz w:val="21"/>
          <w:szCs w:val="21"/>
        </w:rPr>
        <w:t>需具有前门结构，可作为维修压头总成及压缩油缸的检修门，也可作为定期清理压头后腔中垃圾的清污门</w:t>
      </w:r>
      <w:r>
        <w:rPr>
          <w:rFonts w:hint="eastAsia" w:ascii="Arial" w:hAnsi="宋体" w:eastAsia="宋体" w:cs="Arial"/>
          <w:kern w:val="0"/>
          <w:sz w:val="21"/>
          <w:szCs w:val="21"/>
        </w:rPr>
        <w:t>。</w:t>
      </w:r>
    </w:p>
    <w:p w14:paraId="09795BF4">
      <w:pPr>
        <w:numPr>
          <w:ilvl w:val="0"/>
          <w:numId w:val="2"/>
        </w:numPr>
        <w:spacing w:line="360" w:lineRule="auto"/>
        <w:rPr>
          <w:rFonts w:ascii="宋体" w:hAnsi="宋体" w:eastAsia="宋体"/>
          <w:sz w:val="21"/>
          <w:szCs w:val="21"/>
        </w:rPr>
      </w:pPr>
      <w:r>
        <w:rPr>
          <w:rFonts w:hint="eastAsia" w:ascii="宋体" w:hAnsi="宋体" w:eastAsia="宋体"/>
          <w:bCs/>
          <w:sz w:val="21"/>
          <w:szCs w:val="21"/>
        </w:rPr>
        <w:t>垃圾压缩机需能适用于人力车及1.5吨以下，宽度不大于1.8米的小型机动车上料的垃圾收集方式对接；保证垃圾收集车一次卸料操作方便。</w:t>
      </w:r>
    </w:p>
    <w:p w14:paraId="27D4E66C">
      <w:pPr>
        <w:numPr>
          <w:ilvl w:val="0"/>
          <w:numId w:val="2"/>
        </w:numPr>
        <w:spacing w:line="360" w:lineRule="auto"/>
        <w:rPr>
          <w:rFonts w:ascii="宋体" w:hAnsi="宋体" w:eastAsia="宋体"/>
          <w:sz w:val="21"/>
          <w:szCs w:val="21"/>
        </w:rPr>
      </w:pPr>
      <w:r>
        <w:rPr>
          <w:rFonts w:hint="eastAsia" w:ascii="宋体" w:hAnsi="宋体"/>
          <w:sz w:val="21"/>
          <w:szCs w:val="21"/>
        </w:rPr>
        <w:t>压缩腔内需设置防回弹装置，具有防止垃圾反弹功能。</w:t>
      </w:r>
    </w:p>
    <w:p w14:paraId="2717CE0D">
      <w:pPr>
        <w:numPr>
          <w:ilvl w:val="0"/>
          <w:numId w:val="2"/>
        </w:numPr>
        <w:spacing w:line="360" w:lineRule="auto"/>
        <w:rPr>
          <w:rFonts w:ascii="宋体" w:hAnsi="宋体" w:eastAsia="宋体"/>
          <w:sz w:val="21"/>
          <w:szCs w:val="21"/>
        </w:rPr>
      </w:pPr>
      <w:r>
        <w:rPr>
          <w:rFonts w:hint="eastAsia" w:ascii="宋体" w:hAnsi="宋体"/>
          <w:sz w:val="21"/>
          <w:szCs w:val="21"/>
        </w:rPr>
        <w:t>需具有三相电源的相序换相功能，方便快捷改变电机的相位，无须重新接线。</w:t>
      </w:r>
    </w:p>
    <w:p w14:paraId="6D92D8FC">
      <w:pPr>
        <w:numPr>
          <w:ilvl w:val="0"/>
          <w:numId w:val="2"/>
        </w:numPr>
        <w:spacing w:line="360" w:lineRule="auto"/>
        <w:rPr>
          <w:rFonts w:ascii="宋体" w:hAnsi="宋体" w:eastAsia="宋体"/>
          <w:sz w:val="21"/>
          <w:szCs w:val="21"/>
        </w:rPr>
      </w:pPr>
      <w:r>
        <w:rPr>
          <w:rFonts w:hint="eastAsia" w:ascii="宋体" w:hAnsi="宋体"/>
          <w:sz w:val="21"/>
          <w:szCs w:val="21"/>
        </w:rPr>
        <w:t>需具有液晶显示功能，能将设备的工作运行情况显示在屏幕上，包括但不限于：动态的垃圾量显示、设备运行状态、故障的自诊断结果显示、程序调整功能等</w:t>
      </w:r>
      <w:r>
        <w:rPr>
          <w:rFonts w:hint="eastAsia" w:ascii="Arial" w:hAnsi="宋体" w:eastAsia="宋体" w:cs="Arial"/>
          <w:kern w:val="0"/>
          <w:sz w:val="21"/>
          <w:szCs w:val="21"/>
        </w:rPr>
        <w:t>。</w:t>
      </w:r>
    </w:p>
    <w:p w14:paraId="42FB6319">
      <w:pPr>
        <w:numPr>
          <w:ilvl w:val="0"/>
          <w:numId w:val="2"/>
        </w:numPr>
        <w:spacing w:line="360" w:lineRule="auto"/>
        <w:rPr>
          <w:rFonts w:ascii="宋体" w:hAnsi="宋体" w:eastAsia="宋体"/>
          <w:sz w:val="21"/>
          <w:szCs w:val="21"/>
        </w:rPr>
      </w:pPr>
      <w:r>
        <w:rPr>
          <w:rFonts w:hint="eastAsia" w:ascii="宋体" w:hAnsi="宋体" w:eastAsia="宋体"/>
          <w:sz w:val="21"/>
          <w:szCs w:val="21"/>
        </w:rPr>
        <w:t>需具有</w:t>
      </w:r>
      <w:r>
        <w:rPr>
          <w:rFonts w:hint="eastAsia" w:ascii="宋体" w:hAnsi="宋体"/>
          <w:sz w:val="21"/>
          <w:szCs w:val="21"/>
        </w:rPr>
        <w:t>线控式和触摸式双重控制功能</w:t>
      </w:r>
      <w:r>
        <w:rPr>
          <w:rFonts w:hint="eastAsia" w:ascii="Arial" w:hAnsi="宋体" w:eastAsia="宋体" w:cs="Arial"/>
          <w:kern w:val="0"/>
          <w:sz w:val="21"/>
          <w:szCs w:val="21"/>
        </w:rPr>
        <w:t>。</w:t>
      </w:r>
    </w:p>
    <w:p w14:paraId="41E86F4F">
      <w:pPr>
        <w:numPr>
          <w:ilvl w:val="0"/>
          <w:numId w:val="2"/>
        </w:numPr>
        <w:spacing w:line="360" w:lineRule="auto"/>
        <w:rPr>
          <w:rFonts w:ascii="宋体" w:hAnsi="宋体" w:eastAsia="宋体"/>
          <w:sz w:val="21"/>
          <w:szCs w:val="21"/>
        </w:rPr>
      </w:pPr>
      <w:r>
        <w:rPr>
          <w:rFonts w:hint="eastAsia" w:ascii="Arial" w:hAnsi="宋体" w:eastAsia="宋体" w:cs="Arial"/>
          <w:kern w:val="0"/>
          <w:sz w:val="21"/>
          <w:szCs w:val="21"/>
        </w:rPr>
        <w:t>需</w:t>
      </w:r>
      <w:r>
        <w:rPr>
          <w:rFonts w:hint="eastAsia" w:ascii="宋体" w:hAnsi="宋体"/>
          <w:sz w:val="21"/>
          <w:szCs w:val="21"/>
        </w:rPr>
        <w:t>具有紧急停止控制功能。</w:t>
      </w:r>
    </w:p>
    <w:p w14:paraId="75161679">
      <w:pPr>
        <w:numPr>
          <w:ilvl w:val="0"/>
          <w:numId w:val="2"/>
        </w:numPr>
        <w:spacing w:line="360" w:lineRule="auto"/>
        <w:rPr>
          <w:rFonts w:ascii="宋体" w:hAnsi="宋体" w:eastAsia="宋体"/>
          <w:sz w:val="21"/>
          <w:szCs w:val="21"/>
        </w:rPr>
      </w:pPr>
      <w:r>
        <w:rPr>
          <w:rFonts w:hint="eastAsia" w:ascii="宋体" w:hAnsi="宋体"/>
          <w:sz w:val="21"/>
          <w:szCs w:val="21"/>
        </w:rPr>
        <w:t>压缩腔的两侧板、底板需采用厚度≥8mm的高强钢焊接而成</w:t>
      </w:r>
      <w:r>
        <w:rPr>
          <w:rFonts w:hint="eastAsia" w:ascii="Arial" w:hAnsi="宋体" w:cs="Arial"/>
          <w:kern w:val="0"/>
          <w:sz w:val="21"/>
          <w:szCs w:val="21"/>
        </w:rPr>
        <w:t>，</w:t>
      </w:r>
      <w:r>
        <w:rPr>
          <w:rFonts w:hint="eastAsia" w:ascii="宋体" w:hAnsi="宋体" w:eastAsia="宋体" w:cs="Times New Roman"/>
          <w:sz w:val="21"/>
          <w:szCs w:val="21"/>
        </w:rPr>
        <w:t>强度高</w:t>
      </w:r>
      <w:r>
        <w:rPr>
          <w:rFonts w:hint="eastAsia" w:ascii="Arial" w:hAnsi="宋体" w:eastAsia="宋体" w:cs="Arial"/>
          <w:kern w:val="0"/>
          <w:sz w:val="21"/>
          <w:szCs w:val="21"/>
        </w:rPr>
        <w:t>。</w:t>
      </w:r>
      <w:r>
        <w:rPr>
          <w:rFonts w:hint="eastAsia" w:ascii="宋体" w:hAnsi="宋体"/>
          <w:sz w:val="21"/>
          <w:szCs w:val="21"/>
        </w:rPr>
        <w:t>压头总成的两侧板、底板需采用厚度≥8mm的高强钢焊接而成，</w:t>
      </w:r>
      <w:r>
        <w:rPr>
          <w:rFonts w:hint="eastAsia" w:ascii="宋体" w:hAnsi="宋体" w:eastAsia="宋体" w:cs="Times New Roman"/>
          <w:sz w:val="21"/>
          <w:szCs w:val="21"/>
        </w:rPr>
        <w:t>强度高</w:t>
      </w:r>
      <w:r>
        <w:rPr>
          <w:rFonts w:hint="eastAsia" w:ascii="宋体" w:hAnsi="宋体"/>
          <w:sz w:val="21"/>
          <w:szCs w:val="21"/>
        </w:rPr>
        <w:t>。</w:t>
      </w:r>
    </w:p>
    <w:p w14:paraId="08C9381D">
      <w:pPr>
        <w:numPr>
          <w:ilvl w:val="0"/>
          <w:numId w:val="2"/>
        </w:numPr>
        <w:spacing w:line="360" w:lineRule="auto"/>
        <w:rPr>
          <w:rFonts w:ascii="宋体" w:hAnsi="宋体" w:eastAsia="宋体"/>
          <w:sz w:val="21"/>
          <w:szCs w:val="21"/>
        </w:rPr>
      </w:pPr>
      <w:r>
        <w:rPr>
          <w:rFonts w:hint="eastAsia" w:ascii="宋体" w:hAnsi="宋体"/>
          <w:sz w:val="21"/>
          <w:szCs w:val="21"/>
        </w:rPr>
        <w:t>垃圾箱整体需为大弧形结构，板材厚度≥4mm，材质不低于Q355B。</w:t>
      </w:r>
    </w:p>
    <w:p w14:paraId="735BE75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p>
    <w:p w14:paraId="6AF4B87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p>
    <w:p w14:paraId="58EF82D3">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Calibri" w:hAnsi="Calibri"/>
          <w:color w:val="auto"/>
          <w:highlight w:val="none"/>
        </w:rPr>
      </w:pPr>
      <w:r>
        <w:rPr>
          <w:rFonts w:hint="eastAsia" w:ascii="Cambria" w:hAnsi="Cambria"/>
          <w:bCs w:val="0"/>
          <w:color w:val="auto"/>
          <w:sz w:val="32"/>
          <w:szCs w:val="32"/>
          <w:highlight w:val="none"/>
        </w:rPr>
        <w:t>第三章 供应商须知</w:t>
      </w:r>
      <w:bookmarkEnd w:id="58"/>
      <w:bookmarkEnd w:id="59"/>
      <w:bookmarkEnd w:id="61"/>
      <w:bookmarkEnd w:id="62"/>
      <w:bookmarkEnd w:id="63"/>
      <w:bookmarkEnd w:id="64"/>
      <w:bookmarkEnd w:id="65"/>
      <w:bookmarkEnd w:id="66"/>
    </w:p>
    <w:p w14:paraId="1D8B0D5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val="0"/>
          <w:color w:val="auto"/>
          <w:highlight w:val="none"/>
        </w:rPr>
      </w:pPr>
      <w:bookmarkStart w:id="68" w:name="_Toc80886928"/>
      <w:bookmarkStart w:id="69" w:name="_Toc9482"/>
      <w:bookmarkStart w:id="70" w:name="_Toc30660"/>
      <w:r>
        <w:rPr>
          <w:rFonts w:hint="eastAsia" w:ascii="宋体" w:hAnsi="宋体"/>
          <w:b w:val="0"/>
          <w:color w:val="auto"/>
          <w:highlight w:val="none"/>
        </w:rPr>
        <w:t>第一节 供应商须知前附表</w:t>
      </w:r>
      <w:bookmarkEnd w:id="68"/>
      <w:bookmarkEnd w:id="69"/>
      <w:bookmarkEnd w:id="70"/>
    </w:p>
    <w:p w14:paraId="20663C70">
      <w:pPr>
        <w:spacing w:line="400" w:lineRule="exact"/>
        <w:jc w:val="center"/>
        <w:rPr>
          <w:rFonts w:hint="eastAsia"/>
          <w:b/>
          <w:color w:val="auto"/>
          <w:sz w:val="32"/>
          <w:szCs w:val="32"/>
          <w:highlight w:val="none"/>
        </w:rPr>
      </w:pPr>
    </w:p>
    <w:tbl>
      <w:tblPr>
        <w:tblStyle w:val="28"/>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21"/>
        <w:gridCol w:w="7080"/>
      </w:tblGrid>
      <w:tr w14:paraId="6E5F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14:paraId="0A57D97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21" w:type="dxa"/>
            <w:noWrap w:val="0"/>
            <w:vAlign w:val="center"/>
          </w:tcPr>
          <w:p w14:paraId="0FD791B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7080" w:type="dxa"/>
            <w:noWrap w:val="0"/>
            <w:vAlign w:val="top"/>
          </w:tcPr>
          <w:p w14:paraId="635A7F2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30A80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E885FD1">
            <w:pPr>
              <w:spacing w:line="360" w:lineRule="auto"/>
              <w:jc w:val="center"/>
              <w:rPr>
                <w:color w:val="auto"/>
                <w:szCs w:val="21"/>
                <w:highlight w:val="none"/>
              </w:rPr>
            </w:pPr>
            <w:r>
              <w:rPr>
                <w:color w:val="auto"/>
                <w:szCs w:val="21"/>
                <w:highlight w:val="none"/>
              </w:rPr>
              <w:t>3.1</w:t>
            </w:r>
          </w:p>
        </w:tc>
        <w:tc>
          <w:tcPr>
            <w:tcW w:w="2321" w:type="dxa"/>
            <w:noWrap w:val="0"/>
            <w:vAlign w:val="center"/>
          </w:tcPr>
          <w:p w14:paraId="155B991F">
            <w:pPr>
              <w:spacing w:line="360" w:lineRule="auto"/>
              <w:jc w:val="center"/>
              <w:rPr>
                <w:color w:val="auto"/>
                <w:szCs w:val="21"/>
                <w:highlight w:val="none"/>
              </w:rPr>
            </w:pPr>
            <w:r>
              <w:rPr>
                <w:color w:val="auto"/>
                <w:szCs w:val="21"/>
                <w:highlight w:val="none"/>
              </w:rPr>
              <w:t>供应商资格条件</w:t>
            </w:r>
          </w:p>
        </w:tc>
        <w:tc>
          <w:tcPr>
            <w:tcW w:w="7080" w:type="dxa"/>
            <w:noWrap w:val="0"/>
            <w:vAlign w:val="top"/>
          </w:tcPr>
          <w:p w14:paraId="7224C6C4">
            <w:pPr>
              <w:spacing w:line="360" w:lineRule="auto"/>
              <w:jc w:val="both"/>
              <w:rPr>
                <w:color w:val="auto"/>
                <w:szCs w:val="21"/>
                <w:highlight w:val="none"/>
              </w:rPr>
            </w:pPr>
            <w:r>
              <w:rPr>
                <w:color w:val="auto"/>
                <w:szCs w:val="21"/>
                <w:highlight w:val="none"/>
              </w:rPr>
              <w:t>详见竞争性磋商公告。</w:t>
            </w:r>
          </w:p>
        </w:tc>
      </w:tr>
      <w:tr w14:paraId="61E6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4F981A5">
            <w:pPr>
              <w:spacing w:line="360" w:lineRule="auto"/>
              <w:jc w:val="center"/>
              <w:rPr>
                <w:color w:val="auto"/>
                <w:szCs w:val="21"/>
                <w:highlight w:val="none"/>
              </w:rPr>
            </w:pPr>
            <w:r>
              <w:rPr>
                <w:color w:val="auto"/>
                <w:szCs w:val="21"/>
                <w:highlight w:val="none"/>
              </w:rPr>
              <w:t>5.1</w:t>
            </w:r>
          </w:p>
        </w:tc>
        <w:tc>
          <w:tcPr>
            <w:tcW w:w="2321" w:type="dxa"/>
            <w:noWrap w:val="0"/>
            <w:vAlign w:val="center"/>
          </w:tcPr>
          <w:p w14:paraId="6FB35A41">
            <w:pPr>
              <w:spacing w:line="360" w:lineRule="auto"/>
              <w:jc w:val="center"/>
              <w:rPr>
                <w:color w:val="auto"/>
                <w:szCs w:val="21"/>
                <w:highlight w:val="none"/>
              </w:rPr>
            </w:pPr>
            <w:r>
              <w:rPr>
                <w:color w:val="auto"/>
                <w:szCs w:val="21"/>
                <w:highlight w:val="none"/>
              </w:rPr>
              <w:t>是否接受联合体竞标</w:t>
            </w:r>
          </w:p>
        </w:tc>
        <w:tc>
          <w:tcPr>
            <w:tcW w:w="7080" w:type="dxa"/>
            <w:noWrap w:val="0"/>
            <w:vAlign w:val="center"/>
          </w:tcPr>
          <w:p w14:paraId="0A340036">
            <w:pPr>
              <w:spacing w:line="360" w:lineRule="auto"/>
              <w:jc w:val="both"/>
              <w:rPr>
                <w:rFonts w:hint="eastAsia" w:eastAsia="宋体"/>
                <w:color w:val="auto"/>
                <w:szCs w:val="21"/>
                <w:highlight w:val="none"/>
                <w:lang w:eastAsia="zh-CN"/>
              </w:rPr>
            </w:pPr>
            <w:bookmarkStart w:id="71" w:name="PO_3000001868_PM007"/>
            <w:r>
              <w:rPr>
                <w:color w:val="auto"/>
                <w:szCs w:val="21"/>
                <w:highlight w:val="none"/>
              </w:rPr>
              <w:t>详见竞争性磋商公告</w:t>
            </w:r>
            <w:bookmarkEnd w:id="71"/>
            <w:r>
              <w:rPr>
                <w:rFonts w:hint="eastAsia"/>
                <w:color w:val="auto"/>
                <w:szCs w:val="21"/>
                <w:highlight w:val="none"/>
                <w:lang w:eastAsia="zh-CN"/>
              </w:rPr>
              <w:t>。</w:t>
            </w:r>
          </w:p>
        </w:tc>
      </w:tr>
      <w:tr w14:paraId="790A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EF679BB">
            <w:pPr>
              <w:spacing w:line="360" w:lineRule="auto"/>
              <w:jc w:val="center"/>
              <w:rPr>
                <w:color w:val="auto"/>
                <w:szCs w:val="21"/>
                <w:highlight w:val="none"/>
              </w:rPr>
            </w:pPr>
            <w:r>
              <w:rPr>
                <w:color w:val="auto"/>
                <w:szCs w:val="21"/>
                <w:highlight w:val="none"/>
              </w:rPr>
              <w:t>5.2</w:t>
            </w:r>
          </w:p>
        </w:tc>
        <w:tc>
          <w:tcPr>
            <w:tcW w:w="2321" w:type="dxa"/>
            <w:noWrap w:val="0"/>
            <w:vAlign w:val="center"/>
          </w:tcPr>
          <w:p w14:paraId="462EB970">
            <w:pPr>
              <w:spacing w:line="360" w:lineRule="auto"/>
              <w:jc w:val="center"/>
              <w:rPr>
                <w:color w:val="auto"/>
                <w:szCs w:val="21"/>
                <w:highlight w:val="none"/>
              </w:rPr>
            </w:pPr>
            <w:r>
              <w:rPr>
                <w:color w:val="auto"/>
                <w:szCs w:val="21"/>
                <w:highlight w:val="none"/>
              </w:rPr>
              <w:t>联合体竞标要求</w:t>
            </w:r>
          </w:p>
        </w:tc>
        <w:tc>
          <w:tcPr>
            <w:tcW w:w="7080" w:type="dxa"/>
            <w:noWrap w:val="0"/>
            <w:vAlign w:val="center"/>
          </w:tcPr>
          <w:p w14:paraId="1C3DF333">
            <w:pPr>
              <w:spacing w:line="360" w:lineRule="auto"/>
              <w:jc w:val="both"/>
              <w:rPr>
                <w:rFonts w:hint="eastAsia"/>
                <w:color w:val="auto"/>
                <w:szCs w:val="21"/>
                <w:highlight w:val="none"/>
              </w:rPr>
            </w:pPr>
            <w:r>
              <w:rPr>
                <w:rFonts w:hint="eastAsia"/>
                <w:color w:val="auto"/>
                <w:szCs w:val="21"/>
                <w:highlight w:val="none"/>
              </w:rPr>
              <w:t>无</w:t>
            </w:r>
          </w:p>
        </w:tc>
      </w:tr>
      <w:tr w14:paraId="0452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24C3866">
            <w:pPr>
              <w:spacing w:line="360" w:lineRule="auto"/>
              <w:jc w:val="center"/>
              <w:rPr>
                <w:color w:val="auto"/>
                <w:szCs w:val="21"/>
                <w:highlight w:val="none"/>
              </w:rPr>
            </w:pPr>
            <w:r>
              <w:rPr>
                <w:color w:val="auto"/>
                <w:szCs w:val="21"/>
                <w:highlight w:val="none"/>
              </w:rPr>
              <w:t>6.1</w:t>
            </w:r>
          </w:p>
        </w:tc>
        <w:tc>
          <w:tcPr>
            <w:tcW w:w="2321" w:type="dxa"/>
            <w:noWrap w:val="0"/>
            <w:vAlign w:val="center"/>
          </w:tcPr>
          <w:p w14:paraId="54C518B2">
            <w:pPr>
              <w:spacing w:line="360" w:lineRule="auto"/>
              <w:jc w:val="center"/>
              <w:rPr>
                <w:color w:val="auto"/>
                <w:szCs w:val="21"/>
                <w:highlight w:val="none"/>
              </w:rPr>
            </w:pPr>
            <w:r>
              <w:rPr>
                <w:color w:val="auto"/>
                <w:szCs w:val="21"/>
                <w:highlight w:val="none"/>
              </w:rPr>
              <w:t>是否允许分包</w:t>
            </w:r>
          </w:p>
        </w:tc>
        <w:tc>
          <w:tcPr>
            <w:tcW w:w="7080" w:type="dxa"/>
            <w:noWrap w:val="0"/>
            <w:vAlign w:val="center"/>
          </w:tcPr>
          <w:p w14:paraId="5DD1BF89">
            <w:pPr>
              <w:pStyle w:val="11"/>
              <w:spacing w:line="360" w:lineRule="auto"/>
              <w:jc w:val="both"/>
              <w:rPr>
                <w:color w:val="auto"/>
                <w:szCs w:val="21"/>
                <w:highlight w:val="none"/>
                <w:lang w:val="en-US" w:eastAsia="zh-CN"/>
              </w:rPr>
            </w:pPr>
            <w:r>
              <w:rPr>
                <w:rFonts w:hint="eastAsia" w:ascii="宋体" w:hAnsi="宋体" w:cs="宋体"/>
                <w:color w:val="auto"/>
                <w:szCs w:val="21"/>
                <w:highlight w:val="none"/>
                <w:lang w:val="en-US" w:eastAsia="zh-CN"/>
              </w:rPr>
              <w:t>☑</w:t>
            </w:r>
            <w:r>
              <w:rPr>
                <w:color w:val="auto"/>
                <w:szCs w:val="21"/>
                <w:highlight w:val="none"/>
                <w:lang w:val="en-US" w:eastAsia="zh-CN"/>
              </w:rPr>
              <w:t>不允许分包</w:t>
            </w:r>
          </w:p>
          <w:p w14:paraId="096C2947">
            <w:pPr>
              <w:pStyle w:val="11"/>
              <w:spacing w:line="360" w:lineRule="auto"/>
              <w:jc w:val="both"/>
              <w:rPr>
                <w:color w:val="auto"/>
                <w:szCs w:val="21"/>
                <w:highlight w:val="none"/>
                <w:lang w:val="en-US" w:eastAsia="zh-CN"/>
              </w:rPr>
            </w:pPr>
            <w:r>
              <w:rPr>
                <w:rFonts w:hint="eastAsia" w:ascii="宋体" w:hAnsi="宋体" w:cs="宋体"/>
                <w:color w:val="auto"/>
                <w:szCs w:val="21"/>
                <w:highlight w:val="none"/>
                <w:lang w:val="en-US" w:eastAsia="zh-CN"/>
              </w:rPr>
              <w:t>□</w:t>
            </w:r>
            <w:r>
              <w:rPr>
                <w:color w:val="auto"/>
                <w:szCs w:val="21"/>
                <w:highlight w:val="none"/>
                <w:lang w:val="en-US" w:eastAsia="zh-CN"/>
              </w:rPr>
              <w:t>允许分包</w:t>
            </w:r>
          </w:p>
          <w:p w14:paraId="7D8B8864">
            <w:pPr>
              <w:pStyle w:val="11"/>
              <w:spacing w:line="360" w:lineRule="auto"/>
              <w:jc w:val="both"/>
              <w:rPr>
                <w:color w:val="auto"/>
                <w:szCs w:val="21"/>
                <w:highlight w:val="none"/>
                <w:u w:val="single"/>
                <w:lang w:val="en-US" w:eastAsia="zh-CN"/>
              </w:rPr>
            </w:pPr>
            <w:r>
              <w:rPr>
                <w:color w:val="auto"/>
                <w:szCs w:val="21"/>
                <w:highlight w:val="none"/>
                <w:lang w:val="en-US" w:eastAsia="zh-CN"/>
              </w:rPr>
              <w:t>分包内容：</w:t>
            </w:r>
            <w:r>
              <w:rPr>
                <w:color w:val="auto"/>
                <w:szCs w:val="21"/>
                <w:highlight w:val="none"/>
                <w:u w:val="single"/>
                <w:lang w:val="en-US" w:eastAsia="zh-CN"/>
              </w:rPr>
              <w:t xml:space="preserve">                                     。</w:t>
            </w:r>
          </w:p>
          <w:p w14:paraId="7C030052">
            <w:pPr>
              <w:pStyle w:val="11"/>
              <w:spacing w:line="360" w:lineRule="auto"/>
              <w:jc w:val="both"/>
              <w:rPr>
                <w:color w:val="auto"/>
                <w:szCs w:val="21"/>
                <w:highlight w:val="none"/>
                <w:lang w:val="en-US" w:eastAsia="zh-CN"/>
              </w:rPr>
            </w:pPr>
            <w:r>
              <w:rPr>
                <w:color w:val="auto"/>
                <w:szCs w:val="21"/>
                <w:highlight w:val="none"/>
                <w:lang w:val="en-US" w:eastAsia="zh-CN"/>
              </w:rPr>
              <w:t>分包金额或者比例：</w:t>
            </w:r>
            <w:r>
              <w:rPr>
                <w:color w:val="auto"/>
                <w:szCs w:val="21"/>
                <w:highlight w:val="none"/>
                <w:u w:val="single"/>
                <w:lang w:val="en-US" w:eastAsia="zh-CN"/>
              </w:rPr>
              <w:t xml:space="preserve">                                     。</w:t>
            </w:r>
          </w:p>
        </w:tc>
      </w:tr>
      <w:tr w14:paraId="6123E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807026D">
            <w:pPr>
              <w:spacing w:line="360" w:lineRule="auto"/>
              <w:jc w:val="center"/>
              <w:rPr>
                <w:color w:val="auto"/>
                <w:szCs w:val="21"/>
                <w:highlight w:val="none"/>
              </w:rPr>
            </w:pPr>
            <w:r>
              <w:rPr>
                <w:color w:val="auto"/>
                <w:szCs w:val="21"/>
                <w:highlight w:val="none"/>
              </w:rPr>
              <w:t>12.1.1</w:t>
            </w:r>
          </w:p>
        </w:tc>
        <w:tc>
          <w:tcPr>
            <w:tcW w:w="2321" w:type="dxa"/>
            <w:noWrap w:val="0"/>
            <w:vAlign w:val="center"/>
          </w:tcPr>
          <w:p w14:paraId="4AB5C838">
            <w:pPr>
              <w:snapToGrid w:val="0"/>
              <w:spacing w:line="360" w:lineRule="auto"/>
              <w:jc w:val="center"/>
              <w:rPr>
                <w:color w:val="auto"/>
                <w:szCs w:val="21"/>
                <w:highlight w:val="none"/>
              </w:rPr>
            </w:pPr>
            <w:r>
              <w:rPr>
                <w:b/>
                <w:color w:val="auto"/>
                <w:szCs w:val="21"/>
                <w:highlight w:val="none"/>
              </w:rPr>
              <w:t>资格证明文件组成</w:t>
            </w:r>
          </w:p>
        </w:tc>
        <w:tc>
          <w:tcPr>
            <w:tcW w:w="7080" w:type="dxa"/>
            <w:noWrap w:val="0"/>
            <w:vAlign w:val="center"/>
          </w:tcPr>
          <w:p w14:paraId="7414ED0E">
            <w:pPr>
              <w:pStyle w:val="11"/>
              <w:spacing w:line="360" w:lineRule="auto"/>
              <w:rPr>
                <w:color w:val="auto"/>
                <w:szCs w:val="21"/>
                <w:highlight w:val="none"/>
                <w:lang w:val="en-US" w:eastAsia="zh-CN"/>
              </w:rPr>
            </w:pPr>
            <w:r>
              <w:rPr>
                <w:rFonts w:hint="eastAsia"/>
                <w:color w:val="auto"/>
                <w:szCs w:val="21"/>
                <w:highlight w:val="none"/>
                <w:lang w:val="en-US" w:eastAsia="zh-CN"/>
              </w:rPr>
              <w:t>1.</w:t>
            </w:r>
            <w:r>
              <w:rPr>
                <w:color w:val="auto"/>
                <w:szCs w:val="21"/>
                <w:highlight w:val="none"/>
                <w:lang w:val="en-US" w:eastAsia="zh-CN"/>
              </w:rPr>
              <w:t>供应商</w:t>
            </w:r>
            <w:r>
              <w:rPr>
                <w:rFonts w:hint="eastAsia"/>
                <w:lang w:eastAsia="zh-CN"/>
              </w:rPr>
              <w:t>为</w:t>
            </w:r>
            <w:r>
              <w:rPr>
                <w:color w:val="auto"/>
                <w:szCs w:val="21"/>
                <w:highlight w:val="none"/>
                <w:lang w:val="en-US" w:eastAsia="zh-CN"/>
              </w:rPr>
              <w:t>法人或者其他组织的提供其营业执照等证明文件复印件（如营业执照或者事业单位法人证书或者执业许可证等），供应商为自然人的提供其有效身份证正反面复印件；（</w:t>
            </w:r>
            <w:r>
              <w:rPr>
                <w:b/>
                <w:color w:val="auto"/>
                <w:szCs w:val="21"/>
                <w:highlight w:val="none"/>
                <w:lang w:val="en-US" w:eastAsia="zh-CN"/>
              </w:rPr>
              <w:t>必须提供，否则响应文件按无效响应处理</w:t>
            </w:r>
            <w:r>
              <w:rPr>
                <w:color w:val="auto"/>
                <w:szCs w:val="21"/>
                <w:highlight w:val="none"/>
                <w:lang w:val="en-US" w:eastAsia="zh-CN"/>
              </w:rPr>
              <w:t>）</w:t>
            </w:r>
          </w:p>
          <w:p w14:paraId="35A1AAFD">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供应商依法缴纳税收的相关材料（</w:t>
            </w:r>
            <w:r>
              <w:rPr>
                <w:rFonts w:hint="eastAsia" w:ascii="宋体" w:hAnsi="宋体" w:cs="宋体"/>
                <w:color w:val="auto"/>
                <w:szCs w:val="21"/>
                <w:highlight w:val="none"/>
                <w:u w:val="none"/>
                <w:lang w:val="en-US" w:eastAsia="zh-CN"/>
              </w:rPr>
              <w:t>提供税款所属时期为</w:t>
            </w:r>
            <w:bookmarkStart w:id="72" w:name="OLE_LINK9"/>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rPr>
              <w:t>年</w:t>
            </w:r>
            <w:bookmarkEnd w:id="72"/>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color w:val="auto"/>
                <w:szCs w:val="21"/>
                <w:highlight w:val="none"/>
              </w:rPr>
              <w:t>）；（</w:t>
            </w:r>
            <w:r>
              <w:rPr>
                <w:b/>
                <w:color w:val="auto"/>
                <w:szCs w:val="21"/>
                <w:highlight w:val="none"/>
              </w:rPr>
              <w:t>必须提供，否则响应文件按无效响应处理</w:t>
            </w:r>
            <w:r>
              <w:rPr>
                <w:color w:val="auto"/>
                <w:szCs w:val="21"/>
                <w:highlight w:val="none"/>
              </w:rPr>
              <w:t>）</w:t>
            </w:r>
          </w:p>
          <w:p w14:paraId="52435E7F">
            <w:pPr>
              <w:snapToGrid w:val="0"/>
              <w:spacing w:line="360" w:lineRule="auto"/>
              <w:jc w:val="left"/>
              <w:rPr>
                <w:color w:val="auto"/>
                <w:szCs w:val="21"/>
                <w:highlight w:val="none"/>
              </w:rPr>
            </w:pPr>
            <w:r>
              <w:rPr>
                <w:color w:val="auto"/>
                <w:szCs w:val="21"/>
                <w:highlight w:val="none"/>
              </w:rPr>
              <w:t>3.供应商依法缴纳社会保障资金的相关材料（</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cs="宋体"/>
                <w:color w:val="auto"/>
                <w:szCs w:val="21"/>
                <w:highlight w:val="none"/>
                <w:u w:val="none"/>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color w:val="auto"/>
                <w:szCs w:val="21"/>
                <w:highlight w:val="none"/>
              </w:rPr>
              <w:t>）；（</w:t>
            </w:r>
            <w:r>
              <w:rPr>
                <w:b/>
                <w:color w:val="auto"/>
                <w:szCs w:val="21"/>
                <w:highlight w:val="none"/>
              </w:rPr>
              <w:t>必须提供，否则响应文件按无效响应处理</w:t>
            </w:r>
            <w:r>
              <w:rPr>
                <w:color w:val="auto"/>
                <w:szCs w:val="21"/>
                <w:highlight w:val="none"/>
              </w:rPr>
              <w:t>）</w:t>
            </w:r>
          </w:p>
          <w:p w14:paraId="211B41AE">
            <w:pPr>
              <w:snapToGrid w:val="0"/>
              <w:spacing w:line="360" w:lineRule="auto"/>
              <w:jc w:val="left"/>
              <w:rPr>
                <w:b/>
                <w:color w:val="auto"/>
                <w:szCs w:val="21"/>
                <w:highlight w:val="none"/>
              </w:rPr>
            </w:pPr>
            <w:r>
              <w:rPr>
                <w:color w:val="auto"/>
                <w:szCs w:val="21"/>
                <w:highlight w:val="none"/>
              </w:rPr>
              <w:t>4.供应商财务状况报告（提供</w:t>
            </w:r>
            <w:r>
              <w:rPr>
                <w:rFonts w:hint="eastAsia"/>
                <w:color w:val="auto"/>
                <w:szCs w:val="21"/>
                <w:highlight w:val="none"/>
                <w:u w:val="single"/>
                <w:lang w:val="en-US" w:eastAsia="zh-CN"/>
              </w:rPr>
              <w:t>2023年度或2024年度</w:t>
            </w:r>
            <w:r>
              <w:rPr>
                <w:color w:val="auto"/>
                <w:szCs w:val="21"/>
                <w:highlight w:val="none"/>
              </w:rPr>
              <w:t>经审计的财务报告复印件或者截标时间前半年内至少一个月能反映财务状况的报表或者供应商自拟的截标时间前半年内至少一个月的财务情况说明）；</w:t>
            </w:r>
            <w:r>
              <w:rPr>
                <w:bCs/>
                <w:color w:val="auto"/>
                <w:szCs w:val="21"/>
                <w:highlight w:val="none"/>
              </w:rPr>
              <w:t>（</w:t>
            </w:r>
            <w:r>
              <w:rPr>
                <w:b/>
                <w:color w:val="auto"/>
                <w:szCs w:val="21"/>
                <w:highlight w:val="none"/>
              </w:rPr>
              <w:t>必须提供，否则响应文件按无效响应处理</w:t>
            </w:r>
            <w:r>
              <w:rPr>
                <w:bCs/>
                <w:color w:val="auto"/>
                <w:szCs w:val="21"/>
                <w:highlight w:val="none"/>
              </w:rPr>
              <w:t>）</w:t>
            </w:r>
          </w:p>
          <w:p w14:paraId="60C7D42D">
            <w:pPr>
              <w:snapToGrid w:val="0"/>
              <w:spacing w:line="360" w:lineRule="auto"/>
              <w:jc w:val="left"/>
              <w:rPr>
                <w:color w:val="auto"/>
                <w:szCs w:val="21"/>
                <w:highlight w:val="none"/>
              </w:rPr>
            </w:pPr>
            <w:r>
              <w:rPr>
                <w:color w:val="auto"/>
                <w:szCs w:val="21"/>
                <w:highlight w:val="none"/>
              </w:rPr>
              <w:t>5.本项目的特定资格要求</w:t>
            </w:r>
            <w:r>
              <w:rPr>
                <w:rFonts w:hint="eastAsia" w:ascii="宋体" w:hAnsi="宋体" w:eastAsia="宋体"/>
                <w:color w:val="auto"/>
                <w:szCs w:val="21"/>
                <w:highlight w:val="none"/>
              </w:rPr>
              <w:t>设置供应商提供的资格证明材料</w:t>
            </w:r>
            <w:r>
              <w:rPr>
                <w:rFonts w:hint="eastAsia"/>
                <w:color w:val="auto"/>
                <w:szCs w:val="21"/>
                <w:highlight w:val="none"/>
              </w:rPr>
              <w:t>：</w:t>
            </w:r>
            <w:r>
              <w:rPr>
                <w:rFonts w:hint="eastAsia"/>
                <w:color w:val="auto"/>
                <w:szCs w:val="21"/>
                <w:highlight w:val="none"/>
                <w:lang w:val="en-US" w:eastAsia="zh-CN"/>
              </w:rPr>
              <w:t>具备</w:t>
            </w:r>
            <w:r>
              <w:rPr>
                <w:rFonts w:hint="eastAsia"/>
                <w:color w:val="auto"/>
                <w:szCs w:val="21"/>
                <w:highlight w:val="none"/>
                <w:lang w:eastAsia="zh-CN"/>
              </w:rPr>
              <w:t>建筑工程施工总承包三级（含）以上</w:t>
            </w:r>
            <w:r>
              <w:rPr>
                <w:rFonts w:hint="eastAsia"/>
                <w:color w:val="auto"/>
                <w:szCs w:val="21"/>
                <w:highlight w:val="none"/>
                <w:lang w:val="en-US" w:eastAsia="zh-CN"/>
              </w:rPr>
              <w:t>资质，具备有效的安全生产许可证，并在人员、设备、资金等方面具备相应的施工能力。其中，供应商拟派项目经理须具备建筑工程专业二级（含）以上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color w:val="auto"/>
                <w:szCs w:val="21"/>
                <w:highlight w:val="none"/>
              </w:rPr>
              <w:t>；（</w:t>
            </w:r>
            <w:r>
              <w:rPr>
                <w:b/>
                <w:color w:val="auto"/>
                <w:szCs w:val="21"/>
                <w:highlight w:val="none"/>
              </w:rPr>
              <w:t>必须提供，否则响应文件按无效响应处理</w:t>
            </w:r>
            <w:r>
              <w:rPr>
                <w:color w:val="auto"/>
                <w:szCs w:val="21"/>
                <w:highlight w:val="none"/>
              </w:rPr>
              <w:t>）</w:t>
            </w:r>
          </w:p>
          <w:p w14:paraId="4A6DDB10">
            <w:pPr>
              <w:snapToGrid w:val="0"/>
              <w:spacing w:line="380" w:lineRule="exact"/>
              <w:jc w:val="left"/>
              <w:rPr>
                <w:rFonts w:hint="eastAsia" w:ascii="宋体" w:hAnsi="宋体" w:cs="宋体"/>
                <w:color w:val="000000"/>
                <w:szCs w:val="21"/>
              </w:rPr>
            </w:pPr>
            <w:r>
              <w:rPr>
                <w:rFonts w:hint="eastAsia" w:ascii="宋体" w:hAnsi="宋体" w:cs="宋体"/>
                <w:color w:val="000000"/>
                <w:szCs w:val="21"/>
              </w:rPr>
              <w:t>6.本项目为专门</w:t>
            </w:r>
            <w:r>
              <w:rPr>
                <w:rFonts w:hint="eastAsia" w:ascii="宋体" w:hAnsi="宋体" w:eastAsia="宋体" w:cs="宋体"/>
                <w:szCs w:val="21"/>
              </w:rPr>
              <w:t>面向</w:t>
            </w:r>
            <w:r>
              <w:rPr>
                <w:rFonts w:hint="eastAsia" w:ascii="宋体" w:hAnsi="宋体" w:cs="宋体"/>
                <w:color w:val="000000"/>
                <w:szCs w:val="21"/>
              </w:rPr>
              <w:t>中小企业采购的项目。</w:t>
            </w:r>
            <w:r>
              <w:rPr>
                <w:rFonts w:hint="eastAsia" w:ascii="宋体" w:hAnsi="宋体" w:cs="宋体"/>
                <w:szCs w:val="21"/>
              </w:rPr>
              <w:t>供应商</w:t>
            </w:r>
            <w:r>
              <w:rPr>
                <w:rFonts w:hint="eastAsia" w:ascii="宋体" w:hAnsi="宋体" w:cs="宋体"/>
                <w:color w:val="000000"/>
                <w:szCs w:val="21"/>
              </w:rPr>
              <w:t>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bCs/>
                <w:color w:val="000000"/>
                <w:szCs w:val="21"/>
              </w:rPr>
              <w:t>（必须提供，</w:t>
            </w:r>
            <w:r>
              <w:rPr>
                <w:rFonts w:hint="eastAsia" w:ascii="宋体" w:hAnsi="宋体" w:cs="宋体"/>
                <w:b/>
                <w:szCs w:val="21"/>
              </w:rPr>
              <w:t>否则响应文件按无效响应处理</w:t>
            </w:r>
            <w:r>
              <w:rPr>
                <w:rFonts w:hint="eastAsia" w:ascii="宋体" w:hAnsi="宋体" w:cs="宋体"/>
                <w:b/>
                <w:bCs/>
                <w:color w:val="000000"/>
                <w:szCs w:val="21"/>
              </w:rPr>
              <w:t>）</w:t>
            </w:r>
          </w:p>
          <w:p w14:paraId="2E001F00">
            <w:pPr>
              <w:snapToGrid w:val="0"/>
              <w:spacing w:line="380" w:lineRule="exact"/>
              <w:jc w:val="left"/>
              <w:rPr>
                <w:rFonts w:hint="eastAsia" w:ascii="宋体" w:hAnsi="宋体" w:cs="宋体"/>
                <w:color w:val="000000"/>
                <w:szCs w:val="21"/>
              </w:rPr>
            </w:pPr>
            <w:r>
              <w:rPr>
                <w:rFonts w:hint="eastAsia" w:ascii="宋体" w:hAnsi="宋体" w:cs="宋体"/>
                <w:color w:val="000000"/>
                <w:szCs w:val="21"/>
              </w:rPr>
              <w:t>7.声明函（格式后附）；（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2AA0B809">
            <w:pPr>
              <w:snapToGrid w:val="0"/>
              <w:spacing w:line="380" w:lineRule="exact"/>
              <w:jc w:val="left"/>
              <w:rPr>
                <w:rFonts w:hint="eastAsia" w:ascii="宋体" w:hAnsi="宋体" w:cs="宋体"/>
                <w:color w:val="000000"/>
                <w:szCs w:val="21"/>
              </w:rPr>
            </w:pPr>
            <w:r>
              <w:rPr>
                <w:rFonts w:hint="eastAsia" w:ascii="宋体" w:hAnsi="宋体" w:cs="宋体"/>
                <w:color w:val="000000"/>
                <w:szCs w:val="21"/>
              </w:rPr>
              <w:t>8.联合体竞标协议书（格式后附）；（</w:t>
            </w:r>
            <w:r>
              <w:rPr>
                <w:rFonts w:hint="eastAsia" w:ascii="宋体" w:hAnsi="宋体" w:cs="宋体"/>
                <w:b/>
                <w:color w:val="000000"/>
                <w:szCs w:val="21"/>
              </w:rPr>
              <w:t>联合体竞标时必须提供，否则响应文件按无效响应处理</w:t>
            </w:r>
            <w:r>
              <w:rPr>
                <w:rFonts w:hint="eastAsia" w:ascii="宋体" w:hAnsi="宋体" w:cs="宋体"/>
                <w:color w:val="000000"/>
                <w:szCs w:val="21"/>
              </w:rPr>
              <w:t>）</w:t>
            </w:r>
          </w:p>
          <w:p w14:paraId="5223C484">
            <w:pPr>
              <w:snapToGrid w:val="0"/>
              <w:spacing w:line="380" w:lineRule="exact"/>
              <w:jc w:val="left"/>
              <w:rPr>
                <w:rFonts w:hint="eastAsia" w:ascii="宋体" w:hAnsi="宋体" w:cs="宋体"/>
                <w:color w:val="000000"/>
                <w:szCs w:val="21"/>
              </w:rPr>
            </w:pPr>
            <w:r>
              <w:rPr>
                <w:rFonts w:hint="eastAsia" w:ascii="宋体" w:hAnsi="宋体" w:cs="宋体"/>
                <w:color w:val="000000"/>
                <w:szCs w:val="21"/>
              </w:rPr>
              <w:t>9.除竞争性磋商文件规定必须提供以外，供应商认为需要提供的其他证明材料（格式自拟）。</w:t>
            </w:r>
          </w:p>
          <w:p w14:paraId="262DC909">
            <w:pPr>
              <w:snapToGrid w:val="0"/>
              <w:spacing w:line="360" w:lineRule="auto"/>
              <w:jc w:val="left"/>
              <w:rPr>
                <w:rFonts w:hint="eastAsia" w:eastAsia="宋体"/>
                <w:color w:val="auto"/>
                <w:szCs w:val="21"/>
                <w:highlight w:val="none"/>
                <w:lang w:eastAsia="zh-CN"/>
              </w:rPr>
            </w:pPr>
          </w:p>
          <w:p w14:paraId="521C7035">
            <w:pPr>
              <w:pStyle w:val="11"/>
              <w:spacing w:line="360" w:lineRule="auto"/>
              <w:rPr>
                <w:b/>
                <w:color w:val="auto"/>
                <w:szCs w:val="21"/>
                <w:highlight w:val="none"/>
                <w:lang w:val="en-US" w:eastAsia="zh-CN"/>
              </w:rPr>
            </w:pPr>
            <w:r>
              <w:rPr>
                <w:b/>
                <w:color w:val="auto"/>
                <w:szCs w:val="21"/>
                <w:highlight w:val="none"/>
                <w:lang w:val="en-US" w:eastAsia="zh-CN"/>
              </w:rPr>
              <w:t>注：</w:t>
            </w:r>
          </w:p>
          <w:p w14:paraId="560923F6">
            <w:pPr>
              <w:pStyle w:val="11"/>
              <w:spacing w:line="360" w:lineRule="auto"/>
              <w:rPr>
                <w:b/>
                <w:color w:val="auto"/>
                <w:szCs w:val="21"/>
                <w:highlight w:val="none"/>
                <w:lang w:val="en-US" w:eastAsia="zh-CN"/>
              </w:rPr>
            </w:pPr>
            <w:r>
              <w:rPr>
                <w:b/>
                <w:color w:val="auto"/>
                <w:szCs w:val="21"/>
                <w:highlight w:val="none"/>
                <w:lang w:val="en-US" w:eastAsia="zh-CN"/>
              </w:rPr>
              <w:t>　　1.以上标明</w:t>
            </w:r>
            <w:r>
              <w:rPr>
                <w:rFonts w:hint="eastAsia"/>
                <w:b/>
                <w:color w:val="auto"/>
                <w:szCs w:val="21"/>
                <w:highlight w:val="none"/>
                <w:lang w:val="en-US" w:eastAsia="zh-CN"/>
              </w:rPr>
              <w:t>“</w:t>
            </w:r>
            <w:r>
              <w:rPr>
                <w:b/>
                <w:color w:val="auto"/>
                <w:szCs w:val="21"/>
                <w:highlight w:val="none"/>
                <w:lang w:val="en-US" w:eastAsia="zh-CN"/>
              </w:rPr>
              <w:t>必须提供</w:t>
            </w:r>
            <w:r>
              <w:rPr>
                <w:rFonts w:hint="eastAsia"/>
                <w:b/>
                <w:color w:val="auto"/>
                <w:szCs w:val="21"/>
                <w:highlight w:val="none"/>
                <w:lang w:val="en-US" w:eastAsia="zh-CN"/>
              </w:rPr>
              <w:t>”</w:t>
            </w:r>
            <w:r>
              <w:rPr>
                <w:b/>
                <w:color w:val="auto"/>
                <w:szCs w:val="21"/>
                <w:highlight w:val="none"/>
                <w:lang w:val="en-US" w:eastAsia="zh-CN"/>
              </w:rPr>
              <w:t>的材料属于复印件的，必须加盖</w:t>
            </w:r>
            <w:r>
              <w:rPr>
                <w:rFonts w:hint="eastAsia"/>
                <w:b/>
                <w:color w:val="auto"/>
                <w:szCs w:val="21"/>
                <w:highlight w:val="none"/>
                <w:lang w:val="en-US" w:eastAsia="zh-CN"/>
              </w:rPr>
              <w:t>供应商公章</w:t>
            </w:r>
            <w:r>
              <w:rPr>
                <w:b/>
                <w:color w:val="auto"/>
                <w:szCs w:val="21"/>
                <w:highlight w:val="none"/>
                <w:lang w:val="en-US" w:eastAsia="zh-CN"/>
              </w:rPr>
              <w:t>，否则响应文件按无效响应处理。</w:t>
            </w:r>
          </w:p>
          <w:p w14:paraId="6A3F5928">
            <w:pPr>
              <w:pStyle w:val="11"/>
              <w:spacing w:line="360" w:lineRule="auto"/>
              <w:ind w:firstLine="422" w:firstLineChars="200"/>
              <w:rPr>
                <w:b/>
                <w:color w:val="auto"/>
                <w:szCs w:val="21"/>
                <w:highlight w:val="none"/>
                <w:lang w:val="en-US" w:eastAsia="zh-CN"/>
              </w:rPr>
            </w:pPr>
            <w:r>
              <w:rPr>
                <w:b/>
                <w:color w:val="auto"/>
                <w:szCs w:val="21"/>
                <w:highlight w:val="none"/>
                <w:lang w:val="en-US" w:eastAsia="zh-CN"/>
              </w:rPr>
              <w:t>2.联合体竞标时，第1-5项资格证明文件联合体各方均必须分别提供，联合体各方分别盖章，否则响应文件按无效响应处理。</w:t>
            </w:r>
          </w:p>
        </w:tc>
      </w:tr>
      <w:tr w14:paraId="1522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386D920C">
            <w:pPr>
              <w:spacing w:line="360" w:lineRule="auto"/>
              <w:jc w:val="center"/>
              <w:rPr>
                <w:color w:val="auto"/>
                <w:szCs w:val="21"/>
                <w:highlight w:val="none"/>
              </w:rPr>
            </w:pPr>
            <w:r>
              <w:rPr>
                <w:color w:val="auto"/>
                <w:szCs w:val="21"/>
                <w:highlight w:val="none"/>
              </w:rPr>
              <w:t>12.1.2</w:t>
            </w:r>
          </w:p>
        </w:tc>
        <w:tc>
          <w:tcPr>
            <w:tcW w:w="2321" w:type="dxa"/>
            <w:noWrap w:val="0"/>
            <w:vAlign w:val="center"/>
          </w:tcPr>
          <w:p w14:paraId="02CCE21B">
            <w:pPr>
              <w:spacing w:line="360" w:lineRule="auto"/>
              <w:jc w:val="center"/>
              <w:rPr>
                <w:b/>
                <w:bCs/>
                <w:color w:val="auto"/>
                <w:szCs w:val="21"/>
                <w:highlight w:val="none"/>
              </w:rPr>
            </w:pPr>
            <w:r>
              <w:rPr>
                <w:b/>
                <w:bCs/>
                <w:color w:val="auto"/>
                <w:szCs w:val="21"/>
                <w:highlight w:val="none"/>
              </w:rPr>
              <w:t>商务文件组成</w:t>
            </w:r>
          </w:p>
        </w:tc>
        <w:tc>
          <w:tcPr>
            <w:tcW w:w="7080" w:type="dxa"/>
            <w:noWrap w:val="0"/>
            <w:vAlign w:val="center"/>
          </w:tcPr>
          <w:p w14:paraId="2FBC3EB9">
            <w:pPr>
              <w:spacing w:line="360" w:lineRule="auto"/>
              <w:rPr>
                <w:color w:val="auto"/>
                <w:szCs w:val="21"/>
                <w:highlight w:val="none"/>
              </w:rPr>
            </w:pPr>
            <w:r>
              <w:rPr>
                <w:color w:val="auto"/>
                <w:szCs w:val="21"/>
                <w:highlight w:val="none"/>
              </w:rPr>
              <w:t>1.无串通竞标行为的承诺函（格式后附）；（</w:t>
            </w:r>
            <w:r>
              <w:rPr>
                <w:b/>
                <w:color w:val="auto"/>
                <w:szCs w:val="21"/>
                <w:highlight w:val="none"/>
              </w:rPr>
              <w:t>必须提供，否则响应文件按无效响应处理</w:t>
            </w:r>
            <w:r>
              <w:rPr>
                <w:color w:val="auto"/>
                <w:szCs w:val="21"/>
                <w:highlight w:val="none"/>
              </w:rPr>
              <w:t>）</w:t>
            </w:r>
          </w:p>
          <w:p w14:paraId="462683FD">
            <w:pPr>
              <w:snapToGrid w:val="0"/>
              <w:spacing w:line="360" w:lineRule="auto"/>
              <w:jc w:val="left"/>
              <w:rPr>
                <w:color w:val="auto"/>
                <w:szCs w:val="21"/>
                <w:highlight w:val="none"/>
              </w:rPr>
            </w:pPr>
            <w:r>
              <w:rPr>
                <w:color w:val="auto"/>
                <w:szCs w:val="21"/>
                <w:highlight w:val="none"/>
              </w:rPr>
              <w:t>2.法定代表人身份证明及法定代表人有效身份证正反面复印件（格式后附）；（</w:t>
            </w:r>
            <w:r>
              <w:rPr>
                <w:b/>
                <w:bCs/>
                <w:color w:val="auto"/>
                <w:szCs w:val="21"/>
                <w:highlight w:val="none"/>
              </w:rPr>
              <w:t>除自然人竞标外</w:t>
            </w:r>
            <w:r>
              <w:rPr>
                <w:b/>
                <w:color w:val="auto"/>
                <w:szCs w:val="21"/>
                <w:highlight w:val="none"/>
              </w:rPr>
              <w:t>必须提供，否则响应文件按无效响应处理</w:t>
            </w:r>
            <w:r>
              <w:rPr>
                <w:color w:val="auto"/>
                <w:szCs w:val="21"/>
                <w:highlight w:val="none"/>
              </w:rPr>
              <w:t>）</w:t>
            </w:r>
          </w:p>
          <w:p w14:paraId="23222326">
            <w:pPr>
              <w:spacing w:line="360" w:lineRule="auto"/>
              <w:rPr>
                <w:color w:val="auto"/>
                <w:szCs w:val="21"/>
                <w:highlight w:val="none"/>
              </w:rPr>
            </w:pPr>
            <w:r>
              <w:rPr>
                <w:color w:val="auto"/>
                <w:szCs w:val="21"/>
                <w:highlight w:val="none"/>
              </w:rPr>
              <w:t>3.法定代表人授权委托书及委托代理人有效身份证正反面复印件（格式后附）；（</w:t>
            </w:r>
            <w:r>
              <w:rPr>
                <w:b/>
                <w:color w:val="auto"/>
                <w:szCs w:val="21"/>
                <w:highlight w:val="none"/>
              </w:rPr>
              <w:t>委托时必须提供，否则响应文件按无效响应处理</w:t>
            </w:r>
            <w:r>
              <w:rPr>
                <w:color w:val="auto"/>
                <w:szCs w:val="21"/>
                <w:highlight w:val="none"/>
              </w:rPr>
              <w:t>）</w:t>
            </w:r>
          </w:p>
          <w:p w14:paraId="55A1A5D6">
            <w:pPr>
              <w:spacing w:line="360" w:lineRule="auto"/>
              <w:rPr>
                <w:color w:val="auto"/>
                <w:szCs w:val="21"/>
                <w:highlight w:val="none"/>
              </w:rPr>
            </w:pPr>
            <w:r>
              <w:rPr>
                <w:rFonts w:hint="eastAsia"/>
                <w:color w:val="auto"/>
                <w:szCs w:val="21"/>
                <w:highlight w:val="none"/>
                <w:lang w:val="en-US" w:eastAsia="zh-CN"/>
              </w:rPr>
              <w:t>4</w:t>
            </w:r>
            <w:r>
              <w:rPr>
                <w:color w:val="auto"/>
                <w:szCs w:val="21"/>
                <w:highlight w:val="none"/>
              </w:rPr>
              <w:t>.商务条款偏离表（格式后附）；（</w:t>
            </w:r>
            <w:r>
              <w:rPr>
                <w:b/>
                <w:color w:val="auto"/>
                <w:szCs w:val="21"/>
                <w:highlight w:val="none"/>
              </w:rPr>
              <w:t>必须提供，否则响应文件按无效响应处理</w:t>
            </w:r>
            <w:r>
              <w:rPr>
                <w:color w:val="auto"/>
                <w:szCs w:val="21"/>
                <w:highlight w:val="none"/>
              </w:rPr>
              <w:t>）</w:t>
            </w:r>
          </w:p>
          <w:p w14:paraId="788EEC91">
            <w:pPr>
              <w:spacing w:line="360" w:lineRule="auto"/>
              <w:rPr>
                <w:color w:val="auto"/>
                <w:szCs w:val="21"/>
                <w:highlight w:val="none"/>
              </w:rPr>
            </w:pPr>
            <w:r>
              <w:rPr>
                <w:rFonts w:hint="eastAsia"/>
                <w:color w:val="auto"/>
                <w:szCs w:val="21"/>
                <w:highlight w:val="none"/>
                <w:lang w:val="en-US" w:eastAsia="zh-CN"/>
              </w:rPr>
              <w:t>5</w:t>
            </w:r>
            <w:r>
              <w:rPr>
                <w:color w:val="auto"/>
                <w:szCs w:val="21"/>
                <w:highlight w:val="none"/>
              </w:rPr>
              <w:t>.建设工程项目管理承诺书（格式后附）；（</w:t>
            </w:r>
            <w:r>
              <w:rPr>
                <w:b/>
                <w:color w:val="auto"/>
                <w:szCs w:val="21"/>
                <w:highlight w:val="none"/>
              </w:rPr>
              <w:t>必须提供，否则响应文件按无效响应处理</w:t>
            </w:r>
            <w:r>
              <w:rPr>
                <w:color w:val="auto"/>
                <w:szCs w:val="21"/>
                <w:highlight w:val="none"/>
              </w:rPr>
              <w:t>）</w:t>
            </w:r>
          </w:p>
          <w:p w14:paraId="37472895">
            <w:pPr>
              <w:spacing w:line="360" w:lineRule="auto"/>
              <w:rPr>
                <w:color w:val="auto"/>
                <w:szCs w:val="21"/>
                <w:highlight w:val="none"/>
              </w:rPr>
            </w:pPr>
            <w:r>
              <w:rPr>
                <w:rFonts w:hint="eastAsia"/>
                <w:color w:val="auto"/>
                <w:szCs w:val="21"/>
                <w:highlight w:val="none"/>
                <w:lang w:val="en-US" w:eastAsia="zh-CN"/>
              </w:rPr>
              <w:t>6</w:t>
            </w:r>
            <w:r>
              <w:rPr>
                <w:color w:val="auto"/>
                <w:szCs w:val="21"/>
                <w:highlight w:val="none"/>
              </w:rPr>
              <w:t>.供应商情况介绍（格式自拟）；</w:t>
            </w:r>
          </w:p>
          <w:p w14:paraId="1F7F4AE1">
            <w:pPr>
              <w:spacing w:line="360" w:lineRule="auto"/>
              <w:rPr>
                <w:color w:val="auto"/>
                <w:szCs w:val="21"/>
                <w:highlight w:val="none"/>
              </w:rPr>
            </w:pPr>
            <w:r>
              <w:rPr>
                <w:rFonts w:hint="eastAsia"/>
                <w:color w:val="auto"/>
                <w:szCs w:val="21"/>
                <w:highlight w:val="none"/>
                <w:lang w:val="en-US" w:eastAsia="zh-CN"/>
              </w:rPr>
              <w:t>7</w:t>
            </w:r>
            <w:r>
              <w:rPr>
                <w:color w:val="auto"/>
                <w:szCs w:val="21"/>
                <w:highlight w:val="none"/>
              </w:rPr>
              <w:t>.对应采购需求的商务条款提供的其他文件资料（格式自拟）；</w:t>
            </w:r>
          </w:p>
          <w:p w14:paraId="283B63F0">
            <w:pPr>
              <w:spacing w:line="360" w:lineRule="auto"/>
              <w:rPr>
                <w:color w:val="auto"/>
                <w:szCs w:val="21"/>
                <w:highlight w:val="none"/>
              </w:rPr>
            </w:pPr>
            <w:r>
              <w:rPr>
                <w:rFonts w:hint="eastAsia"/>
                <w:color w:val="auto"/>
                <w:szCs w:val="21"/>
                <w:highlight w:val="none"/>
                <w:lang w:val="en-US" w:eastAsia="zh-CN"/>
              </w:rPr>
              <w:t>8</w:t>
            </w:r>
            <w:r>
              <w:rPr>
                <w:color w:val="auto"/>
                <w:szCs w:val="21"/>
                <w:highlight w:val="none"/>
              </w:rPr>
              <w:t>.供应商认为需要提供的其他有关资料（格式自拟）。</w:t>
            </w:r>
          </w:p>
          <w:p w14:paraId="35F1D642">
            <w:pPr>
              <w:snapToGrid w:val="0"/>
              <w:spacing w:line="360" w:lineRule="auto"/>
              <w:jc w:val="left"/>
              <w:rPr>
                <w:b/>
                <w:color w:val="auto"/>
                <w:szCs w:val="21"/>
                <w:highlight w:val="none"/>
              </w:rPr>
            </w:pPr>
            <w:r>
              <w:rPr>
                <w:b/>
                <w:color w:val="auto"/>
                <w:szCs w:val="21"/>
                <w:highlight w:val="none"/>
              </w:rPr>
              <w:t xml:space="preserve">注： </w:t>
            </w:r>
          </w:p>
          <w:p w14:paraId="783981DB">
            <w:pPr>
              <w:snapToGrid w:val="0"/>
              <w:spacing w:line="360" w:lineRule="auto"/>
              <w:ind w:firstLine="413" w:firstLineChars="196"/>
              <w:jc w:val="left"/>
              <w:rPr>
                <w:b/>
                <w:color w:val="auto"/>
                <w:szCs w:val="21"/>
                <w:highlight w:val="none"/>
              </w:rPr>
            </w:pPr>
            <w:r>
              <w:rPr>
                <w:b/>
                <w:color w:val="auto"/>
                <w:szCs w:val="21"/>
                <w:highlight w:val="none"/>
              </w:rPr>
              <w:t>1.法定代表人授权委托书必须由法定代表人及其委托代理人签字，并加盖供应商公章，否则响应文件按无效响应处理。</w:t>
            </w:r>
          </w:p>
          <w:p w14:paraId="3AC2C8E4">
            <w:pPr>
              <w:spacing w:line="360" w:lineRule="auto"/>
              <w:ind w:firstLine="413" w:firstLineChars="196"/>
              <w:rPr>
                <w:b/>
                <w:color w:val="auto"/>
                <w:szCs w:val="21"/>
                <w:highlight w:val="none"/>
              </w:rPr>
            </w:pPr>
            <w:r>
              <w:rPr>
                <w:b/>
                <w:color w:val="auto"/>
                <w:szCs w:val="21"/>
                <w:highlight w:val="none"/>
              </w:rPr>
              <w:t>2.以上标明</w:t>
            </w:r>
            <w:r>
              <w:rPr>
                <w:rFonts w:hint="eastAsia"/>
                <w:b/>
                <w:color w:val="auto"/>
                <w:szCs w:val="21"/>
                <w:highlight w:val="none"/>
                <w:lang w:eastAsia="zh-CN"/>
              </w:rPr>
              <w:t>“</w:t>
            </w:r>
            <w:r>
              <w:rPr>
                <w:b/>
                <w:color w:val="auto"/>
                <w:szCs w:val="21"/>
                <w:highlight w:val="none"/>
              </w:rPr>
              <w:t>必须提供</w:t>
            </w:r>
            <w:r>
              <w:rPr>
                <w:rFonts w:hint="eastAsia"/>
                <w:b/>
                <w:color w:val="auto"/>
                <w:szCs w:val="21"/>
                <w:highlight w:val="none"/>
                <w:lang w:eastAsia="zh-CN"/>
              </w:rPr>
              <w:t>”</w:t>
            </w:r>
            <w:r>
              <w:rPr>
                <w:b/>
                <w:color w:val="auto"/>
                <w:szCs w:val="21"/>
                <w:highlight w:val="none"/>
              </w:rPr>
              <w:t>的材料属于复印件的，必须加盖</w:t>
            </w:r>
            <w:r>
              <w:rPr>
                <w:rFonts w:hint="eastAsia"/>
                <w:b/>
                <w:color w:val="auto"/>
                <w:szCs w:val="21"/>
                <w:highlight w:val="none"/>
                <w:lang w:eastAsia="zh-CN"/>
              </w:rPr>
              <w:t>供应商公章</w:t>
            </w:r>
            <w:r>
              <w:rPr>
                <w:b/>
                <w:color w:val="auto"/>
                <w:szCs w:val="21"/>
                <w:highlight w:val="none"/>
              </w:rPr>
              <w:t>，否则响应文件按无效响应处理。</w:t>
            </w:r>
          </w:p>
        </w:tc>
      </w:tr>
      <w:tr w14:paraId="1FABD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963" w:type="dxa"/>
            <w:vMerge w:val="continue"/>
            <w:noWrap w:val="0"/>
            <w:vAlign w:val="center"/>
          </w:tcPr>
          <w:p w14:paraId="3698F336">
            <w:pPr>
              <w:spacing w:line="360" w:lineRule="auto"/>
              <w:jc w:val="center"/>
              <w:rPr>
                <w:color w:val="auto"/>
                <w:szCs w:val="21"/>
                <w:highlight w:val="none"/>
              </w:rPr>
            </w:pPr>
          </w:p>
        </w:tc>
        <w:tc>
          <w:tcPr>
            <w:tcW w:w="2321" w:type="dxa"/>
            <w:noWrap w:val="0"/>
            <w:vAlign w:val="center"/>
          </w:tcPr>
          <w:p w14:paraId="0893FAAD">
            <w:pPr>
              <w:spacing w:line="360" w:lineRule="auto"/>
              <w:jc w:val="center"/>
              <w:rPr>
                <w:b/>
                <w:bCs/>
                <w:color w:val="auto"/>
                <w:szCs w:val="21"/>
                <w:highlight w:val="none"/>
              </w:rPr>
            </w:pPr>
            <w:r>
              <w:rPr>
                <w:b/>
                <w:bCs/>
                <w:color w:val="auto"/>
                <w:szCs w:val="21"/>
                <w:highlight w:val="none"/>
              </w:rPr>
              <w:t>技术文件组成</w:t>
            </w:r>
          </w:p>
        </w:tc>
        <w:tc>
          <w:tcPr>
            <w:tcW w:w="7080" w:type="dxa"/>
            <w:noWrap w:val="0"/>
            <w:vAlign w:val="center"/>
          </w:tcPr>
          <w:p w14:paraId="2702FB25">
            <w:pPr>
              <w:spacing w:line="360" w:lineRule="auto"/>
              <w:rPr>
                <w:color w:val="auto"/>
                <w:szCs w:val="21"/>
                <w:highlight w:val="none"/>
              </w:rPr>
            </w:pPr>
            <w:r>
              <w:rPr>
                <w:color w:val="auto"/>
                <w:szCs w:val="21"/>
                <w:highlight w:val="none"/>
              </w:rPr>
              <w:t>1.</w:t>
            </w:r>
            <w:r>
              <w:rPr>
                <w:rFonts w:hint="eastAsia" w:ascii="宋体" w:hAnsi="宋体" w:cs="宋体"/>
                <w:color w:val="auto"/>
                <w:szCs w:val="21"/>
                <w:highlight w:val="none"/>
              </w:rPr>
              <w:t>技术</w:t>
            </w:r>
            <w:r>
              <w:rPr>
                <w:color w:val="auto"/>
                <w:szCs w:val="21"/>
                <w:highlight w:val="none"/>
              </w:rPr>
              <w:t>需求偏离表（格式后附）；（</w:t>
            </w:r>
            <w:r>
              <w:rPr>
                <w:b/>
                <w:color w:val="auto"/>
                <w:szCs w:val="21"/>
                <w:highlight w:val="none"/>
              </w:rPr>
              <w:t>必须提供，否则响应文件按无效响应处理</w:t>
            </w:r>
            <w:r>
              <w:rPr>
                <w:color w:val="auto"/>
                <w:szCs w:val="21"/>
                <w:highlight w:val="none"/>
              </w:rPr>
              <w:t>）</w:t>
            </w:r>
          </w:p>
          <w:p w14:paraId="3610416D">
            <w:pPr>
              <w:spacing w:line="360" w:lineRule="auto"/>
              <w:rPr>
                <w:color w:val="auto"/>
                <w:szCs w:val="21"/>
                <w:highlight w:val="none"/>
              </w:rPr>
            </w:pPr>
            <w:r>
              <w:rPr>
                <w:color w:val="auto"/>
                <w:szCs w:val="21"/>
                <w:highlight w:val="none"/>
              </w:rPr>
              <w:t>2.</w:t>
            </w:r>
            <w:r>
              <w:rPr>
                <w:rFonts w:hint="eastAsia"/>
                <w:color w:val="auto"/>
                <w:szCs w:val="21"/>
                <w:highlight w:val="none"/>
              </w:rPr>
              <w:t>施工组织设计</w:t>
            </w:r>
            <w:r>
              <w:rPr>
                <w:rFonts w:hint="eastAsia" w:ascii="宋体" w:hAnsi="宋体" w:cs="宋体"/>
                <w:color w:val="auto"/>
                <w:szCs w:val="21"/>
                <w:highlight w:val="none"/>
              </w:rPr>
              <w:t>（格式自拟）</w:t>
            </w:r>
            <w:r>
              <w:rPr>
                <w:color w:val="auto"/>
                <w:szCs w:val="21"/>
                <w:highlight w:val="none"/>
              </w:rPr>
              <w:t>；</w:t>
            </w:r>
          </w:p>
          <w:p w14:paraId="01274B21">
            <w:pPr>
              <w:spacing w:line="360" w:lineRule="auto"/>
              <w:rPr>
                <w:color w:val="auto"/>
                <w:szCs w:val="21"/>
                <w:highlight w:val="none"/>
              </w:rPr>
            </w:pPr>
            <w:r>
              <w:rPr>
                <w:color w:val="auto"/>
                <w:highlight w:val="none"/>
              </w:rPr>
              <w:t>3.</w:t>
            </w:r>
            <w:r>
              <w:rPr>
                <w:color w:val="auto"/>
                <w:szCs w:val="21"/>
                <w:highlight w:val="none"/>
              </w:rPr>
              <w:t xml:space="preserve">项目实施人员一览表（格式后附）； </w:t>
            </w:r>
          </w:p>
          <w:p w14:paraId="3B828DDC">
            <w:pPr>
              <w:spacing w:line="360" w:lineRule="auto"/>
              <w:rPr>
                <w:color w:val="auto"/>
                <w:szCs w:val="21"/>
                <w:highlight w:val="none"/>
              </w:rPr>
            </w:pPr>
            <w:r>
              <w:rPr>
                <w:rFonts w:hint="eastAsia"/>
                <w:color w:val="auto"/>
                <w:szCs w:val="21"/>
                <w:highlight w:val="none"/>
              </w:rPr>
              <w:t>4</w:t>
            </w:r>
            <w:r>
              <w:rPr>
                <w:color w:val="auto"/>
                <w:szCs w:val="21"/>
                <w:highlight w:val="none"/>
              </w:rPr>
              <w:t>.对应采购需求的服务需求提供的其他文件资料（格式自拟）；</w:t>
            </w:r>
          </w:p>
          <w:p w14:paraId="53336D9F">
            <w:pPr>
              <w:spacing w:line="360" w:lineRule="auto"/>
              <w:rPr>
                <w:color w:val="auto"/>
                <w:szCs w:val="21"/>
                <w:highlight w:val="none"/>
              </w:rPr>
            </w:pPr>
            <w:r>
              <w:rPr>
                <w:rFonts w:hint="eastAsia"/>
                <w:color w:val="auto"/>
                <w:szCs w:val="21"/>
                <w:highlight w:val="none"/>
              </w:rPr>
              <w:t>5</w:t>
            </w:r>
            <w:r>
              <w:rPr>
                <w:color w:val="auto"/>
                <w:szCs w:val="21"/>
                <w:highlight w:val="none"/>
              </w:rPr>
              <w:t>.供应商认为需要提供的其他有关资料（格式自拟）。</w:t>
            </w:r>
          </w:p>
          <w:p w14:paraId="2BF98DFB">
            <w:pPr>
              <w:spacing w:line="360" w:lineRule="auto"/>
              <w:rPr>
                <w:b/>
                <w:color w:val="auto"/>
                <w:szCs w:val="21"/>
                <w:highlight w:val="none"/>
              </w:rPr>
            </w:pPr>
            <w:r>
              <w:rPr>
                <w:b/>
                <w:color w:val="auto"/>
                <w:szCs w:val="21"/>
                <w:highlight w:val="none"/>
              </w:rPr>
              <w:t>注：以上标明</w:t>
            </w:r>
            <w:r>
              <w:rPr>
                <w:rFonts w:hint="eastAsia"/>
                <w:b/>
                <w:color w:val="auto"/>
                <w:szCs w:val="21"/>
                <w:highlight w:val="none"/>
                <w:lang w:eastAsia="zh-CN"/>
              </w:rPr>
              <w:t>“</w:t>
            </w:r>
            <w:r>
              <w:rPr>
                <w:b/>
                <w:color w:val="auto"/>
                <w:szCs w:val="21"/>
                <w:highlight w:val="none"/>
              </w:rPr>
              <w:t>必须提供</w:t>
            </w:r>
            <w:r>
              <w:rPr>
                <w:rFonts w:hint="eastAsia"/>
                <w:b/>
                <w:color w:val="auto"/>
                <w:szCs w:val="21"/>
                <w:highlight w:val="none"/>
                <w:lang w:eastAsia="zh-CN"/>
              </w:rPr>
              <w:t>”</w:t>
            </w:r>
            <w:r>
              <w:rPr>
                <w:b/>
                <w:color w:val="auto"/>
                <w:szCs w:val="21"/>
                <w:highlight w:val="none"/>
              </w:rPr>
              <w:t>的材料属于复印件的，必须加盖供应商公章，否则响应文件按无效响应处理。</w:t>
            </w:r>
          </w:p>
        </w:tc>
      </w:tr>
      <w:tr w14:paraId="35E03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E63A961">
            <w:pPr>
              <w:spacing w:line="360" w:lineRule="auto"/>
              <w:jc w:val="center"/>
              <w:rPr>
                <w:rFonts w:hint="eastAsia" w:eastAsia="宋体"/>
                <w:color w:val="auto"/>
                <w:szCs w:val="21"/>
                <w:highlight w:val="none"/>
                <w:lang w:val="en-US" w:eastAsia="zh-CN"/>
              </w:rPr>
            </w:pPr>
            <w:r>
              <w:rPr>
                <w:color w:val="auto"/>
                <w:szCs w:val="21"/>
                <w:highlight w:val="none"/>
              </w:rPr>
              <w:t>12.1.</w:t>
            </w:r>
            <w:r>
              <w:rPr>
                <w:rFonts w:hint="eastAsia"/>
                <w:color w:val="auto"/>
                <w:szCs w:val="21"/>
                <w:highlight w:val="none"/>
                <w:lang w:val="en-US" w:eastAsia="zh-CN"/>
              </w:rPr>
              <w:t>3</w:t>
            </w:r>
          </w:p>
        </w:tc>
        <w:tc>
          <w:tcPr>
            <w:tcW w:w="2321" w:type="dxa"/>
            <w:noWrap w:val="0"/>
            <w:vAlign w:val="center"/>
          </w:tcPr>
          <w:p w14:paraId="4394899A">
            <w:pPr>
              <w:spacing w:line="360" w:lineRule="auto"/>
              <w:jc w:val="center"/>
              <w:rPr>
                <w:color w:val="auto"/>
                <w:szCs w:val="21"/>
                <w:highlight w:val="none"/>
              </w:rPr>
            </w:pPr>
            <w:r>
              <w:rPr>
                <w:b/>
                <w:bCs/>
                <w:color w:val="auto"/>
                <w:szCs w:val="21"/>
                <w:highlight w:val="none"/>
              </w:rPr>
              <w:t>报价文件组成</w:t>
            </w:r>
          </w:p>
        </w:tc>
        <w:tc>
          <w:tcPr>
            <w:tcW w:w="7080" w:type="dxa"/>
            <w:noWrap w:val="0"/>
            <w:vAlign w:val="center"/>
          </w:tcPr>
          <w:p w14:paraId="09821C2A">
            <w:pPr>
              <w:spacing w:line="360" w:lineRule="auto"/>
              <w:jc w:val="left"/>
              <w:rPr>
                <w:color w:val="auto"/>
                <w:highlight w:val="none"/>
              </w:rPr>
            </w:pPr>
            <w:r>
              <w:rPr>
                <w:color w:val="auto"/>
                <w:highlight w:val="none"/>
              </w:rPr>
              <w:t>1.响应函（格式后附）；（</w:t>
            </w:r>
            <w:r>
              <w:rPr>
                <w:b/>
                <w:bCs/>
                <w:color w:val="auto"/>
                <w:highlight w:val="none"/>
              </w:rPr>
              <w:t>必须提供</w:t>
            </w:r>
            <w:r>
              <w:rPr>
                <w:rFonts w:hint="eastAsia"/>
                <w:b/>
                <w:bCs/>
                <w:color w:val="auto"/>
                <w:highlight w:val="none"/>
              </w:rPr>
              <w:t>并加盖</w:t>
            </w:r>
            <w:r>
              <w:rPr>
                <w:rFonts w:hint="eastAsia"/>
                <w:b/>
                <w:bCs/>
                <w:color w:val="auto"/>
                <w:highlight w:val="none"/>
                <w:lang w:eastAsia="zh-CN"/>
              </w:rPr>
              <w:t>供应商公章</w:t>
            </w:r>
            <w:r>
              <w:rPr>
                <w:b/>
                <w:bCs/>
                <w:color w:val="auto"/>
                <w:highlight w:val="none"/>
              </w:rPr>
              <w:t>，否则响应文件按无效响应处理</w:t>
            </w:r>
            <w:r>
              <w:rPr>
                <w:color w:val="auto"/>
                <w:highlight w:val="none"/>
              </w:rPr>
              <w:t>）</w:t>
            </w:r>
          </w:p>
          <w:p w14:paraId="360034F9">
            <w:pPr>
              <w:spacing w:line="360" w:lineRule="auto"/>
              <w:rPr>
                <w:color w:val="auto"/>
                <w:highlight w:val="none"/>
              </w:rPr>
            </w:pPr>
            <w:r>
              <w:rPr>
                <w:color w:val="auto"/>
                <w:highlight w:val="none"/>
              </w:rPr>
              <w:t>2.响应报价表（格式后附）；（</w:t>
            </w:r>
            <w:r>
              <w:rPr>
                <w:b/>
                <w:bCs/>
                <w:color w:val="auto"/>
                <w:highlight w:val="none"/>
              </w:rPr>
              <w:t>必须提供</w:t>
            </w:r>
            <w:r>
              <w:rPr>
                <w:rFonts w:hint="eastAsia"/>
                <w:b/>
                <w:bCs/>
                <w:color w:val="auto"/>
                <w:highlight w:val="none"/>
              </w:rPr>
              <w:t>并加盖</w:t>
            </w:r>
            <w:r>
              <w:rPr>
                <w:rFonts w:hint="eastAsia"/>
                <w:b/>
                <w:bCs/>
                <w:color w:val="auto"/>
                <w:highlight w:val="none"/>
                <w:lang w:eastAsia="zh-CN"/>
              </w:rPr>
              <w:t>供应商公章</w:t>
            </w:r>
            <w:r>
              <w:rPr>
                <w:b/>
                <w:bCs/>
                <w:color w:val="auto"/>
                <w:highlight w:val="none"/>
              </w:rPr>
              <w:t>，否则响应文件按无效响应处理</w:t>
            </w:r>
            <w:r>
              <w:rPr>
                <w:color w:val="auto"/>
                <w:highlight w:val="none"/>
              </w:rPr>
              <w:t>）</w:t>
            </w:r>
          </w:p>
          <w:p w14:paraId="04FC8570">
            <w:pPr>
              <w:spacing w:line="360" w:lineRule="auto"/>
              <w:rPr>
                <w:color w:val="auto"/>
                <w:highlight w:val="none"/>
              </w:rPr>
            </w:pPr>
            <w:r>
              <w:rPr>
                <w:color w:val="auto"/>
                <w:highlight w:val="none"/>
              </w:rPr>
              <w:t>3.已标价工程量清单；（</w:t>
            </w:r>
            <w:r>
              <w:rPr>
                <w:b/>
                <w:bCs/>
                <w:color w:val="auto"/>
                <w:highlight w:val="none"/>
              </w:rPr>
              <w:t>必须提供</w:t>
            </w:r>
            <w:r>
              <w:rPr>
                <w:rFonts w:hint="eastAsia"/>
                <w:b/>
                <w:bCs/>
                <w:color w:val="auto"/>
                <w:highlight w:val="none"/>
              </w:rPr>
              <w:t>并加盖</w:t>
            </w:r>
            <w:r>
              <w:rPr>
                <w:rFonts w:hint="eastAsia"/>
                <w:b/>
                <w:bCs/>
                <w:color w:val="auto"/>
                <w:highlight w:val="none"/>
                <w:lang w:eastAsia="zh-CN"/>
              </w:rPr>
              <w:t>供应商公章</w:t>
            </w:r>
            <w:r>
              <w:rPr>
                <w:b/>
                <w:bCs/>
                <w:color w:val="auto"/>
                <w:highlight w:val="none"/>
              </w:rPr>
              <w:t>，否则响应文件按无效响应处理</w:t>
            </w:r>
            <w:r>
              <w:rPr>
                <w:color w:val="auto"/>
                <w:highlight w:val="none"/>
              </w:rPr>
              <w:t>）</w:t>
            </w:r>
          </w:p>
        </w:tc>
      </w:tr>
      <w:tr w14:paraId="4B7D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CE83A8E">
            <w:pPr>
              <w:spacing w:line="360" w:lineRule="auto"/>
              <w:jc w:val="center"/>
              <w:rPr>
                <w:color w:val="auto"/>
                <w:szCs w:val="21"/>
                <w:highlight w:val="none"/>
              </w:rPr>
            </w:pPr>
            <w:r>
              <w:rPr>
                <w:color w:val="auto"/>
                <w:szCs w:val="21"/>
                <w:highlight w:val="none"/>
              </w:rPr>
              <w:t>12.2</w:t>
            </w:r>
          </w:p>
        </w:tc>
        <w:tc>
          <w:tcPr>
            <w:tcW w:w="2321" w:type="dxa"/>
            <w:noWrap w:val="0"/>
            <w:vAlign w:val="center"/>
          </w:tcPr>
          <w:p w14:paraId="45D686C2">
            <w:pPr>
              <w:spacing w:line="360" w:lineRule="auto"/>
              <w:jc w:val="center"/>
              <w:rPr>
                <w:color w:val="auto"/>
                <w:szCs w:val="21"/>
                <w:highlight w:val="none"/>
              </w:rPr>
            </w:pPr>
            <w:r>
              <w:rPr>
                <w:color w:val="auto"/>
                <w:szCs w:val="21"/>
                <w:highlight w:val="none"/>
              </w:rPr>
              <w:t>响应文件电子版要求</w:t>
            </w:r>
          </w:p>
        </w:tc>
        <w:tc>
          <w:tcPr>
            <w:tcW w:w="7080" w:type="dxa"/>
            <w:noWrap w:val="0"/>
            <w:vAlign w:val="center"/>
          </w:tcPr>
          <w:p w14:paraId="691F3C7F">
            <w:pPr>
              <w:snapToGrid w:val="0"/>
              <w:spacing w:line="360" w:lineRule="auto"/>
              <w:jc w:val="left"/>
              <w:rPr>
                <w:color w:val="auto"/>
                <w:szCs w:val="21"/>
                <w:highlight w:val="none"/>
              </w:rPr>
            </w:pPr>
            <w:r>
              <w:rPr>
                <w:color w:val="auto"/>
                <w:szCs w:val="21"/>
                <w:highlight w:val="none"/>
              </w:rPr>
              <w:t>1.响应文件电子版要求：按照本采购文件</w:t>
            </w:r>
            <w:r>
              <w:rPr>
                <w:rFonts w:hint="eastAsia"/>
                <w:color w:val="auto"/>
                <w:szCs w:val="21"/>
                <w:highlight w:val="none"/>
                <w:lang w:eastAsia="zh-CN"/>
              </w:rPr>
              <w:t>“</w:t>
            </w:r>
            <w:r>
              <w:rPr>
                <w:color w:val="auto"/>
                <w:szCs w:val="21"/>
                <w:highlight w:val="none"/>
              </w:rPr>
              <w:t>第五章 响应文件格式</w:t>
            </w:r>
            <w:r>
              <w:rPr>
                <w:rFonts w:hint="eastAsia"/>
                <w:color w:val="auto"/>
                <w:szCs w:val="21"/>
                <w:highlight w:val="none"/>
                <w:lang w:eastAsia="zh-CN"/>
              </w:rPr>
              <w:t>”</w:t>
            </w:r>
            <w:r>
              <w:rPr>
                <w:color w:val="auto"/>
                <w:szCs w:val="21"/>
                <w:highlight w:val="none"/>
              </w:rPr>
              <w:t>编写（第五章未附格式的，由供应商自行拟定），并在规定加盖公章处加盖公章，</w:t>
            </w:r>
            <w:r>
              <w:rPr>
                <w:b/>
                <w:color w:val="auto"/>
                <w:szCs w:val="21"/>
                <w:highlight w:val="none"/>
              </w:rPr>
              <w:t>否则响应文件按无效响应处理</w:t>
            </w:r>
            <w:r>
              <w:rPr>
                <w:color w:val="auto"/>
                <w:szCs w:val="21"/>
                <w:highlight w:val="none"/>
              </w:rPr>
              <w:t>。</w:t>
            </w:r>
          </w:p>
          <w:p w14:paraId="49E26014">
            <w:pPr>
              <w:snapToGrid w:val="0"/>
              <w:spacing w:line="360" w:lineRule="auto"/>
              <w:jc w:val="left"/>
              <w:rPr>
                <w:color w:val="auto"/>
                <w:szCs w:val="21"/>
                <w:highlight w:val="none"/>
              </w:rPr>
            </w:pPr>
            <w:r>
              <w:rPr>
                <w:color w:val="auto"/>
                <w:szCs w:val="21"/>
                <w:highlight w:val="none"/>
              </w:rPr>
              <w:t>2.</w:t>
            </w:r>
            <w:r>
              <w:rPr>
                <w:rFonts w:hint="eastAsia" w:ascii="宋体" w:hAnsi="宋体" w:eastAsia="宋体" w:cs="宋体"/>
                <w:color w:val="auto"/>
                <w:szCs w:val="21"/>
                <w:highlight w:val="none"/>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投送</w:t>
            </w:r>
            <w:r>
              <w:rPr>
                <w:color w:val="auto"/>
                <w:szCs w:val="21"/>
                <w:highlight w:val="none"/>
              </w:rPr>
              <w:t>。</w:t>
            </w:r>
          </w:p>
        </w:tc>
      </w:tr>
      <w:tr w14:paraId="5ADC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1585DAD">
            <w:pPr>
              <w:spacing w:line="360" w:lineRule="auto"/>
              <w:jc w:val="center"/>
              <w:rPr>
                <w:color w:val="auto"/>
                <w:szCs w:val="21"/>
                <w:highlight w:val="none"/>
              </w:rPr>
            </w:pPr>
            <w:r>
              <w:rPr>
                <w:rFonts w:hint="eastAsia"/>
                <w:color w:val="auto"/>
                <w:szCs w:val="21"/>
                <w:highlight w:val="none"/>
              </w:rPr>
              <w:t>15.2</w:t>
            </w:r>
          </w:p>
        </w:tc>
        <w:tc>
          <w:tcPr>
            <w:tcW w:w="2321" w:type="dxa"/>
            <w:noWrap w:val="0"/>
            <w:vAlign w:val="center"/>
          </w:tcPr>
          <w:p w14:paraId="0E11A1E2">
            <w:pPr>
              <w:spacing w:line="360" w:lineRule="auto"/>
              <w:jc w:val="center"/>
              <w:rPr>
                <w:color w:val="auto"/>
                <w:szCs w:val="21"/>
                <w:highlight w:val="none"/>
              </w:rPr>
            </w:pPr>
            <w:r>
              <w:rPr>
                <w:color w:val="auto"/>
                <w:szCs w:val="21"/>
                <w:highlight w:val="none"/>
              </w:rPr>
              <w:t>响应报价的价格构成</w:t>
            </w:r>
          </w:p>
        </w:tc>
        <w:tc>
          <w:tcPr>
            <w:tcW w:w="7080" w:type="dxa"/>
            <w:noWrap w:val="0"/>
            <w:vAlign w:val="center"/>
          </w:tcPr>
          <w:p w14:paraId="42075465">
            <w:pPr>
              <w:snapToGrid w:val="0"/>
              <w:spacing w:line="360" w:lineRule="auto"/>
              <w:jc w:val="left"/>
              <w:rPr>
                <w:rFonts w:hint="eastAsia"/>
                <w:color w:val="auto"/>
                <w:szCs w:val="21"/>
                <w:highlight w:val="none"/>
              </w:rPr>
            </w:pPr>
            <w:r>
              <w:rPr>
                <w:color w:val="auto"/>
                <w:highlight w:val="none"/>
              </w:rPr>
              <w:t>响应报价必须包含</w:t>
            </w:r>
            <w:r>
              <w:rPr>
                <w:rFonts w:hint="eastAsia"/>
                <w:color w:val="auto"/>
                <w:highlight w:val="none"/>
              </w:rPr>
              <w:t>完成该工程项目的成本、利润、增值税、技术措施费、设备费、风险费、政策性文件规</w:t>
            </w:r>
            <w:r>
              <w:rPr>
                <w:rFonts w:hint="eastAsia"/>
                <w:color w:val="auto"/>
                <w:szCs w:val="21"/>
                <w:highlight w:val="none"/>
              </w:rPr>
              <w:t>定费用等所有费用。</w:t>
            </w:r>
          </w:p>
          <w:p w14:paraId="09F7FB3E">
            <w:pPr>
              <w:snapToGrid w:val="0"/>
              <w:spacing w:line="360" w:lineRule="auto"/>
              <w:jc w:val="left"/>
              <w:rPr>
                <w:b/>
                <w:bCs/>
                <w:color w:val="auto"/>
                <w:szCs w:val="21"/>
                <w:highlight w:val="none"/>
              </w:rPr>
            </w:pPr>
            <w:r>
              <w:rPr>
                <w:rFonts w:hint="eastAsia"/>
                <w:b/>
                <w:bCs/>
                <w:color w:val="auto"/>
                <w:szCs w:val="21"/>
                <w:highlight w:val="none"/>
                <w:lang w:eastAsia="zh-CN"/>
              </w:rPr>
              <w:t>☑</w:t>
            </w:r>
            <w:r>
              <w:rPr>
                <w:b/>
                <w:bCs/>
                <w:color w:val="auto"/>
                <w:szCs w:val="21"/>
                <w:highlight w:val="none"/>
              </w:rPr>
              <w:t>响应报价包含验收费用</w:t>
            </w:r>
          </w:p>
          <w:p w14:paraId="5CC095F7">
            <w:pPr>
              <w:snapToGrid w:val="0"/>
              <w:spacing w:line="360" w:lineRule="auto"/>
              <w:jc w:val="left"/>
              <w:rPr>
                <w:color w:val="auto"/>
                <w:highlight w:val="none"/>
              </w:rPr>
            </w:pPr>
            <w:r>
              <w:rPr>
                <w:rFonts w:hint="eastAsia"/>
                <w:b/>
                <w:bCs/>
                <w:color w:val="auto"/>
                <w:szCs w:val="21"/>
                <w:highlight w:val="none"/>
                <w:lang w:eastAsia="zh-CN"/>
              </w:rPr>
              <w:t>□</w:t>
            </w:r>
            <w:r>
              <w:rPr>
                <w:b/>
                <w:bCs/>
                <w:color w:val="auto"/>
                <w:szCs w:val="21"/>
                <w:highlight w:val="none"/>
              </w:rPr>
              <w:t>响应报价不包含验收费用</w:t>
            </w:r>
          </w:p>
        </w:tc>
      </w:tr>
      <w:tr w14:paraId="10DE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106B48E">
            <w:pPr>
              <w:spacing w:line="360" w:lineRule="auto"/>
              <w:jc w:val="center"/>
              <w:rPr>
                <w:color w:val="auto"/>
                <w:szCs w:val="21"/>
                <w:highlight w:val="none"/>
              </w:rPr>
            </w:pPr>
            <w:r>
              <w:rPr>
                <w:color w:val="auto"/>
                <w:szCs w:val="21"/>
                <w:highlight w:val="none"/>
              </w:rPr>
              <w:t>15.</w:t>
            </w:r>
            <w:r>
              <w:rPr>
                <w:rFonts w:hint="eastAsia"/>
                <w:color w:val="auto"/>
                <w:szCs w:val="21"/>
                <w:highlight w:val="none"/>
              </w:rPr>
              <w:t>3.1</w:t>
            </w:r>
          </w:p>
        </w:tc>
        <w:tc>
          <w:tcPr>
            <w:tcW w:w="2321" w:type="dxa"/>
            <w:noWrap w:val="0"/>
            <w:vAlign w:val="center"/>
          </w:tcPr>
          <w:p w14:paraId="267F0377">
            <w:pPr>
              <w:spacing w:line="360" w:lineRule="auto"/>
              <w:jc w:val="center"/>
              <w:rPr>
                <w:color w:val="auto"/>
                <w:szCs w:val="21"/>
                <w:highlight w:val="none"/>
              </w:rPr>
            </w:pPr>
            <w:r>
              <w:rPr>
                <w:rFonts w:hint="eastAsia"/>
                <w:color w:val="auto"/>
                <w:szCs w:val="21"/>
                <w:highlight w:val="none"/>
              </w:rPr>
              <w:t>供应商的</w:t>
            </w:r>
            <w:r>
              <w:rPr>
                <w:color w:val="auto"/>
                <w:szCs w:val="21"/>
                <w:highlight w:val="none"/>
              </w:rPr>
              <w:t>响应报价要求</w:t>
            </w:r>
          </w:p>
        </w:tc>
        <w:tc>
          <w:tcPr>
            <w:tcW w:w="7080" w:type="dxa"/>
            <w:noWrap w:val="0"/>
            <w:vAlign w:val="center"/>
          </w:tcPr>
          <w:p w14:paraId="6A48957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1.本项目增值税计税方法：☑一般计税法</w:t>
            </w:r>
            <w:r>
              <w:rPr>
                <w:color w:val="auto"/>
                <w:highlight w:val="none"/>
              </w:rPr>
              <w:t xml:space="preserve">         </w:t>
            </w:r>
            <w:r>
              <w:rPr>
                <w:rFonts w:hint="eastAsia"/>
                <w:color w:val="auto"/>
                <w:highlight w:val="none"/>
              </w:rPr>
              <w:t>□简易计税法</w:t>
            </w:r>
          </w:p>
          <w:p w14:paraId="70B4C2D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highlight w:val="none"/>
              </w:rPr>
            </w:pPr>
            <w:r>
              <w:rPr>
                <w:rFonts w:hint="eastAsia"/>
                <w:color w:val="auto"/>
                <w:highlight w:val="none"/>
              </w:rPr>
              <w:t>【备注：根据《关于全面推开营业税改征增值税试点的通知》（财税〔2016〕36号）、《关于建筑服务等营改增试点政策的通知》（财税〔2017〕58号）文件规定选择】</w:t>
            </w:r>
          </w:p>
          <w:p w14:paraId="4B97F13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2.本项目采用工程量清单报价方式，供应商应依据竞争</w:t>
            </w:r>
            <w:r>
              <w:rPr>
                <w:rFonts w:hint="eastAsia" w:ascii="宋体" w:hAnsi="宋体" w:cs="宋体"/>
                <w:color w:val="auto"/>
                <w:highlight w:val="none"/>
              </w:rPr>
              <w:t>性磋商文件、采购人提供的工程量清单（以下简称“工程量清单”）以及</w:t>
            </w:r>
            <w:r>
              <w:rPr>
                <w:rFonts w:hint="eastAsia"/>
                <w:color w:val="auto"/>
                <w:highlight w:val="none"/>
              </w:rPr>
              <w:t>《建设工程工程量清单计价规范（GB5050-2013）》及其广西实施细则</w:t>
            </w:r>
            <w:r>
              <w:rPr>
                <w:rFonts w:hint="eastAsia" w:ascii="宋体" w:hAnsi="宋体" w:cs="宋体"/>
                <w:color w:val="auto"/>
                <w:highlight w:val="none"/>
              </w:rPr>
              <w:t>、</w:t>
            </w:r>
            <w:r>
              <w:rPr>
                <w:rFonts w:hint="eastAsia"/>
                <w:color w:val="auto"/>
                <w:highlight w:val="none"/>
              </w:rPr>
              <w:t>《建设工程工程量清单计算规范（</w:t>
            </w:r>
            <w:r>
              <w:rPr>
                <w:color w:val="auto"/>
                <w:highlight w:val="none"/>
              </w:rPr>
              <w:t>GB5854~50862-2013）》及其广西实施细则（修订本）自主报价，自主报价不得违反计价规范强制性条文规定。供应商不得采用总价让利或以百分比让利等形式进行报价，任何优惠（或降价、让利）均应反映在相应</w:t>
            </w:r>
            <w:r>
              <w:rPr>
                <w:color w:val="auto"/>
                <w:szCs w:val="21"/>
                <w:highlight w:val="none"/>
              </w:rPr>
              <w:t>清单项目的综合单价中。供应商在首次响应文件提交截止时间前修改响应报价表中磋商</w:t>
            </w:r>
            <w:r>
              <w:rPr>
                <w:color w:val="auto"/>
                <w:highlight w:val="none"/>
              </w:rPr>
              <w:t>总报价的，应同时修改已标价工程量清单中的相应报价。</w:t>
            </w:r>
          </w:p>
          <w:p w14:paraId="665B068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3</w:t>
            </w:r>
            <w:r>
              <w:rPr>
                <w:color w:val="auto"/>
                <w:highlight w:val="none"/>
              </w:rPr>
              <w:t>.</w:t>
            </w:r>
            <w:r>
              <w:rPr>
                <w:b/>
                <w:bCs/>
                <w:color w:val="auto"/>
                <w:highlight w:val="none"/>
              </w:rPr>
              <w:t>供应商应按工程量清单填报价格。供应商已标价工程量清单中的项目编码（12位）、计量单位、工程量必须与工程量清单一致，供应商不得对工程量清单项目进行增减调整，否则响应文件按无效响应处理</w:t>
            </w:r>
            <w:r>
              <w:rPr>
                <w:rFonts w:hint="eastAsia"/>
                <w:b/>
                <w:bCs/>
                <w:color w:val="auto"/>
                <w:highlight w:val="none"/>
              </w:rPr>
              <w:t>。</w:t>
            </w:r>
          </w:p>
          <w:p w14:paraId="49600A5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4.</w:t>
            </w:r>
            <w:r>
              <w:rPr>
                <w:color w:val="auto"/>
                <w:highlight w:val="none"/>
              </w:rPr>
              <w:t>供应商应</w:t>
            </w:r>
            <w:r>
              <w:rPr>
                <w:rFonts w:hint="eastAsia"/>
                <w:color w:val="auto"/>
                <w:highlight w:val="none"/>
              </w:rPr>
              <w:t>按</w:t>
            </w:r>
            <w:r>
              <w:rPr>
                <w:color w:val="auto"/>
                <w:highlight w:val="none"/>
              </w:rPr>
              <w:t>工程量清单中列出的</w:t>
            </w:r>
            <w:r>
              <w:rPr>
                <w:rFonts w:hint="eastAsia"/>
                <w:color w:val="auto"/>
                <w:highlight w:val="none"/>
              </w:rPr>
              <w:t>分部分项</w:t>
            </w:r>
            <w:r>
              <w:rPr>
                <w:color w:val="auto"/>
                <w:highlight w:val="none"/>
              </w:rPr>
              <w:t>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40D559C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5</w:t>
            </w:r>
            <w:r>
              <w:rPr>
                <w:color w:val="auto"/>
                <w:highlight w:val="none"/>
              </w:rPr>
              <w:t>.综合单价中应包含竞争性磋商文件中划分的应由供应商承担的风险范围及其费用。</w:t>
            </w:r>
          </w:p>
          <w:p w14:paraId="610CA1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color w:val="auto"/>
                <w:szCs w:val="21"/>
                <w:highlight w:val="none"/>
              </w:rPr>
            </w:pPr>
            <w:r>
              <w:rPr>
                <w:rFonts w:hint="eastAsia"/>
                <w:color w:val="auto"/>
                <w:szCs w:val="21"/>
                <w:highlight w:val="none"/>
              </w:rPr>
              <w:t>6</w:t>
            </w:r>
            <w:r>
              <w:rPr>
                <w:color w:val="auto"/>
                <w:szCs w:val="21"/>
                <w:highlight w:val="none"/>
              </w:rPr>
              <w:t>.</w:t>
            </w:r>
            <w:r>
              <w:rPr>
                <w:color w:val="auto"/>
                <w:highlight w:val="none"/>
              </w:rPr>
              <w:t>分部分项工程项目和单价措施项</w:t>
            </w:r>
            <w:r>
              <w:rPr>
                <w:rFonts w:hint="eastAsia" w:ascii="宋体" w:hAnsi="宋体" w:cs="宋体"/>
                <w:color w:val="auto"/>
                <w:highlight w:val="none"/>
              </w:rPr>
              <w:t>目，应根据竞争性磋商文件和工程量清单项目中的特征描述确定综合单价计算。</w:t>
            </w:r>
          </w:p>
          <w:p w14:paraId="754AFBC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szCs w:val="21"/>
                <w:highlight w:val="none"/>
              </w:rPr>
            </w:pPr>
            <w:r>
              <w:rPr>
                <w:rFonts w:hint="eastAsia"/>
                <w:color w:val="auto"/>
                <w:szCs w:val="21"/>
                <w:highlight w:val="none"/>
              </w:rPr>
              <w:t>7.</w:t>
            </w:r>
            <w:r>
              <w:rPr>
                <w:rFonts w:hint="eastAsia" w:ascii="宋体" w:hAnsi="宋体" w:cs="宋体"/>
                <w:color w:val="auto"/>
                <w:highlight w:val="none"/>
              </w:rPr>
              <w:t>总价措施项目的金额应根据竞争性磋商文件及磋商时拟定的施工组织设计或施工方案，按计价规范的规定自主确定。但安全文明施工费按国家、省级或</w:t>
            </w:r>
            <w:r>
              <w:rPr>
                <w:rFonts w:hint="eastAsia"/>
                <w:color w:val="auto"/>
                <w:szCs w:val="21"/>
                <w:highlight w:val="none"/>
              </w:rPr>
              <w:t>行业建设主管部门的有关规定执行，作为不可竞争费用单列。</w:t>
            </w:r>
          </w:p>
          <w:p w14:paraId="59B72D7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szCs w:val="21"/>
                <w:highlight w:val="none"/>
              </w:rPr>
            </w:pPr>
            <w:r>
              <w:rPr>
                <w:rFonts w:hint="eastAsia"/>
                <w:color w:val="auto"/>
                <w:szCs w:val="21"/>
                <w:highlight w:val="none"/>
              </w:rPr>
              <w:t>8.其他项目费应按下列规定报价：</w:t>
            </w:r>
          </w:p>
          <w:p w14:paraId="6902048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szCs w:val="21"/>
                <w:highlight w:val="none"/>
              </w:rPr>
            </w:pPr>
            <w:r>
              <w:rPr>
                <w:rFonts w:hint="eastAsia"/>
                <w:color w:val="auto"/>
                <w:szCs w:val="21"/>
                <w:highlight w:val="none"/>
              </w:rPr>
              <w:t>（1）</w:t>
            </w:r>
            <w:r>
              <w:rPr>
                <w:rFonts w:hint="eastAsia"/>
                <w:b/>
                <w:bCs/>
                <w:color w:val="auto"/>
                <w:szCs w:val="21"/>
                <w:highlight w:val="none"/>
              </w:rPr>
              <w:t>暂列金额应按工程量清单中列出的金额填写</w:t>
            </w:r>
            <w:r>
              <w:rPr>
                <w:rFonts w:hint="eastAsia"/>
                <w:b/>
                <w:bCs/>
                <w:color w:val="auto"/>
                <w:szCs w:val="21"/>
                <w:highlight w:val="none"/>
                <w:lang w:eastAsia="zh-CN"/>
              </w:rPr>
              <w:t>，</w:t>
            </w:r>
            <w:r>
              <w:rPr>
                <w:b/>
                <w:bCs/>
                <w:color w:val="auto"/>
                <w:highlight w:val="none"/>
              </w:rPr>
              <w:t>否则响应文件按无效响应处理</w:t>
            </w:r>
            <w:r>
              <w:rPr>
                <w:rFonts w:hint="eastAsia"/>
                <w:color w:val="auto"/>
                <w:szCs w:val="21"/>
                <w:highlight w:val="none"/>
              </w:rPr>
              <w:t>；</w:t>
            </w:r>
          </w:p>
          <w:p w14:paraId="70C9BEC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szCs w:val="21"/>
                <w:highlight w:val="none"/>
              </w:rPr>
            </w:pPr>
            <w:r>
              <w:rPr>
                <w:rFonts w:hint="eastAsia"/>
                <w:color w:val="auto"/>
                <w:szCs w:val="21"/>
                <w:highlight w:val="none"/>
              </w:rPr>
              <w:t>（2）材料、工程设备暂估价应按工程量清单中列出的单价计入综合单价；</w:t>
            </w:r>
          </w:p>
          <w:p w14:paraId="390CC57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szCs w:val="21"/>
                <w:highlight w:val="none"/>
              </w:rPr>
            </w:pPr>
            <w:r>
              <w:rPr>
                <w:rFonts w:hint="eastAsia"/>
                <w:color w:val="auto"/>
                <w:szCs w:val="21"/>
                <w:highlight w:val="none"/>
              </w:rPr>
              <w:t>（3）</w:t>
            </w:r>
            <w:r>
              <w:rPr>
                <w:rFonts w:hint="eastAsia"/>
                <w:b/>
                <w:bCs/>
                <w:color w:val="auto"/>
                <w:szCs w:val="21"/>
                <w:highlight w:val="none"/>
              </w:rPr>
              <w:t>专业工程暂估价应按工程量清单中列出的金额填写</w:t>
            </w:r>
            <w:r>
              <w:rPr>
                <w:rFonts w:hint="eastAsia"/>
                <w:b/>
                <w:bCs/>
                <w:color w:val="auto"/>
                <w:szCs w:val="21"/>
                <w:highlight w:val="none"/>
                <w:lang w:eastAsia="zh-CN"/>
              </w:rPr>
              <w:t>，</w:t>
            </w:r>
            <w:r>
              <w:rPr>
                <w:rFonts w:hint="eastAsia" w:cs="宋体"/>
                <w:b/>
                <w:bCs/>
                <w:color w:val="auto"/>
                <w:highlight w:val="none"/>
                <w:lang w:eastAsia="zh-CN"/>
              </w:rPr>
              <w:t>安全生产责任保险费暂估价</w:t>
            </w:r>
            <w:r>
              <w:rPr>
                <w:rFonts w:hint="eastAsia" w:cs="宋体"/>
                <w:b/>
                <w:bCs/>
                <w:color w:val="auto"/>
                <w:highlight w:val="none"/>
              </w:rPr>
              <w:t>应按工程量清单中列出的金额填写</w:t>
            </w:r>
            <w:r>
              <w:rPr>
                <w:rFonts w:hint="eastAsia" w:cs="宋体"/>
                <w:b/>
                <w:bCs/>
                <w:color w:val="auto"/>
                <w:highlight w:val="none"/>
                <w:lang w:eastAsia="zh-CN"/>
              </w:rPr>
              <w:t>，</w:t>
            </w:r>
            <w:r>
              <w:rPr>
                <w:b/>
                <w:bCs/>
                <w:color w:val="auto"/>
                <w:highlight w:val="none"/>
              </w:rPr>
              <w:t>否则响应文件按无效响应处理</w:t>
            </w:r>
            <w:r>
              <w:rPr>
                <w:rFonts w:hint="eastAsia"/>
                <w:color w:val="auto"/>
                <w:szCs w:val="21"/>
                <w:highlight w:val="none"/>
              </w:rPr>
              <w:t>；</w:t>
            </w:r>
          </w:p>
          <w:p w14:paraId="307F15D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szCs w:val="21"/>
                <w:highlight w:val="none"/>
              </w:rPr>
            </w:pPr>
            <w:r>
              <w:rPr>
                <w:rFonts w:hint="eastAsia"/>
                <w:color w:val="auto"/>
                <w:szCs w:val="21"/>
                <w:highlight w:val="none"/>
              </w:rPr>
              <w:t>（4）计日工应按工程量清单中列出的项目和估算数量，自主确定综合单价并计算计日工总额；计日工单价均不含规费和税金；</w:t>
            </w:r>
          </w:p>
          <w:p w14:paraId="105E1E7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szCs w:val="21"/>
                <w:highlight w:val="none"/>
              </w:rPr>
            </w:pPr>
            <w:r>
              <w:rPr>
                <w:rFonts w:hint="eastAsia"/>
                <w:color w:val="auto"/>
                <w:szCs w:val="21"/>
                <w:highlight w:val="none"/>
              </w:rPr>
              <w:t>（5）总承包服务费应根据工程量清单中列出的内容和供应材料、设备情况，按照采购人提出的协调、配合与服务要求和施工现场管理需要自主确定。</w:t>
            </w:r>
          </w:p>
          <w:p w14:paraId="0057F414">
            <w:pPr>
              <w:pStyle w:val="37"/>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spacing w:val="0"/>
                <w:kern w:val="2"/>
                <w:sz w:val="21"/>
                <w:szCs w:val="21"/>
                <w:highlight w:val="none"/>
                <w:lang w:val="en-US" w:eastAsia="zh-CN" w:bidi="ar-SA"/>
              </w:rPr>
            </w:pPr>
            <w:r>
              <w:rPr>
                <w:rFonts w:hint="eastAsia" w:ascii="Times New Roman" w:hAnsi="Times New Roman" w:eastAsia="宋体" w:cs="Times New Roman"/>
                <w:b/>
                <w:bCs/>
                <w:color w:val="auto"/>
                <w:spacing w:val="0"/>
                <w:kern w:val="2"/>
                <w:sz w:val="21"/>
                <w:szCs w:val="21"/>
                <w:highlight w:val="none"/>
                <w:lang w:val="en-US" w:eastAsia="zh-CN" w:bidi="ar-SA"/>
              </w:rPr>
              <w:t>（6）安全文明施工费和规费、增值税按我区费用定额及造价管理相关文件规定报价（园林绿化及仿古建筑工程除外），否则响应文件按无效响应处理</w:t>
            </w:r>
            <w:r>
              <w:rPr>
                <w:rFonts w:hint="eastAsia" w:ascii="Times New Roman" w:hAnsi="Times New Roman" w:cs="Times New Roman"/>
                <w:b/>
                <w:bCs/>
                <w:color w:val="auto"/>
                <w:spacing w:val="0"/>
                <w:kern w:val="2"/>
                <w:sz w:val="21"/>
                <w:szCs w:val="21"/>
                <w:highlight w:val="none"/>
                <w:lang w:val="en-US" w:eastAsia="zh-CN" w:bidi="ar-SA"/>
              </w:rPr>
              <w:t>。</w:t>
            </w:r>
          </w:p>
          <w:p w14:paraId="650D50F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9.规费和增值税应按规定确定，增值税采用一般计税法，作为不可竞争费用。</w:t>
            </w:r>
          </w:p>
          <w:p w14:paraId="66BAA7B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ascii="Times New Roman" w:hAnsi="Times New Roman" w:eastAsia="宋体" w:cs="Times New Roman"/>
                <w:bCs w:val="0"/>
                <w:color w:val="auto"/>
                <w:spacing w:val="0"/>
                <w:kern w:val="2"/>
                <w:sz w:val="21"/>
                <w:szCs w:val="21"/>
                <w:highlight w:val="none"/>
                <w:lang w:val="en-US" w:eastAsia="zh-CN" w:bidi="ar-SA"/>
              </w:rPr>
              <w:t>10.工程量清单与计价表中列明的所有需要填写的单价和合价的项目，供应</w:t>
            </w:r>
            <w:r>
              <w:rPr>
                <w:rFonts w:hint="eastAsia" w:ascii="宋体" w:hAnsi="宋体" w:cs="宋体"/>
                <w:color w:val="auto"/>
                <w:highlight w:val="none"/>
              </w:rPr>
              <w:t>商均应填写且只允许有一个报价。未填写单价和合价的项目，视为此项费用已包含在已标价工程量清单中其他项目的单价和合价之中。竣工结算时，此项</w:t>
            </w:r>
            <w:r>
              <w:rPr>
                <w:color w:val="auto"/>
                <w:highlight w:val="none"/>
              </w:rPr>
              <w:t>目不得重新组价予以调整。</w:t>
            </w:r>
          </w:p>
          <w:p w14:paraId="048CEDE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11</w:t>
            </w:r>
            <w:r>
              <w:rPr>
                <w:color w:val="auto"/>
                <w:highlight w:val="none"/>
              </w:rPr>
              <w:t>.磋商总报价应当与分部分项工程费、措施项目费、其他项目费和规费、增值税的合计金额一致。</w:t>
            </w:r>
          </w:p>
          <w:p w14:paraId="7AEED35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rFonts w:hint="eastAsia"/>
                <w:color w:val="auto"/>
                <w:highlight w:val="none"/>
              </w:rPr>
              <w:t>12</w:t>
            </w:r>
            <w:r>
              <w:rPr>
                <w:color w:val="auto"/>
                <w:highlight w:val="none"/>
              </w:rPr>
              <w:t>.供应商应按《允许调整主要材料和工程设备一览表》的内容填报，不得擅自调整材料和设备名称型号</w:t>
            </w:r>
            <w:r>
              <w:rPr>
                <w:rFonts w:hint="eastAsia"/>
                <w:color w:val="auto"/>
                <w:highlight w:val="none"/>
              </w:rPr>
              <w:t>+</w:t>
            </w:r>
            <w:r>
              <w:rPr>
                <w:color w:val="auto"/>
                <w:highlight w:val="none"/>
              </w:rPr>
              <w:t>规格、单位、风险系数、基准单价。</w:t>
            </w:r>
          </w:p>
          <w:p w14:paraId="07A0D76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color w:val="auto"/>
                <w:highlight w:val="none"/>
              </w:rPr>
            </w:pPr>
            <w:r>
              <w:rPr>
                <w:color w:val="auto"/>
                <w:highlight w:val="none"/>
              </w:rPr>
              <w:t>1</w:t>
            </w:r>
            <w:r>
              <w:rPr>
                <w:rFonts w:hint="eastAsia"/>
                <w:color w:val="auto"/>
                <w:highlight w:val="none"/>
                <w:lang w:val="en-US" w:eastAsia="zh-CN"/>
              </w:rPr>
              <w:t>3</w:t>
            </w:r>
            <w:r>
              <w:rPr>
                <w:color w:val="auto"/>
                <w:highlight w:val="none"/>
              </w:rPr>
              <w:t>.未尽事宜详见本项目工程量清单、招标控制价编制说明以及现行《计价规范》等有关规定执行。</w:t>
            </w:r>
          </w:p>
          <w:p w14:paraId="49F8F75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b/>
                <w:bCs/>
                <w:color w:val="auto"/>
                <w:highlight w:val="none"/>
              </w:rPr>
            </w:pPr>
            <w:r>
              <w:rPr>
                <w:rFonts w:hint="eastAsia"/>
                <w:color w:val="auto"/>
                <w:highlight w:val="none"/>
              </w:rPr>
              <w:t>15.</w:t>
            </w:r>
            <w:r>
              <w:rPr>
                <w:rFonts w:hint="eastAsia"/>
                <w:b/>
                <w:bCs/>
                <w:color w:val="auto"/>
                <w:highlight w:val="none"/>
              </w:rPr>
              <w:t>最后报价须</w:t>
            </w:r>
            <w:r>
              <w:rPr>
                <w:rFonts w:hint="eastAsia"/>
                <w:b/>
                <w:bCs/>
                <w:color w:val="auto"/>
                <w:highlight w:val="none"/>
                <w:lang w:eastAsia="zh-CN"/>
              </w:rPr>
              <w:t>提供</w:t>
            </w:r>
            <w:r>
              <w:rPr>
                <w:rFonts w:hint="eastAsia"/>
                <w:b/>
                <w:bCs/>
                <w:color w:val="auto"/>
                <w:highlight w:val="none"/>
              </w:rPr>
              <w:t>最后报价表，否则视同放弃报价权利退出磋商</w:t>
            </w:r>
            <w:r>
              <w:rPr>
                <w:b/>
                <w:bCs/>
                <w:color w:val="auto"/>
                <w:highlight w:val="none"/>
              </w:rPr>
              <w:t>，</w:t>
            </w:r>
            <w:r>
              <w:rPr>
                <w:rFonts w:hint="eastAsia"/>
                <w:b/>
                <w:bCs/>
                <w:color w:val="auto"/>
                <w:highlight w:val="none"/>
              </w:rPr>
              <w:t>最后报价</w:t>
            </w:r>
            <w:r>
              <w:rPr>
                <w:rFonts w:hint="eastAsia" w:ascii="宋体" w:hAnsi="宋体" w:cs="宋体"/>
                <w:b/>
                <w:bCs/>
                <w:color w:val="auto"/>
                <w:szCs w:val="21"/>
                <w:highlight w:val="none"/>
              </w:rPr>
              <w:t>不得以总价下浮的方式做最后报价，</w:t>
            </w:r>
            <w:r>
              <w:rPr>
                <w:b/>
                <w:bCs/>
                <w:color w:val="auto"/>
                <w:highlight w:val="none"/>
              </w:rPr>
              <w:t>否则</w:t>
            </w:r>
            <w:r>
              <w:rPr>
                <w:rFonts w:hint="eastAsia"/>
                <w:b/>
                <w:bCs/>
                <w:color w:val="auto"/>
                <w:highlight w:val="none"/>
              </w:rPr>
              <w:t>响应文件</w:t>
            </w:r>
            <w:r>
              <w:rPr>
                <w:b/>
                <w:bCs/>
                <w:color w:val="auto"/>
                <w:highlight w:val="none"/>
              </w:rPr>
              <w:t>按无效响应处理</w:t>
            </w:r>
            <w:r>
              <w:rPr>
                <w:rFonts w:hint="eastAsia"/>
                <w:b/>
                <w:bCs/>
                <w:color w:val="auto"/>
                <w:highlight w:val="none"/>
              </w:rPr>
              <w:t>。</w:t>
            </w:r>
          </w:p>
          <w:p w14:paraId="3A4EA75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highlight w:val="none"/>
                <w:lang w:val="zh-CN"/>
              </w:rPr>
            </w:pPr>
            <w:r>
              <w:rPr>
                <w:rFonts w:hint="eastAsia"/>
                <w:b/>
                <w:bCs/>
                <w:color w:val="auto"/>
                <w:highlight w:val="none"/>
              </w:rPr>
              <w:t>重要提示：</w:t>
            </w:r>
            <w:r>
              <w:rPr>
                <w:rFonts w:hint="eastAsia"/>
                <w:b/>
                <w:bCs/>
                <w:color w:val="auto"/>
                <w:szCs w:val="21"/>
                <w:highlight w:val="none"/>
              </w:rPr>
              <w:t>最后报价有时间限制，供应商</w:t>
            </w:r>
            <w:r>
              <w:rPr>
                <w:rFonts w:hint="eastAsia"/>
                <w:b/>
                <w:bCs/>
                <w:color w:val="auto"/>
                <w:szCs w:val="21"/>
                <w:highlight w:val="none"/>
                <w:lang w:eastAsia="zh-CN"/>
              </w:rPr>
              <w:t>可</w:t>
            </w:r>
            <w:r>
              <w:rPr>
                <w:rFonts w:hint="eastAsia"/>
                <w:b/>
                <w:bCs/>
                <w:color w:val="auto"/>
                <w:szCs w:val="21"/>
                <w:highlight w:val="none"/>
              </w:rPr>
              <w:t>按竞争性磋商文件</w:t>
            </w:r>
            <w:r>
              <w:rPr>
                <w:rFonts w:hint="eastAsia"/>
                <w:b/>
                <w:bCs/>
                <w:color w:val="auto"/>
                <w:szCs w:val="21"/>
                <w:highlight w:val="none"/>
                <w:lang w:eastAsia="zh-CN"/>
              </w:rPr>
              <w:t>“</w:t>
            </w:r>
            <w:r>
              <w:rPr>
                <w:rFonts w:hint="eastAsia"/>
                <w:b/>
                <w:bCs/>
                <w:color w:val="auto"/>
                <w:szCs w:val="21"/>
                <w:highlight w:val="none"/>
              </w:rPr>
              <w:t>第五章 响应文件格式</w:t>
            </w:r>
            <w:r>
              <w:rPr>
                <w:rFonts w:hint="eastAsia"/>
                <w:b/>
                <w:bCs/>
                <w:color w:val="auto"/>
                <w:szCs w:val="21"/>
                <w:highlight w:val="none"/>
                <w:lang w:eastAsia="zh-CN"/>
              </w:rPr>
              <w:t>”</w:t>
            </w:r>
            <w:r>
              <w:rPr>
                <w:rFonts w:hint="eastAsia"/>
                <w:b/>
                <w:bCs/>
                <w:color w:val="auto"/>
                <w:szCs w:val="21"/>
                <w:highlight w:val="none"/>
              </w:rPr>
              <w:t>内容提前准备</w:t>
            </w:r>
            <w:r>
              <w:rPr>
                <w:rFonts w:hint="eastAsia"/>
                <w:b/>
                <w:bCs/>
                <w:color w:val="auto"/>
                <w:highlight w:val="none"/>
              </w:rPr>
              <w:t>最后报价表（</w:t>
            </w:r>
            <w:r>
              <w:rPr>
                <w:rFonts w:hint="eastAsia"/>
                <w:b/>
                <w:bCs/>
                <w:color w:val="auto"/>
                <w:sz w:val="21"/>
                <w:szCs w:val="21"/>
                <w:highlight w:val="none"/>
              </w:rPr>
              <w:t>如最后报价与首次报价不一致的，需提供已标价工程量清单</w:t>
            </w:r>
            <w:r>
              <w:rPr>
                <w:rFonts w:hint="eastAsia"/>
                <w:b/>
                <w:bCs/>
                <w:color w:val="auto"/>
                <w:highlight w:val="none"/>
              </w:rPr>
              <w:t>）</w:t>
            </w:r>
            <w:r>
              <w:rPr>
                <w:rFonts w:hint="eastAsia"/>
                <w:b/>
                <w:bCs/>
                <w:color w:val="auto"/>
                <w:szCs w:val="21"/>
                <w:highlight w:val="none"/>
              </w:rPr>
              <w:t>并按时提交</w:t>
            </w:r>
            <w:r>
              <w:rPr>
                <w:rFonts w:hint="eastAsia" w:ascii="宋体" w:hAnsi="宋体" w:cs="宋体"/>
                <w:b/>
                <w:bCs/>
                <w:color w:val="auto"/>
                <w:highlight w:val="none"/>
              </w:rPr>
              <w:t>，以免耽误最后报价</w:t>
            </w:r>
            <w:r>
              <w:rPr>
                <w:rFonts w:hint="eastAsia" w:ascii="宋体" w:hAnsi="宋体" w:cs="宋体"/>
                <w:b/>
                <w:bCs/>
                <w:color w:val="auto"/>
                <w:highlight w:val="none"/>
                <w:lang w:val="zh-CN"/>
              </w:rPr>
              <w:t>。</w:t>
            </w:r>
          </w:p>
        </w:tc>
      </w:tr>
      <w:tr w14:paraId="1E025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94CF8B1">
            <w:pPr>
              <w:spacing w:line="360" w:lineRule="auto"/>
              <w:jc w:val="center"/>
              <w:rPr>
                <w:color w:val="auto"/>
                <w:szCs w:val="21"/>
                <w:highlight w:val="none"/>
              </w:rPr>
            </w:pPr>
            <w:r>
              <w:rPr>
                <w:color w:val="auto"/>
                <w:szCs w:val="21"/>
                <w:highlight w:val="none"/>
              </w:rPr>
              <w:t>16.2</w:t>
            </w:r>
          </w:p>
        </w:tc>
        <w:tc>
          <w:tcPr>
            <w:tcW w:w="2321" w:type="dxa"/>
            <w:noWrap w:val="0"/>
            <w:vAlign w:val="center"/>
          </w:tcPr>
          <w:p w14:paraId="52386A74">
            <w:pPr>
              <w:spacing w:line="360" w:lineRule="auto"/>
              <w:jc w:val="center"/>
              <w:rPr>
                <w:color w:val="auto"/>
                <w:szCs w:val="21"/>
                <w:highlight w:val="none"/>
              </w:rPr>
            </w:pPr>
            <w:r>
              <w:rPr>
                <w:color w:val="auto"/>
                <w:szCs w:val="21"/>
                <w:highlight w:val="none"/>
              </w:rPr>
              <w:t>竞标有效期</w:t>
            </w:r>
          </w:p>
        </w:tc>
        <w:tc>
          <w:tcPr>
            <w:tcW w:w="7080" w:type="dxa"/>
            <w:noWrap w:val="0"/>
            <w:vAlign w:val="center"/>
          </w:tcPr>
          <w:p w14:paraId="4174841B">
            <w:pPr>
              <w:pStyle w:val="10"/>
              <w:widowControl w:val="0"/>
              <w:tabs>
                <w:tab w:val="clear" w:pos="454"/>
              </w:tabs>
              <w:snapToGrid w:val="0"/>
              <w:spacing w:afterLines="0" w:line="360" w:lineRule="auto"/>
              <w:ind w:left="283" w:hanging="283" w:hangingChars="135"/>
              <w:rPr>
                <w:color w:val="auto"/>
                <w:kern w:val="2"/>
                <w:sz w:val="21"/>
                <w:szCs w:val="21"/>
                <w:highlight w:val="none"/>
              </w:rPr>
            </w:pPr>
            <w:r>
              <w:rPr>
                <w:color w:val="auto"/>
                <w:kern w:val="2"/>
                <w:sz w:val="21"/>
                <w:szCs w:val="21"/>
                <w:highlight w:val="none"/>
              </w:rPr>
              <w:t>自首次响应文件提交截止之日起</w:t>
            </w:r>
            <w:r>
              <w:rPr>
                <w:color w:val="auto"/>
                <w:kern w:val="2"/>
                <w:sz w:val="21"/>
                <w:szCs w:val="21"/>
                <w:highlight w:val="none"/>
                <w:u w:val="single"/>
              </w:rPr>
              <w:t xml:space="preserve"> </w:t>
            </w:r>
            <w:r>
              <w:rPr>
                <w:rFonts w:hint="eastAsia"/>
                <w:color w:val="auto"/>
                <w:kern w:val="2"/>
                <w:sz w:val="21"/>
                <w:szCs w:val="21"/>
                <w:highlight w:val="none"/>
                <w:u w:val="single"/>
              </w:rPr>
              <w:t>60</w:t>
            </w:r>
            <w:r>
              <w:rPr>
                <w:color w:val="auto"/>
                <w:kern w:val="2"/>
                <w:sz w:val="21"/>
                <w:szCs w:val="21"/>
                <w:highlight w:val="none"/>
                <w:u w:val="single"/>
              </w:rPr>
              <w:t xml:space="preserve"> </w:t>
            </w:r>
            <w:r>
              <w:rPr>
                <w:color w:val="auto"/>
                <w:kern w:val="2"/>
                <w:sz w:val="21"/>
                <w:szCs w:val="21"/>
                <w:highlight w:val="none"/>
              </w:rPr>
              <w:t>日。</w:t>
            </w:r>
          </w:p>
        </w:tc>
      </w:tr>
      <w:tr w14:paraId="6025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146E351">
            <w:pPr>
              <w:spacing w:line="360" w:lineRule="auto"/>
              <w:jc w:val="center"/>
              <w:rPr>
                <w:color w:val="auto"/>
                <w:szCs w:val="21"/>
                <w:highlight w:val="none"/>
              </w:rPr>
            </w:pPr>
            <w:r>
              <w:rPr>
                <w:color w:val="auto"/>
                <w:szCs w:val="21"/>
                <w:highlight w:val="none"/>
              </w:rPr>
              <w:t>17.1</w:t>
            </w:r>
          </w:p>
        </w:tc>
        <w:tc>
          <w:tcPr>
            <w:tcW w:w="2321" w:type="dxa"/>
            <w:noWrap w:val="0"/>
            <w:vAlign w:val="center"/>
          </w:tcPr>
          <w:p w14:paraId="297E65CE">
            <w:pPr>
              <w:spacing w:line="360" w:lineRule="auto"/>
              <w:jc w:val="center"/>
              <w:rPr>
                <w:color w:val="auto"/>
                <w:szCs w:val="21"/>
                <w:highlight w:val="none"/>
              </w:rPr>
            </w:pPr>
            <w:r>
              <w:rPr>
                <w:color w:val="auto"/>
                <w:szCs w:val="21"/>
                <w:highlight w:val="none"/>
              </w:rPr>
              <w:t>磋商保证金</w:t>
            </w:r>
          </w:p>
        </w:tc>
        <w:tc>
          <w:tcPr>
            <w:tcW w:w="7080" w:type="dxa"/>
            <w:noWrap w:val="0"/>
            <w:vAlign w:val="center"/>
          </w:tcPr>
          <w:p w14:paraId="0B092EFA">
            <w:pPr>
              <w:autoSpaceDE/>
              <w:autoSpaceDN/>
              <w:snapToGrid/>
              <w:spacing w:line="360" w:lineRule="auto"/>
              <w:textAlignment w:val="auto"/>
              <w:rPr>
                <w:color w:val="auto"/>
                <w:szCs w:val="21"/>
                <w:highlight w:val="none"/>
              </w:rPr>
            </w:pPr>
            <w:r>
              <w:rPr>
                <w:b/>
                <w:bCs/>
                <w:color w:val="auto"/>
                <w:szCs w:val="21"/>
                <w:highlight w:val="none"/>
              </w:rPr>
              <w:t>本项目不需要缴</w:t>
            </w:r>
            <w:r>
              <w:rPr>
                <w:b/>
                <w:bCs/>
                <w:color w:val="auto"/>
                <w:kern w:val="0"/>
                <w:szCs w:val="21"/>
                <w:highlight w:val="none"/>
              </w:rPr>
              <w:t>纳</w:t>
            </w:r>
            <w:r>
              <w:rPr>
                <w:b/>
                <w:bCs/>
                <w:color w:val="auto"/>
                <w:szCs w:val="21"/>
                <w:highlight w:val="none"/>
              </w:rPr>
              <w:t>磋商保证金。</w:t>
            </w:r>
          </w:p>
        </w:tc>
      </w:tr>
      <w:tr w14:paraId="29540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14:paraId="14246487">
            <w:pPr>
              <w:spacing w:line="360" w:lineRule="auto"/>
              <w:jc w:val="center"/>
              <w:rPr>
                <w:color w:val="auto"/>
                <w:szCs w:val="21"/>
                <w:highlight w:val="none"/>
              </w:rPr>
            </w:pPr>
            <w:r>
              <w:rPr>
                <w:color w:val="auto"/>
                <w:szCs w:val="21"/>
                <w:highlight w:val="none"/>
              </w:rPr>
              <w:t>20.1</w:t>
            </w:r>
          </w:p>
        </w:tc>
        <w:tc>
          <w:tcPr>
            <w:tcW w:w="2321" w:type="dxa"/>
            <w:noWrap w:val="0"/>
            <w:vAlign w:val="center"/>
          </w:tcPr>
          <w:p w14:paraId="3E06A2E2">
            <w:pPr>
              <w:spacing w:line="360" w:lineRule="auto"/>
              <w:jc w:val="center"/>
              <w:rPr>
                <w:color w:val="auto"/>
                <w:szCs w:val="21"/>
                <w:highlight w:val="none"/>
              </w:rPr>
            </w:pPr>
            <w:r>
              <w:rPr>
                <w:color w:val="auto"/>
                <w:szCs w:val="21"/>
                <w:highlight w:val="none"/>
              </w:rPr>
              <w:t>首次响应文件</w:t>
            </w:r>
          </w:p>
          <w:p w14:paraId="1385798A">
            <w:pPr>
              <w:spacing w:line="360" w:lineRule="auto"/>
              <w:jc w:val="center"/>
              <w:rPr>
                <w:color w:val="auto"/>
                <w:szCs w:val="21"/>
                <w:highlight w:val="none"/>
              </w:rPr>
            </w:pPr>
            <w:r>
              <w:rPr>
                <w:color w:val="auto"/>
                <w:szCs w:val="21"/>
                <w:highlight w:val="none"/>
              </w:rPr>
              <w:t>提交截止时间</w:t>
            </w:r>
          </w:p>
        </w:tc>
        <w:tc>
          <w:tcPr>
            <w:tcW w:w="7080" w:type="dxa"/>
            <w:noWrap w:val="0"/>
            <w:vAlign w:val="center"/>
          </w:tcPr>
          <w:p w14:paraId="1128F1E4">
            <w:pPr>
              <w:snapToGrid w:val="0"/>
              <w:spacing w:line="360" w:lineRule="auto"/>
              <w:jc w:val="left"/>
              <w:rPr>
                <w:color w:val="auto"/>
                <w:szCs w:val="21"/>
                <w:highlight w:val="none"/>
                <w:u w:val="single"/>
              </w:rPr>
            </w:pPr>
            <w:r>
              <w:rPr>
                <w:color w:val="auto"/>
                <w:szCs w:val="21"/>
                <w:highlight w:val="none"/>
              </w:rPr>
              <w:t>详见竞争性磋商公告。</w:t>
            </w:r>
          </w:p>
        </w:tc>
      </w:tr>
      <w:tr w14:paraId="74A3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14:paraId="2C6A874A">
            <w:pPr>
              <w:spacing w:line="360" w:lineRule="auto"/>
              <w:jc w:val="center"/>
              <w:rPr>
                <w:color w:val="auto"/>
                <w:szCs w:val="21"/>
                <w:highlight w:val="none"/>
              </w:rPr>
            </w:pPr>
          </w:p>
        </w:tc>
        <w:tc>
          <w:tcPr>
            <w:tcW w:w="2321" w:type="dxa"/>
            <w:noWrap w:val="0"/>
            <w:vAlign w:val="center"/>
          </w:tcPr>
          <w:p w14:paraId="6F697F2C">
            <w:pPr>
              <w:spacing w:line="360" w:lineRule="auto"/>
              <w:jc w:val="center"/>
              <w:rPr>
                <w:color w:val="auto"/>
                <w:szCs w:val="21"/>
                <w:highlight w:val="none"/>
              </w:rPr>
            </w:pPr>
            <w:r>
              <w:rPr>
                <w:color w:val="auto"/>
                <w:szCs w:val="21"/>
                <w:highlight w:val="none"/>
              </w:rPr>
              <w:t>首次响应文件</w:t>
            </w:r>
          </w:p>
          <w:p w14:paraId="6877459B">
            <w:pPr>
              <w:spacing w:line="360" w:lineRule="auto"/>
              <w:jc w:val="center"/>
              <w:rPr>
                <w:color w:val="auto"/>
                <w:szCs w:val="21"/>
                <w:highlight w:val="none"/>
              </w:rPr>
            </w:pPr>
            <w:r>
              <w:rPr>
                <w:color w:val="auto"/>
                <w:szCs w:val="21"/>
                <w:highlight w:val="none"/>
              </w:rPr>
              <w:t>开启时间</w:t>
            </w:r>
          </w:p>
        </w:tc>
        <w:tc>
          <w:tcPr>
            <w:tcW w:w="7080" w:type="dxa"/>
            <w:noWrap w:val="0"/>
            <w:vAlign w:val="center"/>
          </w:tcPr>
          <w:p w14:paraId="4BA306F3">
            <w:pPr>
              <w:snapToGrid w:val="0"/>
              <w:spacing w:line="360" w:lineRule="auto"/>
              <w:jc w:val="left"/>
              <w:rPr>
                <w:color w:val="auto"/>
                <w:szCs w:val="21"/>
                <w:highlight w:val="none"/>
              </w:rPr>
            </w:pPr>
            <w:r>
              <w:rPr>
                <w:color w:val="auto"/>
                <w:szCs w:val="21"/>
                <w:highlight w:val="none"/>
              </w:rPr>
              <w:t>详见竞争性磋商公告。</w:t>
            </w:r>
          </w:p>
        </w:tc>
      </w:tr>
      <w:tr w14:paraId="0CBE5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26BD0958">
            <w:pPr>
              <w:spacing w:line="360" w:lineRule="auto"/>
              <w:jc w:val="center"/>
              <w:rPr>
                <w:color w:val="auto"/>
                <w:szCs w:val="21"/>
                <w:highlight w:val="none"/>
              </w:rPr>
            </w:pPr>
          </w:p>
        </w:tc>
        <w:tc>
          <w:tcPr>
            <w:tcW w:w="2321" w:type="dxa"/>
            <w:noWrap w:val="0"/>
            <w:vAlign w:val="center"/>
          </w:tcPr>
          <w:p w14:paraId="620E3547">
            <w:pPr>
              <w:spacing w:line="360" w:lineRule="auto"/>
              <w:jc w:val="center"/>
              <w:rPr>
                <w:color w:val="auto"/>
                <w:szCs w:val="21"/>
                <w:highlight w:val="none"/>
              </w:rPr>
            </w:pPr>
            <w:r>
              <w:rPr>
                <w:color w:val="auto"/>
                <w:szCs w:val="21"/>
                <w:highlight w:val="none"/>
              </w:rPr>
              <w:t>首次响应文件提交地点</w:t>
            </w:r>
          </w:p>
        </w:tc>
        <w:tc>
          <w:tcPr>
            <w:tcW w:w="7080" w:type="dxa"/>
            <w:noWrap w:val="0"/>
            <w:vAlign w:val="center"/>
          </w:tcPr>
          <w:p w14:paraId="7976C6B0">
            <w:pPr>
              <w:snapToGrid w:val="0"/>
              <w:spacing w:line="360" w:lineRule="auto"/>
              <w:jc w:val="left"/>
              <w:rPr>
                <w:color w:val="auto"/>
                <w:szCs w:val="21"/>
                <w:highlight w:val="none"/>
                <w:u w:val="single"/>
              </w:rPr>
            </w:pPr>
            <w:r>
              <w:rPr>
                <w:color w:val="auto"/>
                <w:szCs w:val="21"/>
                <w:highlight w:val="none"/>
              </w:rPr>
              <w:t>详见竞争性磋商公告。</w:t>
            </w:r>
          </w:p>
        </w:tc>
      </w:tr>
      <w:tr w14:paraId="5E3D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71704465">
            <w:pPr>
              <w:spacing w:line="360" w:lineRule="auto"/>
              <w:jc w:val="center"/>
              <w:rPr>
                <w:color w:val="auto"/>
                <w:szCs w:val="21"/>
                <w:highlight w:val="none"/>
              </w:rPr>
            </w:pPr>
            <w:r>
              <w:rPr>
                <w:color w:val="auto"/>
                <w:szCs w:val="21"/>
                <w:highlight w:val="none"/>
              </w:rPr>
              <w:t>20.6</w:t>
            </w:r>
          </w:p>
        </w:tc>
        <w:tc>
          <w:tcPr>
            <w:tcW w:w="2321" w:type="dxa"/>
            <w:noWrap w:val="0"/>
            <w:vAlign w:val="center"/>
          </w:tcPr>
          <w:p w14:paraId="3225EFD0">
            <w:pPr>
              <w:spacing w:line="360" w:lineRule="auto"/>
              <w:jc w:val="center"/>
              <w:rPr>
                <w:color w:val="auto"/>
                <w:szCs w:val="21"/>
                <w:highlight w:val="none"/>
              </w:rPr>
            </w:pPr>
            <w:r>
              <w:rPr>
                <w:color w:val="auto"/>
                <w:szCs w:val="21"/>
                <w:highlight w:val="none"/>
              </w:rPr>
              <w:t>备份响应文件</w:t>
            </w:r>
          </w:p>
        </w:tc>
        <w:tc>
          <w:tcPr>
            <w:tcW w:w="7080" w:type="dxa"/>
            <w:noWrap w:val="0"/>
            <w:vAlign w:val="center"/>
          </w:tcPr>
          <w:p w14:paraId="6C56B5BB">
            <w:pPr>
              <w:snapToGrid w:val="0"/>
              <w:spacing w:line="360" w:lineRule="auto"/>
              <w:jc w:val="left"/>
              <w:rPr>
                <w:color w:val="auto"/>
                <w:szCs w:val="21"/>
                <w:highlight w:val="none"/>
              </w:rPr>
            </w:pPr>
            <w:r>
              <w:rPr>
                <w:color w:val="auto"/>
                <w:szCs w:val="21"/>
                <w:highlight w:val="none"/>
              </w:rPr>
              <w:t>本项目不接受备份响应文件。</w:t>
            </w:r>
          </w:p>
        </w:tc>
      </w:tr>
      <w:tr w14:paraId="7E3B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4D06F453">
            <w:pPr>
              <w:spacing w:line="360" w:lineRule="auto"/>
              <w:jc w:val="center"/>
              <w:rPr>
                <w:rFonts w:hint="default" w:eastAsia="宋体"/>
                <w:color w:val="auto"/>
                <w:szCs w:val="21"/>
                <w:highlight w:val="none"/>
                <w:lang w:val="en-US" w:eastAsia="zh-CN"/>
              </w:rPr>
            </w:pPr>
            <w:r>
              <w:rPr>
                <w:rFonts w:hint="eastAsia" w:eastAsia="宋体"/>
                <w:color w:val="auto"/>
                <w:szCs w:val="21"/>
                <w:highlight w:val="none"/>
                <w:lang w:val="en-US" w:eastAsia="zh-CN"/>
              </w:rPr>
              <w:t>21</w:t>
            </w:r>
          </w:p>
        </w:tc>
        <w:tc>
          <w:tcPr>
            <w:tcW w:w="2321" w:type="dxa"/>
            <w:noWrap w:val="0"/>
            <w:vAlign w:val="center"/>
          </w:tcPr>
          <w:p w14:paraId="7C4F3229">
            <w:pPr>
              <w:spacing w:line="360" w:lineRule="auto"/>
              <w:jc w:val="center"/>
              <w:rPr>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7080" w:type="dxa"/>
            <w:noWrap w:val="0"/>
            <w:vAlign w:val="center"/>
          </w:tcPr>
          <w:p w14:paraId="279DADDA">
            <w:pPr>
              <w:snapToGrid w:val="0"/>
              <w:spacing w:line="360" w:lineRule="auto"/>
              <w:jc w:val="left"/>
              <w:rPr>
                <w:rFonts w:hint="eastAsia" w:eastAsia="宋体"/>
                <w:color w:val="auto"/>
                <w:szCs w:val="21"/>
                <w:highlight w:val="none"/>
                <w:lang w:eastAsia="zh-CN"/>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14:paraId="5BF6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restart"/>
            <w:noWrap w:val="0"/>
            <w:vAlign w:val="center"/>
          </w:tcPr>
          <w:p w14:paraId="58A702F4">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25</w:t>
            </w:r>
          </w:p>
        </w:tc>
        <w:tc>
          <w:tcPr>
            <w:tcW w:w="2321" w:type="dxa"/>
            <w:noWrap w:val="0"/>
            <w:vAlign w:val="center"/>
          </w:tcPr>
          <w:p w14:paraId="1B1B6E51">
            <w:pPr>
              <w:spacing w:line="360" w:lineRule="auto"/>
              <w:jc w:val="center"/>
              <w:rPr>
                <w:color w:val="auto"/>
                <w:szCs w:val="21"/>
                <w:highlight w:val="none"/>
              </w:rPr>
            </w:pPr>
            <w:r>
              <w:rPr>
                <w:rFonts w:hint="eastAsia" w:ascii="宋体" w:hAnsi="宋体" w:eastAsia="宋体" w:cs="宋体"/>
                <w:color w:val="auto"/>
                <w:szCs w:val="21"/>
                <w:highlight w:val="none"/>
              </w:rPr>
              <w:t>负偏离要求</w:t>
            </w:r>
          </w:p>
        </w:tc>
        <w:tc>
          <w:tcPr>
            <w:tcW w:w="7080" w:type="dxa"/>
            <w:noWrap w:val="0"/>
            <w:vAlign w:val="center"/>
          </w:tcPr>
          <w:p w14:paraId="19E0675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0F2F21F5">
            <w:pPr>
              <w:snapToGrid w:val="0"/>
              <w:spacing w:line="360" w:lineRule="auto"/>
              <w:rPr>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317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2BAD8FB1">
            <w:pPr>
              <w:spacing w:line="360" w:lineRule="auto"/>
              <w:jc w:val="center"/>
              <w:rPr>
                <w:color w:val="auto"/>
                <w:szCs w:val="21"/>
                <w:highlight w:val="none"/>
              </w:rPr>
            </w:pPr>
          </w:p>
        </w:tc>
        <w:tc>
          <w:tcPr>
            <w:tcW w:w="2321" w:type="dxa"/>
            <w:noWrap w:val="0"/>
            <w:vAlign w:val="center"/>
          </w:tcPr>
          <w:p w14:paraId="47722ADF">
            <w:pPr>
              <w:snapToGrid w:val="0"/>
              <w:spacing w:line="360" w:lineRule="auto"/>
              <w:jc w:val="center"/>
              <w:rPr>
                <w:color w:val="auto"/>
                <w:szCs w:val="21"/>
                <w:highlight w:val="none"/>
              </w:rPr>
            </w:pP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方法</w:t>
            </w:r>
          </w:p>
        </w:tc>
        <w:tc>
          <w:tcPr>
            <w:tcW w:w="7080" w:type="dxa"/>
            <w:noWrap w:val="0"/>
            <w:vAlign w:val="center"/>
          </w:tcPr>
          <w:p w14:paraId="0BC7A336">
            <w:pPr>
              <w:pStyle w:val="11"/>
              <w:spacing w:line="360" w:lineRule="auto"/>
              <w:rPr>
                <w:color w:val="auto"/>
                <w:szCs w:val="21"/>
                <w:highlight w:val="none"/>
              </w:rPr>
            </w:pPr>
            <w:r>
              <w:rPr>
                <w:rFonts w:hint="eastAsia"/>
                <w:color w:val="auto"/>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5C32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6A46E503">
            <w:pPr>
              <w:spacing w:line="360" w:lineRule="auto"/>
              <w:jc w:val="center"/>
              <w:rPr>
                <w:color w:val="auto"/>
                <w:szCs w:val="21"/>
                <w:highlight w:val="none"/>
              </w:rPr>
            </w:pPr>
          </w:p>
        </w:tc>
        <w:tc>
          <w:tcPr>
            <w:tcW w:w="2321" w:type="dxa"/>
            <w:noWrap w:val="0"/>
            <w:vAlign w:val="center"/>
          </w:tcPr>
          <w:p w14:paraId="0E329077">
            <w:pPr>
              <w:snapToGrid w:val="0"/>
              <w:spacing w:line="360" w:lineRule="auto"/>
              <w:jc w:val="center"/>
              <w:rPr>
                <w:color w:val="auto"/>
                <w:szCs w:val="21"/>
                <w:highlight w:val="none"/>
              </w:rPr>
            </w:pPr>
            <w:r>
              <w:rPr>
                <w:rFonts w:hint="eastAsia" w:ascii="宋体" w:hAnsi="宋体" w:eastAsia="宋体" w:cs="宋体"/>
                <w:color w:val="auto"/>
                <w:szCs w:val="21"/>
                <w:highlight w:val="none"/>
              </w:rPr>
              <w:t>磋商的顺序</w:t>
            </w:r>
          </w:p>
        </w:tc>
        <w:tc>
          <w:tcPr>
            <w:tcW w:w="7080" w:type="dxa"/>
            <w:noWrap w:val="0"/>
            <w:vAlign w:val="center"/>
          </w:tcPr>
          <w:p w14:paraId="5AB15FAA">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6992543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31C00DF6">
            <w:pPr>
              <w:pStyle w:val="11"/>
              <w:spacing w:line="360" w:lineRule="auto"/>
              <w:rPr>
                <w:color w:val="auto"/>
                <w:szCs w:val="21"/>
                <w:highlight w:val="none"/>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EDC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E9E29AD">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27</w:t>
            </w:r>
          </w:p>
        </w:tc>
        <w:tc>
          <w:tcPr>
            <w:tcW w:w="2321" w:type="dxa"/>
            <w:noWrap w:val="0"/>
            <w:vAlign w:val="center"/>
          </w:tcPr>
          <w:p w14:paraId="63BE7182">
            <w:pPr>
              <w:spacing w:line="360" w:lineRule="auto"/>
              <w:jc w:val="center"/>
              <w:rPr>
                <w:color w:val="auto"/>
                <w:szCs w:val="21"/>
                <w:highlight w:val="none"/>
              </w:rPr>
            </w:pPr>
            <w:r>
              <w:rPr>
                <w:color w:val="auto"/>
                <w:szCs w:val="21"/>
                <w:highlight w:val="none"/>
              </w:rPr>
              <w:t>履约保证金</w:t>
            </w:r>
          </w:p>
        </w:tc>
        <w:tc>
          <w:tcPr>
            <w:tcW w:w="7080" w:type="dxa"/>
            <w:noWrap w:val="0"/>
            <w:vAlign w:val="center"/>
          </w:tcPr>
          <w:p w14:paraId="124959DF">
            <w:pPr>
              <w:spacing w:line="360" w:lineRule="auto"/>
              <w:rPr>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b/>
                <w:bCs/>
                <w:color w:val="auto"/>
                <w:szCs w:val="21"/>
                <w:highlight w:val="none"/>
              </w:rPr>
              <w:t>本项目不需要缴</w:t>
            </w:r>
            <w:r>
              <w:rPr>
                <w:b/>
                <w:bCs/>
                <w:color w:val="auto"/>
                <w:kern w:val="0"/>
                <w:szCs w:val="21"/>
                <w:highlight w:val="none"/>
              </w:rPr>
              <w:t>纳</w:t>
            </w:r>
            <w:r>
              <w:rPr>
                <w:b/>
                <w:bCs/>
                <w:color w:val="auto"/>
                <w:szCs w:val="21"/>
                <w:highlight w:val="none"/>
              </w:rPr>
              <w:t>履约保证金。</w:t>
            </w:r>
          </w:p>
          <w:p w14:paraId="3D6E62E9">
            <w:pPr>
              <w:spacing w:line="360" w:lineRule="auto"/>
              <w:rPr>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b/>
                <w:bCs/>
                <w:color w:val="auto"/>
                <w:szCs w:val="21"/>
                <w:highlight w:val="none"/>
              </w:rPr>
              <w:t>本项目需要缴</w:t>
            </w:r>
            <w:r>
              <w:rPr>
                <w:b/>
                <w:bCs/>
                <w:color w:val="auto"/>
                <w:kern w:val="0"/>
                <w:szCs w:val="21"/>
                <w:highlight w:val="none"/>
              </w:rPr>
              <w:t>纳</w:t>
            </w:r>
            <w:r>
              <w:rPr>
                <w:b/>
                <w:bCs/>
                <w:color w:val="auto"/>
                <w:szCs w:val="21"/>
                <w:highlight w:val="none"/>
              </w:rPr>
              <w:t>履约保证金，相关要求如下：</w:t>
            </w:r>
          </w:p>
          <w:p w14:paraId="6E479100">
            <w:pPr>
              <w:spacing w:line="360" w:lineRule="auto"/>
              <w:rPr>
                <w:color w:val="auto"/>
                <w:szCs w:val="21"/>
                <w:highlight w:val="none"/>
                <w:u w:val="none"/>
              </w:rPr>
            </w:pPr>
            <w:r>
              <w:rPr>
                <w:color w:val="auto"/>
                <w:szCs w:val="21"/>
                <w:highlight w:val="none"/>
              </w:rPr>
              <w:t>1.履约保证金金额：</w:t>
            </w:r>
            <w:r>
              <w:rPr>
                <w:color w:val="auto"/>
                <w:szCs w:val="21"/>
                <w:highlight w:val="none"/>
                <w:u w:val="none"/>
              </w:rPr>
              <w:t>成交供应商</w:t>
            </w:r>
            <w:r>
              <w:rPr>
                <w:rFonts w:hint="eastAsia"/>
                <w:color w:val="auto"/>
                <w:szCs w:val="21"/>
                <w:highlight w:val="none"/>
                <w:u w:val="none"/>
              </w:rPr>
              <w:t>在收到成交通知书后，须在20日内向</w:t>
            </w:r>
            <w:r>
              <w:rPr>
                <w:rFonts w:hint="eastAsia"/>
                <w:color w:val="auto"/>
                <w:szCs w:val="21"/>
                <w:highlight w:val="none"/>
                <w:u w:val="none"/>
                <w:lang w:eastAsia="zh-CN"/>
              </w:rPr>
              <w:t>采购</w:t>
            </w:r>
            <w:r>
              <w:rPr>
                <w:rFonts w:hint="eastAsia"/>
                <w:color w:val="auto"/>
                <w:szCs w:val="21"/>
                <w:highlight w:val="none"/>
                <w:u w:val="none"/>
              </w:rPr>
              <w:t>人提交成交金额的2%的履约担保</w:t>
            </w:r>
            <w:r>
              <w:rPr>
                <w:color w:val="auto"/>
                <w:szCs w:val="21"/>
                <w:highlight w:val="none"/>
                <w:u w:val="none"/>
              </w:rPr>
              <w:t>。</w:t>
            </w:r>
          </w:p>
          <w:p w14:paraId="2E163F5B">
            <w:pPr>
              <w:spacing w:line="360" w:lineRule="auto"/>
              <w:rPr>
                <w:color w:val="auto"/>
                <w:szCs w:val="21"/>
                <w:highlight w:val="none"/>
                <w:u w:val="none"/>
              </w:rPr>
            </w:pPr>
            <w:r>
              <w:rPr>
                <w:color w:val="auto"/>
                <w:szCs w:val="21"/>
                <w:highlight w:val="none"/>
              </w:rPr>
              <w:t>2.履约保证金提交方式：</w:t>
            </w:r>
            <w:r>
              <w:rPr>
                <w:color w:val="auto"/>
                <w:szCs w:val="21"/>
                <w:highlight w:val="none"/>
                <w:u w:val="none"/>
              </w:rPr>
              <w:t>成交供应商在</w:t>
            </w:r>
            <w:r>
              <w:rPr>
                <w:color w:val="auto"/>
                <w:kern w:val="0"/>
                <w:szCs w:val="21"/>
                <w:highlight w:val="none"/>
                <w:u w:val="none"/>
              </w:rPr>
              <w:t>签订合同</w:t>
            </w:r>
            <w:r>
              <w:rPr>
                <w:color w:val="auto"/>
                <w:szCs w:val="21"/>
                <w:highlight w:val="none"/>
                <w:u w:val="none"/>
              </w:rPr>
              <w:t>前以银行转账、支票、汇票、本票或者金融机构、担保机构出具的保函等非现金方式向采购人提交。</w:t>
            </w:r>
          </w:p>
          <w:p w14:paraId="333FDC46">
            <w:pPr>
              <w:pStyle w:val="84"/>
              <w:spacing w:line="360" w:lineRule="auto"/>
              <w:rPr>
                <w:rFonts w:ascii="Times New Roman" w:hAnsi="Times New Roman" w:eastAsia="宋体" w:cs="Times New Roman"/>
                <w:color w:val="auto"/>
                <w:kern w:val="2"/>
                <w:sz w:val="21"/>
                <w:szCs w:val="21"/>
                <w:highlight w:val="none"/>
                <w:u w:val="none"/>
                <w:lang w:val="en-US" w:eastAsia="zh-CN" w:bidi="ar-SA"/>
              </w:rPr>
            </w:pPr>
            <w:r>
              <w:rPr>
                <w:color w:val="auto"/>
                <w:szCs w:val="21"/>
                <w:highlight w:val="none"/>
              </w:rPr>
              <w:t>3.履约保证金退付方式、时间及条件</w:t>
            </w:r>
            <w:r>
              <w:rPr>
                <w:rFonts w:ascii="Times New Roman" w:hAnsi="Times New Roman" w:eastAsia="宋体" w:cs="Times New Roman"/>
                <w:color w:val="auto"/>
                <w:kern w:val="2"/>
                <w:sz w:val="21"/>
                <w:szCs w:val="21"/>
                <w:highlight w:val="none"/>
                <w:u w:val="none"/>
                <w:lang w:val="en-US" w:eastAsia="zh-CN" w:bidi="ar-SA"/>
              </w:rPr>
              <w:t>：</w:t>
            </w:r>
          </w:p>
          <w:p w14:paraId="2B323377">
            <w:pPr>
              <w:spacing w:line="360" w:lineRule="auto"/>
              <w:rPr>
                <w:rFonts w:hint="eastAsia" w:eastAsia="宋体"/>
                <w:color w:val="auto"/>
                <w:szCs w:val="21"/>
                <w:highlight w:val="none"/>
                <w:u w:val="single"/>
                <w:lang w:eastAsia="zh-CN"/>
              </w:rPr>
            </w:pPr>
            <w:r>
              <w:rPr>
                <w:rFonts w:hint="eastAsia" w:cs="Times New Roman"/>
                <w:color w:val="auto"/>
                <w:kern w:val="2"/>
                <w:sz w:val="21"/>
                <w:szCs w:val="21"/>
                <w:highlight w:val="none"/>
                <w:u w:val="none"/>
                <w:lang w:val="en-US" w:eastAsia="zh-CN" w:bidi="ar-SA"/>
              </w:rPr>
              <w:t xml:space="preserve">  </w:t>
            </w:r>
            <w:r>
              <w:rPr>
                <w:rFonts w:hint="eastAsia" w:cs="Times New Roman"/>
                <w:color w:val="auto"/>
                <w:kern w:val="2"/>
                <w:sz w:val="21"/>
                <w:szCs w:val="21"/>
                <w:highlight w:val="none"/>
                <w:u w:val="single"/>
                <w:lang w:val="en-US" w:eastAsia="zh-CN" w:bidi="ar-SA"/>
              </w:rPr>
              <w:t xml:space="preserve">                   </w:t>
            </w:r>
          </w:p>
          <w:p w14:paraId="707A9B5D">
            <w:pPr>
              <w:spacing w:line="360" w:lineRule="auto"/>
              <w:rPr>
                <w:color w:val="auto"/>
                <w:szCs w:val="21"/>
                <w:highlight w:val="none"/>
              </w:rPr>
            </w:pPr>
            <w:r>
              <w:rPr>
                <w:color w:val="auto"/>
                <w:szCs w:val="21"/>
                <w:highlight w:val="none"/>
              </w:rPr>
              <w:t>备注：</w:t>
            </w:r>
          </w:p>
          <w:p w14:paraId="05BF67CE">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563D412D">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val="en-US" w:eastAsia="zh-CN"/>
              </w:rPr>
              <w:t>.采用金融、担保机构出具保函的，必须为无条件保函，否则视为未按规定提交履约保证金。</w:t>
            </w:r>
          </w:p>
          <w:p w14:paraId="63AADED9">
            <w:pPr>
              <w:spacing w:line="360" w:lineRule="auto"/>
              <w:rPr>
                <w:color w:val="auto"/>
                <w:szCs w:val="21"/>
                <w:highlight w:val="none"/>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.供应商为联合体的，可由联合体任意一方或者联合体各方共同提交的履约保证金，视为有效履约保证金。</w:t>
            </w:r>
            <w:r>
              <w:rPr>
                <w:rFonts w:hint="eastAsia" w:ascii="宋体" w:hAnsi="宋体" w:eastAsia="宋体" w:cs="宋体"/>
                <w:color w:val="auto"/>
                <w:szCs w:val="21"/>
                <w:highlight w:val="none"/>
              </w:rPr>
              <w:t xml:space="preserve"> </w:t>
            </w:r>
            <w:r>
              <w:rPr>
                <w:color w:val="auto"/>
                <w:szCs w:val="21"/>
                <w:highlight w:val="none"/>
              </w:rPr>
              <w:t xml:space="preserve"> </w:t>
            </w:r>
          </w:p>
        </w:tc>
      </w:tr>
      <w:tr w14:paraId="5E2E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BFD1E15">
            <w:pPr>
              <w:spacing w:line="360" w:lineRule="auto"/>
              <w:jc w:val="center"/>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.5</w:t>
            </w:r>
          </w:p>
        </w:tc>
        <w:tc>
          <w:tcPr>
            <w:tcW w:w="2321" w:type="dxa"/>
            <w:noWrap w:val="0"/>
            <w:vAlign w:val="center"/>
          </w:tcPr>
          <w:p w14:paraId="0DEB75E5">
            <w:pPr>
              <w:spacing w:line="360" w:lineRule="auto"/>
              <w:jc w:val="center"/>
              <w:rPr>
                <w:color w:val="auto"/>
                <w:szCs w:val="21"/>
                <w:highlight w:val="none"/>
              </w:rPr>
            </w:pPr>
            <w:r>
              <w:rPr>
                <w:color w:val="auto"/>
                <w:szCs w:val="21"/>
                <w:highlight w:val="none"/>
              </w:rPr>
              <w:t>签订合同携带的材料</w:t>
            </w:r>
          </w:p>
        </w:tc>
        <w:tc>
          <w:tcPr>
            <w:tcW w:w="7080" w:type="dxa"/>
            <w:noWrap w:val="0"/>
            <w:vAlign w:val="center"/>
          </w:tcPr>
          <w:p w14:paraId="28BB0DB8">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72EF8958">
            <w:pPr>
              <w:autoSpaceDE w:val="0"/>
              <w:autoSpaceDN w:val="0"/>
              <w:snapToGrid w:val="0"/>
              <w:spacing w:line="360" w:lineRule="auto"/>
              <w:textAlignment w:val="bottom"/>
              <w:rPr>
                <w:b/>
                <w:bCs/>
                <w:i/>
                <w:iCs/>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14:paraId="3860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767CC3B5">
            <w:pPr>
              <w:spacing w:line="360" w:lineRule="auto"/>
              <w:jc w:val="center"/>
              <w:rPr>
                <w:color w:val="auto"/>
                <w:szCs w:val="21"/>
                <w:highlight w:val="none"/>
              </w:rPr>
            </w:pPr>
            <w:r>
              <w:rPr>
                <w:color w:val="auto"/>
                <w:szCs w:val="21"/>
                <w:highlight w:val="none"/>
              </w:rPr>
              <w:t>3</w:t>
            </w:r>
            <w:r>
              <w:rPr>
                <w:rFonts w:hint="eastAsia"/>
                <w:color w:val="auto"/>
                <w:szCs w:val="21"/>
                <w:highlight w:val="none"/>
                <w:lang w:val="en-US" w:eastAsia="zh-CN"/>
              </w:rPr>
              <w:t>0</w:t>
            </w:r>
            <w:r>
              <w:rPr>
                <w:color w:val="auto"/>
                <w:szCs w:val="21"/>
                <w:highlight w:val="none"/>
              </w:rPr>
              <w:t>.2</w:t>
            </w:r>
          </w:p>
        </w:tc>
        <w:tc>
          <w:tcPr>
            <w:tcW w:w="2321" w:type="dxa"/>
            <w:noWrap w:val="0"/>
            <w:vAlign w:val="center"/>
          </w:tcPr>
          <w:p w14:paraId="3B6F6974">
            <w:pPr>
              <w:spacing w:line="380" w:lineRule="exact"/>
              <w:jc w:val="center"/>
              <w:rPr>
                <w:color w:val="auto"/>
                <w:szCs w:val="21"/>
                <w:highlight w:val="none"/>
              </w:rPr>
            </w:pPr>
            <w:r>
              <w:rPr>
                <w:color w:val="auto"/>
                <w:szCs w:val="21"/>
                <w:highlight w:val="none"/>
              </w:rPr>
              <w:t>接收质疑函方式</w:t>
            </w:r>
          </w:p>
        </w:tc>
        <w:tc>
          <w:tcPr>
            <w:tcW w:w="7080" w:type="dxa"/>
            <w:noWrap w:val="0"/>
            <w:vAlign w:val="center"/>
          </w:tcPr>
          <w:p w14:paraId="70E652F9">
            <w:pPr>
              <w:snapToGrid w:val="0"/>
              <w:spacing w:line="380" w:lineRule="exact"/>
              <w:rPr>
                <w:color w:val="auto"/>
                <w:szCs w:val="21"/>
                <w:highlight w:val="none"/>
              </w:rPr>
            </w:pPr>
            <w:r>
              <w:rPr>
                <w:color w:val="auto"/>
                <w:szCs w:val="21"/>
                <w:highlight w:val="none"/>
              </w:rPr>
              <w:t>以书面形式</w:t>
            </w:r>
          </w:p>
        </w:tc>
      </w:tr>
      <w:tr w14:paraId="32B7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437138D7">
            <w:pPr>
              <w:spacing w:line="360" w:lineRule="auto"/>
              <w:jc w:val="center"/>
              <w:rPr>
                <w:color w:val="auto"/>
                <w:szCs w:val="21"/>
                <w:highlight w:val="none"/>
              </w:rPr>
            </w:pPr>
          </w:p>
        </w:tc>
        <w:tc>
          <w:tcPr>
            <w:tcW w:w="2321" w:type="dxa"/>
            <w:noWrap w:val="0"/>
            <w:vAlign w:val="center"/>
          </w:tcPr>
          <w:p w14:paraId="0F0AED36">
            <w:pPr>
              <w:spacing w:line="380" w:lineRule="exact"/>
              <w:jc w:val="center"/>
              <w:rPr>
                <w:color w:val="auto"/>
                <w:szCs w:val="21"/>
                <w:highlight w:val="none"/>
              </w:rPr>
            </w:pPr>
            <w:r>
              <w:rPr>
                <w:color w:val="auto"/>
                <w:szCs w:val="21"/>
                <w:highlight w:val="none"/>
              </w:rPr>
              <w:t>质疑联系部门及联系</w:t>
            </w:r>
          </w:p>
          <w:p w14:paraId="280FDAE7">
            <w:pPr>
              <w:spacing w:line="380" w:lineRule="exact"/>
              <w:jc w:val="center"/>
              <w:rPr>
                <w:color w:val="auto"/>
                <w:szCs w:val="21"/>
                <w:highlight w:val="none"/>
              </w:rPr>
            </w:pPr>
            <w:r>
              <w:rPr>
                <w:color w:val="auto"/>
                <w:szCs w:val="21"/>
                <w:highlight w:val="none"/>
              </w:rPr>
              <w:t>方式</w:t>
            </w:r>
          </w:p>
        </w:tc>
        <w:tc>
          <w:tcPr>
            <w:tcW w:w="7080" w:type="dxa"/>
            <w:noWrap w:val="0"/>
            <w:vAlign w:val="center"/>
          </w:tcPr>
          <w:p w14:paraId="04D79D8D">
            <w:pPr>
              <w:snapToGrid w:val="0"/>
              <w:spacing w:line="380" w:lineRule="exact"/>
              <w:rPr>
                <w:rFonts w:hint="eastAsia" w:eastAsia="宋体"/>
                <w:color w:val="auto"/>
                <w:szCs w:val="21"/>
                <w:highlight w:val="none"/>
                <w:lang w:eastAsia="zh-CN"/>
              </w:rPr>
            </w:pPr>
            <w:r>
              <w:rPr>
                <w:color w:val="auto"/>
                <w:szCs w:val="21"/>
                <w:highlight w:val="none"/>
              </w:rPr>
              <w:t>（1）</w:t>
            </w:r>
            <w:bookmarkStart w:id="73" w:name="PO_3000001868_PM031_3"/>
            <w:r>
              <w:rPr>
                <w:color w:val="auto"/>
                <w:szCs w:val="21"/>
                <w:highlight w:val="none"/>
              </w:rPr>
              <w:t>名称：</w:t>
            </w:r>
            <w:bookmarkEnd w:id="73"/>
            <w:r>
              <w:rPr>
                <w:rFonts w:hint="eastAsia"/>
                <w:color w:val="auto"/>
                <w:szCs w:val="21"/>
                <w:highlight w:val="none"/>
                <w:lang w:eastAsia="zh-CN"/>
              </w:rPr>
              <w:t>灵川县海洋乡人民政府</w:t>
            </w:r>
          </w:p>
          <w:p w14:paraId="1612CC27">
            <w:pPr>
              <w:snapToGrid w:val="0"/>
              <w:spacing w:line="380" w:lineRule="exact"/>
              <w:rPr>
                <w:rFonts w:hint="default"/>
                <w:color w:val="auto"/>
                <w:szCs w:val="21"/>
                <w:highlight w:val="none"/>
                <w:lang w:val="en-US" w:eastAsia="zh-CN"/>
              </w:rPr>
            </w:pPr>
            <w:r>
              <w:rPr>
                <w:color w:val="auto"/>
                <w:szCs w:val="21"/>
                <w:highlight w:val="none"/>
              </w:rPr>
              <w:t>联系电话：</w:t>
            </w:r>
            <w:bookmarkStart w:id="74" w:name="EBf36626878d6e42cc99fe79c2a83dc80f"/>
            <w:r>
              <w:rPr>
                <w:rFonts w:hint="eastAsia"/>
                <w:color w:val="auto"/>
                <w:szCs w:val="21"/>
                <w:highlight w:val="none"/>
              </w:rPr>
              <w:t>0771-</w:t>
            </w:r>
            <w:bookmarkEnd w:id="74"/>
            <w:r>
              <w:rPr>
                <w:rFonts w:hint="eastAsia"/>
                <w:color w:val="auto"/>
                <w:szCs w:val="21"/>
                <w:highlight w:val="none"/>
                <w:lang w:eastAsia="zh-CN"/>
              </w:rPr>
              <w:t>3265219</w:t>
            </w:r>
          </w:p>
          <w:p w14:paraId="3054569F">
            <w:pPr>
              <w:snapToGrid w:val="0"/>
              <w:spacing w:line="380" w:lineRule="exact"/>
              <w:rPr>
                <w:rFonts w:hint="eastAsia"/>
                <w:color w:val="auto"/>
                <w:szCs w:val="21"/>
                <w:highlight w:val="none"/>
              </w:rPr>
            </w:pPr>
            <w:r>
              <w:rPr>
                <w:rFonts w:hint="eastAsia"/>
                <w:color w:val="auto"/>
                <w:szCs w:val="21"/>
                <w:highlight w:val="none"/>
              </w:rPr>
              <w:t>通讯地址：</w:t>
            </w:r>
            <w:r>
              <w:rPr>
                <w:rFonts w:hint="eastAsia"/>
                <w:color w:val="auto"/>
                <w:szCs w:val="21"/>
                <w:highlight w:val="none"/>
                <w:lang w:eastAsia="zh-CN"/>
              </w:rPr>
              <w:t>灵川县海洋乡海洋西街102号</w:t>
            </w:r>
            <w:r>
              <w:rPr>
                <w:rFonts w:hint="eastAsia"/>
                <w:color w:val="auto"/>
                <w:szCs w:val="21"/>
                <w:highlight w:val="none"/>
              </w:rPr>
              <w:t xml:space="preserve"> </w:t>
            </w:r>
          </w:p>
          <w:p w14:paraId="782D6137">
            <w:pPr>
              <w:snapToGrid w:val="0"/>
              <w:spacing w:line="380" w:lineRule="exact"/>
              <w:rPr>
                <w:color w:val="auto"/>
                <w:szCs w:val="21"/>
                <w:highlight w:val="none"/>
              </w:rPr>
            </w:pPr>
            <w:r>
              <w:rPr>
                <w:color w:val="auto"/>
                <w:szCs w:val="21"/>
                <w:highlight w:val="none"/>
              </w:rPr>
              <w:t>（2）名称：</w:t>
            </w:r>
            <w:r>
              <w:rPr>
                <w:rFonts w:hint="eastAsia"/>
                <w:color w:val="auto"/>
                <w:szCs w:val="21"/>
                <w:highlight w:val="none"/>
              </w:rPr>
              <w:t>广西科联招标中心有限公司</w:t>
            </w:r>
          </w:p>
          <w:p w14:paraId="791B54AC">
            <w:pPr>
              <w:snapToGrid w:val="0"/>
              <w:spacing w:line="380" w:lineRule="exact"/>
              <w:rPr>
                <w:color w:val="auto"/>
                <w:szCs w:val="21"/>
                <w:highlight w:val="none"/>
              </w:rPr>
            </w:pPr>
            <w:r>
              <w:rPr>
                <w:color w:val="auto"/>
                <w:szCs w:val="21"/>
                <w:highlight w:val="none"/>
              </w:rPr>
              <w:t>联系电话：0771-3486228</w:t>
            </w:r>
          </w:p>
          <w:p w14:paraId="6BB2F656">
            <w:pPr>
              <w:snapToGrid w:val="0"/>
              <w:spacing w:line="380" w:lineRule="exact"/>
              <w:rPr>
                <w:rFonts w:hint="eastAsia" w:eastAsia="宋体"/>
                <w:color w:val="auto"/>
                <w:szCs w:val="21"/>
                <w:highlight w:val="none"/>
                <w:lang w:eastAsia="zh-CN"/>
              </w:rPr>
            </w:pPr>
            <w:r>
              <w:rPr>
                <w:color w:val="auto"/>
                <w:szCs w:val="21"/>
                <w:highlight w:val="none"/>
              </w:rPr>
              <w:t>通讯地址：</w:t>
            </w:r>
            <w:r>
              <w:rPr>
                <w:rFonts w:hint="eastAsia"/>
                <w:color w:val="auto"/>
                <w:szCs w:val="21"/>
                <w:highlight w:val="none"/>
                <w:lang w:eastAsia="zh-CN"/>
              </w:rPr>
              <w:t>桂林市七星区东江路28号28-8栋</w:t>
            </w:r>
          </w:p>
        </w:tc>
      </w:tr>
      <w:tr w14:paraId="37B67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E90AE97">
            <w:pPr>
              <w:spacing w:line="360" w:lineRule="auto"/>
              <w:jc w:val="center"/>
              <w:rPr>
                <w:color w:val="auto"/>
                <w:szCs w:val="21"/>
                <w:highlight w:val="none"/>
              </w:rPr>
            </w:pPr>
          </w:p>
        </w:tc>
        <w:tc>
          <w:tcPr>
            <w:tcW w:w="2321" w:type="dxa"/>
            <w:noWrap w:val="0"/>
            <w:vAlign w:val="center"/>
          </w:tcPr>
          <w:p w14:paraId="4A131B82">
            <w:pPr>
              <w:spacing w:line="380" w:lineRule="exact"/>
              <w:jc w:val="center"/>
              <w:rPr>
                <w:color w:val="auto"/>
                <w:highlight w:val="none"/>
              </w:rPr>
            </w:pPr>
            <w:r>
              <w:rPr>
                <w:color w:val="auto"/>
                <w:highlight w:val="none"/>
              </w:rPr>
              <w:t>现场提交质疑办理业务</w:t>
            </w:r>
          </w:p>
          <w:p w14:paraId="5DC752A7">
            <w:pPr>
              <w:spacing w:line="380" w:lineRule="exact"/>
              <w:jc w:val="center"/>
              <w:rPr>
                <w:color w:val="auto"/>
                <w:szCs w:val="21"/>
                <w:highlight w:val="none"/>
              </w:rPr>
            </w:pPr>
            <w:r>
              <w:rPr>
                <w:color w:val="auto"/>
                <w:highlight w:val="none"/>
              </w:rPr>
              <w:t>时间</w:t>
            </w:r>
          </w:p>
        </w:tc>
        <w:tc>
          <w:tcPr>
            <w:tcW w:w="7080" w:type="dxa"/>
            <w:noWrap w:val="0"/>
            <w:vAlign w:val="center"/>
          </w:tcPr>
          <w:p w14:paraId="14A8A6EB">
            <w:pPr>
              <w:snapToGrid w:val="0"/>
              <w:spacing w:line="380" w:lineRule="exact"/>
              <w:rPr>
                <w:color w:val="auto"/>
                <w:szCs w:val="21"/>
                <w:highlight w:val="none"/>
              </w:rPr>
            </w:pPr>
            <w:r>
              <w:rPr>
                <w:color w:val="auto"/>
                <w:highlight w:val="none"/>
              </w:rPr>
              <w:t>质疑期内每个工作日（北京时间）上午</w:t>
            </w:r>
            <w:r>
              <w:rPr>
                <w:rFonts w:hint="eastAsia"/>
                <w:color w:val="auto"/>
                <w:highlight w:val="none"/>
                <w:u w:val="single"/>
                <w:lang w:val="en-US" w:eastAsia="zh-CN"/>
              </w:rPr>
              <w:t>9</w:t>
            </w:r>
            <w:r>
              <w:rPr>
                <w:color w:val="auto"/>
                <w:highlight w:val="none"/>
              </w:rPr>
              <w:t>时</w:t>
            </w:r>
            <w:r>
              <w:rPr>
                <w:color w:val="auto"/>
                <w:highlight w:val="none"/>
                <w:u w:val="single"/>
              </w:rPr>
              <w:t>00</w:t>
            </w:r>
            <w:r>
              <w:rPr>
                <w:color w:val="auto"/>
                <w:highlight w:val="none"/>
              </w:rPr>
              <w:t>分到</w:t>
            </w:r>
            <w:r>
              <w:rPr>
                <w:color w:val="auto"/>
                <w:highlight w:val="none"/>
                <w:u w:val="single"/>
              </w:rPr>
              <w:t>12</w:t>
            </w:r>
            <w:r>
              <w:rPr>
                <w:color w:val="auto"/>
                <w:highlight w:val="none"/>
              </w:rPr>
              <w:t>时</w:t>
            </w:r>
            <w:r>
              <w:rPr>
                <w:color w:val="auto"/>
                <w:highlight w:val="none"/>
                <w:u w:val="single"/>
              </w:rPr>
              <w:t>00</w:t>
            </w:r>
            <w:r>
              <w:rPr>
                <w:color w:val="auto"/>
                <w:highlight w:val="none"/>
              </w:rPr>
              <w:t>分，下午</w:t>
            </w:r>
            <w:r>
              <w:rPr>
                <w:rFonts w:hint="eastAsia"/>
                <w:color w:val="auto"/>
                <w:highlight w:val="none"/>
                <w:u w:val="single"/>
                <w:lang w:val="en-US" w:eastAsia="zh-CN"/>
              </w:rPr>
              <w:t>14</w:t>
            </w:r>
            <w:r>
              <w:rPr>
                <w:color w:val="auto"/>
                <w:highlight w:val="none"/>
              </w:rPr>
              <w:t>时</w:t>
            </w:r>
            <w:r>
              <w:rPr>
                <w:rFonts w:hint="eastAsia"/>
                <w:color w:val="auto"/>
                <w:highlight w:val="none"/>
                <w:u w:val="single"/>
                <w:lang w:val="en-US" w:eastAsia="zh-CN"/>
              </w:rPr>
              <w:t>30</w:t>
            </w:r>
            <w:r>
              <w:rPr>
                <w:color w:val="auto"/>
                <w:highlight w:val="none"/>
              </w:rPr>
              <w:t>分到</w:t>
            </w:r>
            <w:r>
              <w:rPr>
                <w:rFonts w:hint="eastAsia"/>
                <w:color w:val="auto"/>
                <w:highlight w:val="none"/>
                <w:u w:val="single"/>
                <w:lang w:val="en-US" w:eastAsia="zh-CN"/>
              </w:rPr>
              <w:t>17</w:t>
            </w:r>
            <w:r>
              <w:rPr>
                <w:color w:val="auto"/>
                <w:highlight w:val="none"/>
              </w:rPr>
              <w:t>时</w:t>
            </w:r>
            <w:r>
              <w:rPr>
                <w:rFonts w:hint="eastAsia"/>
                <w:color w:val="auto"/>
                <w:highlight w:val="none"/>
                <w:u w:val="single"/>
                <w:lang w:val="en-US" w:eastAsia="zh-CN"/>
              </w:rPr>
              <w:t>30</w:t>
            </w:r>
            <w:r>
              <w:rPr>
                <w:color w:val="auto"/>
                <w:highlight w:val="none"/>
              </w:rPr>
              <w:t>分。</w:t>
            </w:r>
          </w:p>
        </w:tc>
      </w:tr>
      <w:tr w14:paraId="544B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CF8CA44">
            <w:pPr>
              <w:spacing w:line="360" w:lineRule="auto"/>
              <w:jc w:val="center"/>
              <w:rPr>
                <w:color w:val="auto"/>
                <w:szCs w:val="21"/>
                <w:highlight w:val="none"/>
              </w:rPr>
            </w:pPr>
            <w:r>
              <w:rPr>
                <w:color w:val="auto"/>
                <w:szCs w:val="21"/>
                <w:highlight w:val="none"/>
              </w:rPr>
              <w:t>3</w:t>
            </w:r>
            <w:r>
              <w:rPr>
                <w:rFonts w:hint="eastAsia"/>
                <w:color w:val="auto"/>
                <w:szCs w:val="21"/>
                <w:highlight w:val="none"/>
                <w:lang w:val="en-US" w:eastAsia="zh-CN"/>
              </w:rPr>
              <w:t>0</w:t>
            </w:r>
            <w:r>
              <w:rPr>
                <w:color w:val="auto"/>
                <w:szCs w:val="21"/>
                <w:highlight w:val="none"/>
              </w:rPr>
              <w:t>.6</w:t>
            </w:r>
          </w:p>
        </w:tc>
        <w:tc>
          <w:tcPr>
            <w:tcW w:w="2321" w:type="dxa"/>
            <w:noWrap w:val="0"/>
            <w:vAlign w:val="center"/>
          </w:tcPr>
          <w:p w14:paraId="66A9D76C">
            <w:pPr>
              <w:spacing w:line="360" w:lineRule="auto"/>
              <w:jc w:val="center"/>
              <w:rPr>
                <w:color w:val="auto"/>
                <w:szCs w:val="21"/>
                <w:highlight w:val="none"/>
              </w:rPr>
            </w:pPr>
            <w:r>
              <w:rPr>
                <w:color w:val="auto"/>
                <w:szCs w:val="21"/>
                <w:highlight w:val="none"/>
              </w:rPr>
              <w:t>受理投诉方式</w:t>
            </w:r>
          </w:p>
        </w:tc>
        <w:tc>
          <w:tcPr>
            <w:tcW w:w="7080" w:type="dxa"/>
            <w:noWrap w:val="0"/>
            <w:vAlign w:val="center"/>
          </w:tcPr>
          <w:p w14:paraId="22A2A391">
            <w:pPr>
              <w:snapToGrid w:val="0"/>
              <w:spacing w:line="380" w:lineRule="exact"/>
              <w:rPr>
                <w:color w:val="auto"/>
                <w:highlight w:val="none"/>
              </w:rPr>
            </w:pPr>
            <w:r>
              <w:rPr>
                <w:color w:val="auto"/>
                <w:highlight w:val="none"/>
              </w:rPr>
              <w:t>1、受理方式：纸质方式受理，投诉书正、副本（经过质疑的事项才可投诉）。</w:t>
            </w:r>
          </w:p>
          <w:p w14:paraId="507C2D7F">
            <w:pPr>
              <w:snapToGrid w:val="0"/>
              <w:spacing w:line="380" w:lineRule="exact"/>
              <w:rPr>
                <w:color w:val="auto"/>
                <w:highlight w:val="none"/>
              </w:rPr>
            </w:pPr>
            <w:r>
              <w:rPr>
                <w:color w:val="auto"/>
                <w:highlight w:val="none"/>
              </w:rPr>
              <w:t>2、通讯方式</w:t>
            </w:r>
          </w:p>
          <w:p w14:paraId="49AD53B0">
            <w:pPr>
              <w:snapToGrid w:val="0"/>
              <w:spacing w:line="380" w:lineRule="exact"/>
              <w:rPr>
                <w:rFonts w:hint="eastAsia" w:eastAsia="宋体"/>
                <w:color w:val="auto"/>
                <w:highlight w:val="none"/>
                <w:lang w:eastAsia="zh-CN"/>
              </w:rPr>
            </w:pPr>
            <w:r>
              <w:rPr>
                <w:color w:val="auto"/>
                <w:highlight w:val="none"/>
              </w:rPr>
              <w:t>名称：</w:t>
            </w:r>
            <w:r>
              <w:rPr>
                <w:rFonts w:hint="eastAsia"/>
                <w:color w:val="auto"/>
                <w:highlight w:val="none"/>
                <w:lang w:eastAsia="zh-CN"/>
              </w:rPr>
              <w:t>灵川县财政局</w:t>
            </w:r>
          </w:p>
          <w:p w14:paraId="5E284C5D">
            <w:pPr>
              <w:snapToGrid w:val="0"/>
              <w:spacing w:line="380" w:lineRule="exact"/>
              <w:rPr>
                <w:color w:val="auto"/>
                <w:highlight w:val="none"/>
              </w:rPr>
            </w:pPr>
            <w:r>
              <w:rPr>
                <w:color w:val="auto"/>
                <w:highlight w:val="none"/>
              </w:rPr>
              <w:t>地址：</w:t>
            </w:r>
            <w:r>
              <w:rPr>
                <w:rFonts w:hint="eastAsia"/>
                <w:color w:val="auto"/>
                <w:highlight w:val="none"/>
                <w:lang w:eastAsia="zh-CN"/>
              </w:rPr>
              <w:t>桂林市灵川县灵南路</w:t>
            </w:r>
            <w:r>
              <w:rPr>
                <w:rFonts w:hint="eastAsia"/>
                <w:color w:val="auto"/>
                <w:highlight w:val="none"/>
                <w:lang w:val="en-US" w:eastAsia="zh-CN"/>
              </w:rPr>
              <w:t>25号</w:t>
            </w:r>
          </w:p>
          <w:p w14:paraId="6A358A51">
            <w:pPr>
              <w:snapToGrid w:val="0"/>
              <w:spacing w:line="380" w:lineRule="exact"/>
              <w:rPr>
                <w:color w:val="auto"/>
                <w:highlight w:val="none"/>
              </w:rPr>
            </w:pPr>
            <w:r>
              <w:rPr>
                <w:color w:val="auto"/>
                <w:highlight w:val="none"/>
              </w:rPr>
              <w:t>联系电话：</w:t>
            </w:r>
            <w:r>
              <w:rPr>
                <w:rFonts w:hint="eastAsia"/>
                <w:color w:val="auto"/>
                <w:highlight w:val="none"/>
                <w:lang w:val="en-US" w:eastAsia="zh-CN"/>
              </w:rPr>
              <w:t>0773-6861848</w:t>
            </w:r>
          </w:p>
        </w:tc>
      </w:tr>
      <w:tr w14:paraId="1B283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55EB1E1">
            <w:pPr>
              <w:spacing w:line="360" w:lineRule="auto"/>
              <w:jc w:val="center"/>
              <w:rPr>
                <w:rFonts w:hint="eastAsia" w:eastAsia="宋体"/>
                <w:color w:val="auto"/>
                <w:szCs w:val="21"/>
                <w:highlight w:val="none"/>
                <w:lang w:val="en-US" w:eastAsia="zh-CN"/>
              </w:rPr>
            </w:pPr>
            <w:r>
              <w:rPr>
                <w:color w:val="auto"/>
                <w:szCs w:val="21"/>
                <w:highlight w:val="none"/>
              </w:rPr>
              <w:t>3</w:t>
            </w:r>
            <w:r>
              <w:rPr>
                <w:rFonts w:hint="eastAsia"/>
                <w:color w:val="auto"/>
                <w:szCs w:val="21"/>
                <w:highlight w:val="none"/>
                <w:lang w:val="en-US" w:eastAsia="zh-CN"/>
              </w:rPr>
              <w:t>2</w:t>
            </w:r>
          </w:p>
        </w:tc>
        <w:tc>
          <w:tcPr>
            <w:tcW w:w="2321" w:type="dxa"/>
            <w:noWrap w:val="0"/>
            <w:vAlign w:val="center"/>
          </w:tcPr>
          <w:p w14:paraId="7F4FF03C">
            <w:pPr>
              <w:spacing w:line="360" w:lineRule="auto"/>
              <w:jc w:val="center"/>
              <w:rPr>
                <w:color w:val="auto"/>
                <w:szCs w:val="21"/>
                <w:highlight w:val="none"/>
              </w:rPr>
            </w:pPr>
            <w:r>
              <w:rPr>
                <w:color w:val="auto"/>
                <w:szCs w:val="21"/>
                <w:highlight w:val="none"/>
              </w:rPr>
              <w:t>采购代理服务费</w:t>
            </w:r>
          </w:p>
        </w:tc>
        <w:tc>
          <w:tcPr>
            <w:tcW w:w="7080" w:type="dxa"/>
            <w:noWrap w:val="0"/>
            <w:vAlign w:val="center"/>
          </w:tcPr>
          <w:p w14:paraId="6069CDFB">
            <w:pPr>
              <w:numPr>
                <w:ilvl w:val="0"/>
                <w:numId w:val="0"/>
              </w:numPr>
              <w:snapToGrid w:val="0"/>
              <w:spacing w:line="360" w:lineRule="auto"/>
              <w:rPr>
                <w:color w:val="auto"/>
                <w:kern w:val="0"/>
                <w:szCs w:val="21"/>
                <w:highlight w:val="none"/>
              </w:rPr>
            </w:pPr>
            <w:r>
              <w:rPr>
                <w:rFonts w:hint="eastAsia"/>
                <w:color w:val="auto"/>
                <w:kern w:val="0"/>
                <w:szCs w:val="21"/>
                <w:highlight w:val="none"/>
                <w:lang w:val="en-US" w:eastAsia="zh-CN"/>
              </w:rPr>
              <w:t>1.</w:t>
            </w:r>
            <w:r>
              <w:rPr>
                <w:color w:val="auto"/>
                <w:kern w:val="0"/>
                <w:szCs w:val="21"/>
                <w:highlight w:val="none"/>
              </w:rPr>
              <w:t>是否收取采购代</w:t>
            </w:r>
            <w:r>
              <w:rPr>
                <w:rFonts w:hint="eastAsia"/>
                <w:color w:val="auto"/>
                <w:kern w:val="0"/>
                <w:szCs w:val="21"/>
                <w:highlight w:val="none"/>
                <w:lang w:eastAsia="zh-CN"/>
              </w:rPr>
              <w:t>理</w:t>
            </w:r>
            <w:r>
              <w:rPr>
                <w:color w:val="auto"/>
                <w:kern w:val="0"/>
                <w:szCs w:val="21"/>
                <w:highlight w:val="none"/>
              </w:rPr>
              <w:t xml:space="preserve">服务费：是 </w:t>
            </w:r>
          </w:p>
          <w:p w14:paraId="078AE975">
            <w:pPr>
              <w:numPr>
                <w:ilvl w:val="0"/>
                <w:numId w:val="0"/>
              </w:numPr>
              <w:snapToGrid w:val="0"/>
              <w:spacing w:line="360" w:lineRule="auto"/>
              <w:rPr>
                <w:color w:val="auto"/>
                <w:kern w:val="0"/>
                <w:szCs w:val="21"/>
                <w:highlight w:val="none"/>
              </w:rPr>
            </w:pPr>
            <w:r>
              <w:rPr>
                <w:color w:val="auto"/>
                <w:kern w:val="0"/>
                <w:szCs w:val="21"/>
                <w:highlight w:val="none"/>
              </w:rPr>
              <w:t>2.采购代理服务费支付方式：</w:t>
            </w:r>
          </w:p>
          <w:p w14:paraId="3DA02C74">
            <w:pPr>
              <w:snapToGrid w:val="0"/>
              <w:spacing w:line="360" w:lineRule="auto"/>
              <w:rPr>
                <w:color w:val="auto"/>
                <w:kern w:val="0"/>
                <w:szCs w:val="21"/>
                <w:highlight w:val="none"/>
              </w:rPr>
            </w:pPr>
            <w:r>
              <w:rPr>
                <w:color w:val="auto"/>
                <w:kern w:val="0"/>
                <w:szCs w:val="21"/>
                <w:highlight w:val="none"/>
              </w:rPr>
              <w:t>本项目采购代理服务费由成交供应商在签订合同前，</w:t>
            </w:r>
            <w:r>
              <w:rPr>
                <w:color w:val="auto"/>
                <w:highlight w:val="none"/>
              </w:rPr>
              <w:t>以银行转账、电汇等方式</w:t>
            </w:r>
            <w:r>
              <w:rPr>
                <w:color w:val="auto"/>
                <w:kern w:val="0"/>
                <w:szCs w:val="21"/>
                <w:highlight w:val="none"/>
              </w:rPr>
              <w:t>一次性向采购代理机构支付。</w:t>
            </w:r>
          </w:p>
          <w:p w14:paraId="72B89F82">
            <w:pPr>
              <w:snapToGrid w:val="0"/>
              <w:spacing w:line="360" w:lineRule="auto"/>
              <w:rPr>
                <w:color w:val="auto"/>
                <w:kern w:val="0"/>
                <w:szCs w:val="21"/>
                <w:highlight w:val="none"/>
              </w:rPr>
            </w:pPr>
            <w:r>
              <w:rPr>
                <w:color w:val="auto"/>
                <w:kern w:val="0"/>
                <w:szCs w:val="21"/>
                <w:highlight w:val="none"/>
              </w:rPr>
              <w:t>3.采购代理服务费收取标准：</w:t>
            </w:r>
          </w:p>
          <w:p w14:paraId="1941B07B">
            <w:pPr>
              <w:snapToGrid w:val="0"/>
              <w:spacing w:line="360" w:lineRule="auto"/>
              <w:rPr>
                <w:color w:val="auto"/>
                <w:kern w:val="0"/>
                <w:szCs w:val="21"/>
                <w:highlight w:val="none"/>
              </w:rPr>
            </w:pPr>
            <w:r>
              <w:rPr>
                <w:rFonts w:hint="eastAsia" w:ascii="宋体" w:hAnsi="宋体" w:cs="宋体"/>
                <w:color w:val="auto"/>
                <w:kern w:val="0"/>
                <w:szCs w:val="21"/>
                <w:highlight w:val="none"/>
              </w:rPr>
              <w:t>☑</w:t>
            </w:r>
            <w:r>
              <w:rPr>
                <w:color w:val="auto"/>
                <w:kern w:val="0"/>
                <w:szCs w:val="21"/>
                <w:highlight w:val="none"/>
              </w:rPr>
              <w:t>以项目（</w:t>
            </w:r>
            <w:r>
              <w:rPr>
                <w:rFonts w:hint="eastAsia" w:ascii="宋体" w:hAnsi="宋体" w:cs="宋体"/>
                <w:color w:val="auto"/>
                <w:kern w:val="0"/>
                <w:szCs w:val="21"/>
                <w:highlight w:val="none"/>
              </w:rPr>
              <w:t>☑</w:t>
            </w:r>
            <w:r>
              <w:rPr>
                <w:color w:val="auto"/>
                <w:kern w:val="0"/>
                <w:szCs w:val="21"/>
                <w:highlight w:val="none"/>
              </w:rPr>
              <w:t>成交总金额/</w:t>
            </w:r>
            <w:r>
              <w:rPr>
                <w:rFonts w:hint="eastAsia" w:ascii="宋体" w:hAnsi="宋体" w:cs="宋体"/>
                <w:color w:val="auto"/>
                <w:kern w:val="0"/>
                <w:szCs w:val="21"/>
                <w:highlight w:val="none"/>
              </w:rPr>
              <w:t>□</w:t>
            </w:r>
            <w:r>
              <w:rPr>
                <w:color w:val="auto"/>
                <w:kern w:val="0"/>
                <w:szCs w:val="21"/>
                <w:highlight w:val="none"/>
              </w:rPr>
              <w:t>采购预算/</w:t>
            </w:r>
            <w:r>
              <w:rPr>
                <w:rFonts w:hint="eastAsia" w:ascii="宋体" w:hAnsi="宋体" w:cs="宋体"/>
                <w:color w:val="auto"/>
                <w:kern w:val="0"/>
                <w:szCs w:val="21"/>
                <w:highlight w:val="none"/>
              </w:rPr>
              <w:t>□</w:t>
            </w:r>
            <w:r>
              <w:rPr>
                <w:color w:val="auto"/>
                <w:kern w:val="0"/>
                <w:szCs w:val="21"/>
                <w:highlight w:val="none"/>
              </w:rPr>
              <w:t>暂定成交金额/</w:t>
            </w:r>
            <w:r>
              <w:rPr>
                <w:rFonts w:hint="eastAsia" w:ascii="宋体" w:hAnsi="宋体" w:cs="宋体"/>
                <w:color w:val="auto"/>
                <w:kern w:val="0"/>
                <w:szCs w:val="21"/>
                <w:highlight w:val="none"/>
              </w:rPr>
              <w:t>□</w:t>
            </w:r>
            <w:r>
              <w:rPr>
                <w:color w:val="auto"/>
                <w:kern w:val="0"/>
                <w:szCs w:val="21"/>
                <w:highlight w:val="none"/>
              </w:rPr>
              <w:t>其他</w:t>
            </w:r>
            <w:r>
              <w:rPr>
                <w:color w:val="auto"/>
                <w:kern w:val="0"/>
                <w:szCs w:val="21"/>
                <w:highlight w:val="none"/>
                <w:u w:val="single"/>
              </w:rPr>
              <w:t xml:space="preserve">   </w:t>
            </w:r>
            <w:r>
              <w:rPr>
                <w:color w:val="auto"/>
                <w:kern w:val="0"/>
                <w:szCs w:val="21"/>
                <w:highlight w:val="none"/>
              </w:rPr>
              <w:t>）为计费额，按</w:t>
            </w:r>
            <w:r>
              <w:rPr>
                <w:color w:val="auto"/>
                <w:highlight w:val="none"/>
              </w:rPr>
              <w:t>本须知正文第3</w:t>
            </w:r>
            <w:r>
              <w:rPr>
                <w:rFonts w:hint="eastAsia"/>
                <w:color w:val="auto"/>
                <w:highlight w:val="none"/>
                <w:lang w:val="en-US" w:eastAsia="zh-CN"/>
              </w:rPr>
              <w:t>2</w:t>
            </w:r>
            <w:r>
              <w:rPr>
                <w:color w:val="auto"/>
                <w:highlight w:val="none"/>
              </w:rPr>
              <w:t>.2条规定的收费计算标准（</w:t>
            </w:r>
            <w:r>
              <w:rPr>
                <w:rFonts w:hint="eastAsia"/>
                <w:b/>
                <w:bCs/>
                <w:color w:val="auto"/>
                <w:kern w:val="0"/>
                <w:szCs w:val="21"/>
                <w:highlight w:val="none"/>
                <w:u w:val="single"/>
              </w:rPr>
              <w:t>工程</w:t>
            </w:r>
            <w:r>
              <w:rPr>
                <w:b/>
                <w:bCs/>
                <w:color w:val="auto"/>
                <w:kern w:val="0"/>
                <w:szCs w:val="21"/>
                <w:highlight w:val="none"/>
                <w:u w:val="single"/>
              </w:rPr>
              <w:t>类</w:t>
            </w:r>
            <w:r>
              <w:rPr>
                <w:color w:val="auto"/>
                <w:highlight w:val="none"/>
              </w:rPr>
              <w:t>）</w:t>
            </w:r>
            <w:r>
              <w:rPr>
                <w:color w:val="auto"/>
                <w:kern w:val="0"/>
                <w:szCs w:val="21"/>
                <w:highlight w:val="none"/>
              </w:rPr>
              <w:t>采用差额定率累进法计算出收费基准价格，采购代理机构收费以（</w:t>
            </w:r>
            <w:r>
              <w:rPr>
                <w:rFonts w:hint="eastAsia" w:ascii="宋体" w:hAnsi="宋体" w:cs="宋体"/>
                <w:color w:val="auto"/>
                <w:kern w:val="0"/>
                <w:szCs w:val="21"/>
                <w:highlight w:val="none"/>
              </w:rPr>
              <w:t>☑</w:t>
            </w:r>
            <w:r>
              <w:rPr>
                <w:color w:val="auto"/>
                <w:kern w:val="0"/>
                <w:szCs w:val="21"/>
                <w:highlight w:val="none"/>
              </w:rPr>
              <w:t>收费基准价格/</w:t>
            </w:r>
            <w:r>
              <w:rPr>
                <w:rFonts w:hint="eastAsia" w:ascii="宋体" w:hAnsi="宋体" w:cs="宋体"/>
                <w:color w:val="auto"/>
                <w:kern w:val="0"/>
                <w:szCs w:val="21"/>
                <w:highlight w:val="none"/>
              </w:rPr>
              <w:t>□</w:t>
            </w:r>
            <w:r>
              <w:rPr>
                <w:color w:val="auto"/>
                <w:kern w:val="0"/>
                <w:szCs w:val="21"/>
                <w:highlight w:val="none"/>
              </w:rPr>
              <w:t>收费基准价格下浮</w:t>
            </w:r>
            <w:r>
              <w:rPr>
                <w:color w:val="auto"/>
                <w:kern w:val="0"/>
                <w:szCs w:val="21"/>
                <w:highlight w:val="none"/>
                <w:u w:val="single"/>
              </w:rPr>
              <w:t xml:space="preserve">  %</w:t>
            </w:r>
            <w:r>
              <w:rPr>
                <w:color w:val="auto"/>
                <w:kern w:val="0"/>
                <w:szCs w:val="21"/>
                <w:highlight w:val="none"/>
              </w:rPr>
              <w:t>/</w:t>
            </w:r>
            <w:r>
              <w:rPr>
                <w:rFonts w:hint="eastAsia" w:ascii="宋体" w:hAnsi="宋体" w:cs="宋体"/>
                <w:color w:val="auto"/>
                <w:kern w:val="0"/>
                <w:szCs w:val="21"/>
                <w:highlight w:val="none"/>
              </w:rPr>
              <w:t>□</w:t>
            </w:r>
            <w:r>
              <w:rPr>
                <w:color w:val="auto"/>
                <w:kern w:val="0"/>
                <w:szCs w:val="21"/>
                <w:highlight w:val="none"/>
              </w:rPr>
              <w:t>收费基准价格上浮</w:t>
            </w:r>
            <w:r>
              <w:rPr>
                <w:color w:val="auto"/>
                <w:kern w:val="0"/>
                <w:szCs w:val="21"/>
                <w:highlight w:val="none"/>
                <w:u w:val="single"/>
              </w:rPr>
              <w:t xml:space="preserve">   %</w:t>
            </w:r>
            <w:r>
              <w:rPr>
                <w:color w:val="auto"/>
                <w:kern w:val="0"/>
                <w:szCs w:val="21"/>
                <w:highlight w:val="none"/>
              </w:rPr>
              <w:t>）收取。</w:t>
            </w:r>
          </w:p>
          <w:p w14:paraId="77EE6295">
            <w:pPr>
              <w:snapToGrid w:val="0"/>
              <w:spacing w:line="360" w:lineRule="auto"/>
              <w:rPr>
                <w:color w:val="auto"/>
                <w:kern w:val="0"/>
                <w:szCs w:val="21"/>
                <w:highlight w:val="none"/>
              </w:rPr>
            </w:pPr>
            <w:r>
              <w:rPr>
                <w:color w:val="auto"/>
                <w:kern w:val="0"/>
                <w:szCs w:val="21"/>
                <w:highlight w:val="none"/>
              </w:rPr>
              <w:t>4. 采购代理服务费收取银行账户的信息</w:t>
            </w:r>
          </w:p>
          <w:p w14:paraId="75EE794F">
            <w:pPr>
              <w:snapToGrid w:val="0"/>
              <w:spacing w:line="360" w:lineRule="auto"/>
              <w:rPr>
                <w:color w:val="auto"/>
                <w:kern w:val="0"/>
                <w:szCs w:val="21"/>
                <w:highlight w:val="none"/>
              </w:rPr>
            </w:pPr>
            <w:r>
              <w:rPr>
                <w:color w:val="auto"/>
                <w:kern w:val="0"/>
                <w:szCs w:val="21"/>
                <w:highlight w:val="none"/>
              </w:rPr>
              <w:t>开户名称：</w:t>
            </w:r>
            <w:r>
              <w:rPr>
                <w:rFonts w:hint="default" w:ascii="Times New Roman" w:hAnsi="Times New Roman"/>
                <w:color w:val="auto"/>
                <w:lang w:val="en-US" w:eastAsia="zh-CN"/>
              </w:rPr>
              <w:t>广西科联招标中心有限公司桂林分公司</w:t>
            </w:r>
          </w:p>
          <w:p w14:paraId="0ECC3089">
            <w:pPr>
              <w:snapToGrid w:val="0"/>
              <w:spacing w:line="360" w:lineRule="auto"/>
              <w:rPr>
                <w:rFonts w:hint="eastAsia" w:eastAsia="宋体"/>
                <w:color w:val="auto"/>
                <w:kern w:val="0"/>
                <w:szCs w:val="21"/>
                <w:highlight w:val="none"/>
                <w:lang w:eastAsia="zh-CN"/>
              </w:rPr>
            </w:pPr>
            <w:r>
              <w:rPr>
                <w:color w:val="auto"/>
                <w:kern w:val="0"/>
                <w:szCs w:val="21"/>
                <w:highlight w:val="none"/>
              </w:rPr>
              <w:t>开户银行：</w:t>
            </w:r>
            <w:r>
              <w:rPr>
                <w:rFonts w:hint="eastAsia"/>
                <w:color w:val="auto"/>
                <w:szCs w:val="21"/>
                <w:highlight w:val="none"/>
                <w:lang w:eastAsia="zh-CN"/>
              </w:rPr>
              <w:t>工行桂林桂湖支行</w:t>
            </w:r>
          </w:p>
          <w:p w14:paraId="0D383CC1">
            <w:pPr>
              <w:snapToGrid w:val="0"/>
              <w:spacing w:line="360" w:lineRule="auto"/>
              <w:rPr>
                <w:rFonts w:hint="eastAsia" w:eastAsia="宋体"/>
                <w:color w:val="auto"/>
                <w:kern w:val="0"/>
                <w:szCs w:val="21"/>
                <w:highlight w:val="none"/>
                <w:lang w:eastAsia="zh-CN"/>
              </w:rPr>
            </w:pPr>
            <w:r>
              <w:rPr>
                <w:color w:val="auto"/>
                <w:kern w:val="0"/>
                <w:szCs w:val="21"/>
                <w:highlight w:val="none"/>
              </w:rPr>
              <w:t>银行账号：</w:t>
            </w:r>
            <w:r>
              <w:rPr>
                <w:rFonts w:hint="eastAsia"/>
                <w:color w:val="auto"/>
                <w:szCs w:val="21"/>
                <w:highlight w:val="none"/>
                <w:lang w:eastAsia="zh-CN"/>
              </w:rPr>
              <w:t>2103260229201002537</w:t>
            </w:r>
          </w:p>
        </w:tc>
      </w:tr>
      <w:tr w14:paraId="04A3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9FDF0C5">
            <w:pPr>
              <w:spacing w:line="360" w:lineRule="auto"/>
              <w:jc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.1</w:t>
            </w:r>
          </w:p>
        </w:tc>
        <w:tc>
          <w:tcPr>
            <w:tcW w:w="2321" w:type="dxa"/>
            <w:noWrap w:val="0"/>
            <w:vAlign w:val="center"/>
          </w:tcPr>
          <w:p w14:paraId="245884DF">
            <w:pPr>
              <w:spacing w:line="360" w:lineRule="auto"/>
              <w:jc w:val="center"/>
              <w:rPr>
                <w:color w:val="auto"/>
                <w:szCs w:val="21"/>
                <w:highlight w:val="none"/>
              </w:rPr>
            </w:pPr>
            <w:r>
              <w:rPr>
                <w:color w:val="auto"/>
                <w:highlight w:val="none"/>
              </w:rPr>
              <w:t>解释</w:t>
            </w:r>
          </w:p>
        </w:tc>
        <w:tc>
          <w:tcPr>
            <w:tcW w:w="7080" w:type="dxa"/>
            <w:noWrap w:val="0"/>
            <w:vAlign w:val="center"/>
          </w:tcPr>
          <w:p w14:paraId="1ECB97FE">
            <w:pPr>
              <w:snapToGrid w:val="0"/>
              <w:spacing w:line="360" w:lineRule="auto"/>
              <w:rPr>
                <w:b/>
                <w:color w:val="auto"/>
                <w:kern w:val="0"/>
                <w:szCs w:val="21"/>
                <w:highlight w:val="none"/>
              </w:rPr>
            </w:pPr>
            <w:r>
              <w:rPr>
                <w:b/>
                <w:color w:val="auto"/>
                <w:kern w:val="0"/>
                <w:szCs w:val="21"/>
                <w:highlight w:val="none"/>
              </w:rPr>
              <w:t>解释：</w:t>
            </w:r>
            <w:r>
              <w:rPr>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b/>
                <w:color w:val="auto"/>
                <w:kern w:val="0"/>
                <w:szCs w:val="21"/>
                <w:highlight w:val="none"/>
              </w:rPr>
              <w:t>由采购人或者采购代理机构负责解释。</w:t>
            </w:r>
          </w:p>
          <w:p w14:paraId="26E17F93">
            <w:pPr>
              <w:snapToGrid w:val="0"/>
              <w:spacing w:line="360" w:lineRule="auto"/>
              <w:rPr>
                <w:b/>
                <w:color w:val="auto"/>
                <w:kern w:val="0"/>
                <w:szCs w:val="21"/>
                <w:highlight w:val="none"/>
              </w:rPr>
            </w:pPr>
            <w:r>
              <w:rPr>
                <w:b/>
                <w:color w:val="auto"/>
                <w:kern w:val="0"/>
                <w:szCs w:val="21"/>
                <w:highlight w:val="none"/>
              </w:rPr>
              <w:t>法律责任：</w:t>
            </w:r>
          </w:p>
          <w:p w14:paraId="47C60D67">
            <w:pPr>
              <w:snapToGrid w:val="0"/>
              <w:spacing w:line="360" w:lineRule="auto"/>
              <w:rPr>
                <w:color w:val="auto"/>
                <w:kern w:val="0"/>
                <w:szCs w:val="21"/>
                <w:highlight w:val="none"/>
              </w:rPr>
            </w:pPr>
            <w:r>
              <w:rPr>
                <w:color w:val="auto"/>
                <w:kern w:val="0"/>
                <w:szCs w:val="21"/>
                <w:highlight w:val="none"/>
              </w:rPr>
              <w:t>本采购文件根据《中华人民共和国政府采购法》、《中华人民共和国民法典》</w:t>
            </w:r>
            <w:r>
              <w:rPr>
                <w:rFonts w:hint="eastAsia"/>
                <w:color w:val="auto"/>
                <w:kern w:val="0"/>
                <w:szCs w:val="21"/>
                <w:highlight w:val="none"/>
                <w:lang w:eastAsia="zh-CN"/>
              </w:rPr>
              <w:t>、</w:t>
            </w:r>
            <w:r>
              <w:rPr>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6EDFE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253B721">
            <w:pPr>
              <w:spacing w:line="360" w:lineRule="auto"/>
              <w:jc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.2</w:t>
            </w:r>
          </w:p>
        </w:tc>
        <w:tc>
          <w:tcPr>
            <w:tcW w:w="2321" w:type="dxa"/>
            <w:noWrap w:val="0"/>
            <w:vAlign w:val="center"/>
          </w:tcPr>
          <w:p w14:paraId="1FB4B2AD">
            <w:pPr>
              <w:spacing w:line="360" w:lineRule="auto"/>
              <w:jc w:val="center"/>
              <w:rPr>
                <w:color w:val="auto"/>
                <w:szCs w:val="21"/>
                <w:highlight w:val="none"/>
              </w:rPr>
            </w:pPr>
            <w:r>
              <w:rPr>
                <w:color w:val="auto"/>
                <w:szCs w:val="21"/>
                <w:highlight w:val="none"/>
              </w:rPr>
              <w:t>其他</w:t>
            </w:r>
          </w:p>
        </w:tc>
        <w:tc>
          <w:tcPr>
            <w:tcW w:w="7080" w:type="dxa"/>
            <w:noWrap w:val="0"/>
            <w:vAlign w:val="center"/>
          </w:tcPr>
          <w:p w14:paraId="3E1B9A92">
            <w:pPr>
              <w:pStyle w:val="11"/>
              <w:spacing w:line="360" w:lineRule="auto"/>
              <w:ind w:firstLine="420" w:firstLineChars="200"/>
              <w:rPr>
                <w:color w:val="auto"/>
                <w:szCs w:val="21"/>
                <w:highlight w:val="none"/>
                <w:lang w:val="en-US" w:eastAsia="zh-CN"/>
              </w:rPr>
            </w:pPr>
            <w:r>
              <w:rPr>
                <w:color w:val="auto"/>
                <w:szCs w:val="21"/>
                <w:highlight w:val="none"/>
                <w:lang w:val="en-US" w:eastAsia="zh-CN"/>
              </w:rPr>
              <w:t>1.本竞争性磋商文件中描述供应商的</w:t>
            </w:r>
            <w:r>
              <w:rPr>
                <w:rFonts w:hint="eastAsia"/>
                <w:color w:val="auto"/>
                <w:szCs w:val="21"/>
                <w:highlight w:val="none"/>
                <w:lang w:val="en-US" w:eastAsia="zh-CN"/>
              </w:rPr>
              <w:t>“</w:t>
            </w:r>
            <w:r>
              <w:rPr>
                <w:color w:val="auto"/>
                <w:szCs w:val="21"/>
                <w:highlight w:val="none"/>
                <w:lang w:val="en-US" w:eastAsia="zh-CN"/>
              </w:rPr>
              <w:t>公章</w:t>
            </w:r>
            <w:r>
              <w:rPr>
                <w:rFonts w:hint="eastAsia"/>
                <w:color w:val="auto"/>
                <w:szCs w:val="21"/>
                <w:highlight w:val="none"/>
                <w:lang w:val="en-US" w:eastAsia="zh-CN"/>
              </w:rPr>
              <w:t>”</w:t>
            </w:r>
            <w:r>
              <w:rPr>
                <w:color w:val="auto"/>
                <w:szCs w:val="21"/>
                <w:highlight w:val="none"/>
                <w:lang w:val="en-US" w:eastAsia="zh-CN"/>
              </w:rPr>
              <w:t>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58ABC9BB">
            <w:pPr>
              <w:pStyle w:val="11"/>
              <w:spacing w:line="360" w:lineRule="auto"/>
              <w:ind w:firstLine="420" w:firstLineChars="200"/>
              <w:rPr>
                <w:color w:val="auto"/>
                <w:szCs w:val="21"/>
                <w:highlight w:val="none"/>
                <w:lang w:val="en-US" w:eastAsia="zh-CN"/>
              </w:rPr>
            </w:pPr>
            <w:r>
              <w:rPr>
                <w:color w:val="auto"/>
                <w:szCs w:val="21"/>
                <w:highlight w:val="none"/>
                <w:lang w:val="en-US" w:eastAsia="zh-CN"/>
              </w:rPr>
              <w:t>2.本竞争性磋商文件中描述供应商的</w:t>
            </w:r>
            <w:r>
              <w:rPr>
                <w:rFonts w:hint="eastAsia"/>
                <w:color w:val="auto"/>
                <w:szCs w:val="21"/>
                <w:highlight w:val="none"/>
                <w:lang w:val="en-US" w:eastAsia="zh-CN"/>
              </w:rPr>
              <w:t>“</w:t>
            </w:r>
            <w:r>
              <w:rPr>
                <w:color w:val="auto"/>
                <w:szCs w:val="21"/>
                <w:highlight w:val="none"/>
                <w:lang w:val="en-US" w:eastAsia="zh-CN"/>
              </w:rPr>
              <w:t>签字</w:t>
            </w:r>
            <w:r>
              <w:rPr>
                <w:rFonts w:hint="eastAsia"/>
                <w:color w:val="auto"/>
                <w:szCs w:val="21"/>
                <w:highlight w:val="none"/>
                <w:lang w:val="en-US" w:eastAsia="zh-CN"/>
              </w:rPr>
              <w:t>”</w:t>
            </w:r>
            <w:r>
              <w:rPr>
                <w:color w:val="auto"/>
                <w:szCs w:val="21"/>
                <w:highlight w:val="none"/>
                <w:lang w:val="en-US" w:eastAsia="zh-CN"/>
              </w:rPr>
              <w:t>是指供应商通过指定电子化政府采购平台办理数字证书（CA认证）获得的以供应商法定代表人或者委托代理人姓名制作的电子印章或手写签字。</w:t>
            </w:r>
          </w:p>
          <w:p w14:paraId="59B52E95">
            <w:pPr>
              <w:pStyle w:val="11"/>
              <w:tabs>
                <w:tab w:val="center" w:pos="4153"/>
                <w:tab w:val="right" w:pos="8306"/>
              </w:tabs>
              <w:spacing w:line="360" w:lineRule="auto"/>
              <w:ind w:firstLine="420" w:firstLineChars="200"/>
              <w:rPr>
                <w:color w:val="auto"/>
                <w:szCs w:val="21"/>
                <w:highlight w:val="none"/>
                <w:lang w:val="en-US" w:eastAsia="zh-CN"/>
              </w:rPr>
            </w:pPr>
            <w:r>
              <w:rPr>
                <w:color w:val="auto"/>
                <w:szCs w:val="21"/>
                <w:highlight w:val="none"/>
                <w:lang w:val="en-US" w:eastAsia="zh-CN"/>
              </w:rPr>
              <w:t>3.</w:t>
            </w:r>
            <w:r>
              <w:rPr>
                <w:rFonts w:hint="eastAsia" w:ascii="宋体" w:hAnsi="宋体" w:eastAsia="宋体" w:cs="宋体"/>
                <w:color w:val="auto"/>
                <w:kern w:val="2"/>
                <w:szCs w:val="21"/>
                <w:highlight w:val="none"/>
                <w:lang w:val="en-US" w:eastAsia="zh-CN"/>
              </w:rPr>
              <w:t>本竞争性磋商文件所称的“电子签章”“电子签名”，是指经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r>
              <w:rPr>
                <w:color w:val="auto"/>
                <w:szCs w:val="21"/>
                <w:highlight w:val="none"/>
                <w:lang w:val="en-US" w:eastAsia="zh-CN"/>
              </w:rPr>
              <w:t>。</w:t>
            </w:r>
          </w:p>
          <w:p w14:paraId="13DC7D2E">
            <w:pPr>
              <w:pStyle w:val="11"/>
              <w:spacing w:line="360" w:lineRule="auto"/>
              <w:ind w:firstLine="420" w:firstLineChars="200"/>
              <w:rPr>
                <w:color w:val="auto"/>
                <w:szCs w:val="21"/>
                <w:highlight w:val="none"/>
                <w:lang w:val="en-US" w:eastAsia="zh-CN"/>
              </w:rPr>
            </w:pPr>
            <w:r>
              <w:rPr>
                <w:color w:val="auto"/>
                <w:szCs w:val="21"/>
                <w:highlight w:val="none"/>
                <w:lang w:val="en-US" w:eastAsia="zh-CN"/>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2C50F424">
            <w:pPr>
              <w:pStyle w:val="11"/>
              <w:spacing w:line="360" w:lineRule="auto"/>
              <w:ind w:firstLine="420" w:firstLineChars="200"/>
              <w:rPr>
                <w:color w:val="auto"/>
                <w:szCs w:val="21"/>
                <w:highlight w:val="none"/>
                <w:lang w:val="en-US" w:eastAsia="zh-CN"/>
              </w:rPr>
            </w:pPr>
            <w:r>
              <w:rPr>
                <w:color w:val="auto"/>
                <w:szCs w:val="21"/>
                <w:highlight w:val="none"/>
                <w:lang w:val="en-US" w:eastAsia="zh-CN"/>
              </w:rPr>
              <w:t>5.自然人竞标的，竞争性磋商文件规定盖公章处由自然人摁手指指印。</w:t>
            </w:r>
          </w:p>
          <w:p w14:paraId="75848A79">
            <w:pPr>
              <w:pStyle w:val="11"/>
              <w:spacing w:line="360" w:lineRule="auto"/>
              <w:ind w:firstLine="420" w:firstLineChars="200"/>
              <w:rPr>
                <w:color w:val="auto"/>
                <w:szCs w:val="21"/>
                <w:highlight w:val="none"/>
                <w:lang w:val="en-US" w:eastAsia="zh-CN"/>
              </w:rPr>
            </w:pPr>
            <w:r>
              <w:rPr>
                <w:rFonts w:hint="eastAsia"/>
                <w:color w:val="auto"/>
                <w:szCs w:val="21"/>
                <w:highlight w:val="none"/>
                <w:lang w:val="en-US" w:eastAsia="zh-CN"/>
              </w:rPr>
              <w:t>6.同义词语：</w:t>
            </w:r>
            <w:r>
              <w:rPr>
                <w:rFonts w:hint="eastAsia" w:cs="宋体"/>
                <w:color w:val="auto"/>
                <w:highlight w:val="none"/>
                <w:lang w:val="en-US" w:eastAsia="zh-CN"/>
              </w:rPr>
              <w:t>构成竞争性磋商采购文件组成部分的</w:t>
            </w:r>
            <w:r>
              <w:rPr>
                <w:rFonts w:hint="eastAsia"/>
                <w:color w:val="auto"/>
                <w:highlight w:val="none"/>
                <w:lang w:val="en-US" w:eastAsia="zh-CN"/>
              </w:rPr>
              <w:t>“</w:t>
            </w:r>
            <w:r>
              <w:rPr>
                <w:rFonts w:hint="eastAsia" w:cs="宋体"/>
                <w:color w:val="auto"/>
                <w:highlight w:val="none"/>
                <w:lang w:val="en-US" w:eastAsia="zh-CN"/>
              </w:rPr>
              <w:t>通用合同条款</w:t>
            </w:r>
            <w:r>
              <w:rPr>
                <w:rFonts w:hint="eastAsia"/>
                <w:color w:val="auto"/>
                <w:highlight w:val="none"/>
                <w:lang w:val="en-US" w:eastAsia="zh-CN"/>
              </w:rPr>
              <w:t>”</w:t>
            </w:r>
            <w:r>
              <w:rPr>
                <w:rFonts w:hint="eastAsia" w:cs="宋体"/>
                <w:color w:val="auto"/>
                <w:highlight w:val="none"/>
                <w:lang w:val="en-US" w:eastAsia="zh-CN"/>
              </w:rPr>
              <w:t>、</w:t>
            </w:r>
            <w:r>
              <w:rPr>
                <w:rFonts w:hint="eastAsia"/>
                <w:color w:val="auto"/>
                <w:highlight w:val="none"/>
                <w:lang w:val="en-US" w:eastAsia="zh-CN"/>
              </w:rPr>
              <w:t>“</w:t>
            </w:r>
            <w:r>
              <w:rPr>
                <w:rFonts w:hint="eastAsia" w:cs="宋体"/>
                <w:color w:val="auto"/>
                <w:highlight w:val="none"/>
                <w:lang w:val="en-US" w:eastAsia="zh-CN"/>
              </w:rPr>
              <w:t>专用合同条款</w:t>
            </w:r>
            <w:r>
              <w:rPr>
                <w:rFonts w:hint="eastAsia"/>
                <w:color w:val="auto"/>
                <w:highlight w:val="none"/>
                <w:lang w:val="en-US" w:eastAsia="zh-CN"/>
              </w:rPr>
              <w:t>”</w:t>
            </w:r>
            <w:r>
              <w:rPr>
                <w:rFonts w:hint="eastAsia" w:cs="宋体"/>
                <w:color w:val="auto"/>
                <w:highlight w:val="none"/>
                <w:lang w:val="en-US" w:eastAsia="zh-CN"/>
              </w:rPr>
              <w:t>、</w:t>
            </w:r>
            <w:r>
              <w:rPr>
                <w:rFonts w:hint="eastAsia"/>
                <w:color w:val="auto"/>
                <w:highlight w:val="none"/>
                <w:lang w:val="en-US" w:eastAsia="zh-CN"/>
              </w:rPr>
              <w:t>“</w:t>
            </w:r>
            <w:r>
              <w:rPr>
                <w:rFonts w:hint="eastAsia" w:cs="宋体"/>
                <w:color w:val="auto"/>
                <w:highlight w:val="none"/>
                <w:lang w:val="en-US" w:eastAsia="zh-CN"/>
              </w:rPr>
              <w:t>技术标准和要求</w:t>
            </w:r>
            <w:r>
              <w:rPr>
                <w:rFonts w:hint="eastAsia"/>
                <w:color w:val="auto"/>
                <w:highlight w:val="none"/>
                <w:lang w:val="en-US" w:eastAsia="zh-CN"/>
              </w:rPr>
              <w:t>”</w:t>
            </w:r>
            <w:r>
              <w:rPr>
                <w:rFonts w:hint="eastAsia" w:cs="宋体"/>
                <w:color w:val="auto"/>
                <w:highlight w:val="none"/>
                <w:lang w:val="en-US" w:eastAsia="zh-CN"/>
              </w:rPr>
              <w:t>和</w:t>
            </w:r>
            <w:r>
              <w:rPr>
                <w:rFonts w:hint="eastAsia"/>
                <w:color w:val="auto"/>
                <w:highlight w:val="none"/>
                <w:lang w:val="en-US" w:eastAsia="zh-CN"/>
              </w:rPr>
              <w:t>“</w:t>
            </w:r>
            <w:r>
              <w:rPr>
                <w:rFonts w:hint="eastAsia" w:cs="宋体"/>
                <w:color w:val="auto"/>
                <w:highlight w:val="none"/>
                <w:lang w:val="en-US" w:eastAsia="zh-CN"/>
              </w:rPr>
              <w:t>工程量清单</w:t>
            </w:r>
            <w:r>
              <w:rPr>
                <w:rFonts w:hint="eastAsia"/>
                <w:color w:val="auto"/>
                <w:highlight w:val="none"/>
                <w:lang w:val="en-US" w:eastAsia="zh-CN"/>
              </w:rPr>
              <w:t>”</w:t>
            </w:r>
            <w:r>
              <w:rPr>
                <w:rFonts w:hint="eastAsia" w:cs="宋体"/>
                <w:color w:val="auto"/>
                <w:highlight w:val="none"/>
                <w:lang w:val="en-US" w:eastAsia="zh-CN"/>
              </w:rPr>
              <w:t>等章节中出现的措辞</w:t>
            </w:r>
            <w:r>
              <w:rPr>
                <w:rFonts w:hint="eastAsia"/>
                <w:color w:val="auto"/>
                <w:highlight w:val="none"/>
                <w:lang w:val="en-US" w:eastAsia="zh-CN"/>
              </w:rPr>
              <w:t>“</w:t>
            </w:r>
            <w:r>
              <w:rPr>
                <w:rFonts w:hint="eastAsia" w:cs="宋体"/>
                <w:color w:val="auto"/>
                <w:highlight w:val="none"/>
                <w:lang w:val="en-US" w:eastAsia="zh-CN"/>
              </w:rPr>
              <w:t>发包人</w:t>
            </w:r>
            <w:r>
              <w:rPr>
                <w:rFonts w:hint="eastAsia"/>
                <w:color w:val="auto"/>
                <w:highlight w:val="none"/>
                <w:lang w:val="en-US" w:eastAsia="zh-CN"/>
              </w:rPr>
              <w:t>”</w:t>
            </w:r>
            <w:r>
              <w:rPr>
                <w:rFonts w:hint="eastAsia" w:cs="宋体"/>
                <w:color w:val="auto"/>
                <w:highlight w:val="none"/>
                <w:lang w:val="en-US" w:eastAsia="zh-CN"/>
              </w:rPr>
              <w:t>和</w:t>
            </w:r>
            <w:r>
              <w:rPr>
                <w:rFonts w:hint="eastAsia"/>
                <w:color w:val="auto"/>
                <w:highlight w:val="none"/>
                <w:lang w:val="en-US" w:eastAsia="zh-CN"/>
              </w:rPr>
              <w:t>“</w:t>
            </w:r>
            <w:r>
              <w:rPr>
                <w:rFonts w:hint="eastAsia" w:cs="宋体"/>
                <w:color w:val="auto"/>
                <w:highlight w:val="none"/>
                <w:lang w:val="en-US" w:eastAsia="zh-CN"/>
              </w:rPr>
              <w:t>承包人</w:t>
            </w:r>
            <w:r>
              <w:rPr>
                <w:rFonts w:hint="eastAsia"/>
                <w:color w:val="auto"/>
                <w:highlight w:val="none"/>
                <w:lang w:val="en-US" w:eastAsia="zh-CN"/>
              </w:rPr>
              <w:t>”</w:t>
            </w:r>
            <w:r>
              <w:rPr>
                <w:rFonts w:hint="eastAsia" w:cs="宋体"/>
                <w:color w:val="auto"/>
                <w:highlight w:val="none"/>
                <w:lang w:val="en-US" w:eastAsia="zh-CN"/>
              </w:rPr>
              <w:t>，在采购阶段应当分别按</w:t>
            </w:r>
            <w:r>
              <w:rPr>
                <w:rFonts w:hint="eastAsia"/>
                <w:color w:val="auto"/>
                <w:highlight w:val="none"/>
                <w:lang w:val="en-US" w:eastAsia="zh-CN"/>
              </w:rPr>
              <w:t>“</w:t>
            </w:r>
            <w:r>
              <w:rPr>
                <w:rFonts w:hint="eastAsia" w:cs="宋体"/>
                <w:color w:val="auto"/>
                <w:highlight w:val="none"/>
                <w:lang w:val="en-US" w:eastAsia="zh-CN"/>
              </w:rPr>
              <w:t>采购人</w:t>
            </w:r>
            <w:r>
              <w:rPr>
                <w:rFonts w:hint="eastAsia"/>
                <w:color w:val="auto"/>
                <w:highlight w:val="none"/>
                <w:lang w:val="en-US" w:eastAsia="zh-CN"/>
              </w:rPr>
              <w:t>”</w:t>
            </w:r>
            <w:r>
              <w:rPr>
                <w:rFonts w:hint="eastAsia" w:cs="宋体"/>
                <w:color w:val="auto"/>
                <w:highlight w:val="none"/>
                <w:lang w:val="en-US" w:eastAsia="zh-CN"/>
              </w:rPr>
              <w:t>和</w:t>
            </w:r>
            <w:r>
              <w:rPr>
                <w:rFonts w:hint="eastAsia"/>
                <w:color w:val="auto"/>
                <w:highlight w:val="none"/>
                <w:lang w:val="en-US" w:eastAsia="zh-CN"/>
              </w:rPr>
              <w:t>“供应商”</w:t>
            </w:r>
            <w:r>
              <w:rPr>
                <w:rFonts w:hint="eastAsia" w:cs="宋体"/>
                <w:color w:val="auto"/>
                <w:highlight w:val="none"/>
                <w:lang w:val="en-US" w:eastAsia="zh-CN"/>
              </w:rPr>
              <w:t>进行理解。</w:t>
            </w:r>
          </w:p>
          <w:p w14:paraId="403F2321">
            <w:pPr>
              <w:snapToGrid w:val="0"/>
              <w:spacing w:line="360" w:lineRule="auto"/>
              <w:rPr>
                <w:color w:val="auto"/>
                <w:kern w:val="0"/>
                <w:szCs w:val="21"/>
                <w:highlight w:val="none"/>
              </w:rPr>
            </w:pPr>
            <w:r>
              <w:rPr>
                <w:color w:val="auto"/>
                <w:szCs w:val="21"/>
                <w:highlight w:val="none"/>
              </w:rPr>
              <w:t xml:space="preserve">    </w:t>
            </w:r>
            <w:r>
              <w:rPr>
                <w:rFonts w:hint="eastAsia"/>
                <w:color w:val="auto"/>
                <w:szCs w:val="21"/>
                <w:highlight w:val="none"/>
              </w:rPr>
              <w:t>7</w:t>
            </w:r>
            <w:r>
              <w:rPr>
                <w:color w:val="auto"/>
                <w:szCs w:val="21"/>
                <w:highlight w:val="none"/>
              </w:rPr>
              <w:t>.本竞争性磋商文件所称的</w:t>
            </w:r>
            <w:r>
              <w:rPr>
                <w:rFonts w:hint="eastAsia"/>
                <w:color w:val="auto"/>
                <w:highlight w:val="none"/>
                <w:lang w:val="en-US" w:eastAsia="zh-CN"/>
              </w:rPr>
              <w:t>“</w:t>
            </w:r>
            <w:r>
              <w:rPr>
                <w:color w:val="auto"/>
                <w:szCs w:val="21"/>
                <w:highlight w:val="none"/>
              </w:rPr>
              <w:t>以上</w:t>
            </w:r>
            <w:r>
              <w:rPr>
                <w:rFonts w:hint="eastAsia"/>
                <w:color w:val="auto"/>
                <w:highlight w:val="none"/>
                <w:lang w:val="en-US" w:eastAsia="zh-CN"/>
              </w:rPr>
              <w:t>”“</w:t>
            </w:r>
            <w:r>
              <w:rPr>
                <w:color w:val="auto"/>
                <w:szCs w:val="21"/>
                <w:highlight w:val="none"/>
              </w:rPr>
              <w:t>以下</w:t>
            </w:r>
            <w:r>
              <w:rPr>
                <w:rFonts w:hint="eastAsia"/>
                <w:color w:val="auto"/>
                <w:highlight w:val="none"/>
                <w:lang w:val="en-US" w:eastAsia="zh-CN"/>
              </w:rPr>
              <w:t>”“</w:t>
            </w:r>
            <w:r>
              <w:rPr>
                <w:color w:val="auto"/>
                <w:szCs w:val="21"/>
                <w:highlight w:val="none"/>
              </w:rPr>
              <w:t>以内</w:t>
            </w:r>
            <w:r>
              <w:rPr>
                <w:rFonts w:hint="eastAsia"/>
                <w:color w:val="auto"/>
                <w:highlight w:val="none"/>
                <w:lang w:val="en-US" w:eastAsia="zh-CN"/>
              </w:rPr>
              <w:t>”“</w:t>
            </w:r>
            <w:r>
              <w:rPr>
                <w:color w:val="auto"/>
                <w:szCs w:val="21"/>
                <w:highlight w:val="none"/>
              </w:rPr>
              <w:t>届满</w:t>
            </w:r>
            <w:r>
              <w:rPr>
                <w:rFonts w:hint="eastAsia"/>
                <w:color w:val="auto"/>
                <w:highlight w:val="none"/>
                <w:lang w:val="en-US" w:eastAsia="zh-CN"/>
              </w:rPr>
              <w:t>”</w:t>
            </w:r>
            <w:r>
              <w:rPr>
                <w:color w:val="auto"/>
                <w:szCs w:val="21"/>
                <w:highlight w:val="none"/>
              </w:rPr>
              <w:t>，包括本数；所称的</w:t>
            </w:r>
            <w:r>
              <w:rPr>
                <w:rFonts w:hint="eastAsia"/>
                <w:color w:val="auto"/>
                <w:highlight w:val="none"/>
                <w:lang w:val="en-US" w:eastAsia="zh-CN"/>
              </w:rPr>
              <w:t>“</w:t>
            </w:r>
            <w:r>
              <w:rPr>
                <w:color w:val="auto"/>
                <w:szCs w:val="21"/>
                <w:highlight w:val="none"/>
              </w:rPr>
              <w:t>不满</w:t>
            </w:r>
            <w:r>
              <w:rPr>
                <w:rFonts w:hint="eastAsia"/>
                <w:color w:val="auto"/>
                <w:highlight w:val="none"/>
                <w:lang w:val="en-US" w:eastAsia="zh-CN"/>
              </w:rPr>
              <w:t>”“</w:t>
            </w:r>
            <w:r>
              <w:rPr>
                <w:color w:val="auto"/>
                <w:szCs w:val="21"/>
                <w:highlight w:val="none"/>
              </w:rPr>
              <w:t>超过</w:t>
            </w:r>
            <w:r>
              <w:rPr>
                <w:rFonts w:hint="eastAsia"/>
                <w:color w:val="auto"/>
                <w:highlight w:val="none"/>
                <w:lang w:val="en-US" w:eastAsia="zh-CN"/>
              </w:rPr>
              <w:t>”“</w:t>
            </w:r>
            <w:r>
              <w:rPr>
                <w:color w:val="auto"/>
                <w:szCs w:val="21"/>
                <w:highlight w:val="none"/>
              </w:rPr>
              <w:t>以外</w:t>
            </w:r>
            <w:r>
              <w:rPr>
                <w:rFonts w:hint="eastAsia"/>
                <w:color w:val="auto"/>
                <w:highlight w:val="none"/>
                <w:lang w:val="en-US" w:eastAsia="zh-CN"/>
              </w:rPr>
              <w:t>”</w:t>
            </w:r>
            <w:r>
              <w:rPr>
                <w:color w:val="auto"/>
                <w:szCs w:val="21"/>
                <w:highlight w:val="none"/>
              </w:rPr>
              <w:t>，不包括本数。</w:t>
            </w:r>
          </w:p>
        </w:tc>
      </w:tr>
    </w:tbl>
    <w:p w14:paraId="03CFFC88">
      <w:pPr>
        <w:pStyle w:val="3"/>
        <w:spacing w:line="420" w:lineRule="exact"/>
        <w:jc w:val="center"/>
        <w:rPr>
          <w:rFonts w:ascii="Times New Roman" w:hAnsi="Times New Roman"/>
          <w:b w:val="0"/>
          <w:color w:val="auto"/>
          <w:highlight w:val="none"/>
        </w:rPr>
      </w:pPr>
      <w:r>
        <w:rPr>
          <w:rFonts w:ascii="Times New Roman" w:hAnsi="Times New Roman"/>
          <w:b w:val="0"/>
          <w:color w:val="auto"/>
          <w:highlight w:val="none"/>
        </w:rPr>
        <w:br w:type="page"/>
      </w:r>
      <w:bookmarkStart w:id="75" w:name="_Toc27094"/>
      <w:bookmarkStart w:id="76" w:name="_Toc80886929"/>
      <w:bookmarkStart w:id="77" w:name="_Toc30957"/>
      <w:r>
        <w:rPr>
          <w:rFonts w:ascii="Times New Roman" w:hAnsi="Times New Roman"/>
          <w:bCs w:val="0"/>
          <w:color w:val="auto"/>
          <w:highlight w:val="none"/>
        </w:rPr>
        <w:t>第二节 供应商须知正文</w:t>
      </w:r>
      <w:bookmarkEnd w:id="75"/>
      <w:bookmarkEnd w:id="76"/>
      <w:bookmarkEnd w:id="77"/>
    </w:p>
    <w:p w14:paraId="416EEA61">
      <w:pPr>
        <w:pStyle w:val="4"/>
        <w:spacing w:before="0" w:after="0" w:line="360" w:lineRule="auto"/>
        <w:ind w:firstLine="562" w:firstLineChars="200"/>
        <w:rPr>
          <w:bCs w:val="0"/>
          <w:color w:val="auto"/>
          <w:sz w:val="28"/>
          <w:szCs w:val="28"/>
          <w:highlight w:val="none"/>
        </w:rPr>
      </w:pPr>
      <w:bookmarkStart w:id="78" w:name="_Toc6457"/>
      <w:bookmarkStart w:id="79" w:name="_Toc80886930"/>
      <w:bookmarkStart w:id="80" w:name="_Toc26166"/>
      <w:r>
        <w:rPr>
          <w:bCs w:val="0"/>
          <w:color w:val="auto"/>
          <w:sz w:val="28"/>
          <w:szCs w:val="28"/>
          <w:highlight w:val="none"/>
        </w:rPr>
        <w:t>一、总则</w:t>
      </w:r>
      <w:bookmarkEnd w:id="78"/>
      <w:bookmarkEnd w:id="79"/>
      <w:bookmarkEnd w:id="80"/>
    </w:p>
    <w:p w14:paraId="2242D408">
      <w:pPr>
        <w:spacing w:line="360" w:lineRule="auto"/>
        <w:ind w:firstLine="482" w:firstLineChars="200"/>
        <w:rPr>
          <w:rFonts w:eastAsia="黑体"/>
          <w:b/>
          <w:bCs/>
          <w:color w:val="auto"/>
          <w:sz w:val="24"/>
          <w:highlight w:val="none"/>
        </w:rPr>
      </w:pPr>
      <w:r>
        <w:rPr>
          <w:rFonts w:eastAsia="黑体"/>
          <w:b/>
          <w:bCs/>
          <w:color w:val="auto"/>
          <w:sz w:val="24"/>
          <w:highlight w:val="none"/>
        </w:rPr>
        <w:t>1.适用范围</w:t>
      </w:r>
    </w:p>
    <w:p w14:paraId="0D6D007B">
      <w:pPr>
        <w:spacing w:line="360" w:lineRule="auto"/>
        <w:ind w:firstLine="420" w:firstLineChars="200"/>
        <w:rPr>
          <w:color w:val="auto"/>
          <w:szCs w:val="21"/>
          <w:highlight w:val="none"/>
        </w:rPr>
      </w:pPr>
      <w:r>
        <w:rPr>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7A5017E">
      <w:pPr>
        <w:spacing w:line="360" w:lineRule="auto"/>
        <w:ind w:firstLine="420" w:firstLineChars="200"/>
        <w:rPr>
          <w:color w:val="auto"/>
          <w:szCs w:val="21"/>
          <w:highlight w:val="none"/>
        </w:rPr>
      </w:pPr>
      <w:r>
        <w:rPr>
          <w:color w:val="auto"/>
          <w:szCs w:val="21"/>
          <w:highlight w:val="none"/>
        </w:rPr>
        <w:t>1.2</w:t>
      </w:r>
      <w:r>
        <w:rPr>
          <w:color w:val="auto"/>
          <w:spacing w:val="-6"/>
          <w:szCs w:val="21"/>
          <w:highlight w:val="none"/>
        </w:rPr>
        <w:t>本竞争性磋商文件（以下简称磋商文件）适用于本项目的所有采购程序和环节（法律、法规另有规定的，从其规定）。</w:t>
      </w:r>
    </w:p>
    <w:p w14:paraId="567B894C">
      <w:pPr>
        <w:spacing w:line="360" w:lineRule="auto"/>
        <w:ind w:firstLine="482" w:firstLineChars="200"/>
        <w:rPr>
          <w:rFonts w:eastAsia="黑体"/>
          <w:b/>
          <w:bCs/>
          <w:color w:val="auto"/>
          <w:sz w:val="24"/>
          <w:highlight w:val="none"/>
        </w:rPr>
      </w:pPr>
      <w:r>
        <w:rPr>
          <w:rFonts w:eastAsia="黑体"/>
          <w:b/>
          <w:bCs/>
          <w:color w:val="auto"/>
          <w:sz w:val="24"/>
          <w:highlight w:val="none"/>
        </w:rPr>
        <w:t>2.定义</w:t>
      </w:r>
    </w:p>
    <w:p w14:paraId="229DE4CF">
      <w:pPr>
        <w:spacing w:line="360" w:lineRule="auto"/>
        <w:ind w:firstLine="420" w:firstLineChars="200"/>
        <w:rPr>
          <w:color w:val="auto"/>
          <w:szCs w:val="21"/>
          <w:highlight w:val="none"/>
        </w:rPr>
      </w:pPr>
      <w:r>
        <w:rPr>
          <w:color w:val="auto"/>
          <w:szCs w:val="21"/>
          <w:highlight w:val="none"/>
        </w:rPr>
        <w:t>2.1</w:t>
      </w:r>
      <w:r>
        <w:rPr>
          <w:rFonts w:hint="eastAsia"/>
          <w:color w:val="auto"/>
          <w:szCs w:val="21"/>
          <w:highlight w:val="none"/>
          <w:lang w:eastAsia="zh-CN"/>
        </w:rPr>
        <w:t>“</w:t>
      </w:r>
      <w:r>
        <w:rPr>
          <w:color w:val="auto"/>
          <w:szCs w:val="21"/>
          <w:highlight w:val="none"/>
        </w:rPr>
        <w:t>采购人</w:t>
      </w:r>
      <w:r>
        <w:rPr>
          <w:rFonts w:hint="eastAsia"/>
          <w:color w:val="auto"/>
          <w:highlight w:val="none"/>
          <w:lang w:val="en-US" w:eastAsia="zh-CN"/>
        </w:rPr>
        <w:t>”</w:t>
      </w:r>
      <w:r>
        <w:rPr>
          <w:color w:val="auto"/>
          <w:szCs w:val="21"/>
          <w:highlight w:val="none"/>
        </w:rPr>
        <w:t>是指依法进行政府采购的国家机关、事业单位、团体组织。</w:t>
      </w:r>
    </w:p>
    <w:p w14:paraId="58EC1B62">
      <w:pPr>
        <w:spacing w:line="360" w:lineRule="auto"/>
        <w:ind w:firstLine="420" w:firstLineChars="200"/>
        <w:rPr>
          <w:color w:val="auto"/>
          <w:szCs w:val="21"/>
          <w:highlight w:val="none"/>
          <w:u w:val="single"/>
        </w:rPr>
      </w:pPr>
      <w:r>
        <w:rPr>
          <w:color w:val="auto"/>
          <w:szCs w:val="21"/>
          <w:highlight w:val="none"/>
        </w:rPr>
        <w:t>2.2</w:t>
      </w:r>
      <w:r>
        <w:rPr>
          <w:rFonts w:hint="eastAsia"/>
          <w:color w:val="auto"/>
          <w:szCs w:val="21"/>
          <w:highlight w:val="none"/>
          <w:lang w:eastAsia="zh-CN"/>
        </w:rPr>
        <w:t>“</w:t>
      </w:r>
      <w:r>
        <w:rPr>
          <w:color w:val="auto"/>
          <w:szCs w:val="21"/>
          <w:highlight w:val="none"/>
        </w:rPr>
        <w:t>采购代理机构</w:t>
      </w:r>
      <w:r>
        <w:rPr>
          <w:rFonts w:hint="eastAsia"/>
          <w:color w:val="auto"/>
          <w:highlight w:val="none"/>
          <w:lang w:val="en-US" w:eastAsia="zh-CN"/>
        </w:rPr>
        <w:t>”</w:t>
      </w:r>
      <w:r>
        <w:rPr>
          <w:color w:val="auto"/>
          <w:szCs w:val="21"/>
          <w:highlight w:val="none"/>
        </w:rPr>
        <w:t>是指政府采购集中采购机构和集中采购机构以外的采购代理机构。</w:t>
      </w:r>
    </w:p>
    <w:p w14:paraId="6A75D9FE">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lang w:eastAsia="zh-CN"/>
        </w:rPr>
        <w:t>“</w:t>
      </w:r>
      <w:r>
        <w:rPr>
          <w:color w:val="auto"/>
          <w:szCs w:val="21"/>
          <w:highlight w:val="none"/>
        </w:rPr>
        <w:t>供应商</w:t>
      </w:r>
      <w:r>
        <w:rPr>
          <w:rFonts w:hint="eastAsia"/>
          <w:color w:val="auto"/>
          <w:highlight w:val="none"/>
          <w:lang w:val="en-US" w:eastAsia="zh-CN"/>
        </w:rPr>
        <w:t>”</w:t>
      </w:r>
      <w:r>
        <w:rPr>
          <w:color w:val="auto"/>
          <w:szCs w:val="21"/>
          <w:highlight w:val="none"/>
        </w:rPr>
        <w:t>是指向采购人提供货物、工程或者服务的法人、其他组织或者自然人。</w:t>
      </w:r>
    </w:p>
    <w:p w14:paraId="26ED2A18">
      <w:pPr>
        <w:spacing w:line="360" w:lineRule="auto"/>
        <w:ind w:firstLine="420" w:firstLineChars="200"/>
        <w:rPr>
          <w:color w:val="auto"/>
          <w:szCs w:val="21"/>
          <w:highlight w:val="none"/>
        </w:rPr>
      </w:pPr>
      <w:r>
        <w:rPr>
          <w:color w:val="auto"/>
          <w:szCs w:val="21"/>
          <w:highlight w:val="none"/>
        </w:rPr>
        <w:t>2.4</w:t>
      </w:r>
      <w:r>
        <w:rPr>
          <w:rFonts w:hint="eastAsia"/>
          <w:color w:val="auto"/>
          <w:szCs w:val="21"/>
          <w:highlight w:val="none"/>
          <w:lang w:eastAsia="zh-CN"/>
        </w:rPr>
        <w:t>“</w:t>
      </w:r>
      <w:r>
        <w:rPr>
          <w:color w:val="auto"/>
          <w:szCs w:val="21"/>
          <w:highlight w:val="none"/>
        </w:rPr>
        <w:t>服务</w:t>
      </w:r>
      <w:r>
        <w:rPr>
          <w:rFonts w:hint="eastAsia"/>
          <w:color w:val="auto"/>
          <w:highlight w:val="none"/>
          <w:lang w:val="en-US" w:eastAsia="zh-CN"/>
        </w:rPr>
        <w:t>”</w:t>
      </w:r>
      <w:r>
        <w:rPr>
          <w:color w:val="auto"/>
          <w:szCs w:val="21"/>
          <w:highlight w:val="none"/>
        </w:rPr>
        <w:t>是指除货物和工程以外的其他政府采购对象。</w:t>
      </w:r>
    </w:p>
    <w:p w14:paraId="7B31B70E">
      <w:pPr>
        <w:spacing w:line="360" w:lineRule="auto"/>
        <w:ind w:firstLine="420" w:firstLineChars="200"/>
        <w:rPr>
          <w:color w:val="auto"/>
          <w:szCs w:val="21"/>
          <w:highlight w:val="none"/>
        </w:rPr>
      </w:pPr>
      <w:r>
        <w:rPr>
          <w:color w:val="auto"/>
          <w:szCs w:val="21"/>
          <w:highlight w:val="none"/>
        </w:rPr>
        <w:t>2.5</w:t>
      </w:r>
      <w:r>
        <w:rPr>
          <w:rFonts w:hint="eastAsia"/>
          <w:color w:val="auto"/>
          <w:szCs w:val="21"/>
          <w:highlight w:val="none"/>
          <w:lang w:eastAsia="zh-CN"/>
        </w:rPr>
        <w:t>“</w:t>
      </w:r>
      <w:r>
        <w:rPr>
          <w:color w:val="auto"/>
          <w:szCs w:val="21"/>
          <w:highlight w:val="none"/>
        </w:rPr>
        <w:t>竞标</w:t>
      </w:r>
      <w:r>
        <w:rPr>
          <w:rFonts w:hint="eastAsia"/>
          <w:color w:val="auto"/>
          <w:highlight w:val="none"/>
          <w:lang w:val="en-US" w:eastAsia="zh-CN"/>
        </w:rPr>
        <w:t>”</w:t>
      </w:r>
      <w:r>
        <w:rPr>
          <w:color w:val="auto"/>
          <w:szCs w:val="21"/>
          <w:highlight w:val="none"/>
        </w:rPr>
        <w:t>是指供应商按照本项目竞争性磋商公告规定的方式获取磋商文件、提交响应文件并希望获得标的的行为。</w:t>
      </w:r>
    </w:p>
    <w:p w14:paraId="1AA254FE">
      <w:pPr>
        <w:spacing w:line="360" w:lineRule="auto"/>
        <w:ind w:firstLine="420" w:firstLineChars="200"/>
        <w:rPr>
          <w:color w:val="auto"/>
          <w:szCs w:val="21"/>
          <w:highlight w:val="none"/>
        </w:rPr>
      </w:pPr>
      <w:r>
        <w:rPr>
          <w:color w:val="auto"/>
          <w:szCs w:val="21"/>
          <w:highlight w:val="none"/>
        </w:rPr>
        <w:t>2.6</w:t>
      </w:r>
      <w:r>
        <w:rPr>
          <w:rFonts w:hint="eastAsia"/>
          <w:color w:val="auto"/>
          <w:szCs w:val="21"/>
          <w:highlight w:val="none"/>
          <w:lang w:eastAsia="zh-CN"/>
        </w:rPr>
        <w:t>“</w:t>
      </w:r>
      <w:r>
        <w:rPr>
          <w:color w:val="auto"/>
          <w:szCs w:val="21"/>
          <w:highlight w:val="none"/>
        </w:rPr>
        <w:t>响应文件</w:t>
      </w:r>
      <w:r>
        <w:rPr>
          <w:rFonts w:hint="eastAsia"/>
          <w:color w:val="auto"/>
          <w:highlight w:val="none"/>
          <w:lang w:val="en-US" w:eastAsia="zh-CN"/>
        </w:rPr>
        <w:t>”</w:t>
      </w:r>
      <w:r>
        <w:rPr>
          <w:color w:val="auto"/>
          <w:spacing w:val="-6"/>
          <w:szCs w:val="21"/>
          <w:highlight w:val="none"/>
        </w:rPr>
        <w:t>是指：供应商根据本磋商文件要求，编制包含资格证明、</w:t>
      </w:r>
      <w:r>
        <w:rPr>
          <w:color w:val="auto"/>
          <w:szCs w:val="21"/>
          <w:highlight w:val="none"/>
        </w:rPr>
        <w:t>报价文件、商务和技术文件</w:t>
      </w:r>
      <w:r>
        <w:rPr>
          <w:color w:val="auto"/>
          <w:spacing w:val="-6"/>
          <w:szCs w:val="21"/>
          <w:highlight w:val="none"/>
        </w:rPr>
        <w:t>等所有内容的文件。</w:t>
      </w:r>
    </w:p>
    <w:p w14:paraId="71A72B42">
      <w:pPr>
        <w:spacing w:line="360" w:lineRule="auto"/>
        <w:ind w:firstLine="420" w:firstLineChars="200"/>
        <w:rPr>
          <w:color w:val="auto"/>
          <w:szCs w:val="21"/>
          <w:highlight w:val="none"/>
        </w:rPr>
      </w:pPr>
      <w:r>
        <w:rPr>
          <w:color w:val="auto"/>
          <w:szCs w:val="21"/>
          <w:highlight w:val="none"/>
        </w:rPr>
        <w:t>2.7</w:t>
      </w:r>
      <w:r>
        <w:rPr>
          <w:rFonts w:hint="eastAsia"/>
          <w:color w:val="auto"/>
          <w:szCs w:val="21"/>
          <w:highlight w:val="none"/>
          <w:lang w:eastAsia="zh-CN"/>
        </w:rPr>
        <w:t>“</w:t>
      </w:r>
      <w:r>
        <w:rPr>
          <w:color w:val="auto"/>
          <w:szCs w:val="21"/>
          <w:highlight w:val="none"/>
        </w:rPr>
        <w:t>实质性要求</w:t>
      </w:r>
      <w:r>
        <w:rPr>
          <w:rFonts w:hint="eastAsia"/>
          <w:color w:val="auto"/>
          <w:highlight w:val="none"/>
          <w:lang w:val="en-US" w:eastAsia="zh-CN"/>
        </w:rPr>
        <w:t>”</w:t>
      </w:r>
      <w:r>
        <w:rPr>
          <w:color w:val="auto"/>
          <w:szCs w:val="21"/>
          <w:highlight w:val="none"/>
        </w:rPr>
        <w:t>是指磋商文件中已经指明不满足则响应文件按无效响应处理的条款，或者不能负偏离的条款，或者采购需求中带</w:t>
      </w:r>
      <w:r>
        <w:rPr>
          <w:rFonts w:hint="eastAsia"/>
          <w:color w:val="auto"/>
          <w:szCs w:val="21"/>
          <w:highlight w:val="none"/>
          <w:lang w:eastAsia="zh-CN"/>
        </w:rPr>
        <w:t>“</w:t>
      </w:r>
      <w:r>
        <w:rPr>
          <w:color w:val="auto"/>
          <w:szCs w:val="21"/>
          <w:highlight w:val="none"/>
        </w:rPr>
        <w:t>▲</w:t>
      </w:r>
      <w:r>
        <w:rPr>
          <w:rFonts w:hint="eastAsia"/>
          <w:color w:val="auto"/>
          <w:szCs w:val="21"/>
          <w:highlight w:val="none"/>
          <w:lang w:eastAsia="zh-CN"/>
        </w:rPr>
        <w:t>”</w:t>
      </w:r>
      <w:r>
        <w:rPr>
          <w:color w:val="auto"/>
          <w:szCs w:val="21"/>
          <w:highlight w:val="none"/>
        </w:rPr>
        <w:t>的条款。</w:t>
      </w:r>
    </w:p>
    <w:p w14:paraId="4A30D9C9">
      <w:pPr>
        <w:spacing w:line="360" w:lineRule="auto"/>
        <w:ind w:firstLine="420" w:firstLineChars="200"/>
        <w:rPr>
          <w:color w:val="auto"/>
          <w:szCs w:val="21"/>
          <w:highlight w:val="none"/>
        </w:rPr>
      </w:pPr>
      <w:r>
        <w:rPr>
          <w:color w:val="auto"/>
          <w:szCs w:val="21"/>
          <w:highlight w:val="none"/>
        </w:rPr>
        <w:t>2.8</w:t>
      </w:r>
      <w:r>
        <w:rPr>
          <w:rFonts w:hint="eastAsia"/>
          <w:color w:val="auto"/>
          <w:szCs w:val="21"/>
          <w:highlight w:val="none"/>
          <w:lang w:eastAsia="zh-CN"/>
        </w:rPr>
        <w:t>“</w:t>
      </w:r>
      <w:r>
        <w:rPr>
          <w:color w:val="auto"/>
          <w:szCs w:val="21"/>
          <w:highlight w:val="none"/>
        </w:rPr>
        <w:t>正偏离</w:t>
      </w:r>
      <w:r>
        <w:rPr>
          <w:rFonts w:hint="eastAsia"/>
          <w:color w:val="auto"/>
          <w:highlight w:val="none"/>
          <w:lang w:val="en-US" w:eastAsia="zh-CN"/>
        </w:rPr>
        <w:t>”</w:t>
      </w:r>
      <w:r>
        <w:rPr>
          <w:color w:val="auto"/>
          <w:szCs w:val="21"/>
          <w:highlight w:val="none"/>
        </w:rPr>
        <w:t>，是指响应文件对磋商文件</w:t>
      </w:r>
      <w:r>
        <w:rPr>
          <w:rFonts w:hint="eastAsia"/>
          <w:color w:val="auto"/>
          <w:szCs w:val="21"/>
          <w:highlight w:val="none"/>
          <w:lang w:eastAsia="zh-CN"/>
        </w:rPr>
        <w:t>“</w:t>
      </w:r>
      <w:r>
        <w:rPr>
          <w:color w:val="auto"/>
          <w:szCs w:val="21"/>
          <w:highlight w:val="none"/>
        </w:rPr>
        <w:t>采购需求</w:t>
      </w:r>
      <w:r>
        <w:rPr>
          <w:rFonts w:hint="eastAsia"/>
          <w:color w:val="auto"/>
          <w:highlight w:val="none"/>
          <w:lang w:val="en-US" w:eastAsia="zh-CN"/>
        </w:rPr>
        <w:t>”</w:t>
      </w:r>
      <w:r>
        <w:rPr>
          <w:color w:val="auto"/>
          <w:szCs w:val="21"/>
          <w:highlight w:val="none"/>
        </w:rPr>
        <w:t>中有关条款作出的响应优于条款要求并有利于采购人的情形。</w:t>
      </w:r>
    </w:p>
    <w:p w14:paraId="0AF10561">
      <w:pPr>
        <w:spacing w:line="360" w:lineRule="auto"/>
        <w:ind w:firstLine="420" w:firstLineChars="200"/>
        <w:rPr>
          <w:color w:val="auto"/>
          <w:szCs w:val="21"/>
          <w:highlight w:val="none"/>
        </w:rPr>
      </w:pPr>
      <w:r>
        <w:rPr>
          <w:color w:val="auto"/>
          <w:szCs w:val="21"/>
          <w:highlight w:val="none"/>
        </w:rPr>
        <w:t>2.9</w:t>
      </w:r>
      <w:r>
        <w:rPr>
          <w:rFonts w:hint="eastAsia"/>
          <w:color w:val="auto"/>
          <w:szCs w:val="21"/>
          <w:highlight w:val="none"/>
          <w:lang w:eastAsia="zh-CN"/>
        </w:rPr>
        <w:t>“</w:t>
      </w:r>
      <w:r>
        <w:rPr>
          <w:color w:val="auto"/>
          <w:szCs w:val="21"/>
          <w:highlight w:val="none"/>
        </w:rPr>
        <w:t>负偏离</w:t>
      </w:r>
      <w:r>
        <w:rPr>
          <w:rFonts w:hint="eastAsia"/>
          <w:color w:val="auto"/>
          <w:highlight w:val="none"/>
          <w:lang w:val="en-US" w:eastAsia="zh-CN"/>
        </w:rPr>
        <w:t>”</w:t>
      </w:r>
      <w:r>
        <w:rPr>
          <w:color w:val="auto"/>
          <w:szCs w:val="21"/>
          <w:highlight w:val="none"/>
        </w:rPr>
        <w:t>，是指响应文件对磋商文件</w:t>
      </w:r>
      <w:r>
        <w:rPr>
          <w:rFonts w:hint="eastAsia"/>
          <w:color w:val="auto"/>
          <w:szCs w:val="21"/>
          <w:highlight w:val="none"/>
          <w:lang w:eastAsia="zh-CN"/>
        </w:rPr>
        <w:t>“</w:t>
      </w:r>
      <w:r>
        <w:rPr>
          <w:color w:val="auto"/>
          <w:szCs w:val="21"/>
          <w:highlight w:val="none"/>
        </w:rPr>
        <w:t>采购需求</w:t>
      </w:r>
      <w:r>
        <w:rPr>
          <w:rFonts w:hint="eastAsia"/>
          <w:color w:val="auto"/>
          <w:highlight w:val="none"/>
          <w:lang w:val="en-US" w:eastAsia="zh-CN"/>
        </w:rPr>
        <w:t>”</w:t>
      </w:r>
      <w:r>
        <w:rPr>
          <w:color w:val="auto"/>
          <w:szCs w:val="21"/>
          <w:highlight w:val="none"/>
        </w:rPr>
        <w:t>中有关条款作出的响应不满足条款要求，导致采购人要求不能得到满足的情形。</w:t>
      </w:r>
    </w:p>
    <w:p w14:paraId="73B46F55">
      <w:pPr>
        <w:spacing w:line="360" w:lineRule="auto"/>
        <w:ind w:firstLine="420" w:firstLineChars="200"/>
        <w:rPr>
          <w:color w:val="auto"/>
          <w:szCs w:val="21"/>
          <w:highlight w:val="none"/>
        </w:rPr>
      </w:pPr>
      <w:r>
        <w:rPr>
          <w:color w:val="auto"/>
          <w:szCs w:val="21"/>
          <w:highlight w:val="none"/>
        </w:rPr>
        <w:t>2.10</w:t>
      </w:r>
      <w:r>
        <w:rPr>
          <w:rFonts w:hint="eastAsia"/>
          <w:color w:val="auto"/>
          <w:szCs w:val="21"/>
          <w:highlight w:val="none"/>
          <w:lang w:eastAsia="zh-CN"/>
        </w:rPr>
        <w:t>“</w:t>
      </w:r>
      <w:r>
        <w:rPr>
          <w:color w:val="auto"/>
          <w:szCs w:val="21"/>
          <w:highlight w:val="none"/>
        </w:rPr>
        <w:t>允许负偏离的条款</w:t>
      </w:r>
      <w:r>
        <w:rPr>
          <w:rFonts w:hint="eastAsia"/>
          <w:color w:val="auto"/>
          <w:highlight w:val="none"/>
          <w:lang w:val="en-US" w:eastAsia="zh-CN"/>
        </w:rPr>
        <w:t>”</w:t>
      </w:r>
      <w:r>
        <w:rPr>
          <w:color w:val="auto"/>
          <w:szCs w:val="21"/>
          <w:highlight w:val="none"/>
        </w:rPr>
        <w:t>是指采购需求中的不属于</w:t>
      </w:r>
      <w:r>
        <w:rPr>
          <w:rFonts w:hint="eastAsia"/>
          <w:color w:val="auto"/>
          <w:szCs w:val="21"/>
          <w:highlight w:val="none"/>
          <w:lang w:eastAsia="zh-CN"/>
        </w:rPr>
        <w:t>“</w:t>
      </w:r>
      <w:r>
        <w:rPr>
          <w:color w:val="auto"/>
          <w:szCs w:val="21"/>
          <w:highlight w:val="none"/>
        </w:rPr>
        <w:t>实质性要求</w:t>
      </w:r>
      <w:r>
        <w:rPr>
          <w:rFonts w:hint="eastAsia"/>
          <w:color w:val="auto"/>
          <w:highlight w:val="none"/>
          <w:lang w:val="en-US" w:eastAsia="zh-CN"/>
        </w:rPr>
        <w:t>”</w:t>
      </w:r>
      <w:r>
        <w:rPr>
          <w:color w:val="auto"/>
          <w:szCs w:val="21"/>
          <w:highlight w:val="none"/>
        </w:rPr>
        <w:t>的条款。</w:t>
      </w:r>
    </w:p>
    <w:p w14:paraId="1FB39ADB">
      <w:pPr>
        <w:spacing w:line="360" w:lineRule="auto"/>
        <w:ind w:firstLine="420" w:firstLineChars="200"/>
        <w:rPr>
          <w:color w:val="auto"/>
          <w:szCs w:val="21"/>
          <w:highlight w:val="none"/>
        </w:rPr>
      </w:pPr>
      <w:r>
        <w:rPr>
          <w:color w:val="auto"/>
          <w:szCs w:val="21"/>
          <w:highlight w:val="none"/>
        </w:rPr>
        <w:t>2.11</w:t>
      </w:r>
      <w:r>
        <w:rPr>
          <w:rFonts w:hint="eastAsia"/>
          <w:color w:val="auto"/>
          <w:szCs w:val="21"/>
          <w:highlight w:val="none"/>
          <w:lang w:eastAsia="zh-CN"/>
        </w:rPr>
        <w:t>“</w:t>
      </w:r>
      <w:r>
        <w:rPr>
          <w:color w:val="auto"/>
          <w:szCs w:val="21"/>
          <w:highlight w:val="none"/>
        </w:rPr>
        <w:t>书面形式</w:t>
      </w:r>
      <w:r>
        <w:rPr>
          <w:rFonts w:hint="eastAsia"/>
          <w:color w:val="auto"/>
          <w:highlight w:val="none"/>
          <w:lang w:val="en-US" w:eastAsia="zh-CN"/>
        </w:rPr>
        <w:t>”</w:t>
      </w:r>
      <w:r>
        <w:rPr>
          <w:color w:val="auto"/>
          <w:szCs w:val="21"/>
          <w:highlight w:val="none"/>
        </w:rPr>
        <w:t>是指合同书、信件和数据电文（包括电报、电传、传真、电子数据交换和电子邮件）等可以有形地表现所载内容的形式。</w:t>
      </w:r>
    </w:p>
    <w:p w14:paraId="586823CB">
      <w:pPr>
        <w:spacing w:line="360" w:lineRule="auto"/>
        <w:ind w:firstLine="420" w:firstLineChars="200"/>
        <w:rPr>
          <w:color w:val="auto"/>
          <w:szCs w:val="21"/>
          <w:highlight w:val="none"/>
        </w:rPr>
      </w:pPr>
      <w:r>
        <w:rPr>
          <w:color w:val="auto"/>
          <w:szCs w:val="21"/>
          <w:highlight w:val="none"/>
        </w:rPr>
        <w:t>2.12</w:t>
      </w:r>
      <w:r>
        <w:rPr>
          <w:rFonts w:hint="eastAsia"/>
          <w:color w:val="auto"/>
          <w:szCs w:val="21"/>
          <w:highlight w:val="none"/>
          <w:lang w:eastAsia="zh-CN"/>
        </w:rPr>
        <w:t>“</w:t>
      </w:r>
      <w:r>
        <w:rPr>
          <w:color w:val="auto"/>
          <w:szCs w:val="21"/>
          <w:highlight w:val="none"/>
        </w:rPr>
        <w:t>首次报价</w:t>
      </w:r>
      <w:r>
        <w:rPr>
          <w:rFonts w:hint="eastAsia"/>
          <w:color w:val="auto"/>
          <w:highlight w:val="none"/>
          <w:lang w:val="en-US" w:eastAsia="zh-CN"/>
        </w:rPr>
        <w:t>”</w:t>
      </w:r>
      <w:r>
        <w:rPr>
          <w:color w:val="auto"/>
          <w:szCs w:val="21"/>
          <w:highlight w:val="none"/>
        </w:rPr>
        <w:t>是指供应商提交的首次响应文件中的报价。</w:t>
      </w:r>
    </w:p>
    <w:p w14:paraId="7ADF63EB">
      <w:pPr>
        <w:spacing w:line="360" w:lineRule="auto"/>
        <w:ind w:firstLine="420" w:firstLineChars="200"/>
        <w:rPr>
          <w:color w:val="auto"/>
          <w:szCs w:val="21"/>
          <w:highlight w:val="none"/>
        </w:rPr>
      </w:pPr>
      <w:r>
        <w:rPr>
          <w:color w:val="auto"/>
          <w:szCs w:val="21"/>
          <w:highlight w:val="none"/>
        </w:rPr>
        <w:t>2.13</w:t>
      </w:r>
      <w:r>
        <w:rPr>
          <w:rFonts w:hint="eastAsia"/>
          <w:color w:val="auto"/>
          <w:szCs w:val="21"/>
          <w:highlight w:val="none"/>
          <w:lang w:eastAsia="zh-CN"/>
        </w:rPr>
        <w:t>“</w:t>
      </w:r>
      <w:r>
        <w:rPr>
          <w:color w:val="auto"/>
          <w:szCs w:val="21"/>
          <w:highlight w:val="none"/>
        </w:rPr>
        <w:t>评审报价</w:t>
      </w:r>
      <w:r>
        <w:rPr>
          <w:rFonts w:hint="eastAsia"/>
          <w:color w:val="auto"/>
          <w:highlight w:val="none"/>
          <w:lang w:val="en-US" w:eastAsia="zh-CN"/>
        </w:rPr>
        <w:t>”</w:t>
      </w:r>
      <w:r>
        <w:rPr>
          <w:color w:val="auto"/>
          <w:szCs w:val="21"/>
          <w:highlight w:val="none"/>
        </w:rPr>
        <w:t>是指供应商提交的最后报价并经修正（如有）和政策功能价格扣除（如有）后的价格。</w:t>
      </w:r>
    </w:p>
    <w:p w14:paraId="5A762A23">
      <w:pPr>
        <w:spacing w:line="360" w:lineRule="auto"/>
        <w:ind w:firstLine="482" w:firstLineChars="200"/>
        <w:rPr>
          <w:rFonts w:eastAsia="黑体"/>
          <w:b/>
          <w:bCs/>
          <w:color w:val="auto"/>
          <w:sz w:val="24"/>
          <w:highlight w:val="none"/>
        </w:rPr>
      </w:pPr>
      <w:r>
        <w:rPr>
          <w:rFonts w:eastAsia="黑体"/>
          <w:b/>
          <w:bCs/>
          <w:color w:val="auto"/>
          <w:sz w:val="24"/>
          <w:highlight w:val="none"/>
        </w:rPr>
        <w:t>3.供应商的资格条件</w:t>
      </w:r>
    </w:p>
    <w:p w14:paraId="0215B15D">
      <w:pPr>
        <w:spacing w:line="360" w:lineRule="auto"/>
        <w:ind w:firstLine="420" w:firstLineChars="200"/>
        <w:rPr>
          <w:color w:val="auto"/>
          <w:szCs w:val="21"/>
          <w:highlight w:val="none"/>
        </w:rPr>
      </w:pPr>
      <w:r>
        <w:rPr>
          <w:color w:val="auto"/>
          <w:szCs w:val="21"/>
          <w:highlight w:val="none"/>
        </w:rPr>
        <w:t>供应商的资格条件详见</w:t>
      </w:r>
      <w:r>
        <w:rPr>
          <w:rFonts w:hint="eastAsia"/>
          <w:color w:val="auto"/>
          <w:szCs w:val="21"/>
          <w:highlight w:val="none"/>
          <w:lang w:eastAsia="zh-CN"/>
        </w:rPr>
        <w:t>“</w:t>
      </w:r>
      <w:r>
        <w:rPr>
          <w:color w:val="auto"/>
          <w:szCs w:val="21"/>
          <w:highlight w:val="none"/>
        </w:rPr>
        <w:t>供应商须知前附表</w:t>
      </w:r>
      <w:r>
        <w:rPr>
          <w:rFonts w:hint="eastAsia"/>
          <w:color w:val="auto"/>
          <w:highlight w:val="none"/>
          <w:lang w:val="en-US" w:eastAsia="zh-CN"/>
        </w:rPr>
        <w:t>”</w:t>
      </w:r>
      <w:r>
        <w:rPr>
          <w:color w:val="auto"/>
          <w:szCs w:val="21"/>
          <w:highlight w:val="none"/>
        </w:rPr>
        <w:t>。</w:t>
      </w:r>
    </w:p>
    <w:p w14:paraId="33334360">
      <w:pPr>
        <w:spacing w:line="360" w:lineRule="auto"/>
        <w:ind w:firstLine="482" w:firstLineChars="200"/>
        <w:rPr>
          <w:rFonts w:eastAsia="黑体"/>
          <w:b/>
          <w:bCs/>
          <w:color w:val="auto"/>
          <w:sz w:val="24"/>
          <w:highlight w:val="none"/>
        </w:rPr>
      </w:pPr>
      <w:r>
        <w:rPr>
          <w:rFonts w:eastAsia="黑体"/>
          <w:b/>
          <w:bCs/>
          <w:color w:val="auto"/>
          <w:sz w:val="24"/>
          <w:highlight w:val="none"/>
        </w:rPr>
        <w:t>4.磋商费用</w:t>
      </w:r>
    </w:p>
    <w:p w14:paraId="12A582E4">
      <w:pPr>
        <w:spacing w:line="360" w:lineRule="auto"/>
        <w:ind w:firstLine="420" w:firstLineChars="200"/>
        <w:rPr>
          <w:color w:val="auto"/>
          <w:szCs w:val="21"/>
          <w:highlight w:val="none"/>
        </w:rPr>
      </w:pPr>
      <w:r>
        <w:rPr>
          <w:color w:val="auto"/>
          <w:szCs w:val="21"/>
          <w:highlight w:val="none"/>
        </w:rPr>
        <w:t>供应商应承担参与本次采购活动有关的所有费用，包括但不限于勘查现场、编制和提交响应文件、参加磋商与应答、签订合同等，不论竞标结果如何，均应自行承担。</w:t>
      </w:r>
    </w:p>
    <w:p w14:paraId="051445A9">
      <w:pPr>
        <w:spacing w:line="360" w:lineRule="auto"/>
        <w:ind w:firstLine="482" w:firstLineChars="200"/>
        <w:rPr>
          <w:rFonts w:eastAsia="黑体"/>
          <w:b/>
          <w:bCs/>
          <w:color w:val="auto"/>
          <w:sz w:val="24"/>
          <w:highlight w:val="none"/>
        </w:rPr>
      </w:pPr>
      <w:r>
        <w:rPr>
          <w:rFonts w:eastAsia="黑体"/>
          <w:b/>
          <w:bCs/>
          <w:color w:val="auto"/>
          <w:sz w:val="24"/>
          <w:highlight w:val="none"/>
        </w:rPr>
        <w:t>5.联合体竞标</w:t>
      </w:r>
    </w:p>
    <w:p w14:paraId="2A873C53">
      <w:pPr>
        <w:spacing w:line="360" w:lineRule="auto"/>
        <w:ind w:firstLine="420" w:firstLineChars="200"/>
        <w:rPr>
          <w:color w:val="auto"/>
          <w:szCs w:val="21"/>
          <w:highlight w:val="none"/>
        </w:rPr>
      </w:pPr>
      <w:r>
        <w:rPr>
          <w:color w:val="auto"/>
          <w:szCs w:val="21"/>
          <w:highlight w:val="none"/>
        </w:rPr>
        <w:t>5.1本项目是否接受联合体竞标，详见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37C643B4">
      <w:pPr>
        <w:spacing w:line="360" w:lineRule="auto"/>
        <w:ind w:firstLine="420" w:firstLineChars="200"/>
        <w:rPr>
          <w:color w:val="auto"/>
          <w:szCs w:val="21"/>
          <w:highlight w:val="none"/>
        </w:rPr>
      </w:pPr>
      <w:r>
        <w:rPr>
          <w:color w:val="auto"/>
          <w:szCs w:val="21"/>
          <w:highlight w:val="none"/>
        </w:rPr>
        <w:t>5.2</w:t>
      </w:r>
      <w:r>
        <w:rPr>
          <w:color w:val="auto"/>
          <w:highlight w:val="none"/>
        </w:rPr>
        <w:t>如接受联合体竞标，</w:t>
      </w:r>
      <w:r>
        <w:rPr>
          <w:color w:val="auto"/>
          <w:szCs w:val="21"/>
          <w:highlight w:val="none"/>
        </w:rPr>
        <w:t>联合体竞标要求详见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786EFBD0">
      <w:pPr>
        <w:spacing w:line="360" w:lineRule="auto"/>
        <w:ind w:firstLine="420" w:firstLineChars="200"/>
        <w:rPr>
          <w:bCs/>
          <w:color w:val="auto"/>
          <w:szCs w:val="21"/>
          <w:highlight w:val="none"/>
        </w:rPr>
      </w:pPr>
      <w:r>
        <w:rPr>
          <w:color w:val="auto"/>
          <w:szCs w:val="21"/>
          <w:highlight w:val="none"/>
        </w:rPr>
        <w:t xml:space="preserve">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color w:val="auto"/>
          <w:szCs w:val="21"/>
          <w:highlight w:val="none"/>
          <w:lang w:val="en-US" w:eastAsia="zh-CN"/>
        </w:rPr>
        <w:t>1</w:t>
      </w:r>
      <w:r>
        <w:rPr>
          <w:color w:val="auto"/>
          <w:szCs w:val="21"/>
          <w:highlight w:val="none"/>
        </w:rPr>
        <w:t>%-</w:t>
      </w:r>
      <w:r>
        <w:rPr>
          <w:rFonts w:hint="eastAsia"/>
          <w:color w:val="auto"/>
          <w:szCs w:val="21"/>
          <w:highlight w:val="none"/>
          <w:lang w:val="en-US" w:eastAsia="zh-CN"/>
        </w:rPr>
        <w:t>2</w:t>
      </w:r>
      <w:r>
        <w:rPr>
          <w:color w:val="auto"/>
          <w:szCs w:val="21"/>
          <w:highlight w:val="none"/>
        </w:rPr>
        <w:t>%的扣除，用扣除后的价格参加评审。组成联合体的小微企业与联合体内其他企业、分包企业之间存在直接控股、管理关系的，不享受价格扣除优惠政策。</w:t>
      </w:r>
    </w:p>
    <w:p w14:paraId="5742A5B9">
      <w:pPr>
        <w:spacing w:line="360" w:lineRule="auto"/>
        <w:ind w:firstLine="482" w:firstLineChars="200"/>
        <w:rPr>
          <w:rFonts w:eastAsia="黑体"/>
          <w:b/>
          <w:bCs/>
          <w:color w:val="auto"/>
          <w:sz w:val="24"/>
          <w:highlight w:val="none"/>
        </w:rPr>
      </w:pPr>
      <w:r>
        <w:rPr>
          <w:rFonts w:eastAsia="黑体"/>
          <w:b/>
          <w:bCs/>
          <w:color w:val="auto"/>
          <w:sz w:val="24"/>
          <w:highlight w:val="none"/>
        </w:rPr>
        <w:t xml:space="preserve">6.转包与分包             </w:t>
      </w:r>
    </w:p>
    <w:p w14:paraId="6E4A10E2">
      <w:pPr>
        <w:spacing w:line="360" w:lineRule="auto"/>
        <w:ind w:firstLine="420" w:firstLineChars="200"/>
        <w:rPr>
          <w:color w:val="auto"/>
          <w:szCs w:val="21"/>
          <w:highlight w:val="none"/>
        </w:rPr>
      </w:pPr>
      <w:r>
        <w:rPr>
          <w:color w:val="auto"/>
          <w:szCs w:val="21"/>
          <w:highlight w:val="none"/>
        </w:rPr>
        <w:t>6.1本项目不允许转包。</w:t>
      </w:r>
    </w:p>
    <w:p w14:paraId="525086FF">
      <w:pPr>
        <w:spacing w:line="360" w:lineRule="auto"/>
        <w:ind w:firstLine="420" w:firstLineChars="200"/>
        <w:rPr>
          <w:color w:val="auto"/>
          <w:szCs w:val="21"/>
          <w:highlight w:val="none"/>
        </w:rPr>
      </w:pPr>
      <w:r>
        <w:rPr>
          <w:color w:val="auto"/>
          <w:szCs w:val="21"/>
          <w:highlight w:val="none"/>
        </w:rPr>
        <w:t>6.2本项目是否允许分包详见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，本项目不允许违法分包。</w:t>
      </w:r>
    </w:p>
    <w:p w14:paraId="7929BCCA">
      <w:pPr>
        <w:spacing w:line="360" w:lineRule="auto"/>
        <w:ind w:firstLine="420" w:firstLineChars="200"/>
        <w:rPr>
          <w:color w:val="auto"/>
          <w:szCs w:val="21"/>
          <w:highlight w:val="none"/>
        </w:rPr>
      </w:pPr>
      <w:r>
        <w:rPr>
          <w:color w:val="auto"/>
          <w:szCs w:val="21"/>
          <w:highlight w:val="none"/>
        </w:rPr>
        <w:t xml:space="preserve">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w:t>
      </w:r>
      <w:r>
        <w:rPr>
          <w:rFonts w:hint="eastAsia"/>
          <w:color w:val="auto"/>
          <w:szCs w:val="21"/>
          <w:highlight w:val="none"/>
          <w:lang w:val="en-US" w:eastAsia="zh-CN"/>
        </w:rPr>
        <w:t>1</w:t>
      </w:r>
      <w:r>
        <w:rPr>
          <w:color w:val="auto"/>
          <w:szCs w:val="21"/>
          <w:highlight w:val="none"/>
        </w:rPr>
        <w:t>%-</w:t>
      </w:r>
      <w:r>
        <w:rPr>
          <w:rFonts w:hint="eastAsia"/>
          <w:color w:val="auto"/>
          <w:szCs w:val="21"/>
          <w:highlight w:val="none"/>
          <w:lang w:val="en-US" w:eastAsia="zh-CN"/>
        </w:rPr>
        <w:t>2</w:t>
      </w:r>
      <w:r>
        <w:rPr>
          <w:color w:val="auto"/>
          <w:szCs w:val="21"/>
          <w:highlight w:val="none"/>
        </w:rPr>
        <w:t>%的扣除，用扣除后的价格参加评审。接受分包的小微企业与分包企业之间存在直接控股、管理关系的，不享受价格扣除优惠政策</w:t>
      </w:r>
      <w:r>
        <w:rPr>
          <w:bCs/>
          <w:color w:val="auto"/>
          <w:szCs w:val="21"/>
          <w:highlight w:val="none"/>
        </w:rPr>
        <w:t>。</w:t>
      </w:r>
    </w:p>
    <w:p w14:paraId="16B7FCC5">
      <w:pPr>
        <w:spacing w:line="360" w:lineRule="auto"/>
        <w:ind w:firstLine="482" w:firstLineChars="200"/>
        <w:rPr>
          <w:rFonts w:eastAsia="黑体"/>
          <w:b/>
          <w:bCs/>
          <w:color w:val="auto"/>
          <w:sz w:val="24"/>
          <w:highlight w:val="none"/>
        </w:rPr>
      </w:pPr>
      <w:bookmarkStart w:id="81" w:name="_Toc254970673"/>
      <w:bookmarkStart w:id="82" w:name="_Toc254970532"/>
      <w:r>
        <w:rPr>
          <w:rFonts w:eastAsia="黑体"/>
          <w:b/>
          <w:bCs/>
          <w:color w:val="auto"/>
          <w:sz w:val="24"/>
          <w:highlight w:val="none"/>
        </w:rPr>
        <w:t>7.特别说明</w:t>
      </w:r>
      <w:bookmarkEnd w:id="81"/>
      <w:bookmarkEnd w:id="82"/>
    </w:p>
    <w:p w14:paraId="3C483863">
      <w:pPr>
        <w:spacing w:line="360" w:lineRule="auto"/>
        <w:ind w:firstLine="420" w:firstLineChars="200"/>
        <w:rPr>
          <w:color w:val="auto"/>
          <w:szCs w:val="21"/>
          <w:highlight w:val="none"/>
        </w:rPr>
      </w:pPr>
      <w:bookmarkStart w:id="83" w:name="_8.1提供相同品牌产品且通过资格审查、符合性审查的不同投标人参加同一合"/>
      <w:bookmarkEnd w:id="83"/>
      <w:r>
        <w:rPr>
          <w:color w:val="auto"/>
          <w:szCs w:val="21"/>
          <w:highlight w:val="none"/>
        </w:rPr>
        <w:t>7.1</w:t>
      </w:r>
      <w:bookmarkStart w:id="84" w:name="_Hlk65832145"/>
      <w:r>
        <w:rPr>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4"/>
    <w:p w14:paraId="1670436A">
      <w:pPr>
        <w:spacing w:line="360" w:lineRule="auto"/>
        <w:ind w:firstLine="420" w:firstLineChars="200"/>
        <w:rPr>
          <w:color w:val="auto"/>
          <w:szCs w:val="21"/>
          <w:highlight w:val="none"/>
        </w:rPr>
      </w:pPr>
      <w:r>
        <w:rPr>
          <w:color w:val="auto"/>
          <w:szCs w:val="21"/>
          <w:highlight w:val="none"/>
        </w:rPr>
        <w:t>7.2供应商应仔细阅读磋商文件的所有内容，按照磋商文件的要求提交响应文件，并对所提供的全部资料的真实性承担法律责任。</w:t>
      </w:r>
    </w:p>
    <w:p w14:paraId="7EF280AA">
      <w:pPr>
        <w:spacing w:line="360" w:lineRule="auto"/>
        <w:ind w:firstLine="420" w:firstLineChars="200"/>
        <w:rPr>
          <w:color w:val="auto"/>
          <w:szCs w:val="21"/>
          <w:highlight w:val="none"/>
        </w:rPr>
      </w:pPr>
      <w:r>
        <w:rPr>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93E82DD">
      <w:pPr>
        <w:spacing w:line="360" w:lineRule="auto"/>
        <w:ind w:firstLine="422" w:firstLineChars="200"/>
        <w:rPr>
          <w:b/>
          <w:bCs/>
          <w:color w:val="auto"/>
          <w:szCs w:val="21"/>
          <w:highlight w:val="none"/>
        </w:rPr>
      </w:pPr>
      <w:r>
        <w:rPr>
          <w:b/>
          <w:bCs/>
          <w:color w:val="auto"/>
          <w:szCs w:val="21"/>
          <w:highlight w:val="none"/>
        </w:rPr>
        <w:t>7.4在政府采购活动中，采购人员及相关人员与供应商有下列利害关系之一的，应当回避：</w:t>
      </w:r>
    </w:p>
    <w:p w14:paraId="44EF8DAC">
      <w:pPr>
        <w:spacing w:line="360" w:lineRule="auto"/>
        <w:ind w:firstLine="422" w:firstLineChars="200"/>
        <w:rPr>
          <w:b/>
          <w:bCs/>
          <w:color w:val="auto"/>
          <w:szCs w:val="21"/>
          <w:highlight w:val="none"/>
        </w:rPr>
      </w:pPr>
      <w:r>
        <w:rPr>
          <w:b/>
          <w:bCs/>
          <w:color w:val="auto"/>
          <w:szCs w:val="21"/>
          <w:highlight w:val="none"/>
        </w:rPr>
        <w:t>（1）参加采购活动前3年内与供应商存在劳动关系；</w:t>
      </w:r>
    </w:p>
    <w:p w14:paraId="1E80164B">
      <w:pPr>
        <w:spacing w:line="360" w:lineRule="auto"/>
        <w:ind w:firstLine="422" w:firstLineChars="200"/>
        <w:rPr>
          <w:b/>
          <w:bCs/>
          <w:color w:val="auto"/>
          <w:szCs w:val="21"/>
          <w:highlight w:val="none"/>
        </w:rPr>
      </w:pPr>
      <w:r>
        <w:rPr>
          <w:b/>
          <w:bCs/>
          <w:color w:val="auto"/>
          <w:szCs w:val="21"/>
          <w:highlight w:val="none"/>
        </w:rPr>
        <w:t>（2）参加采购活动前3年内担任供应商的董事、监事；</w:t>
      </w:r>
    </w:p>
    <w:p w14:paraId="2B3ACEDF">
      <w:pPr>
        <w:spacing w:line="360" w:lineRule="auto"/>
        <w:ind w:firstLine="422" w:firstLineChars="200"/>
        <w:rPr>
          <w:b/>
          <w:bCs/>
          <w:color w:val="auto"/>
          <w:szCs w:val="21"/>
          <w:highlight w:val="none"/>
        </w:rPr>
      </w:pPr>
      <w:r>
        <w:rPr>
          <w:b/>
          <w:bCs/>
          <w:color w:val="auto"/>
          <w:szCs w:val="21"/>
          <w:highlight w:val="none"/>
        </w:rPr>
        <w:t>（3）参加采购活动前3年内是供应商的控股股东或者实际控制人；</w:t>
      </w:r>
    </w:p>
    <w:p w14:paraId="06964B50">
      <w:pPr>
        <w:spacing w:line="360" w:lineRule="auto"/>
        <w:ind w:firstLine="422" w:firstLineChars="200"/>
        <w:rPr>
          <w:b/>
          <w:bCs/>
          <w:color w:val="auto"/>
          <w:szCs w:val="21"/>
          <w:highlight w:val="none"/>
        </w:rPr>
      </w:pPr>
      <w:r>
        <w:rPr>
          <w:b/>
          <w:bCs/>
          <w:color w:val="auto"/>
          <w:szCs w:val="21"/>
          <w:highlight w:val="none"/>
        </w:rPr>
        <w:t>（4）与供应商的法定代表人或者负责人有夫妻、直系血亲、三代以内旁系血亲或者近姻亲关系；</w:t>
      </w:r>
    </w:p>
    <w:p w14:paraId="6162A861">
      <w:pPr>
        <w:spacing w:line="360" w:lineRule="auto"/>
        <w:ind w:firstLine="422" w:firstLineChars="200"/>
        <w:rPr>
          <w:b/>
          <w:bCs/>
          <w:color w:val="auto"/>
          <w:szCs w:val="21"/>
          <w:highlight w:val="none"/>
        </w:rPr>
      </w:pPr>
      <w:r>
        <w:rPr>
          <w:b/>
          <w:bCs/>
          <w:color w:val="auto"/>
          <w:szCs w:val="21"/>
          <w:highlight w:val="none"/>
        </w:rPr>
        <w:t>（5）与供应商有其他可能影响政府采购活动公平、公正进行的关系。</w:t>
      </w:r>
    </w:p>
    <w:p w14:paraId="4F6B21F5">
      <w:pPr>
        <w:spacing w:line="360" w:lineRule="auto"/>
        <w:ind w:firstLine="422" w:firstLineChars="200"/>
        <w:rPr>
          <w:b/>
          <w:bCs/>
          <w:color w:val="auto"/>
          <w:szCs w:val="21"/>
          <w:highlight w:val="none"/>
        </w:rPr>
      </w:pPr>
      <w:r>
        <w:rPr>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89B3BD">
      <w:pPr>
        <w:spacing w:line="360" w:lineRule="auto"/>
        <w:ind w:firstLine="422" w:firstLineChars="200"/>
        <w:rPr>
          <w:b/>
          <w:bCs/>
          <w:color w:val="auto"/>
          <w:szCs w:val="21"/>
          <w:highlight w:val="none"/>
        </w:rPr>
      </w:pPr>
      <w:r>
        <w:rPr>
          <w:b/>
          <w:bCs/>
          <w:color w:val="auto"/>
          <w:szCs w:val="21"/>
          <w:highlight w:val="none"/>
        </w:rPr>
        <w:t>7.5有下列情形之一的视为供应商相互串通竞标，响应文件将被视为无效：</w:t>
      </w:r>
    </w:p>
    <w:p w14:paraId="4D7E28CA">
      <w:pPr>
        <w:spacing w:line="360" w:lineRule="auto"/>
        <w:ind w:firstLine="422" w:firstLineChars="200"/>
        <w:rPr>
          <w:b/>
          <w:bCs/>
          <w:color w:val="auto"/>
          <w:szCs w:val="21"/>
          <w:highlight w:val="none"/>
        </w:rPr>
      </w:pPr>
      <w:r>
        <w:rPr>
          <w:b/>
          <w:bCs/>
          <w:color w:val="auto"/>
          <w:szCs w:val="21"/>
          <w:highlight w:val="none"/>
        </w:rPr>
        <w:t>（1）不同供应商的响应文件由同一单位或者个人编制；或者不同供应商报名的IP地址一致的；</w:t>
      </w:r>
    </w:p>
    <w:p w14:paraId="1AC99918">
      <w:pPr>
        <w:spacing w:line="360" w:lineRule="auto"/>
        <w:ind w:firstLine="422" w:firstLineChars="200"/>
        <w:rPr>
          <w:b/>
          <w:bCs/>
          <w:color w:val="auto"/>
          <w:szCs w:val="21"/>
          <w:highlight w:val="none"/>
        </w:rPr>
      </w:pPr>
      <w:r>
        <w:rPr>
          <w:b/>
          <w:bCs/>
          <w:color w:val="auto"/>
          <w:szCs w:val="21"/>
          <w:highlight w:val="none"/>
        </w:rPr>
        <w:t>（2）不同供应商委托同一单位或者个人办理竞标事宜；</w:t>
      </w:r>
    </w:p>
    <w:p w14:paraId="1C984089">
      <w:pPr>
        <w:spacing w:line="360" w:lineRule="auto"/>
        <w:ind w:firstLine="422" w:firstLineChars="200"/>
        <w:rPr>
          <w:b/>
          <w:bCs/>
          <w:color w:val="auto"/>
          <w:szCs w:val="21"/>
          <w:highlight w:val="none"/>
        </w:rPr>
      </w:pPr>
      <w:r>
        <w:rPr>
          <w:b/>
          <w:bCs/>
          <w:color w:val="auto"/>
          <w:szCs w:val="21"/>
          <w:highlight w:val="none"/>
        </w:rPr>
        <w:t>（3）不同的供应商的响应文件载明的项目管理员为同一个人；</w:t>
      </w:r>
    </w:p>
    <w:p w14:paraId="6A28F1AF">
      <w:pPr>
        <w:spacing w:line="360" w:lineRule="auto"/>
        <w:ind w:firstLine="422" w:firstLineChars="200"/>
        <w:rPr>
          <w:b/>
          <w:bCs/>
          <w:color w:val="auto"/>
          <w:szCs w:val="21"/>
          <w:highlight w:val="none"/>
        </w:rPr>
      </w:pPr>
      <w:r>
        <w:rPr>
          <w:b/>
          <w:bCs/>
          <w:color w:val="auto"/>
          <w:szCs w:val="21"/>
          <w:highlight w:val="none"/>
        </w:rPr>
        <w:t>（4）不同供应商的响应文件异常一致或者报价呈规律性差异；</w:t>
      </w:r>
    </w:p>
    <w:p w14:paraId="27F4A187">
      <w:pPr>
        <w:spacing w:line="360" w:lineRule="auto"/>
        <w:ind w:firstLine="422" w:firstLineChars="200"/>
        <w:rPr>
          <w:b/>
          <w:bCs/>
          <w:color w:val="auto"/>
          <w:szCs w:val="21"/>
          <w:highlight w:val="none"/>
        </w:rPr>
      </w:pPr>
      <w:r>
        <w:rPr>
          <w:b/>
          <w:bCs/>
          <w:color w:val="auto"/>
          <w:szCs w:val="21"/>
          <w:highlight w:val="none"/>
        </w:rPr>
        <w:t>（5）不同供应商的响应文件相互混装；</w:t>
      </w:r>
    </w:p>
    <w:p w14:paraId="4686DC4E">
      <w:pPr>
        <w:tabs>
          <w:tab w:val="left" w:pos="6931"/>
        </w:tabs>
        <w:spacing w:line="360" w:lineRule="auto"/>
        <w:ind w:firstLine="422" w:firstLineChars="200"/>
        <w:rPr>
          <w:b/>
          <w:bCs/>
          <w:color w:val="auto"/>
          <w:szCs w:val="21"/>
          <w:highlight w:val="none"/>
        </w:rPr>
      </w:pPr>
      <w:r>
        <w:rPr>
          <w:b/>
          <w:bCs/>
          <w:color w:val="auto"/>
          <w:szCs w:val="21"/>
          <w:highlight w:val="none"/>
        </w:rPr>
        <w:t>（6）不同供应商的磋商保证金从同一单位或者个人账户转出。</w:t>
      </w:r>
      <w:r>
        <w:rPr>
          <w:b/>
          <w:bCs/>
          <w:color w:val="auto"/>
          <w:szCs w:val="21"/>
          <w:highlight w:val="none"/>
        </w:rPr>
        <w:tab/>
      </w:r>
    </w:p>
    <w:p w14:paraId="6480CB00">
      <w:pPr>
        <w:spacing w:line="360" w:lineRule="auto"/>
        <w:ind w:firstLine="422" w:firstLineChars="200"/>
        <w:rPr>
          <w:b/>
          <w:bCs/>
          <w:color w:val="auto"/>
          <w:szCs w:val="21"/>
          <w:highlight w:val="none"/>
        </w:rPr>
      </w:pPr>
      <w:r>
        <w:rPr>
          <w:b/>
          <w:bCs/>
          <w:color w:val="auto"/>
          <w:szCs w:val="21"/>
          <w:highlight w:val="none"/>
        </w:rPr>
        <w:t>7.6供应商有下列情形之一的，属于恶意串通行为，将报同级监督管理部门：</w:t>
      </w:r>
    </w:p>
    <w:p w14:paraId="15746E0B">
      <w:pPr>
        <w:spacing w:line="360" w:lineRule="auto"/>
        <w:ind w:firstLine="422" w:firstLineChars="200"/>
        <w:rPr>
          <w:b/>
          <w:bCs/>
          <w:color w:val="auto"/>
          <w:szCs w:val="21"/>
          <w:highlight w:val="none"/>
        </w:rPr>
      </w:pPr>
      <w:r>
        <w:rPr>
          <w:b/>
          <w:bCs/>
          <w:color w:val="auto"/>
          <w:szCs w:val="21"/>
          <w:highlight w:val="none"/>
        </w:rPr>
        <w:t>（1）供应商直接或者间接从采购人或者采购代理机构处获得其他供应商的相关信息并修改其响应文件；</w:t>
      </w:r>
    </w:p>
    <w:p w14:paraId="2EB870F5">
      <w:pPr>
        <w:spacing w:line="360" w:lineRule="auto"/>
        <w:ind w:firstLine="422" w:firstLineChars="200"/>
        <w:rPr>
          <w:b/>
          <w:bCs/>
          <w:color w:val="auto"/>
          <w:szCs w:val="21"/>
          <w:highlight w:val="none"/>
        </w:rPr>
      </w:pPr>
      <w:r>
        <w:rPr>
          <w:b/>
          <w:bCs/>
          <w:color w:val="auto"/>
          <w:szCs w:val="21"/>
          <w:highlight w:val="none"/>
        </w:rPr>
        <w:t>（2）供应商按照采购人或者采购代理机构的授意撤换、修改响应文件；</w:t>
      </w:r>
    </w:p>
    <w:p w14:paraId="1BF46B99">
      <w:pPr>
        <w:spacing w:line="360" w:lineRule="auto"/>
        <w:ind w:firstLine="422" w:firstLineChars="200"/>
        <w:rPr>
          <w:b/>
          <w:bCs/>
          <w:color w:val="auto"/>
          <w:szCs w:val="21"/>
          <w:highlight w:val="none"/>
        </w:rPr>
      </w:pPr>
      <w:r>
        <w:rPr>
          <w:b/>
          <w:bCs/>
          <w:color w:val="auto"/>
          <w:szCs w:val="21"/>
          <w:highlight w:val="none"/>
        </w:rPr>
        <w:t>（3）供应商之间协商报价、技术方案等响应文件的实质性内容；</w:t>
      </w:r>
    </w:p>
    <w:p w14:paraId="78505FF3">
      <w:pPr>
        <w:spacing w:line="360" w:lineRule="auto"/>
        <w:ind w:firstLine="422" w:firstLineChars="200"/>
        <w:rPr>
          <w:b/>
          <w:bCs/>
          <w:color w:val="auto"/>
          <w:szCs w:val="21"/>
          <w:highlight w:val="none"/>
        </w:rPr>
      </w:pPr>
      <w:r>
        <w:rPr>
          <w:b/>
          <w:bCs/>
          <w:color w:val="auto"/>
          <w:szCs w:val="21"/>
          <w:highlight w:val="none"/>
        </w:rPr>
        <w:t>（4）属于同一集团、协会、商会等组织成员的供应商按照该组织要求协同参加政府采购活动；</w:t>
      </w:r>
    </w:p>
    <w:p w14:paraId="1B2011AF">
      <w:pPr>
        <w:spacing w:line="360" w:lineRule="auto"/>
        <w:ind w:firstLine="422" w:firstLineChars="200"/>
        <w:rPr>
          <w:b/>
          <w:bCs/>
          <w:color w:val="auto"/>
          <w:szCs w:val="21"/>
          <w:highlight w:val="none"/>
        </w:rPr>
      </w:pPr>
      <w:r>
        <w:rPr>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B1EBADF">
      <w:pPr>
        <w:spacing w:line="360" w:lineRule="auto"/>
        <w:ind w:firstLine="422" w:firstLineChars="200"/>
        <w:rPr>
          <w:b/>
          <w:bCs/>
          <w:color w:val="auto"/>
          <w:szCs w:val="21"/>
          <w:highlight w:val="none"/>
        </w:rPr>
      </w:pPr>
      <w:r>
        <w:rPr>
          <w:b/>
          <w:bCs/>
          <w:color w:val="auto"/>
          <w:szCs w:val="21"/>
          <w:highlight w:val="none"/>
        </w:rPr>
        <w:t>（6）供应商之间商定部分供应商放弃参加政府采购活动或者放弃成交；</w:t>
      </w:r>
    </w:p>
    <w:p w14:paraId="48CBE15C">
      <w:pPr>
        <w:spacing w:line="360" w:lineRule="auto"/>
        <w:ind w:firstLine="422" w:firstLineChars="200"/>
        <w:rPr>
          <w:b/>
          <w:bCs/>
          <w:color w:val="auto"/>
          <w:szCs w:val="21"/>
          <w:highlight w:val="none"/>
        </w:rPr>
      </w:pPr>
      <w:r>
        <w:rPr>
          <w:b/>
          <w:bCs/>
          <w:color w:val="auto"/>
          <w:szCs w:val="21"/>
          <w:highlight w:val="none"/>
        </w:rPr>
        <w:t>（7）供应商与采购人或者采购代理机构之间、供应商相互之间，为谋求特定供应商成交或者排斥其他供应商的其他串通行为。</w:t>
      </w:r>
    </w:p>
    <w:p w14:paraId="622A0715">
      <w:pPr>
        <w:pStyle w:val="4"/>
        <w:spacing w:before="0" w:after="0" w:line="360" w:lineRule="auto"/>
        <w:ind w:firstLine="562" w:firstLineChars="200"/>
        <w:rPr>
          <w:color w:val="auto"/>
          <w:sz w:val="28"/>
          <w:szCs w:val="28"/>
          <w:highlight w:val="none"/>
        </w:rPr>
      </w:pPr>
      <w:bookmarkStart w:id="85" w:name="_Toc254970675"/>
      <w:bookmarkStart w:id="86" w:name="_Toc80886931"/>
      <w:bookmarkStart w:id="87" w:name="_Toc254970534"/>
      <w:bookmarkStart w:id="88" w:name="_Toc27583"/>
      <w:bookmarkStart w:id="89" w:name="_Toc12713"/>
      <w:r>
        <w:rPr>
          <w:color w:val="auto"/>
          <w:sz w:val="28"/>
          <w:szCs w:val="28"/>
          <w:highlight w:val="none"/>
        </w:rPr>
        <w:t>二、磋商文件</w:t>
      </w:r>
      <w:bookmarkEnd w:id="85"/>
      <w:bookmarkEnd w:id="86"/>
      <w:bookmarkEnd w:id="87"/>
      <w:bookmarkEnd w:id="88"/>
      <w:bookmarkEnd w:id="89"/>
    </w:p>
    <w:p w14:paraId="199E2459">
      <w:pPr>
        <w:spacing w:line="360" w:lineRule="auto"/>
        <w:ind w:firstLine="482" w:firstLineChars="200"/>
        <w:rPr>
          <w:rFonts w:eastAsia="黑体"/>
          <w:b/>
          <w:bCs/>
          <w:color w:val="auto"/>
          <w:sz w:val="24"/>
          <w:highlight w:val="none"/>
        </w:rPr>
      </w:pPr>
      <w:r>
        <w:rPr>
          <w:rFonts w:eastAsia="黑体"/>
          <w:b/>
          <w:bCs/>
          <w:color w:val="auto"/>
          <w:sz w:val="24"/>
          <w:highlight w:val="none"/>
        </w:rPr>
        <w:t>8.磋商文件的构成</w:t>
      </w:r>
    </w:p>
    <w:p w14:paraId="4AAF0379">
      <w:pPr>
        <w:spacing w:line="360" w:lineRule="auto"/>
        <w:ind w:firstLine="420" w:firstLineChars="200"/>
        <w:jc w:val="left"/>
        <w:rPr>
          <w:color w:val="auto"/>
          <w:szCs w:val="21"/>
          <w:highlight w:val="none"/>
        </w:rPr>
      </w:pPr>
      <w:r>
        <w:rPr>
          <w:color w:val="auto"/>
          <w:szCs w:val="21"/>
          <w:highlight w:val="none"/>
        </w:rPr>
        <w:t>第一章 竞争性磋商公告；</w:t>
      </w:r>
    </w:p>
    <w:p w14:paraId="1FD9BF41">
      <w:pPr>
        <w:spacing w:line="360" w:lineRule="auto"/>
        <w:ind w:firstLine="420" w:firstLineChars="200"/>
        <w:jc w:val="left"/>
        <w:rPr>
          <w:color w:val="auto"/>
          <w:szCs w:val="21"/>
          <w:highlight w:val="none"/>
        </w:rPr>
      </w:pPr>
      <w:r>
        <w:rPr>
          <w:color w:val="auto"/>
          <w:szCs w:val="21"/>
          <w:highlight w:val="none"/>
        </w:rPr>
        <w:t>第二章 采购需求；</w:t>
      </w:r>
    </w:p>
    <w:p w14:paraId="6BABB91E">
      <w:pPr>
        <w:spacing w:line="360" w:lineRule="auto"/>
        <w:ind w:firstLine="420" w:firstLineChars="200"/>
        <w:jc w:val="left"/>
        <w:rPr>
          <w:color w:val="auto"/>
          <w:szCs w:val="21"/>
          <w:highlight w:val="none"/>
        </w:rPr>
      </w:pPr>
      <w:r>
        <w:rPr>
          <w:color w:val="auto"/>
          <w:szCs w:val="21"/>
          <w:highlight w:val="none"/>
        </w:rPr>
        <w:t xml:space="preserve">第三章 供应商须知； </w:t>
      </w:r>
    </w:p>
    <w:p w14:paraId="1EA49AF5">
      <w:pPr>
        <w:spacing w:line="360" w:lineRule="auto"/>
        <w:ind w:firstLine="420" w:firstLineChars="200"/>
        <w:jc w:val="left"/>
        <w:rPr>
          <w:color w:val="auto"/>
          <w:szCs w:val="21"/>
          <w:highlight w:val="none"/>
        </w:rPr>
      </w:pPr>
      <w:r>
        <w:rPr>
          <w:color w:val="auto"/>
          <w:szCs w:val="21"/>
          <w:highlight w:val="none"/>
        </w:rPr>
        <w:t>第四章 评审程序、评审方法和评审标准；</w:t>
      </w:r>
    </w:p>
    <w:p w14:paraId="5BBC75C4">
      <w:pPr>
        <w:spacing w:line="360" w:lineRule="auto"/>
        <w:ind w:firstLine="420" w:firstLineChars="200"/>
        <w:jc w:val="left"/>
        <w:rPr>
          <w:color w:val="auto"/>
          <w:szCs w:val="21"/>
          <w:highlight w:val="none"/>
        </w:rPr>
      </w:pPr>
      <w:r>
        <w:rPr>
          <w:color w:val="auto"/>
          <w:szCs w:val="21"/>
          <w:highlight w:val="none"/>
        </w:rPr>
        <w:t>第五章 响应文件格式；</w:t>
      </w:r>
    </w:p>
    <w:p w14:paraId="437ABC10">
      <w:pPr>
        <w:spacing w:line="360" w:lineRule="auto"/>
        <w:ind w:firstLine="420" w:firstLineChars="200"/>
        <w:jc w:val="left"/>
        <w:rPr>
          <w:color w:val="auto"/>
          <w:szCs w:val="21"/>
          <w:highlight w:val="none"/>
        </w:rPr>
      </w:pPr>
      <w:r>
        <w:rPr>
          <w:color w:val="auto"/>
          <w:szCs w:val="21"/>
          <w:highlight w:val="none"/>
        </w:rPr>
        <w:t>第六章 合同文本；</w:t>
      </w:r>
    </w:p>
    <w:p w14:paraId="5E82C32E">
      <w:pPr>
        <w:spacing w:line="360" w:lineRule="auto"/>
        <w:ind w:firstLine="420" w:firstLineChars="200"/>
        <w:jc w:val="left"/>
        <w:rPr>
          <w:color w:val="auto"/>
          <w:szCs w:val="21"/>
          <w:highlight w:val="none"/>
        </w:rPr>
      </w:pPr>
      <w:r>
        <w:rPr>
          <w:rFonts w:hint="eastAsia"/>
          <w:color w:val="auto"/>
          <w:szCs w:val="21"/>
          <w:highlight w:val="none"/>
        </w:rPr>
        <w:t>第七章 工程量清单、图纸</w:t>
      </w:r>
    </w:p>
    <w:p w14:paraId="7891FC75">
      <w:pPr>
        <w:spacing w:line="360" w:lineRule="auto"/>
        <w:ind w:firstLine="420" w:firstLineChars="200"/>
        <w:jc w:val="left"/>
        <w:rPr>
          <w:color w:val="auto"/>
          <w:szCs w:val="21"/>
          <w:highlight w:val="none"/>
        </w:rPr>
      </w:pPr>
      <w:r>
        <w:rPr>
          <w:color w:val="auto"/>
          <w:szCs w:val="21"/>
          <w:highlight w:val="none"/>
        </w:rPr>
        <w:t>第</w:t>
      </w:r>
      <w:r>
        <w:rPr>
          <w:rFonts w:hint="eastAsia"/>
          <w:color w:val="auto"/>
          <w:szCs w:val="21"/>
          <w:highlight w:val="none"/>
        </w:rPr>
        <w:t>八</w:t>
      </w:r>
      <w:r>
        <w:rPr>
          <w:color w:val="auto"/>
          <w:szCs w:val="21"/>
          <w:highlight w:val="none"/>
        </w:rPr>
        <w:t>章 质疑、投诉材料格式。</w:t>
      </w:r>
    </w:p>
    <w:p w14:paraId="607FCF07">
      <w:pPr>
        <w:spacing w:line="360" w:lineRule="auto"/>
        <w:ind w:firstLine="482" w:firstLineChars="200"/>
        <w:rPr>
          <w:rFonts w:eastAsia="黑体"/>
          <w:b/>
          <w:bCs/>
          <w:color w:val="auto"/>
          <w:sz w:val="24"/>
          <w:highlight w:val="none"/>
        </w:rPr>
      </w:pPr>
      <w:r>
        <w:rPr>
          <w:rFonts w:eastAsia="黑体"/>
          <w:b/>
          <w:bCs/>
          <w:color w:val="auto"/>
          <w:sz w:val="24"/>
          <w:highlight w:val="none"/>
        </w:rPr>
        <w:t>9.供应商的询问</w:t>
      </w:r>
    </w:p>
    <w:p w14:paraId="1AB2E973">
      <w:pPr>
        <w:spacing w:line="360" w:lineRule="auto"/>
        <w:ind w:firstLine="420" w:firstLineChars="200"/>
        <w:rPr>
          <w:color w:val="auto"/>
          <w:szCs w:val="21"/>
          <w:highlight w:val="none"/>
        </w:rPr>
      </w:pPr>
      <w:r>
        <w:rPr>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46B2105">
      <w:pPr>
        <w:spacing w:line="360" w:lineRule="auto"/>
        <w:ind w:firstLine="482" w:firstLineChars="200"/>
        <w:rPr>
          <w:rFonts w:eastAsia="黑体"/>
          <w:b/>
          <w:bCs/>
          <w:color w:val="auto"/>
          <w:sz w:val="24"/>
          <w:highlight w:val="none"/>
        </w:rPr>
      </w:pPr>
      <w:r>
        <w:rPr>
          <w:rFonts w:eastAsia="黑体"/>
          <w:b/>
          <w:bCs/>
          <w:color w:val="auto"/>
          <w:sz w:val="24"/>
          <w:highlight w:val="none"/>
        </w:rPr>
        <w:t>10.磋商文件的澄清和修改</w:t>
      </w:r>
    </w:p>
    <w:p w14:paraId="32CCD11C">
      <w:pPr>
        <w:spacing w:line="360" w:lineRule="auto"/>
        <w:ind w:firstLine="420" w:firstLineChars="200"/>
        <w:rPr>
          <w:color w:val="auto"/>
          <w:szCs w:val="21"/>
          <w:highlight w:val="none"/>
        </w:rPr>
      </w:pPr>
      <w:r>
        <w:rPr>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712F769">
      <w:pPr>
        <w:spacing w:line="360" w:lineRule="auto"/>
        <w:ind w:firstLine="422" w:firstLineChars="200"/>
        <w:rPr>
          <w:b/>
          <w:color w:val="auto"/>
          <w:szCs w:val="21"/>
          <w:highlight w:val="none"/>
        </w:rPr>
      </w:pPr>
      <w:r>
        <w:rPr>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5DED5B2">
      <w:pPr>
        <w:spacing w:line="360" w:lineRule="auto"/>
        <w:ind w:firstLine="420" w:firstLineChars="200"/>
        <w:rPr>
          <w:color w:val="auto"/>
          <w:szCs w:val="21"/>
          <w:highlight w:val="none"/>
        </w:rPr>
      </w:pPr>
      <w:r>
        <w:rPr>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79CFF517">
      <w:pPr>
        <w:spacing w:line="360" w:lineRule="auto"/>
        <w:ind w:firstLine="420" w:firstLineChars="200"/>
        <w:rPr>
          <w:color w:val="auto"/>
          <w:szCs w:val="21"/>
          <w:highlight w:val="none"/>
        </w:rPr>
      </w:pPr>
      <w:r>
        <w:rPr>
          <w:color w:val="auto"/>
          <w:szCs w:val="21"/>
          <w:highlight w:val="none"/>
        </w:rPr>
        <w:t>10.4</w:t>
      </w:r>
      <w:r>
        <w:rPr>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CC026BE">
      <w:pPr>
        <w:spacing w:line="360" w:lineRule="auto"/>
        <w:ind w:firstLine="420" w:firstLineChars="200"/>
        <w:rPr>
          <w:color w:val="auto"/>
          <w:highlight w:val="none"/>
        </w:rPr>
      </w:pPr>
      <w:r>
        <w:rPr>
          <w:color w:val="auto"/>
          <w:highlight w:val="none"/>
        </w:rPr>
        <w:t>10.5  采购人和采购代理机构可以视采购具体情况，变更提交首次响应文件截止时间和竞谈时间，将变更时间将在竞争性磋商公告中</w:t>
      </w:r>
      <w:r>
        <w:rPr>
          <w:rFonts w:hint="eastAsia"/>
          <w:color w:val="auto"/>
          <w:highlight w:val="none"/>
          <w:lang w:eastAsia="zh-CN"/>
        </w:rPr>
        <w:t>“</w:t>
      </w:r>
      <w:r>
        <w:rPr>
          <w:color w:val="auto"/>
          <w:highlight w:val="none"/>
        </w:rPr>
        <w:t>七、其他补充事宜2.网上查询地址</w:t>
      </w:r>
      <w:r>
        <w:rPr>
          <w:rFonts w:hint="eastAsia"/>
          <w:color w:val="auto"/>
          <w:highlight w:val="none"/>
          <w:lang w:eastAsia="zh-CN"/>
        </w:rPr>
        <w:t>”</w:t>
      </w:r>
      <w:r>
        <w:rPr>
          <w:color w:val="auto"/>
          <w:highlight w:val="none"/>
        </w:rPr>
        <w:t>规定的政府采购信息发布媒体上发布更正公告。</w:t>
      </w:r>
    </w:p>
    <w:p w14:paraId="21212D9F">
      <w:pPr>
        <w:spacing w:line="360" w:lineRule="auto"/>
        <w:ind w:firstLine="400" w:firstLineChars="200"/>
        <w:rPr>
          <w:color w:val="auto"/>
          <w:kern w:val="0"/>
          <w:sz w:val="20"/>
          <w:szCs w:val="21"/>
          <w:highlight w:val="none"/>
        </w:rPr>
      </w:pPr>
      <w:r>
        <w:rPr>
          <w:color w:val="auto"/>
          <w:kern w:val="0"/>
          <w:sz w:val="20"/>
          <w:szCs w:val="21"/>
          <w:highlight w:val="none"/>
        </w:rPr>
        <w:t>▲</w:t>
      </w:r>
      <w:r>
        <w:rPr>
          <w:b/>
          <w:color w:val="auto"/>
          <w:kern w:val="0"/>
          <w:sz w:val="20"/>
          <w:szCs w:val="21"/>
          <w:highlight w:val="none"/>
        </w:rPr>
        <w:t>响应文件未按磋商文件的澄清、修改的内容编制，又不符合实质性要求的，其响应文件按无效处理。</w:t>
      </w:r>
    </w:p>
    <w:p w14:paraId="2206AAC3">
      <w:pPr>
        <w:pStyle w:val="4"/>
        <w:spacing w:before="0" w:after="0" w:line="360" w:lineRule="auto"/>
        <w:ind w:firstLine="281" w:firstLineChars="100"/>
        <w:rPr>
          <w:color w:val="auto"/>
          <w:sz w:val="28"/>
          <w:szCs w:val="28"/>
          <w:highlight w:val="none"/>
        </w:rPr>
      </w:pPr>
      <w:r>
        <w:rPr>
          <w:color w:val="auto"/>
          <w:sz w:val="28"/>
          <w:szCs w:val="28"/>
          <w:highlight w:val="none"/>
        </w:rPr>
        <w:t xml:space="preserve">  </w:t>
      </w:r>
      <w:bookmarkStart w:id="90" w:name="_Toc21480"/>
      <w:bookmarkStart w:id="91" w:name="_Toc21690"/>
      <w:bookmarkStart w:id="92" w:name="_Toc80886932"/>
      <w:r>
        <w:rPr>
          <w:color w:val="auto"/>
          <w:sz w:val="28"/>
          <w:szCs w:val="28"/>
          <w:highlight w:val="none"/>
        </w:rPr>
        <w:t>三、响应文件的编制</w:t>
      </w:r>
      <w:bookmarkEnd w:id="90"/>
      <w:bookmarkEnd w:id="91"/>
      <w:bookmarkEnd w:id="92"/>
    </w:p>
    <w:p w14:paraId="3FE7ED95">
      <w:pPr>
        <w:spacing w:line="360" w:lineRule="auto"/>
        <w:ind w:firstLine="482" w:firstLineChars="200"/>
        <w:rPr>
          <w:rFonts w:eastAsia="黑体"/>
          <w:b/>
          <w:bCs/>
          <w:color w:val="auto"/>
          <w:sz w:val="24"/>
          <w:highlight w:val="none"/>
        </w:rPr>
      </w:pPr>
      <w:r>
        <w:rPr>
          <w:rFonts w:eastAsia="黑体"/>
          <w:b/>
          <w:bCs/>
          <w:color w:val="auto"/>
          <w:sz w:val="24"/>
          <w:highlight w:val="none"/>
        </w:rPr>
        <w:t>11.响应文件的编制原则</w:t>
      </w:r>
    </w:p>
    <w:p w14:paraId="1930AB7D">
      <w:pPr>
        <w:spacing w:line="360" w:lineRule="auto"/>
        <w:ind w:firstLine="420" w:firstLineChars="200"/>
        <w:rPr>
          <w:color w:val="auto"/>
          <w:szCs w:val="21"/>
          <w:highlight w:val="none"/>
        </w:rPr>
      </w:pPr>
      <w:r>
        <w:rPr>
          <w:color w:val="auto"/>
          <w:szCs w:val="21"/>
          <w:highlight w:val="none"/>
        </w:rPr>
        <w:t>供应商必须按照磋商文件的要求编制响应文件，并对其提交的响应文件的真实性、合法性承担法律责任。响应文件必须对磋商文件作出实质性响应。</w:t>
      </w:r>
    </w:p>
    <w:p w14:paraId="421B81E0">
      <w:pPr>
        <w:spacing w:line="360" w:lineRule="auto"/>
        <w:ind w:firstLine="482" w:firstLineChars="200"/>
        <w:rPr>
          <w:rFonts w:eastAsia="黑体"/>
          <w:b/>
          <w:bCs/>
          <w:color w:val="auto"/>
          <w:sz w:val="24"/>
          <w:highlight w:val="none"/>
        </w:rPr>
      </w:pPr>
      <w:r>
        <w:rPr>
          <w:rFonts w:eastAsia="黑体"/>
          <w:b/>
          <w:bCs/>
          <w:color w:val="auto"/>
          <w:sz w:val="24"/>
          <w:highlight w:val="none"/>
        </w:rPr>
        <w:t>12.响应文件的组成</w:t>
      </w:r>
    </w:p>
    <w:p w14:paraId="0C32F86B">
      <w:pPr>
        <w:spacing w:line="360" w:lineRule="auto"/>
        <w:ind w:firstLine="420" w:firstLineChars="200"/>
        <w:rPr>
          <w:color w:val="auto"/>
          <w:szCs w:val="21"/>
          <w:highlight w:val="none"/>
        </w:rPr>
      </w:pPr>
      <w:r>
        <w:rPr>
          <w:color w:val="auto"/>
          <w:szCs w:val="21"/>
          <w:highlight w:val="none"/>
        </w:rPr>
        <w:t>12.1响应文件由资格证明文件、报价文件、商务和技术文件三部分组成。</w:t>
      </w:r>
    </w:p>
    <w:p w14:paraId="0D43716A">
      <w:pPr>
        <w:spacing w:line="360" w:lineRule="auto"/>
        <w:ind w:firstLine="420" w:firstLineChars="200"/>
        <w:rPr>
          <w:color w:val="auto"/>
          <w:szCs w:val="21"/>
          <w:highlight w:val="none"/>
        </w:rPr>
      </w:pPr>
      <w:r>
        <w:rPr>
          <w:color w:val="auto"/>
          <w:szCs w:val="21"/>
          <w:highlight w:val="none"/>
        </w:rPr>
        <w:t>12.1.1资格证明文件：详见供应商须知前附表</w:t>
      </w:r>
    </w:p>
    <w:p w14:paraId="5DF6AF4F">
      <w:pPr>
        <w:spacing w:line="360" w:lineRule="auto"/>
        <w:ind w:firstLine="420" w:firstLineChars="200"/>
        <w:rPr>
          <w:color w:val="auto"/>
          <w:szCs w:val="21"/>
          <w:highlight w:val="none"/>
        </w:rPr>
      </w:pPr>
      <w:r>
        <w:rPr>
          <w:color w:val="auto"/>
          <w:szCs w:val="21"/>
          <w:highlight w:val="none"/>
        </w:rPr>
        <w:t>12.1.2商务技术文件：详见供应商须知前附表</w:t>
      </w:r>
    </w:p>
    <w:p w14:paraId="1F7C93B7">
      <w:pPr>
        <w:spacing w:line="360" w:lineRule="auto"/>
        <w:ind w:firstLine="420" w:firstLineChars="200"/>
        <w:rPr>
          <w:color w:val="auto"/>
          <w:szCs w:val="21"/>
          <w:highlight w:val="none"/>
        </w:rPr>
      </w:pPr>
      <w:r>
        <w:rPr>
          <w:color w:val="auto"/>
          <w:szCs w:val="21"/>
          <w:highlight w:val="none"/>
        </w:rPr>
        <w:t>12.1.3报价文件：详见供应商须知前附表</w:t>
      </w:r>
    </w:p>
    <w:p w14:paraId="463AB37D">
      <w:pPr>
        <w:spacing w:line="360" w:lineRule="auto"/>
        <w:ind w:firstLine="420" w:firstLineChars="200"/>
        <w:rPr>
          <w:color w:val="auto"/>
          <w:szCs w:val="21"/>
          <w:highlight w:val="none"/>
        </w:rPr>
      </w:pPr>
      <w:r>
        <w:rPr>
          <w:color w:val="auto"/>
          <w:szCs w:val="21"/>
          <w:highlight w:val="none"/>
        </w:rPr>
        <w:t>12.2响应文件电子版：详见供应商须知前附表</w:t>
      </w:r>
    </w:p>
    <w:p w14:paraId="5C3146B5">
      <w:pPr>
        <w:spacing w:line="360" w:lineRule="auto"/>
        <w:ind w:firstLine="482" w:firstLineChars="200"/>
        <w:rPr>
          <w:rFonts w:eastAsia="黑体"/>
          <w:b/>
          <w:bCs/>
          <w:color w:val="auto"/>
          <w:sz w:val="24"/>
          <w:highlight w:val="none"/>
        </w:rPr>
      </w:pPr>
      <w:r>
        <w:rPr>
          <w:rFonts w:eastAsia="黑体"/>
          <w:b/>
          <w:bCs/>
          <w:color w:val="auto"/>
          <w:sz w:val="24"/>
          <w:highlight w:val="none"/>
        </w:rPr>
        <w:t>13.计量单位</w:t>
      </w:r>
    </w:p>
    <w:p w14:paraId="1C02DFFA">
      <w:pPr>
        <w:spacing w:line="360" w:lineRule="auto"/>
        <w:ind w:firstLine="420" w:firstLineChars="200"/>
        <w:rPr>
          <w:color w:val="auto"/>
          <w:szCs w:val="21"/>
          <w:highlight w:val="none"/>
        </w:rPr>
      </w:pPr>
      <w:r>
        <w:rPr>
          <w:color w:val="auto"/>
          <w:szCs w:val="21"/>
          <w:highlight w:val="none"/>
        </w:rPr>
        <w:t>磋商文件已有明确规定的，使用磋商文件规定的计量单位；磋商文件没有规定的，应采用中华人民共和国法定计量单位，货币种类为人民币，否则视同未响应。</w:t>
      </w:r>
    </w:p>
    <w:p w14:paraId="7B6E2133">
      <w:pPr>
        <w:spacing w:line="360" w:lineRule="auto"/>
        <w:ind w:firstLine="482" w:firstLineChars="200"/>
        <w:rPr>
          <w:rFonts w:eastAsia="黑体"/>
          <w:b/>
          <w:bCs/>
          <w:color w:val="auto"/>
          <w:sz w:val="24"/>
          <w:highlight w:val="none"/>
        </w:rPr>
      </w:pPr>
      <w:r>
        <w:rPr>
          <w:rFonts w:eastAsia="黑体"/>
          <w:b/>
          <w:bCs/>
          <w:color w:val="auto"/>
          <w:sz w:val="24"/>
          <w:highlight w:val="none"/>
        </w:rPr>
        <w:t>14.竞标的风险</w:t>
      </w:r>
    </w:p>
    <w:p w14:paraId="4FFC4387">
      <w:pPr>
        <w:spacing w:line="360" w:lineRule="auto"/>
        <w:ind w:firstLine="420" w:firstLineChars="200"/>
        <w:rPr>
          <w:color w:val="auto"/>
          <w:szCs w:val="21"/>
          <w:highlight w:val="none"/>
        </w:rPr>
      </w:pPr>
      <w:r>
        <w:rPr>
          <w:color w:val="auto"/>
          <w:szCs w:val="21"/>
          <w:highlight w:val="none"/>
        </w:rPr>
        <w:t>供应商没有按照磋商文件要求提供全部资料，或者供应商没有对磋商文件在各方面作出实质性响应可能导致其响应无效，是供应商应当考虑的风险。</w:t>
      </w:r>
    </w:p>
    <w:p w14:paraId="3CAB654D">
      <w:pPr>
        <w:spacing w:line="360" w:lineRule="auto"/>
        <w:ind w:firstLine="482" w:firstLineChars="200"/>
        <w:rPr>
          <w:rFonts w:eastAsia="黑体"/>
          <w:b/>
          <w:bCs/>
          <w:color w:val="auto"/>
          <w:sz w:val="24"/>
          <w:highlight w:val="none"/>
        </w:rPr>
      </w:pPr>
      <w:r>
        <w:rPr>
          <w:rFonts w:eastAsia="黑体"/>
          <w:b/>
          <w:bCs/>
          <w:color w:val="auto"/>
          <w:sz w:val="24"/>
          <w:highlight w:val="none"/>
        </w:rPr>
        <w:t>15.响应报价要求和构成</w:t>
      </w:r>
    </w:p>
    <w:p w14:paraId="24C4016A">
      <w:pPr>
        <w:tabs>
          <w:tab w:val="left" w:pos="2492"/>
        </w:tabs>
        <w:spacing w:line="360" w:lineRule="auto"/>
        <w:ind w:firstLine="420" w:firstLineChars="200"/>
        <w:rPr>
          <w:color w:val="auto"/>
          <w:szCs w:val="21"/>
          <w:highlight w:val="none"/>
        </w:rPr>
      </w:pPr>
      <w:r>
        <w:rPr>
          <w:color w:val="auto"/>
          <w:szCs w:val="21"/>
          <w:highlight w:val="none"/>
        </w:rPr>
        <w:t>15.1响应报价应按</w:t>
      </w:r>
      <w:r>
        <w:rPr>
          <w:rFonts w:hint="eastAsia"/>
          <w:color w:val="auto"/>
          <w:szCs w:val="21"/>
          <w:highlight w:val="none"/>
          <w:lang w:eastAsia="zh-CN"/>
        </w:rPr>
        <w:t>“</w:t>
      </w:r>
      <w:r>
        <w:rPr>
          <w:color w:val="auto"/>
          <w:szCs w:val="21"/>
          <w:highlight w:val="none"/>
        </w:rPr>
        <w:t>第五章 响应文件格式</w:t>
      </w:r>
      <w:r>
        <w:rPr>
          <w:rFonts w:hint="eastAsia"/>
          <w:color w:val="auto"/>
          <w:szCs w:val="21"/>
          <w:highlight w:val="none"/>
          <w:lang w:eastAsia="zh-CN"/>
        </w:rPr>
        <w:t>”</w:t>
      </w:r>
      <w:r>
        <w:rPr>
          <w:color w:val="auto"/>
          <w:szCs w:val="21"/>
          <w:highlight w:val="none"/>
        </w:rPr>
        <w:t>中</w:t>
      </w:r>
      <w:r>
        <w:rPr>
          <w:rFonts w:hint="eastAsia"/>
          <w:color w:val="auto"/>
          <w:szCs w:val="21"/>
          <w:highlight w:val="none"/>
          <w:lang w:eastAsia="zh-CN"/>
        </w:rPr>
        <w:t>“</w:t>
      </w:r>
      <w:r>
        <w:rPr>
          <w:color w:val="auto"/>
          <w:szCs w:val="21"/>
          <w:highlight w:val="none"/>
        </w:rPr>
        <w:t>响应报价表</w:t>
      </w:r>
      <w:r>
        <w:rPr>
          <w:rFonts w:hint="eastAsia"/>
          <w:color w:val="auto"/>
          <w:szCs w:val="21"/>
          <w:highlight w:val="none"/>
          <w:lang w:eastAsia="zh-CN"/>
        </w:rPr>
        <w:t>”</w:t>
      </w:r>
      <w:r>
        <w:rPr>
          <w:color w:val="auto"/>
          <w:szCs w:val="21"/>
          <w:highlight w:val="none"/>
        </w:rPr>
        <w:t>格式填写。</w:t>
      </w:r>
    </w:p>
    <w:p w14:paraId="13F68913">
      <w:pPr>
        <w:tabs>
          <w:tab w:val="left" w:pos="2492"/>
        </w:tabs>
        <w:spacing w:line="360" w:lineRule="auto"/>
        <w:ind w:firstLine="420" w:firstLineChars="200"/>
        <w:rPr>
          <w:color w:val="auto"/>
          <w:szCs w:val="21"/>
          <w:highlight w:val="none"/>
        </w:rPr>
      </w:pPr>
      <w:r>
        <w:rPr>
          <w:color w:val="auto"/>
          <w:szCs w:val="21"/>
          <w:highlight w:val="none"/>
        </w:rPr>
        <w:t>15.2响应报价的价格构成见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671A9077">
      <w:pPr>
        <w:spacing w:line="360" w:lineRule="auto"/>
        <w:ind w:firstLine="420" w:firstLineChars="200"/>
        <w:rPr>
          <w:color w:val="auto"/>
          <w:szCs w:val="21"/>
          <w:highlight w:val="none"/>
        </w:rPr>
      </w:pPr>
      <w:r>
        <w:rPr>
          <w:color w:val="auto"/>
          <w:szCs w:val="21"/>
          <w:highlight w:val="none"/>
        </w:rPr>
        <w:t>15.3响应报价要求</w:t>
      </w:r>
    </w:p>
    <w:p w14:paraId="1FF75E18">
      <w:pPr>
        <w:spacing w:line="360" w:lineRule="auto"/>
        <w:ind w:firstLine="420" w:firstLineChars="200"/>
        <w:rPr>
          <w:color w:val="auto"/>
          <w:szCs w:val="21"/>
          <w:highlight w:val="none"/>
        </w:rPr>
      </w:pPr>
    </w:p>
    <w:p w14:paraId="42087220">
      <w:pPr>
        <w:spacing w:line="360" w:lineRule="auto"/>
        <w:ind w:firstLine="420" w:firstLineChars="200"/>
        <w:rPr>
          <w:color w:val="auto"/>
          <w:szCs w:val="21"/>
          <w:highlight w:val="none"/>
        </w:rPr>
      </w:pPr>
      <w:r>
        <w:rPr>
          <w:rFonts w:hint="eastAsia"/>
          <w:color w:val="auto"/>
          <w:szCs w:val="21"/>
          <w:highlight w:val="none"/>
        </w:rPr>
        <w:t>15.3.1供应商的响应报价要求</w:t>
      </w:r>
      <w:r>
        <w:rPr>
          <w:color w:val="auto"/>
          <w:szCs w:val="21"/>
          <w:highlight w:val="none"/>
        </w:rPr>
        <w:t>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511A34DC">
      <w:pPr>
        <w:spacing w:line="360" w:lineRule="auto"/>
        <w:ind w:firstLine="420" w:firstLineChars="200"/>
        <w:rPr>
          <w:color w:val="auto"/>
          <w:szCs w:val="21"/>
          <w:highlight w:val="none"/>
        </w:rPr>
      </w:pPr>
      <w:r>
        <w:rPr>
          <w:color w:val="auto"/>
          <w:szCs w:val="21"/>
          <w:highlight w:val="none"/>
        </w:rPr>
        <w:t>15.3.</w:t>
      </w:r>
      <w:r>
        <w:rPr>
          <w:rFonts w:hint="eastAsia"/>
          <w:color w:val="auto"/>
          <w:szCs w:val="21"/>
          <w:highlight w:val="none"/>
        </w:rPr>
        <w:t>2</w:t>
      </w:r>
      <w:r>
        <w:rPr>
          <w:color w:val="auto"/>
          <w:szCs w:val="21"/>
          <w:highlight w:val="none"/>
        </w:rPr>
        <w:t>供应商的响应报价应符合以下要求，否则响应文件按无效响应处理：</w:t>
      </w:r>
    </w:p>
    <w:p w14:paraId="086326E8">
      <w:pPr>
        <w:spacing w:line="360" w:lineRule="auto"/>
        <w:ind w:firstLine="420" w:firstLineChars="200"/>
        <w:rPr>
          <w:color w:val="auto"/>
          <w:szCs w:val="21"/>
          <w:highlight w:val="none"/>
        </w:rPr>
      </w:pPr>
      <w:r>
        <w:rPr>
          <w:color w:val="auto"/>
          <w:szCs w:val="21"/>
          <w:highlight w:val="none"/>
        </w:rPr>
        <w:t>（1）供应商必须就</w:t>
      </w:r>
      <w:r>
        <w:rPr>
          <w:rFonts w:hint="eastAsia"/>
          <w:color w:val="auto"/>
          <w:szCs w:val="21"/>
          <w:highlight w:val="none"/>
          <w:lang w:eastAsia="zh-CN"/>
        </w:rPr>
        <w:t>“</w:t>
      </w:r>
      <w:r>
        <w:rPr>
          <w:color w:val="auto"/>
          <w:szCs w:val="21"/>
          <w:highlight w:val="none"/>
        </w:rPr>
        <w:t>采购需求</w:t>
      </w:r>
      <w:r>
        <w:rPr>
          <w:rFonts w:hint="eastAsia"/>
          <w:color w:val="auto"/>
          <w:szCs w:val="21"/>
          <w:highlight w:val="none"/>
          <w:lang w:eastAsia="zh-CN"/>
        </w:rPr>
        <w:t>”</w:t>
      </w:r>
      <w:r>
        <w:rPr>
          <w:color w:val="auto"/>
          <w:szCs w:val="21"/>
          <w:highlight w:val="none"/>
        </w:rPr>
        <w:t>中所竞标的项目的全部内容分别作完整唯一总价报价，不得存在漏项报价；</w:t>
      </w:r>
    </w:p>
    <w:p w14:paraId="2E059AA3">
      <w:pPr>
        <w:spacing w:line="360" w:lineRule="auto"/>
        <w:ind w:firstLine="420" w:firstLineChars="200"/>
        <w:rPr>
          <w:color w:val="auto"/>
          <w:szCs w:val="21"/>
          <w:highlight w:val="none"/>
        </w:rPr>
      </w:pPr>
      <w:r>
        <w:rPr>
          <w:color w:val="auto"/>
          <w:szCs w:val="21"/>
          <w:highlight w:val="none"/>
        </w:rPr>
        <w:t>（2）供应商必须就所竞标的项目的单项内容作唯一报价。</w:t>
      </w:r>
    </w:p>
    <w:p w14:paraId="49BDCFB2">
      <w:pPr>
        <w:spacing w:line="360" w:lineRule="auto"/>
        <w:ind w:firstLine="420" w:firstLineChars="200"/>
        <w:rPr>
          <w:color w:val="auto"/>
          <w:szCs w:val="21"/>
          <w:highlight w:val="none"/>
        </w:rPr>
      </w:pPr>
      <w:r>
        <w:rPr>
          <w:color w:val="auto"/>
          <w:szCs w:val="21"/>
          <w:highlight w:val="none"/>
        </w:rPr>
        <w:t>15.3.</w:t>
      </w:r>
      <w:r>
        <w:rPr>
          <w:rFonts w:hint="eastAsia"/>
          <w:color w:val="auto"/>
          <w:szCs w:val="21"/>
          <w:highlight w:val="none"/>
        </w:rPr>
        <w:t>3</w:t>
      </w:r>
      <w:r>
        <w:rPr>
          <w:color w:val="auto"/>
          <w:szCs w:val="21"/>
          <w:highlight w:val="none"/>
        </w:rPr>
        <w:t>响应报价（包含首次报价、最后报价）超过所竞标项目规定的采购预算金额或者最高限价的（如本项目公布了最高限价），其响应文件将按无效处理。</w:t>
      </w:r>
    </w:p>
    <w:p w14:paraId="462280D4">
      <w:pPr>
        <w:spacing w:line="360" w:lineRule="auto"/>
        <w:ind w:firstLine="420" w:firstLineChars="200"/>
        <w:rPr>
          <w:color w:val="auto"/>
          <w:szCs w:val="21"/>
          <w:highlight w:val="none"/>
        </w:rPr>
      </w:pPr>
      <w:r>
        <w:rPr>
          <w:color w:val="auto"/>
          <w:szCs w:val="21"/>
          <w:highlight w:val="none"/>
        </w:rPr>
        <w:t>15.3.</w:t>
      </w:r>
      <w:bookmarkStart w:id="93" w:name="_Hlk42592874"/>
      <w:r>
        <w:rPr>
          <w:rFonts w:hint="eastAsia"/>
          <w:color w:val="auto"/>
          <w:szCs w:val="21"/>
          <w:highlight w:val="none"/>
        </w:rPr>
        <w:t>4</w:t>
      </w:r>
      <w:r>
        <w:rPr>
          <w:color w:val="auto"/>
          <w:szCs w:val="21"/>
          <w:highlight w:val="none"/>
        </w:rPr>
        <w:t>响应报价（包含首次报价、最后报价）超过分项采购预算金额或者最高限价的（如本项目公布了最高限价），其响应文件将按无效处理。</w:t>
      </w:r>
    </w:p>
    <w:bookmarkEnd w:id="93"/>
    <w:p w14:paraId="589E9FCA">
      <w:pPr>
        <w:spacing w:line="360" w:lineRule="auto"/>
        <w:ind w:firstLine="482" w:firstLineChars="200"/>
        <w:rPr>
          <w:rFonts w:eastAsia="黑体"/>
          <w:b/>
          <w:bCs/>
          <w:color w:val="auto"/>
          <w:sz w:val="24"/>
          <w:highlight w:val="none"/>
        </w:rPr>
      </w:pPr>
      <w:r>
        <w:rPr>
          <w:rFonts w:eastAsia="黑体"/>
          <w:b/>
          <w:bCs/>
          <w:color w:val="auto"/>
          <w:sz w:val="24"/>
          <w:highlight w:val="none"/>
        </w:rPr>
        <w:t>16.竞标有效期</w:t>
      </w:r>
    </w:p>
    <w:p w14:paraId="6190EC94">
      <w:pPr>
        <w:spacing w:line="360" w:lineRule="auto"/>
        <w:ind w:firstLine="420" w:firstLineChars="200"/>
        <w:rPr>
          <w:color w:val="auto"/>
          <w:szCs w:val="21"/>
          <w:highlight w:val="none"/>
        </w:rPr>
      </w:pPr>
      <w:r>
        <w:rPr>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2EB1D69">
      <w:pPr>
        <w:spacing w:line="360" w:lineRule="auto"/>
        <w:ind w:firstLine="420" w:firstLineChars="200"/>
        <w:rPr>
          <w:color w:val="auto"/>
          <w:szCs w:val="21"/>
          <w:highlight w:val="none"/>
        </w:rPr>
      </w:pPr>
      <w:r>
        <w:rPr>
          <w:color w:val="auto"/>
          <w:szCs w:val="21"/>
          <w:highlight w:val="none"/>
        </w:rPr>
        <w:t>16.2 竞标有效期应由供应商按</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规定的期限作出响应。</w:t>
      </w:r>
    </w:p>
    <w:p w14:paraId="62520527">
      <w:pPr>
        <w:spacing w:line="360" w:lineRule="auto"/>
        <w:ind w:firstLine="420" w:firstLineChars="200"/>
        <w:rPr>
          <w:color w:val="auto"/>
          <w:szCs w:val="21"/>
          <w:highlight w:val="none"/>
        </w:rPr>
      </w:pPr>
      <w:r>
        <w:rPr>
          <w:color w:val="auto"/>
          <w:szCs w:val="21"/>
          <w:highlight w:val="none"/>
        </w:rPr>
        <w:t>16.3供应商的响应文件在竞标有效期内均保持有效。</w:t>
      </w:r>
    </w:p>
    <w:p w14:paraId="25C65318">
      <w:pPr>
        <w:spacing w:line="360" w:lineRule="auto"/>
        <w:ind w:firstLine="241" w:firstLineChars="100"/>
        <w:rPr>
          <w:rFonts w:eastAsia="黑体"/>
          <w:b/>
          <w:bCs/>
          <w:i/>
          <w:iCs/>
          <w:color w:val="auto"/>
          <w:sz w:val="24"/>
          <w:highlight w:val="none"/>
        </w:rPr>
      </w:pPr>
      <w:r>
        <w:rPr>
          <w:rFonts w:eastAsia="黑体"/>
          <w:b/>
          <w:bCs/>
          <w:color w:val="auto"/>
          <w:sz w:val="24"/>
          <w:highlight w:val="none"/>
        </w:rPr>
        <w:t>17.磋商保证金</w:t>
      </w:r>
    </w:p>
    <w:p w14:paraId="0194D0DE">
      <w:pPr>
        <w:spacing w:line="360" w:lineRule="auto"/>
        <w:ind w:firstLine="422" w:firstLineChars="200"/>
        <w:rPr>
          <w:rFonts w:eastAsia="黑体"/>
          <w:b/>
          <w:bCs/>
          <w:color w:val="auto"/>
          <w:sz w:val="24"/>
          <w:highlight w:val="none"/>
        </w:rPr>
      </w:pPr>
      <w:r>
        <w:rPr>
          <w:b/>
          <w:bCs/>
          <w:color w:val="auto"/>
          <w:szCs w:val="21"/>
          <w:highlight w:val="none"/>
        </w:rPr>
        <w:t>本项目不需要缴</w:t>
      </w:r>
      <w:r>
        <w:rPr>
          <w:b/>
          <w:bCs/>
          <w:color w:val="auto"/>
          <w:kern w:val="0"/>
          <w:szCs w:val="21"/>
          <w:highlight w:val="none"/>
        </w:rPr>
        <w:t>纳</w:t>
      </w:r>
      <w:r>
        <w:rPr>
          <w:b/>
          <w:bCs/>
          <w:color w:val="auto"/>
          <w:szCs w:val="21"/>
          <w:highlight w:val="none"/>
        </w:rPr>
        <w:t>磋商保证金</w:t>
      </w:r>
    </w:p>
    <w:p w14:paraId="298D8904">
      <w:pPr>
        <w:spacing w:line="360" w:lineRule="auto"/>
        <w:ind w:firstLine="241" w:firstLineChars="100"/>
        <w:rPr>
          <w:rFonts w:eastAsia="黑体"/>
          <w:b/>
          <w:bCs/>
          <w:color w:val="auto"/>
          <w:sz w:val="24"/>
          <w:highlight w:val="none"/>
        </w:rPr>
      </w:pPr>
      <w:r>
        <w:rPr>
          <w:rFonts w:eastAsia="黑体"/>
          <w:b/>
          <w:bCs/>
          <w:color w:val="auto"/>
          <w:sz w:val="24"/>
          <w:highlight w:val="none"/>
        </w:rPr>
        <w:t>18.响应文件编制的要求</w:t>
      </w:r>
    </w:p>
    <w:p w14:paraId="582080D7">
      <w:pPr>
        <w:spacing w:line="360" w:lineRule="auto"/>
        <w:ind w:firstLine="420" w:firstLineChars="200"/>
        <w:rPr>
          <w:color w:val="auto"/>
          <w:szCs w:val="21"/>
          <w:highlight w:val="none"/>
        </w:rPr>
      </w:pPr>
      <w:r>
        <w:rPr>
          <w:color w:val="auto"/>
          <w:szCs w:val="21"/>
          <w:highlight w:val="none"/>
        </w:rPr>
        <w:t>18.1各供应商在编制响应文件时请按照磋商文件</w:t>
      </w:r>
      <w:r>
        <w:rPr>
          <w:rFonts w:hint="eastAsia"/>
          <w:color w:val="auto"/>
          <w:szCs w:val="21"/>
          <w:highlight w:val="none"/>
          <w:lang w:eastAsia="zh-CN"/>
        </w:rPr>
        <w:t>“</w:t>
      </w:r>
      <w:r>
        <w:rPr>
          <w:color w:val="auto"/>
          <w:szCs w:val="21"/>
          <w:highlight w:val="none"/>
        </w:rPr>
        <w:t>第五章 响应文件格式</w:t>
      </w:r>
      <w:r>
        <w:rPr>
          <w:rFonts w:hint="eastAsia"/>
          <w:color w:val="auto"/>
          <w:szCs w:val="21"/>
          <w:highlight w:val="none"/>
          <w:lang w:eastAsia="zh-CN"/>
        </w:rPr>
        <w:t>”</w:t>
      </w:r>
      <w:r>
        <w:rPr>
          <w:color w:val="auto"/>
          <w:szCs w:val="21"/>
          <w:highlight w:val="none"/>
        </w:rPr>
        <w:t>规定的格式进行，混乱的编排导致响应文件被误读或磋商小组查找不到有效文件是供应商的风险。不完整、编排混乱导致响应文件被误读、漏读或者查找不到相关内容的，</w:t>
      </w:r>
      <w:r>
        <w:rPr>
          <w:color w:val="auto"/>
          <w:highlight w:val="none"/>
        </w:rPr>
        <w:t>由此引发的</w:t>
      </w:r>
      <w:r>
        <w:rPr>
          <w:color w:val="auto"/>
          <w:szCs w:val="21"/>
          <w:highlight w:val="none"/>
        </w:rPr>
        <w:t>后果由供应商承担。</w:t>
      </w:r>
    </w:p>
    <w:p w14:paraId="6E17A793">
      <w:pPr>
        <w:spacing w:line="360" w:lineRule="auto"/>
        <w:ind w:firstLine="420" w:firstLineChars="200"/>
        <w:rPr>
          <w:color w:val="auto"/>
          <w:szCs w:val="21"/>
          <w:highlight w:val="none"/>
        </w:rPr>
      </w:pPr>
      <w:r>
        <w:rPr>
          <w:color w:val="auto"/>
          <w:szCs w:val="21"/>
          <w:highlight w:val="none"/>
        </w:rPr>
        <w:t>18.2响应文件应按资格证明文件、报价文件分别编制，商务技术文件合并编制，本磋商只接受电子版响应文件，要求见本章</w:t>
      </w:r>
      <w:r>
        <w:rPr>
          <w:rFonts w:hint="eastAsia"/>
          <w:color w:val="auto"/>
          <w:szCs w:val="21"/>
          <w:highlight w:val="none"/>
          <w:lang w:eastAsia="zh-CN"/>
        </w:rPr>
        <w:t>“</w:t>
      </w:r>
      <w:r>
        <w:rPr>
          <w:color w:val="auto"/>
          <w:szCs w:val="21"/>
          <w:highlight w:val="none"/>
        </w:rPr>
        <w:t>12.2响应文件电子版要求</w:t>
      </w:r>
      <w:r>
        <w:rPr>
          <w:rFonts w:hint="eastAsia"/>
          <w:color w:val="auto"/>
          <w:szCs w:val="21"/>
          <w:highlight w:val="none"/>
          <w:lang w:eastAsia="zh-CN"/>
        </w:rPr>
        <w:t>”</w:t>
      </w:r>
      <w:r>
        <w:rPr>
          <w:color w:val="auto"/>
          <w:szCs w:val="21"/>
          <w:highlight w:val="none"/>
        </w:rPr>
        <w:t>。</w:t>
      </w:r>
    </w:p>
    <w:p w14:paraId="42B7B462">
      <w:pPr>
        <w:spacing w:line="360" w:lineRule="auto"/>
        <w:ind w:firstLine="420" w:firstLineChars="200"/>
        <w:rPr>
          <w:color w:val="auto"/>
          <w:szCs w:val="21"/>
          <w:highlight w:val="none"/>
        </w:rPr>
      </w:pPr>
      <w:r>
        <w:rPr>
          <w:color w:val="auto"/>
          <w:szCs w:val="21"/>
          <w:highlight w:val="none"/>
        </w:rPr>
        <w:t>18.</w:t>
      </w:r>
      <w:bookmarkStart w:id="94" w:name="_Hlk65832699"/>
      <w:r>
        <w:rPr>
          <w:color w:val="auto"/>
          <w:szCs w:val="21"/>
          <w:highlight w:val="none"/>
        </w:rPr>
        <w:t>3响应文件须由供应商</w:t>
      </w:r>
      <w:bookmarkEnd w:id="94"/>
      <w:r>
        <w:rPr>
          <w:rFonts w:hint="eastAsia"/>
          <w:color w:val="auto"/>
          <w:highlight w:val="none"/>
          <w:lang w:eastAsia="zh-CN"/>
        </w:rPr>
        <w:t>按“第五章 响应文件格式”要求进行签署、盖章，否则其响应文件按无效响应处理</w:t>
      </w:r>
      <w:r>
        <w:rPr>
          <w:color w:val="auto"/>
          <w:szCs w:val="21"/>
          <w:highlight w:val="none"/>
        </w:rPr>
        <w:t>。</w:t>
      </w:r>
    </w:p>
    <w:p w14:paraId="3722E9F9">
      <w:pPr>
        <w:spacing w:line="360" w:lineRule="auto"/>
        <w:ind w:firstLine="420" w:firstLineChars="200"/>
        <w:rPr>
          <w:color w:val="auto"/>
          <w:szCs w:val="21"/>
          <w:highlight w:val="none"/>
        </w:rPr>
      </w:pPr>
      <w:r>
        <w:rPr>
          <w:color w:val="auto"/>
          <w:szCs w:val="21"/>
          <w:highlight w:val="none"/>
        </w:rPr>
        <w:t>18.4响应文件中标注的供应商名称应与营业执照（事业单位法人证书、执业许可证、自然人身份证）及供应商公章一致，</w:t>
      </w:r>
      <w:r>
        <w:rPr>
          <w:b/>
          <w:bCs/>
          <w:color w:val="auto"/>
          <w:szCs w:val="21"/>
          <w:highlight w:val="none"/>
        </w:rPr>
        <w:t>否则其响应文件按无效响应处理。</w:t>
      </w:r>
    </w:p>
    <w:p w14:paraId="0F658A6D">
      <w:pPr>
        <w:spacing w:line="360" w:lineRule="auto"/>
        <w:ind w:firstLine="420" w:firstLineChars="200"/>
        <w:rPr>
          <w:color w:val="auto"/>
          <w:szCs w:val="21"/>
          <w:highlight w:val="none"/>
        </w:rPr>
      </w:pPr>
      <w:r>
        <w:rPr>
          <w:color w:val="auto"/>
          <w:szCs w:val="21"/>
          <w:highlight w:val="none"/>
        </w:rPr>
        <w:t>18.5响应文件应避免涂改、行间插字或者删除。</w:t>
      </w:r>
    </w:p>
    <w:p w14:paraId="0ABB66B2">
      <w:pPr>
        <w:spacing w:line="360" w:lineRule="auto"/>
        <w:ind w:firstLine="482" w:firstLineChars="200"/>
        <w:rPr>
          <w:rFonts w:eastAsia="黑体"/>
          <w:b/>
          <w:bCs/>
          <w:color w:val="auto"/>
          <w:sz w:val="24"/>
          <w:highlight w:val="none"/>
        </w:rPr>
      </w:pPr>
      <w:r>
        <w:rPr>
          <w:rFonts w:eastAsia="黑体"/>
          <w:b/>
          <w:bCs/>
          <w:color w:val="auto"/>
          <w:sz w:val="24"/>
          <w:highlight w:val="none"/>
        </w:rPr>
        <w:t>19.响应文件的密封和标记</w:t>
      </w:r>
    </w:p>
    <w:p w14:paraId="6423AAA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1C968BC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电子交易客户端”需要提前申领CA数字证书。</w:t>
      </w:r>
    </w:p>
    <w:p w14:paraId="44E4F575">
      <w:pPr>
        <w:spacing w:line="360" w:lineRule="auto"/>
        <w:ind w:firstLine="420" w:firstLineChars="200"/>
        <w:rPr>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r>
        <w:rPr>
          <w:color w:val="auto"/>
          <w:kern w:val="0"/>
          <w:szCs w:val="21"/>
          <w:highlight w:val="none"/>
        </w:rPr>
        <w:t>。</w:t>
      </w:r>
    </w:p>
    <w:p w14:paraId="347FF31D">
      <w:pPr>
        <w:spacing w:line="360" w:lineRule="auto"/>
        <w:ind w:firstLine="482" w:firstLineChars="200"/>
        <w:rPr>
          <w:rFonts w:eastAsia="黑体"/>
          <w:b/>
          <w:bCs/>
          <w:color w:val="auto"/>
          <w:sz w:val="24"/>
          <w:highlight w:val="none"/>
        </w:rPr>
      </w:pPr>
      <w:r>
        <w:rPr>
          <w:rFonts w:eastAsia="黑体"/>
          <w:b/>
          <w:bCs/>
          <w:color w:val="auto"/>
          <w:sz w:val="24"/>
          <w:highlight w:val="none"/>
        </w:rPr>
        <w:t>20.响应文件的提交</w:t>
      </w:r>
    </w:p>
    <w:p w14:paraId="7A7FC499">
      <w:pPr>
        <w:spacing w:line="360" w:lineRule="auto"/>
        <w:ind w:firstLine="420" w:firstLineChars="200"/>
        <w:rPr>
          <w:color w:val="auto"/>
          <w:szCs w:val="21"/>
          <w:highlight w:val="none"/>
        </w:rPr>
      </w:pPr>
      <w:r>
        <w:rPr>
          <w:color w:val="auto"/>
          <w:szCs w:val="21"/>
          <w:highlight w:val="none"/>
        </w:rPr>
        <w:t>20.1供应商必须在</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规定的时间和地点提交响应文件。</w:t>
      </w:r>
    </w:p>
    <w:p w14:paraId="7C36F9EC">
      <w:pPr>
        <w:spacing w:line="360" w:lineRule="auto"/>
        <w:ind w:firstLine="420" w:firstLineChars="200"/>
        <w:rPr>
          <w:color w:val="auto"/>
          <w:szCs w:val="21"/>
          <w:highlight w:val="none"/>
        </w:rPr>
      </w:pPr>
      <w:r>
        <w:rPr>
          <w:color w:val="auto"/>
          <w:szCs w:val="21"/>
          <w:highlight w:val="none"/>
        </w:rPr>
        <w:t>20.2 在响应文件提交截止时间以后，不能补充、修改响应文件。</w:t>
      </w:r>
    </w:p>
    <w:p w14:paraId="645CF1DA">
      <w:pPr>
        <w:spacing w:line="360" w:lineRule="auto"/>
        <w:ind w:firstLine="420" w:firstLineChars="200"/>
        <w:rPr>
          <w:color w:val="auto"/>
          <w:szCs w:val="21"/>
          <w:highlight w:val="none"/>
        </w:rPr>
      </w:pPr>
      <w:r>
        <w:rPr>
          <w:color w:val="auto"/>
          <w:szCs w:val="21"/>
          <w:highlight w:val="none"/>
        </w:rPr>
        <w:t>20.3 在提交</w:t>
      </w:r>
      <w:r>
        <w:rPr>
          <w:rFonts w:hint="eastAsia"/>
          <w:color w:val="auto"/>
          <w:szCs w:val="21"/>
          <w:highlight w:val="none"/>
          <w:lang w:eastAsia="zh-CN"/>
        </w:rPr>
        <w:t>“</w:t>
      </w:r>
      <w:r>
        <w:rPr>
          <w:color w:val="auto"/>
          <w:szCs w:val="21"/>
          <w:highlight w:val="none"/>
        </w:rPr>
        <w:t>最后报价</w:t>
      </w:r>
      <w:r>
        <w:rPr>
          <w:rFonts w:hint="eastAsia"/>
          <w:color w:val="auto"/>
          <w:szCs w:val="21"/>
          <w:highlight w:val="none"/>
          <w:lang w:eastAsia="zh-CN"/>
        </w:rPr>
        <w:t>”</w:t>
      </w:r>
      <w:r>
        <w:rPr>
          <w:color w:val="auto"/>
          <w:szCs w:val="21"/>
          <w:highlight w:val="none"/>
        </w:rPr>
        <w:t>后，供应商不能退出磋商。</w:t>
      </w:r>
    </w:p>
    <w:p w14:paraId="5994073B">
      <w:pPr>
        <w:spacing w:line="360" w:lineRule="auto"/>
        <w:ind w:firstLine="420" w:firstLineChars="200"/>
        <w:rPr>
          <w:color w:val="auto"/>
          <w:szCs w:val="21"/>
          <w:highlight w:val="none"/>
        </w:rPr>
      </w:pPr>
      <w:r>
        <w:rPr>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6E79020">
      <w:pPr>
        <w:spacing w:line="360" w:lineRule="auto"/>
        <w:ind w:firstLine="420" w:firstLineChars="200"/>
        <w:rPr>
          <w:color w:val="auto"/>
          <w:szCs w:val="21"/>
          <w:highlight w:val="none"/>
        </w:rPr>
      </w:pPr>
      <w:r>
        <w:rPr>
          <w:color w:val="auto"/>
          <w:szCs w:val="21"/>
          <w:highlight w:val="none"/>
        </w:rPr>
        <w:t>20.5 采购机构不可视情况延长提交响应文件的截止时间。</w:t>
      </w:r>
    </w:p>
    <w:p w14:paraId="1BFA3697">
      <w:pPr>
        <w:spacing w:line="360" w:lineRule="auto"/>
        <w:ind w:firstLine="420" w:firstLineChars="200"/>
        <w:rPr>
          <w:color w:val="auto"/>
          <w:sz w:val="24"/>
          <w:highlight w:val="none"/>
        </w:rPr>
      </w:pPr>
      <w:r>
        <w:rPr>
          <w:color w:val="auto"/>
          <w:szCs w:val="21"/>
          <w:highlight w:val="none"/>
        </w:rPr>
        <w:t>20.6备份响应文件。</w:t>
      </w:r>
      <w:r>
        <w:rPr>
          <w:bCs/>
          <w:color w:val="auto"/>
          <w:szCs w:val="21"/>
          <w:highlight w:val="none"/>
        </w:rPr>
        <w:t>详见</w:t>
      </w:r>
      <w:r>
        <w:rPr>
          <w:rFonts w:hint="eastAsia"/>
          <w:bCs/>
          <w:color w:val="auto"/>
          <w:szCs w:val="21"/>
          <w:highlight w:val="none"/>
          <w:lang w:eastAsia="zh-CN"/>
        </w:rPr>
        <w:t>“</w:t>
      </w:r>
      <w:r>
        <w:rPr>
          <w:bCs/>
          <w:color w:val="auto"/>
          <w:szCs w:val="21"/>
          <w:highlight w:val="none"/>
        </w:rPr>
        <w:t>供应商须知前附表</w:t>
      </w:r>
      <w:r>
        <w:rPr>
          <w:rFonts w:hint="eastAsia"/>
          <w:bCs/>
          <w:color w:val="auto"/>
          <w:szCs w:val="21"/>
          <w:highlight w:val="none"/>
          <w:lang w:eastAsia="zh-CN"/>
        </w:rPr>
        <w:t>”</w:t>
      </w:r>
      <w:r>
        <w:rPr>
          <w:bCs/>
          <w:color w:val="auto"/>
          <w:szCs w:val="21"/>
          <w:highlight w:val="none"/>
        </w:rPr>
        <w:t>。</w:t>
      </w:r>
    </w:p>
    <w:p w14:paraId="2F4525BF">
      <w:pPr>
        <w:spacing w:line="360" w:lineRule="auto"/>
        <w:ind w:firstLine="482" w:firstLineChars="200"/>
        <w:rPr>
          <w:rFonts w:eastAsia="黑体"/>
          <w:b/>
          <w:bCs/>
          <w:color w:val="auto"/>
          <w:sz w:val="24"/>
          <w:highlight w:val="none"/>
        </w:rPr>
      </w:pPr>
      <w:r>
        <w:rPr>
          <w:rFonts w:eastAsia="黑体"/>
          <w:b/>
          <w:bCs/>
          <w:color w:val="auto"/>
          <w:sz w:val="24"/>
          <w:highlight w:val="none"/>
        </w:rPr>
        <w:t>21.首次响应文件的补充、修改与撤回</w:t>
      </w:r>
    </w:p>
    <w:p w14:paraId="00D99EDF">
      <w:pPr>
        <w:spacing w:line="360" w:lineRule="auto"/>
        <w:ind w:firstLine="420" w:firstLineChars="200"/>
        <w:rPr>
          <w:color w:val="auto"/>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color w:val="auto"/>
          <w:szCs w:val="21"/>
          <w:highlight w:val="none"/>
        </w:rPr>
        <w:t>。</w:t>
      </w:r>
    </w:p>
    <w:p w14:paraId="21915299">
      <w:pPr>
        <w:spacing w:line="360" w:lineRule="auto"/>
        <w:ind w:firstLine="482" w:firstLineChars="200"/>
        <w:rPr>
          <w:rFonts w:eastAsia="黑体"/>
          <w:b/>
          <w:bCs/>
          <w:color w:val="auto"/>
          <w:sz w:val="24"/>
          <w:highlight w:val="none"/>
        </w:rPr>
      </w:pPr>
      <w:bookmarkStart w:id="95" w:name="_Hlk45702405"/>
      <w:r>
        <w:rPr>
          <w:rFonts w:eastAsia="黑体"/>
          <w:b/>
          <w:bCs/>
          <w:color w:val="auto"/>
          <w:sz w:val="24"/>
          <w:highlight w:val="none"/>
        </w:rPr>
        <w:t>2</w:t>
      </w:r>
      <w:r>
        <w:rPr>
          <w:rFonts w:hint="eastAsia" w:eastAsia="黑体"/>
          <w:b/>
          <w:bCs/>
          <w:color w:val="auto"/>
          <w:sz w:val="24"/>
          <w:highlight w:val="none"/>
          <w:lang w:val="en-US" w:eastAsia="zh-CN"/>
        </w:rPr>
        <w:t>2</w:t>
      </w:r>
      <w:r>
        <w:rPr>
          <w:rFonts w:eastAsia="黑体"/>
          <w:b/>
          <w:bCs/>
          <w:color w:val="auto"/>
          <w:sz w:val="24"/>
          <w:highlight w:val="none"/>
        </w:rPr>
        <w:t>. 截止时间后的撤回</w:t>
      </w:r>
    </w:p>
    <w:bookmarkEnd w:id="95"/>
    <w:p w14:paraId="466286D4">
      <w:pPr>
        <w:pStyle w:val="13"/>
        <w:spacing w:line="360" w:lineRule="auto"/>
        <w:ind w:firstLine="420" w:firstLineChars="200"/>
        <w:rPr>
          <w:i/>
          <w:iCs/>
          <w:color w:val="auto"/>
          <w:szCs w:val="21"/>
          <w:highlight w:val="none"/>
          <w:lang w:eastAsia="zh-CN"/>
        </w:rPr>
      </w:pPr>
      <w:r>
        <w:rPr>
          <w:rFonts w:hint="eastAsia"/>
          <w:color w:val="auto"/>
          <w:highlight w:val="none"/>
        </w:rPr>
        <w:t>供应商在首次响应文件提交截止时间后向采购人、采购代理机构书面申请撤回</w:t>
      </w:r>
      <w:r>
        <w:rPr>
          <w:rFonts w:hint="eastAsia"/>
          <w:color w:val="auto"/>
          <w:highlight w:val="none"/>
          <w:lang w:eastAsia="zh-CN"/>
        </w:rPr>
        <w:t>电子</w:t>
      </w:r>
      <w:r>
        <w:rPr>
          <w:rFonts w:hint="eastAsia"/>
          <w:color w:val="auto"/>
          <w:highlight w:val="none"/>
        </w:rPr>
        <w:t>响应文件的，将根据本须知正文17.4的规定不予退还其磋商保证金</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color w:val="auto"/>
          <w:highlight w:val="none"/>
        </w:rPr>
        <w:t>。</w:t>
      </w:r>
    </w:p>
    <w:p w14:paraId="4BF0EF65">
      <w:pPr>
        <w:pStyle w:val="4"/>
        <w:spacing w:before="0" w:after="0" w:line="360" w:lineRule="auto"/>
        <w:ind w:firstLine="281" w:firstLineChars="100"/>
        <w:rPr>
          <w:color w:val="auto"/>
          <w:sz w:val="28"/>
          <w:szCs w:val="28"/>
          <w:highlight w:val="none"/>
        </w:rPr>
      </w:pPr>
      <w:bookmarkStart w:id="96" w:name="_Toc20044"/>
      <w:bookmarkStart w:id="97" w:name="_Toc80886933"/>
      <w:bookmarkStart w:id="98" w:name="_Toc17876"/>
      <w:r>
        <w:rPr>
          <w:color w:val="auto"/>
          <w:sz w:val="28"/>
          <w:szCs w:val="28"/>
          <w:highlight w:val="none"/>
        </w:rPr>
        <w:t>四、评审及磋商</w:t>
      </w:r>
      <w:bookmarkEnd w:id="96"/>
      <w:bookmarkEnd w:id="97"/>
      <w:bookmarkEnd w:id="98"/>
    </w:p>
    <w:p w14:paraId="4F8920E0">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3</w:t>
      </w:r>
      <w:r>
        <w:rPr>
          <w:rFonts w:eastAsia="黑体"/>
          <w:b/>
          <w:bCs/>
          <w:color w:val="auto"/>
          <w:sz w:val="24"/>
          <w:highlight w:val="none"/>
        </w:rPr>
        <w:t>.磋商小组成立</w:t>
      </w:r>
    </w:p>
    <w:p w14:paraId="0A530928">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3</w:t>
      </w:r>
      <w:r>
        <w:rPr>
          <w:color w:val="auto"/>
          <w:szCs w:val="21"/>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4CE0F23">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3</w:t>
      </w:r>
      <w:r>
        <w:rPr>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1B7672BC">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4</w:t>
      </w:r>
      <w:r>
        <w:rPr>
          <w:rFonts w:eastAsia="黑体"/>
          <w:b/>
          <w:bCs/>
          <w:color w:val="auto"/>
          <w:sz w:val="24"/>
          <w:highlight w:val="none"/>
        </w:rPr>
        <w:t>.首次响应文件的开启</w:t>
      </w:r>
    </w:p>
    <w:p w14:paraId="050B065C">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4</w:t>
      </w:r>
      <w:r>
        <w:rPr>
          <w:color w:val="auto"/>
          <w:szCs w:val="21"/>
          <w:highlight w:val="none"/>
        </w:rPr>
        <w:t>.1首次响应文件由磋商小组或者采购代理机构在</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规定的时间开启。</w:t>
      </w:r>
    </w:p>
    <w:p w14:paraId="5CEB3945">
      <w:pPr>
        <w:spacing w:line="360" w:lineRule="auto"/>
        <w:ind w:firstLine="420" w:firstLineChars="200"/>
        <w:rPr>
          <w:bCs/>
          <w:color w:val="auto"/>
          <w:kern w:val="0"/>
          <w:szCs w:val="21"/>
          <w:highlight w:val="none"/>
        </w:rPr>
      </w:pPr>
      <w:r>
        <w:rPr>
          <w:color w:val="auto"/>
          <w:kern w:val="0"/>
          <w:szCs w:val="21"/>
          <w:highlight w:val="none"/>
        </w:rPr>
        <w:t>2</w:t>
      </w:r>
      <w:r>
        <w:rPr>
          <w:rFonts w:hint="eastAsia"/>
          <w:color w:val="auto"/>
          <w:kern w:val="0"/>
          <w:szCs w:val="21"/>
          <w:highlight w:val="none"/>
          <w:lang w:val="en-US" w:eastAsia="zh-CN"/>
        </w:rPr>
        <w:t>4</w:t>
      </w:r>
      <w:r>
        <w:rPr>
          <w:color w:val="auto"/>
          <w:kern w:val="0"/>
          <w:szCs w:val="21"/>
          <w:highlight w:val="none"/>
        </w:rPr>
        <w:t xml:space="preserve">.2 </w:t>
      </w:r>
      <w:r>
        <w:rPr>
          <w:bCs/>
          <w:color w:val="auto"/>
          <w:kern w:val="0"/>
          <w:szCs w:val="21"/>
          <w:highlight w:val="none"/>
        </w:rPr>
        <w:t>响应文件解密</w:t>
      </w:r>
    </w:p>
    <w:p w14:paraId="56A2C01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bCs w:val="0"/>
          <w:color w:val="auto"/>
          <w:kern w:val="0"/>
          <w:sz w:val="21"/>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13C786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color w:val="auto"/>
          <w:kern w:val="0"/>
          <w:szCs w:val="21"/>
          <w:highlight w:val="none"/>
        </w:rPr>
        <w:t>。</w:t>
      </w:r>
    </w:p>
    <w:p w14:paraId="260511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5</w:t>
      </w:r>
      <w:r>
        <w:rPr>
          <w:rFonts w:eastAsia="黑体"/>
          <w:b/>
          <w:bCs/>
          <w:color w:val="auto"/>
          <w:sz w:val="24"/>
          <w:highlight w:val="none"/>
        </w:rPr>
        <w:t>.评审程序、评审方法和评审标准</w:t>
      </w:r>
    </w:p>
    <w:p w14:paraId="3DEE9C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color w:val="auto"/>
          <w:szCs w:val="21"/>
          <w:highlight w:val="none"/>
        </w:rPr>
        <w:t>磋商小组按照</w:t>
      </w:r>
      <w:r>
        <w:rPr>
          <w:rFonts w:hint="eastAsia"/>
          <w:color w:val="auto"/>
          <w:szCs w:val="21"/>
          <w:highlight w:val="none"/>
          <w:lang w:eastAsia="zh-CN"/>
        </w:rPr>
        <w:t>“</w:t>
      </w:r>
      <w:r>
        <w:rPr>
          <w:color w:val="auto"/>
          <w:szCs w:val="21"/>
          <w:highlight w:val="none"/>
        </w:rPr>
        <w:t>第四章 评审程序、评审方法和评审标准</w:t>
      </w:r>
      <w:r>
        <w:rPr>
          <w:rFonts w:hint="eastAsia"/>
          <w:color w:val="auto"/>
          <w:szCs w:val="21"/>
          <w:highlight w:val="none"/>
          <w:lang w:eastAsia="zh-CN"/>
        </w:rPr>
        <w:t>”</w:t>
      </w:r>
      <w:r>
        <w:rPr>
          <w:color w:val="auto"/>
          <w:szCs w:val="21"/>
          <w:highlight w:val="none"/>
        </w:rPr>
        <w:t>规定的方法、评审因素、标准和程序对响应文件进行评审。</w:t>
      </w:r>
    </w:p>
    <w:p w14:paraId="18BDD7B2">
      <w:pPr>
        <w:pStyle w:val="1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auto"/>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.2磋商文件内容违反国家有关强制性规定的，磋商小组应当停止评审并向采购人或者采购代理机构说明情况，并在评审报告中书面体现。</w:t>
      </w:r>
    </w:p>
    <w:p w14:paraId="6A3A5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.3 采购需求负偏离要求及磋商顺序详见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32911F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2</w:t>
      </w:r>
      <w:r>
        <w:rPr>
          <w:rFonts w:hint="eastAsia"/>
          <w:color w:val="auto"/>
          <w:highlight w:val="none"/>
          <w:lang w:val="en-US" w:eastAsia="zh-CN"/>
        </w:rPr>
        <w:t>5</w:t>
      </w:r>
      <w:r>
        <w:rPr>
          <w:color w:val="auto"/>
          <w:highlight w:val="none"/>
        </w:rPr>
        <w:t>.4电子交易活动的中止。采购过程中出现以下情形，导致电子交易平台无法正常运行，或者无法保证电子交易的公平、公正和安全时，采购机构可中止电子交易活动：</w:t>
      </w:r>
    </w:p>
    <w:p w14:paraId="3AB25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（1）电子交易平台发生故障而无法登录访问的； </w:t>
      </w:r>
    </w:p>
    <w:p w14:paraId="6C4B3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（2）电子交易平台应用或数据库出现错误，不能进行正常操作的；</w:t>
      </w:r>
    </w:p>
    <w:p w14:paraId="50A2B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（3）电子交易平台发现严重安全漏洞，有潜在泄密危险的；</w:t>
      </w:r>
    </w:p>
    <w:p w14:paraId="78BBA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（4）病毒发作导致不能进行正常操作的； </w:t>
      </w:r>
    </w:p>
    <w:p w14:paraId="1410A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（5）其他无法保证电子交易的公平、公正和安全的情况。</w:t>
      </w:r>
    </w:p>
    <w:p w14:paraId="564AC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2</w:t>
      </w:r>
      <w:r>
        <w:rPr>
          <w:rFonts w:hint="eastAsia"/>
          <w:color w:val="auto"/>
          <w:highlight w:val="none"/>
          <w:lang w:val="en-US" w:eastAsia="zh-CN"/>
        </w:rPr>
        <w:t>5</w:t>
      </w:r>
      <w:r>
        <w:rPr>
          <w:color w:val="auto"/>
          <w:highlight w:val="none"/>
        </w:rPr>
        <w:t>.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8B38C15">
      <w:pPr>
        <w:pStyle w:val="4"/>
        <w:spacing w:before="0" w:after="0" w:line="360" w:lineRule="auto"/>
        <w:ind w:firstLine="420" w:firstLineChars="150"/>
        <w:rPr>
          <w:b w:val="0"/>
          <w:bCs w:val="0"/>
          <w:color w:val="auto"/>
          <w:sz w:val="28"/>
          <w:szCs w:val="28"/>
          <w:highlight w:val="none"/>
        </w:rPr>
      </w:pPr>
      <w:bookmarkStart w:id="99" w:name="_Toc80886934"/>
      <w:bookmarkStart w:id="100" w:name="_Toc17745"/>
      <w:bookmarkStart w:id="101" w:name="_Toc12018"/>
      <w:r>
        <w:rPr>
          <w:b w:val="0"/>
          <w:bCs w:val="0"/>
          <w:color w:val="auto"/>
          <w:sz w:val="28"/>
          <w:szCs w:val="28"/>
          <w:highlight w:val="none"/>
        </w:rPr>
        <w:t>五、成交及合同</w:t>
      </w:r>
      <w:bookmarkEnd w:id="99"/>
      <w:bookmarkEnd w:id="100"/>
      <w:bookmarkEnd w:id="101"/>
    </w:p>
    <w:p w14:paraId="0EF06286">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6</w:t>
      </w:r>
      <w:r>
        <w:rPr>
          <w:rFonts w:eastAsia="黑体"/>
          <w:b/>
          <w:bCs/>
          <w:color w:val="auto"/>
          <w:sz w:val="24"/>
          <w:highlight w:val="none"/>
        </w:rPr>
        <w:t>.确定成交供应商及结果公告</w:t>
      </w:r>
    </w:p>
    <w:p w14:paraId="400803BA">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72EBEC">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.2成交通知及成交结果公告。采购代理机构应当在</w:t>
      </w:r>
      <w:r>
        <w:rPr>
          <w:color w:val="auto"/>
          <w:kern w:val="0"/>
          <w:szCs w:val="21"/>
          <w:highlight w:val="none"/>
        </w:rPr>
        <w:t>成交</w:t>
      </w:r>
      <w:r>
        <w:rPr>
          <w:color w:val="auto"/>
          <w:szCs w:val="21"/>
          <w:highlight w:val="none"/>
        </w:rPr>
        <w:t>供应商确定后2个工作日内，在省级以上财政部门指定的媒体上公告成交结果，同时向成交供应商发出成交通知书。</w:t>
      </w:r>
    </w:p>
    <w:p w14:paraId="01EBC195">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6B41F53">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611F2E">
      <w:pPr>
        <w:spacing w:line="360" w:lineRule="auto"/>
        <w:ind w:firstLine="420" w:firstLineChars="200"/>
        <w:rPr>
          <w:color w:val="auto"/>
          <w:szCs w:val="21"/>
          <w:highlight w:val="none"/>
        </w:rPr>
      </w:pPr>
      <w:r>
        <w:rPr>
          <w:bCs/>
          <w:color w:val="auto"/>
          <w:szCs w:val="21"/>
          <w:highlight w:val="none"/>
        </w:rPr>
        <w:t>2</w:t>
      </w:r>
      <w:r>
        <w:rPr>
          <w:rFonts w:hint="eastAsia"/>
          <w:bCs/>
          <w:color w:val="auto"/>
          <w:szCs w:val="21"/>
          <w:highlight w:val="none"/>
          <w:lang w:val="en-US" w:eastAsia="zh-CN"/>
        </w:rPr>
        <w:t>6</w:t>
      </w:r>
      <w:r>
        <w:rPr>
          <w:bCs/>
          <w:color w:val="auto"/>
          <w:szCs w:val="21"/>
          <w:highlight w:val="none"/>
        </w:rPr>
        <w:t>.5排名第一的成交候选人放弃成交，采购人可以按照评审报告推荐的成交候选人名单排序，依法确定下一候选人为成交</w:t>
      </w:r>
      <w:r>
        <w:rPr>
          <w:color w:val="auto"/>
          <w:szCs w:val="21"/>
          <w:highlight w:val="none"/>
        </w:rPr>
        <w:t>供应商</w:t>
      </w:r>
      <w:r>
        <w:rPr>
          <w:bCs/>
          <w:color w:val="auto"/>
          <w:szCs w:val="21"/>
          <w:highlight w:val="none"/>
        </w:rPr>
        <w:t>，也可以重新开展政府采购活动</w:t>
      </w:r>
      <w:r>
        <w:rPr>
          <w:color w:val="auto"/>
          <w:szCs w:val="21"/>
          <w:highlight w:val="none"/>
        </w:rPr>
        <w:t>。</w:t>
      </w:r>
    </w:p>
    <w:p w14:paraId="685ED5D1">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7</w:t>
      </w:r>
      <w:r>
        <w:rPr>
          <w:rFonts w:eastAsia="黑体"/>
          <w:b/>
          <w:bCs/>
          <w:color w:val="auto"/>
          <w:sz w:val="24"/>
          <w:highlight w:val="none"/>
        </w:rPr>
        <w:t>.履约保证金</w:t>
      </w:r>
    </w:p>
    <w:p w14:paraId="76726B67">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lang w:val="en-US" w:eastAsia="zh-CN"/>
        </w:rPr>
        <w:t>7</w:t>
      </w:r>
      <w:r>
        <w:rPr>
          <w:color w:val="auto"/>
          <w:szCs w:val="21"/>
          <w:highlight w:val="none"/>
        </w:rPr>
        <w:t>.1 履约保证金的金额、提交方式、退付的时间和条件详见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。成交供应商未按规定提交履约保证金的，视为拒绝</w:t>
      </w:r>
      <w:r>
        <w:rPr>
          <w:color w:val="auto"/>
          <w:highlight w:val="none"/>
        </w:rPr>
        <w:t>与采购人</w:t>
      </w:r>
      <w:r>
        <w:rPr>
          <w:color w:val="auto"/>
          <w:szCs w:val="21"/>
          <w:highlight w:val="none"/>
        </w:rPr>
        <w:t>签订合同，采购人可以按照评审报告推荐的成交候选人名单排序，依法确定下一候选人为成交供应商，也可以重新开展政府采购活动。</w:t>
      </w:r>
    </w:p>
    <w:p w14:paraId="02F0BDC8">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lang w:val="en-US" w:eastAsia="zh-CN"/>
        </w:rPr>
        <w:t>7</w:t>
      </w:r>
      <w:r>
        <w:rPr>
          <w:color w:val="auto"/>
          <w:szCs w:val="21"/>
          <w:highlight w:val="none"/>
        </w:rPr>
        <w:t>.2签订合同后，如成交供应商不按双方签订的合同规定履约，则没收其全部履约保证金，履约保证金不足以赔偿损失的，按实际损失赔偿。</w:t>
      </w:r>
    </w:p>
    <w:p w14:paraId="0BD815F3">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lang w:val="en-US" w:eastAsia="zh-CN"/>
        </w:rPr>
        <w:t>7</w:t>
      </w:r>
      <w:r>
        <w:rPr>
          <w:color w:val="auto"/>
          <w:szCs w:val="21"/>
          <w:highlight w:val="none"/>
        </w:rPr>
        <w:t>.3在履约保证金退还日期前，若成交供应商的开户名称、开户银行、账号有变动的，请以书面形式通知履约保证金收取单位，否则由此产生的后果由成交供应商自行承担。</w:t>
      </w:r>
    </w:p>
    <w:p w14:paraId="243B4CCB">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8</w:t>
      </w:r>
      <w:r>
        <w:rPr>
          <w:rFonts w:eastAsia="黑体"/>
          <w:b/>
          <w:bCs/>
          <w:color w:val="auto"/>
          <w:sz w:val="24"/>
          <w:highlight w:val="none"/>
        </w:rPr>
        <w:t>.签订合同</w:t>
      </w:r>
    </w:p>
    <w:p w14:paraId="3022A842">
      <w:pPr>
        <w:pStyle w:val="71"/>
        <w:snapToGrid w:val="0"/>
        <w:spacing w:before="0"/>
        <w:ind w:firstLine="420"/>
        <w:rPr>
          <w:color w:val="auto"/>
          <w:sz w:val="21"/>
          <w:szCs w:val="21"/>
          <w:highlight w:val="none"/>
          <w:lang w:val="zh-CN"/>
        </w:rPr>
      </w:pPr>
      <w:r>
        <w:rPr>
          <w:color w:val="auto"/>
          <w:sz w:val="21"/>
          <w:szCs w:val="21"/>
          <w:highlight w:val="none"/>
        </w:rPr>
        <w:t>2</w:t>
      </w:r>
      <w:r>
        <w:rPr>
          <w:rFonts w:hint="eastAsia"/>
          <w:color w:val="auto"/>
          <w:sz w:val="21"/>
          <w:szCs w:val="21"/>
          <w:highlight w:val="none"/>
          <w:lang w:val="en-US" w:eastAsia="zh-CN"/>
        </w:rPr>
        <w:t>8</w:t>
      </w:r>
      <w:r>
        <w:rPr>
          <w:color w:val="auto"/>
          <w:sz w:val="21"/>
          <w:szCs w:val="21"/>
          <w:highlight w:val="none"/>
        </w:rPr>
        <w:t>.1采购人与成交供应商应当在成交通知书规定的时间内，按照磋商文件确定的合同文本以及采购标的、服务技术、采购金额、采购数量、技术和服务要求等事项签订政府采购合同。</w:t>
      </w:r>
      <w:r>
        <w:rPr>
          <w:color w:val="auto"/>
          <w:sz w:val="21"/>
          <w:szCs w:val="21"/>
          <w:highlight w:val="none"/>
          <w:lang w:val="zh-CN"/>
        </w:rPr>
        <w:t>如成交供应商为联合体的，由联合体成员各方法定代表人或其授权代表与采购人代表签订合同。</w:t>
      </w:r>
    </w:p>
    <w:p w14:paraId="7EA4BFB8">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F04F228">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53BA3B88">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.4如签订合同并生效后，供应商无故拒绝或延期，除按照合同条款处理外，列入不良行为记录，并给予通报。</w:t>
      </w:r>
    </w:p>
    <w:p w14:paraId="09A6656F">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.5</w:t>
      </w:r>
      <w:r>
        <w:rPr>
          <w:rFonts w:hint="eastAsia"/>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color w:val="auto"/>
          <w:szCs w:val="21"/>
          <w:highlight w:val="none"/>
          <w:lang w:eastAsia="zh-CN"/>
        </w:rPr>
        <w:t>。</w:t>
      </w:r>
    </w:p>
    <w:p w14:paraId="7D2F570C">
      <w:pPr>
        <w:spacing w:line="360" w:lineRule="auto"/>
        <w:ind w:firstLine="482" w:firstLineChars="200"/>
        <w:rPr>
          <w:rFonts w:eastAsia="黑体"/>
          <w:b/>
          <w:bCs/>
          <w:color w:val="auto"/>
          <w:sz w:val="24"/>
          <w:highlight w:val="none"/>
        </w:rPr>
      </w:pPr>
      <w:r>
        <w:rPr>
          <w:rFonts w:hint="eastAsia" w:eastAsia="黑体"/>
          <w:b/>
          <w:bCs/>
          <w:color w:val="auto"/>
          <w:sz w:val="24"/>
          <w:highlight w:val="none"/>
          <w:lang w:val="en-US" w:eastAsia="zh-CN"/>
        </w:rPr>
        <w:t>29</w:t>
      </w:r>
      <w:r>
        <w:rPr>
          <w:rFonts w:eastAsia="黑体"/>
          <w:b/>
          <w:bCs/>
          <w:color w:val="auto"/>
          <w:sz w:val="24"/>
          <w:highlight w:val="none"/>
        </w:rPr>
        <w:t>.政府采购合同公告</w:t>
      </w:r>
    </w:p>
    <w:p w14:paraId="311B5DDB">
      <w:pPr>
        <w:spacing w:line="360" w:lineRule="auto"/>
        <w:ind w:firstLine="420" w:firstLineChars="200"/>
        <w:rPr>
          <w:color w:val="auto"/>
          <w:highlight w:val="none"/>
        </w:rPr>
      </w:pPr>
      <w:r>
        <w:rPr>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color w:val="auto"/>
          <w:highlight w:val="none"/>
        </w:rPr>
        <w:t>。</w:t>
      </w:r>
    </w:p>
    <w:p w14:paraId="1F3910E2">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0</w:t>
      </w:r>
      <w:r>
        <w:rPr>
          <w:rFonts w:eastAsia="黑体"/>
          <w:b/>
          <w:bCs/>
          <w:color w:val="auto"/>
          <w:sz w:val="24"/>
          <w:highlight w:val="none"/>
        </w:rPr>
        <w:t>. 询问、质疑和投诉</w:t>
      </w:r>
    </w:p>
    <w:p w14:paraId="56DA23B1">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0</w:t>
      </w:r>
      <w:r>
        <w:rPr>
          <w:color w:val="auto"/>
          <w:highlight w:val="none"/>
        </w:rPr>
        <w:t>.1供应商对政府采购活动事项有疑问的，可以向采购人或者采购代理机构提出询问，采购人或者采购代理机构应当在3个工作日内对供应商依法提出的询问作出答复。</w:t>
      </w:r>
    </w:p>
    <w:p w14:paraId="2805C01B">
      <w:pPr>
        <w:spacing w:line="360" w:lineRule="auto"/>
        <w:ind w:firstLine="420" w:firstLineChars="200"/>
        <w:rPr>
          <w:b/>
          <w:color w:val="auto"/>
          <w:szCs w:val="21"/>
          <w:highlight w:val="none"/>
        </w:rPr>
      </w:pPr>
      <w:r>
        <w:rPr>
          <w:color w:val="auto"/>
          <w:highlight w:val="none"/>
        </w:rPr>
        <w:t>3</w:t>
      </w:r>
      <w:r>
        <w:rPr>
          <w:rFonts w:hint="eastAsia"/>
          <w:color w:val="auto"/>
          <w:highlight w:val="none"/>
          <w:lang w:val="en-US" w:eastAsia="zh-CN"/>
        </w:rPr>
        <w:t>0</w:t>
      </w:r>
      <w:r>
        <w:rPr>
          <w:color w:val="auto"/>
          <w:highlight w:val="none"/>
        </w:rPr>
        <w:t>.2供应商认为磋商文件、采购过程或者成交结果使自己的合法权益受到损害的，应当在知道或者应知其权益受到损害之日起7个工作日内，以书面形式向采购人或者采购代理机构提出质疑，</w:t>
      </w:r>
      <w:r>
        <w:rPr>
          <w:color w:val="auto"/>
          <w:highlight w:val="none"/>
          <w:shd w:val="clear" w:color="auto" w:fill="FFFFFF"/>
        </w:rPr>
        <w:t>接收质疑函的方式、联系部门、联系电话和通讯地址等信息详见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highlight w:val="none"/>
        </w:rPr>
        <w:t>。</w:t>
      </w:r>
      <w:r>
        <w:rPr>
          <w:b/>
          <w:color w:val="auto"/>
          <w:szCs w:val="21"/>
          <w:highlight w:val="none"/>
        </w:rPr>
        <w:t xml:space="preserve">具体质疑起算时间及处理方式如下： </w:t>
      </w:r>
    </w:p>
    <w:p w14:paraId="0D6A6128">
      <w:pPr>
        <w:spacing w:line="360" w:lineRule="auto"/>
        <w:ind w:firstLine="420" w:firstLineChars="200"/>
        <w:rPr>
          <w:bCs/>
          <w:color w:val="auto"/>
          <w:highlight w:val="none"/>
        </w:rPr>
      </w:pPr>
      <w:r>
        <w:rPr>
          <w:bCs/>
          <w:color w:val="auto"/>
          <w:highlight w:val="none"/>
        </w:rPr>
        <w:t>（1）潜在供应商依法获取采购文件后，认为采购文件使自己的权益受到损害的，应当在竞争性磋商文件公告期限届满之日起7个工作日内提出质疑。</w:t>
      </w:r>
      <w:r>
        <w:rPr>
          <w:color w:val="auto"/>
          <w:highlight w:val="none"/>
        </w:rPr>
        <w:t>委托代理协议无特殊约定的，</w:t>
      </w:r>
      <w:r>
        <w:rPr>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69E4441D">
      <w:pPr>
        <w:spacing w:line="360" w:lineRule="auto"/>
        <w:ind w:firstLine="420" w:firstLineChars="200"/>
        <w:rPr>
          <w:bCs/>
          <w:color w:val="auto"/>
          <w:highlight w:val="none"/>
        </w:rPr>
      </w:pPr>
      <w:r>
        <w:rPr>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373E46C8">
      <w:pPr>
        <w:spacing w:line="360" w:lineRule="auto"/>
        <w:ind w:firstLine="420" w:firstLineChars="200"/>
        <w:rPr>
          <w:bCs/>
          <w:color w:val="auto"/>
          <w:highlight w:val="none"/>
        </w:rPr>
      </w:pPr>
      <w:r>
        <w:rPr>
          <w:bCs/>
          <w:color w:val="auto"/>
          <w:highlight w:val="none"/>
        </w:rPr>
        <w:t>（3）供应商认为成交结果使自己的权益受到损害的，应当在成交结果公告期限届满之日起7个工作日内提出质疑，由采购人受理并负责答复。</w:t>
      </w:r>
    </w:p>
    <w:p w14:paraId="46D7553E">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0</w:t>
      </w:r>
      <w:r>
        <w:rPr>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1468DE7">
      <w:pPr>
        <w:spacing w:line="360" w:lineRule="auto"/>
        <w:ind w:firstLine="422" w:firstLineChars="200"/>
        <w:rPr>
          <w:color w:val="auto"/>
          <w:highlight w:val="none"/>
        </w:rPr>
      </w:pPr>
      <w:r>
        <w:rPr>
          <w:b/>
          <w:bCs/>
          <w:color w:val="auto"/>
          <w:highlight w:val="none"/>
        </w:rPr>
        <w:t>3</w:t>
      </w:r>
      <w:r>
        <w:rPr>
          <w:rFonts w:hint="eastAsia"/>
          <w:b/>
          <w:bCs/>
          <w:color w:val="auto"/>
          <w:highlight w:val="none"/>
          <w:lang w:val="en-US" w:eastAsia="zh-CN"/>
        </w:rPr>
        <w:t>0</w:t>
      </w:r>
      <w:r>
        <w:rPr>
          <w:b/>
          <w:bCs/>
          <w:color w:val="auto"/>
          <w:highlight w:val="none"/>
        </w:rPr>
        <w:t>.4 供应商提出质疑应当提交质疑函和必要的证明材料，针对同一采购程序环节的质疑必须在法定质疑期内一次性提出。质疑函应当包括下列内容（质疑函格式后附）：</w:t>
      </w:r>
    </w:p>
    <w:p w14:paraId="1CE1038D">
      <w:pPr>
        <w:spacing w:line="360" w:lineRule="auto"/>
        <w:ind w:firstLine="420" w:firstLineChars="200"/>
        <w:rPr>
          <w:color w:val="auto"/>
          <w:highlight w:val="none"/>
        </w:rPr>
      </w:pPr>
      <w:r>
        <w:rPr>
          <w:color w:val="auto"/>
          <w:highlight w:val="none"/>
        </w:rPr>
        <w:t>（1）供应商的姓名或者名称、地址、邮编、联系人及联系电话；</w:t>
      </w:r>
    </w:p>
    <w:p w14:paraId="735A0BE1">
      <w:pPr>
        <w:spacing w:line="360" w:lineRule="auto"/>
        <w:ind w:firstLine="420" w:firstLineChars="200"/>
        <w:rPr>
          <w:color w:val="auto"/>
          <w:highlight w:val="none"/>
        </w:rPr>
      </w:pPr>
      <w:r>
        <w:rPr>
          <w:color w:val="auto"/>
          <w:highlight w:val="none"/>
        </w:rPr>
        <w:t>（2）质疑项目的名称、编号；</w:t>
      </w:r>
    </w:p>
    <w:p w14:paraId="67D7ED7B">
      <w:pPr>
        <w:spacing w:line="360" w:lineRule="auto"/>
        <w:ind w:firstLine="420" w:firstLineChars="200"/>
        <w:rPr>
          <w:color w:val="auto"/>
          <w:highlight w:val="none"/>
        </w:rPr>
      </w:pPr>
      <w:r>
        <w:rPr>
          <w:color w:val="auto"/>
          <w:highlight w:val="none"/>
        </w:rPr>
        <w:t>（3）具体、明确的质疑事项和与质疑事项相关的请求；</w:t>
      </w:r>
    </w:p>
    <w:p w14:paraId="1CC08B29">
      <w:pPr>
        <w:spacing w:line="360" w:lineRule="auto"/>
        <w:ind w:firstLine="420" w:firstLineChars="200"/>
        <w:rPr>
          <w:color w:val="auto"/>
          <w:highlight w:val="none"/>
        </w:rPr>
      </w:pPr>
      <w:r>
        <w:rPr>
          <w:color w:val="auto"/>
          <w:highlight w:val="none"/>
        </w:rPr>
        <w:t>（4）事实依据；</w:t>
      </w:r>
    </w:p>
    <w:p w14:paraId="6C46BACA">
      <w:pPr>
        <w:spacing w:line="360" w:lineRule="auto"/>
        <w:ind w:firstLine="420" w:firstLineChars="200"/>
        <w:rPr>
          <w:color w:val="auto"/>
          <w:highlight w:val="none"/>
        </w:rPr>
      </w:pPr>
      <w:r>
        <w:rPr>
          <w:color w:val="auto"/>
          <w:highlight w:val="none"/>
        </w:rPr>
        <w:t>（5）必要的法律依据；</w:t>
      </w:r>
    </w:p>
    <w:p w14:paraId="0731135E">
      <w:pPr>
        <w:spacing w:line="360" w:lineRule="auto"/>
        <w:ind w:firstLine="420" w:firstLineChars="200"/>
        <w:rPr>
          <w:color w:val="auto"/>
          <w:highlight w:val="none"/>
        </w:rPr>
      </w:pPr>
      <w:r>
        <w:rPr>
          <w:color w:val="auto"/>
          <w:highlight w:val="none"/>
        </w:rPr>
        <w:t>（6）提出质疑的日期。</w:t>
      </w:r>
    </w:p>
    <w:p w14:paraId="6C54F9FA">
      <w:pPr>
        <w:spacing w:line="360" w:lineRule="auto"/>
        <w:ind w:firstLine="420" w:firstLineChars="200"/>
        <w:rPr>
          <w:color w:val="auto"/>
          <w:highlight w:val="none"/>
        </w:rPr>
      </w:pPr>
      <w:r>
        <w:rPr>
          <w:color w:val="auto"/>
          <w:highlight w:val="none"/>
        </w:rPr>
        <w:t>供应商为自然人的，应当由本人签字；供应商为法人或者其他组织的，应当由法定代表人、主要负责人，或者其委托代理人签字或者盖章，并加盖公章。</w:t>
      </w:r>
    </w:p>
    <w:p w14:paraId="5A02A5B8">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0</w:t>
      </w:r>
      <w:r>
        <w:rPr>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1BE2F760">
      <w:pPr>
        <w:spacing w:line="360" w:lineRule="auto"/>
        <w:ind w:firstLine="420" w:firstLineChars="200"/>
        <w:rPr>
          <w:color w:val="auto"/>
          <w:highlight w:val="none"/>
        </w:rPr>
      </w:pPr>
      <w:r>
        <w:rPr>
          <w:color w:val="auto"/>
          <w:highlight w:val="none"/>
        </w:rPr>
        <w:t>（一）对采购文件提出的质疑，依法通过澄清或者修改可以继续开展采购活动的，澄清或者修改采购文件后继续开展采购活动；否则应当修改采购文件后重新开展采购活动。</w:t>
      </w:r>
    </w:p>
    <w:p w14:paraId="264B5EB5">
      <w:pPr>
        <w:spacing w:line="360" w:lineRule="auto"/>
        <w:ind w:firstLine="420" w:firstLineChars="200"/>
        <w:rPr>
          <w:color w:val="auto"/>
          <w:highlight w:val="none"/>
        </w:rPr>
      </w:pPr>
      <w:r>
        <w:rPr>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C68FD76">
      <w:pPr>
        <w:spacing w:line="360" w:lineRule="auto"/>
        <w:ind w:firstLine="420" w:firstLineChars="200"/>
        <w:rPr>
          <w:color w:val="auto"/>
          <w:highlight w:val="none"/>
        </w:rPr>
      </w:pPr>
      <w:r>
        <w:rPr>
          <w:color w:val="auto"/>
          <w:highlight w:val="none"/>
        </w:rPr>
        <w:t>质疑答复导致成交结果改变的，采购人或者采购代理机构应当将有关情况书面报告本级财政部门。</w:t>
      </w:r>
    </w:p>
    <w:p w14:paraId="454F70C5">
      <w:pPr>
        <w:spacing w:line="360" w:lineRule="auto"/>
        <w:ind w:firstLine="422" w:firstLineChars="200"/>
        <w:rPr>
          <w:color w:val="auto"/>
          <w:highlight w:val="none"/>
        </w:rPr>
      </w:pPr>
      <w:r>
        <w:rPr>
          <w:b/>
          <w:bCs/>
          <w:color w:val="auto"/>
          <w:highlight w:val="none"/>
        </w:rPr>
        <w:t>3</w:t>
      </w:r>
      <w:r>
        <w:rPr>
          <w:rFonts w:hint="eastAsia"/>
          <w:b/>
          <w:bCs/>
          <w:color w:val="auto"/>
          <w:highlight w:val="none"/>
          <w:lang w:val="en-US" w:eastAsia="zh-CN"/>
        </w:rPr>
        <w:t>0</w:t>
      </w:r>
      <w:r>
        <w:rPr>
          <w:b/>
          <w:bCs/>
          <w:color w:val="auto"/>
          <w:highlight w:val="none"/>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w:t>
      </w:r>
      <w:r>
        <w:rPr>
          <w:rFonts w:hint="eastAsia"/>
          <w:b/>
          <w:bCs/>
          <w:color w:val="auto"/>
          <w:highlight w:val="none"/>
          <w:lang w:eastAsia="zh-CN"/>
        </w:rPr>
        <w:t>“</w:t>
      </w:r>
      <w:r>
        <w:rPr>
          <w:b/>
          <w:bCs/>
          <w:color w:val="auto"/>
          <w:highlight w:val="none"/>
        </w:rPr>
        <w:t>供应商须知前附表</w:t>
      </w:r>
      <w:r>
        <w:rPr>
          <w:rFonts w:hint="eastAsia"/>
          <w:b/>
          <w:bCs/>
          <w:color w:val="auto"/>
          <w:highlight w:val="none"/>
          <w:lang w:eastAsia="zh-CN"/>
        </w:rPr>
        <w:t>”</w:t>
      </w:r>
      <w:r>
        <w:rPr>
          <w:color w:val="auto"/>
          <w:highlight w:val="none"/>
        </w:rPr>
        <w:t>。</w:t>
      </w:r>
      <w:bookmarkStart w:id="102" w:name="_Toc80205930"/>
    </w:p>
    <w:p w14:paraId="77F8DC09">
      <w:pPr>
        <w:pStyle w:val="4"/>
        <w:spacing w:before="0" w:after="0" w:line="360" w:lineRule="auto"/>
        <w:ind w:firstLine="274" w:firstLineChars="98"/>
        <w:jc w:val="left"/>
        <w:rPr>
          <w:b w:val="0"/>
          <w:bCs w:val="0"/>
          <w:color w:val="auto"/>
          <w:sz w:val="28"/>
          <w:szCs w:val="28"/>
          <w:highlight w:val="none"/>
        </w:rPr>
      </w:pPr>
      <w:bookmarkStart w:id="103" w:name="_Toc80886935"/>
      <w:bookmarkStart w:id="104" w:name="_Toc9275"/>
      <w:bookmarkStart w:id="105" w:name="_Toc26989"/>
      <w:r>
        <w:rPr>
          <w:b w:val="0"/>
          <w:bCs w:val="0"/>
          <w:color w:val="auto"/>
          <w:sz w:val="28"/>
          <w:szCs w:val="28"/>
          <w:highlight w:val="none"/>
        </w:rPr>
        <w:t>六、验收</w:t>
      </w:r>
      <w:bookmarkEnd w:id="102"/>
      <w:bookmarkEnd w:id="103"/>
      <w:bookmarkEnd w:id="104"/>
      <w:bookmarkEnd w:id="105"/>
    </w:p>
    <w:p w14:paraId="15BE26D8">
      <w:pPr>
        <w:tabs>
          <w:tab w:val="left" w:pos="0"/>
        </w:tabs>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1</w:t>
      </w:r>
      <w:r>
        <w:rPr>
          <w:rFonts w:eastAsia="黑体"/>
          <w:b/>
          <w:bCs/>
          <w:color w:val="auto"/>
          <w:sz w:val="24"/>
          <w:highlight w:val="none"/>
        </w:rPr>
        <w:t>.验收</w:t>
      </w:r>
    </w:p>
    <w:p w14:paraId="083330D5">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61E683">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.2采购人可以邀请参加本项目的其他供应商或者第三方机构参与验收。参与验收的供应商或者第三方机构的意见作为验收书的参考资料一并存档。</w:t>
      </w:r>
    </w:p>
    <w:p w14:paraId="6E99B873">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kern w:val="0"/>
          <w:szCs w:val="21"/>
          <w:highlight w:val="none"/>
          <w:lang w:eastAsia="zh-CN"/>
        </w:rPr>
        <w:t>（如有）</w:t>
      </w:r>
      <w:r>
        <w:rPr>
          <w:color w:val="auto"/>
          <w:kern w:val="0"/>
          <w:szCs w:val="21"/>
          <w:highlight w:val="none"/>
        </w:rPr>
        <w:t>返还条件挂钩。履约验收的各项资料应当存档备查。</w:t>
      </w:r>
    </w:p>
    <w:p w14:paraId="3BCEDCE4">
      <w:pPr>
        <w:tabs>
          <w:tab w:val="left" w:pos="0"/>
        </w:tabs>
        <w:spacing w:line="360" w:lineRule="auto"/>
        <w:ind w:firstLine="420" w:firstLineChars="200"/>
        <w:rPr>
          <w:color w:val="auto"/>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8074FE">
      <w:pPr>
        <w:pStyle w:val="4"/>
        <w:spacing w:before="0" w:after="0" w:line="360" w:lineRule="auto"/>
        <w:ind w:firstLine="281" w:firstLineChars="100"/>
        <w:rPr>
          <w:color w:val="auto"/>
          <w:sz w:val="28"/>
          <w:szCs w:val="28"/>
          <w:highlight w:val="none"/>
        </w:rPr>
      </w:pPr>
      <w:bookmarkStart w:id="106" w:name="_Toc10913"/>
      <w:bookmarkStart w:id="107" w:name="_Toc1170"/>
      <w:bookmarkStart w:id="108" w:name="_Toc80886936"/>
      <w:r>
        <w:rPr>
          <w:color w:val="auto"/>
          <w:sz w:val="28"/>
          <w:szCs w:val="28"/>
          <w:highlight w:val="none"/>
        </w:rPr>
        <w:t>七、其他事项</w:t>
      </w:r>
      <w:bookmarkEnd w:id="106"/>
      <w:bookmarkEnd w:id="107"/>
      <w:bookmarkEnd w:id="108"/>
    </w:p>
    <w:p w14:paraId="6BE3A3F9">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2</w:t>
      </w:r>
      <w:r>
        <w:rPr>
          <w:rFonts w:eastAsia="黑体"/>
          <w:b/>
          <w:bCs/>
          <w:color w:val="auto"/>
          <w:sz w:val="24"/>
          <w:highlight w:val="none"/>
        </w:rPr>
        <w:t>.采购代理服务费</w:t>
      </w:r>
    </w:p>
    <w:p w14:paraId="7CBE52A3">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lang w:val="en-US" w:eastAsia="zh-CN"/>
        </w:rPr>
        <w:t>2</w:t>
      </w:r>
      <w:r>
        <w:rPr>
          <w:color w:val="auto"/>
          <w:szCs w:val="21"/>
          <w:highlight w:val="none"/>
        </w:rPr>
        <w:t>.1 采购代理服务费收费标准及缴费账户详见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，供应商为联合体的，可以由联合体中的一方或者多方共同缴纳采购代理服务费。</w:t>
      </w:r>
    </w:p>
    <w:p w14:paraId="0AEEC08E">
      <w:pPr>
        <w:pStyle w:val="13"/>
        <w:ind w:firstLine="420" w:firstLineChars="200"/>
        <w:rPr>
          <w:color w:val="auto"/>
          <w:highlight w:val="none"/>
          <w:lang w:val="en-US" w:eastAsia="zh-CN"/>
        </w:rPr>
      </w:pPr>
      <w:r>
        <w:rPr>
          <w:color w:val="auto"/>
          <w:szCs w:val="21"/>
          <w:highlight w:val="none"/>
          <w:lang w:val="en-US" w:eastAsia="zh-CN"/>
        </w:rPr>
        <w:t>3</w:t>
      </w:r>
      <w:r>
        <w:rPr>
          <w:rFonts w:hint="eastAsia"/>
          <w:color w:val="auto"/>
          <w:szCs w:val="21"/>
          <w:highlight w:val="none"/>
          <w:lang w:val="en-US" w:eastAsia="zh-CN"/>
        </w:rPr>
        <w:t>2</w:t>
      </w:r>
      <w:r>
        <w:rPr>
          <w:color w:val="auto"/>
          <w:szCs w:val="21"/>
          <w:highlight w:val="none"/>
          <w:lang w:val="en-US" w:eastAsia="zh-CN"/>
        </w:rPr>
        <w:t>.2</w:t>
      </w:r>
      <w:r>
        <w:rPr>
          <w:color w:val="auto"/>
          <w:szCs w:val="21"/>
          <w:highlight w:val="none"/>
          <w:lang w:eastAsia="zh-CN"/>
        </w:rPr>
        <w:t>采购</w:t>
      </w:r>
      <w:r>
        <w:rPr>
          <w:color w:val="auto"/>
          <w:szCs w:val="21"/>
          <w:highlight w:val="none"/>
        </w:rPr>
        <w:t>代理服务费收费计算标准</w:t>
      </w:r>
      <w:r>
        <w:rPr>
          <w:color w:val="auto"/>
          <w:szCs w:val="21"/>
          <w:highlight w:val="none"/>
          <w:lang w:eastAsia="zh-CN"/>
        </w:rPr>
        <w:t>：</w:t>
      </w:r>
    </w:p>
    <w:tbl>
      <w:tblPr>
        <w:tblStyle w:val="28"/>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B2E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DAA428F">
            <w:pPr>
              <w:spacing w:line="360" w:lineRule="auto"/>
              <w:rPr>
                <w:color w:val="auto"/>
                <w:szCs w:val="21"/>
                <w:highlight w:val="none"/>
              </w:rPr>
            </w:pPr>
            <w:r>
              <w:rPr>
                <w:color w:val="auto"/>
                <w:szCs w:val="21"/>
                <w:highlight w:val="none"/>
              </w:rPr>
              <w:t xml:space="preserve">               费率</w:t>
            </w:r>
          </w:p>
          <w:p w14:paraId="1B88A562">
            <w:pPr>
              <w:spacing w:line="360" w:lineRule="auto"/>
              <w:rPr>
                <w:color w:val="auto"/>
                <w:szCs w:val="21"/>
                <w:highlight w:val="none"/>
              </w:rPr>
            </w:pPr>
            <w:r>
              <w:rPr>
                <w:color w:val="auto"/>
                <w:szCs w:val="21"/>
                <w:highlight w:val="none"/>
              </w:rPr>
              <w:t>金额</w:t>
            </w:r>
          </w:p>
        </w:tc>
        <w:tc>
          <w:tcPr>
            <w:tcW w:w="1659" w:type="dxa"/>
            <w:noWrap w:val="0"/>
            <w:vAlign w:val="center"/>
          </w:tcPr>
          <w:p w14:paraId="541902CF">
            <w:pPr>
              <w:spacing w:line="360" w:lineRule="auto"/>
              <w:ind w:firstLine="105" w:firstLineChars="50"/>
              <w:jc w:val="center"/>
              <w:rPr>
                <w:color w:val="auto"/>
                <w:szCs w:val="21"/>
                <w:highlight w:val="none"/>
              </w:rPr>
            </w:pPr>
            <w:r>
              <w:rPr>
                <w:color w:val="auto"/>
                <w:szCs w:val="21"/>
                <w:highlight w:val="none"/>
              </w:rPr>
              <w:t>货物类</w:t>
            </w:r>
          </w:p>
        </w:tc>
        <w:tc>
          <w:tcPr>
            <w:tcW w:w="1532" w:type="dxa"/>
            <w:noWrap w:val="0"/>
            <w:vAlign w:val="center"/>
          </w:tcPr>
          <w:p w14:paraId="373420AA">
            <w:pPr>
              <w:spacing w:line="360" w:lineRule="auto"/>
              <w:jc w:val="center"/>
              <w:rPr>
                <w:color w:val="auto"/>
                <w:szCs w:val="21"/>
                <w:highlight w:val="none"/>
              </w:rPr>
            </w:pPr>
            <w:r>
              <w:rPr>
                <w:color w:val="auto"/>
                <w:szCs w:val="21"/>
                <w:highlight w:val="none"/>
              </w:rPr>
              <w:t>服务类</w:t>
            </w:r>
          </w:p>
        </w:tc>
        <w:tc>
          <w:tcPr>
            <w:tcW w:w="1546" w:type="dxa"/>
            <w:noWrap w:val="0"/>
            <w:vAlign w:val="center"/>
          </w:tcPr>
          <w:p w14:paraId="0FCACC3C">
            <w:pPr>
              <w:spacing w:line="360" w:lineRule="auto"/>
              <w:jc w:val="center"/>
              <w:rPr>
                <w:color w:val="auto"/>
                <w:szCs w:val="21"/>
                <w:highlight w:val="none"/>
              </w:rPr>
            </w:pPr>
            <w:r>
              <w:rPr>
                <w:color w:val="auto"/>
                <w:szCs w:val="21"/>
                <w:highlight w:val="none"/>
              </w:rPr>
              <w:t>工程类</w:t>
            </w:r>
          </w:p>
        </w:tc>
      </w:tr>
      <w:tr w14:paraId="40C9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C5CDA88">
            <w:pPr>
              <w:spacing w:line="360" w:lineRule="auto"/>
              <w:rPr>
                <w:color w:val="auto"/>
                <w:szCs w:val="21"/>
                <w:highlight w:val="none"/>
              </w:rPr>
            </w:pPr>
            <w:r>
              <w:rPr>
                <w:color w:val="auto"/>
                <w:szCs w:val="21"/>
                <w:highlight w:val="none"/>
              </w:rPr>
              <w:t>100万元以下</w:t>
            </w:r>
          </w:p>
        </w:tc>
        <w:tc>
          <w:tcPr>
            <w:tcW w:w="1659" w:type="dxa"/>
            <w:noWrap w:val="0"/>
            <w:vAlign w:val="top"/>
          </w:tcPr>
          <w:p w14:paraId="3BD8B899">
            <w:pPr>
              <w:spacing w:line="360" w:lineRule="auto"/>
              <w:rPr>
                <w:color w:val="auto"/>
                <w:szCs w:val="21"/>
                <w:highlight w:val="none"/>
              </w:rPr>
            </w:pPr>
            <w:r>
              <w:rPr>
                <w:color w:val="auto"/>
                <w:kern w:val="0"/>
                <w:szCs w:val="21"/>
                <w:highlight w:val="none"/>
              </w:rPr>
              <w:t xml:space="preserve">  1.5%                </w:t>
            </w:r>
          </w:p>
        </w:tc>
        <w:tc>
          <w:tcPr>
            <w:tcW w:w="1532" w:type="dxa"/>
            <w:noWrap w:val="0"/>
            <w:vAlign w:val="top"/>
          </w:tcPr>
          <w:p w14:paraId="4A507360">
            <w:pPr>
              <w:spacing w:line="360" w:lineRule="auto"/>
              <w:ind w:firstLine="210" w:firstLineChars="100"/>
              <w:rPr>
                <w:color w:val="auto"/>
                <w:szCs w:val="21"/>
                <w:highlight w:val="none"/>
              </w:rPr>
            </w:pPr>
            <w:r>
              <w:rPr>
                <w:color w:val="auto"/>
                <w:kern w:val="0"/>
                <w:szCs w:val="21"/>
                <w:highlight w:val="none"/>
              </w:rPr>
              <w:t>1.5%</w:t>
            </w:r>
          </w:p>
        </w:tc>
        <w:tc>
          <w:tcPr>
            <w:tcW w:w="1546" w:type="dxa"/>
            <w:noWrap w:val="0"/>
            <w:vAlign w:val="top"/>
          </w:tcPr>
          <w:p w14:paraId="70AB17EF">
            <w:pPr>
              <w:spacing w:line="360" w:lineRule="auto"/>
              <w:ind w:firstLine="210" w:firstLineChars="100"/>
              <w:rPr>
                <w:color w:val="auto"/>
                <w:szCs w:val="21"/>
                <w:highlight w:val="none"/>
              </w:rPr>
            </w:pPr>
            <w:r>
              <w:rPr>
                <w:color w:val="auto"/>
                <w:kern w:val="0"/>
                <w:szCs w:val="21"/>
                <w:highlight w:val="none"/>
              </w:rPr>
              <w:t xml:space="preserve">1.0% </w:t>
            </w:r>
          </w:p>
        </w:tc>
      </w:tr>
      <w:tr w14:paraId="0175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8C3549">
            <w:pPr>
              <w:spacing w:line="360" w:lineRule="auto"/>
              <w:rPr>
                <w:color w:val="auto"/>
                <w:szCs w:val="21"/>
                <w:highlight w:val="none"/>
              </w:rPr>
            </w:pPr>
            <w:r>
              <w:rPr>
                <w:color w:val="auto"/>
                <w:szCs w:val="21"/>
                <w:highlight w:val="none"/>
              </w:rPr>
              <w:t>100～500万元</w:t>
            </w:r>
          </w:p>
        </w:tc>
        <w:tc>
          <w:tcPr>
            <w:tcW w:w="1659" w:type="dxa"/>
            <w:noWrap w:val="0"/>
            <w:vAlign w:val="top"/>
          </w:tcPr>
          <w:p w14:paraId="3912D932">
            <w:pPr>
              <w:spacing w:line="360" w:lineRule="auto"/>
              <w:ind w:firstLine="210" w:firstLineChars="100"/>
              <w:rPr>
                <w:color w:val="auto"/>
                <w:szCs w:val="21"/>
                <w:highlight w:val="none"/>
              </w:rPr>
            </w:pPr>
            <w:r>
              <w:rPr>
                <w:color w:val="auto"/>
                <w:kern w:val="0"/>
                <w:szCs w:val="21"/>
                <w:highlight w:val="none"/>
              </w:rPr>
              <w:t xml:space="preserve">1.1%                 </w:t>
            </w:r>
          </w:p>
        </w:tc>
        <w:tc>
          <w:tcPr>
            <w:tcW w:w="1532" w:type="dxa"/>
            <w:noWrap w:val="0"/>
            <w:vAlign w:val="top"/>
          </w:tcPr>
          <w:p w14:paraId="441F8F81">
            <w:pPr>
              <w:spacing w:line="360" w:lineRule="auto"/>
              <w:ind w:firstLine="210" w:firstLineChars="100"/>
              <w:rPr>
                <w:color w:val="auto"/>
                <w:szCs w:val="21"/>
                <w:highlight w:val="none"/>
              </w:rPr>
            </w:pPr>
            <w:r>
              <w:rPr>
                <w:color w:val="auto"/>
                <w:kern w:val="0"/>
                <w:szCs w:val="21"/>
                <w:highlight w:val="none"/>
              </w:rPr>
              <w:t>0.8%</w:t>
            </w:r>
          </w:p>
        </w:tc>
        <w:tc>
          <w:tcPr>
            <w:tcW w:w="1546" w:type="dxa"/>
            <w:noWrap w:val="0"/>
            <w:vAlign w:val="top"/>
          </w:tcPr>
          <w:p w14:paraId="3F4EF18C">
            <w:pPr>
              <w:spacing w:line="360" w:lineRule="auto"/>
              <w:ind w:firstLine="210" w:firstLineChars="100"/>
              <w:rPr>
                <w:color w:val="auto"/>
                <w:szCs w:val="21"/>
                <w:highlight w:val="none"/>
              </w:rPr>
            </w:pPr>
            <w:r>
              <w:rPr>
                <w:color w:val="auto"/>
                <w:kern w:val="0"/>
                <w:szCs w:val="21"/>
                <w:highlight w:val="none"/>
              </w:rPr>
              <w:t xml:space="preserve">0.7% </w:t>
            </w:r>
          </w:p>
        </w:tc>
      </w:tr>
      <w:tr w14:paraId="06EA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EEA50B">
            <w:pPr>
              <w:spacing w:line="360" w:lineRule="auto"/>
              <w:rPr>
                <w:color w:val="auto"/>
                <w:szCs w:val="21"/>
                <w:highlight w:val="none"/>
              </w:rPr>
            </w:pPr>
            <w:r>
              <w:rPr>
                <w:color w:val="auto"/>
                <w:szCs w:val="21"/>
                <w:highlight w:val="none"/>
              </w:rPr>
              <w:t>500～1000万元</w:t>
            </w:r>
          </w:p>
        </w:tc>
        <w:tc>
          <w:tcPr>
            <w:tcW w:w="1659" w:type="dxa"/>
            <w:noWrap w:val="0"/>
            <w:vAlign w:val="top"/>
          </w:tcPr>
          <w:p w14:paraId="472985A8">
            <w:pPr>
              <w:spacing w:line="360" w:lineRule="auto"/>
              <w:rPr>
                <w:color w:val="auto"/>
                <w:szCs w:val="21"/>
                <w:highlight w:val="none"/>
              </w:rPr>
            </w:pPr>
            <w:r>
              <w:rPr>
                <w:color w:val="auto"/>
                <w:kern w:val="0"/>
                <w:szCs w:val="21"/>
                <w:highlight w:val="none"/>
              </w:rPr>
              <w:t xml:space="preserve">  0.8%                </w:t>
            </w:r>
          </w:p>
        </w:tc>
        <w:tc>
          <w:tcPr>
            <w:tcW w:w="1532" w:type="dxa"/>
            <w:noWrap w:val="0"/>
            <w:vAlign w:val="top"/>
          </w:tcPr>
          <w:p w14:paraId="4F7C1D73">
            <w:pPr>
              <w:spacing w:line="360" w:lineRule="auto"/>
              <w:ind w:firstLine="210" w:firstLineChars="100"/>
              <w:rPr>
                <w:color w:val="auto"/>
                <w:szCs w:val="21"/>
                <w:highlight w:val="none"/>
              </w:rPr>
            </w:pPr>
            <w:r>
              <w:rPr>
                <w:color w:val="auto"/>
                <w:kern w:val="0"/>
                <w:szCs w:val="21"/>
                <w:highlight w:val="none"/>
              </w:rPr>
              <w:t>0.45%</w:t>
            </w:r>
          </w:p>
        </w:tc>
        <w:tc>
          <w:tcPr>
            <w:tcW w:w="1546" w:type="dxa"/>
            <w:noWrap w:val="0"/>
            <w:vAlign w:val="top"/>
          </w:tcPr>
          <w:p w14:paraId="35DED750">
            <w:pPr>
              <w:spacing w:line="360" w:lineRule="auto"/>
              <w:ind w:firstLine="210" w:firstLineChars="100"/>
              <w:rPr>
                <w:color w:val="auto"/>
                <w:szCs w:val="21"/>
                <w:highlight w:val="none"/>
              </w:rPr>
            </w:pPr>
            <w:r>
              <w:rPr>
                <w:color w:val="auto"/>
                <w:kern w:val="0"/>
                <w:szCs w:val="21"/>
                <w:highlight w:val="none"/>
              </w:rPr>
              <w:t>0.55%</w:t>
            </w:r>
          </w:p>
        </w:tc>
      </w:tr>
      <w:tr w14:paraId="6A69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DF0CCA7">
            <w:pPr>
              <w:spacing w:line="360" w:lineRule="auto"/>
              <w:rPr>
                <w:color w:val="auto"/>
                <w:szCs w:val="21"/>
                <w:highlight w:val="none"/>
              </w:rPr>
            </w:pPr>
            <w:r>
              <w:rPr>
                <w:color w:val="auto"/>
                <w:szCs w:val="21"/>
                <w:highlight w:val="none"/>
              </w:rPr>
              <w:t>1000～5000万元</w:t>
            </w:r>
          </w:p>
        </w:tc>
        <w:tc>
          <w:tcPr>
            <w:tcW w:w="1659" w:type="dxa"/>
            <w:noWrap w:val="0"/>
            <w:vAlign w:val="top"/>
          </w:tcPr>
          <w:p w14:paraId="64642634">
            <w:pPr>
              <w:spacing w:line="360" w:lineRule="auto"/>
              <w:ind w:firstLine="210" w:firstLineChars="100"/>
              <w:rPr>
                <w:color w:val="auto"/>
                <w:szCs w:val="21"/>
                <w:highlight w:val="none"/>
              </w:rPr>
            </w:pPr>
            <w:r>
              <w:rPr>
                <w:color w:val="auto"/>
                <w:kern w:val="0"/>
                <w:szCs w:val="21"/>
                <w:highlight w:val="none"/>
              </w:rPr>
              <w:t xml:space="preserve">0.5%                </w:t>
            </w:r>
          </w:p>
        </w:tc>
        <w:tc>
          <w:tcPr>
            <w:tcW w:w="1532" w:type="dxa"/>
            <w:noWrap w:val="0"/>
            <w:vAlign w:val="top"/>
          </w:tcPr>
          <w:p w14:paraId="051FFF8D">
            <w:pPr>
              <w:spacing w:line="360" w:lineRule="auto"/>
              <w:ind w:firstLine="210" w:firstLineChars="100"/>
              <w:rPr>
                <w:color w:val="auto"/>
                <w:szCs w:val="21"/>
                <w:highlight w:val="none"/>
              </w:rPr>
            </w:pPr>
            <w:r>
              <w:rPr>
                <w:color w:val="auto"/>
                <w:kern w:val="0"/>
                <w:szCs w:val="21"/>
                <w:highlight w:val="none"/>
              </w:rPr>
              <w:t>0.25%</w:t>
            </w:r>
          </w:p>
        </w:tc>
        <w:tc>
          <w:tcPr>
            <w:tcW w:w="1546" w:type="dxa"/>
            <w:noWrap w:val="0"/>
            <w:vAlign w:val="top"/>
          </w:tcPr>
          <w:p w14:paraId="29177657">
            <w:pPr>
              <w:spacing w:line="360" w:lineRule="auto"/>
              <w:ind w:firstLine="210" w:firstLineChars="100"/>
              <w:rPr>
                <w:color w:val="auto"/>
                <w:szCs w:val="21"/>
                <w:highlight w:val="none"/>
              </w:rPr>
            </w:pPr>
            <w:r>
              <w:rPr>
                <w:color w:val="auto"/>
                <w:kern w:val="0"/>
                <w:szCs w:val="21"/>
                <w:highlight w:val="none"/>
              </w:rPr>
              <w:t xml:space="preserve">0.35% </w:t>
            </w:r>
          </w:p>
        </w:tc>
      </w:tr>
      <w:tr w14:paraId="5D42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A5BCE7">
            <w:pPr>
              <w:spacing w:line="360" w:lineRule="auto"/>
              <w:rPr>
                <w:color w:val="auto"/>
                <w:szCs w:val="21"/>
                <w:highlight w:val="none"/>
              </w:rPr>
            </w:pPr>
            <w:r>
              <w:rPr>
                <w:color w:val="auto"/>
                <w:szCs w:val="21"/>
                <w:highlight w:val="none"/>
              </w:rPr>
              <w:t>5000万元～1亿元</w:t>
            </w:r>
          </w:p>
        </w:tc>
        <w:tc>
          <w:tcPr>
            <w:tcW w:w="1659" w:type="dxa"/>
            <w:noWrap w:val="0"/>
            <w:vAlign w:val="top"/>
          </w:tcPr>
          <w:p w14:paraId="1C6FC01C">
            <w:pPr>
              <w:spacing w:line="360" w:lineRule="auto"/>
              <w:ind w:firstLine="210" w:firstLineChars="100"/>
              <w:rPr>
                <w:color w:val="auto"/>
                <w:szCs w:val="21"/>
                <w:highlight w:val="none"/>
              </w:rPr>
            </w:pPr>
            <w:r>
              <w:rPr>
                <w:color w:val="auto"/>
                <w:kern w:val="0"/>
                <w:szCs w:val="21"/>
                <w:highlight w:val="none"/>
              </w:rPr>
              <w:t xml:space="preserve">0.25%                 </w:t>
            </w:r>
          </w:p>
        </w:tc>
        <w:tc>
          <w:tcPr>
            <w:tcW w:w="1532" w:type="dxa"/>
            <w:noWrap w:val="0"/>
            <w:vAlign w:val="top"/>
          </w:tcPr>
          <w:p w14:paraId="4333B0BC">
            <w:pPr>
              <w:spacing w:line="360" w:lineRule="auto"/>
              <w:ind w:firstLine="210" w:firstLineChars="100"/>
              <w:rPr>
                <w:color w:val="auto"/>
                <w:szCs w:val="21"/>
                <w:highlight w:val="none"/>
              </w:rPr>
            </w:pPr>
            <w:r>
              <w:rPr>
                <w:color w:val="auto"/>
                <w:kern w:val="0"/>
                <w:szCs w:val="21"/>
                <w:highlight w:val="none"/>
              </w:rPr>
              <w:t>0.1%</w:t>
            </w:r>
          </w:p>
        </w:tc>
        <w:tc>
          <w:tcPr>
            <w:tcW w:w="1546" w:type="dxa"/>
            <w:noWrap w:val="0"/>
            <w:vAlign w:val="top"/>
          </w:tcPr>
          <w:p w14:paraId="0A3EF494">
            <w:pPr>
              <w:spacing w:line="360" w:lineRule="auto"/>
              <w:ind w:firstLine="210" w:firstLineChars="100"/>
              <w:rPr>
                <w:color w:val="auto"/>
                <w:szCs w:val="21"/>
                <w:highlight w:val="none"/>
              </w:rPr>
            </w:pPr>
            <w:r>
              <w:rPr>
                <w:color w:val="auto"/>
                <w:kern w:val="0"/>
                <w:szCs w:val="21"/>
                <w:highlight w:val="none"/>
              </w:rPr>
              <w:t>0.2%</w:t>
            </w:r>
          </w:p>
        </w:tc>
      </w:tr>
      <w:tr w14:paraId="00DE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60A94E">
            <w:pPr>
              <w:spacing w:line="360" w:lineRule="auto"/>
              <w:rPr>
                <w:color w:val="auto"/>
                <w:szCs w:val="21"/>
                <w:highlight w:val="none"/>
              </w:rPr>
            </w:pPr>
            <w:r>
              <w:rPr>
                <w:color w:val="auto"/>
                <w:szCs w:val="21"/>
                <w:highlight w:val="none"/>
              </w:rPr>
              <w:t>1～5亿元</w:t>
            </w:r>
          </w:p>
        </w:tc>
        <w:tc>
          <w:tcPr>
            <w:tcW w:w="1659" w:type="dxa"/>
            <w:noWrap w:val="0"/>
            <w:vAlign w:val="top"/>
          </w:tcPr>
          <w:p w14:paraId="57E0CE02">
            <w:pPr>
              <w:spacing w:line="360" w:lineRule="auto"/>
              <w:ind w:firstLine="210" w:firstLineChars="100"/>
              <w:rPr>
                <w:color w:val="auto"/>
                <w:szCs w:val="21"/>
                <w:highlight w:val="none"/>
              </w:rPr>
            </w:pPr>
            <w:r>
              <w:rPr>
                <w:color w:val="auto"/>
                <w:szCs w:val="21"/>
                <w:highlight w:val="none"/>
              </w:rPr>
              <w:t>0.05%</w:t>
            </w:r>
          </w:p>
        </w:tc>
        <w:tc>
          <w:tcPr>
            <w:tcW w:w="1532" w:type="dxa"/>
            <w:noWrap w:val="0"/>
            <w:vAlign w:val="top"/>
          </w:tcPr>
          <w:p w14:paraId="7FEE94FA">
            <w:pPr>
              <w:spacing w:line="360" w:lineRule="auto"/>
              <w:rPr>
                <w:color w:val="auto"/>
                <w:szCs w:val="21"/>
                <w:highlight w:val="none"/>
              </w:rPr>
            </w:pPr>
            <w:r>
              <w:rPr>
                <w:color w:val="auto"/>
                <w:szCs w:val="21"/>
                <w:highlight w:val="none"/>
              </w:rPr>
              <w:t xml:space="preserve">  0.05%</w:t>
            </w:r>
          </w:p>
        </w:tc>
        <w:tc>
          <w:tcPr>
            <w:tcW w:w="1546" w:type="dxa"/>
            <w:noWrap w:val="0"/>
            <w:vAlign w:val="top"/>
          </w:tcPr>
          <w:p w14:paraId="18691E7C">
            <w:pPr>
              <w:spacing w:line="360" w:lineRule="auto"/>
              <w:rPr>
                <w:color w:val="auto"/>
                <w:szCs w:val="21"/>
                <w:highlight w:val="none"/>
              </w:rPr>
            </w:pPr>
            <w:r>
              <w:rPr>
                <w:color w:val="auto"/>
                <w:szCs w:val="21"/>
                <w:highlight w:val="none"/>
              </w:rPr>
              <w:t xml:space="preserve">  0.05%</w:t>
            </w:r>
          </w:p>
        </w:tc>
      </w:tr>
      <w:tr w14:paraId="64CD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FF97DF">
            <w:pPr>
              <w:spacing w:line="360" w:lineRule="auto"/>
              <w:rPr>
                <w:color w:val="auto"/>
                <w:szCs w:val="21"/>
                <w:highlight w:val="none"/>
              </w:rPr>
            </w:pPr>
            <w:r>
              <w:rPr>
                <w:color w:val="auto"/>
                <w:szCs w:val="21"/>
                <w:highlight w:val="none"/>
              </w:rPr>
              <w:t>5～10亿元</w:t>
            </w:r>
          </w:p>
        </w:tc>
        <w:tc>
          <w:tcPr>
            <w:tcW w:w="1659" w:type="dxa"/>
            <w:noWrap w:val="0"/>
            <w:vAlign w:val="top"/>
          </w:tcPr>
          <w:p w14:paraId="52C07FAF">
            <w:pPr>
              <w:spacing w:line="360" w:lineRule="auto"/>
              <w:ind w:firstLine="105" w:firstLineChars="50"/>
              <w:rPr>
                <w:color w:val="auto"/>
                <w:szCs w:val="21"/>
                <w:highlight w:val="none"/>
              </w:rPr>
            </w:pPr>
            <w:r>
              <w:rPr>
                <w:color w:val="auto"/>
                <w:szCs w:val="21"/>
                <w:highlight w:val="none"/>
              </w:rPr>
              <w:t>0.035%</w:t>
            </w:r>
          </w:p>
        </w:tc>
        <w:tc>
          <w:tcPr>
            <w:tcW w:w="1532" w:type="dxa"/>
            <w:noWrap w:val="0"/>
            <w:vAlign w:val="top"/>
          </w:tcPr>
          <w:p w14:paraId="32E42704">
            <w:pPr>
              <w:spacing w:line="360" w:lineRule="auto"/>
              <w:rPr>
                <w:color w:val="auto"/>
                <w:szCs w:val="21"/>
                <w:highlight w:val="none"/>
              </w:rPr>
            </w:pPr>
            <w:r>
              <w:rPr>
                <w:color w:val="auto"/>
                <w:szCs w:val="21"/>
                <w:highlight w:val="none"/>
              </w:rPr>
              <w:t xml:space="preserve">  0.035%</w:t>
            </w:r>
          </w:p>
        </w:tc>
        <w:tc>
          <w:tcPr>
            <w:tcW w:w="1546" w:type="dxa"/>
            <w:noWrap w:val="0"/>
            <w:vAlign w:val="top"/>
          </w:tcPr>
          <w:p w14:paraId="2CEAA0C3">
            <w:pPr>
              <w:spacing w:line="360" w:lineRule="auto"/>
              <w:ind w:firstLine="105" w:firstLineChars="50"/>
              <w:rPr>
                <w:color w:val="auto"/>
                <w:szCs w:val="21"/>
                <w:highlight w:val="none"/>
              </w:rPr>
            </w:pPr>
            <w:r>
              <w:rPr>
                <w:color w:val="auto"/>
                <w:szCs w:val="21"/>
                <w:highlight w:val="none"/>
              </w:rPr>
              <w:t>0.035%</w:t>
            </w:r>
          </w:p>
        </w:tc>
      </w:tr>
      <w:tr w14:paraId="32E3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D51B4B">
            <w:pPr>
              <w:spacing w:line="360" w:lineRule="auto"/>
              <w:rPr>
                <w:color w:val="auto"/>
                <w:szCs w:val="21"/>
                <w:highlight w:val="none"/>
              </w:rPr>
            </w:pPr>
            <w:r>
              <w:rPr>
                <w:color w:val="auto"/>
                <w:szCs w:val="21"/>
                <w:highlight w:val="none"/>
              </w:rPr>
              <w:t>10～50亿元</w:t>
            </w:r>
          </w:p>
        </w:tc>
        <w:tc>
          <w:tcPr>
            <w:tcW w:w="1659" w:type="dxa"/>
            <w:noWrap w:val="0"/>
            <w:vAlign w:val="top"/>
          </w:tcPr>
          <w:p w14:paraId="34C4D345">
            <w:pPr>
              <w:spacing w:line="360" w:lineRule="auto"/>
              <w:ind w:firstLine="105" w:firstLineChars="50"/>
              <w:rPr>
                <w:color w:val="auto"/>
                <w:szCs w:val="21"/>
                <w:highlight w:val="none"/>
              </w:rPr>
            </w:pPr>
            <w:r>
              <w:rPr>
                <w:color w:val="auto"/>
                <w:szCs w:val="21"/>
                <w:highlight w:val="none"/>
              </w:rPr>
              <w:t>0.008%</w:t>
            </w:r>
          </w:p>
        </w:tc>
        <w:tc>
          <w:tcPr>
            <w:tcW w:w="1532" w:type="dxa"/>
            <w:noWrap w:val="0"/>
            <w:vAlign w:val="top"/>
          </w:tcPr>
          <w:p w14:paraId="745563D9">
            <w:pPr>
              <w:spacing w:line="360" w:lineRule="auto"/>
              <w:ind w:firstLine="210" w:firstLineChars="100"/>
              <w:rPr>
                <w:color w:val="auto"/>
                <w:szCs w:val="21"/>
                <w:highlight w:val="none"/>
              </w:rPr>
            </w:pPr>
            <w:r>
              <w:rPr>
                <w:color w:val="auto"/>
                <w:szCs w:val="21"/>
                <w:highlight w:val="none"/>
              </w:rPr>
              <w:t>0.008%</w:t>
            </w:r>
          </w:p>
        </w:tc>
        <w:tc>
          <w:tcPr>
            <w:tcW w:w="1546" w:type="dxa"/>
            <w:noWrap w:val="0"/>
            <w:vAlign w:val="top"/>
          </w:tcPr>
          <w:p w14:paraId="28F4535F">
            <w:pPr>
              <w:spacing w:line="360" w:lineRule="auto"/>
              <w:ind w:firstLine="105" w:firstLineChars="50"/>
              <w:rPr>
                <w:color w:val="auto"/>
                <w:szCs w:val="21"/>
                <w:highlight w:val="none"/>
              </w:rPr>
            </w:pPr>
            <w:r>
              <w:rPr>
                <w:color w:val="auto"/>
                <w:szCs w:val="21"/>
                <w:highlight w:val="none"/>
              </w:rPr>
              <w:t>0.008%</w:t>
            </w:r>
          </w:p>
        </w:tc>
      </w:tr>
      <w:tr w14:paraId="57E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C7E76B7">
            <w:pPr>
              <w:spacing w:line="360" w:lineRule="auto"/>
              <w:rPr>
                <w:color w:val="auto"/>
                <w:szCs w:val="21"/>
                <w:highlight w:val="none"/>
              </w:rPr>
            </w:pPr>
            <w:r>
              <w:rPr>
                <w:color w:val="auto"/>
                <w:szCs w:val="21"/>
                <w:highlight w:val="none"/>
              </w:rPr>
              <w:t>50～100亿元</w:t>
            </w:r>
          </w:p>
        </w:tc>
        <w:tc>
          <w:tcPr>
            <w:tcW w:w="1659" w:type="dxa"/>
            <w:noWrap w:val="0"/>
            <w:vAlign w:val="top"/>
          </w:tcPr>
          <w:p w14:paraId="635A6962">
            <w:pPr>
              <w:spacing w:line="360" w:lineRule="auto"/>
              <w:rPr>
                <w:color w:val="auto"/>
                <w:szCs w:val="21"/>
                <w:highlight w:val="none"/>
              </w:rPr>
            </w:pPr>
            <w:r>
              <w:rPr>
                <w:color w:val="auto"/>
                <w:szCs w:val="21"/>
                <w:highlight w:val="none"/>
              </w:rPr>
              <w:t xml:space="preserve"> 0.006%</w:t>
            </w:r>
          </w:p>
        </w:tc>
        <w:tc>
          <w:tcPr>
            <w:tcW w:w="1532" w:type="dxa"/>
            <w:noWrap w:val="0"/>
            <w:vAlign w:val="top"/>
          </w:tcPr>
          <w:p w14:paraId="574DBDD0">
            <w:pPr>
              <w:spacing w:line="360" w:lineRule="auto"/>
              <w:ind w:firstLine="210" w:firstLineChars="100"/>
              <w:rPr>
                <w:color w:val="auto"/>
                <w:szCs w:val="21"/>
                <w:highlight w:val="none"/>
              </w:rPr>
            </w:pPr>
            <w:r>
              <w:rPr>
                <w:color w:val="auto"/>
                <w:szCs w:val="21"/>
                <w:highlight w:val="none"/>
              </w:rPr>
              <w:t>0.006%</w:t>
            </w:r>
          </w:p>
        </w:tc>
        <w:tc>
          <w:tcPr>
            <w:tcW w:w="1546" w:type="dxa"/>
            <w:noWrap w:val="0"/>
            <w:vAlign w:val="top"/>
          </w:tcPr>
          <w:p w14:paraId="51AFC39F">
            <w:pPr>
              <w:spacing w:line="360" w:lineRule="auto"/>
              <w:ind w:firstLine="105" w:firstLineChars="50"/>
              <w:rPr>
                <w:color w:val="auto"/>
                <w:szCs w:val="21"/>
                <w:highlight w:val="none"/>
              </w:rPr>
            </w:pPr>
            <w:r>
              <w:rPr>
                <w:color w:val="auto"/>
                <w:szCs w:val="21"/>
                <w:highlight w:val="none"/>
              </w:rPr>
              <w:t>0.006%</w:t>
            </w:r>
          </w:p>
        </w:tc>
      </w:tr>
      <w:tr w14:paraId="2521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3100D0">
            <w:pPr>
              <w:spacing w:line="360" w:lineRule="auto"/>
              <w:rPr>
                <w:color w:val="auto"/>
                <w:szCs w:val="21"/>
                <w:highlight w:val="none"/>
              </w:rPr>
            </w:pPr>
            <w:r>
              <w:rPr>
                <w:color w:val="auto"/>
                <w:szCs w:val="21"/>
                <w:highlight w:val="none"/>
              </w:rPr>
              <w:t>100亿</w:t>
            </w:r>
            <w:r>
              <w:rPr>
                <w:rFonts w:hint="eastAsia"/>
                <w:color w:val="auto"/>
                <w:szCs w:val="21"/>
                <w:highlight w:val="none"/>
                <w:lang w:eastAsia="zh-CN"/>
              </w:rPr>
              <w:t>元</w:t>
            </w:r>
            <w:r>
              <w:rPr>
                <w:color w:val="auto"/>
                <w:szCs w:val="21"/>
                <w:highlight w:val="none"/>
              </w:rPr>
              <w:t>以上</w:t>
            </w:r>
          </w:p>
        </w:tc>
        <w:tc>
          <w:tcPr>
            <w:tcW w:w="1659" w:type="dxa"/>
            <w:noWrap w:val="0"/>
            <w:vAlign w:val="top"/>
          </w:tcPr>
          <w:p w14:paraId="4095B942">
            <w:pPr>
              <w:spacing w:line="360" w:lineRule="auto"/>
              <w:rPr>
                <w:color w:val="auto"/>
                <w:szCs w:val="21"/>
                <w:highlight w:val="none"/>
              </w:rPr>
            </w:pPr>
            <w:r>
              <w:rPr>
                <w:color w:val="auto"/>
                <w:szCs w:val="21"/>
                <w:highlight w:val="none"/>
              </w:rPr>
              <w:t xml:space="preserve"> 0.004%</w:t>
            </w:r>
          </w:p>
        </w:tc>
        <w:tc>
          <w:tcPr>
            <w:tcW w:w="1532" w:type="dxa"/>
            <w:noWrap w:val="0"/>
            <w:vAlign w:val="top"/>
          </w:tcPr>
          <w:p w14:paraId="46562386">
            <w:pPr>
              <w:spacing w:line="360" w:lineRule="auto"/>
              <w:ind w:firstLine="210" w:firstLineChars="100"/>
              <w:rPr>
                <w:color w:val="auto"/>
                <w:szCs w:val="21"/>
                <w:highlight w:val="none"/>
              </w:rPr>
            </w:pPr>
            <w:r>
              <w:rPr>
                <w:color w:val="auto"/>
                <w:szCs w:val="21"/>
                <w:highlight w:val="none"/>
              </w:rPr>
              <w:t>0.004%</w:t>
            </w:r>
          </w:p>
        </w:tc>
        <w:tc>
          <w:tcPr>
            <w:tcW w:w="1546" w:type="dxa"/>
            <w:noWrap w:val="0"/>
            <w:vAlign w:val="top"/>
          </w:tcPr>
          <w:p w14:paraId="58CFF622">
            <w:pPr>
              <w:spacing w:line="360" w:lineRule="auto"/>
              <w:ind w:firstLine="105" w:firstLineChars="50"/>
              <w:rPr>
                <w:color w:val="auto"/>
                <w:szCs w:val="21"/>
                <w:highlight w:val="none"/>
              </w:rPr>
            </w:pPr>
            <w:r>
              <w:rPr>
                <w:color w:val="auto"/>
                <w:szCs w:val="21"/>
                <w:highlight w:val="none"/>
              </w:rPr>
              <w:t>0.004%</w:t>
            </w:r>
          </w:p>
        </w:tc>
      </w:tr>
    </w:tbl>
    <w:p w14:paraId="099E7D72">
      <w:pPr>
        <w:spacing w:line="360" w:lineRule="auto"/>
        <w:ind w:firstLine="420" w:firstLineChars="200"/>
        <w:rPr>
          <w:color w:val="auto"/>
          <w:highlight w:val="none"/>
        </w:rPr>
      </w:pPr>
      <w:r>
        <w:rPr>
          <w:color w:val="auto"/>
          <w:highlight w:val="none"/>
        </w:rPr>
        <w:t>注：</w:t>
      </w:r>
    </w:p>
    <w:p w14:paraId="1187EA32">
      <w:pPr>
        <w:spacing w:line="360" w:lineRule="auto"/>
        <w:ind w:firstLine="420" w:firstLineChars="200"/>
        <w:rPr>
          <w:color w:val="auto"/>
          <w:highlight w:val="none"/>
        </w:rPr>
      </w:pPr>
      <w:r>
        <w:rPr>
          <w:color w:val="auto"/>
          <w:highlight w:val="none"/>
        </w:rPr>
        <w:t>（1）按本表费率计算的收费为采购代理的收费基准价格；</w:t>
      </w:r>
    </w:p>
    <w:p w14:paraId="18E498BD">
      <w:pPr>
        <w:spacing w:line="360" w:lineRule="auto"/>
        <w:ind w:firstLine="420" w:firstLineChars="200"/>
        <w:rPr>
          <w:color w:val="auto"/>
          <w:highlight w:val="none"/>
        </w:rPr>
      </w:pPr>
      <w:r>
        <w:rPr>
          <w:color w:val="auto"/>
          <w:highlight w:val="none"/>
        </w:rPr>
        <w:t>（2）采购代理收费按差额定率累进法计算。</w:t>
      </w:r>
    </w:p>
    <w:p w14:paraId="04523117">
      <w:pPr>
        <w:spacing w:line="360" w:lineRule="auto"/>
        <w:ind w:firstLine="420" w:firstLineChars="200"/>
        <w:rPr>
          <w:color w:val="auto"/>
          <w:highlight w:val="none"/>
        </w:rPr>
      </w:pPr>
      <w:r>
        <w:rPr>
          <w:color w:val="auto"/>
          <w:highlight w:val="none"/>
        </w:rPr>
        <w:t>例如：某</w:t>
      </w:r>
      <w:r>
        <w:rPr>
          <w:rFonts w:hint="eastAsia"/>
          <w:color w:val="auto"/>
          <w:highlight w:val="none"/>
          <w:lang w:eastAsia="zh-CN"/>
        </w:rPr>
        <w:t>工程</w:t>
      </w:r>
      <w:r>
        <w:rPr>
          <w:color w:val="auto"/>
          <w:highlight w:val="none"/>
        </w:rPr>
        <w:t>采购代理业务成交金额或者暂定价为150万元，计算采购代理收费额如下：</w:t>
      </w:r>
    </w:p>
    <w:p w14:paraId="54250FA0">
      <w:pPr>
        <w:spacing w:line="360" w:lineRule="auto"/>
        <w:ind w:firstLine="420" w:firstLineChars="200"/>
        <w:rPr>
          <w:color w:val="auto"/>
          <w:highlight w:val="none"/>
        </w:rPr>
      </w:pPr>
      <w:r>
        <w:rPr>
          <w:color w:val="auto"/>
          <w:highlight w:val="none"/>
        </w:rPr>
        <w:t>100 万元 ×l.</w:t>
      </w:r>
      <w:r>
        <w:rPr>
          <w:rFonts w:hint="eastAsia"/>
          <w:color w:val="auto"/>
          <w:highlight w:val="none"/>
          <w:lang w:val="en-US" w:eastAsia="zh-CN"/>
        </w:rPr>
        <w:t>0</w:t>
      </w:r>
      <w:r>
        <w:rPr>
          <w:color w:val="auto"/>
          <w:highlight w:val="none"/>
        </w:rPr>
        <w:t xml:space="preserve"> ％＝ 1.</w:t>
      </w:r>
      <w:r>
        <w:rPr>
          <w:rFonts w:hint="eastAsia"/>
          <w:color w:val="auto"/>
          <w:highlight w:val="none"/>
          <w:lang w:val="en-US" w:eastAsia="zh-CN"/>
        </w:rPr>
        <w:t>0</w:t>
      </w:r>
      <w:r>
        <w:rPr>
          <w:color w:val="auto"/>
          <w:highlight w:val="none"/>
        </w:rPr>
        <w:t>万元</w:t>
      </w:r>
    </w:p>
    <w:p w14:paraId="7D2CFC55">
      <w:pPr>
        <w:spacing w:line="360" w:lineRule="auto"/>
        <w:ind w:firstLine="420" w:firstLineChars="200"/>
        <w:rPr>
          <w:color w:val="auto"/>
          <w:highlight w:val="none"/>
        </w:rPr>
      </w:pPr>
      <w:r>
        <w:rPr>
          <w:color w:val="auto"/>
          <w:highlight w:val="none"/>
        </w:rPr>
        <w:t>（ 150 － 100 ）万元 ×0.</w:t>
      </w:r>
      <w:r>
        <w:rPr>
          <w:rFonts w:hint="eastAsia"/>
          <w:color w:val="auto"/>
          <w:highlight w:val="none"/>
          <w:lang w:val="en-US" w:eastAsia="zh-CN"/>
        </w:rPr>
        <w:t>7</w:t>
      </w:r>
      <w:r>
        <w:rPr>
          <w:color w:val="auto"/>
          <w:highlight w:val="none"/>
        </w:rPr>
        <w:t>％＝ 0.</w:t>
      </w:r>
      <w:r>
        <w:rPr>
          <w:rFonts w:hint="eastAsia"/>
          <w:color w:val="auto"/>
          <w:highlight w:val="none"/>
          <w:lang w:val="en-US" w:eastAsia="zh-CN"/>
        </w:rPr>
        <w:t>35</w:t>
      </w:r>
      <w:r>
        <w:rPr>
          <w:color w:val="auto"/>
          <w:highlight w:val="none"/>
        </w:rPr>
        <w:t>万元</w:t>
      </w:r>
    </w:p>
    <w:p w14:paraId="42249B64">
      <w:pPr>
        <w:ind w:firstLine="420" w:firstLineChars="200"/>
        <w:rPr>
          <w:color w:val="auto"/>
          <w:highlight w:val="none"/>
        </w:rPr>
      </w:pPr>
      <w:r>
        <w:rPr>
          <w:color w:val="auto"/>
          <w:highlight w:val="none"/>
        </w:rPr>
        <w:t>合计收费＝ 1.</w:t>
      </w:r>
      <w:r>
        <w:rPr>
          <w:rFonts w:hint="eastAsia"/>
          <w:color w:val="auto"/>
          <w:highlight w:val="none"/>
          <w:lang w:val="en-US" w:eastAsia="zh-CN"/>
        </w:rPr>
        <w:t>0</w:t>
      </w:r>
      <w:r>
        <w:rPr>
          <w:color w:val="auto"/>
          <w:highlight w:val="none"/>
        </w:rPr>
        <w:t xml:space="preserve"> ＋ 0.</w:t>
      </w:r>
      <w:r>
        <w:rPr>
          <w:rFonts w:hint="eastAsia"/>
          <w:color w:val="auto"/>
          <w:highlight w:val="none"/>
          <w:lang w:val="en-US" w:eastAsia="zh-CN"/>
        </w:rPr>
        <w:t>35</w:t>
      </w:r>
      <w:r>
        <w:rPr>
          <w:color w:val="auto"/>
          <w:highlight w:val="none"/>
        </w:rPr>
        <w:t>＝ 1.</w:t>
      </w:r>
      <w:r>
        <w:rPr>
          <w:rFonts w:hint="eastAsia"/>
          <w:color w:val="auto"/>
          <w:highlight w:val="none"/>
          <w:lang w:val="en-US" w:eastAsia="zh-CN"/>
        </w:rPr>
        <w:t>35</w:t>
      </w:r>
      <w:r>
        <w:rPr>
          <w:color w:val="auto"/>
          <w:highlight w:val="none"/>
        </w:rPr>
        <w:t xml:space="preserve"> 万元</w:t>
      </w:r>
    </w:p>
    <w:p w14:paraId="0DA0372E">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3</w:t>
      </w:r>
      <w:r>
        <w:rPr>
          <w:rFonts w:eastAsia="黑体"/>
          <w:b/>
          <w:bCs/>
          <w:color w:val="auto"/>
          <w:sz w:val="24"/>
          <w:highlight w:val="none"/>
        </w:rPr>
        <w:t>.需要补充的其他内容</w:t>
      </w:r>
    </w:p>
    <w:p w14:paraId="1AEE7FFC">
      <w:pPr>
        <w:spacing w:line="360" w:lineRule="auto"/>
        <w:ind w:firstLine="420" w:firstLineChars="200"/>
        <w:textAlignment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.1本磋商文件解释规则详见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11002E4B">
      <w:pPr>
        <w:spacing w:line="360" w:lineRule="auto"/>
        <w:ind w:firstLine="420" w:firstLineChars="200"/>
        <w:textAlignment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.2 其他事项详见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14:paraId="74A9FB88">
      <w:pPr>
        <w:spacing w:line="360" w:lineRule="auto"/>
        <w:ind w:firstLine="420" w:firstLineChars="200"/>
        <w:textAlignment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宋体" w:hAnsi="宋体" w:cs="宋体"/>
          <w:color w:val="auto"/>
          <w:szCs w:val="21"/>
          <w:highlight w:val="none"/>
        </w:rPr>
        <w:t>在工程采购项目中，工程由中小企业承建，即工程施工单位为中小企业，不对其中涉及的货物的制造商和服务的承接商作出要求</w:t>
      </w:r>
      <w:r>
        <w:rPr>
          <w:color w:val="auto"/>
          <w:szCs w:val="21"/>
          <w:highlight w:val="none"/>
        </w:rPr>
        <w:t>。</w:t>
      </w:r>
    </w:p>
    <w:p w14:paraId="6F8A8973">
      <w:pPr>
        <w:spacing w:line="360" w:lineRule="auto"/>
        <w:ind w:firstLine="420" w:firstLineChars="200"/>
        <w:textAlignment w:val="center"/>
        <w:rPr>
          <w:color w:val="auto"/>
          <w:szCs w:val="21"/>
          <w:highlight w:val="none"/>
        </w:rPr>
      </w:pPr>
      <w:r>
        <w:rPr>
          <w:color w:val="auto"/>
          <w:szCs w:val="21"/>
          <w:highlight w:val="none"/>
        </w:rPr>
        <w:t>以联合体形式参加政府采购活动，联合体各方均为中小企业的，联合体视同中小企业。其中，联合体各方均为小微企业的，联合体视同小微企业。</w:t>
      </w:r>
    </w:p>
    <w:p w14:paraId="79C41C5D">
      <w:pPr>
        <w:pStyle w:val="7"/>
        <w:rPr>
          <w:color w:val="auto"/>
          <w:szCs w:val="21"/>
          <w:highlight w:val="none"/>
        </w:rPr>
      </w:pPr>
      <w:r>
        <w:rPr>
          <w:color w:val="auto"/>
          <w:szCs w:val="21"/>
          <w:highlight w:val="none"/>
        </w:rPr>
        <w:t>依据本文件规定享受扶持政策获得政府采购合同的，小微企业不得将合同分包给大中型企业，中型企业不得将合同分包给大型企业。</w:t>
      </w:r>
    </w:p>
    <w:p w14:paraId="72A35BB5">
      <w:pPr>
        <w:pStyle w:val="7"/>
        <w:rPr>
          <w:color w:val="auto"/>
          <w:szCs w:val="21"/>
          <w:highlight w:val="none"/>
        </w:rPr>
      </w:pPr>
    </w:p>
    <w:p w14:paraId="1BE5715E">
      <w:pPr>
        <w:pStyle w:val="7"/>
        <w:rPr>
          <w:color w:val="auto"/>
          <w:szCs w:val="21"/>
          <w:highlight w:val="none"/>
        </w:rPr>
      </w:pPr>
    </w:p>
    <w:p w14:paraId="51330679">
      <w:pPr>
        <w:pStyle w:val="7"/>
        <w:rPr>
          <w:color w:val="auto"/>
          <w:szCs w:val="21"/>
          <w:highlight w:val="none"/>
        </w:rPr>
      </w:pPr>
    </w:p>
    <w:p w14:paraId="607BDF40">
      <w:pPr>
        <w:pStyle w:val="7"/>
        <w:rPr>
          <w:color w:val="auto"/>
          <w:szCs w:val="21"/>
          <w:highlight w:val="none"/>
        </w:rPr>
      </w:pPr>
    </w:p>
    <w:p w14:paraId="28949093">
      <w:pPr>
        <w:pStyle w:val="7"/>
        <w:rPr>
          <w:color w:val="auto"/>
          <w:szCs w:val="21"/>
          <w:highlight w:val="none"/>
        </w:rPr>
      </w:pPr>
    </w:p>
    <w:p w14:paraId="7FCB3515">
      <w:pPr>
        <w:pStyle w:val="7"/>
        <w:rPr>
          <w:color w:val="auto"/>
          <w:szCs w:val="21"/>
          <w:highlight w:val="none"/>
        </w:rPr>
      </w:pPr>
    </w:p>
    <w:p w14:paraId="7A423366">
      <w:pPr>
        <w:spacing w:line="360" w:lineRule="auto"/>
        <w:ind w:firstLine="480" w:firstLineChars="200"/>
        <w:rPr>
          <w:color w:val="auto"/>
          <w:sz w:val="24"/>
          <w:highlight w:val="none"/>
        </w:rPr>
      </w:pPr>
      <w:r>
        <w:rPr>
          <w:color w:val="auto"/>
          <w:sz w:val="24"/>
          <w:highlight w:val="none"/>
        </w:rPr>
        <w:t>35. 广西线上</w:t>
      </w:r>
      <w:r>
        <w:rPr>
          <w:rFonts w:hint="eastAsia"/>
          <w:color w:val="auto"/>
          <w:sz w:val="24"/>
          <w:highlight w:val="none"/>
          <w:lang w:eastAsia="zh-CN"/>
        </w:rPr>
        <w:t>“</w:t>
      </w:r>
      <w:r>
        <w:rPr>
          <w:color w:val="auto"/>
          <w:sz w:val="24"/>
          <w:highlight w:val="none"/>
        </w:rPr>
        <w:t>政采贷</w:t>
      </w:r>
      <w:r>
        <w:rPr>
          <w:rFonts w:hint="eastAsia"/>
          <w:color w:val="auto"/>
          <w:sz w:val="24"/>
          <w:highlight w:val="none"/>
          <w:lang w:eastAsia="zh-CN"/>
        </w:rPr>
        <w:t>”</w:t>
      </w:r>
      <w:r>
        <w:rPr>
          <w:color w:val="auto"/>
          <w:sz w:val="24"/>
          <w:highlight w:val="none"/>
        </w:rPr>
        <w:t>政策告知函</w:t>
      </w:r>
    </w:p>
    <w:p w14:paraId="0786D333">
      <w:pPr>
        <w:spacing w:line="580" w:lineRule="exact"/>
        <w:jc w:val="center"/>
        <w:rPr>
          <w:color w:val="auto"/>
          <w:sz w:val="32"/>
          <w:szCs w:val="32"/>
          <w:highlight w:val="none"/>
        </w:rPr>
      </w:pPr>
    </w:p>
    <w:p w14:paraId="2023C1F4">
      <w:pPr>
        <w:spacing w:line="580" w:lineRule="exact"/>
        <w:jc w:val="center"/>
        <w:rPr>
          <w:color w:val="auto"/>
          <w:sz w:val="32"/>
          <w:szCs w:val="32"/>
          <w:highlight w:val="none"/>
        </w:rPr>
      </w:pPr>
      <w:r>
        <w:rPr>
          <w:color w:val="auto"/>
          <w:sz w:val="32"/>
          <w:szCs w:val="32"/>
          <w:highlight w:val="none"/>
        </w:rPr>
        <w:t>广西线上</w:t>
      </w:r>
      <w:r>
        <w:rPr>
          <w:rFonts w:hint="eastAsia"/>
          <w:color w:val="auto"/>
          <w:sz w:val="32"/>
          <w:szCs w:val="32"/>
          <w:highlight w:val="none"/>
          <w:lang w:eastAsia="zh-CN"/>
        </w:rPr>
        <w:t>“</w:t>
      </w:r>
      <w:r>
        <w:rPr>
          <w:color w:val="auto"/>
          <w:sz w:val="32"/>
          <w:szCs w:val="32"/>
          <w:highlight w:val="none"/>
        </w:rPr>
        <w:t>政采贷</w:t>
      </w:r>
      <w:r>
        <w:rPr>
          <w:rFonts w:hint="eastAsia"/>
          <w:color w:val="auto"/>
          <w:sz w:val="32"/>
          <w:szCs w:val="32"/>
          <w:highlight w:val="none"/>
          <w:lang w:eastAsia="zh-CN"/>
        </w:rPr>
        <w:t>”</w:t>
      </w:r>
      <w:r>
        <w:rPr>
          <w:color w:val="auto"/>
          <w:sz w:val="32"/>
          <w:szCs w:val="32"/>
          <w:highlight w:val="none"/>
        </w:rPr>
        <w:t>政策告知函</w:t>
      </w:r>
    </w:p>
    <w:p w14:paraId="71E60487">
      <w:pPr>
        <w:spacing w:line="580" w:lineRule="exact"/>
        <w:ind w:firstLine="420" w:firstLineChars="200"/>
        <w:rPr>
          <w:color w:val="auto"/>
          <w:szCs w:val="32"/>
          <w:highlight w:val="none"/>
        </w:rPr>
      </w:pPr>
    </w:p>
    <w:p w14:paraId="2EC47F2F">
      <w:pPr>
        <w:spacing w:line="580" w:lineRule="exact"/>
        <w:rPr>
          <w:color w:val="auto"/>
          <w:szCs w:val="21"/>
          <w:highlight w:val="none"/>
        </w:rPr>
      </w:pPr>
      <w:r>
        <w:rPr>
          <w:color w:val="auto"/>
          <w:szCs w:val="21"/>
          <w:highlight w:val="none"/>
        </w:rPr>
        <w:t>各供应商：</w:t>
      </w:r>
    </w:p>
    <w:p w14:paraId="67F8A2AF">
      <w:pPr>
        <w:spacing w:line="580" w:lineRule="exact"/>
        <w:ind w:firstLine="420" w:firstLineChars="200"/>
        <w:rPr>
          <w:color w:val="auto"/>
          <w:szCs w:val="21"/>
          <w:highlight w:val="none"/>
        </w:rPr>
      </w:pPr>
      <w:r>
        <w:rPr>
          <w:color w:val="auto"/>
          <w:szCs w:val="21"/>
          <w:highlight w:val="none"/>
        </w:rPr>
        <w:t>欢迎贵公司参与广西政府采购活动！</w:t>
      </w:r>
    </w:p>
    <w:p w14:paraId="20D1BDC2">
      <w:pPr>
        <w:spacing w:line="580" w:lineRule="exact"/>
        <w:ind w:firstLine="420" w:firstLineChars="200"/>
        <w:rPr>
          <w:color w:val="auto"/>
          <w:szCs w:val="21"/>
          <w:highlight w:val="none"/>
        </w:rPr>
      </w:pPr>
      <w:r>
        <w:rPr>
          <w:color w:val="auto"/>
          <w:szCs w:val="21"/>
          <w:highlight w:val="none"/>
        </w:rPr>
        <w:t>线上</w:t>
      </w:r>
      <w:r>
        <w:rPr>
          <w:rFonts w:hint="eastAsia"/>
          <w:color w:val="auto"/>
          <w:szCs w:val="21"/>
          <w:highlight w:val="none"/>
          <w:lang w:eastAsia="zh-CN"/>
        </w:rPr>
        <w:t>“</w:t>
      </w:r>
      <w:r>
        <w:rPr>
          <w:color w:val="auto"/>
          <w:szCs w:val="21"/>
          <w:highlight w:val="none"/>
        </w:rPr>
        <w:t>政采贷</w:t>
      </w:r>
      <w:r>
        <w:rPr>
          <w:rFonts w:hint="eastAsia"/>
          <w:color w:val="auto"/>
          <w:szCs w:val="21"/>
          <w:highlight w:val="none"/>
          <w:lang w:eastAsia="zh-CN"/>
        </w:rPr>
        <w:t>”</w:t>
      </w:r>
      <w:r>
        <w:rPr>
          <w:color w:val="auto"/>
          <w:szCs w:val="21"/>
          <w:highlight w:val="none"/>
        </w:rPr>
        <w:t>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w:t>
      </w:r>
      <w:r>
        <w:rPr>
          <w:rFonts w:hint="eastAsia"/>
          <w:color w:val="auto"/>
          <w:szCs w:val="21"/>
          <w:highlight w:val="none"/>
          <w:lang w:eastAsia="zh-CN"/>
        </w:rPr>
        <w:t>“</w:t>
      </w:r>
      <w:r>
        <w:rPr>
          <w:color w:val="auto"/>
          <w:szCs w:val="21"/>
          <w:highlight w:val="none"/>
        </w:rPr>
        <w:t>政采贷</w:t>
      </w:r>
      <w:r>
        <w:rPr>
          <w:rFonts w:hint="eastAsia"/>
          <w:color w:val="auto"/>
          <w:szCs w:val="21"/>
          <w:highlight w:val="none"/>
          <w:lang w:eastAsia="zh-CN"/>
        </w:rPr>
        <w:t>”</w:t>
      </w:r>
      <w:r>
        <w:rPr>
          <w:color w:val="auto"/>
          <w:szCs w:val="21"/>
          <w:highlight w:val="none"/>
        </w:rPr>
        <w:t>融资模式的通知》（南宁银发〔2021〕258号），按照双方自愿的原则提供便捷、优惠的贷款服务。</w:t>
      </w:r>
    </w:p>
    <w:p w14:paraId="3770D959">
      <w:pPr>
        <w:spacing w:line="580" w:lineRule="exact"/>
        <w:ind w:firstLine="420" w:firstLineChars="200"/>
        <w:rPr>
          <w:rFonts w:hint="eastAsia" w:ascii="宋体" w:hAnsi="宋体" w:cs="宋体"/>
          <w:color w:val="auto"/>
          <w:szCs w:val="21"/>
          <w:highlight w:val="none"/>
        </w:rPr>
      </w:pPr>
      <w:r>
        <w:rPr>
          <w:color w:val="auto"/>
          <w:szCs w:val="21"/>
          <w:highlight w:val="none"/>
        </w:rPr>
        <w:t>相关金融产品和银行业金融机构联系方式，可在中征应收账款融资服务平台查询（网址：</w:t>
      </w:r>
      <w:r>
        <w:rPr>
          <w:color w:val="auto"/>
          <w:szCs w:val="21"/>
          <w:highlight w:val="none"/>
        </w:rPr>
        <w:fldChar w:fldCharType="begin"/>
      </w:r>
      <w:r>
        <w:rPr>
          <w:color w:val="auto"/>
          <w:szCs w:val="21"/>
          <w:highlight w:val="none"/>
        </w:rPr>
        <w:instrText xml:space="preserve"> HYPERLINK "https://www.crcrfsp.com/" </w:instrText>
      </w:r>
      <w:r>
        <w:rPr>
          <w:color w:val="auto"/>
          <w:szCs w:val="21"/>
          <w:highlight w:val="none"/>
        </w:rPr>
        <w:fldChar w:fldCharType="separate"/>
      </w:r>
      <w:r>
        <w:rPr>
          <w:rStyle w:val="34"/>
          <w:color w:val="auto"/>
          <w:szCs w:val="21"/>
          <w:highlight w:val="none"/>
        </w:rPr>
        <w:t>https://www.crcrfsp.com/</w:t>
      </w:r>
      <w:r>
        <w:rPr>
          <w:color w:val="auto"/>
          <w:szCs w:val="21"/>
          <w:highlight w:val="none"/>
        </w:rPr>
        <w:fldChar w:fldCharType="end"/>
      </w:r>
      <w:r>
        <w:rPr>
          <w:color w:val="auto"/>
          <w:szCs w:val="21"/>
          <w:highlight w:val="none"/>
        </w:rPr>
        <w:t>，客服电话：400-009-0001）。</w:t>
      </w:r>
    </w:p>
    <w:p w14:paraId="0DFAD202">
      <w:pPr>
        <w:pStyle w:val="20"/>
        <w:rPr>
          <w:rFonts w:hint="eastAsia" w:ascii="宋体" w:hAnsi="宋体" w:cs="宋体"/>
          <w:color w:val="auto"/>
          <w:szCs w:val="21"/>
          <w:highlight w:val="none"/>
          <w:lang w:eastAsia="zh-CN"/>
        </w:rPr>
      </w:pPr>
    </w:p>
    <w:p w14:paraId="732B7CD5">
      <w:pPr>
        <w:pStyle w:val="20"/>
        <w:rPr>
          <w:rFonts w:hint="eastAsia" w:ascii="宋体" w:hAnsi="宋体" w:cs="宋体"/>
          <w:color w:val="auto"/>
          <w:szCs w:val="21"/>
          <w:highlight w:val="none"/>
          <w:lang w:eastAsia="zh-CN"/>
        </w:rPr>
      </w:pPr>
    </w:p>
    <w:p w14:paraId="0D15C180">
      <w:pPr>
        <w:pStyle w:val="20"/>
        <w:rPr>
          <w:rFonts w:hint="eastAsia" w:ascii="宋体" w:hAnsi="宋体" w:cs="宋体"/>
          <w:color w:val="auto"/>
          <w:szCs w:val="21"/>
          <w:highlight w:val="none"/>
          <w:lang w:eastAsia="zh-CN"/>
        </w:rPr>
      </w:pPr>
    </w:p>
    <w:p w14:paraId="6B5F1065">
      <w:pPr>
        <w:pStyle w:val="20"/>
        <w:rPr>
          <w:rFonts w:hint="eastAsia" w:ascii="宋体" w:hAnsi="宋体" w:cs="宋体"/>
          <w:color w:val="auto"/>
          <w:szCs w:val="21"/>
          <w:highlight w:val="none"/>
          <w:lang w:eastAsia="zh-CN"/>
        </w:rPr>
      </w:pPr>
    </w:p>
    <w:p w14:paraId="42A56134">
      <w:pPr>
        <w:pStyle w:val="2"/>
        <w:spacing w:line="360" w:lineRule="auto"/>
        <w:jc w:val="center"/>
        <w:rPr>
          <w:rFonts w:hint="eastAsia" w:ascii="Calibri" w:hAnsi="Calibri"/>
          <w:color w:val="auto"/>
          <w:highlight w:val="none"/>
        </w:rPr>
      </w:pPr>
      <w:bookmarkStart w:id="109" w:name="_Toc3879"/>
      <w:bookmarkStart w:id="110" w:name="_Toc8593"/>
      <w:bookmarkStart w:id="111" w:name="_Toc4028"/>
      <w:bookmarkStart w:id="112" w:name="_Toc29100"/>
      <w:bookmarkStart w:id="113" w:name="_Toc28979"/>
      <w:bookmarkStart w:id="114" w:name="_Toc17511"/>
      <w:bookmarkStart w:id="115" w:name="_Toc80886937"/>
      <w:bookmarkStart w:id="116" w:name="_Toc8412"/>
      <w:r>
        <w:rPr>
          <w:rFonts w:hint="eastAsia" w:ascii="Calibri" w:hAnsi="Calibri"/>
          <w:color w:val="auto"/>
          <w:highlight w:val="none"/>
        </w:rPr>
        <w:t>第四章  评审程序、评审方法和评审标准</w:t>
      </w:r>
      <w:bookmarkEnd w:id="109"/>
      <w:bookmarkEnd w:id="110"/>
      <w:bookmarkEnd w:id="111"/>
      <w:bookmarkEnd w:id="112"/>
      <w:bookmarkEnd w:id="113"/>
      <w:bookmarkEnd w:id="114"/>
      <w:bookmarkEnd w:id="115"/>
      <w:bookmarkEnd w:id="116"/>
    </w:p>
    <w:p w14:paraId="61A12566">
      <w:pPr>
        <w:pStyle w:val="3"/>
        <w:spacing w:line="360" w:lineRule="auto"/>
        <w:jc w:val="center"/>
        <w:rPr>
          <w:rFonts w:hint="eastAsia" w:ascii="宋体" w:hAnsi="宋体"/>
          <w:b w:val="0"/>
          <w:color w:val="auto"/>
          <w:highlight w:val="none"/>
        </w:rPr>
      </w:pPr>
      <w:bookmarkStart w:id="117" w:name="_Toc80886938"/>
      <w:bookmarkStart w:id="118" w:name="_Toc11607"/>
      <w:bookmarkStart w:id="119" w:name="_Toc17424"/>
      <w:r>
        <w:rPr>
          <w:rFonts w:hint="eastAsia" w:ascii="宋体" w:hAnsi="宋体"/>
          <w:b w:val="0"/>
          <w:color w:val="auto"/>
          <w:highlight w:val="none"/>
        </w:rPr>
        <w:t>第一节 评审程序和评审方法</w:t>
      </w:r>
      <w:bookmarkEnd w:id="117"/>
      <w:bookmarkEnd w:id="118"/>
      <w:bookmarkEnd w:id="119"/>
    </w:p>
    <w:p w14:paraId="1DCBB77E">
      <w:pPr>
        <w:spacing w:line="360" w:lineRule="auto"/>
        <w:ind w:firstLine="482" w:firstLineChars="200"/>
        <w:rPr>
          <w:rFonts w:eastAsia="黑体"/>
          <w:b/>
          <w:bCs/>
          <w:color w:val="auto"/>
          <w:sz w:val="24"/>
          <w:highlight w:val="none"/>
        </w:rPr>
      </w:pPr>
      <w:r>
        <w:rPr>
          <w:rFonts w:eastAsia="黑体"/>
          <w:b/>
          <w:bCs/>
          <w:color w:val="auto"/>
          <w:sz w:val="24"/>
          <w:highlight w:val="none"/>
        </w:rPr>
        <w:t>1.确认磋商文件</w:t>
      </w:r>
    </w:p>
    <w:p w14:paraId="774AB1D6">
      <w:pPr>
        <w:spacing w:line="360" w:lineRule="auto"/>
        <w:ind w:firstLine="420" w:firstLineChars="200"/>
        <w:rPr>
          <w:color w:val="auto"/>
          <w:szCs w:val="21"/>
          <w:highlight w:val="none"/>
        </w:rPr>
      </w:pPr>
      <w:r>
        <w:rPr>
          <w:color w:val="auto"/>
          <w:szCs w:val="21"/>
          <w:highlight w:val="none"/>
        </w:rPr>
        <w:t>由磋商小组确认磋商文件。</w:t>
      </w:r>
    </w:p>
    <w:p w14:paraId="0C282353">
      <w:pPr>
        <w:spacing w:line="360" w:lineRule="auto"/>
        <w:ind w:firstLine="482" w:firstLineChars="200"/>
        <w:rPr>
          <w:rFonts w:eastAsia="黑体"/>
          <w:b/>
          <w:bCs/>
          <w:color w:val="auto"/>
          <w:sz w:val="24"/>
          <w:highlight w:val="none"/>
        </w:rPr>
      </w:pPr>
      <w:r>
        <w:rPr>
          <w:rFonts w:eastAsia="黑体"/>
          <w:b/>
          <w:bCs/>
          <w:color w:val="auto"/>
          <w:sz w:val="24"/>
          <w:highlight w:val="none"/>
        </w:rPr>
        <w:t>2.资格审查</w:t>
      </w:r>
    </w:p>
    <w:p w14:paraId="56757AB7">
      <w:pPr>
        <w:snapToGrid w:val="0"/>
        <w:spacing w:line="360" w:lineRule="auto"/>
        <w:ind w:firstLine="420" w:firstLineChars="200"/>
        <w:rPr>
          <w:color w:val="auto"/>
          <w:szCs w:val="21"/>
          <w:highlight w:val="none"/>
        </w:rPr>
      </w:pPr>
      <w:r>
        <w:rPr>
          <w:color w:val="auto"/>
          <w:szCs w:val="21"/>
          <w:highlight w:val="none"/>
        </w:rPr>
        <w:t>2.1响应文件开启后，磋商小组依法对供应商的资格证明文件进行审查。</w:t>
      </w:r>
    </w:p>
    <w:p w14:paraId="609CFB77">
      <w:pPr>
        <w:snapToGrid w:val="0"/>
        <w:spacing w:line="360" w:lineRule="auto"/>
        <w:ind w:firstLine="420" w:firstLineChars="200"/>
        <w:rPr>
          <w:color w:val="auto"/>
          <w:szCs w:val="21"/>
          <w:highlight w:val="none"/>
        </w:rPr>
      </w:pPr>
      <w:r>
        <w:rPr>
          <w:color w:val="auto"/>
          <w:szCs w:val="21"/>
          <w:highlight w:val="none"/>
        </w:rPr>
        <w:t>注：采购人代表或者采购代理机构在资格审查结束前，对供应商进行信用查询。</w:t>
      </w:r>
    </w:p>
    <w:p w14:paraId="3B3BCFB5">
      <w:pPr>
        <w:snapToGrid w:val="0"/>
        <w:spacing w:line="360" w:lineRule="auto"/>
        <w:ind w:firstLine="420" w:firstLineChars="200"/>
        <w:jc w:val="left"/>
        <w:rPr>
          <w:color w:val="auto"/>
          <w:szCs w:val="21"/>
          <w:highlight w:val="none"/>
        </w:rPr>
      </w:pPr>
      <w:r>
        <w:rPr>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r>
        <w:rPr>
          <w:color w:val="auto"/>
          <w:szCs w:val="21"/>
          <w:highlight w:val="none"/>
        </w:rPr>
        <w:t>。</w:t>
      </w:r>
    </w:p>
    <w:p w14:paraId="6C3C988A">
      <w:pPr>
        <w:snapToGrid w:val="0"/>
        <w:spacing w:line="360" w:lineRule="auto"/>
        <w:ind w:firstLine="420" w:firstLineChars="200"/>
        <w:rPr>
          <w:color w:val="auto"/>
          <w:szCs w:val="21"/>
          <w:highlight w:val="none"/>
        </w:rPr>
      </w:pPr>
      <w:r>
        <w:rPr>
          <w:color w:val="auto"/>
          <w:szCs w:val="21"/>
          <w:highlight w:val="none"/>
        </w:rPr>
        <w:t>（2）信用查询截止时点：资格审查结束前。</w:t>
      </w:r>
    </w:p>
    <w:p w14:paraId="54EC6C4C">
      <w:pPr>
        <w:snapToGrid w:val="0"/>
        <w:spacing w:line="360" w:lineRule="auto"/>
        <w:ind w:firstLine="420" w:firstLineChars="200"/>
        <w:rPr>
          <w:color w:val="auto"/>
          <w:szCs w:val="21"/>
          <w:highlight w:val="none"/>
        </w:rPr>
      </w:pPr>
      <w:r>
        <w:rPr>
          <w:color w:val="auto"/>
          <w:szCs w:val="21"/>
          <w:highlight w:val="none"/>
        </w:rPr>
        <w:t>查询记录和证据留存方式：在查询网站中直接打印查询记录，截图另存为电子文档作为评审资料保存。</w:t>
      </w:r>
    </w:p>
    <w:p w14:paraId="0CA6DCCE">
      <w:pPr>
        <w:spacing w:line="360" w:lineRule="auto"/>
        <w:ind w:firstLine="420" w:firstLineChars="200"/>
        <w:rPr>
          <w:color w:val="auto"/>
          <w:szCs w:val="21"/>
          <w:highlight w:val="none"/>
        </w:rPr>
      </w:pPr>
      <w:r>
        <w:rPr>
          <w:color w:val="auto"/>
          <w:szCs w:val="21"/>
          <w:highlight w:val="none"/>
        </w:rPr>
        <w:t>（3）信用信息使用规则：对在</w:t>
      </w:r>
      <w:r>
        <w:rPr>
          <w:rFonts w:hint="eastAsia"/>
          <w:color w:val="auto"/>
          <w:szCs w:val="21"/>
          <w:highlight w:val="none"/>
          <w:lang w:eastAsia="zh-CN"/>
        </w:rPr>
        <w:t>“</w:t>
      </w:r>
      <w:r>
        <w:rPr>
          <w:color w:val="auto"/>
          <w:szCs w:val="21"/>
          <w:highlight w:val="none"/>
        </w:rPr>
        <w:t>信用中国</w:t>
      </w:r>
      <w:r>
        <w:rPr>
          <w:rFonts w:hint="eastAsia"/>
          <w:color w:val="auto"/>
          <w:szCs w:val="21"/>
          <w:highlight w:val="none"/>
          <w:lang w:eastAsia="zh-CN"/>
        </w:rPr>
        <w:t>”</w:t>
      </w:r>
      <w:r>
        <w:rPr>
          <w:color w:val="auto"/>
          <w:szCs w:val="21"/>
          <w:highlight w:val="none"/>
        </w:rPr>
        <w:t>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CFDF36">
      <w:pPr>
        <w:spacing w:line="360" w:lineRule="auto"/>
        <w:ind w:firstLine="420" w:firstLineChars="200"/>
        <w:rPr>
          <w:color w:val="auto"/>
          <w:szCs w:val="21"/>
          <w:highlight w:val="none"/>
        </w:rPr>
      </w:pPr>
      <w:r>
        <w:rPr>
          <w:color w:val="auto"/>
          <w:szCs w:val="21"/>
          <w:highlight w:val="none"/>
        </w:rPr>
        <w:t>2.2资格审查标准为本磋商文件中载明对供应商资格要求的条件。资格审查采用合格制，凡符合磋商文件规定的供应商资格要求的响应文件均通过资格审查。</w:t>
      </w:r>
    </w:p>
    <w:p w14:paraId="46718B30">
      <w:pPr>
        <w:spacing w:line="360" w:lineRule="auto"/>
        <w:ind w:firstLine="422" w:firstLineChars="200"/>
        <w:rPr>
          <w:b/>
          <w:bCs/>
          <w:color w:val="auto"/>
          <w:szCs w:val="21"/>
          <w:highlight w:val="none"/>
        </w:rPr>
      </w:pPr>
      <w:r>
        <w:rPr>
          <w:b/>
          <w:bCs/>
          <w:color w:val="auto"/>
          <w:szCs w:val="21"/>
          <w:highlight w:val="none"/>
        </w:rPr>
        <w:t>2.3供应商有下列情形之一的，资格审查不通过，其响应文件按无效响应处理：</w:t>
      </w:r>
    </w:p>
    <w:p w14:paraId="0CA4F720">
      <w:pPr>
        <w:snapToGrid w:val="0"/>
        <w:spacing w:line="360" w:lineRule="auto"/>
        <w:ind w:firstLine="420" w:firstLineChars="200"/>
        <w:rPr>
          <w:color w:val="auto"/>
          <w:szCs w:val="21"/>
          <w:highlight w:val="none"/>
        </w:rPr>
      </w:pPr>
      <w:r>
        <w:rPr>
          <w:color w:val="auto"/>
          <w:szCs w:val="21"/>
          <w:highlight w:val="none"/>
        </w:rPr>
        <w:t>（1）不具备磋商文件中规定的资格要求的；</w:t>
      </w:r>
    </w:p>
    <w:p w14:paraId="5BE39686">
      <w:pPr>
        <w:spacing w:line="360" w:lineRule="auto"/>
        <w:ind w:firstLine="420" w:firstLineChars="200"/>
        <w:rPr>
          <w:color w:val="auto"/>
          <w:szCs w:val="21"/>
          <w:highlight w:val="none"/>
        </w:rPr>
      </w:pPr>
      <w:r>
        <w:rPr>
          <w:color w:val="auto"/>
          <w:szCs w:val="21"/>
          <w:highlight w:val="none"/>
        </w:rPr>
        <w:t>（2）响应文件未提供任一项</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资格证明文件规定的</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的文件资料的；</w:t>
      </w:r>
    </w:p>
    <w:p w14:paraId="60C527BB">
      <w:pPr>
        <w:spacing w:line="360" w:lineRule="auto"/>
        <w:ind w:firstLine="420" w:firstLineChars="200"/>
        <w:rPr>
          <w:color w:val="auto"/>
          <w:szCs w:val="21"/>
          <w:highlight w:val="none"/>
        </w:rPr>
      </w:pPr>
      <w:r>
        <w:rPr>
          <w:color w:val="auto"/>
          <w:szCs w:val="21"/>
          <w:highlight w:val="none"/>
        </w:rPr>
        <w:t>（3）响应文件提供的资格证明文件出现任一项不符合</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资格证明文件规定的</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的文件资料要求或者无效的。</w:t>
      </w:r>
    </w:p>
    <w:p w14:paraId="40EE23EC">
      <w:pPr>
        <w:spacing w:line="360" w:lineRule="auto"/>
        <w:ind w:firstLine="420" w:firstLineChars="200"/>
        <w:rPr>
          <w:color w:val="auto"/>
          <w:szCs w:val="21"/>
          <w:highlight w:val="none"/>
        </w:rPr>
      </w:pPr>
      <w:bookmarkStart w:id="120" w:name="_Hlk68601553"/>
      <w:r>
        <w:rPr>
          <w:color w:val="auto"/>
          <w:szCs w:val="21"/>
          <w:highlight w:val="none"/>
        </w:rPr>
        <w:t>（4）同一合同项下的不同供应商，单位负责人为同一人或者存在直接控股、管理关系的；为本项目提供过整体设计、规范编制或者项目管理、监理、检测等服务的。</w:t>
      </w:r>
      <w:bookmarkEnd w:id="120"/>
    </w:p>
    <w:p w14:paraId="53A5789F">
      <w:pPr>
        <w:spacing w:line="360" w:lineRule="auto"/>
        <w:ind w:firstLine="420" w:firstLineChars="200"/>
        <w:rPr>
          <w:color w:val="auto"/>
          <w:szCs w:val="21"/>
          <w:highlight w:val="none"/>
        </w:rPr>
      </w:pPr>
      <w:r>
        <w:rPr>
          <w:color w:val="auto"/>
          <w:szCs w:val="21"/>
          <w:highlight w:val="none"/>
        </w:rPr>
        <w:t>2.4通过资格审查的合格供应商不足3家的，不得进入符合性审查环节，采购人或者采购代理机构应当重新开展采购活动。</w:t>
      </w:r>
    </w:p>
    <w:p w14:paraId="371AA5A5">
      <w:pPr>
        <w:spacing w:line="360" w:lineRule="auto"/>
        <w:ind w:firstLine="482" w:firstLineChars="200"/>
        <w:rPr>
          <w:rFonts w:eastAsia="黑体"/>
          <w:b/>
          <w:bCs/>
          <w:color w:val="auto"/>
          <w:sz w:val="24"/>
          <w:highlight w:val="none"/>
        </w:rPr>
      </w:pPr>
      <w:r>
        <w:rPr>
          <w:rFonts w:eastAsia="黑体"/>
          <w:b/>
          <w:bCs/>
          <w:color w:val="auto"/>
          <w:sz w:val="24"/>
          <w:highlight w:val="none"/>
        </w:rPr>
        <w:t>3.符合性审查</w:t>
      </w:r>
    </w:p>
    <w:p w14:paraId="35FAE040">
      <w:pPr>
        <w:spacing w:line="360" w:lineRule="auto"/>
        <w:ind w:firstLine="420" w:firstLineChars="200"/>
        <w:rPr>
          <w:color w:val="auto"/>
          <w:szCs w:val="21"/>
          <w:highlight w:val="none"/>
        </w:rPr>
      </w:pPr>
      <w:r>
        <w:rPr>
          <w:color w:val="auto"/>
          <w:szCs w:val="21"/>
          <w:highlight w:val="none"/>
        </w:rPr>
        <w:t>3.1由磋商小组对通过资格审查的合格供应商的响应文件的响应报价、商务、技术等实质性要求进行符合性审查，以确定其是否满足磋商文件的实质性要求。</w:t>
      </w:r>
    </w:p>
    <w:p w14:paraId="4F5CF952">
      <w:pPr>
        <w:spacing w:line="360" w:lineRule="auto"/>
        <w:ind w:firstLine="420" w:firstLineChars="200"/>
        <w:rPr>
          <w:color w:val="auto"/>
          <w:szCs w:val="21"/>
          <w:highlight w:val="none"/>
        </w:rPr>
      </w:pPr>
      <w:r>
        <w:rPr>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6CF874">
      <w:pPr>
        <w:spacing w:line="360" w:lineRule="auto"/>
        <w:ind w:firstLine="420" w:firstLineChars="200"/>
        <w:rPr>
          <w:color w:val="auto"/>
          <w:spacing w:val="-6"/>
          <w:szCs w:val="21"/>
          <w:highlight w:val="none"/>
        </w:rPr>
      </w:pPr>
      <w:r>
        <w:rPr>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color w:val="auto"/>
          <w:spacing w:val="-6"/>
          <w:szCs w:val="21"/>
          <w:highlight w:val="none"/>
        </w:rPr>
        <w:t>。供应商为自然人的，必须由本人签字并附身份证明。</w:t>
      </w:r>
    </w:p>
    <w:p w14:paraId="5089F4C4">
      <w:pPr>
        <w:spacing w:line="360" w:lineRule="auto"/>
        <w:ind w:firstLine="396" w:firstLineChars="200"/>
        <w:rPr>
          <w:color w:val="auto"/>
          <w:szCs w:val="21"/>
          <w:highlight w:val="none"/>
        </w:rPr>
      </w:pPr>
      <w:r>
        <w:rPr>
          <w:color w:val="auto"/>
          <w:spacing w:val="-6"/>
          <w:szCs w:val="21"/>
          <w:highlight w:val="none"/>
        </w:rPr>
        <w:t>3.4</w:t>
      </w:r>
      <w:r>
        <w:rPr>
          <w:color w:val="auto"/>
          <w:szCs w:val="21"/>
          <w:highlight w:val="none"/>
        </w:rPr>
        <w:t xml:space="preserve">首次响应文件报价出现前后不一致的，按照下列规定修正： </w:t>
      </w:r>
    </w:p>
    <w:p w14:paraId="76ED4139">
      <w:pPr>
        <w:spacing w:line="360" w:lineRule="auto"/>
        <w:ind w:firstLine="420" w:firstLineChars="200"/>
        <w:rPr>
          <w:color w:val="auto"/>
          <w:szCs w:val="21"/>
          <w:highlight w:val="none"/>
        </w:rPr>
      </w:pPr>
      <w:r>
        <w:rPr>
          <w:color w:val="auto"/>
          <w:szCs w:val="21"/>
          <w:highlight w:val="none"/>
        </w:rPr>
        <w:t>（1）响应文件中响应报价表内容与响应文件中相应内容不一致的，以响应报价表为准；</w:t>
      </w:r>
    </w:p>
    <w:p w14:paraId="0C3B20CF">
      <w:pPr>
        <w:spacing w:line="360" w:lineRule="auto"/>
        <w:ind w:firstLine="420" w:firstLineChars="200"/>
        <w:rPr>
          <w:color w:val="auto"/>
          <w:szCs w:val="21"/>
          <w:highlight w:val="none"/>
        </w:rPr>
      </w:pPr>
      <w:r>
        <w:rPr>
          <w:color w:val="auto"/>
          <w:szCs w:val="21"/>
          <w:highlight w:val="none"/>
        </w:rPr>
        <w:t>（2）大写金额和小写金额不一致的，以大写金额为准；</w:t>
      </w:r>
    </w:p>
    <w:p w14:paraId="6B44BB91">
      <w:pPr>
        <w:spacing w:line="360" w:lineRule="auto"/>
        <w:ind w:firstLine="420" w:firstLineChars="200"/>
        <w:rPr>
          <w:color w:val="auto"/>
          <w:szCs w:val="21"/>
          <w:highlight w:val="none"/>
        </w:rPr>
      </w:pPr>
      <w:r>
        <w:rPr>
          <w:color w:val="auto"/>
          <w:szCs w:val="21"/>
          <w:highlight w:val="none"/>
        </w:rPr>
        <w:t>（3）单价金额小数点或者百分比有明显错位的，以响应报价表的总价为准，并修改单价；</w:t>
      </w:r>
    </w:p>
    <w:p w14:paraId="1BBC6BA0">
      <w:pPr>
        <w:spacing w:line="360" w:lineRule="auto"/>
        <w:ind w:firstLine="420" w:firstLineChars="200"/>
        <w:rPr>
          <w:color w:val="auto"/>
          <w:szCs w:val="21"/>
          <w:highlight w:val="none"/>
        </w:rPr>
      </w:pPr>
      <w:r>
        <w:rPr>
          <w:color w:val="auto"/>
          <w:szCs w:val="21"/>
          <w:highlight w:val="none"/>
        </w:rPr>
        <w:t>（4）总价金额与按单价汇总金额不一致的，以单价金额计算结果为准。</w:t>
      </w:r>
    </w:p>
    <w:p w14:paraId="2D76ABEB">
      <w:pPr>
        <w:spacing w:line="360" w:lineRule="auto"/>
        <w:ind w:firstLine="420" w:firstLineChars="200"/>
        <w:rPr>
          <w:color w:val="auto"/>
          <w:szCs w:val="21"/>
          <w:highlight w:val="none"/>
        </w:rPr>
      </w:pPr>
      <w:r>
        <w:rPr>
          <w:color w:val="auto"/>
          <w:szCs w:val="21"/>
          <w:highlight w:val="none"/>
        </w:rPr>
        <w:t>同时出现两种以上不一致的，按照以上（1）-（4）规定的顺序逐条进行修正。修正后的报价经供应商确认后产生约束力，供应商不确认的，其响应文件按无效响应处理。</w:t>
      </w:r>
    </w:p>
    <w:p w14:paraId="25963F39">
      <w:pPr>
        <w:spacing w:line="360" w:lineRule="auto"/>
        <w:ind w:firstLine="420" w:firstLineChars="200"/>
        <w:rPr>
          <w:color w:val="auto"/>
          <w:szCs w:val="21"/>
          <w:highlight w:val="none"/>
        </w:rPr>
      </w:pPr>
      <w:r>
        <w:rPr>
          <w:color w:val="auto"/>
          <w:szCs w:val="21"/>
          <w:highlight w:val="none"/>
        </w:rPr>
        <w:t>3.5商务技术、报价评审</w:t>
      </w:r>
    </w:p>
    <w:p w14:paraId="6303EA35">
      <w:pPr>
        <w:spacing w:line="360" w:lineRule="auto"/>
        <w:ind w:firstLine="422" w:firstLineChars="200"/>
        <w:rPr>
          <w:b/>
          <w:bCs/>
          <w:color w:val="auto"/>
          <w:szCs w:val="21"/>
          <w:highlight w:val="none"/>
        </w:rPr>
      </w:pPr>
      <w:r>
        <w:rPr>
          <w:b/>
          <w:bCs/>
          <w:color w:val="auto"/>
          <w:szCs w:val="21"/>
          <w:highlight w:val="none"/>
        </w:rPr>
        <w:t>在评审时，如发现下列情形之一的，将被视为响应文件无效处理：</w:t>
      </w:r>
    </w:p>
    <w:p w14:paraId="3AAF8012">
      <w:pPr>
        <w:spacing w:line="360" w:lineRule="auto"/>
        <w:ind w:firstLine="420" w:firstLineChars="200"/>
        <w:rPr>
          <w:color w:val="auto"/>
          <w:szCs w:val="21"/>
          <w:highlight w:val="none"/>
        </w:rPr>
      </w:pPr>
      <w:r>
        <w:rPr>
          <w:color w:val="auto"/>
          <w:szCs w:val="21"/>
          <w:highlight w:val="none"/>
        </w:rPr>
        <w:t>（1）商务技术评审</w:t>
      </w:r>
    </w:p>
    <w:p w14:paraId="764B1D2F">
      <w:pPr>
        <w:spacing w:line="360" w:lineRule="auto"/>
        <w:ind w:firstLine="420" w:firstLineChars="200"/>
        <w:rPr>
          <w:color w:val="auto"/>
          <w:szCs w:val="21"/>
          <w:highlight w:val="none"/>
        </w:rPr>
      </w:pPr>
      <w:r>
        <w:rPr>
          <w:color w:val="auto"/>
          <w:szCs w:val="21"/>
          <w:highlight w:val="none"/>
        </w:rPr>
        <w:t>1）响应文件未按磋商文件要求签署、盖章；</w:t>
      </w:r>
    </w:p>
    <w:p w14:paraId="48542C1E">
      <w:pPr>
        <w:spacing w:line="360" w:lineRule="auto"/>
        <w:ind w:firstLine="420" w:firstLineChars="200"/>
        <w:rPr>
          <w:color w:val="auto"/>
          <w:szCs w:val="21"/>
          <w:highlight w:val="none"/>
        </w:rPr>
      </w:pPr>
      <w:r>
        <w:rPr>
          <w:color w:val="auto"/>
          <w:szCs w:val="21"/>
          <w:highlight w:val="none"/>
        </w:rPr>
        <w:t xml:space="preserve">2）委托代理人未能出具有效身份证明或者出具的身份证明与授权委托书中的信息不符； </w:t>
      </w:r>
    </w:p>
    <w:p w14:paraId="0E63587F">
      <w:pPr>
        <w:spacing w:line="360" w:lineRule="auto"/>
        <w:ind w:firstLine="420" w:firstLineChars="200"/>
        <w:rPr>
          <w:color w:val="auto"/>
          <w:szCs w:val="21"/>
          <w:highlight w:val="none"/>
        </w:rPr>
      </w:pPr>
      <w:r>
        <w:rPr>
          <w:color w:val="auto"/>
          <w:szCs w:val="21"/>
          <w:highlight w:val="none"/>
        </w:rPr>
        <w:t>3）响应文件未提供任一项</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 xml:space="preserve"> 商务技术文件中 </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或者</w:t>
      </w:r>
      <w:r>
        <w:rPr>
          <w:rFonts w:hint="eastAsia"/>
          <w:color w:val="auto"/>
          <w:szCs w:val="21"/>
          <w:highlight w:val="none"/>
          <w:lang w:eastAsia="zh-CN"/>
        </w:rPr>
        <w:t>“</w:t>
      </w:r>
      <w:r>
        <w:rPr>
          <w:color w:val="auto"/>
          <w:szCs w:val="21"/>
          <w:highlight w:val="none"/>
        </w:rPr>
        <w:t>委托时必须提供</w:t>
      </w:r>
      <w:r>
        <w:rPr>
          <w:rFonts w:hint="eastAsia"/>
          <w:color w:val="auto"/>
          <w:szCs w:val="21"/>
          <w:highlight w:val="none"/>
          <w:lang w:eastAsia="zh-CN"/>
        </w:rPr>
        <w:t>”</w:t>
      </w:r>
      <w:r>
        <w:rPr>
          <w:color w:val="auto"/>
          <w:szCs w:val="21"/>
          <w:highlight w:val="none"/>
        </w:rPr>
        <w:t>的文件资料；响应文件提供的商务技术文件出现任一项不符合</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 xml:space="preserve">商务技术文件中 </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或者</w:t>
      </w:r>
      <w:r>
        <w:rPr>
          <w:rFonts w:hint="eastAsia"/>
          <w:color w:val="auto"/>
          <w:szCs w:val="21"/>
          <w:highlight w:val="none"/>
          <w:lang w:eastAsia="zh-CN"/>
        </w:rPr>
        <w:t>“</w:t>
      </w:r>
      <w:r>
        <w:rPr>
          <w:color w:val="auto"/>
          <w:szCs w:val="21"/>
          <w:highlight w:val="none"/>
        </w:rPr>
        <w:t>委托时必须提供</w:t>
      </w:r>
      <w:r>
        <w:rPr>
          <w:rFonts w:hint="eastAsia"/>
          <w:color w:val="auto"/>
          <w:szCs w:val="21"/>
          <w:highlight w:val="none"/>
          <w:lang w:eastAsia="zh-CN"/>
        </w:rPr>
        <w:t>”</w:t>
      </w:r>
      <w:r>
        <w:rPr>
          <w:color w:val="auto"/>
          <w:szCs w:val="21"/>
          <w:highlight w:val="none"/>
        </w:rPr>
        <w:t>文件资料要求的规定或者提供的商务技术文件无效。</w:t>
      </w:r>
    </w:p>
    <w:p w14:paraId="3AF8C8A3">
      <w:pPr>
        <w:spacing w:line="360" w:lineRule="auto"/>
        <w:ind w:firstLine="420" w:firstLineChars="200"/>
        <w:rPr>
          <w:color w:val="auto"/>
          <w:szCs w:val="21"/>
          <w:highlight w:val="none"/>
        </w:rPr>
      </w:pPr>
      <w:r>
        <w:rPr>
          <w:color w:val="auto"/>
          <w:szCs w:val="21"/>
          <w:highlight w:val="none"/>
        </w:rPr>
        <w:t>4）商务条款中标</w:t>
      </w:r>
      <w:r>
        <w:rPr>
          <w:rFonts w:hint="eastAsia"/>
          <w:color w:val="auto"/>
          <w:szCs w:val="21"/>
          <w:highlight w:val="none"/>
          <w:lang w:eastAsia="zh-CN"/>
        </w:rPr>
        <w:t>“</w:t>
      </w:r>
      <w:r>
        <w:rPr>
          <w:color w:val="auto"/>
          <w:szCs w:val="21"/>
          <w:highlight w:val="none"/>
        </w:rPr>
        <w:t>▲</w:t>
      </w:r>
      <w:r>
        <w:rPr>
          <w:rFonts w:hint="eastAsia"/>
          <w:color w:val="auto"/>
          <w:szCs w:val="21"/>
          <w:highlight w:val="none"/>
          <w:lang w:eastAsia="zh-CN"/>
        </w:rPr>
        <w:t>”</w:t>
      </w:r>
      <w:r>
        <w:rPr>
          <w:color w:val="auto"/>
          <w:szCs w:val="21"/>
          <w:highlight w:val="none"/>
        </w:rPr>
        <w:t>的条款发生负偏离的或者允许负偏离的条款数超过</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规定项数的或者标明实质性的要求发生负偏离；</w:t>
      </w:r>
    </w:p>
    <w:p w14:paraId="0E90D517">
      <w:pPr>
        <w:spacing w:line="360" w:lineRule="auto"/>
        <w:ind w:firstLine="420" w:firstLineChars="200"/>
        <w:rPr>
          <w:color w:val="auto"/>
          <w:szCs w:val="21"/>
          <w:highlight w:val="none"/>
        </w:rPr>
      </w:pPr>
      <w:r>
        <w:rPr>
          <w:color w:val="auto"/>
          <w:szCs w:val="21"/>
          <w:highlight w:val="none"/>
        </w:rPr>
        <w:t>5）未对竞标有效期作出响应或者响应文件承诺的竞标有效期不满足磋商文件要求；</w:t>
      </w:r>
    </w:p>
    <w:p w14:paraId="7956A89D">
      <w:pPr>
        <w:spacing w:line="360" w:lineRule="auto"/>
        <w:ind w:firstLine="420" w:firstLineChars="200"/>
        <w:rPr>
          <w:color w:val="auto"/>
          <w:szCs w:val="21"/>
          <w:highlight w:val="none"/>
        </w:rPr>
      </w:pPr>
      <w:r>
        <w:rPr>
          <w:color w:val="auto"/>
          <w:szCs w:val="21"/>
          <w:highlight w:val="none"/>
        </w:rPr>
        <w:t>6）响应文件的实质性内容未使用中文表述、使用计量单位不符合磋商文件要求；</w:t>
      </w:r>
    </w:p>
    <w:p w14:paraId="7262CEAB">
      <w:pPr>
        <w:spacing w:line="360" w:lineRule="auto"/>
        <w:ind w:firstLine="420" w:firstLineChars="200"/>
        <w:rPr>
          <w:color w:val="auto"/>
          <w:szCs w:val="21"/>
          <w:highlight w:val="none"/>
        </w:rPr>
      </w:pPr>
      <w:r>
        <w:rPr>
          <w:color w:val="auto"/>
          <w:szCs w:val="21"/>
          <w:highlight w:val="none"/>
        </w:rPr>
        <w:t>7）响应文件中的文件资料因填写不齐全或者内容虚假或者出现其他情形而导致被磋商小组认定无效；</w:t>
      </w:r>
    </w:p>
    <w:p w14:paraId="2C0530D3">
      <w:pPr>
        <w:spacing w:line="360" w:lineRule="auto"/>
        <w:ind w:firstLine="420" w:firstLineChars="200"/>
        <w:rPr>
          <w:color w:val="auto"/>
          <w:szCs w:val="21"/>
          <w:highlight w:val="none"/>
        </w:rPr>
      </w:pPr>
      <w:r>
        <w:rPr>
          <w:color w:val="auto"/>
          <w:szCs w:val="21"/>
          <w:highlight w:val="none"/>
        </w:rPr>
        <w:t>8）响应文件含有采购人不能接受的附加条件；</w:t>
      </w:r>
    </w:p>
    <w:p w14:paraId="6A98455C">
      <w:pPr>
        <w:spacing w:line="360" w:lineRule="auto"/>
        <w:ind w:firstLine="420" w:firstLineChars="200"/>
        <w:rPr>
          <w:color w:val="auto"/>
          <w:szCs w:val="21"/>
          <w:highlight w:val="none"/>
        </w:rPr>
      </w:pPr>
      <w:r>
        <w:rPr>
          <w:color w:val="auto"/>
          <w:szCs w:val="21"/>
          <w:highlight w:val="none"/>
        </w:rPr>
        <w:t>9）属于</w:t>
      </w:r>
      <w:r>
        <w:rPr>
          <w:rFonts w:hint="eastAsia"/>
          <w:color w:val="auto"/>
          <w:szCs w:val="21"/>
          <w:highlight w:val="none"/>
          <w:lang w:eastAsia="zh-CN"/>
        </w:rPr>
        <w:t>“</w:t>
      </w:r>
      <w:r>
        <w:rPr>
          <w:color w:val="auto"/>
          <w:szCs w:val="21"/>
          <w:highlight w:val="none"/>
        </w:rPr>
        <w:t>供应商须知正文</w:t>
      </w:r>
      <w:r>
        <w:rPr>
          <w:rFonts w:hint="eastAsia"/>
          <w:color w:val="auto"/>
          <w:szCs w:val="21"/>
          <w:highlight w:val="none"/>
          <w:lang w:eastAsia="zh-CN"/>
        </w:rPr>
        <w:t>”</w:t>
      </w:r>
      <w:r>
        <w:rPr>
          <w:color w:val="auto"/>
          <w:szCs w:val="21"/>
          <w:highlight w:val="none"/>
        </w:rPr>
        <w:t>第7.5条情形；</w:t>
      </w:r>
    </w:p>
    <w:p w14:paraId="092B4C95">
      <w:pPr>
        <w:spacing w:line="360" w:lineRule="auto"/>
        <w:ind w:firstLine="420" w:firstLineChars="200"/>
        <w:rPr>
          <w:color w:val="auto"/>
          <w:szCs w:val="21"/>
          <w:highlight w:val="none"/>
        </w:rPr>
      </w:pPr>
      <w:r>
        <w:rPr>
          <w:color w:val="auto"/>
          <w:szCs w:val="21"/>
          <w:highlight w:val="none"/>
        </w:rPr>
        <w:t>10）技术需求允许负偏离的条款数超过</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规定项数；</w:t>
      </w:r>
    </w:p>
    <w:p w14:paraId="39368C36">
      <w:pPr>
        <w:spacing w:line="360" w:lineRule="auto"/>
        <w:ind w:firstLine="420" w:firstLineChars="200"/>
        <w:rPr>
          <w:color w:val="auto"/>
          <w:szCs w:val="21"/>
          <w:highlight w:val="none"/>
        </w:rPr>
      </w:pPr>
      <w:r>
        <w:rPr>
          <w:color w:val="auto"/>
          <w:szCs w:val="21"/>
          <w:highlight w:val="none"/>
        </w:rPr>
        <w:t>11）虚假竞标，或者出现其他情形而导致被磋商小组认定无效；</w:t>
      </w:r>
    </w:p>
    <w:p w14:paraId="39B9CEC7">
      <w:pPr>
        <w:spacing w:line="360" w:lineRule="auto"/>
        <w:ind w:firstLine="420" w:firstLineChars="200"/>
        <w:rPr>
          <w:color w:val="auto"/>
          <w:szCs w:val="21"/>
          <w:highlight w:val="none"/>
        </w:rPr>
      </w:pPr>
      <w:r>
        <w:rPr>
          <w:color w:val="auto"/>
          <w:szCs w:val="21"/>
          <w:highlight w:val="none"/>
        </w:rPr>
        <w:t>12）竞标技术方案不明确，磋商文件未允许但响应文件中存在一个或者一个以上备选（替代）竞标方案；</w:t>
      </w:r>
    </w:p>
    <w:p w14:paraId="651FB4BC">
      <w:pPr>
        <w:spacing w:line="360" w:lineRule="auto"/>
        <w:ind w:firstLine="420" w:firstLineChars="200"/>
        <w:rPr>
          <w:color w:val="auto"/>
          <w:szCs w:val="21"/>
          <w:highlight w:val="none"/>
        </w:rPr>
      </w:pPr>
      <w:r>
        <w:rPr>
          <w:color w:val="auto"/>
          <w:szCs w:val="21"/>
          <w:highlight w:val="none"/>
        </w:rPr>
        <w:t>13）响应文件标注的项目名称或者项目编号与竞争性磋商文件标注的项目名称或者项目编号不一致的；</w:t>
      </w:r>
    </w:p>
    <w:p w14:paraId="49643AF2">
      <w:pPr>
        <w:spacing w:line="360" w:lineRule="auto"/>
        <w:ind w:firstLine="420" w:firstLineChars="200"/>
        <w:rPr>
          <w:color w:val="auto"/>
          <w:szCs w:val="21"/>
          <w:highlight w:val="none"/>
        </w:rPr>
      </w:pPr>
      <w:r>
        <w:rPr>
          <w:color w:val="auto"/>
          <w:szCs w:val="21"/>
          <w:highlight w:val="none"/>
        </w:rPr>
        <w:t>14）未响应磋商文件实质性要求；</w:t>
      </w:r>
    </w:p>
    <w:p w14:paraId="77903018">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5</w:t>
      </w:r>
      <w:r>
        <w:rPr>
          <w:color w:val="auto"/>
          <w:szCs w:val="21"/>
          <w:highlight w:val="none"/>
        </w:rPr>
        <w:t>）法律、法规和磋商文件规定的其他无效情形。</w:t>
      </w:r>
    </w:p>
    <w:p w14:paraId="0AEC90F1">
      <w:pPr>
        <w:spacing w:line="360" w:lineRule="auto"/>
        <w:ind w:firstLine="420" w:firstLineChars="200"/>
        <w:rPr>
          <w:color w:val="auto"/>
          <w:szCs w:val="21"/>
          <w:highlight w:val="none"/>
        </w:rPr>
      </w:pPr>
      <w:r>
        <w:rPr>
          <w:color w:val="auto"/>
          <w:szCs w:val="21"/>
          <w:highlight w:val="none"/>
        </w:rPr>
        <w:t>（2）报价评审</w:t>
      </w:r>
    </w:p>
    <w:p w14:paraId="4913203C">
      <w:pPr>
        <w:spacing w:line="360" w:lineRule="auto"/>
        <w:ind w:firstLine="420" w:firstLineChars="200"/>
        <w:rPr>
          <w:color w:val="auto"/>
          <w:szCs w:val="21"/>
          <w:highlight w:val="none"/>
        </w:rPr>
      </w:pPr>
      <w:r>
        <w:rPr>
          <w:color w:val="auto"/>
          <w:szCs w:val="21"/>
          <w:highlight w:val="none"/>
        </w:rPr>
        <w:t>1) 响应文件未提供</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 xml:space="preserve"> 报价文件中规定的</w:t>
      </w:r>
      <w:r>
        <w:rPr>
          <w:rFonts w:hint="eastAsia"/>
          <w:color w:val="auto"/>
          <w:szCs w:val="21"/>
          <w:highlight w:val="none"/>
          <w:lang w:eastAsia="zh-CN"/>
        </w:rPr>
        <w:t>“</w:t>
      </w:r>
      <w:r>
        <w:rPr>
          <w:color w:val="auto"/>
          <w:szCs w:val="21"/>
          <w:highlight w:val="none"/>
        </w:rPr>
        <w:t>响应报价表</w:t>
      </w:r>
      <w:r>
        <w:rPr>
          <w:rFonts w:hint="eastAsia"/>
          <w:color w:val="auto"/>
          <w:szCs w:val="21"/>
          <w:highlight w:val="none"/>
          <w:lang w:eastAsia="zh-CN"/>
        </w:rPr>
        <w:t>”或</w:t>
      </w:r>
      <w:r>
        <w:rPr>
          <w:color w:val="auto"/>
          <w:szCs w:val="21"/>
          <w:highlight w:val="none"/>
        </w:rPr>
        <w:t>未响应供应商须知前附表</w:t>
      </w:r>
      <w:r>
        <w:rPr>
          <w:rFonts w:hint="eastAsia"/>
          <w:color w:val="auto"/>
          <w:szCs w:val="21"/>
          <w:highlight w:val="none"/>
          <w:lang w:eastAsia="zh-CN"/>
        </w:rPr>
        <w:t>中“</w:t>
      </w:r>
      <w:r>
        <w:rPr>
          <w:rFonts w:hint="eastAsia"/>
          <w:color w:val="auto"/>
          <w:szCs w:val="21"/>
          <w:highlight w:val="none"/>
        </w:rPr>
        <w:t>供应商的</w:t>
      </w:r>
      <w:r>
        <w:rPr>
          <w:color w:val="auto"/>
          <w:szCs w:val="21"/>
          <w:highlight w:val="none"/>
        </w:rPr>
        <w:t>响应报价要求</w:t>
      </w:r>
      <w:r>
        <w:rPr>
          <w:rFonts w:hint="eastAsia"/>
          <w:color w:val="auto"/>
          <w:szCs w:val="21"/>
          <w:highlight w:val="none"/>
          <w:lang w:eastAsia="zh-CN"/>
        </w:rPr>
        <w:t>”的</w:t>
      </w:r>
      <w:r>
        <w:rPr>
          <w:color w:val="auto"/>
          <w:szCs w:val="21"/>
          <w:highlight w:val="none"/>
        </w:rPr>
        <w:t>实质性要求；</w:t>
      </w:r>
    </w:p>
    <w:p w14:paraId="3A126B35">
      <w:pPr>
        <w:spacing w:line="360" w:lineRule="auto"/>
        <w:ind w:firstLine="420" w:firstLineChars="200"/>
        <w:rPr>
          <w:color w:val="auto"/>
          <w:szCs w:val="21"/>
          <w:highlight w:val="none"/>
        </w:rPr>
      </w:pPr>
      <w:r>
        <w:rPr>
          <w:color w:val="auto"/>
          <w:szCs w:val="21"/>
          <w:highlight w:val="none"/>
        </w:rPr>
        <w:t>2）未采用人民币报价或者未按照磋商文件标明的币种报价；</w:t>
      </w:r>
    </w:p>
    <w:p w14:paraId="27BFD0C5">
      <w:pPr>
        <w:spacing w:line="360" w:lineRule="auto"/>
        <w:ind w:firstLine="420" w:firstLineChars="200"/>
        <w:rPr>
          <w:color w:val="auto"/>
          <w:szCs w:val="21"/>
          <w:highlight w:val="none"/>
        </w:rPr>
      </w:pPr>
      <w:r>
        <w:rPr>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磋商文件允许有备选方案或者其他约定的除外）；</w:t>
      </w:r>
    </w:p>
    <w:p w14:paraId="1CFFC28D">
      <w:pPr>
        <w:spacing w:line="360" w:lineRule="auto"/>
        <w:ind w:firstLine="420" w:firstLineChars="200"/>
        <w:rPr>
          <w:color w:val="auto"/>
          <w:szCs w:val="21"/>
          <w:highlight w:val="none"/>
        </w:rPr>
      </w:pPr>
      <w:r>
        <w:rPr>
          <w:color w:val="auto"/>
          <w:szCs w:val="21"/>
          <w:highlight w:val="none"/>
        </w:rPr>
        <w:t>4）响应报价（包含首次报价、最后报价）超过所竞标项目规定的采购预算金额或者最高限价的（如本项目公布了最高限价）；响应报价（包含首次报价、最后报价）超过磋商文件分项采购预算金额或者最高限价的（如本项目公布了最高限价）；</w:t>
      </w:r>
    </w:p>
    <w:p w14:paraId="57968B04">
      <w:pPr>
        <w:spacing w:line="360" w:lineRule="auto"/>
        <w:ind w:firstLine="420" w:firstLineChars="200"/>
        <w:rPr>
          <w:color w:val="auto"/>
          <w:szCs w:val="21"/>
          <w:highlight w:val="none"/>
        </w:rPr>
      </w:pPr>
      <w:r>
        <w:rPr>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磋商文件分项采购预算金额或者最高限价的（如本项目公布了最高限价）。</w:t>
      </w:r>
    </w:p>
    <w:p w14:paraId="05D1786E">
      <w:pPr>
        <w:spacing w:line="360" w:lineRule="auto"/>
        <w:ind w:firstLine="420" w:firstLineChars="200"/>
        <w:rPr>
          <w:color w:val="auto"/>
          <w:szCs w:val="21"/>
          <w:highlight w:val="none"/>
        </w:rPr>
      </w:pPr>
      <w:r>
        <w:rPr>
          <w:color w:val="auto"/>
          <w:szCs w:val="21"/>
          <w:highlight w:val="none"/>
        </w:rPr>
        <w:t>6）响应文件响应的标的数量及单位与竞争性磋商文件要求实质性不一致的。</w:t>
      </w:r>
    </w:p>
    <w:p w14:paraId="4E52115E">
      <w:pPr>
        <w:spacing w:line="360" w:lineRule="auto"/>
        <w:ind w:firstLine="422" w:firstLineChars="200"/>
        <w:rPr>
          <w:rFonts w:hint="eastAsia" w:eastAsia="宋体"/>
          <w:b/>
          <w:bCs/>
          <w:color w:val="auto"/>
          <w:szCs w:val="21"/>
          <w:highlight w:val="none"/>
          <w:lang w:eastAsia="zh-CN"/>
        </w:rPr>
      </w:pPr>
      <w:r>
        <w:rPr>
          <w:rFonts w:hint="eastAsia"/>
          <w:b/>
          <w:bCs/>
          <w:color w:val="auto"/>
          <w:szCs w:val="21"/>
          <w:highlight w:val="none"/>
          <w:lang w:val="en-US" w:eastAsia="zh-CN"/>
        </w:rPr>
        <w:t>7）不响应</w:t>
      </w:r>
      <w:r>
        <w:rPr>
          <w:rFonts w:hint="eastAsia"/>
          <w:b/>
          <w:bCs/>
          <w:color w:val="auto"/>
          <w:szCs w:val="21"/>
          <w:highlight w:val="none"/>
          <w:lang w:eastAsia="zh-CN"/>
        </w:rPr>
        <w:t>工程量清单</w:t>
      </w:r>
      <w:r>
        <w:rPr>
          <w:b/>
          <w:bCs/>
          <w:color w:val="auto"/>
          <w:szCs w:val="21"/>
          <w:highlight w:val="none"/>
        </w:rPr>
        <w:t>标</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的条款或者标明实质性的要求</w:t>
      </w:r>
      <w:r>
        <w:rPr>
          <w:rFonts w:hint="eastAsia"/>
          <w:b/>
          <w:bCs/>
          <w:color w:val="auto"/>
          <w:szCs w:val="21"/>
          <w:highlight w:val="none"/>
          <w:lang w:eastAsia="zh-CN"/>
        </w:rPr>
        <w:t>或工程量清单</w:t>
      </w:r>
      <w:r>
        <w:rPr>
          <w:b/>
          <w:bCs/>
          <w:color w:val="auto"/>
          <w:szCs w:val="21"/>
          <w:highlight w:val="none"/>
        </w:rPr>
        <w:t>标</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的条款发生负偏离</w:t>
      </w:r>
      <w:r>
        <w:rPr>
          <w:rFonts w:hint="eastAsia"/>
          <w:b/>
          <w:bCs/>
          <w:color w:val="auto"/>
          <w:szCs w:val="21"/>
          <w:highlight w:val="none"/>
          <w:lang w:eastAsia="zh-CN"/>
        </w:rPr>
        <w:t>。</w:t>
      </w:r>
    </w:p>
    <w:p w14:paraId="7D0800DC">
      <w:pPr>
        <w:spacing w:line="360" w:lineRule="auto"/>
        <w:ind w:firstLine="420" w:firstLineChars="200"/>
        <w:rPr>
          <w:color w:val="auto"/>
          <w:szCs w:val="21"/>
          <w:highlight w:val="none"/>
        </w:rPr>
      </w:pPr>
      <w:r>
        <w:rPr>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2C35F32">
      <w:pPr>
        <w:spacing w:line="360" w:lineRule="auto"/>
        <w:ind w:firstLine="420" w:firstLineChars="200"/>
        <w:rPr>
          <w:color w:val="auto"/>
          <w:szCs w:val="21"/>
          <w:highlight w:val="none"/>
        </w:rPr>
      </w:pPr>
      <w:r>
        <w:rPr>
          <w:color w:val="auto"/>
          <w:szCs w:val="21"/>
          <w:highlight w:val="none"/>
        </w:rPr>
        <w:t>3.7非政府购买服务项目，通过符合性审查的合格供应商不足3家的，不得进入磋商环节，采购人或者采购代理机构应当重新开展采购活动。</w:t>
      </w:r>
    </w:p>
    <w:p w14:paraId="68F0D483">
      <w:pPr>
        <w:spacing w:line="360" w:lineRule="auto"/>
        <w:ind w:firstLine="482" w:firstLineChars="200"/>
        <w:rPr>
          <w:b/>
          <w:bCs/>
          <w:color w:val="auto"/>
          <w:sz w:val="24"/>
          <w:highlight w:val="none"/>
        </w:rPr>
      </w:pPr>
      <w:r>
        <w:rPr>
          <w:b/>
          <w:bCs/>
          <w:color w:val="auto"/>
          <w:sz w:val="24"/>
          <w:highlight w:val="none"/>
        </w:rPr>
        <w:t>4.磋商程序</w:t>
      </w:r>
    </w:p>
    <w:p w14:paraId="0E80F914">
      <w:pPr>
        <w:spacing w:line="360" w:lineRule="auto"/>
        <w:ind w:firstLine="420" w:firstLineChars="200"/>
        <w:rPr>
          <w:color w:val="auto"/>
          <w:kern w:val="0"/>
          <w:szCs w:val="21"/>
          <w:highlight w:val="none"/>
        </w:rPr>
      </w:pPr>
      <w:r>
        <w:rPr>
          <w:color w:val="auto"/>
          <w:kern w:val="0"/>
          <w:szCs w:val="21"/>
          <w:highlight w:val="none"/>
        </w:rPr>
        <w:t>4.1磋商小组按照</w:t>
      </w:r>
      <w:r>
        <w:rPr>
          <w:rFonts w:hint="eastAsia"/>
          <w:color w:val="auto"/>
          <w:kern w:val="0"/>
          <w:szCs w:val="21"/>
          <w:highlight w:val="none"/>
          <w:lang w:eastAsia="zh-CN"/>
        </w:rPr>
        <w:t>“</w:t>
      </w:r>
      <w:r>
        <w:rPr>
          <w:color w:val="auto"/>
          <w:kern w:val="0"/>
          <w:szCs w:val="21"/>
          <w:highlight w:val="none"/>
        </w:rPr>
        <w:t>供应商须知前附表</w:t>
      </w:r>
      <w:r>
        <w:rPr>
          <w:rFonts w:hint="eastAsia"/>
          <w:color w:val="auto"/>
          <w:kern w:val="0"/>
          <w:szCs w:val="21"/>
          <w:highlight w:val="none"/>
          <w:lang w:eastAsia="zh-CN"/>
        </w:rPr>
        <w:t>”</w:t>
      </w:r>
      <w:r>
        <w:rPr>
          <w:color w:val="auto"/>
          <w:szCs w:val="21"/>
          <w:highlight w:val="none"/>
        </w:rPr>
        <w:t xml:space="preserve"> </w:t>
      </w:r>
      <w:r>
        <w:rPr>
          <w:color w:val="auto"/>
          <w:kern w:val="0"/>
          <w:szCs w:val="21"/>
          <w:highlight w:val="none"/>
        </w:rPr>
        <w:t>确定的</w:t>
      </w:r>
      <w:r>
        <w:rPr>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66EB0B9">
      <w:pPr>
        <w:spacing w:line="360" w:lineRule="auto"/>
        <w:ind w:firstLine="420" w:firstLineChars="200"/>
        <w:rPr>
          <w:color w:val="auto"/>
          <w:szCs w:val="21"/>
          <w:highlight w:val="none"/>
        </w:rPr>
      </w:pPr>
      <w:r>
        <w:rPr>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B3F83E1">
      <w:pPr>
        <w:spacing w:line="360" w:lineRule="auto"/>
        <w:ind w:firstLine="420" w:firstLineChars="200"/>
        <w:rPr>
          <w:color w:val="auto"/>
          <w:szCs w:val="21"/>
          <w:highlight w:val="none"/>
        </w:rPr>
      </w:pPr>
      <w:r>
        <w:rPr>
          <w:color w:val="auto"/>
          <w:szCs w:val="21"/>
          <w:highlight w:val="none"/>
        </w:rPr>
        <w:t>4.3对磋商文件作出的实质性变动是磋商文件的有效组成部分，由磋商小组及时以电子澄清函形式同时通知所有参加磋商的供应商。</w:t>
      </w:r>
    </w:p>
    <w:p w14:paraId="5700F16B">
      <w:pPr>
        <w:spacing w:line="360" w:lineRule="auto"/>
        <w:ind w:firstLine="420" w:firstLineChars="200"/>
        <w:rPr>
          <w:color w:val="auto"/>
          <w:szCs w:val="21"/>
          <w:highlight w:val="none"/>
        </w:rPr>
      </w:pPr>
      <w:r>
        <w:rPr>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168B1779">
      <w:pPr>
        <w:spacing w:line="360" w:lineRule="auto"/>
        <w:ind w:firstLine="420" w:firstLineChars="200"/>
        <w:rPr>
          <w:color w:val="auto"/>
          <w:szCs w:val="21"/>
          <w:highlight w:val="none"/>
        </w:rPr>
      </w:pPr>
      <w:r>
        <w:rPr>
          <w:color w:val="auto"/>
          <w:szCs w:val="21"/>
          <w:highlight w:val="none"/>
        </w:rPr>
        <w:t>4.5磋商中，</w:t>
      </w:r>
      <w:r>
        <w:rPr>
          <w:color w:val="auto"/>
          <w:spacing w:val="-6"/>
          <w:szCs w:val="21"/>
          <w:highlight w:val="none"/>
        </w:rPr>
        <w:t>磋商的任何一方不得透露与磋商有关的其他供应商的技术资料、价格和其他信息。</w:t>
      </w:r>
    </w:p>
    <w:p w14:paraId="003E8A74">
      <w:pPr>
        <w:widowControl/>
        <w:tabs>
          <w:tab w:val="left" w:pos="540"/>
        </w:tabs>
        <w:spacing w:line="360" w:lineRule="auto"/>
        <w:ind w:firstLine="420" w:firstLineChars="200"/>
        <w:jc w:val="left"/>
        <w:rPr>
          <w:b/>
          <w:color w:val="auto"/>
          <w:highlight w:val="none"/>
        </w:rPr>
      </w:pPr>
      <w:r>
        <w:rPr>
          <w:color w:val="auto"/>
          <w:szCs w:val="21"/>
          <w:highlight w:val="none"/>
        </w:rPr>
        <w:t>4.6磋商小组应对磋商过程和重要磋商内容进行记录，作为评审报告一部分，磋商小组在记录上签字确认。</w:t>
      </w:r>
      <w:r>
        <w:rPr>
          <w:b/>
          <w:color w:val="auto"/>
          <w:highlight w:val="none"/>
        </w:rPr>
        <w:t>主要内容包括：</w:t>
      </w:r>
    </w:p>
    <w:p w14:paraId="5A391E6C">
      <w:pPr>
        <w:pStyle w:val="71"/>
        <w:spacing w:before="0"/>
        <w:ind w:firstLine="396"/>
        <w:rPr>
          <w:color w:val="auto"/>
          <w:spacing w:val="-6"/>
          <w:kern w:val="2"/>
          <w:sz w:val="21"/>
          <w:szCs w:val="21"/>
          <w:highlight w:val="none"/>
        </w:rPr>
      </w:pPr>
      <w:r>
        <w:rPr>
          <w:color w:val="auto"/>
          <w:spacing w:val="-6"/>
          <w:kern w:val="2"/>
          <w:sz w:val="21"/>
          <w:szCs w:val="21"/>
          <w:highlight w:val="none"/>
        </w:rPr>
        <w:t>（1）按照相关规定进行公示的，公示情况说明；</w:t>
      </w:r>
    </w:p>
    <w:p w14:paraId="7AABFDB9">
      <w:pPr>
        <w:pStyle w:val="71"/>
        <w:spacing w:before="0"/>
        <w:ind w:firstLine="396"/>
        <w:rPr>
          <w:color w:val="auto"/>
          <w:spacing w:val="-6"/>
          <w:kern w:val="2"/>
          <w:sz w:val="21"/>
          <w:szCs w:val="21"/>
          <w:highlight w:val="none"/>
        </w:rPr>
      </w:pPr>
      <w:r>
        <w:rPr>
          <w:color w:val="auto"/>
          <w:spacing w:val="-6"/>
          <w:kern w:val="2"/>
          <w:sz w:val="21"/>
          <w:szCs w:val="21"/>
          <w:highlight w:val="none"/>
        </w:rPr>
        <w:t>（2）磋商日期和地点，磋商人员名单；</w:t>
      </w:r>
    </w:p>
    <w:p w14:paraId="13307807">
      <w:pPr>
        <w:pStyle w:val="71"/>
        <w:spacing w:before="0"/>
        <w:ind w:firstLine="396"/>
        <w:rPr>
          <w:color w:val="auto"/>
          <w:spacing w:val="-6"/>
          <w:kern w:val="2"/>
          <w:sz w:val="21"/>
          <w:szCs w:val="21"/>
          <w:highlight w:val="none"/>
        </w:rPr>
      </w:pPr>
      <w:r>
        <w:rPr>
          <w:color w:val="auto"/>
          <w:spacing w:val="-6"/>
          <w:kern w:val="2"/>
          <w:sz w:val="21"/>
          <w:szCs w:val="21"/>
          <w:highlight w:val="none"/>
        </w:rPr>
        <w:t>（3）合同主要条款及价格商定情况。</w:t>
      </w:r>
    </w:p>
    <w:p w14:paraId="4EE82363">
      <w:pPr>
        <w:widowControl/>
        <w:tabs>
          <w:tab w:val="left" w:pos="540"/>
        </w:tabs>
        <w:spacing w:line="360" w:lineRule="auto"/>
        <w:ind w:firstLine="420" w:firstLineChars="200"/>
        <w:jc w:val="left"/>
        <w:rPr>
          <w:color w:val="auto"/>
          <w:szCs w:val="21"/>
          <w:highlight w:val="none"/>
        </w:rPr>
      </w:pPr>
      <w:r>
        <w:rPr>
          <w:color w:val="auto"/>
          <w:szCs w:val="21"/>
          <w:highlight w:val="none"/>
        </w:rPr>
        <w:t>4.7磋商过程中重新提交的响应文件，供应商可以在开启前补充、修改。</w:t>
      </w:r>
    </w:p>
    <w:p w14:paraId="27B35B6D">
      <w:pPr>
        <w:tabs>
          <w:tab w:val="left" w:pos="2835"/>
        </w:tabs>
        <w:spacing w:line="360" w:lineRule="auto"/>
        <w:ind w:firstLine="420" w:firstLineChars="200"/>
        <w:rPr>
          <w:color w:val="auto"/>
          <w:szCs w:val="21"/>
          <w:highlight w:val="none"/>
        </w:rPr>
      </w:pPr>
      <w:r>
        <w:rPr>
          <w:color w:val="auto"/>
          <w:szCs w:val="21"/>
          <w:highlight w:val="none"/>
        </w:rPr>
        <w:t>4.8对磋商过程提交的响应文件进行有效性、完整性和响应程度审查，通过审查的合格供应商不足3家的，采购人或者采购代理机构应当重新开展采购活动。</w:t>
      </w:r>
    </w:p>
    <w:p w14:paraId="36D16407">
      <w:pPr>
        <w:spacing w:line="360" w:lineRule="auto"/>
        <w:ind w:firstLine="200"/>
        <w:rPr>
          <w:color w:val="auto"/>
          <w:szCs w:val="21"/>
          <w:highlight w:val="none"/>
        </w:rPr>
      </w:pPr>
      <w:r>
        <w:rPr>
          <w:b/>
          <w:bCs/>
          <w:color w:val="auto"/>
          <w:sz w:val="24"/>
          <w:highlight w:val="none"/>
        </w:rPr>
        <w:t>5. 最后报价</w:t>
      </w:r>
    </w:p>
    <w:p w14:paraId="639F3431">
      <w:pPr>
        <w:spacing w:line="360" w:lineRule="auto"/>
        <w:ind w:firstLine="420" w:firstLineChars="200"/>
        <w:rPr>
          <w:color w:val="auto"/>
          <w:szCs w:val="21"/>
          <w:highlight w:val="none"/>
        </w:rPr>
      </w:pPr>
      <w:r>
        <w:rPr>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2A3A9B6">
      <w:pPr>
        <w:spacing w:line="360" w:lineRule="auto"/>
        <w:ind w:firstLine="420" w:firstLineChars="200"/>
        <w:rPr>
          <w:color w:val="auto"/>
          <w:szCs w:val="21"/>
          <w:highlight w:val="none"/>
        </w:rPr>
      </w:pPr>
      <w:r>
        <w:rPr>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96BD42">
      <w:pPr>
        <w:spacing w:line="360" w:lineRule="auto"/>
        <w:ind w:firstLine="420" w:firstLineChars="200"/>
        <w:rPr>
          <w:color w:val="auto"/>
          <w:szCs w:val="21"/>
          <w:highlight w:val="none"/>
        </w:rPr>
      </w:pPr>
      <w:r>
        <w:rPr>
          <w:color w:val="auto"/>
          <w:szCs w:val="21"/>
          <w:highlight w:val="none"/>
        </w:rPr>
        <w:t>5.3 最后报价是供应商响应文件的有效组成部分。</w:t>
      </w:r>
    </w:p>
    <w:p w14:paraId="725BBAE1">
      <w:pPr>
        <w:spacing w:line="360" w:lineRule="auto"/>
        <w:ind w:firstLine="420" w:firstLineChars="200"/>
        <w:rPr>
          <w:color w:val="auto"/>
          <w:szCs w:val="21"/>
          <w:highlight w:val="none"/>
        </w:rPr>
      </w:pPr>
      <w:r>
        <w:rPr>
          <w:color w:val="auto"/>
          <w:szCs w:val="21"/>
          <w:highlight w:val="none"/>
        </w:rPr>
        <w:t>5.4已经提交响应文件的供应商，在提交最后报价之前，可以根据磋商情况退出磋商，退出磋商的供应商的响应文件按无效响应处理。</w:t>
      </w:r>
    </w:p>
    <w:p w14:paraId="21668917">
      <w:pPr>
        <w:spacing w:line="360" w:lineRule="auto"/>
        <w:ind w:firstLine="420" w:firstLineChars="200"/>
        <w:rPr>
          <w:color w:val="auto"/>
          <w:szCs w:val="21"/>
          <w:highlight w:val="none"/>
        </w:rPr>
      </w:pPr>
      <w:r>
        <w:rPr>
          <w:color w:val="auto"/>
          <w:szCs w:val="21"/>
          <w:highlight w:val="none"/>
        </w:rPr>
        <w:t>5.5供应商未在规定时间内提交最后报价的，视同退出磋商，其响应文件按无效处理。</w:t>
      </w:r>
    </w:p>
    <w:p w14:paraId="642B77F9">
      <w:pPr>
        <w:spacing w:line="360" w:lineRule="auto"/>
        <w:ind w:firstLine="420" w:firstLineChars="200"/>
        <w:rPr>
          <w:color w:val="auto"/>
          <w:szCs w:val="21"/>
          <w:highlight w:val="none"/>
        </w:rPr>
      </w:pPr>
      <w:r>
        <w:rPr>
          <w:color w:val="auto"/>
          <w:szCs w:val="21"/>
          <w:highlight w:val="none"/>
        </w:rPr>
        <w:t>5.6磋商小组收齐本项目最后报价后统一开启，磋商小组对最后报价进行有效性、完整性和响应程度的审查。</w:t>
      </w:r>
    </w:p>
    <w:p w14:paraId="3E2780FB">
      <w:pPr>
        <w:spacing w:line="360" w:lineRule="auto"/>
        <w:ind w:firstLine="420" w:firstLineChars="200"/>
        <w:rPr>
          <w:color w:val="auto"/>
          <w:szCs w:val="21"/>
          <w:highlight w:val="none"/>
        </w:rPr>
      </w:pPr>
      <w:r>
        <w:rPr>
          <w:color w:val="auto"/>
          <w:szCs w:val="21"/>
          <w:highlight w:val="none"/>
        </w:rPr>
        <w:t xml:space="preserve">5.7最终响应文件的报价出现前后不一致的，按照本章第3.4条的规定修正。 </w:t>
      </w:r>
    </w:p>
    <w:p w14:paraId="2FAF10BC">
      <w:pPr>
        <w:spacing w:line="360" w:lineRule="auto"/>
        <w:ind w:firstLine="420" w:firstLineChars="200"/>
        <w:rPr>
          <w:color w:val="auto"/>
          <w:szCs w:val="21"/>
          <w:highlight w:val="none"/>
        </w:rPr>
      </w:pPr>
      <w:r>
        <w:rPr>
          <w:color w:val="auto"/>
          <w:szCs w:val="21"/>
          <w:highlight w:val="none"/>
        </w:rPr>
        <w:t>5.8修正后的最后报价出现下列情形的，按无效响应处理：</w:t>
      </w:r>
    </w:p>
    <w:p w14:paraId="74AA4B55">
      <w:pPr>
        <w:spacing w:line="360" w:lineRule="auto"/>
        <w:ind w:firstLine="420" w:firstLineChars="200"/>
        <w:rPr>
          <w:color w:val="auto"/>
          <w:szCs w:val="21"/>
          <w:highlight w:val="none"/>
        </w:rPr>
      </w:pPr>
      <w:r>
        <w:rPr>
          <w:color w:val="auto"/>
          <w:szCs w:val="21"/>
          <w:highlight w:val="none"/>
        </w:rPr>
        <w:t>（1）供应商不确认的（全流程电子化评标采取在线确认）；</w:t>
      </w:r>
    </w:p>
    <w:p w14:paraId="0FCEF181">
      <w:pPr>
        <w:spacing w:line="360" w:lineRule="auto"/>
        <w:ind w:firstLine="420" w:firstLineChars="200"/>
        <w:rPr>
          <w:color w:val="auto"/>
          <w:szCs w:val="21"/>
          <w:highlight w:val="none"/>
        </w:rPr>
      </w:pPr>
      <w:r>
        <w:rPr>
          <w:color w:val="auto"/>
          <w:szCs w:val="21"/>
          <w:highlight w:val="none"/>
        </w:rPr>
        <w:t>（2）经供应商确认修正后的响应报价（包含首次报价、最后报价）超过所竞标项目规定的采购预算金额或者最高限价的（如本项目公布了最高限价）；</w:t>
      </w:r>
    </w:p>
    <w:p w14:paraId="23E9C26A">
      <w:pPr>
        <w:spacing w:line="360" w:lineRule="auto"/>
        <w:ind w:firstLine="420" w:firstLineChars="200"/>
        <w:rPr>
          <w:color w:val="auto"/>
          <w:szCs w:val="21"/>
          <w:highlight w:val="none"/>
        </w:rPr>
      </w:pPr>
      <w:r>
        <w:rPr>
          <w:color w:val="auto"/>
          <w:szCs w:val="21"/>
          <w:highlight w:val="none"/>
        </w:rPr>
        <w:t>（3）经供应商确认修正后的响应报价（包含首次报价、最后报价）超过分项采购预算金额或者最高限价的（如本项目公布了最高限价）。</w:t>
      </w:r>
    </w:p>
    <w:p w14:paraId="77AB3802">
      <w:pPr>
        <w:spacing w:line="360" w:lineRule="auto"/>
        <w:ind w:firstLine="420" w:firstLineChars="200"/>
        <w:rPr>
          <w:color w:val="auto"/>
          <w:szCs w:val="21"/>
          <w:highlight w:val="none"/>
        </w:rPr>
      </w:pPr>
      <w:r>
        <w:rPr>
          <w:color w:val="auto"/>
          <w:szCs w:val="21"/>
          <w:highlight w:val="none"/>
        </w:rPr>
        <w:t>5.9经供应商确认修正后的最后报价作为评审及签订合同的依据。</w:t>
      </w:r>
    </w:p>
    <w:p w14:paraId="331260BD">
      <w:pPr>
        <w:spacing w:line="360" w:lineRule="auto"/>
        <w:ind w:firstLine="420" w:firstLineChars="200"/>
        <w:rPr>
          <w:color w:val="auto"/>
          <w:szCs w:val="21"/>
          <w:highlight w:val="none"/>
        </w:rPr>
      </w:pPr>
      <w:r>
        <w:rPr>
          <w:color w:val="auto"/>
          <w:szCs w:val="21"/>
          <w:highlight w:val="none"/>
        </w:rPr>
        <w:t>5.10供应商出现最后报价按无效响应处理或者响应文件按无效处理时</w:t>
      </w:r>
      <w:r>
        <w:rPr>
          <w:color w:val="auto"/>
          <w:sz w:val="22"/>
          <w:szCs w:val="22"/>
          <w:highlight w:val="none"/>
        </w:rPr>
        <w:t>，磋商小组应当告知有关供应商</w:t>
      </w:r>
      <w:r>
        <w:rPr>
          <w:color w:val="auto"/>
          <w:szCs w:val="21"/>
          <w:highlight w:val="none"/>
        </w:rPr>
        <w:t>。</w:t>
      </w:r>
    </w:p>
    <w:p w14:paraId="7D9DFB0F">
      <w:pPr>
        <w:spacing w:line="360" w:lineRule="auto"/>
        <w:ind w:firstLine="420" w:firstLineChars="200"/>
        <w:rPr>
          <w:color w:val="auto"/>
          <w:szCs w:val="21"/>
          <w:highlight w:val="none"/>
        </w:rPr>
      </w:pPr>
      <w:r>
        <w:rPr>
          <w:color w:val="auto"/>
          <w:szCs w:val="21"/>
          <w:highlight w:val="none"/>
        </w:rPr>
        <w:t>5.11最后报价结束后，磋商小组不得再与供应商进行任何形式的商谈。</w:t>
      </w:r>
    </w:p>
    <w:p w14:paraId="51B344F7">
      <w:pPr>
        <w:pStyle w:val="20"/>
        <w:spacing w:line="360" w:lineRule="auto"/>
        <w:ind w:firstLine="422" w:firstLineChars="200"/>
        <w:rPr>
          <w:color w:val="auto"/>
          <w:highlight w:val="none"/>
        </w:rPr>
      </w:pPr>
      <w:r>
        <w:rPr>
          <w:rFonts w:hint="eastAsia"/>
          <w:b/>
          <w:bCs/>
          <w:color w:val="auto"/>
          <w:sz w:val="21"/>
          <w:szCs w:val="21"/>
          <w:highlight w:val="none"/>
          <w:lang w:eastAsia="zh-CN"/>
        </w:rPr>
        <w:t>重要提示：最后报价有时间限制，供应商须按竞争性磋商文件“第五章 响应文件格式”内容提前准备最后报价表</w:t>
      </w:r>
      <w:bookmarkStart w:id="121" w:name="OLE_LINK40"/>
      <w:bookmarkStart w:id="122" w:name="OLE_LINK65"/>
      <w:r>
        <w:rPr>
          <w:rFonts w:hint="eastAsia"/>
          <w:b/>
          <w:bCs/>
          <w:color w:val="auto"/>
          <w:sz w:val="21"/>
          <w:szCs w:val="21"/>
          <w:highlight w:val="none"/>
          <w:lang w:eastAsia="zh-CN"/>
        </w:rPr>
        <w:t>（如最后报价与首次报价不一致的，需提供</w:t>
      </w:r>
      <w:r>
        <w:rPr>
          <w:rFonts w:hint="eastAsia"/>
          <w:b/>
          <w:bCs/>
          <w:color w:val="auto"/>
          <w:sz w:val="21"/>
          <w:szCs w:val="21"/>
          <w:highlight w:val="none"/>
        </w:rPr>
        <w:t>已标价工程量清单</w:t>
      </w:r>
      <w:r>
        <w:rPr>
          <w:rFonts w:hint="eastAsia"/>
          <w:b/>
          <w:bCs/>
          <w:color w:val="auto"/>
          <w:sz w:val="21"/>
          <w:szCs w:val="21"/>
          <w:highlight w:val="none"/>
          <w:lang w:eastAsia="zh-CN"/>
        </w:rPr>
        <w:t>）</w:t>
      </w:r>
      <w:bookmarkEnd w:id="121"/>
      <w:bookmarkEnd w:id="122"/>
      <w:r>
        <w:rPr>
          <w:rFonts w:hint="eastAsia"/>
          <w:b/>
          <w:bCs/>
          <w:color w:val="auto"/>
          <w:sz w:val="21"/>
          <w:szCs w:val="21"/>
          <w:highlight w:val="none"/>
          <w:lang w:eastAsia="zh-CN"/>
        </w:rPr>
        <w:t>并按时提交最后报价，以免耽误最后报价</w:t>
      </w:r>
      <w:r>
        <w:rPr>
          <w:rFonts w:hint="eastAsia" w:ascii="宋体" w:hAnsi="宋体" w:cs="宋体"/>
          <w:b/>
          <w:bCs/>
          <w:color w:val="auto"/>
          <w:sz w:val="21"/>
          <w:szCs w:val="21"/>
          <w:highlight w:val="none"/>
          <w:lang w:val="zh-CN" w:eastAsia="zh-CN"/>
        </w:rPr>
        <w:t>。</w:t>
      </w:r>
    </w:p>
    <w:p w14:paraId="17E2A39F">
      <w:pPr>
        <w:spacing w:line="360" w:lineRule="auto"/>
        <w:ind w:firstLine="200"/>
        <w:rPr>
          <w:rFonts w:eastAsia="黑体"/>
          <w:b/>
          <w:bCs/>
          <w:color w:val="auto"/>
          <w:sz w:val="24"/>
          <w:highlight w:val="none"/>
        </w:rPr>
      </w:pPr>
      <w:r>
        <w:rPr>
          <w:rFonts w:eastAsia="黑体"/>
          <w:b/>
          <w:bCs/>
          <w:color w:val="auto"/>
          <w:sz w:val="24"/>
          <w:highlight w:val="none"/>
        </w:rPr>
        <w:t>6.比较与评价</w:t>
      </w:r>
    </w:p>
    <w:p w14:paraId="3FA65154">
      <w:pPr>
        <w:spacing w:line="360" w:lineRule="auto"/>
        <w:ind w:firstLine="420" w:firstLineChars="200"/>
        <w:rPr>
          <w:color w:val="auto"/>
          <w:szCs w:val="21"/>
          <w:highlight w:val="none"/>
        </w:rPr>
      </w:pPr>
      <w:r>
        <w:rPr>
          <w:color w:val="auto"/>
          <w:szCs w:val="21"/>
          <w:highlight w:val="none"/>
        </w:rPr>
        <w:t>6.1评审方法：综合评分法。</w:t>
      </w:r>
    </w:p>
    <w:p w14:paraId="74F10AA0">
      <w:pPr>
        <w:spacing w:line="360" w:lineRule="auto"/>
        <w:ind w:firstLine="420" w:firstLineChars="200"/>
        <w:rPr>
          <w:color w:val="auto"/>
          <w:szCs w:val="21"/>
          <w:highlight w:val="none"/>
        </w:rPr>
      </w:pPr>
      <w:r>
        <w:rPr>
          <w:color w:val="auto"/>
          <w:szCs w:val="21"/>
          <w:highlight w:val="none"/>
        </w:rPr>
        <w:t>6.2经磋商确定最终采购需求和提交最后报价的供应商后，由磋商小组采用综合评分法对提交最后报价的供应商的响应文件和最后报价进行综合评分。</w:t>
      </w:r>
    </w:p>
    <w:p w14:paraId="07A438E7">
      <w:pPr>
        <w:spacing w:line="360" w:lineRule="auto"/>
        <w:ind w:firstLine="420" w:firstLineChars="200"/>
        <w:rPr>
          <w:color w:val="auto"/>
          <w:szCs w:val="21"/>
          <w:highlight w:val="none"/>
        </w:rPr>
      </w:pPr>
      <w:r>
        <w:rPr>
          <w:color w:val="auto"/>
          <w:szCs w:val="21"/>
          <w:highlight w:val="none"/>
        </w:rPr>
        <w:t>6.3评审时，磋商小组各成员应当独立对每个有效响应的文件进行评价、打分，然后汇总每个供应商每项评分因素的得分。</w:t>
      </w:r>
    </w:p>
    <w:p w14:paraId="18BA6F79">
      <w:pPr>
        <w:pStyle w:val="13"/>
        <w:spacing w:line="360" w:lineRule="auto"/>
        <w:ind w:firstLine="420" w:firstLineChars="200"/>
        <w:rPr>
          <w:color w:val="auto"/>
          <w:highlight w:val="none"/>
        </w:rPr>
      </w:pPr>
      <w:r>
        <w:rPr>
          <w:color w:val="auto"/>
          <w:highlight w:val="none"/>
        </w:rPr>
        <w:t>（</w:t>
      </w:r>
      <w:r>
        <w:rPr>
          <w:color w:val="auto"/>
          <w:highlight w:val="none"/>
          <w:lang w:val="en-US" w:eastAsia="zh-CN"/>
        </w:rPr>
        <w:t>1</w:t>
      </w:r>
      <w:r>
        <w:rPr>
          <w:color w:val="auto"/>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0667A66">
      <w:pPr>
        <w:spacing w:line="360" w:lineRule="auto"/>
        <w:ind w:firstLine="420" w:firstLineChars="200"/>
        <w:rPr>
          <w:color w:val="auto"/>
          <w:szCs w:val="21"/>
          <w:highlight w:val="none"/>
        </w:rPr>
      </w:pPr>
      <w:r>
        <w:rPr>
          <w:color w:val="auto"/>
          <w:szCs w:val="21"/>
          <w:highlight w:val="none"/>
        </w:rPr>
        <w:t>（2）磋商小组按照磋商文件中规定的评审标准计算各供应商的报价得分。项目评审过程中，不得去掉最后报价中的最高报价和最低报价。</w:t>
      </w:r>
    </w:p>
    <w:p w14:paraId="2C324B68">
      <w:pPr>
        <w:spacing w:line="360" w:lineRule="auto"/>
        <w:ind w:firstLine="420" w:firstLineChars="200"/>
        <w:rPr>
          <w:color w:val="auto"/>
          <w:highlight w:val="none"/>
        </w:rPr>
      </w:pPr>
      <w:r>
        <w:rPr>
          <w:color w:val="auto"/>
          <w:szCs w:val="21"/>
          <w:highlight w:val="none"/>
        </w:rPr>
        <w:t>（3）各供应商的得分为磋商小组所有成员的有效评分的算术平均数。</w:t>
      </w:r>
    </w:p>
    <w:p w14:paraId="4FAC2ACE">
      <w:pPr>
        <w:spacing w:line="360" w:lineRule="auto"/>
        <w:ind w:firstLine="420" w:firstLineChars="200"/>
        <w:rPr>
          <w:color w:val="auto"/>
          <w:szCs w:val="21"/>
          <w:highlight w:val="none"/>
        </w:rPr>
      </w:pPr>
      <w:r>
        <w:rPr>
          <w:color w:val="auto"/>
          <w:szCs w:val="21"/>
          <w:highlight w:val="none"/>
        </w:rPr>
        <w:t>6.4评审</w:t>
      </w:r>
      <w:r>
        <w:rPr>
          <w:color w:val="auto"/>
          <w:highlight w:val="none"/>
        </w:rPr>
        <w:t>报价</w:t>
      </w:r>
      <w:r>
        <w:rPr>
          <w:color w:val="auto"/>
          <w:szCs w:val="21"/>
          <w:highlight w:val="none"/>
        </w:rPr>
        <w:t>为供应商的最后报价进行政策性扣除后的价格，评审</w:t>
      </w:r>
      <w:r>
        <w:rPr>
          <w:color w:val="auto"/>
          <w:highlight w:val="none"/>
        </w:rPr>
        <w:t>报价</w:t>
      </w:r>
      <w:r>
        <w:rPr>
          <w:color w:val="auto"/>
          <w:szCs w:val="21"/>
          <w:highlight w:val="none"/>
        </w:rPr>
        <w:t>只是作为评审时使用。最终成交供应商的成交金额等于最后报价（如有修正，以确认修正后的最后报价为准）。</w:t>
      </w:r>
    </w:p>
    <w:p w14:paraId="42F16279">
      <w:pPr>
        <w:spacing w:line="360" w:lineRule="auto"/>
        <w:ind w:firstLine="420" w:firstLineChars="200"/>
        <w:rPr>
          <w:color w:val="auto"/>
          <w:kern w:val="0"/>
          <w:szCs w:val="21"/>
          <w:highlight w:val="none"/>
        </w:rPr>
      </w:pPr>
      <w:r>
        <w:rPr>
          <w:color w:val="auto"/>
          <w:szCs w:val="21"/>
          <w:highlight w:val="none"/>
        </w:rPr>
        <w:t>6.5由磋商小组根据综合评分情况，按照评审得分由高到低顺序推荐3名以上成交候选供应商，并编写评</w:t>
      </w:r>
      <w:r>
        <w:rPr>
          <w:color w:val="auto"/>
          <w:kern w:val="0"/>
          <w:szCs w:val="21"/>
          <w:highlight w:val="none"/>
        </w:rPr>
        <w:t>审报告。评审得分相同的，</w:t>
      </w:r>
      <w:r>
        <w:rPr>
          <w:bCs/>
          <w:color w:val="auto"/>
          <w:szCs w:val="21"/>
          <w:highlight w:val="none"/>
        </w:rPr>
        <w:t>按照最后报价（不计算价格折扣）由低到高的顺序推荐。评审得分且最后报价（不计算价格折扣）相同的，按照技术</w:t>
      </w:r>
      <w:r>
        <w:rPr>
          <w:rFonts w:hint="eastAsia"/>
          <w:lang w:eastAsia="zh-CN"/>
        </w:rPr>
        <w:t>、</w:t>
      </w:r>
      <w:r>
        <w:rPr>
          <w:rFonts w:hint="eastAsia"/>
          <w:bCs/>
          <w:color w:val="auto"/>
          <w:szCs w:val="21"/>
          <w:highlight w:val="none"/>
          <w:lang w:eastAsia="zh-CN"/>
        </w:rPr>
        <w:t>商务</w:t>
      </w:r>
      <w:r>
        <w:rPr>
          <w:bCs/>
          <w:color w:val="auto"/>
          <w:szCs w:val="21"/>
          <w:highlight w:val="none"/>
        </w:rPr>
        <w:t>指标优劣顺序推荐</w:t>
      </w:r>
      <w:r>
        <w:rPr>
          <w:rFonts w:hint="eastAsia"/>
          <w:color w:val="auto"/>
          <w:kern w:val="0"/>
          <w:szCs w:val="21"/>
          <w:highlight w:val="none"/>
        </w:rPr>
        <w:t>(按技术分得分由高到低排序，技术分得分相同的按照商务分得分由高到低排序)。评审得分、最后报价(不计算价格折扣)、技术分得分、商务分得分均相同的，由磋商小组随机抽取推荐。</w:t>
      </w:r>
    </w:p>
    <w:p w14:paraId="0D0A0BDC">
      <w:pPr>
        <w:spacing w:line="360" w:lineRule="auto"/>
        <w:ind w:firstLine="420" w:firstLineChars="200"/>
        <w:rPr>
          <w:rFonts w:eastAsia="黑体"/>
          <w:b/>
          <w:bCs/>
          <w:color w:val="auto"/>
          <w:sz w:val="24"/>
          <w:highlight w:val="none"/>
        </w:rPr>
      </w:pPr>
      <w:r>
        <w:rPr>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0D6814">
      <w:pPr>
        <w:spacing w:line="360" w:lineRule="auto"/>
        <w:ind w:firstLine="200"/>
        <w:rPr>
          <w:rFonts w:eastAsia="黑体"/>
          <w:b/>
          <w:bCs/>
          <w:color w:val="auto"/>
          <w:sz w:val="24"/>
          <w:highlight w:val="none"/>
        </w:rPr>
      </w:pPr>
      <w:r>
        <w:rPr>
          <w:rFonts w:eastAsia="黑体"/>
          <w:b/>
          <w:bCs/>
          <w:color w:val="auto"/>
          <w:sz w:val="24"/>
          <w:highlight w:val="none"/>
        </w:rPr>
        <w:t>7.评审标准</w:t>
      </w:r>
    </w:p>
    <w:p w14:paraId="63BF5C8D">
      <w:pPr>
        <w:spacing w:line="360" w:lineRule="auto"/>
        <w:ind w:firstLine="420" w:firstLineChars="200"/>
        <w:rPr>
          <w:bCs/>
          <w:color w:val="auto"/>
          <w:szCs w:val="21"/>
          <w:highlight w:val="none"/>
        </w:rPr>
      </w:pPr>
      <w:r>
        <w:rPr>
          <w:bCs/>
          <w:color w:val="auto"/>
          <w:highlight w:val="none"/>
        </w:rPr>
        <w:t>7.</w:t>
      </w:r>
      <w:r>
        <w:rPr>
          <w:bCs/>
          <w:color w:val="auto"/>
          <w:szCs w:val="21"/>
          <w:highlight w:val="none"/>
        </w:rPr>
        <w:t>1评审依据：磋商小组将以响应文件为评审依据，对供应商的报价、技术、商务等方面内容按百分制打分</w:t>
      </w:r>
      <w:r>
        <w:rPr>
          <w:rFonts w:hint="eastAsia"/>
          <w:bCs/>
          <w:color w:val="auto"/>
          <w:szCs w:val="21"/>
          <w:highlight w:val="none"/>
        </w:rPr>
        <w:t>，供应商总得分=报价分+技术分+商务分</w:t>
      </w:r>
      <w:r>
        <w:rPr>
          <w:bCs/>
          <w:color w:val="auto"/>
          <w:szCs w:val="21"/>
          <w:highlight w:val="none"/>
        </w:rPr>
        <w:t>。（计分方法按四舍五入取至百分位）</w:t>
      </w:r>
    </w:p>
    <w:p w14:paraId="4F2ABB2A">
      <w:pPr>
        <w:spacing w:line="360" w:lineRule="auto"/>
        <w:ind w:firstLine="420" w:firstLineChars="200"/>
        <w:rPr>
          <w:rFonts w:hint="eastAsia"/>
          <w:bCs/>
          <w:color w:val="auto"/>
          <w:szCs w:val="21"/>
          <w:highlight w:val="none"/>
        </w:rPr>
      </w:pPr>
      <w:r>
        <w:rPr>
          <w:rFonts w:hint="eastAsia"/>
          <w:bCs/>
          <w:color w:val="auto"/>
          <w:szCs w:val="21"/>
          <w:highlight w:val="none"/>
        </w:rPr>
        <w:br w:type="page"/>
      </w:r>
    </w:p>
    <w:tbl>
      <w:tblPr>
        <w:tblStyle w:val="28"/>
        <w:tblW w:w="9599"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08"/>
        <w:gridCol w:w="7038"/>
        <w:gridCol w:w="794"/>
      </w:tblGrid>
      <w:tr w14:paraId="177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4D31034A">
            <w:pPr>
              <w:spacing w:line="360" w:lineRule="auto"/>
              <w:jc w:val="center"/>
              <w:rPr>
                <w:rFonts w:hint="eastAsia"/>
                <w:bCs/>
                <w:color w:val="auto"/>
                <w:szCs w:val="21"/>
                <w:highlight w:val="none"/>
              </w:rPr>
            </w:pPr>
            <w:bookmarkStart w:id="123" w:name="OLE_LINK22"/>
            <w:r>
              <w:rPr>
                <w:rFonts w:hint="eastAsia"/>
                <w:bCs/>
                <w:color w:val="auto"/>
                <w:szCs w:val="21"/>
                <w:highlight w:val="none"/>
              </w:rPr>
              <w:t>序号</w:t>
            </w:r>
          </w:p>
        </w:tc>
        <w:tc>
          <w:tcPr>
            <w:tcW w:w="1108" w:type="dxa"/>
            <w:noWrap w:val="0"/>
            <w:vAlign w:val="center"/>
          </w:tcPr>
          <w:p w14:paraId="04BEB518">
            <w:pPr>
              <w:spacing w:line="360" w:lineRule="auto"/>
              <w:jc w:val="center"/>
              <w:rPr>
                <w:rFonts w:hint="eastAsia"/>
                <w:bCs/>
                <w:color w:val="auto"/>
                <w:szCs w:val="21"/>
                <w:highlight w:val="none"/>
              </w:rPr>
            </w:pPr>
            <w:r>
              <w:rPr>
                <w:rFonts w:hint="eastAsia"/>
                <w:bCs/>
                <w:color w:val="auto"/>
                <w:szCs w:val="21"/>
                <w:highlight w:val="none"/>
              </w:rPr>
              <w:t>评分类型</w:t>
            </w:r>
          </w:p>
        </w:tc>
        <w:tc>
          <w:tcPr>
            <w:tcW w:w="7038" w:type="dxa"/>
            <w:noWrap w:val="0"/>
            <w:vAlign w:val="center"/>
          </w:tcPr>
          <w:p w14:paraId="1D8EEC0F">
            <w:pPr>
              <w:spacing w:line="360" w:lineRule="auto"/>
              <w:jc w:val="center"/>
              <w:rPr>
                <w:rFonts w:hint="eastAsia"/>
                <w:bCs/>
                <w:color w:val="auto"/>
                <w:szCs w:val="21"/>
                <w:highlight w:val="none"/>
              </w:rPr>
            </w:pPr>
            <w:r>
              <w:rPr>
                <w:rFonts w:hint="eastAsia"/>
                <w:bCs/>
                <w:color w:val="auto"/>
                <w:szCs w:val="21"/>
                <w:highlight w:val="none"/>
              </w:rPr>
              <w:t>评分标准</w:t>
            </w:r>
          </w:p>
        </w:tc>
        <w:tc>
          <w:tcPr>
            <w:tcW w:w="794" w:type="dxa"/>
            <w:noWrap w:val="0"/>
            <w:vAlign w:val="center"/>
          </w:tcPr>
          <w:p w14:paraId="524ACB64">
            <w:pPr>
              <w:spacing w:line="360" w:lineRule="auto"/>
              <w:jc w:val="center"/>
              <w:rPr>
                <w:rFonts w:hint="eastAsia"/>
                <w:bCs/>
                <w:color w:val="auto"/>
                <w:szCs w:val="21"/>
                <w:highlight w:val="none"/>
              </w:rPr>
            </w:pPr>
            <w:r>
              <w:rPr>
                <w:rFonts w:hint="eastAsia"/>
                <w:bCs/>
                <w:color w:val="auto"/>
                <w:szCs w:val="21"/>
                <w:highlight w:val="none"/>
              </w:rPr>
              <w:t>分值</w:t>
            </w:r>
          </w:p>
        </w:tc>
      </w:tr>
      <w:tr w14:paraId="62F5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noWrap w:val="0"/>
            <w:vAlign w:val="center"/>
          </w:tcPr>
          <w:p w14:paraId="3C1FD166">
            <w:pPr>
              <w:spacing w:line="360" w:lineRule="auto"/>
              <w:jc w:val="center"/>
              <w:rPr>
                <w:rFonts w:hint="eastAsia"/>
                <w:bCs/>
                <w:color w:val="auto"/>
                <w:szCs w:val="21"/>
                <w:highlight w:val="none"/>
              </w:rPr>
            </w:pPr>
            <w:r>
              <w:rPr>
                <w:rFonts w:hint="eastAsia" w:ascii="宋体" w:hAnsi="宋体" w:cs="宋体"/>
                <w:bCs/>
                <w:color w:val="auto"/>
                <w:szCs w:val="21"/>
                <w:highlight w:val="none"/>
              </w:rPr>
              <w:t>1</w:t>
            </w:r>
          </w:p>
        </w:tc>
        <w:tc>
          <w:tcPr>
            <w:tcW w:w="1108" w:type="dxa"/>
            <w:noWrap w:val="0"/>
            <w:vAlign w:val="center"/>
          </w:tcPr>
          <w:p w14:paraId="33531FBB">
            <w:pPr>
              <w:spacing w:line="360" w:lineRule="auto"/>
              <w:jc w:val="center"/>
              <w:rPr>
                <w:rFonts w:hint="eastAsia"/>
                <w:bCs/>
                <w:color w:val="auto"/>
                <w:szCs w:val="21"/>
                <w:highlight w:val="none"/>
              </w:rPr>
            </w:pPr>
            <w:r>
              <w:rPr>
                <w:rFonts w:hint="eastAsia"/>
                <w:bCs/>
                <w:color w:val="auto"/>
                <w:szCs w:val="21"/>
                <w:highlight w:val="none"/>
              </w:rPr>
              <w:t>报</w:t>
            </w:r>
            <w:r>
              <w:rPr>
                <w:bCs/>
                <w:color w:val="auto"/>
                <w:szCs w:val="21"/>
                <w:highlight w:val="none"/>
              </w:rPr>
              <w:t>价</w:t>
            </w:r>
            <w:r>
              <w:rPr>
                <w:bCs/>
                <w:color w:val="auto"/>
                <w:kern w:val="0"/>
                <w:szCs w:val="21"/>
                <w:highlight w:val="none"/>
              </w:rPr>
              <w:t>分</w:t>
            </w:r>
          </w:p>
        </w:tc>
        <w:tc>
          <w:tcPr>
            <w:tcW w:w="7038" w:type="dxa"/>
            <w:noWrap w:val="0"/>
            <w:vAlign w:val="center"/>
          </w:tcPr>
          <w:p w14:paraId="673CDCB7">
            <w:pPr>
              <w:spacing w:line="400" w:lineRule="exact"/>
              <w:ind w:firstLine="420" w:firstLineChars="200"/>
              <w:rPr>
                <w:rFonts w:hint="default" w:ascii="Times New Roman" w:hAnsi="Times New Roman" w:eastAsia="宋体" w:cs="Times New Roman"/>
                <w:b w:val="0"/>
                <w:bCs/>
                <w:color w:val="auto"/>
                <w:highlight w:val="none"/>
              </w:rPr>
            </w:pPr>
            <w:r>
              <w:rPr>
                <w:rFonts w:hint="default" w:ascii="Times New Roman" w:hAnsi="Times New Roman" w:eastAsia="宋体" w:cs="Times New Roman"/>
                <w:b w:val="0"/>
                <w:bCs/>
                <w:color w:val="auto"/>
                <w:highlight w:val="none"/>
              </w:rPr>
              <w:t>（1）</w:t>
            </w:r>
            <w:r>
              <w:rPr>
                <w:rFonts w:hint="eastAsia"/>
                <w:color w:val="auto"/>
              </w:rPr>
              <w:t>本项目为专门面向中小企业采购的项目，按照《政府采购促进中小企业发展管理办法》（财库〔2020〕46号）的规定，对供应商最后报价不再执行价格评审优惠的扶持政策。评审报价为供应商的最后报价，评审报价只是作为评审时使用。最终成交供应商的成交金额等于最后报价（如有修正，以确认修正后的最后报价为准）。</w:t>
            </w:r>
          </w:p>
          <w:p w14:paraId="65EA8C5F">
            <w:pPr>
              <w:spacing w:line="400" w:lineRule="exact"/>
              <w:ind w:firstLine="420" w:firstLineChars="200"/>
              <w:rPr>
                <w:rFonts w:hint="default" w:ascii="Times New Roman" w:hAnsi="Times New Roman" w:eastAsia="宋体" w:cs="Times New Roman"/>
                <w:b w:val="0"/>
                <w:bCs/>
                <w:color w:val="auto"/>
                <w:highlight w:val="none"/>
              </w:rPr>
            </w:pPr>
            <w:r>
              <w:rPr>
                <w:rFonts w:hint="default" w:ascii="Times New Roman" w:hAnsi="Times New Roman" w:eastAsia="宋体" w:cs="Times New Roman"/>
                <w:b w:val="0"/>
                <w:bCs/>
                <w:color w:val="auto"/>
                <w:highlight w:val="none"/>
              </w:rPr>
              <w:t>（2）以进入</w:t>
            </w:r>
            <w:r>
              <w:rPr>
                <w:rFonts w:hint="eastAsia" w:ascii="Times New Roman" w:hAnsi="Times New Roman" w:cs="Times New Roman"/>
                <w:b w:val="0"/>
                <w:bCs/>
                <w:color w:val="auto"/>
                <w:highlight w:val="none"/>
                <w:lang w:val="en-US" w:eastAsia="zh-CN"/>
              </w:rPr>
              <w:t>详评</w:t>
            </w:r>
            <w:r>
              <w:rPr>
                <w:rFonts w:hint="default" w:ascii="Times New Roman" w:hAnsi="Times New Roman" w:eastAsia="宋体" w:cs="Times New Roman"/>
                <w:b w:val="0"/>
                <w:bCs/>
                <w:color w:val="auto"/>
                <w:highlight w:val="none"/>
              </w:rPr>
              <w:t>的最低的</w:t>
            </w:r>
            <w:r>
              <w:rPr>
                <w:rFonts w:hint="eastAsia" w:ascii="Times New Roman" w:hAnsi="Times New Roman" w:cs="Times New Roman"/>
                <w:b w:val="0"/>
                <w:bCs/>
                <w:color w:val="auto"/>
                <w:highlight w:val="none"/>
                <w:lang w:val="en-US" w:eastAsia="zh-CN"/>
              </w:rPr>
              <w:t>评审报</w:t>
            </w:r>
            <w:r>
              <w:rPr>
                <w:rFonts w:hint="default" w:ascii="Times New Roman" w:hAnsi="Times New Roman" w:eastAsia="宋体" w:cs="Times New Roman"/>
                <w:b w:val="0"/>
                <w:bCs/>
                <w:color w:val="auto"/>
                <w:highlight w:val="none"/>
              </w:rPr>
              <w:t>价为2</w:t>
            </w:r>
            <w:r>
              <w:rPr>
                <w:rFonts w:hint="default" w:ascii="Times New Roman" w:hAnsi="Times New Roman" w:eastAsia="宋体" w:cs="Times New Roman"/>
                <w:b w:val="0"/>
                <w:bCs/>
                <w:color w:val="auto"/>
                <w:highlight w:val="none"/>
                <w:lang w:val="en-US" w:eastAsia="zh-CN"/>
              </w:rPr>
              <w:t>0</w:t>
            </w:r>
            <w:r>
              <w:rPr>
                <w:rFonts w:hint="default" w:ascii="Times New Roman" w:hAnsi="Times New Roman" w:eastAsia="宋体" w:cs="Times New Roman"/>
                <w:b w:val="0"/>
                <w:bCs/>
                <w:color w:val="auto"/>
                <w:highlight w:val="none"/>
              </w:rPr>
              <w:t>分。</w:t>
            </w:r>
          </w:p>
          <w:p w14:paraId="3A52BA73">
            <w:pPr>
              <w:keepNext w:val="0"/>
              <w:keepLines w:val="0"/>
              <w:pageBreakBefore w:val="0"/>
              <w:wordWrap/>
              <w:topLinePunct w:val="0"/>
              <w:autoSpaceDE w:val="0"/>
              <w:autoSpaceDN w:val="0"/>
              <w:bidi w:val="0"/>
              <w:adjustRightInd w:val="0"/>
              <w:spacing w:line="360" w:lineRule="auto"/>
              <w:rPr>
                <w:color w:val="auto"/>
                <w:highlight w:val="none"/>
              </w:rPr>
            </w:pPr>
            <w:r>
              <w:rPr>
                <w:rFonts w:hint="default" w:ascii="Times New Roman" w:hAnsi="Times New Roman" w:eastAsia="宋体" w:cs="Times New Roman"/>
                <w:b w:val="0"/>
                <w:bCs/>
                <w:color w:val="auto"/>
                <w:highlight w:val="none"/>
              </w:rPr>
              <w:t>（3）某供应商价格分 = 供应商最低评</w:t>
            </w:r>
            <w:r>
              <w:rPr>
                <w:rFonts w:hint="default" w:ascii="Times New Roman" w:hAnsi="Times New Roman" w:eastAsia="宋体" w:cs="Times New Roman"/>
                <w:b w:val="0"/>
                <w:bCs/>
                <w:color w:val="auto"/>
                <w:highlight w:val="none"/>
                <w:lang w:eastAsia="zh-CN"/>
              </w:rPr>
              <w:t>审</w:t>
            </w:r>
            <w:r>
              <w:rPr>
                <w:rFonts w:hint="default" w:ascii="Times New Roman" w:hAnsi="Times New Roman" w:eastAsia="宋体" w:cs="Times New Roman"/>
                <w:b w:val="0"/>
                <w:bCs/>
                <w:color w:val="auto"/>
                <w:highlight w:val="none"/>
              </w:rPr>
              <w:t>报价（金额）/某供应商评</w:t>
            </w:r>
            <w:r>
              <w:rPr>
                <w:rFonts w:hint="default" w:ascii="Times New Roman" w:hAnsi="Times New Roman" w:eastAsia="宋体" w:cs="Times New Roman"/>
                <w:b w:val="0"/>
                <w:bCs/>
                <w:color w:val="auto"/>
                <w:highlight w:val="none"/>
                <w:lang w:eastAsia="zh-CN"/>
              </w:rPr>
              <w:t>审</w:t>
            </w:r>
            <w:r>
              <w:rPr>
                <w:rFonts w:hint="default" w:ascii="Times New Roman" w:hAnsi="Times New Roman" w:eastAsia="宋体" w:cs="Times New Roman"/>
                <w:b w:val="0"/>
                <w:bCs/>
                <w:color w:val="auto"/>
                <w:highlight w:val="none"/>
              </w:rPr>
              <w:t>报价（金额）×2</w:t>
            </w:r>
            <w:r>
              <w:rPr>
                <w:rFonts w:hint="default" w:ascii="Times New Roman" w:hAnsi="Times New Roman" w:eastAsia="宋体" w:cs="Times New Roman"/>
                <w:b w:val="0"/>
                <w:bCs/>
                <w:color w:val="auto"/>
                <w:highlight w:val="none"/>
                <w:lang w:val="en-US" w:eastAsia="zh-CN"/>
              </w:rPr>
              <w:t>0</w:t>
            </w:r>
            <w:r>
              <w:rPr>
                <w:rFonts w:hint="default" w:ascii="Times New Roman" w:hAnsi="Times New Roman" w:eastAsia="宋体" w:cs="Times New Roman"/>
                <w:b w:val="0"/>
                <w:bCs/>
                <w:color w:val="auto"/>
                <w:highlight w:val="none"/>
              </w:rPr>
              <w:t>分。</w:t>
            </w:r>
          </w:p>
        </w:tc>
        <w:tc>
          <w:tcPr>
            <w:tcW w:w="794" w:type="dxa"/>
            <w:noWrap w:val="0"/>
            <w:vAlign w:val="center"/>
          </w:tcPr>
          <w:p w14:paraId="0D3CB640">
            <w:pPr>
              <w:spacing w:line="360" w:lineRule="auto"/>
              <w:jc w:val="center"/>
              <w:rPr>
                <w:bCs/>
                <w:color w:val="auto"/>
                <w:szCs w:val="21"/>
                <w:highlight w:val="none"/>
              </w:rPr>
            </w:pPr>
            <w:r>
              <w:rPr>
                <w:rFonts w:hint="eastAsia"/>
                <w:color w:val="auto"/>
                <w:kern w:val="0"/>
                <w:szCs w:val="21"/>
                <w:highlight w:val="none"/>
                <w:lang w:val="en-US" w:eastAsia="zh-CN"/>
              </w:rPr>
              <w:t>20</w:t>
            </w:r>
            <w:r>
              <w:rPr>
                <w:color w:val="auto"/>
                <w:kern w:val="0"/>
                <w:szCs w:val="21"/>
                <w:highlight w:val="none"/>
              </w:rPr>
              <w:t>分</w:t>
            </w:r>
          </w:p>
        </w:tc>
      </w:tr>
      <w:tr w14:paraId="7F80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1B2C766D">
            <w:pPr>
              <w:spacing w:line="360" w:lineRule="auto"/>
              <w:jc w:val="center"/>
              <w:rPr>
                <w:bCs/>
                <w:color w:val="auto"/>
                <w:szCs w:val="21"/>
                <w:highlight w:val="none"/>
              </w:rPr>
            </w:pPr>
            <w:r>
              <w:rPr>
                <w:bCs/>
                <w:color w:val="auto"/>
                <w:szCs w:val="21"/>
                <w:highlight w:val="none"/>
              </w:rPr>
              <w:t>2</w:t>
            </w:r>
          </w:p>
        </w:tc>
        <w:tc>
          <w:tcPr>
            <w:tcW w:w="1108" w:type="dxa"/>
            <w:noWrap w:val="0"/>
            <w:vAlign w:val="center"/>
          </w:tcPr>
          <w:p w14:paraId="5FD25925">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2E2374A9">
            <w:pPr>
              <w:pageBreakBefore w:val="0"/>
              <w:widowControl w:val="0"/>
              <w:kinsoku/>
              <w:wordWrap/>
              <w:overflowPunct/>
              <w:topLinePunct w:val="0"/>
              <w:bidi w:val="0"/>
              <w:snapToGrid/>
              <w:spacing w:line="440" w:lineRule="exact"/>
              <w:ind w:firstLine="0" w:firstLineChars="0"/>
              <w:jc w:val="both"/>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总体概述</w:t>
            </w:r>
            <w:r>
              <w:rPr>
                <w:rFonts w:hint="eastAsia" w:cs="Times New Roman"/>
                <w:b/>
                <w:bCs w:val="0"/>
                <w:color w:val="auto"/>
                <w:kern w:val="2"/>
                <w:sz w:val="21"/>
                <w:szCs w:val="21"/>
                <w:highlight w:val="none"/>
                <w:lang w:val="en-US" w:eastAsia="zh-CN" w:bidi="ar-SA"/>
              </w:rPr>
              <w:t>（9</w:t>
            </w:r>
            <w:r>
              <w:rPr>
                <w:rFonts w:hint="default" w:ascii="Times New Roman" w:hAnsi="Times New Roman" w:eastAsia="宋体" w:cs="Times New Roman"/>
                <w:b/>
                <w:bCs w:val="0"/>
                <w:color w:val="auto"/>
                <w:kern w:val="2"/>
                <w:sz w:val="21"/>
                <w:szCs w:val="21"/>
                <w:highlight w:val="none"/>
                <w:lang w:val="en-US" w:eastAsia="zh-CN" w:bidi="ar-SA"/>
              </w:rPr>
              <w:t>.</w:t>
            </w:r>
            <w:r>
              <w:rPr>
                <w:rFonts w:hint="eastAsia" w:cs="Times New Roman"/>
                <w:b/>
                <w:bCs w:val="0"/>
                <w:color w:val="auto"/>
                <w:kern w:val="2"/>
                <w:sz w:val="21"/>
                <w:szCs w:val="21"/>
                <w:highlight w:val="none"/>
                <w:lang w:val="en-US" w:eastAsia="zh-CN" w:bidi="ar-SA"/>
              </w:rPr>
              <w:t>0</w:t>
            </w:r>
            <w:r>
              <w:rPr>
                <w:rFonts w:hint="default" w:ascii="Times New Roman" w:hAnsi="Times New Roman" w:eastAsia="宋体" w:cs="Times New Roman"/>
                <w:b/>
                <w:bCs w:val="0"/>
                <w:color w:val="auto"/>
                <w:kern w:val="2"/>
                <w:sz w:val="21"/>
                <w:szCs w:val="21"/>
                <w:highlight w:val="none"/>
                <w:lang w:val="en-US" w:eastAsia="zh-CN" w:bidi="ar-SA"/>
              </w:rPr>
              <w:t>分</w:t>
            </w:r>
            <w:r>
              <w:rPr>
                <w:rFonts w:hint="eastAsia" w:cs="Times New Roman"/>
                <w:b/>
                <w:bCs w:val="0"/>
                <w:color w:val="auto"/>
                <w:kern w:val="2"/>
                <w:sz w:val="21"/>
                <w:szCs w:val="21"/>
                <w:highlight w:val="none"/>
                <w:lang w:val="en-US" w:eastAsia="zh-CN" w:bidi="ar-SA"/>
              </w:rPr>
              <w:t>）</w:t>
            </w:r>
          </w:p>
          <w:p w14:paraId="1FCB69EE">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9</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0</w:t>
            </w:r>
            <w:r>
              <w:rPr>
                <w:rFonts w:hint="default" w:ascii="Times New Roman" w:hAnsi="Times New Roman" w:eastAsia="宋体" w:cs="Times New Roman"/>
                <w:b w:val="0"/>
                <w:bCs/>
                <w:color w:val="auto"/>
                <w:kern w:val="0"/>
                <w:sz w:val="21"/>
                <w:szCs w:val="21"/>
                <w:highlight w:val="none"/>
                <w:lang w:val="en-US" w:eastAsia="zh-CN" w:bidi="ar-SA"/>
              </w:rPr>
              <w:t>分）：对项目总体有深刻认识，表达清晰、严谨、合理，措施</w:t>
            </w:r>
            <w:r>
              <w:rPr>
                <w:rFonts w:hint="eastAsia" w:cs="Times New Roman"/>
                <w:b w:val="0"/>
                <w:bCs/>
                <w:color w:val="auto"/>
                <w:kern w:val="0"/>
                <w:sz w:val="21"/>
                <w:szCs w:val="21"/>
                <w:highlight w:val="none"/>
                <w:lang w:val="en-US" w:eastAsia="zh-CN" w:bidi="ar-SA"/>
              </w:rPr>
              <w:t>详细、具体合理</w:t>
            </w:r>
            <w:r>
              <w:rPr>
                <w:rFonts w:hint="default" w:ascii="Times New Roman" w:hAnsi="Times New Roman" w:eastAsia="宋体" w:cs="Times New Roman"/>
                <w:b w:val="0"/>
                <w:bCs/>
                <w:color w:val="auto"/>
                <w:kern w:val="0"/>
                <w:sz w:val="21"/>
                <w:szCs w:val="21"/>
                <w:highlight w:val="none"/>
                <w:lang w:val="en-US" w:eastAsia="zh-CN" w:bidi="ar-SA"/>
              </w:rPr>
              <w:t>；施工段划分清晰、合理，符合规范要求；</w:t>
            </w:r>
          </w:p>
          <w:p w14:paraId="4FD3EB9D">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6</w:t>
            </w:r>
            <w:r>
              <w:rPr>
                <w:rFonts w:hint="default" w:ascii="Times New Roman" w:hAnsi="Times New Roman" w:eastAsia="宋体" w:cs="Times New Roman"/>
                <w:b w:val="0"/>
                <w:bCs/>
                <w:color w:val="auto"/>
                <w:kern w:val="0"/>
                <w:sz w:val="21"/>
                <w:szCs w:val="21"/>
                <w:highlight w:val="none"/>
                <w:lang w:val="en-US" w:eastAsia="zh-CN" w:bidi="ar-SA"/>
              </w:rPr>
              <w:t>.0分）：对项目总体有一定认识，表达清晰，措施具体</w:t>
            </w:r>
            <w:r>
              <w:rPr>
                <w:rFonts w:hint="eastAsia" w:cs="Times New Roman"/>
                <w:b w:val="0"/>
                <w:bCs/>
                <w:color w:val="auto"/>
                <w:kern w:val="0"/>
                <w:sz w:val="21"/>
                <w:szCs w:val="21"/>
                <w:highlight w:val="none"/>
                <w:lang w:val="en-US" w:eastAsia="zh-CN" w:bidi="ar-SA"/>
              </w:rPr>
              <w:t>合理</w:t>
            </w:r>
            <w:r>
              <w:rPr>
                <w:rFonts w:hint="default" w:ascii="Times New Roman" w:hAnsi="Times New Roman" w:eastAsia="宋体" w:cs="Times New Roman"/>
                <w:b w:val="0"/>
                <w:bCs/>
                <w:color w:val="auto"/>
                <w:kern w:val="0"/>
                <w:sz w:val="21"/>
                <w:szCs w:val="21"/>
                <w:highlight w:val="none"/>
                <w:lang w:val="en-US" w:eastAsia="zh-CN" w:bidi="ar-SA"/>
              </w:rPr>
              <w:t>；施工段划分清晰，符合规范要求；</w:t>
            </w:r>
          </w:p>
          <w:p w14:paraId="5CA9219F">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color w:val="auto"/>
                <w:lang w:eastAsia="zh-CN"/>
              </w:rPr>
              <w:t>三档</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0</w:t>
            </w:r>
            <w:r>
              <w:rPr>
                <w:rFonts w:hint="default" w:ascii="Times New Roman" w:hAnsi="Times New Roman" w:eastAsia="宋体" w:cs="Times New Roman"/>
                <w:b w:val="0"/>
                <w:bCs/>
                <w:color w:val="auto"/>
                <w:kern w:val="0"/>
                <w:sz w:val="21"/>
                <w:szCs w:val="21"/>
                <w:highlight w:val="none"/>
                <w:lang w:val="en-US" w:eastAsia="zh-CN" w:bidi="ar-SA"/>
              </w:rPr>
              <w:t>分）：对项目总体有认识，有措施但部分不具体；施工段划分较合理，符合规范要求；</w:t>
            </w:r>
          </w:p>
          <w:p w14:paraId="55B97DF7">
            <w:pPr>
              <w:spacing w:line="360" w:lineRule="auto"/>
              <w:ind w:firstLine="420" w:firstLineChars="200"/>
              <w:rPr>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0"/>
                <w:sz w:val="21"/>
                <w:szCs w:val="21"/>
                <w:highlight w:val="none"/>
                <w:lang w:val="en-US" w:eastAsia="zh-CN" w:bidi="ar-SA"/>
              </w:rPr>
              <w:t>（0分）：对项目认识不足，表达不清晰，措施不具体；施工段划分</w:t>
            </w:r>
            <w:r>
              <w:rPr>
                <w:rFonts w:hint="eastAsia"/>
                <w:lang w:val="en-US" w:eastAsia="zh-CN"/>
              </w:rPr>
              <w:t>不能满足项目需求</w:t>
            </w:r>
            <w:r>
              <w:rPr>
                <w:rFonts w:hint="default" w:ascii="Times New Roman" w:hAnsi="Times New Roman" w:eastAsia="宋体" w:cs="Times New Roman"/>
                <w:b w:val="0"/>
                <w:bCs/>
                <w:color w:val="auto"/>
                <w:kern w:val="0"/>
                <w:sz w:val="21"/>
                <w:szCs w:val="21"/>
                <w:highlight w:val="none"/>
                <w:lang w:val="en-US" w:eastAsia="zh-CN" w:bidi="ar-SA"/>
              </w:rPr>
              <w:t>。</w:t>
            </w:r>
          </w:p>
        </w:tc>
        <w:tc>
          <w:tcPr>
            <w:tcW w:w="794" w:type="dxa"/>
            <w:noWrap w:val="0"/>
            <w:vAlign w:val="center"/>
          </w:tcPr>
          <w:p w14:paraId="4B2C59D8">
            <w:pPr>
              <w:spacing w:line="360" w:lineRule="auto"/>
              <w:jc w:val="center"/>
              <w:rPr>
                <w:bCs/>
                <w:color w:val="auto"/>
                <w:szCs w:val="21"/>
                <w:highlight w:val="none"/>
              </w:rPr>
            </w:pPr>
            <w:r>
              <w:rPr>
                <w:rFonts w:hint="eastAsia"/>
                <w:bCs/>
                <w:color w:val="auto"/>
                <w:szCs w:val="21"/>
                <w:highlight w:val="none"/>
                <w:lang w:val="en-US" w:eastAsia="zh-CN"/>
              </w:rPr>
              <w:t>9</w:t>
            </w:r>
            <w:r>
              <w:rPr>
                <w:bCs/>
                <w:color w:val="auto"/>
                <w:szCs w:val="21"/>
                <w:highlight w:val="none"/>
              </w:rPr>
              <w:t>分</w:t>
            </w:r>
          </w:p>
        </w:tc>
      </w:tr>
      <w:tr w14:paraId="4AC9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211D64E3">
            <w:pPr>
              <w:spacing w:line="360" w:lineRule="auto"/>
              <w:jc w:val="center"/>
              <w:rPr>
                <w:rFonts w:hint="eastAsia"/>
                <w:bCs/>
                <w:color w:val="auto"/>
                <w:szCs w:val="21"/>
                <w:highlight w:val="none"/>
              </w:rPr>
            </w:pPr>
            <w:r>
              <w:rPr>
                <w:rFonts w:hint="eastAsia"/>
                <w:bCs/>
                <w:color w:val="auto"/>
                <w:szCs w:val="21"/>
                <w:highlight w:val="none"/>
              </w:rPr>
              <w:t>3</w:t>
            </w:r>
          </w:p>
        </w:tc>
        <w:tc>
          <w:tcPr>
            <w:tcW w:w="1108" w:type="dxa"/>
            <w:noWrap w:val="0"/>
            <w:vAlign w:val="center"/>
          </w:tcPr>
          <w:p w14:paraId="3BBC0580">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06A72D59">
            <w:pPr>
              <w:spacing w:line="360" w:lineRule="auto"/>
              <w:rPr>
                <w:rFonts w:hint="eastAsia" w:eastAsia="宋体"/>
                <w:b/>
                <w:bCs/>
                <w:color w:val="auto"/>
                <w:highlight w:val="none"/>
                <w:lang w:eastAsia="zh-CN"/>
              </w:rPr>
            </w:pPr>
            <w:r>
              <w:rPr>
                <w:rFonts w:hint="default" w:ascii="Times New Roman" w:hAnsi="Times New Roman" w:eastAsia="宋体" w:cs="Times New Roman"/>
                <w:b/>
                <w:bCs w:val="0"/>
                <w:color w:val="auto"/>
                <w:kern w:val="2"/>
                <w:sz w:val="21"/>
                <w:szCs w:val="22"/>
                <w:highlight w:val="none"/>
                <w:lang w:val="en-US" w:eastAsia="zh-CN" w:bidi="ar-SA"/>
              </w:rPr>
              <w:t>主要施工方法</w:t>
            </w:r>
            <w:r>
              <w:rPr>
                <w:rFonts w:hint="eastAsia"/>
                <w:b/>
                <w:bCs/>
                <w:color w:val="auto"/>
                <w:highlight w:val="none"/>
              </w:rPr>
              <w:t>（满分</w:t>
            </w:r>
            <w:r>
              <w:rPr>
                <w:rFonts w:hint="eastAsia"/>
                <w:b/>
                <w:bCs/>
                <w:color w:val="auto"/>
                <w:highlight w:val="none"/>
                <w:lang w:val="en-US" w:eastAsia="zh-CN"/>
              </w:rPr>
              <w:t>10</w:t>
            </w:r>
            <w:r>
              <w:rPr>
                <w:rFonts w:hint="eastAsia"/>
                <w:b/>
                <w:bCs/>
                <w:color w:val="auto"/>
                <w:highlight w:val="none"/>
              </w:rPr>
              <w:t>分）</w:t>
            </w:r>
            <w:r>
              <w:rPr>
                <w:rFonts w:hint="eastAsia"/>
                <w:b/>
                <w:bCs/>
                <w:color w:val="auto"/>
                <w:highlight w:val="none"/>
                <w:lang w:eastAsia="zh-CN"/>
              </w:rPr>
              <w:t>：</w:t>
            </w:r>
          </w:p>
          <w:p w14:paraId="7846EDB2">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Times New Roman" w:hAnsi="Times New Roman" w:cs="Times New Roman"/>
                <w:b w:val="0"/>
                <w:bCs w:val="0"/>
                <w:color w:val="auto"/>
                <w:kern w:val="0"/>
                <w:sz w:val="21"/>
                <w:szCs w:val="21"/>
                <w:highlight w:val="none"/>
                <w:lang w:val="en-US" w:eastAsia="zh-CN" w:bidi="ar-SA"/>
              </w:rPr>
              <w:t>10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）：各主要分部施工方法符合项目实际，</w:t>
            </w:r>
            <w:r>
              <w:rPr>
                <w:rFonts w:hint="eastAsia" w:ascii="宋体" w:hAnsi="宋体" w:eastAsia="宋体" w:cs="宋体"/>
                <w:color w:val="auto"/>
                <w:highlight w:val="none"/>
              </w:rPr>
              <w:t>有</w:t>
            </w:r>
            <w:r>
              <w:rPr>
                <w:rFonts w:hint="eastAsia" w:ascii="宋体" w:hAnsi="宋体" w:cs="微软雅黑"/>
                <w:color w:val="auto"/>
                <w:szCs w:val="21"/>
                <w:highlight w:val="none"/>
              </w:rPr>
              <w:t>详细、清晰</w:t>
            </w:r>
            <w:r>
              <w:rPr>
                <w:rFonts w:hint="eastAsia" w:ascii="宋体" w:hAnsi="宋体" w:eastAsia="宋体" w:cs="宋体"/>
                <w:color w:val="auto"/>
                <w:highlight w:val="none"/>
              </w:rPr>
              <w:t>的施工技术</w:t>
            </w:r>
            <w:r>
              <w:rPr>
                <w:rFonts w:hint="eastAsia" w:ascii="宋体" w:hAnsi="宋体" w:cs="宋体"/>
                <w:color w:val="auto"/>
                <w:highlight w:val="none"/>
                <w:lang w:val="en-US" w:eastAsia="zh-CN"/>
              </w:rPr>
              <w:t>措施</w:t>
            </w:r>
            <w:r>
              <w:rPr>
                <w:rFonts w:hint="eastAsia" w:ascii="宋体" w:hAnsi="宋体" w:eastAsia="宋体" w:cs="宋体"/>
                <w:color w:val="auto"/>
                <w:highlight w:val="none"/>
              </w:rPr>
              <w:t>，</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主要分部工程施工工序、施工步骤、施工要点、施工工艺方案，施工准备、技术准备或交底、各工种施工配合方案具有针对性，能高效指导具体施工并确保安全</w:t>
            </w:r>
            <w:r>
              <w:rPr>
                <w:rFonts w:hint="default" w:ascii="Times New Roman" w:hAnsi="Times New Roman" w:eastAsia="宋体" w:cs="Times New Roman"/>
                <w:b w:val="0"/>
                <w:bCs/>
                <w:color w:val="auto"/>
                <w:kern w:val="2"/>
                <w:sz w:val="21"/>
                <w:szCs w:val="21"/>
                <w:highlight w:val="none"/>
                <w:lang w:val="en-US" w:eastAsia="zh-CN" w:bidi="ar-SA"/>
              </w:rPr>
              <w:t>；</w:t>
            </w:r>
          </w:p>
          <w:p w14:paraId="5844C32D">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6.0分</w:t>
            </w:r>
            <w:r>
              <w:rPr>
                <w:rFonts w:hint="default" w:ascii="Times New Roman" w:hAnsi="Times New Roman" w:eastAsia="宋体" w:cs="Times New Roman"/>
                <w:b w:val="0"/>
                <w:bCs/>
                <w:color w:val="auto"/>
                <w:kern w:val="2"/>
                <w:sz w:val="21"/>
                <w:szCs w:val="21"/>
                <w:highlight w:val="none"/>
                <w:lang w:val="en-US" w:eastAsia="zh-CN" w:bidi="ar-SA"/>
              </w:rPr>
              <w:t>）：各主要分部施工方法符合项目实际，</w:t>
            </w:r>
            <w:r>
              <w:rPr>
                <w:rFonts w:hint="eastAsia" w:ascii="宋体" w:hAnsi="宋体" w:eastAsia="宋体" w:cs="宋体"/>
                <w:color w:val="auto"/>
                <w:highlight w:val="none"/>
              </w:rPr>
              <w:t>有</w:t>
            </w:r>
            <w:r>
              <w:rPr>
                <w:rFonts w:hint="eastAsia" w:ascii="宋体" w:hAnsi="宋体" w:cs="宋体"/>
                <w:color w:val="auto"/>
                <w:highlight w:val="none"/>
                <w:lang w:val="en-US" w:eastAsia="zh-CN"/>
              </w:rPr>
              <w:t>详细</w:t>
            </w:r>
            <w:r>
              <w:rPr>
                <w:rFonts w:hint="eastAsia" w:ascii="宋体" w:hAnsi="宋体" w:eastAsia="宋体" w:cs="宋体"/>
                <w:color w:val="auto"/>
                <w:highlight w:val="none"/>
              </w:rPr>
              <w:t>的施工技术</w:t>
            </w:r>
            <w:r>
              <w:rPr>
                <w:rFonts w:hint="eastAsia" w:ascii="宋体" w:hAnsi="宋体" w:cs="宋体"/>
                <w:color w:val="auto"/>
                <w:highlight w:val="none"/>
                <w:lang w:val="en-US" w:eastAsia="zh-CN"/>
              </w:rPr>
              <w:t>措施</w:t>
            </w:r>
            <w:r>
              <w:rPr>
                <w:rFonts w:hint="eastAsia" w:ascii="宋体" w:hAnsi="宋体" w:eastAsia="宋体" w:cs="宋体"/>
                <w:color w:val="auto"/>
                <w:highlight w:val="none"/>
              </w:rPr>
              <w:t>，有主要分部工程施工步骤、施工要点，能指导具体施工并确保安全</w:t>
            </w:r>
            <w:r>
              <w:rPr>
                <w:rFonts w:hint="default" w:ascii="Times New Roman" w:hAnsi="Times New Roman" w:eastAsia="宋体" w:cs="Times New Roman"/>
                <w:b w:val="0"/>
                <w:bCs/>
                <w:color w:val="auto"/>
                <w:kern w:val="2"/>
                <w:sz w:val="21"/>
                <w:szCs w:val="21"/>
                <w:highlight w:val="none"/>
                <w:lang w:val="en-US" w:eastAsia="zh-CN" w:bidi="ar-SA"/>
              </w:rPr>
              <w:t>；</w:t>
            </w:r>
          </w:p>
          <w:p w14:paraId="715C4EFA">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三档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Times New Roman" w:hAnsi="Times New Roman" w:cs="Times New Roman"/>
                <w:b w:val="0"/>
                <w:bCs w:val="0"/>
                <w:color w:val="auto"/>
                <w:kern w:val="0"/>
                <w:sz w:val="21"/>
                <w:szCs w:val="21"/>
                <w:highlight w:val="none"/>
                <w:lang w:val="en-US" w:eastAsia="zh-CN" w:bidi="ar-SA"/>
              </w:rPr>
              <w:t>2</w:t>
            </w:r>
            <w:r>
              <w:rPr>
                <w:rFonts w:hint="default" w:ascii="Times New Roman" w:hAnsi="Times New Roman" w:eastAsia="宋体" w:cs="Times New Roman"/>
                <w:b w:val="0"/>
                <w:bCs w:val="0"/>
                <w:color w:val="auto"/>
                <w:kern w:val="0"/>
                <w:sz w:val="21"/>
                <w:szCs w:val="21"/>
                <w:highlight w:val="none"/>
                <w:lang w:val="en-US" w:eastAsia="zh-CN" w:bidi="ar-SA"/>
              </w:rPr>
              <w:t>.0分</w:t>
            </w:r>
            <w:r>
              <w:rPr>
                <w:rFonts w:hint="default" w:ascii="Times New Roman" w:hAnsi="Times New Roman" w:eastAsia="宋体" w:cs="Times New Roman"/>
                <w:b w:val="0"/>
                <w:bCs/>
                <w:color w:val="auto"/>
                <w:kern w:val="2"/>
                <w:sz w:val="21"/>
                <w:szCs w:val="21"/>
                <w:highlight w:val="none"/>
                <w:lang w:val="en-US" w:eastAsia="zh-CN" w:bidi="ar-SA"/>
              </w:rPr>
              <w:t>）：各主要分部施工方法能满足项目需求，有施工技术方案，能指导具体施工并确保安全；</w:t>
            </w:r>
          </w:p>
          <w:p w14:paraId="719B4B7E">
            <w:pPr>
              <w:spacing w:line="360" w:lineRule="auto"/>
              <w:ind w:firstLine="420" w:firstLineChars="200"/>
              <w:rPr>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）：各主要分部施工方法不能满足项目需求，没有施工技术方案，不能指导具体施工并确保安全。</w:t>
            </w:r>
          </w:p>
        </w:tc>
        <w:tc>
          <w:tcPr>
            <w:tcW w:w="794" w:type="dxa"/>
            <w:noWrap w:val="0"/>
            <w:vAlign w:val="center"/>
          </w:tcPr>
          <w:p w14:paraId="4D387C3D">
            <w:pPr>
              <w:spacing w:line="360" w:lineRule="auto"/>
              <w:jc w:val="center"/>
              <w:rPr>
                <w:bCs/>
                <w:color w:val="auto"/>
                <w:szCs w:val="21"/>
                <w:highlight w:val="none"/>
              </w:rPr>
            </w:pPr>
            <w:r>
              <w:rPr>
                <w:rFonts w:hint="eastAsia"/>
                <w:bCs/>
                <w:color w:val="auto"/>
                <w:szCs w:val="21"/>
                <w:highlight w:val="none"/>
                <w:lang w:val="en-US" w:eastAsia="zh-CN"/>
              </w:rPr>
              <w:t>10</w:t>
            </w:r>
            <w:r>
              <w:rPr>
                <w:bCs/>
                <w:color w:val="auto"/>
                <w:szCs w:val="21"/>
                <w:highlight w:val="none"/>
              </w:rPr>
              <w:t>分</w:t>
            </w:r>
          </w:p>
        </w:tc>
      </w:tr>
      <w:tr w14:paraId="621E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64EE1AEB">
            <w:pPr>
              <w:spacing w:line="360" w:lineRule="auto"/>
              <w:jc w:val="center"/>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lang w:val="en-US" w:eastAsia="zh-CN"/>
              </w:rPr>
              <w:t>4</w:t>
            </w:r>
          </w:p>
        </w:tc>
        <w:tc>
          <w:tcPr>
            <w:tcW w:w="1108" w:type="dxa"/>
            <w:noWrap w:val="0"/>
            <w:vAlign w:val="center"/>
          </w:tcPr>
          <w:p w14:paraId="07B7E511">
            <w:pPr>
              <w:spacing w:line="360" w:lineRule="auto"/>
              <w:jc w:val="center"/>
              <w:rPr>
                <w:rFonts w:ascii="Times New Roman" w:hAnsi="Times New Roman" w:eastAsia="宋体" w:cs="Times New Roman"/>
                <w:bCs/>
                <w:color w:val="auto"/>
                <w:kern w:val="2"/>
                <w:sz w:val="21"/>
                <w:szCs w:val="21"/>
                <w:highlight w:val="none"/>
                <w:lang w:val="en-US" w:eastAsia="zh-CN" w:bidi="ar-SA"/>
              </w:rPr>
            </w:pPr>
            <w:r>
              <w:rPr>
                <w:bCs/>
                <w:color w:val="auto"/>
                <w:szCs w:val="21"/>
                <w:highlight w:val="none"/>
              </w:rPr>
              <w:t>技术分</w:t>
            </w:r>
          </w:p>
        </w:tc>
        <w:tc>
          <w:tcPr>
            <w:tcW w:w="7038" w:type="dxa"/>
            <w:noWrap w:val="0"/>
            <w:vAlign w:val="top"/>
          </w:tcPr>
          <w:p w14:paraId="04B4B123">
            <w:pPr>
              <w:spacing w:line="360" w:lineRule="auto"/>
              <w:rPr>
                <w:rFonts w:hint="eastAsia" w:eastAsia="宋体"/>
                <w:b/>
                <w:bCs/>
                <w:color w:val="auto"/>
                <w:highlight w:val="none"/>
                <w:lang w:eastAsia="zh-CN"/>
              </w:rPr>
            </w:pPr>
            <w:r>
              <w:rPr>
                <w:rFonts w:hint="default" w:ascii="Times New Roman" w:hAnsi="Times New Roman" w:eastAsia="宋体" w:cs="Times New Roman"/>
                <w:b/>
                <w:bCs w:val="0"/>
                <w:color w:val="auto"/>
                <w:kern w:val="2"/>
                <w:sz w:val="21"/>
                <w:szCs w:val="21"/>
                <w:highlight w:val="none"/>
                <w:lang w:val="en-US" w:eastAsia="zh-CN" w:bidi="ar-SA"/>
              </w:rPr>
              <w:t>施工进度计划和各阶段进度的保证措施</w:t>
            </w:r>
            <w:r>
              <w:rPr>
                <w:rFonts w:hint="eastAsia" w:eastAsia="宋体"/>
                <w:b/>
                <w:bCs/>
                <w:color w:val="auto"/>
                <w:highlight w:val="none"/>
              </w:rPr>
              <w:t>（</w:t>
            </w:r>
            <w:r>
              <w:rPr>
                <w:rFonts w:hint="eastAsia"/>
                <w:b/>
                <w:bCs/>
                <w:color w:val="auto"/>
                <w:highlight w:val="none"/>
                <w:lang w:val="en-US" w:eastAsia="zh-CN"/>
              </w:rPr>
              <w:t>9</w:t>
            </w:r>
            <w:r>
              <w:rPr>
                <w:rFonts w:hint="eastAsia" w:eastAsia="宋体"/>
                <w:b/>
                <w:bCs/>
                <w:color w:val="auto"/>
                <w:highlight w:val="none"/>
              </w:rPr>
              <w:t>分）</w:t>
            </w:r>
            <w:r>
              <w:rPr>
                <w:rFonts w:hint="eastAsia" w:eastAsia="宋体"/>
                <w:b/>
                <w:bCs/>
                <w:color w:val="auto"/>
                <w:highlight w:val="none"/>
                <w:lang w:eastAsia="zh-CN"/>
              </w:rPr>
              <w:t>：</w:t>
            </w:r>
          </w:p>
          <w:p w14:paraId="0931A7F3">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9</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0</w:t>
            </w:r>
            <w:r>
              <w:rPr>
                <w:rFonts w:hint="default" w:ascii="Times New Roman" w:hAnsi="Times New Roman" w:eastAsia="宋体" w:cs="Times New Roman"/>
                <w:b w:val="0"/>
                <w:bCs/>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宋体" w:hAnsi="宋体" w:eastAsia="宋体" w:cs="宋体"/>
                <w:color w:val="auto"/>
                <w:highlight w:val="none"/>
              </w:rPr>
              <w:t>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进度偏差管理措施。有施工总进度表或施工网络图，各项计划图表编制完善。施工进度安排满足</w:t>
            </w:r>
            <w:r>
              <w:rPr>
                <w:rFonts w:hint="default" w:ascii="Times New Roman" w:hAnsi="Times New Roman" w:eastAsia="宋体" w:cs="Times New Roman"/>
                <w:b w:val="0"/>
                <w:bCs/>
                <w:color w:val="auto"/>
                <w:kern w:val="2"/>
                <w:sz w:val="21"/>
                <w:szCs w:val="21"/>
                <w:highlight w:val="none"/>
                <w:lang w:val="en-US" w:eastAsia="zh-CN" w:bidi="ar-SA"/>
              </w:rPr>
              <w:t>项目需求</w:t>
            </w:r>
            <w:r>
              <w:rPr>
                <w:rFonts w:hint="eastAsia" w:ascii="宋体" w:hAnsi="宋体" w:eastAsia="宋体" w:cs="宋体"/>
                <w:color w:val="auto"/>
                <w:highlight w:val="none"/>
              </w:rPr>
              <w:t>，关键线路清晰、准确，计划编制合理，主体工程完工等关键节点的工期保证措施合理，适时采取“三班倒”等有效赶工措施的</w:t>
            </w:r>
            <w:r>
              <w:rPr>
                <w:rFonts w:hint="default" w:ascii="Times New Roman" w:hAnsi="Times New Roman" w:eastAsia="宋体" w:cs="Times New Roman"/>
                <w:b w:val="0"/>
                <w:bCs/>
                <w:color w:val="auto"/>
                <w:kern w:val="2"/>
                <w:sz w:val="21"/>
                <w:szCs w:val="21"/>
                <w:highlight w:val="none"/>
                <w:lang w:val="en-US" w:eastAsia="zh-CN" w:bidi="ar-SA"/>
              </w:rPr>
              <w:t>；</w:t>
            </w:r>
          </w:p>
          <w:p w14:paraId="3896C555">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6</w:t>
            </w:r>
            <w:r>
              <w:rPr>
                <w:rFonts w:hint="default" w:ascii="Times New Roman" w:hAnsi="Times New Roman" w:eastAsia="宋体" w:cs="Times New Roman"/>
                <w:b w:val="0"/>
                <w:bCs/>
                <w:color w:val="auto"/>
                <w:kern w:val="0"/>
                <w:sz w:val="21"/>
                <w:szCs w:val="21"/>
                <w:highlight w:val="none"/>
                <w:lang w:val="en-US" w:eastAsia="zh-CN" w:bidi="ar-SA"/>
              </w:rPr>
              <w:t>.0分）</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宋体" w:hAnsi="宋体" w:eastAsia="宋体" w:cs="宋体"/>
                <w:color w:val="auto"/>
                <w:highlight w:val="none"/>
              </w:rPr>
              <w:t>有控制工期的施工进度计划。有施工总进度表或施工网络图。关键线路基本准确，计划编制基本合理，主体工程完工等关键节点的工期保证措施基本合理、</w:t>
            </w:r>
            <w:r>
              <w:rPr>
                <w:rFonts w:hint="eastAsia"/>
                <w:lang w:val="en-US" w:eastAsia="zh-CN"/>
              </w:rPr>
              <w:t>有可行性</w:t>
            </w:r>
            <w:r>
              <w:rPr>
                <w:rFonts w:hint="eastAsia" w:ascii="宋体" w:hAnsi="宋体" w:eastAsia="宋体" w:cs="宋体"/>
                <w:color w:val="auto"/>
                <w:highlight w:val="none"/>
              </w:rPr>
              <w:t>，有基本符合工程实际的赶工措施的</w:t>
            </w:r>
            <w:r>
              <w:rPr>
                <w:rFonts w:hint="default" w:ascii="Times New Roman" w:hAnsi="Times New Roman" w:eastAsia="宋体" w:cs="Times New Roman"/>
                <w:b w:val="0"/>
                <w:bCs/>
                <w:color w:val="auto"/>
                <w:kern w:val="2"/>
                <w:sz w:val="21"/>
                <w:szCs w:val="21"/>
                <w:highlight w:val="none"/>
                <w:lang w:val="en-US" w:eastAsia="zh-CN" w:bidi="ar-SA"/>
              </w:rPr>
              <w:t>；</w:t>
            </w:r>
          </w:p>
          <w:p w14:paraId="24B10DA3">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三档</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cs="Times New Roman"/>
                <w:b w:val="0"/>
                <w:bCs/>
                <w:color w:val="auto"/>
                <w:kern w:val="0"/>
                <w:sz w:val="21"/>
                <w:szCs w:val="21"/>
                <w:highlight w:val="none"/>
                <w:lang w:val="en-US" w:eastAsia="zh-CN" w:bidi="ar-SA"/>
              </w:rPr>
              <w:t>0</w:t>
            </w:r>
            <w:r>
              <w:rPr>
                <w:rFonts w:hint="default" w:ascii="Times New Roman" w:hAnsi="Times New Roman" w:eastAsia="宋体" w:cs="Times New Roman"/>
                <w:b w:val="0"/>
                <w:bCs/>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宋体" w:hAnsi="宋体" w:eastAsia="宋体" w:cs="宋体"/>
                <w:color w:val="auto"/>
                <w:highlight w:val="none"/>
              </w:rPr>
              <w:t>有控制工期的施工进度计划。</w:t>
            </w:r>
            <w:r>
              <w:rPr>
                <w:rStyle w:val="30"/>
                <w:rFonts w:ascii="宋体" w:hAnsi="宋体" w:eastAsia="宋体" w:cs="宋体"/>
                <w:b w:val="0"/>
                <w:color w:val="auto"/>
                <w:sz w:val="21"/>
                <w:szCs w:val="24"/>
                <w:highlight w:val="none"/>
              </w:rPr>
              <w:t>但关键线路不准确，计划编制</w:t>
            </w:r>
            <w:r>
              <w:rPr>
                <w:rStyle w:val="30"/>
                <w:rFonts w:hint="eastAsia" w:ascii="宋体" w:hAnsi="宋体" w:cs="宋体"/>
                <w:b w:val="0"/>
                <w:color w:val="auto"/>
                <w:sz w:val="21"/>
                <w:szCs w:val="24"/>
                <w:highlight w:val="none"/>
                <w:lang w:val="en-US" w:eastAsia="zh-CN"/>
              </w:rPr>
              <w:t>简单</w:t>
            </w:r>
            <w:r>
              <w:rPr>
                <w:rStyle w:val="30"/>
                <w:rFonts w:ascii="宋体" w:hAnsi="宋体" w:eastAsia="宋体" w:cs="宋体"/>
                <w:b w:val="0"/>
                <w:color w:val="auto"/>
                <w:sz w:val="21"/>
                <w:szCs w:val="24"/>
                <w:highlight w:val="none"/>
              </w:rPr>
              <w:t>，主体工程完工等关键节点的工期保证措施</w:t>
            </w:r>
            <w:r>
              <w:rPr>
                <w:rStyle w:val="30"/>
                <w:rFonts w:hint="eastAsia" w:ascii="宋体" w:hAnsi="宋体" w:eastAsia="宋体" w:cs="宋体"/>
                <w:b w:val="0"/>
                <w:color w:val="auto"/>
                <w:sz w:val="21"/>
                <w:szCs w:val="24"/>
                <w:highlight w:val="none"/>
                <w:lang w:val="en-US" w:eastAsia="zh-CN"/>
              </w:rPr>
              <w:t>没有</w:t>
            </w:r>
            <w:r>
              <w:rPr>
                <w:rStyle w:val="30"/>
                <w:rFonts w:ascii="宋体" w:hAnsi="宋体" w:eastAsia="宋体" w:cs="宋体"/>
                <w:b w:val="0"/>
                <w:color w:val="auto"/>
                <w:sz w:val="21"/>
                <w:szCs w:val="24"/>
                <w:highlight w:val="none"/>
              </w:rPr>
              <w:t>结合工程实际的</w:t>
            </w:r>
            <w:r>
              <w:rPr>
                <w:rFonts w:hint="default" w:ascii="Times New Roman" w:hAnsi="Times New Roman" w:eastAsia="宋体" w:cs="Times New Roman"/>
                <w:b w:val="0"/>
                <w:bCs/>
                <w:color w:val="auto"/>
                <w:kern w:val="2"/>
                <w:sz w:val="21"/>
                <w:szCs w:val="21"/>
                <w:highlight w:val="none"/>
                <w:lang w:val="en-US" w:eastAsia="zh-CN" w:bidi="ar-SA"/>
              </w:rPr>
              <w:t>；</w:t>
            </w:r>
          </w:p>
          <w:p w14:paraId="56A7846B">
            <w:pPr>
              <w:spacing w:line="360" w:lineRule="auto"/>
              <w:ind w:firstLine="420" w:firstLineChars="200"/>
              <w:rPr>
                <w:rFonts w:hint="eastAsia"/>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）：关键线路不准确，计划编制</w:t>
            </w:r>
            <w:r>
              <w:rPr>
                <w:rFonts w:hint="eastAsia" w:cs="Times New Roman"/>
                <w:b w:val="0"/>
                <w:bCs/>
                <w:color w:val="auto"/>
                <w:kern w:val="2"/>
                <w:sz w:val="21"/>
                <w:szCs w:val="21"/>
                <w:highlight w:val="none"/>
                <w:lang w:val="en-US" w:eastAsia="zh-CN" w:bidi="ar-SA"/>
              </w:rPr>
              <w:t>不合理</w:t>
            </w:r>
            <w:r>
              <w:rPr>
                <w:rFonts w:hint="default" w:ascii="Times New Roman" w:hAnsi="Times New Roman" w:eastAsia="宋体" w:cs="Times New Roman"/>
                <w:b w:val="0"/>
                <w:bCs/>
                <w:color w:val="auto"/>
                <w:kern w:val="2"/>
                <w:sz w:val="21"/>
                <w:szCs w:val="21"/>
                <w:highlight w:val="none"/>
                <w:lang w:val="en-US" w:eastAsia="zh-CN" w:bidi="ar-SA"/>
              </w:rPr>
              <w:t>，关键节点的控制</w:t>
            </w:r>
            <w:r>
              <w:rPr>
                <w:rFonts w:hint="eastAsia"/>
                <w:lang w:val="en-US" w:eastAsia="zh-CN"/>
              </w:rPr>
              <w:t>无可行性</w:t>
            </w:r>
            <w:r>
              <w:rPr>
                <w:rFonts w:hint="default" w:ascii="Times New Roman" w:hAnsi="Times New Roman" w:eastAsia="宋体" w:cs="Times New Roman"/>
                <w:b w:val="0"/>
                <w:bCs/>
                <w:color w:val="auto"/>
                <w:kern w:val="2"/>
                <w:sz w:val="21"/>
                <w:szCs w:val="21"/>
                <w:highlight w:val="none"/>
                <w:lang w:val="en-US" w:eastAsia="zh-CN" w:bidi="ar-SA"/>
              </w:rPr>
              <w:t>。</w:t>
            </w:r>
          </w:p>
        </w:tc>
        <w:tc>
          <w:tcPr>
            <w:tcW w:w="794" w:type="dxa"/>
            <w:noWrap w:val="0"/>
            <w:vAlign w:val="center"/>
          </w:tcPr>
          <w:p w14:paraId="5E4AA754">
            <w:pPr>
              <w:spacing w:line="360" w:lineRule="auto"/>
              <w:jc w:val="center"/>
              <w:rPr>
                <w:rFonts w:hint="default"/>
                <w:bCs/>
                <w:color w:val="auto"/>
                <w:szCs w:val="21"/>
                <w:highlight w:val="none"/>
                <w:lang w:val="en-US" w:eastAsia="zh-CN"/>
              </w:rPr>
            </w:pPr>
            <w:r>
              <w:rPr>
                <w:rFonts w:hint="eastAsia"/>
                <w:bCs/>
                <w:color w:val="auto"/>
                <w:szCs w:val="21"/>
                <w:highlight w:val="none"/>
                <w:lang w:val="en-US" w:eastAsia="zh-CN"/>
              </w:rPr>
              <w:t>9分</w:t>
            </w:r>
          </w:p>
        </w:tc>
      </w:tr>
      <w:tr w14:paraId="6815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26E4884F">
            <w:pPr>
              <w:spacing w:line="360" w:lineRule="auto"/>
              <w:jc w:val="center"/>
              <w:rPr>
                <w:rFonts w:hint="eastAsia" w:eastAsia="宋体"/>
                <w:bCs/>
                <w:color w:val="auto"/>
                <w:szCs w:val="21"/>
                <w:highlight w:val="none"/>
                <w:lang w:eastAsia="zh-CN"/>
              </w:rPr>
            </w:pPr>
            <w:r>
              <w:rPr>
                <w:rFonts w:hint="eastAsia"/>
                <w:bCs/>
                <w:color w:val="auto"/>
                <w:szCs w:val="21"/>
                <w:highlight w:val="none"/>
                <w:lang w:val="en-US" w:eastAsia="zh-CN"/>
              </w:rPr>
              <w:t>5</w:t>
            </w:r>
          </w:p>
        </w:tc>
        <w:tc>
          <w:tcPr>
            <w:tcW w:w="1108" w:type="dxa"/>
            <w:noWrap w:val="0"/>
            <w:vAlign w:val="center"/>
          </w:tcPr>
          <w:p w14:paraId="1495E69E">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6017E8C9">
            <w:pPr>
              <w:spacing w:line="360" w:lineRule="auto"/>
              <w:rPr>
                <w:rFonts w:hint="eastAsia" w:eastAsia="宋体"/>
                <w:b/>
                <w:bCs/>
                <w:color w:val="auto"/>
                <w:highlight w:val="none"/>
                <w:lang w:eastAsia="zh-CN"/>
              </w:rPr>
            </w:pPr>
            <w:r>
              <w:rPr>
                <w:rFonts w:hint="default" w:ascii="Times New Roman" w:hAnsi="Times New Roman" w:eastAsia="宋体" w:cs="Times New Roman"/>
                <w:b/>
                <w:bCs w:val="0"/>
                <w:color w:val="auto"/>
                <w:kern w:val="2"/>
                <w:sz w:val="21"/>
                <w:szCs w:val="22"/>
                <w:highlight w:val="none"/>
                <w:lang w:val="en-US" w:eastAsia="zh-CN" w:bidi="ar-SA"/>
              </w:rPr>
              <w:t>劳动力</w:t>
            </w:r>
            <w:r>
              <w:rPr>
                <w:rFonts w:hint="default" w:ascii="Times New Roman" w:hAnsi="Times New Roman" w:eastAsia="宋体" w:cs="Times New Roman"/>
                <w:b/>
                <w:bCs w:val="0"/>
                <w:color w:val="auto"/>
                <w:kern w:val="2"/>
                <w:sz w:val="21"/>
                <w:szCs w:val="21"/>
                <w:highlight w:val="none"/>
                <w:lang w:val="en-US" w:eastAsia="zh-CN" w:bidi="ar-SA"/>
              </w:rPr>
              <w:t>和材料投入计划及其保证措施</w:t>
            </w:r>
            <w:r>
              <w:rPr>
                <w:rFonts w:hint="eastAsia"/>
                <w:b/>
                <w:bCs/>
                <w:color w:val="auto"/>
                <w:highlight w:val="none"/>
              </w:rPr>
              <w:t>（满分</w:t>
            </w:r>
            <w:r>
              <w:rPr>
                <w:rFonts w:hint="eastAsia"/>
                <w:b/>
                <w:bCs/>
                <w:color w:val="auto"/>
                <w:highlight w:val="none"/>
                <w:lang w:val="en-US" w:eastAsia="zh-CN"/>
              </w:rPr>
              <w:t>9</w:t>
            </w:r>
            <w:r>
              <w:rPr>
                <w:rFonts w:hint="eastAsia"/>
                <w:b/>
                <w:bCs/>
                <w:color w:val="auto"/>
                <w:highlight w:val="none"/>
              </w:rPr>
              <w:t>分）</w:t>
            </w:r>
            <w:r>
              <w:rPr>
                <w:rFonts w:hint="eastAsia"/>
                <w:b/>
                <w:bCs/>
                <w:color w:val="auto"/>
                <w:highlight w:val="none"/>
                <w:lang w:eastAsia="zh-CN"/>
              </w:rPr>
              <w:t>：</w:t>
            </w:r>
          </w:p>
          <w:p w14:paraId="46CEFFDF">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9</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宋体" w:hAnsi="宋体" w:eastAsia="宋体" w:cs="宋体"/>
                <w:color w:val="auto"/>
                <w:highlight w:val="none"/>
              </w:rPr>
              <w:t>投入的</w:t>
            </w:r>
            <w:r>
              <w:rPr>
                <w:rStyle w:val="30"/>
                <w:rFonts w:ascii="宋体" w:hAnsi="宋体" w:eastAsia="宋体" w:cs="宋体"/>
                <w:b w:val="0"/>
                <w:color w:val="auto"/>
                <w:sz w:val="21"/>
                <w:szCs w:val="24"/>
                <w:highlight w:val="none"/>
              </w:rPr>
              <w:t>资源</w:t>
            </w:r>
            <w:r>
              <w:rPr>
                <w:rStyle w:val="30"/>
                <w:rFonts w:hint="eastAsia" w:ascii="宋体" w:hAnsi="宋体" w:eastAsia="宋体" w:cs="宋体"/>
                <w:b w:val="0"/>
                <w:color w:val="auto"/>
                <w:sz w:val="21"/>
                <w:szCs w:val="24"/>
                <w:highlight w:val="none"/>
                <w:lang w:eastAsia="zh-CN"/>
              </w:rPr>
              <w:t>、</w:t>
            </w:r>
            <w:r>
              <w:rPr>
                <w:rFonts w:hint="eastAsia" w:ascii="宋体" w:hAnsi="宋体" w:eastAsia="宋体" w:cs="宋体"/>
                <w:color w:val="auto"/>
                <w:highlight w:val="none"/>
                <w:lang w:eastAsia="zh-CN"/>
              </w:rPr>
              <w:t>施工机械设备、</w:t>
            </w:r>
            <w:r>
              <w:rPr>
                <w:rFonts w:hint="eastAsia" w:ascii="宋体" w:hAnsi="宋体" w:eastAsia="宋体" w:cs="宋体"/>
                <w:color w:val="auto"/>
                <w:highlight w:val="none"/>
              </w:rPr>
              <w:t>主要物资计划</w:t>
            </w:r>
            <w:r>
              <w:rPr>
                <w:rFonts w:hint="eastAsia" w:ascii="宋体" w:hAnsi="宋体" w:eastAsia="宋体" w:cs="宋体"/>
                <w:color w:val="auto"/>
                <w:szCs w:val="21"/>
                <w:highlight w:val="none"/>
                <w:lang w:eastAsia="zh-CN"/>
              </w:rPr>
              <w:t>有详细的组织计划且计划周密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设备</w:t>
            </w:r>
            <w:r>
              <w:rPr>
                <w:rFonts w:hint="eastAsia" w:ascii="宋体" w:hAnsi="宋体" w:eastAsia="宋体" w:cs="宋体"/>
                <w:color w:val="auto"/>
                <w:szCs w:val="21"/>
                <w:highlight w:val="none"/>
                <w:lang w:eastAsia="zh-CN"/>
              </w:rPr>
              <w:t>选型配置、进场时间安排合理，</w:t>
            </w:r>
            <w:r>
              <w:rPr>
                <w:rFonts w:hint="eastAsia" w:ascii="宋体" w:hAnsi="宋体" w:eastAsia="宋体" w:cs="宋体"/>
                <w:color w:val="auto"/>
                <w:highlight w:val="none"/>
              </w:rPr>
              <w:t>满足施工需要，材料物资采购及供应保证措施，定量定点堆放物资。各主要施工工序有周密的劳动力安排计划，不窝工，各工种劳动力安排计划切实高效，有</w:t>
            </w:r>
            <w:r>
              <w:rPr>
                <w:rFonts w:hint="eastAsia" w:ascii="宋体" w:hAnsi="宋体" w:cs="宋体"/>
                <w:color w:val="auto"/>
                <w:highlight w:val="none"/>
                <w:lang w:val="en-US" w:eastAsia="zh-CN"/>
              </w:rPr>
              <w:t>详细</w:t>
            </w:r>
            <w:r>
              <w:rPr>
                <w:rFonts w:hint="eastAsia" w:ascii="宋体" w:hAnsi="宋体" w:eastAsia="宋体" w:cs="宋体"/>
                <w:color w:val="auto"/>
                <w:highlight w:val="none"/>
              </w:rPr>
              <w:t>的劳动力保障措施，能满足施工需要且衔接得当</w:t>
            </w:r>
            <w:r>
              <w:rPr>
                <w:rFonts w:hint="default" w:ascii="Times New Roman" w:hAnsi="Times New Roman" w:eastAsia="宋体" w:cs="Times New Roman"/>
                <w:b w:val="0"/>
                <w:bCs/>
                <w:color w:val="auto"/>
                <w:kern w:val="2"/>
                <w:sz w:val="21"/>
                <w:szCs w:val="21"/>
                <w:highlight w:val="none"/>
                <w:lang w:val="en-US" w:eastAsia="zh-CN" w:bidi="ar-SA"/>
              </w:rPr>
              <w:t>；</w:t>
            </w:r>
          </w:p>
          <w:p w14:paraId="2C8ACEA7">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6</w:t>
            </w:r>
            <w:r>
              <w:rPr>
                <w:rFonts w:hint="default" w:ascii="Times New Roman" w:hAnsi="Times New Roman" w:eastAsia="宋体" w:cs="Times New Roman"/>
                <w:b w:val="0"/>
                <w:bCs w:val="0"/>
                <w:color w:val="auto"/>
                <w:kern w:val="0"/>
                <w:sz w:val="21"/>
                <w:szCs w:val="21"/>
                <w:highlight w:val="none"/>
                <w:lang w:val="en-US" w:eastAsia="zh-CN" w:bidi="ar-SA"/>
              </w:rPr>
              <w:t>.0分</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ascii="宋体" w:hAnsi="宋体" w:eastAsia="宋体" w:cs="宋体"/>
                <w:color w:val="auto"/>
                <w:highlight w:val="none"/>
              </w:rPr>
              <w:t>投入的</w:t>
            </w:r>
            <w:r>
              <w:rPr>
                <w:rStyle w:val="30"/>
                <w:rFonts w:ascii="宋体" w:hAnsi="宋体" w:eastAsia="宋体" w:cs="宋体"/>
                <w:b w:val="0"/>
                <w:color w:val="auto"/>
                <w:sz w:val="21"/>
                <w:szCs w:val="24"/>
                <w:highlight w:val="none"/>
              </w:rPr>
              <w:t>资源</w:t>
            </w:r>
            <w:r>
              <w:rPr>
                <w:rStyle w:val="30"/>
                <w:rFonts w:hint="eastAsia" w:ascii="宋体" w:hAnsi="宋体" w:eastAsia="宋体" w:cs="宋体"/>
                <w:b w:val="0"/>
                <w:color w:val="auto"/>
                <w:sz w:val="21"/>
                <w:szCs w:val="24"/>
                <w:highlight w:val="none"/>
                <w:lang w:eastAsia="zh-CN"/>
              </w:rPr>
              <w:t>、</w:t>
            </w:r>
            <w:r>
              <w:rPr>
                <w:rFonts w:hint="eastAsia" w:ascii="宋体" w:hAnsi="宋体" w:eastAsia="宋体" w:cs="宋体"/>
                <w:color w:val="auto"/>
                <w:highlight w:val="none"/>
                <w:lang w:eastAsia="zh-CN"/>
              </w:rPr>
              <w:t>施工机械设备、</w:t>
            </w:r>
            <w:r>
              <w:rPr>
                <w:rFonts w:hint="eastAsia" w:ascii="宋体" w:hAnsi="宋体" w:eastAsia="宋体" w:cs="宋体"/>
                <w:color w:val="auto"/>
                <w:highlight w:val="none"/>
              </w:rPr>
              <w:t>主要物资计划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设备</w:t>
            </w:r>
            <w:r>
              <w:rPr>
                <w:rFonts w:hint="eastAsia" w:ascii="宋体" w:hAnsi="宋体" w:eastAsia="宋体" w:cs="宋体"/>
                <w:color w:val="auto"/>
                <w:szCs w:val="21"/>
                <w:highlight w:val="none"/>
                <w:lang w:eastAsia="zh-CN"/>
              </w:rPr>
              <w:t>选型配置、进场投入计划</w:t>
            </w:r>
            <w:r>
              <w:rPr>
                <w:rFonts w:hint="eastAsia" w:ascii="宋体" w:hAnsi="宋体" w:eastAsia="宋体" w:cs="宋体"/>
                <w:color w:val="auto"/>
                <w:highlight w:val="none"/>
              </w:rPr>
              <w:t>与进度计划呼应，满足施工需要，定量定点堆放物资。各主要施工工序有周密的劳动力安排计划，不窝工，有各工种劳动力安排计划，能满足施工需要。</w:t>
            </w:r>
            <w:r>
              <w:rPr>
                <w:rStyle w:val="30"/>
                <w:rFonts w:ascii="宋体" w:hAnsi="宋体" w:eastAsia="宋体" w:cs="宋体"/>
                <w:b w:val="0"/>
                <w:color w:val="auto"/>
                <w:sz w:val="21"/>
                <w:szCs w:val="24"/>
                <w:highlight w:val="none"/>
              </w:rPr>
              <w:t>投入资源计划与进度计划呼应，满足施工需要</w:t>
            </w:r>
            <w:r>
              <w:rPr>
                <w:rFonts w:hint="default" w:ascii="Times New Roman" w:hAnsi="Times New Roman" w:eastAsia="宋体" w:cs="Times New Roman"/>
                <w:b w:val="0"/>
                <w:bCs/>
                <w:color w:val="auto"/>
                <w:kern w:val="2"/>
                <w:sz w:val="21"/>
                <w:szCs w:val="21"/>
                <w:highlight w:val="none"/>
                <w:lang w:val="en-US" w:eastAsia="zh-CN" w:bidi="ar-SA"/>
              </w:rPr>
              <w:t>；</w:t>
            </w:r>
          </w:p>
          <w:p w14:paraId="7D8A26C8">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三档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3</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w:t>
            </w:r>
            <w:r>
              <w:rPr>
                <w:rStyle w:val="30"/>
                <w:rFonts w:hint="eastAsia" w:ascii="宋体" w:hAnsi="宋体" w:eastAsia="宋体" w:cs="宋体"/>
                <w:b w:val="0"/>
                <w:color w:val="auto"/>
                <w:sz w:val="21"/>
                <w:szCs w:val="24"/>
                <w:highlight w:val="none"/>
                <w:lang w:val="en-US" w:eastAsia="zh-CN"/>
              </w:rPr>
              <w:t>有</w:t>
            </w:r>
            <w:r>
              <w:rPr>
                <w:rFonts w:hint="eastAsia" w:ascii="宋体" w:hAnsi="宋体" w:eastAsia="宋体" w:cs="宋体"/>
                <w:color w:val="auto"/>
                <w:highlight w:val="none"/>
              </w:rPr>
              <w:t>投入的</w:t>
            </w:r>
            <w:r>
              <w:rPr>
                <w:rStyle w:val="30"/>
                <w:rFonts w:ascii="宋体" w:hAnsi="宋体" w:eastAsia="宋体" w:cs="宋体"/>
                <w:b w:val="0"/>
                <w:color w:val="auto"/>
                <w:sz w:val="21"/>
                <w:szCs w:val="24"/>
                <w:highlight w:val="none"/>
              </w:rPr>
              <w:t>资源</w:t>
            </w:r>
            <w:r>
              <w:rPr>
                <w:rStyle w:val="30"/>
                <w:rFonts w:hint="eastAsia" w:ascii="宋体" w:hAnsi="宋体" w:eastAsia="宋体" w:cs="宋体"/>
                <w:b w:val="0"/>
                <w:color w:val="auto"/>
                <w:sz w:val="21"/>
                <w:szCs w:val="24"/>
                <w:highlight w:val="none"/>
                <w:lang w:eastAsia="zh-CN"/>
              </w:rPr>
              <w:t>、</w:t>
            </w:r>
            <w:r>
              <w:rPr>
                <w:rFonts w:hint="eastAsia" w:ascii="宋体" w:hAnsi="宋体" w:eastAsia="宋体" w:cs="宋体"/>
                <w:color w:val="auto"/>
                <w:highlight w:val="none"/>
                <w:lang w:eastAsia="zh-CN"/>
              </w:rPr>
              <w:t>施工机械设备、</w:t>
            </w:r>
            <w:r>
              <w:rPr>
                <w:rFonts w:hint="eastAsia" w:ascii="宋体" w:hAnsi="宋体" w:eastAsia="宋体" w:cs="宋体"/>
                <w:color w:val="auto"/>
                <w:highlight w:val="none"/>
              </w:rPr>
              <w:t>施工材料有组织计划，基本满足施工需要。各主要施工工序有劳动力安排计划，有各工种劳动力安排计划，基本能满足施工需要</w:t>
            </w:r>
            <w:r>
              <w:rPr>
                <w:rFonts w:hint="default" w:ascii="Times New Roman" w:hAnsi="Times New Roman" w:eastAsia="宋体" w:cs="Times New Roman"/>
                <w:b w:val="0"/>
                <w:bCs/>
                <w:color w:val="auto"/>
                <w:kern w:val="2"/>
                <w:sz w:val="21"/>
                <w:szCs w:val="21"/>
                <w:highlight w:val="none"/>
                <w:lang w:val="en-US" w:eastAsia="zh-CN" w:bidi="ar-SA"/>
              </w:rPr>
              <w:t>；</w:t>
            </w:r>
          </w:p>
          <w:p w14:paraId="113EA76A">
            <w:pPr>
              <w:spacing w:line="360" w:lineRule="auto"/>
              <w:ind w:firstLine="420" w:firstLineChars="200"/>
              <w:rPr>
                <w:rFonts w:hint="eastAsia"/>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）：投入计划与进度计划不呼应，不能满足施工需要。</w:t>
            </w:r>
          </w:p>
        </w:tc>
        <w:tc>
          <w:tcPr>
            <w:tcW w:w="794" w:type="dxa"/>
            <w:noWrap w:val="0"/>
            <w:vAlign w:val="center"/>
          </w:tcPr>
          <w:p w14:paraId="1162A599">
            <w:pPr>
              <w:spacing w:line="360" w:lineRule="auto"/>
              <w:jc w:val="center"/>
              <w:rPr>
                <w:bCs/>
                <w:color w:val="auto"/>
                <w:szCs w:val="21"/>
                <w:highlight w:val="none"/>
              </w:rPr>
            </w:pPr>
            <w:r>
              <w:rPr>
                <w:rFonts w:hint="eastAsia"/>
                <w:bCs/>
                <w:color w:val="auto"/>
                <w:szCs w:val="21"/>
                <w:highlight w:val="none"/>
                <w:lang w:val="en-US" w:eastAsia="zh-CN"/>
              </w:rPr>
              <w:t>9</w:t>
            </w:r>
            <w:r>
              <w:rPr>
                <w:bCs/>
                <w:color w:val="auto"/>
                <w:szCs w:val="21"/>
                <w:highlight w:val="none"/>
              </w:rPr>
              <w:t>分</w:t>
            </w:r>
          </w:p>
        </w:tc>
      </w:tr>
      <w:tr w14:paraId="5202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3DF632E9">
            <w:pPr>
              <w:spacing w:line="360" w:lineRule="auto"/>
              <w:jc w:val="center"/>
              <w:rPr>
                <w:rFonts w:hint="eastAsia" w:eastAsia="宋体"/>
                <w:bCs/>
                <w:color w:val="auto"/>
                <w:szCs w:val="21"/>
                <w:highlight w:val="none"/>
                <w:lang w:eastAsia="zh-CN"/>
              </w:rPr>
            </w:pPr>
            <w:r>
              <w:rPr>
                <w:rFonts w:hint="eastAsia"/>
                <w:bCs/>
                <w:color w:val="auto"/>
                <w:szCs w:val="21"/>
                <w:highlight w:val="none"/>
                <w:lang w:val="en-US" w:eastAsia="zh-CN"/>
              </w:rPr>
              <w:t>6</w:t>
            </w:r>
          </w:p>
        </w:tc>
        <w:tc>
          <w:tcPr>
            <w:tcW w:w="1108" w:type="dxa"/>
            <w:noWrap w:val="0"/>
            <w:vAlign w:val="center"/>
          </w:tcPr>
          <w:p w14:paraId="05EB7789">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43A0CA22">
            <w:pPr>
              <w:spacing w:line="360" w:lineRule="auto"/>
              <w:rPr>
                <w:rFonts w:hint="eastAsia" w:eastAsia="宋体"/>
                <w:b/>
                <w:bCs/>
                <w:color w:val="auto"/>
                <w:highlight w:val="none"/>
                <w:lang w:eastAsia="zh-CN"/>
              </w:rPr>
            </w:pPr>
            <w:r>
              <w:rPr>
                <w:rFonts w:hint="eastAsia"/>
                <w:b/>
                <w:bCs/>
                <w:color w:val="auto"/>
                <w:highlight w:val="none"/>
                <w:lang w:val="en-US" w:eastAsia="zh-CN"/>
              </w:rPr>
              <w:t>施工平面布置和临时设施布置</w:t>
            </w:r>
            <w:r>
              <w:rPr>
                <w:rFonts w:hint="eastAsia"/>
                <w:b/>
                <w:bCs/>
                <w:color w:val="auto"/>
                <w:highlight w:val="none"/>
              </w:rPr>
              <w:t>（满分</w:t>
            </w:r>
            <w:r>
              <w:rPr>
                <w:rFonts w:hint="eastAsia"/>
                <w:b/>
                <w:bCs/>
                <w:color w:val="auto"/>
                <w:highlight w:val="none"/>
                <w:lang w:val="en-US" w:eastAsia="zh-CN"/>
              </w:rPr>
              <w:t>9</w:t>
            </w:r>
            <w:r>
              <w:rPr>
                <w:rFonts w:hint="eastAsia"/>
                <w:b/>
                <w:bCs/>
                <w:color w:val="auto"/>
                <w:highlight w:val="none"/>
              </w:rPr>
              <w:t>分）</w:t>
            </w:r>
            <w:r>
              <w:rPr>
                <w:rFonts w:hint="eastAsia"/>
                <w:b/>
                <w:bCs/>
                <w:color w:val="auto"/>
                <w:highlight w:val="none"/>
                <w:lang w:eastAsia="zh-CN"/>
              </w:rPr>
              <w:t>：</w:t>
            </w:r>
          </w:p>
          <w:p w14:paraId="5DC43C50">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9</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）：总体布置有针对性、合理，满足施工需要，符合安全、文明生产要求；</w:t>
            </w:r>
          </w:p>
          <w:p w14:paraId="2ADA48E0">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6</w:t>
            </w:r>
            <w:r>
              <w:rPr>
                <w:rFonts w:hint="default" w:ascii="Times New Roman" w:hAnsi="Times New Roman" w:eastAsia="宋体" w:cs="Times New Roman"/>
                <w:b w:val="0"/>
                <w:bCs w:val="0"/>
                <w:color w:val="auto"/>
                <w:kern w:val="0"/>
                <w:sz w:val="21"/>
                <w:szCs w:val="21"/>
                <w:highlight w:val="none"/>
                <w:lang w:val="en-US" w:eastAsia="zh-CN" w:bidi="ar-SA"/>
              </w:rPr>
              <w:t>.0分</w:t>
            </w:r>
            <w:r>
              <w:rPr>
                <w:rFonts w:hint="default" w:ascii="Times New Roman" w:hAnsi="Times New Roman" w:eastAsia="宋体" w:cs="Times New Roman"/>
                <w:b w:val="0"/>
                <w:bCs/>
                <w:color w:val="auto"/>
                <w:kern w:val="2"/>
                <w:sz w:val="21"/>
                <w:szCs w:val="21"/>
                <w:highlight w:val="none"/>
                <w:lang w:val="en-US" w:eastAsia="zh-CN" w:bidi="ar-SA"/>
              </w:rPr>
              <w:t>）：总体布置合理，能满足施工需要，基本符合安全、文明生产要求；</w:t>
            </w:r>
          </w:p>
          <w:p w14:paraId="52C208E5">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三档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3</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）：总体布置基本合理，基本满足施工需要；</w:t>
            </w:r>
          </w:p>
          <w:p w14:paraId="2651D36C">
            <w:pPr>
              <w:spacing w:line="360" w:lineRule="auto"/>
              <w:ind w:firstLine="420" w:firstLineChars="200"/>
              <w:rPr>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）：总体布置不合理，不符合安全、文明生产要求。</w:t>
            </w:r>
          </w:p>
        </w:tc>
        <w:tc>
          <w:tcPr>
            <w:tcW w:w="794" w:type="dxa"/>
            <w:noWrap w:val="0"/>
            <w:vAlign w:val="center"/>
          </w:tcPr>
          <w:p w14:paraId="37CD269D">
            <w:pPr>
              <w:spacing w:line="360" w:lineRule="auto"/>
              <w:jc w:val="center"/>
              <w:rPr>
                <w:bCs/>
                <w:color w:val="auto"/>
                <w:szCs w:val="21"/>
                <w:highlight w:val="none"/>
              </w:rPr>
            </w:pPr>
            <w:r>
              <w:rPr>
                <w:rFonts w:hint="eastAsia"/>
                <w:bCs/>
                <w:color w:val="auto"/>
                <w:szCs w:val="21"/>
                <w:highlight w:val="none"/>
                <w:lang w:val="en-US" w:eastAsia="zh-CN"/>
              </w:rPr>
              <w:t>9</w:t>
            </w:r>
            <w:r>
              <w:rPr>
                <w:bCs/>
                <w:color w:val="auto"/>
                <w:szCs w:val="21"/>
                <w:highlight w:val="none"/>
              </w:rPr>
              <w:t>分</w:t>
            </w:r>
          </w:p>
        </w:tc>
      </w:tr>
      <w:tr w14:paraId="36E2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3FC0AA18">
            <w:pPr>
              <w:spacing w:line="360" w:lineRule="auto"/>
              <w:jc w:val="center"/>
              <w:rPr>
                <w:rFonts w:hint="eastAsia" w:eastAsia="宋体"/>
                <w:bCs/>
                <w:color w:val="auto"/>
                <w:szCs w:val="21"/>
                <w:highlight w:val="none"/>
                <w:lang w:eastAsia="zh-CN"/>
              </w:rPr>
            </w:pPr>
            <w:r>
              <w:rPr>
                <w:rFonts w:hint="eastAsia"/>
                <w:bCs/>
                <w:color w:val="auto"/>
                <w:szCs w:val="21"/>
                <w:highlight w:val="none"/>
                <w:lang w:val="en-US" w:eastAsia="zh-CN"/>
              </w:rPr>
              <w:t>7</w:t>
            </w:r>
          </w:p>
        </w:tc>
        <w:tc>
          <w:tcPr>
            <w:tcW w:w="1108" w:type="dxa"/>
            <w:noWrap w:val="0"/>
            <w:vAlign w:val="center"/>
          </w:tcPr>
          <w:p w14:paraId="186546AB">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0F7B5C95">
            <w:pPr>
              <w:spacing w:line="360" w:lineRule="auto"/>
              <w:rPr>
                <w:rFonts w:hint="eastAsia" w:eastAsia="宋体"/>
                <w:b/>
                <w:bCs/>
                <w:color w:val="auto"/>
                <w:highlight w:val="none"/>
                <w:lang w:eastAsia="zh-CN"/>
              </w:rPr>
            </w:pPr>
            <w:r>
              <w:rPr>
                <w:rFonts w:hint="default" w:ascii="Times New Roman" w:hAnsi="Times New Roman" w:eastAsia="宋体" w:cs="Times New Roman"/>
                <w:b/>
                <w:bCs w:val="0"/>
                <w:color w:val="auto"/>
                <w:kern w:val="2"/>
                <w:sz w:val="21"/>
                <w:szCs w:val="21"/>
                <w:highlight w:val="none"/>
                <w:lang w:val="en-US" w:eastAsia="zh-CN" w:bidi="ar-SA"/>
              </w:rPr>
              <w:t>关键</w:t>
            </w:r>
            <w:r>
              <w:rPr>
                <w:rFonts w:hint="default" w:ascii="Times New Roman" w:hAnsi="Times New Roman" w:eastAsia="宋体" w:cs="Times New Roman"/>
                <w:b/>
                <w:bCs w:val="0"/>
                <w:color w:val="auto"/>
                <w:kern w:val="2"/>
                <w:sz w:val="21"/>
                <w:szCs w:val="22"/>
                <w:highlight w:val="none"/>
                <w:lang w:val="en-US" w:eastAsia="zh-CN" w:bidi="ar-SA"/>
              </w:rPr>
              <w:t>施工</w:t>
            </w:r>
            <w:r>
              <w:rPr>
                <w:rFonts w:hint="default" w:ascii="Times New Roman" w:hAnsi="Times New Roman" w:eastAsia="宋体" w:cs="Times New Roman"/>
                <w:b/>
                <w:bCs w:val="0"/>
                <w:color w:val="auto"/>
                <w:kern w:val="2"/>
                <w:sz w:val="21"/>
                <w:szCs w:val="21"/>
                <w:highlight w:val="none"/>
                <w:lang w:val="en-US" w:eastAsia="zh-CN" w:bidi="ar-SA"/>
              </w:rPr>
              <w:t>技术、工艺及工程实施的重点、难点和解决方案</w:t>
            </w:r>
            <w:r>
              <w:rPr>
                <w:rFonts w:hint="eastAsia"/>
                <w:b/>
                <w:bCs/>
                <w:color w:val="auto"/>
                <w:highlight w:val="none"/>
              </w:rPr>
              <w:t>（满分</w:t>
            </w:r>
            <w:r>
              <w:rPr>
                <w:rFonts w:hint="eastAsia"/>
                <w:b/>
                <w:bCs/>
                <w:color w:val="auto"/>
                <w:highlight w:val="none"/>
                <w:lang w:val="en-US" w:eastAsia="zh-CN"/>
              </w:rPr>
              <w:t>9</w:t>
            </w:r>
            <w:r>
              <w:rPr>
                <w:rFonts w:hint="eastAsia"/>
                <w:b/>
                <w:bCs/>
                <w:color w:val="auto"/>
                <w:highlight w:val="none"/>
              </w:rPr>
              <w:t>分）</w:t>
            </w:r>
            <w:r>
              <w:rPr>
                <w:rFonts w:hint="eastAsia"/>
                <w:b/>
                <w:bCs/>
                <w:color w:val="auto"/>
                <w:highlight w:val="none"/>
                <w:lang w:eastAsia="zh-CN"/>
              </w:rPr>
              <w:t>：</w:t>
            </w:r>
          </w:p>
          <w:p w14:paraId="5FD4CF6A">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9</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）：对项目关键技术、工艺有深入的表达，对重点、难点有合理的施工措施并有可行</w:t>
            </w:r>
            <w:r>
              <w:rPr>
                <w:rFonts w:hint="eastAsia" w:cs="Times New Roman"/>
                <w:b w:val="0"/>
                <w:bCs/>
                <w:color w:val="auto"/>
                <w:kern w:val="2"/>
                <w:sz w:val="21"/>
                <w:szCs w:val="21"/>
                <w:highlight w:val="none"/>
                <w:lang w:val="en-US" w:eastAsia="zh-CN" w:bidi="ar-SA"/>
              </w:rPr>
              <w:t>性</w:t>
            </w:r>
            <w:r>
              <w:rPr>
                <w:rFonts w:hint="default" w:ascii="Times New Roman" w:hAnsi="Times New Roman" w:eastAsia="宋体" w:cs="Times New Roman"/>
                <w:b w:val="0"/>
                <w:bCs/>
                <w:color w:val="auto"/>
                <w:kern w:val="2"/>
                <w:sz w:val="21"/>
                <w:szCs w:val="21"/>
                <w:highlight w:val="none"/>
                <w:lang w:val="en-US" w:eastAsia="zh-CN" w:bidi="ar-SA"/>
              </w:rPr>
              <w:t>的安全措施，解决方案</w:t>
            </w:r>
            <w:r>
              <w:rPr>
                <w:rFonts w:hint="eastAsia" w:cs="Times New Roman"/>
                <w:b w:val="0"/>
                <w:bCs/>
                <w:color w:val="auto"/>
                <w:kern w:val="2"/>
                <w:sz w:val="21"/>
                <w:szCs w:val="21"/>
                <w:highlight w:val="none"/>
                <w:lang w:val="en-US" w:eastAsia="zh-CN" w:bidi="ar-SA"/>
              </w:rPr>
              <w:t>详细</w:t>
            </w:r>
            <w:r>
              <w:rPr>
                <w:rFonts w:hint="default" w:ascii="Times New Roman" w:hAnsi="Times New Roman" w:eastAsia="宋体" w:cs="Times New Roman"/>
                <w:b w:val="0"/>
                <w:bCs/>
                <w:color w:val="auto"/>
                <w:kern w:val="2"/>
                <w:sz w:val="21"/>
                <w:szCs w:val="21"/>
                <w:highlight w:val="none"/>
                <w:lang w:val="en-US" w:eastAsia="zh-CN" w:bidi="ar-SA"/>
              </w:rPr>
              <w:t>、经济、切实可行，措施</w:t>
            </w:r>
            <w:r>
              <w:rPr>
                <w:rFonts w:hint="eastAsia"/>
                <w:lang w:val="en-US" w:eastAsia="zh-CN"/>
              </w:rPr>
              <w:t>有保障性</w:t>
            </w:r>
            <w:r>
              <w:rPr>
                <w:rFonts w:hint="default" w:ascii="Times New Roman" w:hAnsi="Times New Roman" w:eastAsia="宋体" w:cs="Times New Roman"/>
                <w:b w:val="0"/>
                <w:bCs/>
                <w:color w:val="auto"/>
                <w:kern w:val="2"/>
                <w:sz w:val="21"/>
                <w:szCs w:val="21"/>
                <w:highlight w:val="none"/>
                <w:lang w:val="en-US" w:eastAsia="zh-CN" w:bidi="ar-SA"/>
              </w:rPr>
              <w:t>。</w:t>
            </w:r>
          </w:p>
          <w:p w14:paraId="76E7A2BE">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6</w:t>
            </w:r>
            <w:r>
              <w:rPr>
                <w:rFonts w:hint="default" w:ascii="Times New Roman" w:hAnsi="Times New Roman" w:eastAsia="宋体" w:cs="Times New Roman"/>
                <w:b w:val="0"/>
                <w:bCs w:val="0"/>
                <w:color w:val="auto"/>
                <w:kern w:val="0"/>
                <w:sz w:val="21"/>
                <w:szCs w:val="21"/>
                <w:highlight w:val="none"/>
                <w:lang w:val="en-US" w:eastAsia="zh-CN" w:bidi="ar-SA"/>
              </w:rPr>
              <w:t>.0分</w:t>
            </w:r>
            <w:r>
              <w:rPr>
                <w:rFonts w:hint="default" w:ascii="Times New Roman" w:hAnsi="Times New Roman" w:eastAsia="宋体" w:cs="Times New Roman"/>
                <w:b w:val="0"/>
                <w:bCs/>
                <w:color w:val="auto"/>
                <w:kern w:val="2"/>
                <w:sz w:val="21"/>
                <w:szCs w:val="21"/>
                <w:highlight w:val="none"/>
                <w:lang w:val="en-US" w:eastAsia="zh-CN" w:bidi="ar-SA"/>
              </w:rPr>
              <w:t>）：对项目关键技术、工艺有深入的表达，对重点、难点有合理的建议，解决方案经济、基本可行。</w:t>
            </w:r>
          </w:p>
          <w:p w14:paraId="05901FD3">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三档</w:t>
            </w:r>
            <w:r>
              <w:rPr>
                <w:rFonts w:hint="default" w:ascii="Times New Roman" w:hAnsi="Times New Roman" w:eastAsia="宋体" w:cs="Times New Roman"/>
                <w:b w:val="0"/>
                <w:bCs/>
                <w:color w:val="auto"/>
                <w:kern w:val="2"/>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3.0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）：对项目关键技术有一定了解，对重点、难点有建议，解决方案基本可行。</w:t>
            </w:r>
          </w:p>
          <w:p w14:paraId="4F40F631">
            <w:pPr>
              <w:spacing w:line="360" w:lineRule="auto"/>
              <w:ind w:firstLine="420" w:firstLineChars="200"/>
              <w:rPr>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）：对项目关键技术表述</w:t>
            </w:r>
            <w:r>
              <w:rPr>
                <w:rFonts w:hint="eastAsia" w:cs="Times New Roman"/>
                <w:b w:val="0"/>
                <w:bCs/>
                <w:color w:val="auto"/>
                <w:kern w:val="2"/>
                <w:sz w:val="21"/>
                <w:szCs w:val="21"/>
                <w:highlight w:val="none"/>
                <w:lang w:val="en-US" w:eastAsia="zh-CN" w:bidi="ar-SA"/>
              </w:rPr>
              <w:t>不清楚</w:t>
            </w:r>
            <w:r>
              <w:rPr>
                <w:rFonts w:hint="default" w:ascii="Times New Roman" w:hAnsi="Times New Roman" w:eastAsia="宋体" w:cs="Times New Roman"/>
                <w:b w:val="0"/>
                <w:bCs/>
                <w:color w:val="auto"/>
                <w:kern w:val="2"/>
                <w:sz w:val="21"/>
                <w:szCs w:val="21"/>
                <w:highlight w:val="none"/>
                <w:lang w:val="en-US" w:eastAsia="zh-CN" w:bidi="ar-SA"/>
              </w:rPr>
              <w:t>，对重点、难点</w:t>
            </w:r>
            <w:r>
              <w:rPr>
                <w:rFonts w:hint="eastAsia" w:cs="Times New Roman"/>
                <w:b w:val="0"/>
                <w:bCs/>
                <w:color w:val="auto"/>
                <w:kern w:val="2"/>
                <w:sz w:val="21"/>
                <w:szCs w:val="21"/>
                <w:highlight w:val="none"/>
                <w:lang w:val="en-US" w:eastAsia="zh-CN" w:bidi="ar-SA"/>
              </w:rPr>
              <w:t>无</w:t>
            </w:r>
            <w:r>
              <w:rPr>
                <w:rFonts w:hint="default" w:ascii="Times New Roman" w:hAnsi="Times New Roman" w:eastAsia="宋体" w:cs="Times New Roman"/>
                <w:b w:val="0"/>
                <w:bCs/>
                <w:color w:val="auto"/>
                <w:kern w:val="2"/>
                <w:sz w:val="21"/>
                <w:szCs w:val="21"/>
                <w:highlight w:val="none"/>
                <w:lang w:val="en-US" w:eastAsia="zh-CN" w:bidi="ar-SA"/>
              </w:rPr>
              <w:t>建议，解决方案</w:t>
            </w:r>
            <w:r>
              <w:rPr>
                <w:rFonts w:hint="eastAsia" w:cs="Times New Roman"/>
                <w:b w:val="0"/>
                <w:bCs/>
                <w:color w:val="auto"/>
                <w:kern w:val="2"/>
                <w:sz w:val="21"/>
                <w:szCs w:val="21"/>
                <w:highlight w:val="none"/>
                <w:lang w:val="en-US" w:eastAsia="zh-CN" w:bidi="ar-SA"/>
              </w:rPr>
              <w:t>无</w:t>
            </w:r>
            <w:r>
              <w:rPr>
                <w:rFonts w:hint="default" w:ascii="Times New Roman" w:hAnsi="Times New Roman" w:eastAsia="宋体" w:cs="Times New Roman"/>
                <w:b w:val="0"/>
                <w:bCs/>
                <w:color w:val="auto"/>
                <w:kern w:val="2"/>
                <w:sz w:val="21"/>
                <w:szCs w:val="21"/>
                <w:highlight w:val="none"/>
                <w:lang w:val="en-US" w:eastAsia="zh-CN" w:bidi="ar-SA"/>
              </w:rPr>
              <w:t>可行</w:t>
            </w:r>
            <w:r>
              <w:rPr>
                <w:rFonts w:hint="eastAsia" w:cs="Times New Roman"/>
                <w:b w:val="0"/>
                <w:bCs/>
                <w:color w:val="auto"/>
                <w:kern w:val="2"/>
                <w:sz w:val="21"/>
                <w:szCs w:val="21"/>
                <w:highlight w:val="none"/>
                <w:lang w:val="en-US" w:eastAsia="zh-CN" w:bidi="ar-SA"/>
              </w:rPr>
              <w:t>性</w:t>
            </w:r>
            <w:r>
              <w:rPr>
                <w:rFonts w:hint="default" w:ascii="Times New Roman" w:hAnsi="Times New Roman" w:eastAsia="宋体" w:cs="Times New Roman"/>
                <w:b w:val="0"/>
                <w:bCs/>
                <w:color w:val="auto"/>
                <w:kern w:val="2"/>
                <w:sz w:val="21"/>
                <w:szCs w:val="21"/>
                <w:highlight w:val="none"/>
                <w:lang w:val="en-US" w:eastAsia="zh-CN" w:bidi="ar-SA"/>
              </w:rPr>
              <w:t>。</w:t>
            </w:r>
          </w:p>
        </w:tc>
        <w:tc>
          <w:tcPr>
            <w:tcW w:w="794" w:type="dxa"/>
            <w:noWrap w:val="0"/>
            <w:vAlign w:val="center"/>
          </w:tcPr>
          <w:p w14:paraId="5E401098">
            <w:pPr>
              <w:spacing w:line="360" w:lineRule="auto"/>
              <w:jc w:val="center"/>
              <w:rPr>
                <w:bCs/>
                <w:color w:val="auto"/>
                <w:szCs w:val="21"/>
                <w:highlight w:val="none"/>
              </w:rPr>
            </w:pPr>
            <w:r>
              <w:rPr>
                <w:rFonts w:hint="eastAsia"/>
                <w:bCs/>
                <w:color w:val="auto"/>
                <w:szCs w:val="21"/>
                <w:highlight w:val="none"/>
                <w:lang w:val="en-US" w:eastAsia="zh-CN"/>
              </w:rPr>
              <w:t>9</w:t>
            </w:r>
            <w:r>
              <w:rPr>
                <w:bCs/>
                <w:color w:val="auto"/>
                <w:szCs w:val="21"/>
                <w:highlight w:val="none"/>
              </w:rPr>
              <w:t>分</w:t>
            </w:r>
          </w:p>
        </w:tc>
      </w:tr>
      <w:tr w14:paraId="2410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63BD67EF">
            <w:pPr>
              <w:spacing w:line="360" w:lineRule="auto"/>
              <w:jc w:val="center"/>
              <w:rPr>
                <w:rFonts w:hint="eastAsia" w:eastAsia="宋体"/>
                <w:bCs/>
                <w:color w:val="auto"/>
                <w:szCs w:val="21"/>
                <w:highlight w:val="none"/>
                <w:lang w:eastAsia="zh-CN"/>
              </w:rPr>
            </w:pPr>
            <w:r>
              <w:rPr>
                <w:rFonts w:hint="eastAsia"/>
                <w:bCs/>
                <w:color w:val="auto"/>
                <w:szCs w:val="21"/>
                <w:highlight w:val="none"/>
                <w:lang w:val="en-US" w:eastAsia="zh-CN"/>
              </w:rPr>
              <w:t>8</w:t>
            </w:r>
          </w:p>
        </w:tc>
        <w:tc>
          <w:tcPr>
            <w:tcW w:w="1108" w:type="dxa"/>
            <w:noWrap w:val="0"/>
            <w:vAlign w:val="center"/>
          </w:tcPr>
          <w:p w14:paraId="098BCD93">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16F69F10">
            <w:pPr>
              <w:spacing w:line="360" w:lineRule="auto"/>
              <w:rPr>
                <w:rFonts w:hint="eastAsia" w:eastAsia="宋体"/>
                <w:b/>
                <w:bCs/>
                <w:color w:val="auto"/>
                <w:highlight w:val="none"/>
                <w:lang w:eastAsia="zh-CN"/>
              </w:rPr>
            </w:pPr>
            <w:r>
              <w:rPr>
                <w:rFonts w:hint="default" w:ascii="Times New Roman" w:hAnsi="Times New Roman" w:eastAsia="宋体" w:cs="Times New Roman"/>
                <w:b/>
                <w:bCs w:val="0"/>
                <w:color w:val="auto"/>
                <w:kern w:val="0"/>
                <w:sz w:val="21"/>
                <w:szCs w:val="21"/>
                <w:highlight w:val="none"/>
                <w:lang w:val="en-US" w:eastAsia="zh-CN" w:bidi="ar-SA"/>
              </w:rPr>
              <w:t>安全文明施工措施</w:t>
            </w:r>
            <w:r>
              <w:rPr>
                <w:rFonts w:hint="eastAsia"/>
                <w:b/>
                <w:bCs/>
                <w:color w:val="auto"/>
                <w:highlight w:val="none"/>
              </w:rPr>
              <w:t>（满分</w:t>
            </w:r>
            <w:r>
              <w:rPr>
                <w:rFonts w:hint="eastAsia"/>
                <w:b/>
                <w:bCs/>
                <w:color w:val="auto"/>
                <w:highlight w:val="none"/>
                <w:lang w:val="en-US" w:eastAsia="zh-CN"/>
              </w:rPr>
              <w:t>7.5</w:t>
            </w:r>
            <w:r>
              <w:rPr>
                <w:rFonts w:hint="eastAsia"/>
                <w:b/>
                <w:bCs/>
                <w:color w:val="auto"/>
                <w:highlight w:val="none"/>
              </w:rPr>
              <w:t>分）</w:t>
            </w:r>
            <w:r>
              <w:rPr>
                <w:rFonts w:hint="eastAsia"/>
                <w:b/>
                <w:bCs/>
                <w:color w:val="auto"/>
                <w:highlight w:val="none"/>
                <w:lang w:eastAsia="zh-CN"/>
              </w:rPr>
              <w:t>：</w:t>
            </w:r>
          </w:p>
          <w:p w14:paraId="722292CC">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一档</w:t>
            </w:r>
            <w:r>
              <w:rPr>
                <w:rFonts w:hint="default" w:ascii="Times New Roman" w:hAnsi="Times New Roman" w:eastAsia="宋体"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7.5分</w:t>
            </w:r>
            <w:r>
              <w:rPr>
                <w:rFonts w:hint="default" w:ascii="Times New Roman" w:hAnsi="Times New Roman" w:eastAsia="宋体" w:cs="Times New Roman"/>
                <w:b w:val="0"/>
                <w:bCs/>
                <w:color w:val="auto"/>
                <w:kern w:val="2"/>
                <w:sz w:val="21"/>
                <w:szCs w:val="21"/>
                <w:highlight w:val="none"/>
                <w:lang w:val="en-US" w:eastAsia="zh-CN" w:bidi="ar-SA"/>
              </w:rPr>
              <w:t>）：安全文明施工措施</w:t>
            </w:r>
            <w:r>
              <w:rPr>
                <w:rFonts w:hint="eastAsia" w:ascii="宋体" w:hAnsi="宋体" w:eastAsia="宋体" w:cs="宋体"/>
                <w:color w:val="auto"/>
                <w:highlight w:val="none"/>
                <w:lang w:val="en-US" w:eastAsia="zh-CN"/>
              </w:rPr>
              <w:t>完全</w:t>
            </w:r>
            <w:r>
              <w:rPr>
                <w:rFonts w:hint="eastAsia" w:ascii="宋体" w:hAnsi="宋体" w:eastAsia="宋体" w:cs="宋体"/>
                <w:color w:val="auto"/>
                <w:highlight w:val="none"/>
              </w:rPr>
              <w:t>符合项目</w:t>
            </w:r>
            <w:r>
              <w:rPr>
                <w:rFonts w:hint="eastAsia" w:ascii="宋体" w:hAnsi="宋体" w:cs="宋体"/>
                <w:color w:val="auto"/>
                <w:highlight w:val="none"/>
                <w:lang w:val="en-US" w:eastAsia="zh-CN"/>
              </w:rPr>
              <w:t>需求，能实现现场文明施工目标</w:t>
            </w:r>
            <w:r>
              <w:rPr>
                <w:rFonts w:hint="eastAsia" w:ascii="宋体" w:hAnsi="宋体" w:eastAsia="宋体" w:cs="宋体"/>
                <w:color w:val="auto"/>
                <w:highlight w:val="none"/>
              </w:rPr>
              <w:t>，</w:t>
            </w:r>
            <w:r>
              <w:rPr>
                <w:rFonts w:hint="eastAsia" w:ascii="宋体" w:hAnsi="宋体" w:cs="微软雅黑"/>
                <w:color w:val="auto"/>
                <w:szCs w:val="21"/>
                <w:highlight w:val="none"/>
              </w:rPr>
              <w:t>描述详细、清晰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合理，体系及措施具有</w:t>
            </w:r>
            <w:r>
              <w:rPr>
                <w:rFonts w:hint="eastAsia" w:ascii="宋体" w:hAnsi="宋体" w:eastAsia="宋体" w:cs="宋体"/>
                <w:color w:val="auto"/>
                <w:highlight w:val="none"/>
              </w:rPr>
              <w:t>针对性。</w:t>
            </w:r>
          </w:p>
          <w:p w14:paraId="4ED4FB3E">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二档</w:t>
            </w:r>
            <w:r>
              <w:rPr>
                <w:rFonts w:hint="default" w:ascii="Times New Roman" w:hAnsi="Times New Roman" w:eastAsia="宋体"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5.0分</w:t>
            </w:r>
            <w:r>
              <w:rPr>
                <w:rFonts w:hint="default" w:ascii="Times New Roman" w:hAnsi="Times New Roman" w:eastAsia="宋体" w:cs="Times New Roman"/>
                <w:b w:val="0"/>
                <w:bCs/>
                <w:color w:val="auto"/>
                <w:kern w:val="2"/>
                <w:sz w:val="21"/>
                <w:szCs w:val="21"/>
                <w:highlight w:val="none"/>
                <w:lang w:val="en-US" w:eastAsia="zh-CN" w:bidi="ar-SA"/>
              </w:rPr>
              <w:t>）：安全文明施工措施</w:t>
            </w:r>
            <w:r>
              <w:rPr>
                <w:rFonts w:hint="eastAsia" w:ascii="宋体" w:hAnsi="宋体" w:eastAsia="宋体" w:cs="宋体"/>
                <w:color w:val="auto"/>
                <w:highlight w:val="none"/>
              </w:rPr>
              <w:t>符合项目</w:t>
            </w:r>
            <w:r>
              <w:rPr>
                <w:rFonts w:hint="eastAsia" w:ascii="宋体" w:hAnsi="宋体" w:cs="宋体"/>
                <w:color w:val="auto"/>
                <w:highlight w:val="none"/>
                <w:lang w:val="en-US" w:eastAsia="zh-CN"/>
              </w:rPr>
              <w:t>需求</w:t>
            </w:r>
            <w:r>
              <w:rPr>
                <w:rFonts w:hint="eastAsia" w:ascii="宋体" w:hAnsi="宋体" w:eastAsia="宋体" w:cs="宋体"/>
                <w:color w:val="auto"/>
                <w:highlight w:val="none"/>
              </w:rPr>
              <w:t>，</w:t>
            </w:r>
            <w:r>
              <w:rPr>
                <w:rFonts w:hint="eastAsia" w:ascii="宋体" w:hAnsi="宋体" w:cs="宋体"/>
                <w:color w:val="auto"/>
                <w:highlight w:val="none"/>
                <w:lang w:val="en-US" w:eastAsia="zh-CN"/>
              </w:rPr>
              <w:t>描述</w:t>
            </w:r>
            <w:r>
              <w:rPr>
                <w:rFonts w:hint="eastAsia" w:ascii="宋体" w:hAnsi="宋体" w:eastAsia="宋体" w:cs="微软雅黑"/>
                <w:color w:val="auto"/>
                <w:szCs w:val="21"/>
                <w:highlight w:val="none"/>
                <w:lang w:val="en-US" w:eastAsia="zh-CN"/>
              </w:rPr>
              <w:t>详细</w:t>
            </w:r>
            <w:r>
              <w:rPr>
                <w:rFonts w:hint="eastAsia" w:ascii="宋体" w:hAnsi="宋体" w:cs="微软雅黑"/>
                <w:color w:val="auto"/>
                <w:szCs w:val="21"/>
                <w:highlight w:val="none"/>
              </w:rPr>
              <w:t>，</w:t>
            </w:r>
            <w:r>
              <w:rPr>
                <w:rFonts w:hint="eastAsia" w:ascii="宋体" w:hAnsi="宋体" w:eastAsia="宋体" w:cs="宋体"/>
                <w:color w:val="auto"/>
                <w:highlight w:val="none"/>
                <w:lang w:val="en-US" w:eastAsia="zh-CN"/>
              </w:rPr>
              <w:t>体系及措施具有</w:t>
            </w:r>
            <w:r>
              <w:rPr>
                <w:rFonts w:hint="eastAsia" w:ascii="宋体" w:hAnsi="宋体" w:eastAsia="宋体" w:cs="宋体"/>
                <w:color w:val="auto"/>
                <w:highlight w:val="none"/>
              </w:rPr>
              <w:t>针对性</w:t>
            </w:r>
            <w:r>
              <w:rPr>
                <w:rFonts w:hint="default" w:ascii="Times New Roman" w:hAnsi="Times New Roman" w:eastAsia="宋体" w:cs="Times New Roman"/>
                <w:b w:val="0"/>
                <w:bCs/>
                <w:color w:val="auto"/>
                <w:kern w:val="2"/>
                <w:sz w:val="21"/>
                <w:szCs w:val="21"/>
                <w:highlight w:val="none"/>
                <w:lang w:val="en-US" w:eastAsia="zh-CN" w:bidi="ar-SA"/>
              </w:rPr>
              <w:t>。</w:t>
            </w:r>
          </w:p>
          <w:p w14:paraId="3276B9B9">
            <w:pPr>
              <w:pageBreakBefore w:val="0"/>
              <w:widowControl w:val="0"/>
              <w:kinsoku/>
              <w:wordWrap/>
              <w:overflowPunct/>
              <w:topLinePunct w:val="0"/>
              <w:bidi w:val="0"/>
              <w:snapToGrid/>
              <w:spacing w:line="440" w:lineRule="exact"/>
              <w:ind w:firstLine="535" w:firstLineChars="255"/>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lang w:eastAsia="zh-CN"/>
              </w:rPr>
              <w:t>三档</w:t>
            </w:r>
            <w:r>
              <w:rPr>
                <w:rFonts w:hint="default" w:ascii="Times New Roman" w:hAnsi="Times New Roman" w:eastAsia="宋体"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2.5分</w:t>
            </w:r>
            <w:r>
              <w:rPr>
                <w:rFonts w:hint="default" w:ascii="Times New Roman" w:hAnsi="Times New Roman" w:eastAsia="宋体" w:cs="Times New Roman"/>
                <w:b w:val="0"/>
                <w:bCs/>
                <w:color w:val="auto"/>
                <w:kern w:val="2"/>
                <w:sz w:val="21"/>
                <w:szCs w:val="21"/>
                <w:highlight w:val="none"/>
                <w:lang w:val="en-US" w:eastAsia="zh-CN" w:bidi="ar-SA"/>
              </w:rPr>
              <w:t>）：安全文明施工措施</w:t>
            </w:r>
            <w:r>
              <w:rPr>
                <w:rFonts w:hint="eastAsia" w:ascii="宋体" w:hAnsi="宋体" w:eastAsia="宋体" w:cs="宋体"/>
                <w:color w:val="auto"/>
                <w:highlight w:val="none"/>
              </w:rPr>
              <w:t>符合项目</w:t>
            </w:r>
            <w:r>
              <w:rPr>
                <w:rFonts w:hint="eastAsia" w:ascii="宋体" w:hAnsi="宋体" w:cs="宋体"/>
                <w:color w:val="auto"/>
                <w:highlight w:val="none"/>
                <w:lang w:val="en-US" w:eastAsia="zh-CN"/>
              </w:rPr>
              <w:t>需求</w:t>
            </w:r>
            <w:r>
              <w:rPr>
                <w:rFonts w:hint="eastAsia" w:ascii="宋体" w:hAnsi="宋体" w:eastAsia="宋体" w:cs="宋体"/>
                <w:color w:val="auto"/>
                <w:highlight w:val="none"/>
              </w:rPr>
              <w:t>，</w:t>
            </w:r>
            <w:r>
              <w:rPr>
                <w:rFonts w:hint="eastAsia" w:ascii="宋体" w:hAnsi="宋体" w:cs="宋体"/>
                <w:color w:val="auto"/>
                <w:highlight w:val="none"/>
                <w:lang w:val="en-US" w:eastAsia="zh-CN"/>
              </w:rPr>
              <w:t>但</w:t>
            </w:r>
            <w:r>
              <w:rPr>
                <w:rFonts w:hint="eastAsia" w:ascii="宋体" w:hAnsi="宋体" w:cs="微软雅黑"/>
                <w:color w:val="auto"/>
                <w:szCs w:val="21"/>
                <w:highlight w:val="none"/>
              </w:rPr>
              <w:t>描述简单</w:t>
            </w:r>
            <w:r>
              <w:rPr>
                <w:rFonts w:hint="default" w:ascii="Times New Roman" w:hAnsi="Times New Roman" w:eastAsia="宋体" w:cs="Times New Roman"/>
                <w:b w:val="0"/>
                <w:bCs/>
                <w:color w:val="auto"/>
                <w:kern w:val="2"/>
                <w:sz w:val="21"/>
                <w:szCs w:val="21"/>
                <w:highlight w:val="none"/>
                <w:lang w:val="en-US" w:eastAsia="zh-CN" w:bidi="ar-SA"/>
              </w:rPr>
              <w:t>。</w:t>
            </w:r>
          </w:p>
          <w:p w14:paraId="3064F87D">
            <w:pPr>
              <w:spacing w:line="360" w:lineRule="auto"/>
              <w:ind w:firstLine="420" w:firstLineChars="200"/>
              <w:rPr>
                <w:color w:val="auto"/>
                <w:highlight w:val="none"/>
              </w:rPr>
            </w:pPr>
            <w:r>
              <w:rPr>
                <w:rFonts w:hint="eastAsia"/>
                <w:color w:val="auto"/>
                <w:lang w:eastAsia="zh-CN"/>
              </w:rPr>
              <w:t>四档</w:t>
            </w:r>
            <w:r>
              <w:rPr>
                <w:rFonts w:hint="default" w:ascii="Times New Roman" w:hAnsi="Times New Roman" w:eastAsia="宋体" w:cs="Times New Roman"/>
                <w:b w:val="0"/>
                <w:bCs/>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default" w:ascii="Times New Roman" w:hAnsi="Times New Roman" w:eastAsia="宋体" w:cs="Times New Roman"/>
                <w:b w:val="0"/>
                <w:bCs/>
                <w:color w:val="auto"/>
                <w:kern w:val="2"/>
                <w:sz w:val="21"/>
                <w:szCs w:val="21"/>
                <w:highlight w:val="none"/>
                <w:lang w:val="en-US" w:eastAsia="zh-CN" w:bidi="ar-SA"/>
              </w:rPr>
              <w:t>）：安全文明措施</w:t>
            </w:r>
            <w:r>
              <w:rPr>
                <w:rFonts w:hint="eastAsia" w:cs="Times New Roman"/>
                <w:b w:val="0"/>
                <w:bCs/>
                <w:color w:val="auto"/>
                <w:kern w:val="2"/>
                <w:sz w:val="21"/>
                <w:szCs w:val="21"/>
                <w:highlight w:val="none"/>
                <w:lang w:val="en-US" w:eastAsia="zh-CN" w:bidi="ar-SA"/>
              </w:rPr>
              <w:t>无</w:t>
            </w:r>
            <w:r>
              <w:rPr>
                <w:rFonts w:hint="default" w:ascii="Times New Roman" w:hAnsi="Times New Roman" w:eastAsia="宋体" w:cs="Times New Roman"/>
                <w:b w:val="0"/>
                <w:bCs/>
                <w:color w:val="auto"/>
                <w:kern w:val="2"/>
                <w:sz w:val="21"/>
                <w:szCs w:val="21"/>
                <w:highlight w:val="none"/>
                <w:lang w:val="en-US" w:eastAsia="zh-CN" w:bidi="ar-SA"/>
              </w:rPr>
              <w:t>可行</w:t>
            </w:r>
            <w:r>
              <w:rPr>
                <w:rFonts w:hint="eastAsia" w:cs="Times New Roman"/>
                <w:b w:val="0"/>
                <w:bCs/>
                <w:color w:val="auto"/>
                <w:kern w:val="2"/>
                <w:sz w:val="21"/>
                <w:szCs w:val="21"/>
                <w:highlight w:val="none"/>
                <w:lang w:val="en-US" w:eastAsia="zh-CN" w:bidi="ar-SA"/>
              </w:rPr>
              <w:t>性</w:t>
            </w:r>
            <w:r>
              <w:rPr>
                <w:rFonts w:hint="default" w:ascii="Times New Roman" w:hAnsi="Times New Roman" w:eastAsia="宋体" w:cs="Times New Roman"/>
                <w:b w:val="0"/>
                <w:bCs/>
                <w:color w:val="auto"/>
                <w:kern w:val="2"/>
                <w:sz w:val="21"/>
                <w:szCs w:val="21"/>
                <w:highlight w:val="none"/>
                <w:lang w:val="en-US" w:eastAsia="zh-CN" w:bidi="ar-SA"/>
              </w:rPr>
              <w:t>，采用规范不正确。</w:t>
            </w:r>
          </w:p>
        </w:tc>
        <w:tc>
          <w:tcPr>
            <w:tcW w:w="794" w:type="dxa"/>
            <w:noWrap w:val="0"/>
            <w:vAlign w:val="center"/>
          </w:tcPr>
          <w:p w14:paraId="54F5629F">
            <w:pPr>
              <w:spacing w:line="360" w:lineRule="auto"/>
              <w:jc w:val="center"/>
              <w:rPr>
                <w:bCs/>
                <w:color w:val="auto"/>
                <w:szCs w:val="21"/>
                <w:highlight w:val="none"/>
              </w:rPr>
            </w:pPr>
            <w:r>
              <w:rPr>
                <w:rFonts w:hint="eastAsia"/>
                <w:bCs/>
                <w:color w:val="auto"/>
                <w:szCs w:val="21"/>
                <w:highlight w:val="none"/>
                <w:lang w:val="en-US" w:eastAsia="zh-CN"/>
              </w:rPr>
              <w:t>7.5</w:t>
            </w:r>
            <w:r>
              <w:rPr>
                <w:bCs/>
                <w:color w:val="auto"/>
                <w:szCs w:val="21"/>
                <w:highlight w:val="none"/>
              </w:rPr>
              <w:t>分</w:t>
            </w:r>
          </w:p>
        </w:tc>
      </w:tr>
      <w:tr w14:paraId="6AD4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201164D2">
            <w:pPr>
              <w:spacing w:line="360" w:lineRule="auto"/>
              <w:jc w:val="center"/>
              <w:rPr>
                <w:rFonts w:hint="eastAsia" w:eastAsia="宋体"/>
                <w:bCs/>
                <w:color w:val="auto"/>
                <w:szCs w:val="21"/>
                <w:highlight w:val="none"/>
                <w:lang w:val="en-US" w:eastAsia="zh-CN"/>
              </w:rPr>
            </w:pPr>
            <w:r>
              <w:rPr>
                <w:rFonts w:hint="eastAsia"/>
                <w:bCs/>
                <w:color w:val="auto"/>
                <w:szCs w:val="21"/>
                <w:highlight w:val="none"/>
                <w:lang w:val="en-US" w:eastAsia="zh-CN"/>
              </w:rPr>
              <w:t>9</w:t>
            </w:r>
          </w:p>
        </w:tc>
        <w:tc>
          <w:tcPr>
            <w:tcW w:w="1108" w:type="dxa"/>
            <w:noWrap w:val="0"/>
            <w:vAlign w:val="center"/>
          </w:tcPr>
          <w:p w14:paraId="114E63CE">
            <w:pPr>
              <w:spacing w:line="360" w:lineRule="auto"/>
              <w:jc w:val="center"/>
              <w:rPr>
                <w:bCs/>
                <w:color w:val="auto"/>
                <w:szCs w:val="21"/>
                <w:highlight w:val="none"/>
              </w:rPr>
            </w:pPr>
            <w:r>
              <w:rPr>
                <w:bCs/>
                <w:color w:val="auto"/>
                <w:szCs w:val="21"/>
                <w:highlight w:val="none"/>
              </w:rPr>
              <w:t>技术分</w:t>
            </w:r>
          </w:p>
        </w:tc>
        <w:tc>
          <w:tcPr>
            <w:tcW w:w="7038" w:type="dxa"/>
            <w:noWrap w:val="0"/>
            <w:vAlign w:val="top"/>
          </w:tcPr>
          <w:p w14:paraId="53E8C79A">
            <w:pPr>
              <w:spacing w:line="360" w:lineRule="auto"/>
              <w:rPr>
                <w:rFonts w:hint="eastAsia"/>
                <w:b/>
                <w:bCs/>
                <w:color w:val="auto"/>
                <w:highlight w:val="none"/>
              </w:rPr>
            </w:pPr>
            <w:r>
              <w:rPr>
                <w:rFonts w:hint="eastAsia"/>
                <w:b/>
                <w:bCs/>
                <w:color w:val="auto"/>
                <w:highlight w:val="none"/>
                <w:lang w:val="en-US" w:eastAsia="zh-CN"/>
              </w:rPr>
              <w:t>质量保证与承诺</w:t>
            </w:r>
            <w:r>
              <w:rPr>
                <w:rFonts w:hint="eastAsia"/>
                <w:b/>
                <w:bCs/>
                <w:color w:val="auto"/>
                <w:highlight w:val="none"/>
              </w:rPr>
              <w:t>（满分</w:t>
            </w:r>
            <w:r>
              <w:rPr>
                <w:rFonts w:hint="eastAsia"/>
                <w:b/>
                <w:bCs/>
                <w:color w:val="auto"/>
                <w:highlight w:val="none"/>
                <w:lang w:val="en-US" w:eastAsia="zh-CN"/>
              </w:rPr>
              <w:t>7.5</w:t>
            </w:r>
            <w:r>
              <w:rPr>
                <w:rFonts w:hint="eastAsia"/>
                <w:b/>
                <w:bCs/>
                <w:color w:val="auto"/>
                <w:highlight w:val="none"/>
              </w:rPr>
              <w:t>分）：</w:t>
            </w:r>
          </w:p>
          <w:p w14:paraId="5FA0E3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eastAsia="宋体"/>
                <w:color w:val="auto"/>
                <w:highlight w:val="none"/>
                <w:lang w:val="en-US" w:eastAsia="zh-CN"/>
              </w:rPr>
            </w:pPr>
            <w:r>
              <w:rPr>
                <w:rFonts w:hint="eastAsia" w:eastAsia="宋体"/>
                <w:color w:val="auto"/>
                <w:highlight w:val="none"/>
                <w:lang w:eastAsia="zh-CN"/>
              </w:rPr>
              <w:t>一档</w:t>
            </w:r>
            <w:r>
              <w:rPr>
                <w:rFonts w:hint="eastAsia" w:eastAsia="宋体"/>
                <w:color w:val="auto"/>
                <w:highlight w:val="none"/>
                <w:lang w:val="en-US" w:eastAsia="zh-CN"/>
              </w:rPr>
              <w:t>（7.5分）：</w:t>
            </w:r>
            <w:r>
              <w:rPr>
                <w:rFonts w:hint="eastAsia"/>
                <w:color w:val="auto"/>
                <w:highlight w:val="none"/>
                <w:lang w:val="en-US" w:eastAsia="zh-CN"/>
              </w:rPr>
              <w:t>有合理的质量验收流程图，根据本项目列出质量验收的重点，难点。</w:t>
            </w:r>
            <w:r>
              <w:rPr>
                <w:rFonts w:hint="eastAsia"/>
                <w:color w:val="auto"/>
                <w:highlight w:val="none"/>
              </w:rPr>
              <w:t>有专门的质量技术管理班子和制度，明确管理班子质量责任，主要工序有质量技术保证措施和手段</w:t>
            </w:r>
            <w:r>
              <w:rPr>
                <w:rFonts w:hint="eastAsia"/>
                <w:color w:val="auto"/>
                <w:highlight w:val="none"/>
                <w:lang w:eastAsia="zh-CN"/>
              </w:rPr>
              <w:t>，</w:t>
            </w:r>
            <w:r>
              <w:rPr>
                <w:rFonts w:hint="eastAsia" w:ascii="宋体" w:hAnsi="宋体" w:eastAsia="宋体" w:cs="Times New Roman"/>
                <w:color w:val="auto"/>
                <w:szCs w:val="21"/>
                <w:highlight w:val="none"/>
              </w:rPr>
              <w:t>有针对性</w:t>
            </w:r>
            <w:r>
              <w:rPr>
                <w:rFonts w:hint="eastAsia" w:ascii="宋体" w:hAnsi="宋体" w:eastAsia="宋体" w:cs="Times New Roman"/>
                <w:color w:val="auto"/>
                <w:szCs w:val="21"/>
                <w:highlight w:val="none"/>
                <w:lang w:eastAsia="zh-CN"/>
              </w:rPr>
              <w:t>，</w:t>
            </w:r>
            <w:r>
              <w:rPr>
                <w:rFonts w:hint="eastAsia"/>
                <w:color w:val="auto"/>
                <w:highlight w:val="none"/>
              </w:rPr>
              <w:t>有施工准备阶段、施工过程、竣工验收及交工阶段质量控制措施，</w:t>
            </w:r>
            <w:r>
              <w:rPr>
                <w:rFonts w:hint="eastAsia"/>
                <w:lang w:eastAsia="zh-CN"/>
              </w:rPr>
              <w:t>有</w:t>
            </w:r>
            <w:r>
              <w:rPr>
                <w:rFonts w:hint="eastAsia"/>
                <w:color w:val="auto"/>
                <w:highlight w:val="none"/>
              </w:rPr>
              <w:t>隐蔽工程检查制度，有施工质量验收制度</w:t>
            </w:r>
            <w:r>
              <w:rPr>
                <w:rFonts w:hint="eastAsia"/>
                <w:color w:val="auto"/>
                <w:highlight w:val="none"/>
                <w:lang w:eastAsia="zh-CN"/>
              </w:rPr>
              <w:t>、</w:t>
            </w:r>
            <w:r>
              <w:rPr>
                <w:rFonts w:hint="eastAsia"/>
                <w:color w:val="auto"/>
                <w:highlight w:val="none"/>
              </w:rPr>
              <w:t>工程质量保修方案，</w:t>
            </w:r>
            <w:r>
              <w:rPr>
                <w:rFonts w:hint="eastAsia" w:ascii="宋体" w:hAnsi="宋体" w:eastAsia="宋体" w:cs="Times New Roman"/>
                <w:color w:val="auto"/>
                <w:szCs w:val="21"/>
                <w:highlight w:val="none"/>
              </w:rPr>
              <w:t>承诺项目所用建筑材料均符合环保等级要求</w:t>
            </w:r>
            <w:r>
              <w:rPr>
                <w:rFonts w:hint="eastAsia" w:ascii="宋体" w:hAnsi="宋体" w:eastAsia="宋体" w:cs="Times New Roman"/>
                <w:color w:val="auto"/>
                <w:szCs w:val="21"/>
                <w:highlight w:val="none"/>
                <w:lang w:eastAsia="zh-CN"/>
              </w:rPr>
              <w:t>，</w:t>
            </w:r>
            <w:r>
              <w:rPr>
                <w:rFonts w:hint="eastAsia"/>
                <w:color w:val="auto"/>
                <w:highlight w:val="none"/>
              </w:rPr>
              <w:t>能有效保证技术质量，达到承诺的质量标准及验收规范要求。</w:t>
            </w:r>
          </w:p>
          <w:p w14:paraId="4001740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eastAsia="宋体"/>
                <w:color w:val="auto"/>
                <w:highlight w:val="none"/>
                <w:lang w:val="en-US" w:eastAsia="zh-CN"/>
              </w:rPr>
            </w:pPr>
            <w:r>
              <w:rPr>
                <w:rFonts w:hint="eastAsia" w:eastAsia="宋体"/>
                <w:color w:val="auto"/>
                <w:highlight w:val="none"/>
                <w:lang w:eastAsia="zh-CN"/>
              </w:rPr>
              <w:t>二档</w:t>
            </w:r>
            <w:r>
              <w:rPr>
                <w:rFonts w:hint="eastAsia" w:eastAsia="宋体"/>
                <w:color w:val="auto"/>
                <w:highlight w:val="none"/>
                <w:lang w:val="en-US" w:eastAsia="zh-CN"/>
              </w:rPr>
              <w:t>（5.0分）：</w:t>
            </w:r>
            <w:r>
              <w:rPr>
                <w:rFonts w:hint="eastAsia"/>
                <w:color w:val="auto"/>
                <w:highlight w:val="none"/>
                <w:lang w:val="en-US" w:eastAsia="zh-CN"/>
              </w:rPr>
              <w:t>有合理的质量验收流程图，质量验收重点和难点的措施可行。</w:t>
            </w:r>
            <w:r>
              <w:rPr>
                <w:rFonts w:hint="eastAsia" w:ascii="宋体" w:hAnsi="宋体" w:eastAsia="宋体" w:cs="Times New Roman"/>
                <w:color w:val="auto"/>
                <w:szCs w:val="21"/>
                <w:highlight w:val="none"/>
              </w:rPr>
              <w:t>有专门的质量技术管理班子和制度，人员配备合理，主要工序技术质量保证措施和手段</w:t>
            </w:r>
            <w:r>
              <w:rPr>
                <w:rFonts w:hint="eastAsia" w:ascii="宋体" w:hAnsi="宋体" w:eastAsia="宋体" w:cs="Times New Roman"/>
                <w:color w:val="auto"/>
                <w:szCs w:val="21"/>
                <w:highlight w:val="none"/>
                <w:lang w:eastAsia="zh-CN"/>
              </w:rPr>
              <w:t>具有</w:t>
            </w:r>
            <w:r>
              <w:rPr>
                <w:rFonts w:hint="eastAsia" w:ascii="宋体" w:hAnsi="宋体" w:eastAsia="宋体" w:cs="Times New Roman"/>
                <w:color w:val="auto"/>
                <w:szCs w:val="21"/>
                <w:highlight w:val="none"/>
              </w:rPr>
              <w:t>可行性，能保证技术质量，达到承诺的质量标准</w:t>
            </w:r>
            <w:r>
              <w:rPr>
                <w:rFonts w:hint="eastAsia"/>
                <w:color w:val="auto"/>
                <w:highlight w:val="none"/>
              </w:rPr>
              <w:t>及验收规范要求。</w:t>
            </w:r>
          </w:p>
          <w:p w14:paraId="554D2A1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eastAsia="宋体"/>
                <w:color w:val="auto"/>
                <w:highlight w:val="none"/>
                <w:lang w:val="en-US" w:eastAsia="zh-CN"/>
              </w:rPr>
            </w:pPr>
            <w:r>
              <w:rPr>
                <w:rFonts w:hint="eastAsia" w:eastAsia="宋体"/>
                <w:color w:val="auto"/>
                <w:highlight w:val="none"/>
                <w:lang w:eastAsia="zh-CN"/>
              </w:rPr>
              <w:t>三档</w:t>
            </w:r>
            <w:r>
              <w:rPr>
                <w:rFonts w:hint="eastAsia" w:eastAsia="宋体"/>
                <w:color w:val="auto"/>
                <w:highlight w:val="none"/>
                <w:lang w:val="en-US" w:eastAsia="zh-CN"/>
              </w:rPr>
              <w:t>（2.5分）：</w:t>
            </w:r>
            <w:r>
              <w:rPr>
                <w:rFonts w:hint="eastAsia"/>
                <w:color w:val="auto"/>
                <w:highlight w:val="none"/>
                <w:lang w:val="en-US" w:eastAsia="zh-CN"/>
              </w:rPr>
              <w:t>质量验收重点和难点的措施基本可行，</w:t>
            </w:r>
            <w:r>
              <w:rPr>
                <w:rFonts w:hint="eastAsia"/>
                <w:color w:val="auto"/>
                <w:highlight w:val="none"/>
              </w:rPr>
              <w:t>有质量技术管理班子和制度，主要工序质量技术保证措施和手段</w:t>
            </w:r>
            <w:r>
              <w:rPr>
                <w:rFonts w:hint="eastAsia"/>
                <w:color w:val="auto"/>
                <w:highlight w:val="none"/>
                <w:lang w:eastAsia="zh-CN"/>
              </w:rPr>
              <w:t>基本合理</w:t>
            </w:r>
            <w:r>
              <w:rPr>
                <w:rFonts w:hint="eastAsia"/>
                <w:color w:val="auto"/>
                <w:highlight w:val="none"/>
              </w:rPr>
              <w:t>，</w:t>
            </w:r>
            <w:r>
              <w:rPr>
                <w:rFonts w:hint="eastAsia"/>
                <w:color w:val="auto"/>
                <w:highlight w:val="none"/>
                <w:lang w:eastAsia="zh-CN"/>
              </w:rPr>
              <w:t>有</w:t>
            </w:r>
            <w:r>
              <w:rPr>
                <w:rFonts w:hint="eastAsia"/>
                <w:color w:val="auto"/>
                <w:highlight w:val="none"/>
              </w:rPr>
              <w:t>自控体系，</w:t>
            </w:r>
            <w:r>
              <w:rPr>
                <w:rFonts w:hint="eastAsia"/>
                <w:color w:val="auto"/>
                <w:highlight w:val="none"/>
                <w:lang w:eastAsia="zh-CN"/>
              </w:rPr>
              <w:t>基本能</w:t>
            </w:r>
            <w:r>
              <w:rPr>
                <w:rFonts w:hint="eastAsia"/>
                <w:color w:val="auto"/>
                <w:highlight w:val="none"/>
              </w:rPr>
              <w:t>保证技术质量，</w:t>
            </w:r>
            <w:r>
              <w:rPr>
                <w:rFonts w:hint="eastAsia"/>
                <w:color w:val="auto"/>
                <w:highlight w:val="none"/>
                <w:lang w:eastAsia="zh-CN"/>
              </w:rPr>
              <w:t>基本</w:t>
            </w:r>
            <w:r>
              <w:rPr>
                <w:rFonts w:hint="eastAsia"/>
                <w:color w:val="auto"/>
                <w:highlight w:val="none"/>
              </w:rPr>
              <w:t>满足</w:t>
            </w:r>
            <w:r>
              <w:rPr>
                <w:rFonts w:hint="eastAsia"/>
                <w:color w:val="auto"/>
                <w:highlight w:val="none"/>
                <w:lang w:eastAsia="zh-CN"/>
              </w:rPr>
              <w:t>本项目</w:t>
            </w:r>
            <w:r>
              <w:rPr>
                <w:rFonts w:hint="eastAsia"/>
                <w:color w:val="auto"/>
                <w:highlight w:val="none"/>
              </w:rPr>
              <w:t>的质量要求及验收规范要求</w:t>
            </w:r>
            <w:r>
              <w:rPr>
                <w:rFonts w:hint="eastAsia" w:eastAsia="宋体"/>
                <w:color w:val="auto"/>
                <w:highlight w:val="none"/>
                <w:lang w:val="en-US" w:eastAsia="zh-CN"/>
              </w:rPr>
              <w:t>。</w:t>
            </w:r>
          </w:p>
          <w:p w14:paraId="28C43A4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eastAsia="宋体"/>
                <w:color w:val="auto"/>
                <w:highlight w:val="none"/>
                <w:lang w:eastAsia="zh-CN"/>
              </w:rPr>
            </w:pPr>
            <w:r>
              <w:rPr>
                <w:rFonts w:hint="eastAsia" w:eastAsia="宋体"/>
                <w:color w:val="auto"/>
                <w:highlight w:val="none"/>
                <w:lang w:eastAsia="zh-CN"/>
              </w:rPr>
              <w:t>四档</w:t>
            </w:r>
            <w:r>
              <w:rPr>
                <w:rFonts w:hint="eastAsia" w:eastAsia="宋体"/>
                <w:color w:val="auto"/>
                <w:highlight w:val="none"/>
                <w:lang w:val="en-US" w:eastAsia="zh-CN"/>
              </w:rPr>
              <w:t>（0分）：</w:t>
            </w:r>
            <w:r>
              <w:rPr>
                <w:rFonts w:hint="eastAsia" w:eastAsia="宋体"/>
                <w:b w:val="0"/>
                <w:bCs w:val="0"/>
                <w:color w:val="auto"/>
                <w:highlight w:val="none"/>
                <w:lang w:val="en-US" w:eastAsia="zh-CN"/>
              </w:rPr>
              <w:t>质量保证与承诺</w:t>
            </w:r>
            <w:r>
              <w:rPr>
                <w:rFonts w:hint="eastAsia" w:eastAsia="宋体"/>
                <w:color w:val="auto"/>
                <w:highlight w:val="none"/>
                <w:lang w:val="en-US" w:eastAsia="zh-CN"/>
              </w:rPr>
              <w:t>的内</w:t>
            </w:r>
            <w:r>
              <w:rPr>
                <w:rFonts w:hint="eastAsia"/>
                <w:lang w:val="en-US" w:eastAsia="zh-CN"/>
              </w:rPr>
              <w:t>容</w:t>
            </w:r>
            <w:r>
              <w:rPr>
                <w:rFonts w:hint="eastAsia" w:eastAsia="宋体"/>
                <w:color w:val="auto"/>
                <w:highlight w:val="none"/>
                <w:lang w:val="en-US" w:eastAsia="zh-CN"/>
              </w:rPr>
              <w:t>无可行性。</w:t>
            </w:r>
          </w:p>
        </w:tc>
        <w:tc>
          <w:tcPr>
            <w:tcW w:w="794" w:type="dxa"/>
            <w:noWrap w:val="0"/>
            <w:vAlign w:val="center"/>
          </w:tcPr>
          <w:p w14:paraId="79D41404">
            <w:pPr>
              <w:spacing w:line="360" w:lineRule="auto"/>
              <w:jc w:val="center"/>
              <w:rPr>
                <w:rFonts w:hint="default" w:eastAsia="宋体"/>
                <w:bCs/>
                <w:color w:val="auto"/>
                <w:szCs w:val="21"/>
                <w:highlight w:val="none"/>
                <w:lang w:val="en-US" w:eastAsia="zh-CN"/>
              </w:rPr>
            </w:pPr>
            <w:r>
              <w:rPr>
                <w:rFonts w:hint="eastAsia"/>
                <w:bCs/>
                <w:color w:val="auto"/>
                <w:szCs w:val="21"/>
                <w:highlight w:val="none"/>
                <w:lang w:val="en-US" w:eastAsia="zh-CN"/>
              </w:rPr>
              <w:t>7.5</w:t>
            </w:r>
            <w:r>
              <w:rPr>
                <w:rFonts w:hint="eastAsia" w:eastAsia="宋体"/>
                <w:bCs/>
                <w:color w:val="auto"/>
                <w:szCs w:val="21"/>
                <w:highlight w:val="none"/>
                <w:lang w:val="en-US" w:eastAsia="zh-CN"/>
              </w:rPr>
              <w:t>分</w:t>
            </w:r>
          </w:p>
        </w:tc>
      </w:tr>
      <w:tr w14:paraId="097F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9" w:type="dxa"/>
            <w:noWrap w:val="0"/>
            <w:vAlign w:val="center"/>
          </w:tcPr>
          <w:p w14:paraId="1C0E8B3C">
            <w:pPr>
              <w:spacing w:line="360" w:lineRule="auto"/>
              <w:jc w:val="center"/>
              <w:rPr>
                <w:rFonts w:hint="default"/>
                <w:bCs/>
                <w:color w:val="auto"/>
                <w:szCs w:val="21"/>
                <w:highlight w:val="none"/>
                <w:lang w:val="en-US" w:eastAsia="zh-CN"/>
              </w:rPr>
            </w:pPr>
            <w:r>
              <w:rPr>
                <w:rFonts w:hint="eastAsia"/>
                <w:bCs/>
                <w:color w:val="auto"/>
                <w:szCs w:val="21"/>
                <w:highlight w:val="none"/>
                <w:lang w:val="en-US" w:eastAsia="zh-CN"/>
              </w:rPr>
              <w:t>10</w:t>
            </w:r>
          </w:p>
        </w:tc>
        <w:tc>
          <w:tcPr>
            <w:tcW w:w="1108" w:type="dxa"/>
            <w:noWrap w:val="0"/>
            <w:vAlign w:val="center"/>
          </w:tcPr>
          <w:p w14:paraId="410E7C1E">
            <w:pPr>
              <w:spacing w:line="360" w:lineRule="auto"/>
              <w:jc w:val="center"/>
              <w:rPr>
                <w:rFonts w:hint="eastAsia" w:eastAsia="宋体"/>
                <w:bCs/>
                <w:color w:val="auto"/>
                <w:szCs w:val="21"/>
                <w:highlight w:val="none"/>
                <w:lang w:eastAsia="zh-CN"/>
              </w:rPr>
            </w:pPr>
            <w:r>
              <w:rPr>
                <w:rFonts w:hint="eastAsia"/>
                <w:bCs/>
                <w:color w:val="auto"/>
                <w:szCs w:val="21"/>
                <w:highlight w:val="none"/>
                <w:lang w:eastAsia="zh-CN"/>
              </w:rPr>
              <w:t>技术分</w:t>
            </w:r>
          </w:p>
        </w:tc>
        <w:tc>
          <w:tcPr>
            <w:tcW w:w="7038" w:type="dxa"/>
            <w:noWrap w:val="0"/>
            <w:vAlign w:val="center"/>
          </w:tcPr>
          <w:p w14:paraId="270EEE2B">
            <w:pPr>
              <w:pageBreakBefore w:val="0"/>
              <w:widowControl w:val="0"/>
              <w:tabs>
                <w:tab w:val="left" w:pos="1305"/>
              </w:tabs>
              <w:kinsoku/>
              <w:wordWrap/>
              <w:overflowPunct/>
              <w:topLinePunct w:val="0"/>
              <w:bidi w:val="0"/>
              <w:snapToGrid/>
              <w:spacing w:line="440" w:lineRule="exact"/>
              <w:ind w:firstLine="0" w:firstLineChars="0"/>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项目管理机构</w:t>
            </w:r>
            <w:r>
              <w:rPr>
                <w:rFonts w:hint="eastAsia" w:cs="Times New Roman"/>
                <w:b/>
                <w:bCs w:val="0"/>
                <w:color w:val="auto"/>
                <w:kern w:val="2"/>
                <w:sz w:val="21"/>
                <w:szCs w:val="21"/>
                <w:highlight w:val="none"/>
                <w:lang w:val="en-US" w:eastAsia="zh-CN" w:bidi="ar-SA"/>
              </w:rPr>
              <w:t>（满分</w:t>
            </w:r>
            <w:r>
              <w:rPr>
                <w:rFonts w:hint="eastAsia" w:ascii="Times New Roman" w:hAnsi="Times New Roman" w:cs="Times New Roman"/>
                <w:b/>
                <w:bCs/>
                <w:color w:val="auto"/>
                <w:szCs w:val="21"/>
                <w:highlight w:val="none"/>
                <w:lang w:val="en-US" w:eastAsia="zh-CN"/>
              </w:rPr>
              <w:t>7</w:t>
            </w:r>
            <w:r>
              <w:rPr>
                <w:rFonts w:hint="default" w:ascii="Times New Roman" w:hAnsi="Times New Roman" w:eastAsia="宋体" w:cs="Times New Roman"/>
                <w:b/>
                <w:bCs/>
                <w:color w:val="auto"/>
                <w:szCs w:val="21"/>
                <w:highlight w:val="none"/>
              </w:rPr>
              <w:t>分</w:t>
            </w:r>
            <w:r>
              <w:rPr>
                <w:rFonts w:hint="eastAsia" w:cs="Times New Roman"/>
                <w:b/>
                <w:bCs w:val="0"/>
                <w:color w:val="auto"/>
                <w:kern w:val="2"/>
                <w:sz w:val="21"/>
                <w:szCs w:val="21"/>
                <w:highlight w:val="none"/>
                <w:lang w:val="en-US" w:eastAsia="zh-CN" w:bidi="ar-SA"/>
              </w:rPr>
              <w:t>）</w:t>
            </w:r>
          </w:p>
          <w:p w14:paraId="35EEACC0">
            <w:pPr>
              <w:pageBreakBefore w:val="0"/>
              <w:widowControl w:val="0"/>
              <w:kinsoku/>
              <w:wordWrap/>
              <w:overflowPunct/>
              <w:topLinePunct w:val="0"/>
              <w:bidi w:val="0"/>
              <w:snapToGrid/>
              <w:spacing w:line="440" w:lineRule="exact"/>
              <w:ind w:firstLine="420" w:firstLineChars="200"/>
              <w:jc w:val="both"/>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（1）技术负责人具有</w:t>
            </w:r>
            <w:r>
              <w:rPr>
                <w:rFonts w:hint="eastAsia"/>
                <w:lang w:val="en-US" w:eastAsia="zh-CN"/>
              </w:rPr>
              <w:t>与</w:t>
            </w:r>
            <w:r>
              <w:rPr>
                <w:rFonts w:hint="eastAsia" w:cs="Times New Roman"/>
                <w:b w:val="0"/>
                <w:bCs w:val="0"/>
                <w:color w:val="auto"/>
                <w:lang w:val="en-US" w:eastAsia="zh-CN"/>
              </w:rPr>
              <w:t>本项目实施相关的工程类专业</w:t>
            </w:r>
            <w:r>
              <w:rPr>
                <w:rFonts w:hint="eastAsia" w:ascii="Times New Roman" w:hAnsi="Times New Roman" w:eastAsia="宋体" w:cs="Times New Roman"/>
                <w:b w:val="0"/>
                <w:bCs w:val="0"/>
                <w:color w:val="auto"/>
                <w:lang w:val="en-US" w:eastAsia="zh-CN"/>
              </w:rPr>
              <w:t>高级职称</w:t>
            </w:r>
            <w:r>
              <w:rPr>
                <w:rFonts w:hint="eastAsia" w:cs="Times New Roman"/>
                <w:b w:val="0"/>
                <w:bCs w:val="0"/>
                <w:color w:val="auto"/>
                <w:lang w:val="en-US" w:eastAsia="zh-CN"/>
              </w:rPr>
              <w:t>及以上</w:t>
            </w:r>
            <w:r>
              <w:rPr>
                <w:rFonts w:hint="eastAsia" w:ascii="Times New Roman" w:hAnsi="Times New Roman" w:eastAsia="宋体" w:cs="Times New Roman"/>
                <w:b w:val="0"/>
                <w:bCs w:val="0"/>
                <w:color w:val="auto"/>
                <w:lang w:val="en-US" w:eastAsia="zh-CN"/>
              </w:rPr>
              <w:t>的得3分。</w:t>
            </w:r>
          </w:p>
          <w:p w14:paraId="78253AE1">
            <w:pPr>
              <w:spacing w:line="380" w:lineRule="exact"/>
              <w:ind w:firstLine="420" w:firstLineChars="200"/>
              <w:jc w:val="left"/>
              <w:rPr>
                <w:rFonts w:hint="eastAsia" w:ascii="宋体" w:hAnsi="宋体" w:eastAsia="宋体" w:cs="宋体"/>
                <w:kern w:val="2"/>
                <w:sz w:val="21"/>
                <w:szCs w:val="21"/>
                <w:lang w:val="en-US" w:eastAsia="zh-CN" w:bidi="ar-SA"/>
              </w:rPr>
            </w:pPr>
            <w:r>
              <w:rPr>
                <w:rFonts w:hint="eastAsia" w:ascii="Times New Roman" w:hAnsi="Times New Roman" w:eastAsia="宋体" w:cs="Times New Roman"/>
                <w:b w:val="0"/>
                <w:bCs w:val="0"/>
                <w:color w:val="auto"/>
                <w:lang w:val="en-US" w:eastAsia="zh-CN"/>
              </w:rPr>
              <w:t>（2）除项目经理、技术负责人外，拟投入管理人员具有</w:t>
            </w:r>
            <w:r>
              <w:rPr>
                <w:rFonts w:hint="eastAsia" w:cs="Times New Roman"/>
                <w:b w:val="0"/>
                <w:bCs w:val="0"/>
                <w:color w:val="auto"/>
                <w:lang w:val="en-US" w:eastAsia="zh-CN"/>
              </w:rPr>
              <w:t>与本项目</w:t>
            </w:r>
            <w:r>
              <w:rPr>
                <w:rFonts w:hint="eastAsia"/>
                <w:lang w:val="en-US" w:eastAsia="zh-CN"/>
              </w:rPr>
              <w:t>实施</w:t>
            </w:r>
            <w:r>
              <w:rPr>
                <w:rFonts w:hint="eastAsia" w:cs="Times New Roman"/>
                <w:b w:val="0"/>
                <w:bCs w:val="0"/>
                <w:color w:val="auto"/>
                <w:lang w:val="en-US" w:eastAsia="zh-CN"/>
              </w:rPr>
              <w:t>相关工程类专业职称的：具有</w:t>
            </w:r>
            <w:r>
              <w:rPr>
                <w:rFonts w:hint="eastAsia" w:ascii="Times New Roman" w:hAnsi="Times New Roman" w:eastAsia="宋体" w:cs="Times New Roman"/>
                <w:b w:val="0"/>
                <w:bCs w:val="0"/>
                <w:color w:val="auto"/>
                <w:lang w:val="en-US" w:eastAsia="zh-CN"/>
              </w:rPr>
              <w:t>高级工程师</w:t>
            </w:r>
            <w:r>
              <w:rPr>
                <w:rFonts w:hint="eastAsia"/>
                <w:lang w:val="en-US" w:eastAsia="zh-CN"/>
              </w:rPr>
              <w:t>或以上职称的，每人</w:t>
            </w:r>
            <w:r>
              <w:rPr>
                <w:rFonts w:hint="eastAsia" w:ascii="Times New Roman" w:hAnsi="Times New Roman" w:eastAsia="宋体" w:cs="Times New Roman"/>
                <w:b w:val="0"/>
                <w:bCs w:val="0"/>
                <w:color w:val="auto"/>
                <w:lang w:val="en-US" w:eastAsia="zh-CN"/>
              </w:rPr>
              <w:t>得1分，具有中级工程师职称</w:t>
            </w:r>
            <w:r>
              <w:rPr>
                <w:rFonts w:hint="eastAsia"/>
                <w:lang w:val="en-US" w:eastAsia="zh-CN"/>
              </w:rPr>
              <w:t>的，每人</w:t>
            </w:r>
            <w:r>
              <w:rPr>
                <w:rFonts w:hint="eastAsia" w:ascii="Times New Roman" w:hAnsi="Times New Roman" w:eastAsia="宋体" w:cs="Times New Roman"/>
                <w:b w:val="0"/>
                <w:bCs w:val="0"/>
                <w:color w:val="auto"/>
                <w:lang w:val="en-US" w:eastAsia="zh-CN"/>
              </w:rPr>
              <w:t>得0.5分，满分</w:t>
            </w:r>
            <w:r>
              <w:rPr>
                <w:rFonts w:hint="eastAsia" w:ascii="Times New Roman" w:hAnsi="Times New Roman" w:cs="Times New Roman"/>
                <w:b w:val="0"/>
                <w:bCs w:val="0"/>
                <w:color w:val="auto"/>
                <w:lang w:val="en-US" w:eastAsia="zh-CN"/>
              </w:rPr>
              <w:t>4</w:t>
            </w:r>
            <w:r>
              <w:rPr>
                <w:rFonts w:hint="eastAsia" w:ascii="Times New Roman" w:hAnsi="Times New Roman" w:eastAsia="宋体" w:cs="Times New Roman"/>
                <w:b w:val="0"/>
                <w:bCs w:val="0"/>
                <w:color w:val="auto"/>
                <w:lang w:val="en-US" w:eastAsia="zh-CN"/>
              </w:rPr>
              <w:t>分。（</w:t>
            </w:r>
            <w:r>
              <w:rPr>
                <w:rFonts w:hint="eastAsia" w:cs="Times New Roman"/>
                <w:b w:val="0"/>
                <w:bCs w:val="0"/>
                <w:color w:val="auto"/>
                <w:lang w:val="en-US" w:eastAsia="zh-CN"/>
              </w:rPr>
              <w:t>同一人</w:t>
            </w:r>
            <w:r>
              <w:rPr>
                <w:rFonts w:hint="eastAsia" w:ascii="Times New Roman" w:hAnsi="Times New Roman" w:eastAsia="宋体" w:cs="Times New Roman"/>
                <w:b w:val="0"/>
                <w:bCs w:val="0"/>
                <w:color w:val="auto"/>
                <w:lang w:val="en-US" w:eastAsia="zh-CN"/>
              </w:rPr>
              <w:t>只记最高职称得分，本项满分</w:t>
            </w:r>
            <w:r>
              <w:rPr>
                <w:rFonts w:hint="eastAsia" w:ascii="Times New Roman" w:hAnsi="Times New Roman" w:cs="Times New Roman"/>
                <w:b w:val="0"/>
                <w:bCs w:val="0"/>
                <w:color w:val="auto"/>
                <w:lang w:val="en-US" w:eastAsia="zh-CN"/>
              </w:rPr>
              <w:t>4</w:t>
            </w:r>
            <w:r>
              <w:rPr>
                <w:rFonts w:hint="eastAsia" w:ascii="Times New Roman" w:hAnsi="Times New Roman" w:eastAsia="宋体" w:cs="Times New Roman"/>
                <w:b w:val="0"/>
                <w:bCs w:val="0"/>
                <w:color w:val="auto"/>
                <w:lang w:val="en-US" w:eastAsia="zh-CN"/>
              </w:rPr>
              <w:t>分）</w:t>
            </w:r>
          </w:p>
        </w:tc>
        <w:tc>
          <w:tcPr>
            <w:tcW w:w="794" w:type="dxa"/>
            <w:noWrap w:val="0"/>
            <w:vAlign w:val="center"/>
          </w:tcPr>
          <w:p w14:paraId="7588222C">
            <w:pPr>
              <w:spacing w:line="360" w:lineRule="auto"/>
              <w:jc w:val="center"/>
              <w:rPr>
                <w:rFonts w:hint="default"/>
                <w:bCs/>
                <w:color w:val="auto"/>
                <w:szCs w:val="21"/>
                <w:highlight w:val="none"/>
                <w:lang w:val="en-US" w:eastAsia="zh-CN"/>
              </w:rPr>
            </w:pPr>
            <w:r>
              <w:rPr>
                <w:rFonts w:hint="eastAsia"/>
                <w:bCs/>
                <w:color w:val="auto"/>
                <w:szCs w:val="21"/>
                <w:highlight w:val="none"/>
                <w:lang w:val="en-US" w:eastAsia="zh-CN"/>
              </w:rPr>
              <w:t>7分</w:t>
            </w:r>
          </w:p>
        </w:tc>
      </w:tr>
      <w:tr w14:paraId="57AF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9" w:type="dxa"/>
            <w:noWrap w:val="0"/>
            <w:vAlign w:val="center"/>
          </w:tcPr>
          <w:p w14:paraId="1A696BE5">
            <w:pPr>
              <w:spacing w:line="360" w:lineRule="auto"/>
              <w:jc w:val="center"/>
              <w:rPr>
                <w:rFonts w:hint="default"/>
                <w:bCs/>
                <w:color w:val="auto"/>
                <w:szCs w:val="21"/>
                <w:highlight w:val="none"/>
                <w:lang w:val="en-US" w:eastAsia="zh-CN"/>
              </w:rPr>
            </w:pPr>
            <w:r>
              <w:rPr>
                <w:rFonts w:hint="eastAsia"/>
                <w:bCs/>
                <w:color w:val="auto"/>
                <w:szCs w:val="21"/>
                <w:highlight w:val="none"/>
                <w:lang w:val="en-US" w:eastAsia="zh-CN"/>
              </w:rPr>
              <w:t>11</w:t>
            </w:r>
          </w:p>
        </w:tc>
        <w:tc>
          <w:tcPr>
            <w:tcW w:w="1108" w:type="dxa"/>
            <w:noWrap w:val="0"/>
            <w:vAlign w:val="center"/>
          </w:tcPr>
          <w:p w14:paraId="43C0C319">
            <w:pPr>
              <w:spacing w:line="360" w:lineRule="auto"/>
              <w:jc w:val="center"/>
              <w:rPr>
                <w:rFonts w:hint="eastAsia"/>
                <w:bCs/>
                <w:color w:val="auto"/>
                <w:szCs w:val="21"/>
                <w:highlight w:val="none"/>
                <w:lang w:eastAsia="zh-CN"/>
              </w:rPr>
            </w:pPr>
            <w:r>
              <w:rPr>
                <w:rFonts w:hint="eastAsia"/>
                <w:bCs/>
                <w:color w:val="auto"/>
                <w:szCs w:val="21"/>
                <w:highlight w:val="none"/>
                <w:lang w:eastAsia="zh-CN"/>
              </w:rPr>
              <w:t>商务分</w:t>
            </w:r>
          </w:p>
        </w:tc>
        <w:tc>
          <w:tcPr>
            <w:tcW w:w="7038" w:type="dxa"/>
            <w:noWrap w:val="0"/>
            <w:vAlign w:val="center"/>
          </w:tcPr>
          <w:p w14:paraId="12F2A7E3">
            <w:pPr>
              <w:spacing w:line="380" w:lineRule="exact"/>
              <w:ind w:firstLine="0" w:firstLineChars="0"/>
              <w:jc w:val="left"/>
              <w:rPr>
                <w:rFonts w:hint="eastAsia" w:cs="Times New Roman"/>
                <w:b/>
                <w:bCs/>
                <w:color w:val="auto"/>
                <w:lang w:val="en-US" w:eastAsia="zh-CN"/>
              </w:rPr>
            </w:pPr>
            <w:r>
              <w:rPr>
                <w:rFonts w:hint="default" w:ascii="Times New Roman" w:hAnsi="Times New Roman" w:cs="Times New Roman"/>
                <w:b/>
                <w:bCs/>
                <w:color w:val="auto"/>
                <w:lang w:val="en-US" w:eastAsia="zh-CN"/>
              </w:rPr>
              <w:t>业绩分</w:t>
            </w:r>
            <w:r>
              <w:rPr>
                <w:rFonts w:hint="eastAsia" w:cs="Times New Roman"/>
                <w:b/>
                <w:bCs/>
                <w:color w:val="auto"/>
                <w:lang w:val="en-US" w:eastAsia="zh-CN"/>
              </w:rPr>
              <w:t>（满分3分）</w:t>
            </w:r>
          </w:p>
          <w:p w14:paraId="2D174AF3">
            <w:pPr>
              <w:spacing w:line="380" w:lineRule="exact"/>
              <w:ind w:firstLine="420" w:firstLineChars="200"/>
              <w:jc w:val="left"/>
              <w:rPr>
                <w:rFonts w:hint="eastAsia" w:cs="Times New Roman"/>
                <w:b/>
                <w:bCs/>
                <w:color w:val="auto"/>
                <w:lang w:val="en-US" w:eastAsia="zh-CN"/>
              </w:rPr>
            </w:pPr>
            <w:r>
              <w:rPr>
                <w:rFonts w:hint="default" w:ascii="Times New Roman" w:hAnsi="Times New Roman" w:eastAsia="宋体" w:cs="Times New Roman"/>
                <w:b w:val="0"/>
                <w:bCs/>
                <w:color w:val="auto"/>
                <w:kern w:val="2"/>
                <w:sz w:val="21"/>
                <w:szCs w:val="22"/>
                <w:highlight w:val="none"/>
                <w:lang w:val="en-US" w:eastAsia="zh-CN" w:bidi="ar-SA"/>
              </w:rPr>
              <w:t>供应商</w:t>
            </w:r>
            <w:r>
              <w:rPr>
                <w:rFonts w:hint="eastAsia" w:ascii="Times New Roman" w:hAnsi="Times New Roman" w:cs="Times New Roman"/>
                <w:b w:val="0"/>
                <w:bCs/>
                <w:color w:val="auto"/>
                <w:lang w:val="en-US" w:eastAsia="zh-CN"/>
              </w:rPr>
              <w:t>202</w:t>
            </w:r>
            <w:bookmarkStart w:id="124" w:name="OLE_LINK21"/>
            <w:r>
              <w:rPr>
                <w:rFonts w:hint="eastAsia" w:cs="Times New Roman"/>
                <w:b w:val="0"/>
                <w:bCs/>
                <w:color w:val="auto"/>
                <w:lang w:val="en-US" w:eastAsia="zh-CN"/>
              </w:rPr>
              <w:t>3</w:t>
            </w:r>
            <w:r>
              <w:rPr>
                <w:rFonts w:hint="eastAsia" w:ascii="Times New Roman" w:hAnsi="Times New Roman" w:cs="Times New Roman"/>
                <w:b w:val="0"/>
                <w:bCs/>
                <w:color w:val="auto"/>
                <w:lang w:val="en-US" w:eastAsia="zh-CN"/>
              </w:rPr>
              <w:t>年1月1日</w:t>
            </w:r>
            <w:r>
              <w:rPr>
                <w:rFonts w:hint="default" w:ascii="Times New Roman" w:hAnsi="Times New Roman" w:cs="Times New Roman"/>
                <w:b w:val="0"/>
                <w:bCs/>
                <w:color w:val="auto"/>
                <w:lang w:val="en-US" w:eastAsia="zh-CN"/>
              </w:rPr>
              <w:t>以来</w:t>
            </w:r>
            <w:r>
              <w:rPr>
                <w:rFonts w:hint="eastAsia" w:cs="Times New Roman"/>
                <w:b w:val="0"/>
                <w:bCs/>
                <w:color w:val="auto"/>
                <w:lang w:eastAsia="zh-CN"/>
              </w:rPr>
              <w:t>具</w:t>
            </w:r>
            <w:bookmarkEnd w:id="124"/>
            <w:r>
              <w:rPr>
                <w:rFonts w:hint="eastAsia" w:cs="Times New Roman"/>
                <w:b w:val="0"/>
                <w:bCs/>
                <w:color w:val="auto"/>
                <w:lang w:eastAsia="zh-CN"/>
              </w:rPr>
              <w:t>有</w:t>
            </w:r>
            <w:r>
              <w:rPr>
                <w:rFonts w:hint="eastAsia" w:ascii="Times New Roman" w:eastAsia="宋体"/>
                <w:color w:val="auto"/>
                <w:lang w:val="en-US" w:eastAsia="zh-CN"/>
              </w:rPr>
              <w:t>与本次采购内容有关的类似项目</w:t>
            </w:r>
            <w:r>
              <w:rPr>
                <w:rFonts w:hint="default" w:ascii="Times New Roman" w:hAnsi="Times New Roman" w:cs="Times New Roman"/>
                <w:b w:val="0"/>
                <w:bCs/>
                <w:color w:val="auto"/>
                <w:lang w:eastAsia="zh-CN"/>
              </w:rPr>
              <w:t>业绩，每提供一个得</w:t>
            </w:r>
            <w:r>
              <w:rPr>
                <w:rFonts w:hint="eastAsia" w:ascii="Times New Roman" w:hAnsi="Times New Roman" w:cs="Times New Roman"/>
                <w:b w:val="0"/>
                <w:bCs/>
                <w:color w:val="auto"/>
                <w:lang w:val="en-US" w:eastAsia="zh-CN"/>
              </w:rPr>
              <w:t>0.5</w:t>
            </w:r>
            <w:r>
              <w:rPr>
                <w:rFonts w:hint="default" w:ascii="Times New Roman" w:hAnsi="Times New Roman" w:cs="Times New Roman"/>
                <w:b w:val="0"/>
                <w:bCs/>
                <w:color w:val="auto"/>
                <w:lang w:val="en-US" w:eastAsia="zh-CN"/>
              </w:rPr>
              <w:t>分，满分</w:t>
            </w:r>
            <w:r>
              <w:rPr>
                <w:rFonts w:hint="eastAsia" w:ascii="Times New Roman" w:hAnsi="Times New Roman" w:cs="Times New Roman"/>
                <w:b w:val="0"/>
                <w:bCs/>
                <w:color w:val="auto"/>
                <w:lang w:val="en-US" w:eastAsia="zh-CN"/>
              </w:rPr>
              <w:t>3</w:t>
            </w:r>
            <w:r>
              <w:rPr>
                <w:rFonts w:hint="default" w:ascii="Times New Roman" w:hAnsi="Times New Roman" w:cs="Times New Roman"/>
                <w:b w:val="0"/>
                <w:bCs/>
                <w:color w:val="auto"/>
                <w:lang w:val="en-US" w:eastAsia="zh-CN"/>
              </w:rPr>
              <w:t>分。</w:t>
            </w:r>
            <w:r>
              <w:rPr>
                <w:rFonts w:hint="default" w:ascii="Times New Roman" w:hAnsi="Times New Roman" w:cs="Times New Roman"/>
                <w:b w:val="0"/>
                <w:bCs/>
                <w:color w:val="auto"/>
                <w:kern w:val="2"/>
                <w:sz w:val="21"/>
                <w:szCs w:val="24"/>
                <w:lang w:val="en-US" w:eastAsia="zh-CN" w:bidi="ar-SA"/>
              </w:rPr>
              <w:t>以</w:t>
            </w:r>
            <w:r>
              <w:rPr>
                <w:rFonts w:hint="eastAsia"/>
                <w:lang w:val="en-US" w:eastAsia="zh-CN"/>
              </w:rPr>
              <w:t>首次响应文件中提供的业绩的</w:t>
            </w:r>
            <w:r>
              <w:rPr>
                <w:rFonts w:hint="default" w:ascii="Times New Roman" w:hAnsi="Times New Roman" w:cs="Times New Roman"/>
                <w:b w:val="0"/>
                <w:bCs/>
                <w:color w:val="auto"/>
                <w:kern w:val="2"/>
                <w:sz w:val="21"/>
                <w:szCs w:val="24"/>
                <w:lang w:val="en-US" w:eastAsia="zh-CN" w:bidi="ar-SA"/>
              </w:rPr>
              <w:t>中标、成交通知书或签订的合同为准</w:t>
            </w:r>
            <w:r>
              <w:rPr>
                <w:rFonts w:hint="eastAsia"/>
                <w:lang w:val="en-US" w:eastAsia="zh-CN"/>
              </w:rPr>
              <w:t>，未提供的不予计分</w:t>
            </w:r>
            <w:r>
              <w:rPr>
                <w:rFonts w:hint="default" w:ascii="Times New Roman" w:hAnsi="Times New Roman" w:cs="Times New Roman"/>
                <w:b w:val="0"/>
                <w:bCs/>
                <w:color w:val="auto"/>
                <w:kern w:val="2"/>
                <w:sz w:val="21"/>
                <w:szCs w:val="24"/>
                <w:lang w:val="en-US" w:eastAsia="zh-CN" w:bidi="ar-SA"/>
              </w:rPr>
              <w:t>。</w:t>
            </w:r>
          </w:p>
        </w:tc>
        <w:tc>
          <w:tcPr>
            <w:tcW w:w="794" w:type="dxa"/>
            <w:noWrap w:val="0"/>
            <w:vAlign w:val="center"/>
          </w:tcPr>
          <w:p w14:paraId="49C2F706">
            <w:pPr>
              <w:spacing w:line="360" w:lineRule="auto"/>
              <w:jc w:val="center"/>
              <w:rPr>
                <w:rFonts w:hint="default"/>
                <w:bCs/>
                <w:color w:val="auto"/>
                <w:szCs w:val="21"/>
                <w:highlight w:val="none"/>
                <w:lang w:val="en-US" w:eastAsia="zh-CN"/>
              </w:rPr>
            </w:pPr>
            <w:r>
              <w:rPr>
                <w:rFonts w:hint="eastAsia"/>
                <w:bCs/>
                <w:color w:val="auto"/>
                <w:szCs w:val="21"/>
                <w:highlight w:val="none"/>
                <w:lang w:val="en-US" w:eastAsia="zh-CN"/>
              </w:rPr>
              <w:t>3分</w:t>
            </w:r>
          </w:p>
        </w:tc>
      </w:tr>
      <w:bookmarkEnd w:id="123"/>
    </w:tbl>
    <w:p w14:paraId="45F9EF35">
      <w:pPr>
        <w:spacing w:line="520" w:lineRule="exact"/>
        <w:ind w:firstLine="420" w:firstLineChars="200"/>
        <w:rPr>
          <w:color w:val="auto"/>
          <w:highlight w:val="none"/>
        </w:rPr>
      </w:pPr>
      <w:bookmarkStart w:id="125" w:name="_Toc80205935"/>
      <w:r>
        <w:rPr>
          <w:color w:val="auto"/>
          <w:highlight w:val="none"/>
        </w:rPr>
        <w:t>7.2终止竞争性磋商采购活动</w:t>
      </w:r>
    </w:p>
    <w:p w14:paraId="5A6712DB">
      <w:pPr>
        <w:spacing w:line="520" w:lineRule="exact"/>
        <w:ind w:firstLine="420" w:firstLineChars="200"/>
        <w:rPr>
          <w:rFonts w:hint="eastAsia" w:ascii="宋体" w:hAnsi="宋体"/>
          <w:b/>
          <w:color w:val="auto"/>
          <w:highlight w:val="none"/>
        </w:rPr>
      </w:pPr>
      <w:r>
        <w:rPr>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D3E18CC">
      <w:pPr>
        <w:pStyle w:val="3"/>
        <w:spacing w:before="0" w:after="0" w:line="520" w:lineRule="exact"/>
        <w:jc w:val="center"/>
        <w:rPr>
          <w:rFonts w:hint="eastAsia" w:ascii="宋体" w:hAnsi="宋体"/>
          <w:b w:val="0"/>
          <w:color w:val="auto"/>
          <w:highlight w:val="none"/>
        </w:rPr>
      </w:pPr>
      <w:bookmarkStart w:id="126" w:name="_Toc80886939"/>
      <w:bookmarkStart w:id="127" w:name="_Toc22545"/>
      <w:bookmarkStart w:id="128" w:name="_Toc11595"/>
      <w:r>
        <w:rPr>
          <w:rFonts w:hint="eastAsia" w:ascii="宋体" w:hAnsi="宋体"/>
          <w:b w:val="0"/>
          <w:color w:val="auto"/>
          <w:highlight w:val="none"/>
        </w:rPr>
        <w:t>第二节 评</w:t>
      </w:r>
      <w:r>
        <w:rPr>
          <w:rFonts w:hint="eastAsia" w:ascii="宋体" w:hAnsi="宋体"/>
          <w:b w:val="0"/>
          <w:color w:val="auto"/>
          <w:highlight w:val="none"/>
          <w:lang w:eastAsia="zh-CN"/>
        </w:rPr>
        <w:t>审</w:t>
      </w:r>
      <w:r>
        <w:rPr>
          <w:rFonts w:hint="eastAsia" w:ascii="宋体" w:hAnsi="宋体"/>
          <w:b w:val="0"/>
          <w:color w:val="auto"/>
          <w:highlight w:val="none"/>
        </w:rPr>
        <w:t>报告</w:t>
      </w:r>
      <w:bookmarkEnd w:id="125"/>
      <w:bookmarkEnd w:id="126"/>
      <w:bookmarkEnd w:id="127"/>
      <w:bookmarkEnd w:id="128"/>
    </w:p>
    <w:p w14:paraId="73E3A47B">
      <w:pPr>
        <w:spacing w:line="520" w:lineRule="exact"/>
        <w:ind w:firstLine="480" w:firstLineChars="200"/>
        <w:rPr>
          <w:rFonts w:eastAsia="黑体"/>
          <w:color w:val="auto"/>
          <w:sz w:val="24"/>
          <w:szCs w:val="32"/>
          <w:highlight w:val="none"/>
        </w:rPr>
      </w:pPr>
      <w:r>
        <w:rPr>
          <w:rFonts w:eastAsia="黑体"/>
          <w:color w:val="auto"/>
          <w:sz w:val="24"/>
          <w:szCs w:val="32"/>
          <w:highlight w:val="none"/>
        </w:rPr>
        <w:t>1.成交标准</w:t>
      </w:r>
    </w:p>
    <w:p w14:paraId="7CC46FD1">
      <w:pPr>
        <w:spacing w:line="520" w:lineRule="exact"/>
        <w:ind w:firstLine="420" w:firstLineChars="200"/>
        <w:rPr>
          <w:color w:val="auto"/>
          <w:sz w:val="24"/>
          <w:highlight w:val="none"/>
        </w:rPr>
      </w:pPr>
      <w:r>
        <w:rPr>
          <w:bCs/>
          <w:color w:val="auto"/>
          <w:szCs w:val="21"/>
          <w:highlight w:val="none"/>
        </w:rPr>
        <w:t>由磋商小组根据综合评分情况，按照评审得分由高到低顺序推荐3名以上成交候选供应商</w:t>
      </w:r>
      <w:r>
        <w:rPr>
          <w:color w:val="auto"/>
          <w:highlight w:val="none"/>
        </w:rPr>
        <w:t>,并在线编写电子评审报告</w:t>
      </w:r>
      <w:r>
        <w:rPr>
          <w:bCs/>
          <w:color w:val="auto"/>
          <w:szCs w:val="21"/>
          <w:highlight w:val="none"/>
        </w:rPr>
        <w:t>。评审得分相同的，按照最后报价（不计算价格折扣）由低到高的顺序推荐。评审得分且最后报价（不计算价格折扣）相同的</w:t>
      </w:r>
      <w:r>
        <w:rPr>
          <w:rFonts w:hint="eastAsia"/>
          <w:bCs/>
          <w:color w:val="auto"/>
          <w:szCs w:val="21"/>
          <w:highlight w:val="none"/>
          <w:lang w:eastAsia="zh-CN"/>
        </w:rPr>
        <w:t>，</w:t>
      </w:r>
      <w:r>
        <w:rPr>
          <w:bCs/>
          <w:color w:val="auto"/>
          <w:szCs w:val="21"/>
          <w:highlight w:val="none"/>
        </w:rPr>
        <w:t>按照技术</w:t>
      </w:r>
      <w:r>
        <w:rPr>
          <w:rFonts w:hint="eastAsia"/>
          <w:bCs/>
          <w:color w:val="auto"/>
          <w:szCs w:val="21"/>
          <w:highlight w:val="none"/>
          <w:lang w:eastAsia="zh-CN"/>
        </w:rPr>
        <w:t>、</w:t>
      </w:r>
      <w:r>
        <w:rPr>
          <w:rFonts w:hint="eastAsia"/>
          <w:lang w:eastAsia="zh-CN"/>
        </w:rPr>
        <w:t>商务</w:t>
      </w:r>
      <w:r>
        <w:rPr>
          <w:bCs/>
          <w:color w:val="auto"/>
          <w:szCs w:val="21"/>
          <w:highlight w:val="none"/>
        </w:rPr>
        <w:t>指标优劣顺序推荐</w:t>
      </w:r>
      <w:r>
        <w:rPr>
          <w:rFonts w:hint="eastAsia"/>
          <w:color w:val="auto"/>
          <w:kern w:val="0"/>
          <w:szCs w:val="21"/>
          <w:highlight w:val="none"/>
        </w:rPr>
        <w:t>(按技术分得分由高到低排序，技术分得分相同的按照商务分得分由高到低排序)。评审得分、最后报价(不计算价格折扣)、技术分得分、商务分得分均相同的，由磋商小组随机抽取推荐</w:t>
      </w:r>
      <w:r>
        <w:rPr>
          <w:bCs/>
          <w:color w:val="auto"/>
          <w:szCs w:val="21"/>
          <w:highlight w:val="none"/>
        </w:rPr>
        <w:t>。</w:t>
      </w:r>
    </w:p>
    <w:p w14:paraId="3120B3E1">
      <w:pPr>
        <w:spacing w:line="520" w:lineRule="exact"/>
        <w:ind w:firstLine="480" w:firstLineChars="200"/>
        <w:rPr>
          <w:rFonts w:hint="eastAsia" w:eastAsia="黑体"/>
          <w:color w:val="auto"/>
          <w:sz w:val="24"/>
          <w:szCs w:val="32"/>
          <w:highlight w:val="none"/>
          <w:lang w:eastAsia="zh-CN"/>
        </w:rPr>
      </w:pPr>
      <w:r>
        <w:rPr>
          <w:rFonts w:eastAsia="黑体"/>
          <w:color w:val="auto"/>
          <w:sz w:val="24"/>
          <w:szCs w:val="32"/>
          <w:highlight w:val="none"/>
        </w:rPr>
        <w:t>2.评标争议事项处理</w:t>
      </w:r>
    </w:p>
    <w:p w14:paraId="19601B4F">
      <w:pPr>
        <w:pStyle w:val="71"/>
        <w:spacing w:before="0" w:line="520" w:lineRule="exact"/>
        <w:ind w:firstLine="420"/>
        <w:rPr>
          <w:color w:val="auto"/>
          <w:kern w:val="2"/>
          <w:sz w:val="21"/>
          <w:szCs w:val="24"/>
          <w:highlight w:val="none"/>
        </w:rPr>
      </w:pPr>
      <w:r>
        <w:rPr>
          <w:color w:val="auto"/>
          <w:kern w:val="2"/>
          <w:sz w:val="21"/>
          <w:szCs w:val="24"/>
          <w:highlight w:val="none"/>
        </w:rPr>
        <w:t>磋商小组成员对需要共同认定的事项存在争议的，应当按照少数服从多数的原则作出结论。持不同意见的磋商小组成员应当在评</w:t>
      </w:r>
      <w:r>
        <w:rPr>
          <w:color w:val="auto"/>
          <w:kern w:val="2"/>
          <w:sz w:val="21"/>
          <w:szCs w:val="24"/>
          <w:highlight w:val="none"/>
          <w:lang w:eastAsia="zh-CN"/>
        </w:rPr>
        <w:t>审</w:t>
      </w:r>
      <w:r>
        <w:rPr>
          <w:color w:val="auto"/>
          <w:kern w:val="2"/>
          <w:sz w:val="21"/>
          <w:szCs w:val="24"/>
          <w:highlight w:val="none"/>
        </w:rPr>
        <w:t>报告上签署不同意见及理由，否则视为同意评</w:t>
      </w:r>
      <w:r>
        <w:rPr>
          <w:color w:val="auto"/>
          <w:kern w:val="2"/>
          <w:sz w:val="21"/>
          <w:szCs w:val="24"/>
          <w:highlight w:val="none"/>
          <w:lang w:eastAsia="zh-CN"/>
        </w:rPr>
        <w:t>审</w:t>
      </w:r>
      <w:r>
        <w:rPr>
          <w:color w:val="auto"/>
          <w:kern w:val="2"/>
          <w:sz w:val="21"/>
          <w:szCs w:val="24"/>
          <w:highlight w:val="none"/>
        </w:rPr>
        <w:t>报告。</w:t>
      </w:r>
    </w:p>
    <w:p w14:paraId="30F9F7AE">
      <w:pPr>
        <w:pStyle w:val="3"/>
        <w:spacing w:before="0" w:after="0" w:line="520" w:lineRule="exact"/>
        <w:ind w:firstLine="640" w:firstLineChars="200"/>
        <w:jc w:val="center"/>
        <w:rPr>
          <w:rFonts w:ascii="Times New Roman" w:hAnsi="Times New Roman"/>
          <w:b w:val="0"/>
          <w:color w:val="auto"/>
          <w:highlight w:val="none"/>
        </w:rPr>
      </w:pPr>
      <w:bookmarkStart w:id="129" w:name="_Toc80886940"/>
      <w:bookmarkStart w:id="130" w:name="_Toc80205936"/>
      <w:bookmarkStart w:id="131" w:name="_Toc2025"/>
      <w:bookmarkStart w:id="132" w:name="_Toc20045"/>
    </w:p>
    <w:p w14:paraId="1F6AF454">
      <w:pPr>
        <w:pStyle w:val="3"/>
        <w:spacing w:before="0" w:after="0" w:line="520" w:lineRule="exact"/>
        <w:ind w:firstLine="640" w:firstLineChars="200"/>
        <w:jc w:val="center"/>
        <w:rPr>
          <w:rFonts w:ascii="Times New Roman" w:hAnsi="Times New Roman"/>
          <w:b w:val="0"/>
          <w:color w:val="auto"/>
          <w:highlight w:val="none"/>
        </w:rPr>
      </w:pPr>
      <w:r>
        <w:rPr>
          <w:rFonts w:ascii="Times New Roman" w:hAnsi="Times New Roman"/>
          <w:b w:val="0"/>
          <w:color w:val="auto"/>
          <w:highlight w:val="none"/>
        </w:rPr>
        <w:t>第三节 评审过程的保密与录像</w:t>
      </w:r>
      <w:bookmarkEnd w:id="129"/>
      <w:bookmarkEnd w:id="130"/>
      <w:bookmarkEnd w:id="131"/>
      <w:bookmarkEnd w:id="132"/>
    </w:p>
    <w:p w14:paraId="5D678997">
      <w:pPr>
        <w:spacing w:line="520" w:lineRule="exact"/>
        <w:ind w:firstLine="480" w:firstLineChars="200"/>
        <w:rPr>
          <w:rFonts w:eastAsia="黑体"/>
          <w:color w:val="auto"/>
          <w:sz w:val="24"/>
          <w:szCs w:val="32"/>
          <w:highlight w:val="none"/>
        </w:rPr>
      </w:pPr>
      <w:r>
        <w:rPr>
          <w:rFonts w:eastAsia="黑体"/>
          <w:color w:val="auto"/>
          <w:sz w:val="24"/>
          <w:szCs w:val="32"/>
          <w:highlight w:val="none"/>
        </w:rPr>
        <w:t>1.保密。</w:t>
      </w:r>
    </w:p>
    <w:p w14:paraId="71E4BEBA">
      <w:pPr>
        <w:widowControl/>
        <w:spacing w:line="520" w:lineRule="exact"/>
        <w:ind w:firstLine="420" w:firstLineChars="200"/>
        <w:rPr>
          <w:color w:val="auto"/>
          <w:highlight w:val="none"/>
        </w:rPr>
      </w:pPr>
      <w:r>
        <w:rPr>
          <w:color w:val="auto"/>
          <w:highlight w:val="none"/>
        </w:rPr>
        <w:t>评审活动在严格保密的情况下进行。评审过程中凡是与响应文件评审和比较、成交供应商推荐等评审有关的情况，以及涉及国家秘密和商业秘密等信息，磋商小组成员、采购人和采购代理机构工作人员、相关监督人员等与评审有关的人员应当予以保密。</w:t>
      </w:r>
    </w:p>
    <w:p w14:paraId="251D295C">
      <w:pPr>
        <w:widowControl/>
        <w:spacing w:line="520" w:lineRule="exact"/>
        <w:ind w:firstLine="480" w:firstLineChars="200"/>
        <w:rPr>
          <w:rFonts w:eastAsia="黑体"/>
          <w:color w:val="auto"/>
          <w:sz w:val="24"/>
          <w:szCs w:val="32"/>
          <w:highlight w:val="none"/>
        </w:rPr>
      </w:pPr>
      <w:r>
        <w:rPr>
          <w:rFonts w:eastAsia="黑体"/>
          <w:color w:val="auto"/>
          <w:sz w:val="24"/>
          <w:szCs w:val="32"/>
          <w:highlight w:val="none"/>
        </w:rPr>
        <w:t>2.录音录像。</w:t>
      </w:r>
    </w:p>
    <w:p w14:paraId="0BD7CAC4">
      <w:pPr>
        <w:spacing w:line="360" w:lineRule="auto"/>
        <w:ind w:firstLine="420" w:firstLineChars="200"/>
        <w:rPr>
          <w:color w:val="auto"/>
          <w:highlight w:val="none"/>
        </w:rPr>
      </w:pPr>
      <w:r>
        <w:rPr>
          <w:color w:val="auto"/>
          <w:highlight w:val="none"/>
        </w:rPr>
        <w:t>采购代理机构对评审工作现场及操作屏幕进行全过程录音录像，录音录像资料作为采购项目文件随其他文件一并存档。</w:t>
      </w:r>
    </w:p>
    <w:p w14:paraId="2E918193">
      <w:pPr>
        <w:widowControl/>
        <w:spacing w:line="360" w:lineRule="auto"/>
        <w:ind w:firstLine="420" w:firstLineChars="200"/>
        <w:rPr>
          <w:rFonts w:ascii="Times New Roman" w:hAnsi="Times New Roman" w:eastAsia="宋体" w:cs="Times New Roman"/>
          <w:color w:val="auto"/>
          <w:highlight w:val="none"/>
        </w:rPr>
      </w:pPr>
    </w:p>
    <w:p w14:paraId="78E72C3C">
      <w:pPr>
        <w:widowControl/>
        <w:spacing w:line="360" w:lineRule="auto"/>
        <w:ind w:firstLine="420" w:firstLineChars="200"/>
        <w:rPr>
          <w:rFonts w:ascii="Times New Roman" w:hAnsi="Times New Roman" w:eastAsia="宋体" w:cs="Times New Roman"/>
          <w:color w:val="auto"/>
          <w:highlight w:val="none"/>
        </w:rPr>
      </w:pPr>
    </w:p>
    <w:p w14:paraId="65552C4D">
      <w:pPr>
        <w:widowControl/>
        <w:spacing w:line="360" w:lineRule="auto"/>
        <w:ind w:firstLine="420" w:firstLineChars="200"/>
        <w:rPr>
          <w:rFonts w:ascii="Times New Roman" w:hAnsi="Times New Roman" w:eastAsia="宋体" w:cs="Times New Roman"/>
          <w:color w:val="auto"/>
          <w:highlight w:val="none"/>
        </w:rPr>
      </w:pPr>
    </w:p>
    <w:p w14:paraId="4A1E5242">
      <w:pPr>
        <w:widowControl/>
        <w:spacing w:line="360" w:lineRule="auto"/>
        <w:ind w:firstLine="420" w:firstLineChars="200"/>
        <w:rPr>
          <w:rFonts w:ascii="Times New Roman" w:hAnsi="Times New Roman" w:eastAsia="宋体" w:cs="Times New Roman"/>
          <w:color w:val="auto"/>
          <w:highlight w:val="none"/>
        </w:rPr>
      </w:pPr>
    </w:p>
    <w:p w14:paraId="0A8AA7E6">
      <w:pPr>
        <w:widowControl/>
        <w:spacing w:line="360" w:lineRule="auto"/>
        <w:ind w:firstLine="420" w:firstLineChars="200"/>
        <w:rPr>
          <w:rFonts w:ascii="Times New Roman" w:hAnsi="Times New Roman" w:eastAsia="宋体" w:cs="Times New Roman"/>
          <w:color w:val="auto"/>
          <w:highlight w:val="none"/>
        </w:rPr>
      </w:pPr>
    </w:p>
    <w:p w14:paraId="67541567">
      <w:pPr>
        <w:widowControl/>
        <w:spacing w:line="360" w:lineRule="auto"/>
        <w:ind w:firstLine="420" w:firstLineChars="200"/>
        <w:rPr>
          <w:rFonts w:ascii="Times New Roman" w:hAnsi="Times New Roman" w:eastAsia="宋体" w:cs="Times New Roman"/>
          <w:color w:val="auto"/>
          <w:highlight w:val="none"/>
        </w:rPr>
      </w:pPr>
    </w:p>
    <w:p w14:paraId="0537D7E2">
      <w:pPr>
        <w:widowControl/>
        <w:spacing w:line="360" w:lineRule="auto"/>
        <w:ind w:firstLine="420" w:firstLineChars="200"/>
        <w:rPr>
          <w:rFonts w:ascii="Times New Roman" w:hAnsi="Times New Roman" w:eastAsia="宋体" w:cs="Times New Roman"/>
          <w:color w:val="auto"/>
          <w:highlight w:val="none"/>
        </w:rPr>
      </w:pPr>
    </w:p>
    <w:p w14:paraId="30DEB580">
      <w:pPr>
        <w:widowControl/>
        <w:spacing w:line="360" w:lineRule="auto"/>
        <w:ind w:firstLine="420" w:firstLineChars="200"/>
        <w:rPr>
          <w:rFonts w:ascii="Times New Roman" w:hAnsi="Times New Roman" w:eastAsia="宋体" w:cs="Times New Roman"/>
          <w:color w:val="auto"/>
          <w:highlight w:val="none"/>
        </w:rPr>
      </w:pPr>
    </w:p>
    <w:p w14:paraId="6FBECFF1">
      <w:pPr>
        <w:widowControl/>
        <w:spacing w:line="360" w:lineRule="auto"/>
        <w:ind w:firstLine="420" w:firstLineChars="200"/>
        <w:rPr>
          <w:rFonts w:ascii="Times New Roman" w:hAnsi="Times New Roman" w:eastAsia="宋体" w:cs="Times New Roman"/>
          <w:color w:val="auto"/>
          <w:highlight w:val="none"/>
        </w:rPr>
      </w:pPr>
    </w:p>
    <w:p w14:paraId="1678E8B0">
      <w:pPr>
        <w:widowControl/>
        <w:spacing w:line="360" w:lineRule="auto"/>
        <w:ind w:firstLine="420" w:firstLineChars="200"/>
        <w:rPr>
          <w:rFonts w:ascii="Times New Roman" w:hAnsi="Times New Roman" w:eastAsia="宋体" w:cs="Times New Roman"/>
          <w:color w:val="auto"/>
          <w:highlight w:val="none"/>
        </w:rPr>
      </w:pPr>
    </w:p>
    <w:p w14:paraId="5CF757B5">
      <w:pPr>
        <w:widowControl/>
        <w:spacing w:line="360" w:lineRule="auto"/>
        <w:ind w:firstLine="420" w:firstLineChars="200"/>
        <w:rPr>
          <w:rFonts w:ascii="Times New Roman" w:hAnsi="Times New Roman" w:eastAsia="宋体" w:cs="Times New Roman"/>
          <w:color w:val="auto"/>
          <w:highlight w:val="none"/>
        </w:rPr>
      </w:pPr>
    </w:p>
    <w:p w14:paraId="6EC00388">
      <w:pPr>
        <w:widowControl/>
        <w:spacing w:line="360" w:lineRule="auto"/>
        <w:ind w:firstLine="420" w:firstLineChars="200"/>
        <w:rPr>
          <w:rFonts w:ascii="Times New Roman" w:hAnsi="Times New Roman" w:eastAsia="宋体" w:cs="Times New Roman"/>
          <w:color w:val="auto"/>
          <w:highlight w:val="none"/>
        </w:rPr>
      </w:pPr>
    </w:p>
    <w:p w14:paraId="275A4EF6">
      <w:pPr>
        <w:widowControl/>
        <w:spacing w:line="360" w:lineRule="auto"/>
        <w:ind w:firstLine="420" w:firstLineChars="200"/>
        <w:rPr>
          <w:rFonts w:ascii="Times New Roman" w:hAnsi="Times New Roman" w:eastAsia="宋体" w:cs="Times New Roman"/>
          <w:color w:val="auto"/>
          <w:highlight w:val="none"/>
        </w:rPr>
      </w:pPr>
    </w:p>
    <w:p w14:paraId="06C2289F">
      <w:pPr>
        <w:widowControl/>
        <w:spacing w:line="360" w:lineRule="auto"/>
        <w:ind w:firstLine="420" w:firstLineChars="200"/>
        <w:rPr>
          <w:rFonts w:ascii="Times New Roman" w:hAnsi="Times New Roman" w:eastAsia="宋体" w:cs="Times New Roman"/>
          <w:color w:val="auto"/>
          <w:highlight w:val="none"/>
        </w:rPr>
      </w:pPr>
    </w:p>
    <w:p w14:paraId="56B9CBF2">
      <w:pPr>
        <w:widowControl/>
        <w:spacing w:line="360" w:lineRule="auto"/>
        <w:ind w:firstLine="420" w:firstLineChars="200"/>
        <w:rPr>
          <w:rFonts w:ascii="Times New Roman" w:hAnsi="Times New Roman" w:eastAsia="宋体" w:cs="Times New Roman"/>
          <w:color w:val="auto"/>
          <w:highlight w:val="none"/>
        </w:rPr>
      </w:pPr>
    </w:p>
    <w:p w14:paraId="75E7FD3A">
      <w:pPr>
        <w:widowControl/>
        <w:spacing w:line="360" w:lineRule="auto"/>
        <w:ind w:firstLine="420" w:firstLineChars="200"/>
        <w:rPr>
          <w:rFonts w:ascii="Times New Roman" w:hAnsi="Times New Roman" w:eastAsia="宋体" w:cs="Times New Roman"/>
          <w:color w:val="auto"/>
          <w:highlight w:val="none"/>
        </w:rPr>
      </w:pPr>
    </w:p>
    <w:p w14:paraId="16E9BFE1">
      <w:pPr>
        <w:widowControl/>
        <w:spacing w:line="360" w:lineRule="auto"/>
        <w:ind w:firstLine="420" w:firstLineChars="200"/>
        <w:rPr>
          <w:rFonts w:ascii="Times New Roman" w:hAnsi="Times New Roman" w:eastAsia="宋体" w:cs="Times New Roman"/>
          <w:color w:val="auto"/>
          <w:highlight w:val="none"/>
        </w:rPr>
      </w:pPr>
    </w:p>
    <w:p w14:paraId="13123220">
      <w:pPr>
        <w:widowControl/>
        <w:spacing w:line="360" w:lineRule="auto"/>
        <w:ind w:firstLine="420" w:firstLineChars="200"/>
        <w:rPr>
          <w:rFonts w:ascii="Times New Roman" w:hAnsi="Times New Roman" w:eastAsia="宋体" w:cs="Times New Roman"/>
          <w:color w:val="auto"/>
          <w:highlight w:val="none"/>
        </w:rPr>
      </w:pPr>
    </w:p>
    <w:p w14:paraId="0865D4D0">
      <w:pPr>
        <w:widowControl/>
        <w:spacing w:line="360" w:lineRule="auto"/>
        <w:ind w:firstLine="420" w:firstLineChars="200"/>
        <w:rPr>
          <w:rFonts w:ascii="Times New Roman" w:hAnsi="Times New Roman" w:eastAsia="宋体" w:cs="Times New Roman"/>
          <w:color w:val="auto"/>
          <w:highlight w:val="none"/>
        </w:rPr>
      </w:pPr>
    </w:p>
    <w:p w14:paraId="5030D904">
      <w:pPr>
        <w:widowControl/>
        <w:spacing w:line="360" w:lineRule="auto"/>
        <w:ind w:firstLine="420" w:firstLineChars="200"/>
        <w:rPr>
          <w:rFonts w:ascii="Times New Roman" w:hAnsi="Times New Roman" w:eastAsia="宋体" w:cs="Times New Roman"/>
          <w:color w:val="auto"/>
          <w:highlight w:val="none"/>
        </w:rPr>
      </w:pPr>
    </w:p>
    <w:p w14:paraId="1D77EBC4">
      <w:pPr>
        <w:widowControl/>
        <w:spacing w:line="360" w:lineRule="auto"/>
        <w:ind w:firstLine="420" w:firstLineChars="200"/>
        <w:rPr>
          <w:rFonts w:ascii="Times New Roman" w:hAnsi="Times New Roman" w:eastAsia="宋体" w:cs="Times New Roman"/>
          <w:color w:val="auto"/>
          <w:highlight w:val="none"/>
        </w:rPr>
      </w:pPr>
    </w:p>
    <w:p w14:paraId="5D3F08FC">
      <w:pPr>
        <w:widowControl/>
        <w:spacing w:line="360" w:lineRule="auto"/>
        <w:ind w:firstLine="420" w:firstLineChars="200"/>
        <w:rPr>
          <w:rFonts w:ascii="Times New Roman" w:hAnsi="Times New Roman" w:eastAsia="宋体" w:cs="Times New Roman"/>
          <w:color w:val="auto"/>
          <w:highlight w:val="none"/>
        </w:rPr>
      </w:pPr>
    </w:p>
    <w:p w14:paraId="28D46D3B">
      <w:pPr>
        <w:widowControl/>
        <w:spacing w:line="360" w:lineRule="auto"/>
        <w:ind w:firstLine="420" w:firstLineChars="200"/>
        <w:rPr>
          <w:rFonts w:ascii="Times New Roman" w:hAnsi="Times New Roman" w:eastAsia="宋体" w:cs="Times New Roman"/>
          <w:color w:val="auto"/>
          <w:highlight w:val="none"/>
        </w:rPr>
      </w:pPr>
    </w:p>
    <w:p w14:paraId="6A882CEA">
      <w:pPr>
        <w:widowControl/>
        <w:spacing w:line="360" w:lineRule="auto"/>
        <w:ind w:firstLine="420" w:firstLineChars="200"/>
        <w:rPr>
          <w:rFonts w:ascii="Times New Roman" w:hAnsi="Times New Roman" w:eastAsia="宋体" w:cs="Times New Roman"/>
          <w:color w:val="auto"/>
          <w:highlight w:val="none"/>
        </w:rPr>
      </w:pPr>
    </w:p>
    <w:p w14:paraId="3198A562">
      <w:pPr>
        <w:widowControl/>
        <w:spacing w:line="360" w:lineRule="auto"/>
        <w:ind w:firstLine="420" w:firstLineChars="200"/>
        <w:rPr>
          <w:rFonts w:ascii="Times New Roman" w:hAnsi="Times New Roman" w:eastAsia="宋体" w:cs="Times New Roman"/>
          <w:color w:val="auto"/>
          <w:highlight w:val="none"/>
        </w:rPr>
      </w:pPr>
    </w:p>
    <w:p w14:paraId="49BCD070">
      <w:pPr>
        <w:widowControl/>
        <w:spacing w:line="360" w:lineRule="auto"/>
        <w:ind w:firstLine="420" w:firstLineChars="200"/>
        <w:rPr>
          <w:rFonts w:ascii="Times New Roman" w:hAnsi="Times New Roman" w:eastAsia="宋体" w:cs="Times New Roman"/>
          <w:color w:val="auto"/>
          <w:highlight w:val="none"/>
        </w:rPr>
      </w:pPr>
    </w:p>
    <w:p w14:paraId="3F9310A2">
      <w:pPr>
        <w:pStyle w:val="13"/>
        <w:rPr>
          <w:rFonts w:ascii="Times New Roman" w:hAnsi="Times New Roman" w:eastAsia="宋体" w:cs="Times New Roman"/>
          <w:color w:val="auto"/>
          <w:highlight w:val="none"/>
        </w:rPr>
      </w:pPr>
    </w:p>
    <w:p w14:paraId="04016929">
      <w:pPr>
        <w:rPr>
          <w:rFonts w:ascii="Times New Roman" w:hAnsi="Times New Roman" w:eastAsia="宋体" w:cs="Times New Roman"/>
          <w:color w:val="auto"/>
          <w:highlight w:val="none"/>
        </w:rPr>
      </w:pPr>
    </w:p>
    <w:p w14:paraId="2D5CEFB1">
      <w:pPr>
        <w:pStyle w:val="13"/>
        <w:rPr>
          <w:rFonts w:ascii="Times New Roman" w:hAnsi="Times New Roman" w:eastAsia="宋体" w:cs="Times New Roman"/>
          <w:color w:val="auto"/>
          <w:highlight w:val="none"/>
        </w:rPr>
      </w:pPr>
    </w:p>
    <w:p w14:paraId="2FB45054">
      <w:pPr>
        <w:rPr>
          <w:rFonts w:ascii="Times New Roman" w:hAnsi="Times New Roman" w:eastAsia="宋体" w:cs="Times New Roman"/>
          <w:color w:val="auto"/>
          <w:highlight w:val="none"/>
        </w:rPr>
      </w:pPr>
    </w:p>
    <w:p w14:paraId="4E471B69">
      <w:pPr>
        <w:pStyle w:val="13"/>
        <w:rPr>
          <w:rFonts w:ascii="Times New Roman" w:hAnsi="Times New Roman" w:eastAsia="宋体" w:cs="Times New Roman"/>
          <w:color w:val="auto"/>
          <w:highlight w:val="none"/>
        </w:rPr>
      </w:pPr>
    </w:p>
    <w:p w14:paraId="6AD38699">
      <w:pPr>
        <w:rPr>
          <w:rFonts w:ascii="Times New Roman" w:hAnsi="Times New Roman" w:eastAsia="宋体" w:cs="Times New Roman"/>
          <w:color w:val="auto"/>
          <w:highlight w:val="none"/>
        </w:rPr>
      </w:pPr>
    </w:p>
    <w:p w14:paraId="1BC32E4C">
      <w:pPr>
        <w:pStyle w:val="13"/>
        <w:rPr>
          <w:rFonts w:ascii="Times New Roman" w:hAnsi="Times New Roman" w:eastAsia="宋体" w:cs="Times New Roman"/>
          <w:color w:val="auto"/>
          <w:highlight w:val="none"/>
        </w:rPr>
      </w:pPr>
    </w:p>
    <w:p w14:paraId="423E2A77">
      <w:pPr>
        <w:rPr>
          <w:rFonts w:ascii="Times New Roman" w:hAnsi="Times New Roman" w:eastAsia="宋体" w:cs="Times New Roman"/>
          <w:color w:val="auto"/>
          <w:highlight w:val="none"/>
        </w:rPr>
      </w:pPr>
    </w:p>
    <w:p w14:paraId="5BF16F19">
      <w:pPr>
        <w:pStyle w:val="13"/>
        <w:rPr>
          <w:rFonts w:ascii="Times New Roman" w:hAnsi="Times New Roman" w:eastAsia="宋体" w:cs="Times New Roman"/>
          <w:color w:val="auto"/>
          <w:highlight w:val="none"/>
        </w:rPr>
      </w:pPr>
    </w:p>
    <w:p w14:paraId="365A295F">
      <w:pPr>
        <w:rPr>
          <w:rFonts w:ascii="Times New Roman" w:hAnsi="Times New Roman" w:eastAsia="宋体" w:cs="Times New Roman"/>
          <w:color w:val="auto"/>
          <w:highlight w:val="none"/>
        </w:rPr>
      </w:pPr>
    </w:p>
    <w:p w14:paraId="3D0FB9CB">
      <w:pPr>
        <w:rPr>
          <w:rFonts w:ascii="Times New Roman" w:hAnsi="Times New Roman" w:eastAsia="宋体" w:cs="Times New Roman"/>
          <w:color w:val="auto"/>
          <w:highlight w:val="none"/>
        </w:rPr>
      </w:pPr>
    </w:p>
    <w:p w14:paraId="20485F66">
      <w:pPr>
        <w:rPr>
          <w:rFonts w:ascii="Times New Roman" w:hAnsi="Times New Roman" w:eastAsia="宋体" w:cs="Times New Roman"/>
          <w:color w:val="auto"/>
          <w:highlight w:val="none"/>
        </w:rPr>
      </w:pPr>
    </w:p>
    <w:p w14:paraId="453A9BB0">
      <w:pPr>
        <w:rPr>
          <w:rFonts w:ascii="Times New Roman" w:hAnsi="Times New Roman" w:eastAsia="宋体" w:cs="Times New Roman"/>
          <w:color w:val="auto"/>
          <w:highlight w:val="none"/>
        </w:rPr>
      </w:pPr>
    </w:p>
    <w:p w14:paraId="3E3A7C81">
      <w:pPr>
        <w:rPr>
          <w:rFonts w:ascii="Times New Roman" w:hAnsi="Times New Roman" w:eastAsia="宋体" w:cs="Times New Roman"/>
          <w:color w:val="auto"/>
          <w:highlight w:val="none"/>
        </w:rPr>
      </w:pPr>
    </w:p>
    <w:p w14:paraId="2D295F2F">
      <w:pPr>
        <w:rPr>
          <w:rFonts w:ascii="Times New Roman" w:hAnsi="Times New Roman" w:eastAsia="宋体" w:cs="Times New Roman"/>
          <w:color w:val="auto"/>
          <w:highlight w:val="none"/>
        </w:rPr>
      </w:pPr>
    </w:p>
    <w:p w14:paraId="02040F9F">
      <w:pPr>
        <w:rPr>
          <w:rFonts w:ascii="Times New Roman" w:hAnsi="Times New Roman" w:eastAsia="宋体" w:cs="Times New Roman"/>
          <w:color w:val="auto"/>
          <w:highlight w:val="none"/>
        </w:rPr>
      </w:pPr>
    </w:p>
    <w:p w14:paraId="5678BE5B">
      <w:pPr>
        <w:rPr>
          <w:rFonts w:ascii="Times New Roman" w:hAnsi="Times New Roman" w:eastAsia="宋体" w:cs="Times New Roman"/>
          <w:color w:val="auto"/>
          <w:highlight w:val="none"/>
        </w:rPr>
      </w:pPr>
    </w:p>
    <w:p w14:paraId="050C2188">
      <w:pPr>
        <w:rPr>
          <w:rFonts w:ascii="Times New Roman" w:hAnsi="Times New Roman" w:eastAsia="宋体" w:cs="Times New Roman"/>
          <w:color w:val="auto"/>
          <w:highlight w:val="none"/>
        </w:rPr>
      </w:pPr>
    </w:p>
    <w:p w14:paraId="50BF7F59">
      <w:pPr>
        <w:rPr>
          <w:rFonts w:ascii="Times New Roman" w:hAnsi="Times New Roman" w:eastAsia="宋体" w:cs="Times New Roman"/>
          <w:color w:val="auto"/>
          <w:highlight w:val="none"/>
        </w:rPr>
      </w:pPr>
    </w:p>
    <w:p w14:paraId="5121D5F0">
      <w:pPr>
        <w:rPr>
          <w:rFonts w:ascii="Times New Roman" w:hAnsi="Times New Roman" w:eastAsia="宋体" w:cs="Times New Roman"/>
          <w:color w:val="auto"/>
          <w:highlight w:val="none"/>
        </w:rPr>
      </w:pPr>
    </w:p>
    <w:p w14:paraId="21EEFED6">
      <w:pPr>
        <w:rPr>
          <w:rFonts w:ascii="Times New Roman" w:hAnsi="Times New Roman" w:eastAsia="宋体" w:cs="Times New Roman"/>
          <w:color w:val="auto"/>
          <w:highlight w:val="none"/>
        </w:rPr>
      </w:pPr>
    </w:p>
    <w:p w14:paraId="668ACECB">
      <w:pPr>
        <w:rPr>
          <w:rFonts w:ascii="Times New Roman" w:hAnsi="Times New Roman" w:eastAsia="宋体" w:cs="Times New Roman"/>
          <w:color w:val="auto"/>
          <w:highlight w:val="none"/>
        </w:rPr>
      </w:pPr>
    </w:p>
    <w:p w14:paraId="5332E1B7"/>
    <w:p w14:paraId="35D2ED1F">
      <w:pPr>
        <w:pStyle w:val="2"/>
        <w:jc w:val="center"/>
        <w:rPr>
          <w:color w:val="auto"/>
          <w:highlight w:val="none"/>
        </w:rPr>
        <w:sectPr>
          <w:footerReference r:id="rId13" w:type="first"/>
          <w:footerReference r:id="rId12" w:type="default"/>
          <w:pgSz w:w="11911" w:h="16838"/>
          <w:pgMar w:top="1134" w:right="1134" w:bottom="1134" w:left="1134" w:header="720" w:footer="720" w:gutter="0"/>
          <w:cols w:space="720" w:num="1"/>
        </w:sectPr>
      </w:pPr>
      <w:bookmarkStart w:id="133" w:name="_Toc6476"/>
      <w:bookmarkStart w:id="134" w:name="_Toc5005"/>
      <w:bookmarkStart w:id="135" w:name="_Toc80886941"/>
      <w:bookmarkStart w:id="136" w:name="_Toc12890"/>
      <w:bookmarkStart w:id="137" w:name="_Toc27282"/>
      <w:bookmarkStart w:id="138" w:name="_Toc7776"/>
      <w:bookmarkStart w:id="139" w:name="_Toc26272"/>
      <w:bookmarkStart w:id="140" w:name="_Toc12792"/>
      <w:r>
        <w:rPr>
          <w:rFonts w:hint="eastAsia" w:ascii="Calibri" w:hAnsi="Calibri"/>
          <w:color w:val="auto"/>
          <w:highlight w:val="none"/>
        </w:rPr>
        <w:t>第五章 响应文件格式</w:t>
      </w:r>
      <w:bookmarkEnd w:id="133"/>
      <w:bookmarkEnd w:id="134"/>
      <w:bookmarkEnd w:id="135"/>
      <w:bookmarkEnd w:id="136"/>
      <w:bookmarkEnd w:id="137"/>
      <w:bookmarkEnd w:id="138"/>
      <w:bookmarkEnd w:id="139"/>
      <w:bookmarkEnd w:id="140"/>
    </w:p>
    <w:p w14:paraId="166982E9">
      <w:pPr>
        <w:pStyle w:val="3"/>
        <w:jc w:val="center"/>
        <w:rPr>
          <w:rFonts w:ascii="Times New Roman" w:hAnsi="Times New Roman"/>
          <w:bCs w:val="0"/>
          <w:color w:val="auto"/>
          <w:highlight w:val="none"/>
        </w:rPr>
      </w:pPr>
      <w:bookmarkStart w:id="141" w:name="_Toc80886943"/>
      <w:bookmarkStart w:id="142" w:name="_Toc12994"/>
      <w:bookmarkStart w:id="143" w:name="_Toc80205939"/>
      <w:bookmarkStart w:id="144" w:name="_Toc22245"/>
      <w:r>
        <w:rPr>
          <w:rFonts w:ascii="Times New Roman" w:hAnsi="Times New Roman"/>
          <w:bCs w:val="0"/>
          <w:color w:val="auto"/>
          <w:highlight w:val="none"/>
        </w:rPr>
        <w:t>第</w:t>
      </w:r>
      <w:r>
        <w:rPr>
          <w:rFonts w:ascii="Times New Roman" w:hAnsi="Times New Roman"/>
          <w:bCs w:val="0"/>
          <w:color w:val="auto"/>
          <w:highlight w:val="none"/>
          <w:lang w:eastAsia="zh-CN"/>
        </w:rPr>
        <w:t>一</w:t>
      </w:r>
      <w:r>
        <w:rPr>
          <w:rFonts w:ascii="Times New Roman" w:hAnsi="Times New Roman"/>
          <w:bCs w:val="0"/>
          <w:color w:val="auto"/>
          <w:highlight w:val="none"/>
        </w:rPr>
        <w:t>节 资格证明文件格式</w:t>
      </w:r>
      <w:bookmarkEnd w:id="141"/>
      <w:bookmarkEnd w:id="142"/>
      <w:bookmarkEnd w:id="143"/>
      <w:bookmarkEnd w:id="144"/>
    </w:p>
    <w:p w14:paraId="62FC4CD2">
      <w:pPr>
        <w:snapToGrid w:val="0"/>
        <w:spacing w:before="120" w:beforeLines="50" w:after="50"/>
        <w:jc w:val="left"/>
        <w:rPr>
          <w:color w:val="auto"/>
          <w:sz w:val="24"/>
          <w:highlight w:val="none"/>
        </w:rPr>
      </w:pPr>
      <w:r>
        <w:rPr>
          <w:b/>
          <w:bCs/>
          <w:color w:val="auto"/>
          <w:sz w:val="28"/>
          <w:szCs w:val="28"/>
          <w:highlight w:val="none"/>
        </w:rPr>
        <w:t>1.资格证明文件封面的格式：</w:t>
      </w:r>
      <w:r>
        <w:rPr>
          <w:color w:val="auto"/>
          <w:sz w:val="24"/>
          <w:highlight w:val="none"/>
        </w:rPr>
        <w:t xml:space="preserve">                                      </w:t>
      </w:r>
    </w:p>
    <w:p w14:paraId="4349BDDB">
      <w:pPr>
        <w:snapToGrid w:val="0"/>
        <w:spacing w:before="120" w:beforeLines="50" w:after="50"/>
        <w:ind w:firstLine="6930" w:firstLineChars="3300"/>
        <w:rPr>
          <w:bCs/>
          <w:color w:val="auto"/>
          <w:sz w:val="32"/>
          <w:szCs w:val="20"/>
          <w:highlight w:val="none"/>
        </w:rPr>
      </w:pPr>
      <w:r>
        <w:rPr>
          <w:bCs/>
          <w:color w:val="auto"/>
          <w:highlight w:val="none"/>
        </w:rPr>
        <w:t>全流程电子文件</w:t>
      </w:r>
    </w:p>
    <w:p w14:paraId="634BFA45">
      <w:pPr>
        <w:snapToGrid w:val="0"/>
        <w:spacing w:before="120" w:beforeLines="50" w:after="50"/>
        <w:rPr>
          <w:color w:val="auto"/>
          <w:sz w:val="24"/>
          <w:szCs w:val="20"/>
          <w:highlight w:val="none"/>
        </w:rPr>
      </w:pPr>
    </w:p>
    <w:p w14:paraId="01F6E715">
      <w:pPr>
        <w:snapToGrid w:val="0"/>
        <w:spacing w:before="120" w:beforeLines="50" w:after="50"/>
        <w:rPr>
          <w:color w:val="auto"/>
          <w:sz w:val="24"/>
          <w:szCs w:val="20"/>
          <w:highlight w:val="none"/>
        </w:rPr>
      </w:pPr>
    </w:p>
    <w:p w14:paraId="73B9165A">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  格  证  明  文  件</w:t>
      </w:r>
    </w:p>
    <w:p w14:paraId="59A64474">
      <w:pPr>
        <w:snapToGrid w:val="0"/>
        <w:spacing w:before="120" w:beforeLines="50" w:after="50"/>
        <w:rPr>
          <w:bCs/>
          <w:color w:val="auto"/>
          <w:sz w:val="24"/>
          <w:szCs w:val="20"/>
          <w:highlight w:val="none"/>
        </w:rPr>
      </w:pPr>
    </w:p>
    <w:p w14:paraId="7B7209EF">
      <w:pPr>
        <w:snapToGrid w:val="0"/>
        <w:spacing w:before="120" w:beforeLines="50" w:after="50"/>
        <w:rPr>
          <w:bCs/>
          <w:color w:val="auto"/>
          <w:sz w:val="24"/>
          <w:szCs w:val="20"/>
          <w:highlight w:val="none"/>
        </w:rPr>
      </w:pPr>
    </w:p>
    <w:p w14:paraId="40AB7BF5">
      <w:pPr>
        <w:snapToGrid w:val="0"/>
        <w:spacing w:before="120" w:beforeLines="50" w:after="50"/>
        <w:rPr>
          <w:bCs/>
          <w:color w:val="auto"/>
          <w:sz w:val="24"/>
          <w:szCs w:val="20"/>
          <w:highlight w:val="none"/>
        </w:rPr>
      </w:pPr>
    </w:p>
    <w:p w14:paraId="540C70B5">
      <w:pPr>
        <w:snapToGrid w:val="0"/>
        <w:spacing w:before="120" w:beforeLines="50" w:after="50"/>
        <w:rPr>
          <w:bCs/>
          <w:color w:val="auto"/>
          <w:sz w:val="24"/>
          <w:szCs w:val="20"/>
          <w:highlight w:val="none"/>
        </w:rPr>
      </w:pPr>
    </w:p>
    <w:p w14:paraId="00C6FA5F">
      <w:pPr>
        <w:snapToGrid w:val="0"/>
        <w:spacing w:before="120" w:beforeLines="50" w:after="50"/>
        <w:rPr>
          <w:bCs/>
          <w:color w:val="auto"/>
          <w:sz w:val="24"/>
          <w:szCs w:val="20"/>
          <w:highlight w:val="none"/>
        </w:rPr>
      </w:pPr>
    </w:p>
    <w:p w14:paraId="1EB35C94">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14:paraId="3BC0169F">
      <w:pPr>
        <w:snapToGrid w:val="0"/>
        <w:spacing w:before="120" w:beforeLines="50" w:after="50"/>
        <w:ind w:firstLine="720" w:firstLineChars="225"/>
        <w:rPr>
          <w:bCs/>
          <w:color w:val="auto"/>
          <w:sz w:val="32"/>
          <w:szCs w:val="32"/>
          <w:highlight w:val="none"/>
        </w:rPr>
      </w:pPr>
    </w:p>
    <w:p w14:paraId="1D77B88D">
      <w:pPr>
        <w:snapToGrid w:val="0"/>
        <w:spacing w:before="120" w:beforeLines="50" w:after="50"/>
        <w:ind w:firstLine="720" w:firstLineChars="225"/>
        <w:rPr>
          <w:bCs/>
          <w:color w:val="auto"/>
          <w:sz w:val="32"/>
          <w:szCs w:val="32"/>
          <w:highlight w:val="none"/>
        </w:rPr>
      </w:pPr>
      <w:r>
        <w:rPr>
          <w:bCs/>
          <w:color w:val="auto"/>
          <w:sz w:val="32"/>
          <w:szCs w:val="32"/>
          <w:highlight w:val="none"/>
        </w:rPr>
        <w:t>项目编号：</w:t>
      </w:r>
    </w:p>
    <w:p w14:paraId="5DEABE9D">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14:paraId="3A3B5F28">
      <w:pPr>
        <w:snapToGrid w:val="0"/>
        <w:spacing w:before="120" w:beforeLines="50" w:after="50"/>
        <w:ind w:firstLine="720" w:firstLineChars="225"/>
        <w:rPr>
          <w:bCs/>
          <w:color w:val="auto"/>
          <w:sz w:val="32"/>
          <w:szCs w:val="32"/>
          <w:highlight w:val="none"/>
        </w:rPr>
      </w:pPr>
      <w:r>
        <w:rPr>
          <w:bCs/>
          <w:color w:val="auto"/>
          <w:sz w:val="32"/>
          <w:szCs w:val="32"/>
          <w:highlight w:val="none"/>
        </w:rPr>
        <w:t>所竞分标（如有则填写，无分标时填写</w:t>
      </w:r>
      <w:r>
        <w:rPr>
          <w:rFonts w:hint="eastAsia"/>
          <w:bCs/>
          <w:color w:val="auto"/>
          <w:sz w:val="32"/>
          <w:szCs w:val="32"/>
          <w:highlight w:val="none"/>
          <w:lang w:eastAsia="zh-CN"/>
        </w:rPr>
        <w:t>“</w:t>
      </w:r>
      <w:r>
        <w:rPr>
          <w:bCs/>
          <w:color w:val="auto"/>
          <w:sz w:val="32"/>
          <w:szCs w:val="32"/>
          <w:highlight w:val="none"/>
        </w:rPr>
        <w:t>无</w:t>
      </w:r>
      <w:r>
        <w:rPr>
          <w:rFonts w:hint="eastAsia"/>
          <w:bCs/>
          <w:color w:val="auto"/>
          <w:sz w:val="32"/>
          <w:szCs w:val="32"/>
          <w:highlight w:val="none"/>
          <w:lang w:eastAsia="zh-CN"/>
        </w:rPr>
        <w:t>”</w:t>
      </w:r>
      <w:r>
        <w:rPr>
          <w:bCs/>
          <w:color w:val="auto"/>
          <w:sz w:val="32"/>
          <w:szCs w:val="32"/>
          <w:highlight w:val="none"/>
        </w:rPr>
        <w:t>或者留空）：</w:t>
      </w:r>
    </w:p>
    <w:p w14:paraId="2104B332">
      <w:pPr>
        <w:snapToGrid w:val="0"/>
        <w:spacing w:before="120" w:beforeLines="50" w:after="50"/>
        <w:ind w:firstLine="720" w:firstLineChars="225"/>
        <w:rPr>
          <w:bCs/>
          <w:color w:val="auto"/>
          <w:sz w:val="32"/>
          <w:szCs w:val="32"/>
          <w:highlight w:val="none"/>
        </w:rPr>
      </w:pPr>
    </w:p>
    <w:p w14:paraId="6F8B7577">
      <w:pPr>
        <w:pStyle w:val="7"/>
        <w:snapToGrid w:val="0"/>
        <w:spacing w:before="50" w:after="50"/>
        <w:ind w:firstLine="720" w:firstLineChars="225"/>
        <w:rPr>
          <w:bCs/>
          <w:color w:val="auto"/>
          <w:sz w:val="32"/>
          <w:szCs w:val="32"/>
          <w:highlight w:val="none"/>
        </w:rPr>
      </w:pPr>
      <w:r>
        <w:rPr>
          <w:bCs/>
          <w:color w:val="auto"/>
          <w:sz w:val="32"/>
          <w:szCs w:val="32"/>
          <w:highlight w:val="none"/>
        </w:rPr>
        <w:t>供应商名称：</w:t>
      </w:r>
    </w:p>
    <w:p w14:paraId="0CBAA276">
      <w:pPr>
        <w:pStyle w:val="7"/>
        <w:snapToGrid w:val="0"/>
        <w:spacing w:before="50" w:after="50"/>
        <w:ind w:firstLine="720" w:firstLineChars="225"/>
        <w:rPr>
          <w:bCs/>
          <w:color w:val="auto"/>
          <w:sz w:val="32"/>
          <w:szCs w:val="32"/>
          <w:highlight w:val="none"/>
        </w:rPr>
      </w:pPr>
    </w:p>
    <w:p w14:paraId="74662170">
      <w:pPr>
        <w:pStyle w:val="7"/>
        <w:snapToGrid w:val="0"/>
        <w:spacing w:before="50" w:after="50"/>
        <w:ind w:firstLine="720" w:firstLineChars="225"/>
        <w:rPr>
          <w:bCs/>
          <w:color w:val="auto"/>
          <w:sz w:val="32"/>
          <w:szCs w:val="32"/>
          <w:highlight w:val="none"/>
        </w:rPr>
      </w:pPr>
    </w:p>
    <w:p w14:paraId="73339F56">
      <w:pPr>
        <w:pStyle w:val="7"/>
        <w:snapToGrid w:val="0"/>
        <w:spacing w:before="50" w:after="50"/>
        <w:ind w:firstLine="720" w:firstLineChars="225"/>
        <w:rPr>
          <w:bCs/>
          <w:color w:val="auto"/>
          <w:sz w:val="32"/>
          <w:szCs w:val="32"/>
          <w:highlight w:val="none"/>
        </w:rPr>
      </w:pPr>
    </w:p>
    <w:p w14:paraId="1D773F64">
      <w:pPr>
        <w:pStyle w:val="7"/>
        <w:snapToGrid w:val="0"/>
        <w:spacing w:before="50" w:after="50"/>
        <w:ind w:firstLine="1280" w:firstLineChars="400"/>
        <w:rPr>
          <w:bCs/>
          <w:color w:val="auto"/>
          <w:sz w:val="32"/>
          <w:szCs w:val="32"/>
          <w:highlight w:val="none"/>
        </w:rPr>
      </w:pPr>
    </w:p>
    <w:p w14:paraId="23BF1BC2">
      <w:pPr>
        <w:snapToGrid w:val="0"/>
        <w:spacing w:before="120" w:beforeLines="50" w:after="50"/>
        <w:jc w:val="center"/>
        <w:rPr>
          <w:color w:val="auto"/>
          <w:sz w:val="32"/>
          <w:szCs w:val="32"/>
          <w:highlight w:val="none"/>
        </w:rPr>
      </w:pPr>
      <w:r>
        <w:rPr>
          <w:color w:val="auto"/>
          <w:sz w:val="32"/>
          <w:szCs w:val="32"/>
          <w:highlight w:val="none"/>
        </w:rPr>
        <w:t>年    月    日</w:t>
      </w:r>
    </w:p>
    <w:p w14:paraId="1F770FCA">
      <w:pPr>
        <w:snapToGrid w:val="0"/>
        <w:spacing w:before="120" w:beforeLines="50" w:after="50" w:line="360" w:lineRule="auto"/>
        <w:jc w:val="left"/>
        <w:rPr>
          <w:b/>
          <w:bCs/>
          <w:color w:val="auto"/>
          <w:sz w:val="28"/>
          <w:szCs w:val="28"/>
          <w:highlight w:val="none"/>
        </w:rPr>
      </w:pPr>
      <w:r>
        <w:rPr>
          <w:color w:val="auto"/>
          <w:sz w:val="24"/>
          <w:highlight w:val="none"/>
        </w:rPr>
        <w:br w:type="page"/>
      </w:r>
      <w:r>
        <w:rPr>
          <w:b/>
          <w:bCs/>
          <w:color w:val="auto"/>
          <w:sz w:val="28"/>
          <w:szCs w:val="28"/>
          <w:highlight w:val="none"/>
        </w:rPr>
        <w:t>2.资格证明文件目录</w:t>
      </w:r>
    </w:p>
    <w:p w14:paraId="604F4A00">
      <w:pPr>
        <w:spacing w:line="360" w:lineRule="auto"/>
        <w:rPr>
          <w:rFonts w:hint="eastAsia" w:ascii="宋体" w:hAnsi="宋体" w:cs="宋体"/>
          <w:b/>
          <w:bCs/>
          <w:color w:val="auto"/>
          <w:sz w:val="24"/>
          <w:highlight w:val="none"/>
        </w:rPr>
      </w:pPr>
      <w:r>
        <w:rPr>
          <w:color w:val="auto"/>
          <w:sz w:val="28"/>
          <w:szCs w:val="28"/>
          <w:highlight w:val="none"/>
        </w:rPr>
        <w:t xml:space="preserve">  </w:t>
      </w:r>
      <w:r>
        <w:rPr>
          <w:rFonts w:hint="eastAsia" w:ascii="宋体" w:hAnsi="宋体" w:cs="宋体"/>
          <w:color w:val="auto"/>
          <w:sz w:val="24"/>
          <w:highlight w:val="none"/>
        </w:rPr>
        <w:t xml:space="preserve">  根据竞争性磋商文件规定及供应商提供的材料自行编写目录（部分格式后附）。</w:t>
      </w:r>
    </w:p>
    <w:p w14:paraId="097DED90">
      <w:pPr>
        <w:spacing w:line="320" w:lineRule="exact"/>
        <w:jc w:val="left"/>
        <w:rPr>
          <w:b/>
          <w:bCs/>
          <w:color w:val="auto"/>
          <w:sz w:val="28"/>
          <w:szCs w:val="28"/>
          <w:highlight w:val="none"/>
        </w:rPr>
      </w:pPr>
      <w:r>
        <w:rPr>
          <w:color w:val="auto"/>
          <w:szCs w:val="21"/>
          <w:highlight w:val="none"/>
        </w:rPr>
        <w:br w:type="page"/>
      </w:r>
      <w:r>
        <w:rPr>
          <w:b/>
          <w:bCs/>
          <w:color w:val="auto"/>
          <w:kern w:val="0"/>
          <w:sz w:val="28"/>
          <w:szCs w:val="28"/>
          <w:highlight w:val="none"/>
        </w:rPr>
        <w:t>3.</w:t>
      </w:r>
      <w:r>
        <w:rPr>
          <w:rFonts w:hint="eastAsia"/>
          <w:b/>
          <w:bCs/>
          <w:color w:val="auto"/>
          <w:kern w:val="0"/>
          <w:sz w:val="28"/>
          <w:szCs w:val="28"/>
          <w:highlight w:val="none"/>
          <w:lang w:eastAsia="zh-CN"/>
        </w:rPr>
        <w:t>声明函</w:t>
      </w:r>
      <w:r>
        <w:rPr>
          <w:b/>
          <w:bCs/>
          <w:color w:val="auto"/>
          <w:kern w:val="0"/>
          <w:sz w:val="28"/>
          <w:szCs w:val="28"/>
          <w:highlight w:val="none"/>
        </w:rPr>
        <w:t>的格式：</w:t>
      </w:r>
    </w:p>
    <w:p w14:paraId="0245F53B">
      <w:pPr>
        <w:spacing w:line="320" w:lineRule="exact"/>
        <w:jc w:val="center"/>
        <w:rPr>
          <w:b/>
          <w:color w:val="auto"/>
          <w:sz w:val="32"/>
          <w:szCs w:val="32"/>
          <w:highlight w:val="none"/>
        </w:rPr>
      </w:pPr>
    </w:p>
    <w:p w14:paraId="6E274A27">
      <w:pPr>
        <w:spacing w:line="320" w:lineRule="exact"/>
        <w:jc w:val="center"/>
        <w:rPr>
          <w:rFonts w:hint="eastAsia"/>
          <w:b/>
          <w:color w:val="auto"/>
          <w:sz w:val="32"/>
          <w:szCs w:val="32"/>
          <w:highlight w:val="none"/>
        </w:rPr>
      </w:pPr>
      <w:r>
        <w:rPr>
          <w:rFonts w:hint="eastAsia"/>
          <w:b/>
          <w:color w:val="auto"/>
          <w:sz w:val="32"/>
          <w:szCs w:val="32"/>
          <w:highlight w:val="none"/>
        </w:rPr>
        <w:t>声明函</w:t>
      </w:r>
    </w:p>
    <w:p w14:paraId="6FD8C7AB">
      <w:pPr>
        <w:spacing w:line="320" w:lineRule="exact"/>
        <w:jc w:val="center"/>
        <w:rPr>
          <w:rFonts w:hint="eastAsia"/>
          <w:color w:val="auto"/>
          <w:sz w:val="24"/>
          <w:szCs w:val="20"/>
          <w:highlight w:val="none"/>
        </w:rPr>
      </w:pPr>
    </w:p>
    <w:p w14:paraId="64CC9538">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14:paraId="77EFF2FC">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i/>
          <w:iCs/>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9D6735">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1458B09F">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0D9F1CB5">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9353F7">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0175BFC4">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42DE3C25">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4152CCB1">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5F63D73F">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w:t>
      </w:r>
    </w:p>
    <w:p w14:paraId="385A07E0">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5C7AAEE">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245F627E">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323BF6B">
      <w:pPr>
        <w:pStyle w:val="15"/>
        <w:tabs>
          <w:tab w:val="left" w:pos="939"/>
        </w:tabs>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以上事项如有虚假或者隐瞒，我方愿意承担一切后果，并不再寻求任何旨在减轻或者免除法律责任的辩解。</w:t>
      </w:r>
    </w:p>
    <w:p w14:paraId="6908D06E">
      <w:pPr>
        <w:pStyle w:val="15"/>
        <w:tabs>
          <w:tab w:val="left" w:pos="939"/>
        </w:tabs>
        <w:spacing w:line="400" w:lineRule="exact"/>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1EB83B94">
      <w:pPr>
        <w:pStyle w:val="15"/>
        <w:tabs>
          <w:tab w:val="left" w:pos="939"/>
        </w:tabs>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注：如为联合体竞标，盖章处须加盖联合体各方公章，否则其响应文件按无效响应处理。</w:t>
      </w:r>
    </w:p>
    <w:p w14:paraId="0BDD9F2A">
      <w:pPr>
        <w:pStyle w:val="15"/>
        <w:tabs>
          <w:tab w:val="left" w:pos="939"/>
        </w:tabs>
        <w:spacing w:line="400" w:lineRule="exact"/>
        <w:ind w:left="0" w:leftChars="0" w:firstLine="420" w:firstLineChars="200"/>
        <w:rPr>
          <w:rFonts w:hint="eastAsia" w:ascii="宋体" w:hAnsi="宋体" w:eastAsia="宋体" w:cs="宋体"/>
          <w:color w:val="auto"/>
          <w:sz w:val="21"/>
          <w:szCs w:val="21"/>
          <w:highlight w:val="none"/>
        </w:rPr>
      </w:pPr>
    </w:p>
    <w:p w14:paraId="71597339">
      <w:pPr>
        <w:autoSpaceDE w:val="0"/>
        <w:autoSpaceDN w:val="0"/>
        <w:spacing w:line="240" w:lineRule="auto"/>
        <w:ind w:left="4305" w:leftChars="1850" w:hanging="420" w:hangingChars="200"/>
        <w:rPr>
          <w:rFonts w:hint="eastAsia" w:ascii="宋体" w:hAnsi="宋体" w:eastAsia="宋体" w:cs="宋体"/>
          <w:color w:val="auto"/>
          <w:kern w:val="0"/>
          <w:sz w:val="21"/>
          <w:szCs w:val="21"/>
          <w:highlight w:val="none"/>
        </w:rPr>
      </w:pPr>
    </w:p>
    <w:p w14:paraId="2F1DE4C3">
      <w:pPr>
        <w:autoSpaceDE w:val="0"/>
        <w:autoSpaceDN w:val="0"/>
        <w:spacing w:line="240" w:lineRule="auto"/>
        <w:ind w:left="4305" w:leftChars="1850" w:hanging="420" w:hangingChars="200"/>
        <w:rPr>
          <w:rFonts w:hint="eastAsia" w:ascii="宋体" w:hAnsi="宋体" w:eastAsia="宋体" w:cs="宋体"/>
          <w:color w:val="auto"/>
          <w:kern w:val="0"/>
          <w:sz w:val="21"/>
          <w:szCs w:val="21"/>
          <w:highlight w:val="none"/>
        </w:rPr>
      </w:pPr>
    </w:p>
    <w:p w14:paraId="1441EAC9">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r>
        <w:rPr>
          <w:rFonts w:hint="eastAsia" w:ascii="宋体" w:hAnsi="宋体" w:eastAsia="宋体" w:cs="宋体"/>
          <w:color w:val="auto"/>
          <w:kern w:val="0"/>
          <w:sz w:val="21"/>
          <w:szCs w:val="21"/>
          <w:highlight w:val="none"/>
          <w:lang w:eastAsia="zh-CN"/>
        </w:rPr>
        <w:t>盖公章</w:t>
      </w:r>
      <w:r>
        <w:rPr>
          <w:rFonts w:hint="eastAsia" w:ascii="宋体" w:hAnsi="宋体" w:eastAsia="宋体" w:cs="宋体"/>
          <w:color w:val="auto"/>
          <w:kern w:val="0"/>
          <w:sz w:val="21"/>
          <w:szCs w:val="21"/>
          <w:highlight w:val="none"/>
        </w:rPr>
        <w:t>）：</w:t>
      </w:r>
    </w:p>
    <w:p w14:paraId="7AAF3880">
      <w:pPr>
        <w:autoSpaceDE w:val="0"/>
        <w:autoSpaceDN w:val="0"/>
        <w:spacing w:line="360" w:lineRule="auto"/>
        <w:ind w:firstLine="5355" w:firstLineChars="2550"/>
        <w:rPr>
          <w:rFonts w:hint="eastAsia" w:ascii="宋体" w:hAnsi="宋体" w:eastAsia="宋体" w:cs="宋体"/>
          <w:color w:val="auto"/>
          <w:kern w:val="0"/>
          <w:sz w:val="21"/>
          <w:szCs w:val="21"/>
          <w:highlight w:val="none"/>
          <w:lang w:val="zh-CN"/>
        </w:rPr>
        <w:sectPr>
          <w:pgSz w:w="11911" w:h="16838"/>
          <w:pgMar w:top="1134" w:right="1134" w:bottom="1134" w:left="1134"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   日</w:t>
      </w:r>
    </w:p>
    <w:p w14:paraId="4F72D342">
      <w:pPr>
        <w:pStyle w:val="7"/>
        <w:overflowPunct w:val="0"/>
        <w:spacing w:line="520" w:lineRule="exact"/>
        <w:ind w:firstLine="0"/>
        <w:rPr>
          <w:b/>
          <w:bCs/>
          <w:color w:val="auto"/>
          <w:sz w:val="28"/>
          <w:szCs w:val="28"/>
          <w:highlight w:val="none"/>
        </w:rPr>
      </w:pPr>
      <w:r>
        <w:rPr>
          <w:b/>
          <w:color w:val="auto"/>
          <w:kern w:val="0"/>
          <w:sz w:val="28"/>
          <w:szCs w:val="28"/>
          <w:highlight w:val="none"/>
        </w:rPr>
        <w:t>4.联合体竞标协议书的格式：</w:t>
      </w:r>
    </w:p>
    <w:p w14:paraId="06BEE99E">
      <w:pPr>
        <w:spacing w:line="600" w:lineRule="exact"/>
        <w:jc w:val="center"/>
        <w:rPr>
          <w:rFonts w:hint="eastAsia" w:ascii="方正小标宋简体" w:hAnsi="方正小标宋简体" w:eastAsia="方正小标宋简体" w:cs="方正小标宋简体"/>
          <w:color w:val="auto"/>
          <w:sz w:val="44"/>
          <w:szCs w:val="44"/>
          <w:highlight w:val="none"/>
        </w:rPr>
      </w:pPr>
    </w:p>
    <w:p w14:paraId="64700193">
      <w:pPr>
        <w:spacing w:line="600" w:lineRule="exact"/>
        <w:jc w:val="center"/>
        <w:rPr>
          <w:b/>
          <w:bCs/>
          <w:color w:val="auto"/>
          <w:sz w:val="32"/>
          <w:szCs w:val="32"/>
          <w:highlight w:val="none"/>
        </w:rPr>
      </w:pPr>
      <w:r>
        <w:rPr>
          <w:b/>
          <w:bCs/>
          <w:color w:val="auto"/>
          <w:sz w:val="32"/>
          <w:szCs w:val="32"/>
          <w:highlight w:val="none"/>
        </w:rPr>
        <w:t>联合体竞标协议书</w:t>
      </w:r>
    </w:p>
    <w:p w14:paraId="395C0BAD">
      <w:pPr>
        <w:autoSpaceDE w:val="0"/>
        <w:autoSpaceDN w:val="0"/>
        <w:adjustRightInd w:val="0"/>
        <w:spacing w:line="360" w:lineRule="auto"/>
        <w:jc w:val="left"/>
        <w:rPr>
          <w:color w:val="auto"/>
          <w:kern w:val="0"/>
          <w:szCs w:val="21"/>
          <w:highlight w:val="none"/>
          <w:u w:val="single"/>
        </w:rPr>
      </w:pPr>
    </w:p>
    <w:p w14:paraId="3C3F6F73">
      <w:pPr>
        <w:autoSpaceDE w:val="0"/>
        <w:autoSpaceDN w:val="0"/>
        <w:adjustRightInd w:val="0"/>
        <w:spacing w:line="360" w:lineRule="exact"/>
        <w:jc w:val="left"/>
        <w:rPr>
          <w:color w:val="auto"/>
          <w:kern w:val="0"/>
          <w:szCs w:val="21"/>
          <w:highlight w:val="none"/>
        </w:rPr>
      </w:pP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color w:val="auto"/>
          <w:kern w:val="0"/>
          <w:szCs w:val="21"/>
          <w:highlight w:val="none"/>
        </w:rPr>
        <w:t>（所有成员单位名称）自愿组成联合体，共同参加</w:t>
      </w:r>
      <w:r>
        <w:rPr>
          <w:color w:val="auto"/>
          <w:kern w:val="0"/>
          <w:szCs w:val="21"/>
          <w:highlight w:val="none"/>
          <w:u w:val="single"/>
        </w:rPr>
        <w:t xml:space="preserve">     </w:t>
      </w:r>
      <w:r>
        <w:rPr>
          <w:i/>
          <w:iCs/>
          <w:color w:val="auto"/>
          <w:kern w:val="0"/>
          <w:szCs w:val="21"/>
          <w:highlight w:val="none"/>
          <w:u w:val="single"/>
        </w:rPr>
        <w:t>（采购代理机构名称）</w:t>
      </w:r>
      <w:r>
        <w:rPr>
          <w:color w:val="auto"/>
          <w:kern w:val="0"/>
          <w:szCs w:val="21"/>
          <w:highlight w:val="none"/>
          <w:u w:val="single"/>
        </w:rPr>
        <w:t xml:space="preserve">    </w:t>
      </w:r>
      <w:r>
        <w:rPr>
          <w:color w:val="auto"/>
          <w:kern w:val="0"/>
          <w:szCs w:val="21"/>
          <w:highlight w:val="none"/>
        </w:rPr>
        <w:t>组织的</w:t>
      </w:r>
      <w:r>
        <w:rPr>
          <w:color w:val="auto"/>
          <w:kern w:val="0"/>
          <w:szCs w:val="21"/>
          <w:highlight w:val="none"/>
          <w:u w:val="single"/>
        </w:rPr>
        <w:t xml:space="preserve">        </w:t>
      </w:r>
      <w:r>
        <w:rPr>
          <w:i/>
          <w:iCs/>
          <w:color w:val="auto"/>
          <w:kern w:val="0"/>
          <w:szCs w:val="21"/>
          <w:highlight w:val="none"/>
          <w:u w:val="single"/>
        </w:rPr>
        <w:t xml:space="preserve"> （项目名称）</w:t>
      </w:r>
      <w:r>
        <w:rPr>
          <w:color w:val="auto"/>
          <w:kern w:val="0"/>
          <w:szCs w:val="21"/>
          <w:highlight w:val="none"/>
          <w:u w:val="single"/>
        </w:rPr>
        <w:t xml:space="preserve">         </w:t>
      </w:r>
      <w:r>
        <w:rPr>
          <w:color w:val="auto"/>
          <w:kern w:val="0"/>
          <w:szCs w:val="21"/>
          <w:highlight w:val="none"/>
        </w:rPr>
        <w:t>（项目编号：</w:t>
      </w:r>
      <w:r>
        <w:rPr>
          <w:i/>
          <w:iCs/>
          <w:color w:val="auto"/>
          <w:kern w:val="0"/>
          <w:szCs w:val="21"/>
          <w:highlight w:val="none"/>
          <w:u w:val="single"/>
        </w:rPr>
        <w:t>（项目编号）</w:t>
      </w:r>
      <w:r>
        <w:rPr>
          <w:color w:val="auto"/>
          <w:kern w:val="0"/>
          <w:szCs w:val="21"/>
          <w:highlight w:val="none"/>
          <w:u w:val="single"/>
        </w:rPr>
        <w:t xml:space="preserve"> </w:t>
      </w:r>
      <w:r>
        <w:rPr>
          <w:color w:val="auto"/>
          <w:kern w:val="0"/>
          <w:szCs w:val="21"/>
          <w:highlight w:val="none"/>
        </w:rPr>
        <w:t>）竞争性磋商采购。现就联合体竞标事宜订立如下协议：</w:t>
      </w:r>
    </w:p>
    <w:p w14:paraId="33BCD994">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1、</w:t>
      </w:r>
      <w:r>
        <w:rPr>
          <w:color w:val="auto"/>
          <w:kern w:val="0"/>
          <w:szCs w:val="21"/>
          <w:highlight w:val="none"/>
          <w:u w:val="single"/>
        </w:rPr>
        <w:t xml:space="preserve">                         </w:t>
      </w:r>
      <w:r>
        <w:rPr>
          <w:color w:val="auto"/>
          <w:kern w:val="0"/>
          <w:szCs w:val="21"/>
          <w:highlight w:val="none"/>
        </w:rPr>
        <w:t>（某成员单位名称）为联合体名称牵头人。</w:t>
      </w:r>
    </w:p>
    <w:p w14:paraId="1C6EFBB7">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51F8F6">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7116D0B">
      <w:pPr>
        <w:autoSpaceDE w:val="0"/>
        <w:autoSpaceDN w:val="0"/>
        <w:adjustRightInd w:val="0"/>
        <w:spacing w:line="360" w:lineRule="exact"/>
        <w:ind w:left="479" w:leftChars="228"/>
        <w:jc w:val="left"/>
        <w:rPr>
          <w:color w:val="auto"/>
          <w:kern w:val="0"/>
          <w:szCs w:val="21"/>
          <w:highlight w:val="none"/>
        </w:rPr>
      </w:pPr>
      <w:r>
        <w:rPr>
          <w:color w:val="auto"/>
          <w:kern w:val="0"/>
          <w:szCs w:val="21"/>
          <w:highlight w:val="none"/>
        </w:rPr>
        <w:t>4、联合体各成员单位内部的职责分工如下：</w:t>
      </w:r>
      <w:r>
        <w:rPr>
          <w:color w:val="auto"/>
          <w:kern w:val="0"/>
          <w:szCs w:val="21"/>
          <w:highlight w:val="none"/>
          <w:u w:val="single"/>
        </w:rPr>
        <w:t xml:space="preserve">                                       </w:t>
      </w:r>
      <w:r>
        <w:rPr>
          <w:color w:val="auto"/>
          <w:kern w:val="0"/>
          <w:szCs w:val="21"/>
          <w:highlight w:val="none"/>
        </w:rPr>
        <w:t>。</w:t>
      </w:r>
    </w:p>
    <w:p w14:paraId="2B9D2D48">
      <w:pPr>
        <w:spacing w:line="360" w:lineRule="exact"/>
        <w:ind w:firstLine="420" w:firstLineChars="200"/>
        <w:rPr>
          <w:color w:val="auto"/>
          <w:kern w:val="0"/>
          <w:szCs w:val="21"/>
          <w:highlight w:val="none"/>
        </w:rPr>
      </w:pPr>
      <w:r>
        <w:rPr>
          <w:color w:val="auto"/>
          <w:kern w:val="0"/>
          <w:szCs w:val="21"/>
          <w:highlight w:val="none"/>
        </w:rPr>
        <w:t>5、本联合体中，</w:t>
      </w:r>
      <w:r>
        <w:rPr>
          <w:color w:val="auto"/>
          <w:kern w:val="0"/>
          <w:szCs w:val="21"/>
          <w:highlight w:val="none"/>
          <w:u w:val="single"/>
        </w:rPr>
        <w:t xml:space="preserve">                         （某成员单位名称）为       </w:t>
      </w:r>
      <w:r>
        <w:rPr>
          <w:color w:val="auto"/>
          <w:kern w:val="0"/>
          <w:szCs w:val="21"/>
          <w:highlight w:val="none"/>
        </w:rPr>
        <w:t>（请填写：中型、小型、微型）企业，其协议合同金额占联合体协议合同总金额的</w:t>
      </w:r>
      <w:r>
        <w:rPr>
          <w:color w:val="auto"/>
          <w:kern w:val="0"/>
          <w:szCs w:val="21"/>
          <w:highlight w:val="none"/>
          <w:u w:val="single"/>
        </w:rPr>
        <w:t xml:space="preserve">       </w:t>
      </w:r>
      <w:r>
        <w:rPr>
          <w:color w:val="auto"/>
          <w:kern w:val="0"/>
          <w:szCs w:val="21"/>
          <w:highlight w:val="none"/>
        </w:rPr>
        <w:t>%。【如联合体成员中有小型、微型企业的，请填写此条，否则无需填写；如联合体成员中有多个小型、微型企业的，请逐一列出。】</w:t>
      </w:r>
    </w:p>
    <w:p w14:paraId="7833A9EA">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6、本协议书自签署之日起生效，合同履行完毕后自动失效。</w:t>
      </w:r>
    </w:p>
    <w:p w14:paraId="78E9DB88">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7、本协议书一式</w:t>
      </w:r>
      <w:r>
        <w:rPr>
          <w:color w:val="auto"/>
          <w:kern w:val="0"/>
          <w:szCs w:val="21"/>
          <w:highlight w:val="none"/>
          <w:u w:val="single"/>
        </w:rPr>
        <w:t xml:space="preserve">    </w:t>
      </w:r>
      <w:r>
        <w:rPr>
          <w:color w:val="auto"/>
          <w:kern w:val="0"/>
          <w:szCs w:val="21"/>
          <w:highlight w:val="none"/>
        </w:rPr>
        <w:t>份，联合体成员和采购代理机构各执一份。</w:t>
      </w:r>
    </w:p>
    <w:p w14:paraId="54AC6C1E">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注：本协议书由法定代表人签字的，应附法定代表人身份证明；本协议书由委托代理人签字的，应附法定代表人授权委托书。</w:t>
      </w:r>
    </w:p>
    <w:p w14:paraId="33E7ACD1">
      <w:pPr>
        <w:pStyle w:val="7"/>
        <w:rPr>
          <w:color w:val="auto"/>
          <w:kern w:val="0"/>
          <w:szCs w:val="21"/>
          <w:highlight w:val="none"/>
        </w:rPr>
      </w:pPr>
    </w:p>
    <w:p w14:paraId="40B70A40">
      <w:pPr>
        <w:pStyle w:val="7"/>
        <w:rPr>
          <w:color w:val="auto"/>
          <w:kern w:val="0"/>
          <w:szCs w:val="21"/>
          <w:highlight w:val="none"/>
        </w:rPr>
      </w:pPr>
    </w:p>
    <w:p w14:paraId="1808C4A4">
      <w:pPr>
        <w:pStyle w:val="7"/>
        <w:rPr>
          <w:color w:val="auto"/>
          <w:kern w:val="0"/>
          <w:szCs w:val="21"/>
          <w:highlight w:val="none"/>
        </w:rPr>
      </w:pPr>
    </w:p>
    <w:p w14:paraId="43301E40">
      <w:pPr>
        <w:pStyle w:val="7"/>
        <w:rPr>
          <w:color w:val="auto"/>
          <w:kern w:val="0"/>
          <w:szCs w:val="21"/>
          <w:highlight w:val="none"/>
        </w:rPr>
      </w:pPr>
    </w:p>
    <w:p w14:paraId="1E6D9FE6">
      <w:pPr>
        <w:pStyle w:val="7"/>
        <w:rPr>
          <w:color w:val="auto"/>
          <w:kern w:val="0"/>
          <w:szCs w:val="21"/>
          <w:highlight w:val="none"/>
        </w:rPr>
      </w:pPr>
    </w:p>
    <w:p w14:paraId="3D18DF26">
      <w:pPr>
        <w:autoSpaceDE w:val="0"/>
        <w:autoSpaceDN w:val="0"/>
        <w:adjustRightInd w:val="0"/>
        <w:spacing w:line="360" w:lineRule="exact"/>
        <w:jc w:val="left"/>
        <w:rPr>
          <w:color w:val="auto"/>
          <w:kern w:val="0"/>
          <w:szCs w:val="21"/>
          <w:highlight w:val="none"/>
        </w:rPr>
      </w:pPr>
      <w:r>
        <w:rPr>
          <w:color w:val="auto"/>
          <w:kern w:val="0"/>
          <w:szCs w:val="21"/>
          <w:highlight w:val="none"/>
        </w:rPr>
        <w:t>牵头人名称：</w:t>
      </w:r>
      <w:r>
        <w:rPr>
          <w:color w:val="auto"/>
          <w:kern w:val="0"/>
          <w:szCs w:val="21"/>
          <w:highlight w:val="none"/>
          <w:u w:val="single"/>
        </w:rPr>
        <w:t xml:space="preserve">                                       </w:t>
      </w:r>
      <w:r>
        <w:rPr>
          <w:color w:val="auto"/>
          <w:kern w:val="0"/>
          <w:szCs w:val="21"/>
          <w:highlight w:val="none"/>
        </w:rPr>
        <w:t>（盖公章）</w:t>
      </w:r>
    </w:p>
    <w:p w14:paraId="55B1F897">
      <w:pPr>
        <w:autoSpaceDE w:val="0"/>
        <w:autoSpaceDN w:val="0"/>
        <w:adjustRightInd w:val="0"/>
        <w:spacing w:line="360" w:lineRule="exact"/>
        <w:jc w:val="left"/>
        <w:rPr>
          <w:color w:val="auto"/>
          <w:kern w:val="0"/>
          <w:szCs w:val="21"/>
          <w:highlight w:val="none"/>
        </w:rPr>
      </w:pPr>
      <w:r>
        <w:rPr>
          <w:color w:val="auto"/>
          <w:kern w:val="0"/>
          <w:szCs w:val="21"/>
          <w:highlight w:val="none"/>
        </w:rPr>
        <w:t>法定代表人或其委托代理人：</w:t>
      </w:r>
      <w:r>
        <w:rPr>
          <w:color w:val="auto"/>
          <w:kern w:val="0"/>
          <w:szCs w:val="21"/>
          <w:highlight w:val="none"/>
          <w:u w:val="single"/>
        </w:rPr>
        <w:t xml:space="preserve">                         </w:t>
      </w:r>
      <w:r>
        <w:rPr>
          <w:color w:val="auto"/>
          <w:kern w:val="0"/>
          <w:szCs w:val="21"/>
          <w:highlight w:val="none"/>
        </w:rPr>
        <w:t>（签字）</w:t>
      </w:r>
    </w:p>
    <w:p w14:paraId="2A5DCBB8">
      <w:pPr>
        <w:autoSpaceDE w:val="0"/>
        <w:autoSpaceDN w:val="0"/>
        <w:adjustRightInd w:val="0"/>
        <w:spacing w:line="360" w:lineRule="exact"/>
        <w:jc w:val="left"/>
        <w:rPr>
          <w:color w:val="auto"/>
          <w:kern w:val="0"/>
          <w:szCs w:val="21"/>
          <w:highlight w:val="none"/>
        </w:rPr>
      </w:pPr>
    </w:p>
    <w:p w14:paraId="3132272B">
      <w:pPr>
        <w:autoSpaceDE w:val="0"/>
        <w:autoSpaceDN w:val="0"/>
        <w:adjustRightInd w:val="0"/>
        <w:spacing w:line="360" w:lineRule="exact"/>
        <w:jc w:val="left"/>
        <w:rPr>
          <w:color w:val="auto"/>
          <w:kern w:val="0"/>
          <w:szCs w:val="21"/>
          <w:highlight w:val="none"/>
        </w:rPr>
      </w:pPr>
      <w:r>
        <w:rPr>
          <w:color w:val="auto"/>
          <w:kern w:val="0"/>
          <w:szCs w:val="21"/>
          <w:highlight w:val="none"/>
        </w:rPr>
        <w:t>成员一名称：</w:t>
      </w:r>
      <w:r>
        <w:rPr>
          <w:color w:val="auto"/>
          <w:kern w:val="0"/>
          <w:szCs w:val="21"/>
          <w:highlight w:val="none"/>
          <w:u w:val="single"/>
        </w:rPr>
        <w:t xml:space="preserve">                                       </w:t>
      </w:r>
      <w:r>
        <w:rPr>
          <w:color w:val="auto"/>
          <w:kern w:val="0"/>
          <w:szCs w:val="21"/>
          <w:highlight w:val="none"/>
        </w:rPr>
        <w:t>（盖公章）</w:t>
      </w:r>
    </w:p>
    <w:p w14:paraId="3ADD1120">
      <w:pPr>
        <w:autoSpaceDE w:val="0"/>
        <w:autoSpaceDN w:val="0"/>
        <w:adjustRightInd w:val="0"/>
        <w:spacing w:line="360" w:lineRule="exact"/>
        <w:jc w:val="left"/>
        <w:rPr>
          <w:color w:val="auto"/>
          <w:kern w:val="0"/>
          <w:szCs w:val="21"/>
          <w:highlight w:val="none"/>
        </w:rPr>
      </w:pPr>
      <w:r>
        <w:rPr>
          <w:color w:val="auto"/>
          <w:kern w:val="0"/>
          <w:szCs w:val="21"/>
          <w:highlight w:val="none"/>
        </w:rPr>
        <w:t>法定代表人或其委托代理人：</w:t>
      </w:r>
      <w:r>
        <w:rPr>
          <w:color w:val="auto"/>
          <w:kern w:val="0"/>
          <w:szCs w:val="21"/>
          <w:highlight w:val="none"/>
          <w:u w:val="single"/>
        </w:rPr>
        <w:t xml:space="preserve">                         </w:t>
      </w:r>
      <w:r>
        <w:rPr>
          <w:color w:val="auto"/>
          <w:kern w:val="0"/>
          <w:szCs w:val="21"/>
          <w:highlight w:val="none"/>
        </w:rPr>
        <w:t>（签字）</w:t>
      </w:r>
    </w:p>
    <w:p w14:paraId="23F3DFA5">
      <w:pPr>
        <w:autoSpaceDE w:val="0"/>
        <w:autoSpaceDN w:val="0"/>
        <w:adjustRightInd w:val="0"/>
        <w:spacing w:line="360" w:lineRule="exact"/>
        <w:jc w:val="left"/>
        <w:rPr>
          <w:color w:val="auto"/>
          <w:kern w:val="0"/>
          <w:szCs w:val="21"/>
          <w:highlight w:val="none"/>
        </w:rPr>
      </w:pPr>
    </w:p>
    <w:p w14:paraId="734018E0">
      <w:pPr>
        <w:autoSpaceDE w:val="0"/>
        <w:autoSpaceDN w:val="0"/>
        <w:adjustRightInd w:val="0"/>
        <w:spacing w:line="360" w:lineRule="exact"/>
        <w:jc w:val="left"/>
        <w:rPr>
          <w:color w:val="auto"/>
          <w:kern w:val="0"/>
          <w:szCs w:val="21"/>
          <w:highlight w:val="none"/>
        </w:rPr>
      </w:pPr>
      <w:r>
        <w:rPr>
          <w:color w:val="auto"/>
          <w:kern w:val="0"/>
          <w:szCs w:val="21"/>
          <w:highlight w:val="none"/>
        </w:rPr>
        <w:t>成员二名称：</w:t>
      </w:r>
      <w:r>
        <w:rPr>
          <w:color w:val="auto"/>
          <w:kern w:val="0"/>
          <w:szCs w:val="21"/>
          <w:highlight w:val="none"/>
          <w:u w:val="single"/>
        </w:rPr>
        <w:t xml:space="preserve">                                       </w:t>
      </w:r>
      <w:r>
        <w:rPr>
          <w:color w:val="auto"/>
          <w:kern w:val="0"/>
          <w:szCs w:val="21"/>
          <w:highlight w:val="none"/>
        </w:rPr>
        <w:t>（盖公章）</w:t>
      </w:r>
    </w:p>
    <w:p w14:paraId="27E08E82">
      <w:pPr>
        <w:autoSpaceDE w:val="0"/>
        <w:autoSpaceDN w:val="0"/>
        <w:adjustRightInd w:val="0"/>
        <w:spacing w:line="360" w:lineRule="exact"/>
        <w:jc w:val="left"/>
        <w:rPr>
          <w:color w:val="auto"/>
          <w:kern w:val="0"/>
          <w:szCs w:val="21"/>
          <w:highlight w:val="none"/>
        </w:rPr>
      </w:pPr>
      <w:r>
        <w:rPr>
          <w:color w:val="auto"/>
          <w:kern w:val="0"/>
          <w:szCs w:val="21"/>
          <w:highlight w:val="none"/>
        </w:rPr>
        <w:t>法定代表人或其委托代理人：                         （签字）</w:t>
      </w:r>
    </w:p>
    <w:p w14:paraId="55FA4181">
      <w:pPr>
        <w:autoSpaceDE w:val="0"/>
        <w:autoSpaceDN w:val="0"/>
        <w:adjustRightInd w:val="0"/>
        <w:spacing w:line="360" w:lineRule="exact"/>
        <w:jc w:val="left"/>
        <w:rPr>
          <w:color w:val="auto"/>
          <w:kern w:val="0"/>
          <w:szCs w:val="21"/>
          <w:highlight w:val="none"/>
        </w:rPr>
      </w:pPr>
    </w:p>
    <w:p w14:paraId="72171C41">
      <w:pPr>
        <w:autoSpaceDE w:val="0"/>
        <w:autoSpaceDN w:val="0"/>
        <w:adjustRightInd w:val="0"/>
        <w:spacing w:line="360" w:lineRule="exact"/>
        <w:jc w:val="left"/>
        <w:rPr>
          <w:color w:val="auto"/>
          <w:kern w:val="0"/>
          <w:szCs w:val="21"/>
          <w:highlight w:val="none"/>
        </w:rPr>
      </w:pPr>
      <w:r>
        <w:rPr>
          <w:color w:val="auto"/>
          <w:kern w:val="0"/>
          <w:szCs w:val="21"/>
          <w:highlight w:val="none"/>
        </w:rPr>
        <w:t>......</w:t>
      </w:r>
    </w:p>
    <w:p w14:paraId="77DFCB17">
      <w:pPr>
        <w:autoSpaceDE w:val="0"/>
        <w:autoSpaceDN w:val="0"/>
        <w:spacing w:line="360" w:lineRule="exact"/>
        <w:ind w:left="4305" w:leftChars="1850" w:hanging="420" w:hangingChars="200"/>
        <w:rPr>
          <w:color w:val="auto"/>
          <w:kern w:val="0"/>
          <w:szCs w:val="21"/>
          <w:highlight w:val="none"/>
        </w:rPr>
      </w:pPr>
    </w:p>
    <w:p w14:paraId="161F18B8">
      <w:pPr>
        <w:autoSpaceDE w:val="0"/>
        <w:autoSpaceDN w:val="0"/>
        <w:spacing w:line="360" w:lineRule="exact"/>
        <w:ind w:firstLine="5355" w:firstLineChars="2550"/>
        <w:rPr>
          <w:color w:val="auto"/>
          <w:kern w:val="0"/>
          <w:szCs w:val="21"/>
          <w:highlight w:val="none"/>
          <w:lang w:val="zh-CN"/>
        </w:rPr>
      </w:pPr>
      <w:r>
        <w:rPr>
          <w:color w:val="auto"/>
          <w:kern w:val="0"/>
          <w:szCs w:val="21"/>
          <w:highlight w:val="none"/>
          <w:lang w:val="zh-CN"/>
        </w:rPr>
        <w:t>日期：  年  月   日</w:t>
      </w:r>
    </w:p>
    <w:p w14:paraId="51542CB0">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5CC3B5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45FD64B0">
      <w:pPr>
        <w:pStyle w:val="3"/>
        <w:jc w:val="center"/>
        <w:rPr>
          <w:rFonts w:hint="eastAsia" w:ascii="宋体" w:hAnsi="宋体"/>
          <w:b w:val="0"/>
          <w:color w:val="auto"/>
          <w:highlight w:val="none"/>
        </w:rPr>
      </w:pPr>
      <w:bookmarkStart w:id="145" w:name="_Toc15951"/>
      <w:bookmarkStart w:id="146" w:name="_Toc80205940"/>
      <w:bookmarkStart w:id="147" w:name="_Toc20562"/>
      <w:bookmarkStart w:id="148" w:name="_Toc80886944"/>
      <w:r>
        <w:rPr>
          <w:rFonts w:hint="eastAsia" w:ascii="宋体" w:hAnsi="宋体"/>
          <w:b w:val="0"/>
          <w:bCs w:val="0"/>
          <w:color w:val="auto"/>
          <w:highlight w:val="none"/>
        </w:rPr>
        <w:t>第</w:t>
      </w:r>
      <w:r>
        <w:rPr>
          <w:rFonts w:hint="eastAsia" w:ascii="宋体" w:hAnsi="宋体"/>
          <w:b w:val="0"/>
          <w:bCs w:val="0"/>
          <w:color w:val="auto"/>
          <w:highlight w:val="none"/>
          <w:lang w:eastAsia="zh-CN"/>
        </w:rPr>
        <w:t>二</w:t>
      </w:r>
      <w:r>
        <w:rPr>
          <w:rFonts w:hint="eastAsia" w:ascii="宋体" w:hAnsi="宋体"/>
          <w:b w:val="0"/>
          <w:bCs w:val="0"/>
          <w:color w:val="auto"/>
          <w:highlight w:val="none"/>
        </w:rPr>
        <w:t xml:space="preserve">节 </w:t>
      </w:r>
      <w:r>
        <w:rPr>
          <w:rFonts w:hint="eastAsia" w:ascii="宋体" w:hAnsi="宋体"/>
          <w:b w:val="0"/>
          <w:color w:val="auto"/>
          <w:highlight w:val="none"/>
        </w:rPr>
        <w:t>商务技术文件格式</w:t>
      </w:r>
      <w:bookmarkEnd w:id="145"/>
      <w:bookmarkEnd w:id="146"/>
      <w:bookmarkEnd w:id="147"/>
      <w:bookmarkEnd w:id="148"/>
    </w:p>
    <w:p w14:paraId="70389166">
      <w:pPr>
        <w:snapToGrid w:val="0"/>
        <w:spacing w:before="120" w:beforeLines="50" w:after="50" w:line="360" w:lineRule="auto"/>
        <w:jc w:val="left"/>
        <w:rPr>
          <w:b/>
          <w:color w:val="auto"/>
          <w:sz w:val="32"/>
          <w:szCs w:val="32"/>
          <w:highlight w:val="none"/>
        </w:rPr>
      </w:pPr>
      <w:r>
        <w:rPr>
          <w:b/>
          <w:color w:val="auto"/>
          <w:sz w:val="28"/>
          <w:szCs w:val="28"/>
          <w:highlight w:val="none"/>
        </w:rPr>
        <w:t>1.商务技术文件封面的格式：</w:t>
      </w:r>
    </w:p>
    <w:p w14:paraId="0E50374F">
      <w:pPr>
        <w:snapToGrid w:val="0"/>
        <w:spacing w:before="120" w:beforeLines="50" w:after="50"/>
        <w:rPr>
          <w:color w:val="auto"/>
          <w:sz w:val="24"/>
          <w:highlight w:val="none"/>
        </w:rPr>
      </w:pPr>
      <w:r>
        <w:rPr>
          <w:color w:val="auto"/>
          <w:sz w:val="24"/>
          <w:highlight w:val="none"/>
        </w:rPr>
        <w:t xml:space="preserve">                                             </w:t>
      </w:r>
    </w:p>
    <w:p w14:paraId="32CEADFB">
      <w:pPr>
        <w:snapToGrid w:val="0"/>
        <w:spacing w:before="120" w:beforeLines="50" w:after="50"/>
        <w:ind w:firstLine="6720" w:firstLineChars="3200"/>
        <w:rPr>
          <w:bCs/>
          <w:color w:val="auto"/>
          <w:sz w:val="32"/>
          <w:szCs w:val="20"/>
          <w:highlight w:val="none"/>
        </w:rPr>
      </w:pPr>
      <w:r>
        <w:rPr>
          <w:bCs/>
          <w:color w:val="auto"/>
          <w:highlight w:val="none"/>
        </w:rPr>
        <w:t>全流程电子文件</w:t>
      </w:r>
    </w:p>
    <w:p w14:paraId="505EB348">
      <w:pPr>
        <w:snapToGrid w:val="0"/>
        <w:spacing w:before="120" w:beforeLines="50" w:after="50"/>
        <w:rPr>
          <w:color w:val="auto"/>
          <w:sz w:val="24"/>
          <w:szCs w:val="20"/>
          <w:highlight w:val="none"/>
        </w:rPr>
      </w:pPr>
    </w:p>
    <w:p w14:paraId="2E14F053">
      <w:pPr>
        <w:snapToGrid w:val="0"/>
        <w:spacing w:before="120" w:beforeLines="50" w:after="50"/>
        <w:rPr>
          <w:color w:val="auto"/>
          <w:sz w:val="24"/>
          <w:szCs w:val="20"/>
          <w:highlight w:val="none"/>
        </w:rPr>
      </w:pPr>
    </w:p>
    <w:p w14:paraId="4706DB5F">
      <w:pPr>
        <w:snapToGrid w:val="0"/>
        <w:spacing w:before="120" w:beforeLines="50" w:after="50"/>
        <w:rPr>
          <w:color w:val="auto"/>
          <w:sz w:val="24"/>
          <w:szCs w:val="20"/>
          <w:highlight w:val="none"/>
        </w:rPr>
      </w:pPr>
    </w:p>
    <w:p w14:paraId="299972E2">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  务  技  术  文  件</w:t>
      </w:r>
    </w:p>
    <w:p w14:paraId="6D5D627A">
      <w:pPr>
        <w:snapToGrid w:val="0"/>
        <w:spacing w:before="120" w:beforeLines="50" w:after="50"/>
        <w:rPr>
          <w:bCs/>
          <w:color w:val="auto"/>
          <w:sz w:val="24"/>
          <w:szCs w:val="20"/>
          <w:highlight w:val="none"/>
        </w:rPr>
      </w:pPr>
    </w:p>
    <w:p w14:paraId="470EAF0B">
      <w:pPr>
        <w:snapToGrid w:val="0"/>
        <w:spacing w:before="120" w:beforeLines="50" w:after="50"/>
        <w:rPr>
          <w:bCs/>
          <w:color w:val="auto"/>
          <w:sz w:val="24"/>
          <w:szCs w:val="20"/>
          <w:highlight w:val="none"/>
        </w:rPr>
      </w:pPr>
    </w:p>
    <w:p w14:paraId="5E5CEF1E">
      <w:pPr>
        <w:snapToGrid w:val="0"/>
        <w:spacing w:before="120" w:beforeLines="50" w:after="50"/>
        <w:rPr>
          <w:bCs/>
          <w:color w:val="auto"/>
          <w:sz w:val="24"/>
          <w:szCs w:val="20"/>
          <w:highlight w:val="none"/>
        </w:rPr>
      </w:pPr>
    </w:p>
    <w:p w14:paraId="55DBAF2D">
      <w:pPr>
        <w:snapToGrid w:val="0"/>
        <w:spacing w:before="120" w:beforeLines="50" w:after="50"/>
        <w:rPr>
          <w:bCs/>
          <w:color w:val="auto"/>
          <w:sz w:val="24"/>
          <w:szCs w:val="20"/>
          <w:highlight w:val="none"/>
        </w:rPr>
      </w:pPr>
    </w:p>
    <w:p w14:paraId="27045B18">
      <w:pPr>
        <w:snapToGrid w:val="0"/>
        <w:spacing w:before="120" w:beforeLines="50" w:after="50"/>
        <w:rPr>
          <w:bCs/>
          <w:color w:val="auto"/>
          <w:sz w:val="24"/>
          <w:szCs w:val="20"/>
          <w:highlight w:val="none"/>
        </w:rPr>
      </w:pPr>
    </w:p>
    <w:p w14:paraId="510C7B84">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14:paraId="2216CE80">
      <w:pPr>
        <w:snapToGrid w:val="0"/>
        <w:spacing w:before="120" w:beforeLines="50" w:after="50"/>
        <w:ind w:firstLine="720" w:firstLineChars="225"/>
        <w:rPr>
          <w:bCs/>
          <w:color w:val="auto"/>
          <w:sz w:val="32"/>
          <w:szCs w:val="32"/>
          <w:highlight w:val="none"/>
        </w:rPr>
      </w:pPr>
    </w:p>
    <w:p w14:paraId="26C41E4E">
      <w:pPr>
        <w:snapToGrid w:val="0"/>
        <w:spacing w:before="120" w:beforeLines="50" w:after="50"/>
        <w:ind w:firstLine="640" w:firstLineChars="200"/>
        <w:rPr>
          <w:bCs/>
          <w:color w:val="auto"/>
          <w:sz w:val="32"/>
          <w:szCs w:val="32"/>
          <w:highlight w:val="none"/>
        </w:rPr>
      </w:pPr>
      <w:r>
        <w:rPr>
          <w:bCs/>
          <w:color w:val="auto"/>
          <w:sz w:val="32"/>
          <w:szCs w:val="32"/>
          <w:highlight w:val="none"/>
        </w:rPr>
        <w:t>项目编号：</w:t>
      </w:r>
    </w:p>
    <w:p w14:paraId="63A9EEC9">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14:paraId="55C40954">
      <w:pPr>
        <w:snapToGrid w:val="0"/>
        <w:spacing w:before="120" w:beforeLines="50" w:after="50"/>
        <w:ind w:firstLine="640" w:firstLineChars="200"/>
        <w:rPr>
          <w:bCs/>
          <w:color w:val="auto"/>
          <w:sz w:val="32"/>
          <w:szCs w:val="32"/>
          <w:highlight w:val="none"/>
        </w:rPr>
      </w:pPr>
      <w:r>
        <w:rPr>
          <w:bCs/>
          <w:color w:val="auto"/>
          <w:sz w:val="32"/>
          <w:szCs w:val="32"/>
          <w:highlight w:val="none"/>
        </w:rPr>
        <w:t>所竞分标（如有则填写，无分标时填写</w:t>
      </w:r>
      <w:r>
        <w:rPr>
          <w:rFonts w:hint="eastAsia"/>
          <w:bCs/>
          <w:color w:val="auto"/>
          <w:sz w:val="32"/>
          <w:szCs w:val="32"/>
          <w:highlight w:val="none"/>
          <w:lang w:eastAsia="zh-CN"/>
        </w:rPr>
        <w:t>“</w:t>
      </w:r>
      <w:r>
        <w:rPr>
          <w:bCs/>
          <w:color w:val="auto"/>
          <w:sz w:val="32"/>
          <w:szCs w:val="32"/>
          <w:highlight w:val="none"/>
        </w:rPr>
        <w:t>无</w:t>
      </w:r>
      <w:r>
        <w:rPr>
          <w:rFonts w:hint="eastAsia"/>
          <w:bCs/>
          <w:color w:val="auto"/>
          <w:sz w:val="32"/>
          <w:szCs w:val="32"/>
          <w:highlight w:val="none"/>
          <w:lang w:eastAsia="zh-CN"/>
        </w:rPr>
        <w:t>”</w:t>
      </w:r>
      <w:r>
        <w:rPr>
          <w:bCs/>
          <w:color w:val="auto"/>
          <w:sz w:val="32"/>
          <w:szCs w:val="32"/>
          <w:highlight w:val="none"/>
        </w:rPr>
        <w:t>或者留空）：</w:t>
      </w:r>
    </w:p>
    <w:p w14:paraId="01513E71">
      <w:pPr>
        <w:snapToGrid w:val="0"/>
        <w:spacing w:before="120" w:beforeLines="50" w:after="50"/>
        <w:ind w:firstLine="720" w:firstLineChars="225"/>
        <w:rPr>
          <w:bCs/>
          <w:color w:val="auto"/>
          <w:sz w:val="32"/>
          <w:szCs w:val="32"/>
          <w:highlight w:val="none"/>
        </w:rPr>
      </w:pPr>
    </w:p>
    <w:p w14:paraId="781E82CA">
      <w:pPr>
        <w:pStyle w:val="7"/>
        <w:snapToGrid w:val="0"/>
        <w:spacing w:before="50" w:after="50"/>
        <w:ind w:firstLine="640" w:firstLineChars="200"/>
        <w:rPr>
          <w:bCs/>
          <w:color w:val="auto"/>
          <w:sz w:val="32"/>
          <w:szCs w:val="32"/>
          <w:highlight w:val="none"/>
        </w:rPr>
      </w:pPr>
      <w:r>
        <w:rPr>
          <w:bCs/>
          <w:color w:val="auto"/>
          <w:sz w:val="32"/>
          <w:szCs w:val="32"/>
          <w:highlight w:val="none"/>
        </w:rPr>
        <w:t>供应商名称：</w:t>
      </w:r>
    </w:p>
    <w:p w14:paraId="1B545CAD">
      <w:pPr>
        <w:pStyle w:val="7"/>
        <w:snapToGrid w:val="0"/>
        <w:spacing w:before="50" w:after="50"/>
        <w:ind w:firstLine="720" w:firstLineChars="225"/>
        <w:rPr>
          <w:bCs/>
          <w:color w:val="auto"/>
          <w:sz w:val="32"/>
          <w:szCs w:val="32"/>
          <w:highlight w:val="none"/>
        </w:rPr>
      </w:pPr>
    </w:p>
    <w:p w14:paraId="6AF40480">
      <w:pPr>
        <w:pStyle w:val="7"/>
        <w:snapToGrid w:val="0"/>
        <w:spacing w:before="50" w:after="50"/>
        <w:ind w:firstLine="720" w:firstLineChars="225"/>
        <w:rPr>
          <w:bCs/>
          <w:color w:val="auto"/>
          <w:sz w:val="32"/>
          <w:szCs w:val="32"/>
          <w:highlight w:val="none"/>
        </w:rPr>
      </w:pPr>
    </w:p>
    <w:p w14:paraId="55991B67">
      <w:pPr>
        <w:pStyle w:val="7"/>
        <w:snapToGrid w:val="0"/>
        <w:spacing w:before="50" w:after="50"/>
        <w:ind w:firstLine="1280" w:firstLineChars="400"/>
        <w:rPr>
          <w:bCs/>
          <w:color w:val="auto"/>
          <w:sz w:val="32"/>
          <w:szCs w:val="32"/>
          <w:highlight w:val="none"/>
        </w:rPr>
      </w:pPr>
    </w:p>
    <w:p w14:paraId="674136BD">
      <w:pPr>
        <w:snapToGrid w:val="0"/>
        <w:spacing w:before="120" w:beforeLines="50" w:after="50"/>
        <w:jc w:val="center"/>
        <w:rPr>
          <w:color w:val="auto"/>
          <w:sz w:val="32"/>
          <w:szCs w:val="32"/>
          <w:highlight w:val="none"/>
        </w:rPr>
      </w:pPr>
      <w:r>
        <w:rPr>
          <w:color w:val="auto"/>
          <w:sz w:val="32"/>
          <w:szCs w:val="32"/>
          <w:highlight w:val="none"/>
        </w:rPr>
        <w:t>年    月    日</w:t>
      </w:r>
    </w:p>
    <w:p w14:paraId="4CC7B676">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14:paraId="3F50438F">
      <w:pPr>
        <w:spacing w:line="360" w:lineRule="auto"/>
        <w:ind w:right="420"/>
        <w:rPr>
          <w:color w:val="auto"/>
          <w:sz w:val="24"/>
          <w:szCs w:val="20"/>
          <w:highlight w:val="none"/>
        </w:rPr>
      </w:pPr>
      <w:r>
        <w:rPr>
          <w:b/>
          <w:bCs/>
          <w:color w:val="auto"/>
          <w:sz w:val="28"/>
          <w:szCs w:val="28"/>
          <w:highlight w:val="none"/>
        </w:rPr>
        <w:t>2.商务技术文件目录</w:t>
      </w:r>
    </w:p>
    <w:p w14:paraId="241565CF">
      <w:pPr>
        <w:spacing w:line="400" w:lineRule="exact"/>
        <w:rPr>
          <w:rFonts w:eastAsia="仿宋_GB2312"/>
          <w:color w:val="auto"/>
          <w:sz w:val="32"/>
          <w:szCs w:val="32"/>
          <w:highlight w:val="none"/>
        </w:rPr>
      </w:pPr>
      <w:r>
        <w:rPr>
          <w:color w:val="auto"/>
          <w:kern w:val="0"/>
          <w:sz w:val="24"/>
          <w:highlight w:val="none"/>
        </w:rPr>
        <w:t xml:space="preserve">  根据竞争性磋商文件规定及供应商提供的材料自行编写目录（部分格式后附）。</w:t>
      </w:r>
    </w:p>
    <w:p w14:paraId="3C2C146D">
      <w:pPr>
        <w:spacing w:line="520" w:lineRule="exact"/>
        <w:jc w:val="left"/>
        <w:rPr>
          <w:color w:val="auto"/>
          <w:sz w:val="28"/>
          <w:szCs w:val="28"/>
          <w:highlight w:val="none"/>
        </w:rPr>
      </w:pPr>
      <w:r>
        <w:rPr>
          <w:rFonts w:eastAsia="方正小标宋简体"/>
          <w:color w:val="auto"/>
          <w:sz w:val="44"/>
          <w:szCs w:val="44"/>
          <w:highlight w:val="none"/>
        </w:rPr>
        <w:br w:type="page"/>
      </w:r>
      <w:r>
        <w:rPr>
          <w:b/>
          <w:color w:val="auto"/>
          <w:sz w:val="28"/>
          <w:szCs w:val="28"/>
          <w:highlight w:val="none"/>
        </w:rPr>
        <w:t>3.无串通竞标行为的承诺函的格式：</w:t>
      </w:r>
    </w:p>
    <w:p w14:paraId="08686308">
      <w:pPr>
        <w:spacing w:line="520" w:lineRule="exact"/>
        <w:jc w:val="center"/>
        <w:rPr>
          <w:rFonts w:eastAsia="方正小标宋简体"/>
          <w:color w:val="auto"/>
          <w:sz w:val="44"/>
          <w:szCs w:val="44"/>
          <w:highlight w:val="none"/>
        </w:rPr>
      </w:pPr>
    </w:p>
    <w:p w14:paraId="408064CD">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无串通竞标行为的承诺函</w:t>
      </w:r>
    </w:p>
    <w:p w14:paraId="0562C489">
      <w:pPr>
        <w:spacing w:line="520" w:lineRule="exact"/>
        <w:ind w:firstLine="640" w:firstLineChars="200"/>
        <w:rPr>
          <w:rFonts w:eastAsia="仿宋_GB2312"/>
          <w:color w:val="auto"/>
          <w:sz w:val="32"/>
          <w:szCs w:val="32"/>
          <w:highlight w:val="none"/>
        </w:rPr>
      </w:pPr>
    </w:p>
    <w:p w14:paraId="6621073C">
      <w:pPr>
        <w:spacing w:line="360" w:lineRule="auto"/>
        <w:ind w:firstLine="422" w:firstLineChars="200"/>
        <w:contextualSpacing/>
        <w:rPr>
          <w:b/>
          <w:bCs/>
          <w:color w:val="auto"/>
          <w:szCs w:val="21"/>
          <w:highlight w:val="none"/>
        </w:rPr>
      </w:pPr>
      <w:r>
        <w:rPr>
          <w:b/>
          <w:bCs/>
          <w:color w:val="auto"/>
          <w:szCs w:val="21"/>
          <w:highlight w:val="none"/>
        </w:rPr>
        <w:t>一、我方承诺无下列相互串通竞标的情形：</w:t>
      </w:r>
    </w:p>
    <w:p w14:paraId="6D900946">
      <w:pPr>
        <w:spacing w:line="360" w:lineRule="auto"/>
        <w:ind w:firstLine="420" w:firstLineChars="200"/>
        <w:contextualSpacing/>
        <w:rPr>
          <w:color w:val="auto"/>
          <w:szCs w:val="21"/>
          <w:highlight w:val="none"/>
        </w:rPr>
      </w:pPr>
      <w:r>
        <w:rPr>
          <w:color w:val="auto"/>
          <w:szCs w:val="21"/>
          <w:highlight w:val="none"/>
        </w:rPr>
        <w:t>1.不同供应商的响应文件由同一单位或者个人编制</w:t>
      </w:r>
      <w:r>
        <w:rPr>
          <w:rFonts w:hint="eastAsia"/>
          <w:lang w:val="en-US" w:eastAsia="zh-CN"/>
        </w:rPr>
        <w:t>或者不同供应商报名的IP地址一致的</w:t>
      </w:r>
      <w:r>
        <w:rPr>
          <w:color w:val="auto"/>
          <w:szCs w:val="21"/>
          <w:highlight w:val="none"/>
        </w:rPr>
        <w:t>；</w:t>
      </w:r>
    </w:p>
    <w:p w14:paraId="39C74FE8">
      <w:pPr>
        <w:spacing w:line="360" w:lineRule="auto"/>
        <w:ind w:firstLine="420" w:firstLineChars="200"/>
        <w:contextualSpacing/>
        <w:rPr>
          <w:color w:val="auto"/>
          <w:szCs w:val="21"/>
          <w:highlight w:val="none"/>
        </w:rPr>
      </w:pPr>
      <w:r>
        <w:rPr>
          <w:color w:val="auto"/>
          <w:szCs w:val="21"/>
          <w:highlight w:val="none"/>
        </w:rPr>
        <w:t>2.不同供应商委托同一单位或者个人办理竞标事宜；</w:t>
      </w:r>
    </w:p>
    <w:p w14:paraId="1DCB9770">
      <w:pPr>
        <w:spacing w:line="360" w:lineRule="auto"/>
        <w:ind w:firstLine="420" w:firstLineChars="200"/>
        <w:contextualSpacing/>
        <w:rPr>
          <w:color w:val="auto"/>
          <w:szCs w:val="21"/>
          <w:highlight w:val="none"/>
        </w:rPr>
      </w:pPr>
      <w:r>
        <w:rPr>
          <w:color w:val="auto"/>
          <w:szCs w:val="21"/>
          <w:highlight w:val="none"/>
        </w:rPr>
        <w:t>3.不同供应商的响应文件载明的项目管理员为同一个人；</w:t>
      </w:r>
    </w:p>
    <w:p w14:paraId="15B80498">
      <w:pPr>
        <w:spacing w:line="360" w:lineRule="auto"/>
        <w:ind w:firstLine="420" w:firstLineChars="200"/>
        <w:contextualSpacing/>
        <w:rPr>
          <w:color w:val="auto"/>
          <w:szCs w:val="21"/>
          <w:highlight w:val="none"/>
        </w:rPr>
      </w:pPr>
      <w:r>
        <w:rPr>
          <w:color w:val="auto"/>
          <w:szCs w:val="21"/>
          <w:highlight w:val="none"/>
        </w:rPr>
        <w:t>4.不</w:t>
      </w:r>
      <w:r>
        <w:rPr>
          <w:color w:val="auto"/>
          <w:spacing w:val="-6"/>
          <w:szCs w:val="21"/>
          <w:highlight w:val="none"/>
        </w:rPr>
        <w:t>同供应商的响应文件异常一致或者响应报价呈规律性差异；</w:t>
      </w:r>
    </w:p>
    <w:p w14:paraId="5D0507E5">
      <w:pPr>
        <w:spacing w:line="360" w:lineRule="auto"/>
        <w:ind w:firstLine="420" w:firstLineChars="200"/>
        <w:contextualSpacing/>
        <w:rPr>
          <w:color w:val="auto"/>
          <w:szCs w:val="21"/>
          <w:highlight w:val="none"/>
        </w:rPr>
      </w:pPr>
      <w:r>
        <w:rPr>
          <w:color w:val="auto"/>
          <w:szCs w:val="21"/>
          <w:highlight w:val="none"/>
        </w:rPr>
        <w:t>5.不同供应商的响应文件相互混装；</w:t>
      </w:r>
    </w:p>
    <w:p w14:paraId="45FFCF8B">
      <w:pPr>
        <w:pStyle w:val="13"/>
        <w:ind w:firstLine="420" w:firstLineChars="200"/>
        <w:rPr>
          <w:color w:val="auto"/>
          <w:szCs w:val="21"/>
          <w:highlight w:val="none"/>
          <w:lang w:val="en-US" w:eastAsia="zh-CN"/>
        </w:rPr>
      </w:pPr>
      <w:r>
        <w:rPr>
          <w:color w:val="auto"/>
          <w:szCs w:val="21"/>
          <w:highlight w:val="none"/>
        </w:rPr>
        <w:t>6.不同供应商的磋商保证金从同一单位或者个人账户转出。</w:t>
      </w:r>
    </w:p>
    <w:p w14:paraId="3FCDCAF4">
      <w:pPr>
        <w:spacing w:line="360" w:lineRule="auto"/>
        <w:ind w:firstLine="422" w:firstLineChars="200"/>
        <w:contextualSpacing/>
        <w:rPr>
          <w:b/>
          <w:bCs/>
          <w:color w:val="auto"/>
          <w:szCs w:val="21"/>
          <w:highlight w:val="none"/>
        </w:rPr>
      </w:pPr>
      <w:r>
        <w:rPr>
          <w:b/>
          <w:bCs/>
          <w:color w:val="auto"/>
          <w:szCs w:val="21"/>
          <w:highlight w:val="none"/>
        </w:rPr>
        <w:t>二、我方承诺无下列恶意串通的情形：</w:t>
      </w:r>
    </w:p>
    <w:p w14:paraId="6F8D17E6">
      <w:pPr>
        <w:spacing w:line="360" w:lineRule="auto"/>
        <w:ind w:firstLine="420" w:firstLineChars="200"/>
        <w:contextualSpacing/>
        <w:rPr>
          <w:color w:val="auto"/>
          <w:szCs w:val="21"/>
          <w:highlight w:val="none"/>
        </w:rPr>
      </w:pPr>
      <w:r>
        <w:rPr>
          <w:color w:val="auto"/>
          <w:szCs w:val="21"/>
          <w:highlight w:val="none"/>
        </w:rPr>
        <w:t>1.供应商直接或者间接从采购人或者采购代理机构处获得其他供应商的相关信息并修改其响应文件；</w:t>
      </w:r>
    </w:p>
    <w:p w14:paraId="23CFCABE">
      <w:pPr>
        <w:spacing w:line="360" w:lineRule="auto"/>
        <w:ind w:firstLine="420" w:firstLineChars="200"/>
        <w:contextualSpacing/>
        <w:rPr>
          <w:color w:val="auto"/>
          <w:szCs w:val="21"/>
          <w:highlight w:val="none"/>
        </w:rPr>
      </w:pPr>
      <w:r>
        <w:rPr>
          <w:color w:val="auto"/>
          <w:szCs w:val="21"/>
          <w:highlight w:val="none"/>
        </w:rPr>
        <w:t>2.供应商按照采购人或者采购代理机构的授意撤换、修改响应文件；</w:t>
      </w:r>
    </w:p>
    <w:p w14:paraId="1EBEFF49">
      <w:pPr>
        <w:spacing w:line="360" w:lineRule="auto"/>
        <w:ind w:firstLine="420" w:firstLineChars="200"/>
        <w:contextualSpacing/>
        <w:rPr>
          <w:color w:val="auto"/>
          <w:szCs w:val="21"/>
          <w:highlight w:val="none"/>
        </w:rPr>
      </w:pPr>
      <w:r>
        <w:rPr>
          <w:color w:val="auto"/>
          <w:szCs w:val="21"/>
          <w:highlight w:val="none"/>
        </w:rPr>
        <w:t>3.供</w:t>
      </w:r>
      <w:r>
        <w:rPr>
          <w:color w:val="auto"/>
          <w:spacing w:val="-6"/>
          <w:szCs w:val="21"/>
          <w:highlight w:val="none"/>
        </w:rPr>
        <w:t>应商之间协商报价、技术方案等响应文件的实质性内容；</w:t>
      </w:r>
    </w:p>
    <w:p w14:paraId="640D0AC1">
      <w:pPr>
        <w:spacing w:line="360" w:lineRule="auto"/>
        <w:ind w:firstLine="420" w:firstLineChars="200"/>
        <w:contextualSpacing/>
        <w:rPr>
          <w:color w:val="auto"/>
          <w:szCs w:val="21"/>
          <w:highlight w:val="none"/>
        </w:rPr>
      </w:pPr>
      <w:r>
        <w:rPr>
          <w:color w:val="auto"/>
          <w:szCs w:val="21"/>
          <w:highlight w:val="none"/>
        </w:rPr>
        <w:t>4.属于同一集团、协会、商会等组织成员的供应商按照该组织要求协同参加政府采购活动；</w:t>
      </w:r>
    </w:p>
    <w:p w14:paraId="22A7E98C">
      <w:pPr>
        <w:spacing w:line="360" w:lineRule="auto"/>
        <w:ind w:firstLine="420" w:firstLineChars="200"/>
        <w:contextualSpacing/>
        <w:rPr>
          <w:color w:val="auto"/>
          <w:szCs w:val="21"/>
          <w:highlight w:val="none"/>
        </w:rPr>
      </w:pPr>
      <w:r>
        <w:rPr>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1A1A1B08">
      <w:pPr>
        <w:spacing w:line="360" w:lineRule="auto"/>
        <w:ind w:firstLine="420" w:firstLineChars="200"/>
        <w:contextualSpacing/>
        <w:rPr>
          <w:color w:val="auto"/>
          <w:szCs w:val="21"/>
          <w:highlight w:val="none"/>
        </w:rPr>
      </w:pPr>
      <w:r>
        <w:rPr>
          <w:color w:val="auto"/>
          <w:szCs w:val="21"/>
          <w:highlight w:val="none"/>
        </w:rPr>
        <w:t>6.供应商之间商定部分供应商放弃参加政府采购活动或者放弃成交；</w:t>
      </w:r>
    </w:p>
    <w:p w14:paraId="40493508">
      <w:pPr>
        <w:spacing w:line="360" w:lineRule="auto"/>
        <w:ind w:firstLine="420" w:firstLineChars="200"/>
        <w:contextualSpacing/>
        <w:rPr>
          <w:color w:val="auto"/>
          <w:szCs w:val="21"/>
          <w:highlight w:val="none"/>
        </w:rPr>
      </w:pPr>
      <w:r>
        <w:rPr>
          <w:color w:val="auto"/>
          <w:szCs w:val="21"/>
          <w:highlight w:val="none"/>
        </w:rPr>
        <w:t>7.供应商与采购人或者采购代理机构之间、供应商相互之间，为</w:t>
      </w:r>
      <w:r>
        <w:rPr>
          <w:color w:val="auto"/>
          <w:spacing w:val="-6"/>
          <w:szCs w:val="21"/>
          <w:highlight w:val="none"/>
        </w:rPr>
        <w:t>谋求特定供应商成交或者排斥其他供应商的其他串通行为。</w:t>
      </w:r>
    </w:p>
    <w:p w14:paraId="15D43F85">
      <w:pPr>
        <w:spacing w:line="360" w:lineRule="auto"/>
        <w:ind w:firstLine="420" w:firstLineChars="200"/>
        <w:contextualSpacing/>
        <w:rPr>
          <w:color w:val="auto"/>
          <w:szCs w:val="21"/>
          <w:highlight w:val="none"/>
        </w:rPr>
      </w:pPr>
    </w:p>
    <w:p w14:paraId="19EEFCC3">
      <w:pPr>
        <w:spacing w:line="360" w:lineRule="auto"/>
        <w:ind w:firstLine="422" w:firstLineChars="200"/>
        <w:contextualSpacing/>
        <w:rPr>
          <w:b/>
          <w:bCs/>
          <w:color w:val="auto"/>
          <w:szCs w:val="21"/>
          <w:highlight w:val="none"/>
        </w:rPr>
      </w:pPr>
      <w:r>
        <w:rPr>
          <w:b/>
          <w:bCs/>
          <w:color w:val="auto"/>
          <w:szCs w:val="21"/>
          <w:highlight w:val="none"/>
        </w:rPr>
        <w:t>以上情形一经核查属实，接受政府采购监管部门对我方认定存在围标串标行为，我方愿意承担一切后果，并不再寻求任何旨在减轻或者免除法律责任的辩解。</w:t>
      </w:r>
    </w:p>
    <w:p w14:paraId="4C2FC0A4">
      <w:pPr>
        <w:pStyle w:val="20"/>
        <w:rPr>
          <w:b/>
          <w:bCs/>
          <w:color w:val="auto"/>
          <w:sz w:val="21"/>
          <w:szCs w:val="21"/>
          <w:highlight w:val="none"/>
        </w:rPr>
      </w:pPr>
    </w:p>
    <w:p w14:paraId="12100C84">
      <w:pPr>
        <w:pStyle w:val="20"/>
        <w:rPr>
          <w:b/>
          <w:bCs/>
          <w:color w:val="auto"/>
          <w:sz w:val="21"/>
          <w:szCs w:val="21"/>
          <w:highlight w:val="none"/>
        </w:rPr>
      </w:pPr>
    </w:p>
    <w:p w14:paraId="3E6B7CCD">
      <w:pPr>
        <w:pStyle w:val="20"/>
        <w:rPr>
          <w:b/>
          <w:bCs/>
          <w:color w:val="auto"/>
          <w:sz w:val="21"/>
          <w:szCs w:val="21"/>
          <w:highlight w:val="none"/>
        </w:rPr>
      </w:pPr>
    </w:p>
    <w:p w14:paraId="30D7BE5F">
      <w:pPr>
        <w:pStyle w:val="20"/>
        <w:rPr>
          <w:b/>
          <w:bCs/>
          <w:color w:val="auto"/>
          <w:sz w:val="21"/>
          <w:szCs w:val="21"/>
          <w:highlight w:val="none"/>
        </w:rPr>
      </w:pPr>
    </w:p>
    <w:p w14:paraId="1EE25866">
      <w:pPr>
        <w:pStyle w:val="20"/>
        <w:rPr>
          <w:b/>
          <w:bCs/>
          <w:color w:val="auto"/>
          <w:sz w:val="21"/>
          <w:szCs w:val="21"/>
          <w:highlight w:val="none"/>
        </w:rPr>
      </w:pPr>
    </w:p>
    <w:p w14:paraId="45217D6D">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199E6DAE">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F5A063">
      <w:pPr>
        <w:spacing w:line="480" w:lineRule="auto"/>
        <w:jc w:val="left"/>
        <w:rPr>
          <w:b/>
          <w:bCs/>
          <w:color w:val="auto"/>
          <w:sz w:val="28"/>
          <w:szCs w:val="28"/>
          <w:highlight w:val="none"/>
        </w:rPr>
      </w:pPr>
      <w:r>
        <w:rPr>
          <w:b/>
          <w:bCs/>
          <w:color w:val="auto"/>
          <w:szCs w:val="21"/>
          <w:highlight w:val="none"/>
        </w:rPr>
        <w:br w:type="page"/>
      </w:r>
      <w:r>
        <w:rPr>
          <w:b/>
          <w:bCs/>
          <w:color w:val="auto"/>
          <w:sz w:val="28"/>
          <w:szCs w:val="28"/>
          <w:highlight w:val="none"/>
        </w:rPr>
        <w:t>4.法定代表人身份证明的格式：</w:t>
      </w:r>
    </w:p>
    <w:p w14:paraId="1F90F174">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法定代表人身份证明</w:t>
      </w:r>
    </w:p>
    <w:p w14:paraId="44942B3E">
      <w:pPr>
        <w:spacing w:line="360" w:lineRule="auto"/>
        <w:ind w:left="540"/>
        <w:contextualSpacing/>
        <w:rPr>
          <w:rFonts w:eastAsia="仿宋_GB2312"/>
          <w:color w:val="auto"/>
          <w:sz w:val="32"/>
          <w:szCs w:val="32"/>
          <w:highlight w:val="none"/>
        </w:rPr>
      </w:pPr>
    </w:p>
    <w:p w14:paraId="204BC0AC">
      <w:pPr>
        <w:spacing w:line="560" w:lineRule="exact"/>
        <w:ind w:firstLine="525" w:firstLineChars="250"/>
        <w:rPr>
          <w:color w:val="auto"/>
          <w:szCs w:val="21"/>
          <w:highlight w:val="none"/>
        </w:rPr>
      </w:pPr>
      <w:r>
        <w:rPr>
          <w:rFonts w:hint="eastAsia"/>
          <w:color w:val="auto"/>
          <w:szCs w:val="21"/>
          <w:highlight w:val="none"/>
        </w:rPr>
        <w:t>供 应 商</w:t>
      </w:r>
      <w:r>
        <w:rPr>
          <w:color w:val="auto"/>
          <w:szCs w:val="21"/>
          <w:highlight w:val="none"/>
        </w:rPr>
        <w:t>：</w:t>
      </w:r>
      <w:r>
        <w:rPr>
          <w:color w:val="auto"/>
          <w:szCs w:val="21"/>
          <w:highlight w:val="none"/>
          <w:u w:val="single"/>
        </w:rPr>
        <w:t xml:space="preserve">                                                        </w:t>
      </w:r>
    </w:p>
    <w:p w14:paraId="551ECD98">
      <w:pPr>
        <w:spacing w:line="560" w:lineRule="exact"/>
        <w:ind w:firstLine="525" w:firstLineChars="250"/>
        <w:rPr>
          <w:color w:val="auto"/>
          <w:szCs w:val="21"/>
          <w:highlight w:val="none"/>
        </w:rPr>
      </w:pPr>
      <w:r>
        <w:rPr>
          <w:color w:val="auto"/>
          <w:szCs w:val="21"/>
          <w:highlight w:val="none"/>
        </w:rPr>
        <w:t>单位性质：</w:t>
      </w:r>
      <w:r>
        <w:rPr>
          <w:color w:val="auto"/>
          <w:szCs w:val="21"/>
          <w:highlight w:val="none"/>
          <w:u w:val="single"/>
        </w:rPr>
        <w:t xml:space="preserve">                                                        </w:t>
      </w:r>
    </w:p>
    <w:p w14:paraId="2F891CA0">
      <w:pPr>
        <w:spacing w:line="560" w:lineRule="exact"/>
        <w:ind w:firstLine="525" w:firstLineChars="250"/>
        <w:rPr>
          <w:color w:val="auto"/>
          <w:szCs w:val="21"/>
          <w:highlight w:val="none"/>
        </w:rPr>
      </w:pPr>
      <w:r>
        <w:rPr>
          <w:color w:val="auto"/>
          <w:szCs w:val="21"/>
          <w:highlight w:val="none"/>
        </w:rPr>
        <w:t>地    址：</w:t>
      </w:r>
      <w:r>
        <w:rPr>
          <w:color w:val="auto"/>
          <w:szCs w:val="21"/>
          <w:highlight w:val="none"/>
          <w:u w:val="single"/>
        </w:rPr>
        <w:t xml:space="preserve">                                                        </w:t>
      </w:r>
    </w:p>
    <w:p w14:paraId="5663B829">
      <w:pPr>
        <w:spacing w:line="560" w:lineRule="exact"/>
        <w:ind w:firstLine="525" w:firstLineChars="25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D17563C">
      <w:pPr>
        <w:spacing w:line="560" w:lineRule="exact"/>
        <w:ind w:firstLine="525" w:firstLineChars="250"/>
        <w:rPr>
          <w:color w:val="auto"/>
          <w:szCs w:val="21"/>
          <w:highlight w:val="none"/>
        </w:rPr>
      </w:pPr>
      <w:r>
        <w:rPr>
          <w:color w:val="auto"/>
          <w:szCs w:val="21"/>
          <w:highlight w:val="none"/>
        </w:rPr>
        <w:t>经营期限：</w:t>
      </w:r>
      <w:r>
        <w:rPr>
          <w:color w:val="auto"/>
          <w:szCs w:val="21"/>
          <w:highlight w:val="none"/>
          <w:u w:val="single"/>
        </w:rPr>
        <w:t xml:space="preserve">                                                        </w:t>
      </w:r>
    </w:p>
    <w:p w14:paraId="75EDC5DA">
      <w:pPr>
        <w:spacing w:line="560" w:lineRule="exact"/>
        <w:ind w:firstLine="525" w:firstLineChars="25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性     别：</w:t>
      </w:r>
      <w:r>
        <w:rPr>
          <w:color w:val="auto"/>
          <w:szCs w:val="21"/>
          <w:highlight w:val="none"/>
          <w:u w:val="single"/>
        </w:rPr>
        <w:t xml:space="preserve">                   </w:t>
      </w:r>
    </w:p>
    <w:p w14:paraId="0AB7D2A1">
      <w:pPr>
        <w:spacing w:line="560" w:lineRule="exact"/>
        <w:ind w:firstLine="525" w:firstLineChars="250"/>
        <w:rPr>
          <w:color w:val="auto"/>
          <w:szCs w:val="21"/>
          <w:highlight w:val="none"/>
        </w:rPr>
      </w:pPr>
      <w:r>
        <w:rPr>
          <w:color w:val="auto"/>
          <w:szCs w:val="21"/>
          <w:highlight w:val="none"/>
        </w:rPr>
        <w:t>年    龄：</w:t>
      </w:r>
      <w:r>
        <w:rPr>
          <w:color w:val="auto"/>
          <w:szCs w:val="21"/>
          <w:highlight w:val="none"/>
          <w:u w:val="single"/>
        </w:rPr>
        <w:t xml:space="preserve">                          </w:t>
      </w:r>
      <w:r>
        <w:rPr>
          <w:color w:val="auto"/>
          <w:szCs w:val="21"/>
          <w:highlight w:val="none"/>
        </w:rPr>
        <w:t>职     务：</w:t>
      </w:r>
      <w:r>
        <w:rPr>
          <w:color w:val="auto"/>
          <w:szCs w:val="21"/>
          <w:highlight w:val="none"/>
          <w:u w:val="single"/>
        </w:rPr>
        <w:t xml:space="preserve">                   </w:t>
      </w:r>
    </w:p>
    <w:p w14:paraId="5EF6E53C">
      <w:pPr>
        <w:spacing w:line="560" w:lineRule="exact"/>
        <w:ind w:firstLine="525" w:firstLineChars="250"/>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名称）的法定代表人。</w:t>
      </w:r>
    </w:p>
    <w:p w14:paraId="181739DB">
      <w:pPr>
        <w:spacing w:line="560" w:lineRule="exact"/>
        <w:ind w:firstLine="525" w:firstLineChars="250"/>
        <w:rPr>
          <w:color w:val="auto"/>
          <w:szCs w:val="21"/>
          <w:highlight w:val="none"/>
        </w:rPr>
      </w:pPr>
      <w:r>
        <w:rPr>
          <w:color w:val="auto"/>
          <w:szCs w:val="21"/>
          <w:highlight w:val="none"/>
        </w:rPr>
        <w:t>特此证明。</w:t>
      </w:r>
    </w:p>
    <w:p w14:paraId="08F86534">
      <w:pPr>
        <w:spacing w:line="360" w:lineRule="auto"/>
        <w:ind w:left="540"/>
        <w:contextualSpacing/>
        <w:rPr>
          <w:color w:val="auto"/>
          <w:szCs w:val="21"/>
          <w:highlight w:val="none"/>
        </w:rPr>
      </w:pPr>
    </w:p>
    <w:p w14:paraId="3BCFFAC9">
      <w:pPr>
        <w:spacing w:line="360" w:lineRule="auto"/>
        <w:ind w:left="540"/>
        <w:contextualSpacing/>
        <w:rPr>
          <w:color w:val="auto"/>
          <w:szCs w:val="21"/>
          <w:highlight w:val="none"/>
        </w:rPr>
      </w:pPr>
    </w:p>
    <w:p w14:paraId="21C1CC40">
      <w:pPr>
        <w:spacing w:line="360" w:lineRule="auto"/>
        <w:ind w:left="540"/>
        <w:contextualSpacing/>
        <w:rPr>
          <w:color w:val="auto"/>
          <w:szCs w:val="21"/>
          <w:highlight w:val="none"/>
        </w:rPr>
      </w:pPr>
    </w:p>
    <w:p w14:paraId="12189020">
      <w:pPr>
        <w:spacing w:line="360" w:lineRule="auto"/>
        <w:ind w:left="540"/>
        <w:contextualSpacing/>
        <w:rPr>
          <w:color w:val="auto"/>
          <w:szCs w:val="21"/>
          <w:highlight w:val="none"/>
        </w:rPr>
      </w:pPr>
      <w:r>
        <w:rPr>
          <w:color w:val="auto"/>
          <w:szCs w:val="21"/>
          <w:highlight w:val="none"/>
        </w:rPr>
        <w:t>附件：法定代表人有效身份证正反面复印件</w:t>
      </w:r>
    </w:p>
    <w:p w14:paraId="64D4B64B">
      <w:pPr>
        <w:spacing w:line="360" w:lineRule="auto"/>
        <w:ind w:left="540"/>
        <w:contextualSpacing/>
        <w:rPr>
          <w:color w:val="auto"/>
          <w:szCs w:val="21"/>
          <w:highlight w:val="none"/>
        </w:rPr>
      </w:pPr>
    </w:p>
    <w:p w14:paraId="0A1D64F1">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7E262759">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9CE95BB">
      <w:pPr>
        <w:spacing w:line="360" w:lineRule="auto"/>
        <w:contextualSpacing/>
        <w:jc w:val="left"/>
        <w:rPr>
          <w:color w:val="auto"/>
          <w:sz w:val="24"/>
          <w:highlight w:val="none"/>
        </w:rPr>
      </w:pPr>
    </w:p>
    <w:p w14:paraId="2BA66338">
      <w:pPr>
        <w:spacing w:line="360" w:lineRule="auto"/>
        <w:contextualSpacing/>
        <w:jc w:val="left"/>
        <w:rPr>
          <w:rFonts w:hint="eastAsia" w:ascii="宋体" w:hAnsi="宋体" w:cs="宋体"/>
          <w:color w:val="auto"/>
          <w:sz w:val="24"/>
          <w:highlight w:val="none"/>
        </w:rPr>
      </w:pPr>
    </w:p>
    <w:p w14:paraId="73669ED1">
      <w:pPr>
        <w:spacing w:line="360" w:lineRule="auto"/>
        <w:ind w:firstLine="420" w:firstLineChars="200"/>
        <w:contextualSpacing/>
        <w:jc w:val="left"/>
        <w:rPr>
          <w:color w:val="auto"/>
          <w:szCs w:val="21"/>
          <w:highlight w:val="none"/>
        </w:rPr>
      </w:pPr>
      <w:r>
        <w:rPr>
          <w:color w:val="auto"/>
          <w:szCs w:val="21"/>
          <w:highlight w:val="none"/>
        </w:rPr>
        <w:t>注：</w:t>
      </w:r>
    </w:p>
    <w:p w14:paraId="6B500CE0">
      <w:pPr>
        <w:spacing w:line="360" w:lineRule="auto"/>
        <w:ind w:firstLine="420" w:firstLineChars="200"/>
        <w:contextualSpacing/>
        <w:jc w:val="left"/>
        <w:rPr>
          <w:color w:val="auto"/>
          <w:szCs w:val="21"/>
          <w:highlight w:val="none"/>
        </w:rPr>
      </w:pPr>
      <w:r>
        <w:rPr>
          <w:color w:val="auto"/>
          <w:szCs w:val="21"/>
          <w:highlight w:val="none"/>
        </w:rPr>
        <w:t>1.自然人竞标的无需提供，联合体竞标的只需牵头人出具。</w:t>
      </w:r>
    </w:p>
    <w:p w14:paraId="18BCE6CE">
      <w:pPr>
        <w:spacing w:line="360" w:lineRule="auto"/>
        <w:ind w:firstLine="420" w:firstLineChars="200"/>
        <w:contextualSpacing/>
        <w:jc w:val="left"/>
        <w:rPr>
          <w:color w:val="auto"/>
          <w:szCs w:val="21"/>
          <w:highlight w:val="none"/>
        </w:rPr>
        <w:sectPr>
          <w:pgSz w:w="11911" w:h="16838"/>
          <w:pgMar w:top="1134" w:right="1134" w:bottom="1134" w:left="1134" w:header="720" w:footer="720" w:gutter="0"/>
          <w:cols w:space="720" w:num="1"/>
        </w:sect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606469">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Calibri"/>
          <w:b/>
          <w:color w:val="auto"/>
          <w:sz w:val="24"/>
          <w:highlight w:val="none"/>
        </w:rPr>
        <w:t>附件：</w:t>
      </w:r>
    </w:p>
    <w:p w14:paraId="1949DEFE">
      <w:pPr>
        <w:adjustRightInd w:val="0"/>
        <w:snapToGrid w:val="0"/>
        <w:spacing w:line="300" w:lineRule="auto"/>
        <w:jc w:val="left"/>
        <w:rPr>
          <w:rFonts w:hint="eastAsia"/>
          <w:b/>
          <w:color w:val="auto"/>
          <w:szCs w:val="21"/>
          <w:highlight w:val="none"/>
        </w:rPr>
      </w:pPr>
    </w:p>
    <w:tbl>
      <w:tblPr>
        <w:tblStyle w:val="28"/>
        <w:tblpPr w:leftFromText="180" w:rightFromText="180" w:vertAnchor="text" w:horzAnchor="page" w:tblpX="1957" w:tblpY="335"/>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44C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FDBAAA">
            <w:pPr>
              <w:spacing w:line="360" w:lineRule="auto"/>
              <w:rPr>
                <w:rFonts w:hAnsi="Calibri"/>
                <w:b/>
                <w:color w:val="auto"/>
                <w:sz w:val="24"/>
                <w:highlight w:val="none"/>
              </w:rPr>
            </w:pPr>
          </w:p>
          <w:p w14:paraId="4EB44536">
            <w:pPr>
              <w:spacing w:line="360" w:lineRule="auto"/>
              <w:rPr>
                <w:rFonts w:hAnsi="Calibri"/>
                <w:b/>
                <w:color w:val="auto"/>
                <w:sz w:val="24"/>
                <w:highlight w:val="none"/>
              </w:rPr>
            </w:pPr>
            <w:r>
              <w:rPr>
                <w:rFonts w:hint="eastAsia" w:hAnsi="Calibri"/>
                <w:b/>
                <w:color w:val="auto"/>
                <w:sz w:val="24"/>
                <w:highlight w:val="none"/>
              </w:rPr>
              <w:t>法定代表人身份证复印件</w:t>
            </w:r>
            <w:r>
              <w:rPr>
                <w:rFonts w:hint="eastAsia" w:hAnsi="Calibri" w:eastAsia="宋体"/>
                <w:b/>
                <w:color w:val="auto"/>
                <w:sz w:val="24"/>
                <w:highlight w:val="none"/>
              </w:rPr>
              <w:t>粘</w:t>
            </w:r>
            <w:r>
              <w:rPr>
                <w:rFonts w:hint="eastAsia" w:hAnsi="Calibri" w:eastAsia="宋体"/>
                <w:b/>
                <w:color w:val="auto"/>
                <w:sz w:val="24"/>
                <w:highlight w:val="none"/>
                <w:lang w:val="en-US" w:eastAsia="zh-CN"/>
              </w:rPr>
              <w:t>贴</w:t>
            </w:r>
            <w:r>
              <w:rPr>
                <w:rFonts w:hint="eastAsia" w:hAnsi="Calibri" w:eastAsia="宋体"/>
                <w:b/>
                <w:color w:val="auto"/>
                <w:sz w:val="24"/>
                <w:highlight w:val="none"/>
              </w:rPr>
              <w:t>处</w:t>
            </w:r>
            <w:r>
              <w:rPr>
                <w:rFonts w:hint="eastAsia" w:hAnsi="Calibri"/>
                <w:b/>
                <w:color w:val="auto"/>
                <w:sz w:val="24"/>
                <w:highlight w:val="none"/>
              </w:rPr>
              <w:t>（正、反面）</w:t>
            </w:r>
          </w:p>
        </w:tc>
      </w:tr>
    </w:tbl>
    <w:p w14:paraId="25144510">
      <w:pPr>
        <w:spacing w:line="520" w:lineRule="exact"/>
        <w:ind w:firstLine="880"/>
        <w:jc w:val="left"/>
        <w:rPr>
          <w:rFonts w:hint="eastAsia" w:ascii="宋体" w:hAnsi="宋体" w:cs="宋体"/>
          <w:color w:val="auto"/>
          <w:szCs w:val="21"/>
          <w:highlight w:val="none"/>
        </w:rPr>
      </w:pPr>
    </w:p>
    <w:p w14:paraId="26309CCF">
      <w:pPr>
        <w:spacing w:line="520" w:lineRule="exact"/>
        <w:ind w:firstLine="880"/>
        <w:jc w:val="left"/>
        <w:rPr>
          <w:rFonts w:hint="eastAsia" w:ascii="宋体" w:hAnsi="宋体" w:cs="宋体"/>
          <w:color w:val="auto"/>
          <w:szCs w:val="21"/>
          <w:highlight w:val="none"/>
        </w:rPr>
      </w:pPr>
    </w:p>
    <w:p w14:paraId="733D4428">
      <w:pPr>
        <w:spacing w:line="520" w:lineRule="exact"/>
        <w:ind w:firstLine="880"/>
        <w:jc w:val="left"/>
        <w:rPr>
          <w:rFonts w:hint="eastAsia" w:ascii="宋体" w:hAnsi="宋体" w:cs="宋体"/>
          <w:color w:val="auto"/>
          <w:szCs w:val="21"/>
          <w:highlight w:val="none"/>
        </w:rPr>
      </w:pPr>
    </w:p>
    <w:p w14:paraId="0A70AB8D">
      <w:pPr>
        <w:spacing w:line="520" w:lineRule="exact"/>
        <w:ind w:firstLine="880"/>
        <w:jc w:val="left"/>
        <w:rPr>
          <w:rFonts w:hint="eastAsia" w:ascii="宋体" w:hAnsi="宋体" w:cs="宋体"/>
          <w:color w:val="auto"/>
          <w:szCs w:val="21"/>
          <w:highlight w:val="none"/>
        </w:rPr>
      </w:pPr>
    </w:p>
    <w:p w14:paraId="148AFA8E">
      <w:pPr>
        <w:spacing w:line="520" w:lineRule="exact"/>
        <w:ind w:firstLine="880"/>
        <w:jc w:val="left"/>
        <w:rPr>
          <w:rFonts w:hint="eastAsia" w:ascii="宋体" w:hAnsi="宋体" w:cs="宋体"/>
          <w:color w:val="auto"/>
          <w:szCs w:val="21"/>
          <w:highlight w:val="none"/>
        </w:rPr>
      </w:pPr>
    </w:p>
    <w:p w14:paraId="1864B224">
      <w:pPr>
        <w:spacing w:line="520" w:lineRule="exact"/>
        <w:ind w:firstLine="880"/>
        <w:jc w:val="left"/>
        <w:rPr>
          <w:rFonts w:hint="eastAsia" w:ascii="宋体" w:hAnsi="宋体" w:cs="宋体"/>
          <w:color w:val="auto"/>
          <w:szCs w:val="21"/>
          <w:highlight w:val="none"/>
        </w:rPr>
      </w:pPr>
    </w:p>
    <w:p w14:paraId="64D7A920">
      <w:pPr>
        <w:spacing w:line="520" w:lineRule="exact"/>
        <w:ind w:firstLine="880"/>
        <w:jc w:val="left"/>
        <w:rPr>
          <w:rFonts w:hint="eastAsia" w:ascii="宋体" w:hAnsi="宋体" w:cs="宋体"/>
          <w:color w:val="auto"/>
          <w:szCs w:val="21"/>
          <w:highlight w:val="none"/>
        </w:rPr>
      </w:pPr>
    </w:p>
    <w:p w14:paraId="4351AD6C">
      <w:pPr>
        <w:spacing w:line="520" w:lineRule="exact"/>
        <w:ind w:firstLine="880"/>
        <w:jc w:val="left"/>
        <w:rPr>
          <w:rFonts w:hint="eastAsia" w:ascii="宋体" w:hAnsi="宋体" w:cs="宋体"/>
          <w:color w:val="auto"/>
          <w:szCs w:val="21"/>
          <w:highlight w:val="none"/>
        </w:rPr>
      </w:pPr>
    </w:p>
    <w:p w14:paraId="0DF1FAD4">
      <w:pPr>
        <w:spacing w:line="520" w:lineRule="exact"/>
        <w:ind w:firstLine="880"/>
        <w:jc w:val="left"/>
        <w:rPr>
          <w:rFonts w:hint="eastAsia" w:ascii="宋体" w:hAnsi="宋体" w:cs="宋体"/>
          <w:color w:val="auto"/>
          <w:szCs w:val="21"/>
          <w:highlight w:val="none"/>
        </w:rPr>
      </w:pPr>
    </w:p>
    <w:p w14:paraId="4032E8BC">
      <w:pPr>
        <w:spacing w:line="520" w:lineRule="exact"/>
        <w:ind w:firstLine="880"/>
        <w:jc w:val="left"/>
        <w:rPr>
          <w:rFonts w:hint="eastAsia" w:ascii="宋体" w:hAnsi="宋体" w:cs="宋体"/>
          <w:color w:val="auto"/>
          <w:szCs w:val="21"/>
          <w:highlight w:val="none"/>
        </w:rPr>
      </w:pPr>
    </w:p>
    <w:p w14:paraId="05267307">
      <w:pPr>
        <w:spacing w:line="520" w:lineRule="exact"/>
        <w:ind w:firstLine="880"/>
        <w:jc w:val="left"/>
        <w:rPr>
          <w:rFonts w:hint="eastAsia" w:ascii="宋体" w:hAnsi="宋体" w:cs="宋体"/>
          <w:color w:val="auto"/>
          <w:szCs w:val="21"/>
          <w:highlight w:val="none"/>
        </w:rPr>
      </w:pPr>
    </w:p>
    <w:p w14:paraId="178AE564">
      <w:pPr>
        <w:spacing w:line="520" w:lineRule="exact"/>
        <w:ind w:firstLine="880"/>
        <w:jc w:val="left"/>
        <w:rPr>
          <w:rFonts w:hint="eastAsia" w:ascii="宋体" w:hAnsi="宋体" w:cs="宋体"/>
          <w:color w:val="auto"/>
          <w:szCs w:val="21"/>
          <w:highlight w:val="none"/>
        </w:rPr>
      </w:pPr>
    </w:p>
    <w:p w14:paraId="0D3897DB">
      <w:pPr>
        <w:spacing w:line="520" w:lineRule="exact"/>
        <w:ind w:firstLine="880"/>
        <w:jc w:val="left"/>
        <w:rPr>
          <w:rFonts w:hint="eastAsia" w:ascii="宋体" w:hAnsi="宋体" w:cs="宋体"/>
          <w:color w:val="auto"/>
          <w:szCs w:val="21"/>
          <w:highlight w:val="none"/>
        </w:rPr>
      </w:pPr>
    </w:p>
    <w:p w14:paraId="68890AF1">
      <w:pPr>
        <w:spacing w:line="520" w:lineRule="exact"/>
        <w:ind w:firstLine="880"/>
        <w:jc w:val="left"/>
        <w:rPr>
          <w:rFonts w:hint="eastAsia" w:ascii="宋体" w:hAnsi="宋体" w:cs="宋体"/>
          <w:color w:val="auto"/>
          <w:szCs w:val="21"/>
          <w:highlight w:val="none"/>
        </w:rPr>
      </w:pPr>
    </w:p>
    <w:p w14:paraId="40E9E434">
      <w:pPr>
        <w:spacing w:line="520" w:lineRule="exact"/>
        <w:ind w:firstLine="880"/>
        <w:jc w:val="left"/>
        <w:rPr>
          <w:rFonts w:hint="eastAsia" w:ascii="宋体" w:hAnsi="宋体" w:cs="宋体"/>
          <w:color w:val="auto"/>
          <w:szCs w:val="21"/>
          <w:highlight w:val="none"/>
        </w:rPr>
      </w:pPr>
    </w:p>
    <w:p w14:paraId="54C2A185">
      <w:pPr>
        <w:spacing w:line="520" w:lineRule="exact"/>
        <w:ind w:firstLine="880"/>
        <w:jc w:val="left"/>
        <w:rPr>
          <w:rFonts w:hint="eastAsia" w:ascii="宋体" w:hAnsi="宋体" w:cs="宋体"/>
          <w:color w:val="auto"/>
          <w:szCs w:val="21"/>
          <w:highlight w:val="none"/>
        </w:rPr>
      </w:pPr>
    </w:p>
    <w:p w14:paraId="7F8F1BC5">
      <w:pPr>
        <w:spacing w:line="520" w:lineRule="exact"/>
        <w:ind w:firstLine="880"/>
        <w:jc w:val="left"/>
        <w:rPr>
          <w:rFonts w:hint="eastAsia" w:ascii="宋体" w:hAnsi="宋体" w:cs="宋体"/>
          <w:color w:val="auto"/>
          <w:szCs w:val="21"/>
          <w:highlight w:val="none"/>
        </w:rPr>
      </w:pPr>
    </w:p>
    <w:p w14:paraId="33EA064A">
      <w:pPr>
        <w:spacing w:line="520" w:lineRule="exact"/>
        <w:ind w:firstLine="880"/>
        <w:jc w:val="left"/>
        <w:rPr>
          <w:rFonts w:hint="eastAsia" w:ascii="宋体" w:hAnsi="宋体" w:cs="宋体"/>
          <w:color w:val="auto"/>
          <w:szCs w:val="21"/>
          <w:highlight w:val="none"/>
        </w:rPr>
      </w:pPr>
    </w:p>
    <w:p w14:paraId="0A2EE88C">
      <w:pPr>
        <w:spacing w:line="520" w:lineRule="exact"/>
        <w:jc w:val="left"/>
        <w:rPr>
          <w:rFonts w:eastAsia="仿宋"/>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b/>
          <w:bCs/>
          <w:color w:val="auto"/>
          <w:sz w:val="28"/>
          <w:szCs w:val="28"/>
          <w:highlight w:val="none"/>
        </w:rPr>
        <w:t>5.法定代表人授权委托书的格式：</w:t>
      </w:r>
    </w:p>
    <w:p w14:paraId="5DEF61F3">
      <w:pPr>
        <w:spacing w:line="500" w:lineRule="exact"/>
        <w:jc w:val="center"/>
        <w:rPr>
          <w:rFonts w:eastAsia="方正小标宋简体"/>
          <w:color w:val="auto"/>
          <w:sz w:val="44"/>
          <w:szCs w:val="44"/>
          <w:highlight w:val="none"/>
        </w:rPr>
      </w:pPr>
    </w:p>
    <w:p w14:paraId="666A6B39">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授权委托书（非联合体竞标格式）</w:t>
      </w:r>
    </w:p>
    <w:p w14:paraId="577B1EE5">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（如有委托时）</w:t>
      </w:r>
    </w:p>
    <w:p w14:paraId="0EE60317">
      <w:pPr>
        <w:spacing w:line="520" w:lineRule="exact"/>
        <w:rPr>
          <w:rFonts w:eastAsia="仿宋_GB2312"/>
          <w:color w:val="auto"/>
          <w:sz w:val="32"/>
          <w:szCs w:val="32"/>
          <w:highlight w:val="none"/>
        </w:rPr>
      </w:pPr>
    </w:p>
    <w:p w14:paraId="662F03F1">
      <w:pPr>
        <w:spacing w:line="360" w:lineRule="auto"/>
        <w:rPr>
          <w:color w:val="auto"/>
          <w:szCs w:val="21"/>
          <w:highlight w:val="none"/>
        </w:rPr>
      </w:pPr>
      <w:r>
        <w:rPr>
          <w:color w:val="auto"/>
          <w:szCs w:val="21"/>
          <w:highlight w:val="none"/>
        </w:rPr>
        <w:t>致：</w:t>
      </w:r>
      <w:r>
        <w:rPr>
          <w:color w:val="auto"/>
          <w:szCs w:val="21"/>
          <w:highlight w:val="none"/>
          <w:u w:val="single"/>
        </w:rPr>
        <w:t>（采购人名称）</w:t>
      </w:r>
      <w:r>
        <w:rPr>
          <w:color w:val="auto"/>
          <w:szCs w:val="21"/>
          <w:highlight w:val="none"/>
        </w:rPr>
        <w:t>：</w:t>
      </w:r>
    </w:p>
    <w:p w14:paraId="311DD88B">
      <w:pPr>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i/>
          <w:iCs/>
          <w:color w:val="auto"/>
          <w:szCs w:val="21"/>
          <w:highlight w:val="none"/>
          <w:u w:val="single"/>
        </w:rPr>
        <w:t>（姓名）</w:t>
      </w:r>
      <w:r>
        <w:rPr>
          <w:color w:val="auto"/>
          <w:szCs w:val="21"/>
          <w:highlight w:val="none"/>
          <w:u w:val="single"/>
        </w:rPr>
        <w:t xml:space="preserve">  </w:t>
      </w:r>
      <w:r>
        <w:rPr>
          <w:color w:val="auto"/>
          <w:szCs w:val="21"/>
          <w:highlight w:val="none"/>
        </w:rPr>
        <w:t>系</w:t>
      </w:r>
      <w:r>
        <w:rPr>
          <w:color w:val="auto"/>
          <w:szCs w:val="21"/>
          <w:highlight w:val="none"/>
          <w:u w:val="single"/>
        </w:rPr>
        <w:t xml:space="preserve">  </w:t>
      </w:r>
      <w:r>
        <w:rPr>
          <w:i/>
          <w:iCs/>
          <w:color w:val="auto"/>
          <w:szCs w:val="21"/>
          <w:highlight w:val="none"/>
          <w:u w:val="single"/>
        </w:rPr>
        <w:t>（供应商名称）</w:t>
      </w:r>
      <w:r>
        <w:rPr>
          <w:color w:val="auto"/>
          <w:szCs w:val="21"/>
          <w:highlight w:val="none"/>
          <w:u w:val="single"/>
        </w:rPr>
        <w:t xml:space="preserve">  </w:t>
      </w:r>
      <w:r>
        <w:rPr>
          <w:color w:val="auto"/>
          <w:szCs w:val="21"/>
          <w:highlight w:val="none"/>
        </w:rPr>
        <w:t>的（</w:t>
      </w:r>
      <w:r>
        <w:rPr>
          <w:rFonts w:hint="eastAsia" w:ascii="宋体" w:hAnsi="宋体" w:cs="宋体"/>
          <w:color w:val="auto"/>
          <w:szCs w:val="21"/>
          <w:highlight w:val="none"/>
          <w:u w:val="single"/>
        </w:rPr>
        <w:t>□</w:t>
      </w:r>
      <w:r>
        <w:rPr>
          <w:color w:val="auto"/>
          <w:szCs w:val="21"/>
          <w:highlight w:val="none"/>
          <w:u w:val="single"/>
        </w:rPr>
        <w:t>法定代表人/</w:t>
      </w:r>
      <w:r>
        <w:rPr>
          <w:rFonts w:hint="eastAsia" w:ascii="宋体" w:hAnsi="宋体" w:cs="宋体"/>
          <w:color w:val="auto"/>
          <w:szCs w:val="21"/>
          <w:highlight w:val="none"/>
          <w:u w:val="single"/>
        </w:rPr>
        <w:t>□</w:t>
      </w:r>
      <w:r>
        <w:rPr>
          <w:color w:val="auto"/>
          <w:szCs w:val="21"/>
          <w:highlight w:val="none"/>
          <w:u w:val="single"/>
        </w:rPr>
        <w:t>负责人/</w:t>
      </w:r>
      <w:r>
        <w:rPr>
          <w:rFonts w:hint="eastAsia"/>
          <w:color w:val="auto"/>
          <w:szCs w:val="21"/>
          <w:highlight w:val="none"/>
          <w:u w:val="single"/>
          <w:lang w:eastAsia="zh-CN"/>
        </w:rPr>
        <w:t>□</w:t>
      </w:r>
      <w:r>
        <w:rPr>
          <w:color w:val="auto"/>
          <w:szCs w:val="21"/>
          <w:highlight w:val="none"/>
          <w:u w:val="single"/>
        </w:rPr>
        <w:t>自然人本人</w:t>
      </w:r>
      <w:r>
        <w:rPr>
          <w:color w:val="auto"/>
          <w:szCs w:val="21"/>
          <w:highlight w:val="none"/>
        </w:rPr>
        <w:t>），现授权</w:t>
      </w:r>
      <w:r>
        <w:rPr>
          <w:color w:val="auto"/>
          <w:szCs w:val="21"/>
          <w:highlight w:val="none"/>
          <w:u w:val="single"/>
        </w:rPr>
        <w:t xml:space="preserve"> </w:t>
      </w:r>
      <w:r>
        <w:rPr>
          <w:i/>
          <w:iCs/>
          <w:color w:val="auto"/>
          <w:szCs w:val="21"/>
          <w:highlight w:val="none"/>
          <w:u w:val="single"/>
        </w:rPr>
        <w:t>（姓名）</w:t>
      </w:r>
      <w:r>
        <w:rPr>
          <w:color w:val="auto"/>
          <w:szCs w:val="21"/>
          <w:highlight w:val="none"/>
          <w:u w:val="single"/>
        </w:rPr>
        <w:t xml:space="preserve"> </w:t>
      </w:r>
      <w:r>
        <w:rPr>
          <w:color w:val="auto"/>
          <w:szCs w:val="21"/>
          <w:highlight w:val="none"/>
        </w:rPr>
        <w:t>以我方的名义参加</w:t>
      </w:r>
      <w:r>
        <w:rPr>
          <w:color w:val="auto"/>
          <w:szCs w:val="21"/>
          <w:highlight w:val="none"/>
          <w:u w:val="single"/>
        </w:rPr>
        <w:t xml:space="preserve">      </w:t>
      </w:r>
      <w:r>
        <w:rPr>
          <w:i/>
          <w:iCs/>
          <w:color w:val="auto"/>
          <w:szCs w:val="21"/>
          <w:highlight w:val="none"/>
          <w:u w:val="single"/>
        </w:rPr>
        <w:t>（项目名称）</w:t>
      </w:r>
      <w:r>
        <w:rPr>
          <w:color w:val="auto"/>
          <w:szCs w:val="21"/>
          <w:highlight w:val="none"/>
          <w:u w:val="single"/>
        </w:rPr>
        <w:t xml:space="preserve">        </w:t>
      </w:r>
      <w:r>
        <w:rPr>
          <w:color w:val="auto"/>
          <w:szCs w:val="21"/>
          <w:highlight w:val="none"/>
        </w:rPr>
        <w:t>项目的竞标活动，并代表我方全权办理针对上述项目的所有采购程序和环节的具体事务和签署相关文件。</w:t>
      </w:r>
    </w:p>
    <w:p w14:paraId="4D1FBC00">
      <w:pPr>
        <w:spacing w:line="360" w:lineRule="auto"/>
        <w:rPr>
          <w:color w:val="auto"/>
          <w:szCs w:val="21"/>
          <w:highlight w:val="none"/>
        </w:rPr>
      </w:pPr>
      <w:r>
        <w:rPr>
          <w:color w:val="auto"/>
          <w:szCs w:val="21"/>
          <w:highlight w:val="none"/>
        </w:rPr>
        <w:t xml:space="preserve">    我方对委托代理人的签字事项负全部责任。</w:t>
      </w:r>
    </w:p>
    <w:p w14:paraId="000F8F52">
      <w:pPr>
        <w:spacing w:line="360" w:lineRule="auto"/>
        <w:ind w:firstLine="420" w:firstLineChars="200"/>
        <w:rPr>
          <w:color w:val="auto"/>
          <w:szCs w:val="21"/>
          <w:highlight w:val="none"/>
        </w:rPr>
      </w:pPr>
      <w:r>
        <w:rPr>
          <w:color w:val="auto"/>
          <w:szCs w:val="21"/>
          <w:highlight w:val="none"/>
        </w:rPr>
        <w:t>本授权书自签署之日起生效，在撤销授权的书面通知以前，本授权书一直有效。委托代理人在授权书有效期内签署的所有文件不因授权的撤销而失效。</w:t>
      </w:r>
    </w:p>
    <w:p w14:paraId="2CEE5DCF">
      <w:pPr>
        <w:spacing w:line="360" w:lineRule="auto"/>
        <w:ind w:firstLine="420" w:firstLineChars="200"/>
        <w:rPr>
          <w:color w:val="auto"/>
          <w:szCs w:val="21"/>
          <w:highlight w:val="none"/>
        </w:rPr>
      </w:pPr>
      <w:r>
        <w:rPr>
          <w:color w:val="auto"/>
          <w:szCs w:val="21"/>
          <w:highlight w:val="none"/>
        </w:rPr>
        <w:t>委托代理人无转委托权，特此委托。</w:t>
      </w:r>
    </w:p>
    <w:p w14:paraId="35F702C5">
      <w:pPr>
        <w:spacing w:line="360" w:lineRule="auto"/>
        <w:ind w:firstLine="420" w:firstLineChars="200"/>
        <w:rPr>
          <w:color w:val="auto"/>
          <w:szCs w:val="21"/>
          <w:highlight w:val="none"/>
        </w:rPr>
      </w:pPr>
      <w:r>
        <w:rPr>
          <w:color w:val="auto"/>
          <w:szCs w:val="21"/>
          <w:highlight w:val="none"/>
        </w:rPr>
        <w:t>附：委托代理人有效身份证正反面复印件</w:t>
      </w:r>
    </w:p>
    <w:p w14:paraId="12F0C87D">
      <w:pPr>
        <w:spacing w:line="360" w:lineRule="auto"/>
        <w:rPr>
          <w:color w:val="auto"/>
          <w:szCs w:val="21"/>
          <w:highlight w:val="none"/>
        </w:rPr>
      </w:pPr>
    </w:p>
    <w:p w14:paraId="247BDCDA">
      <w:pPr>
        <w:spacing w:line="360" w:lineRule="auto"/>
        <w:rPr>
          <w:color w:val="auto"/>
          <w:szCs w:val="21"/>
          <w:highlight w:val="none"/>
        </w:rPr>
      </w:pPr>
      <w:r>
        <w:rPr>
          <w:color w:val="auto"/>
          <w:szCs w:val="21"/>
          <w:highlight w:val="none"/>
        </w:rPr>
        <w:t xml:space="preserve">委托代理人（签字）：         法定代表人（签字）：                    </w:t>
      </w:r>
    </w:p>
    <w:p w14:paraId="00BE5C21">
      <w:pPr>
        <w:spacing w:line="360" w:lineRule="auto"/>
        <w:rPr>
          <w:color w:val="auto"/>
          <w:szCs w:val="21"/>
          <w:highlight w:val="none"/>
        </w:rPr>
      </w:pPr>
      <w:r>
        <w:rPr>
          <w:color w:val="auto"/>
          <w:szCs w:val="21"/>
          <w:highlight w:val="none"/>
        </w:rPr>
        <w:t xml:space="preserve">委托代理人身份证号码：                              </w:t>
      </w:r>
    </w:p>
    <w:p w14:paraId="0A827CD2">
      <w:pPr>
        <w:spacing w:line="360" w:lineRule="auto"/>
        <w:rPr>
          <w:color w:val="auto"/>
          <w:szCs w:val="21"/>
          <w:highlight w:val="none"/>
        </w:rPr>
      </w:pPr>
      <w:r>
        <w:rPr>
          <w:color w:val="auto"/>
          <w:szCs w:val="21"/>
          <w:highlight w:val="none"/>
        </w:rPr>
        <w:t xml:space="preserve">                                </w:t>
      </w:r>
    </w:p>
    <w:p w14:paraId="07E5FD38">
      <w:pPr>
        <w:spacing w:line="360" w:lineRule="auto"/>
        <w:rPr>
          <w:color w:val="auto"/>
          <w:szCs w:val="21"/>
          <w:highlight w:val="none"/>
        </w:rPr>
      </w:pPr>
      <w:r>
        <w:rPr>
          <w:color w:val="auto"/>
          <w:szCs w:val="21"/>
          <w:highlight w:val="none"/>
        </w:rPr>
        <w:t xml:space="preserve">                         </w:t>
      </w:r>
      <w:r>
        <w:rPr>
          <w:color w:val="auto"/>
          <w:kern w:val="0"/>
          <w:szCs w:val="21"/>
          <w:highlight w:val="none"/>
        </w:rPr>
        <w:t>供应商名称（盖公章）：</w:t>
      </w:r>
    </w:p>
    <w:p w14:paraId="3C6750CF">
      <w:pPr>
        <w:spacing w:line="360" w:lineRule="auto"/>
        <w:contextualSpacing/>
        <w:jc w:val="center"/>
        <w:rPr>
          <w:b/>
          <w:color w:val="auto"/>
          <w:szCs w:val="21"/>
          <w:highlight w:val="none"/>
        </w:rPr>
      </w:pPr>
      <w:r>
        <w:rPr>
          <w:color w:val="auto"/>
          <w:kern w:val="0"/>
          <w:szCs w:val="21"/>
          <w:highlight w:val="none"/>
          <w:lang w:val="zh-CN"/>
        </w:rPr>
        <w:t xml:space="preserve">                                                   日期：  年  月   日</w:t>
      </w:r>
    </w:p>
    <w:p w14:paraId="0C71BFD4">
      <w:pPr>
        <w:spacing w:line="360" w:lineRule="auto"/>
        <w:rPr>
          <w:color w:val="auto"/>
          <w:szCs w:val="21"/>
          <w:highlight w:val="none"/>
        </w:rPr>
      </w:pPr>
    </w:p>
    <w:p w14:paraId="6993E354">
      <w:pPr>
        <w:spacing w:line="360" w:lineRule="auto"/>
        <w:ind w:firstLine="420" w:firstLineChars="200"/>
        <w:rPr>
          <w:color w:val="auto"/>
          <w:szCs w:val="21"/>
          <w:highlight w:val="none"/>
        </w:rPr>
      </w:pPr>
      <w:r>
        <w:rPr>
          <w:color w:val="auto"/>
          <w:szCs w:val="21"/>
          <w:highlight w:val="none"/>
        </w:rPr>
        <w:t>注：</w:t>
      </w:r>
    </w:p>
    <w:p w14:paraId="0D3C9394">
      <w:pPr>
        <w:spacing w:line="360" w:lineRule="auto"/>
        <w:ind w:firstLine="420" w:firstLineChars="200"/>
        <w:rPr>
          <w:color w:val="auto"/>
          <w:szCs w:val="21"/>
          <w:highlight w:val="none"/>
        </w:rPr>
      </w:pPr>
      <w:r>
        <w:rPr>
          <w:color w:val="auto"/>
          <w:szCs w:val="21"/>
          <w:highlight w:val="none"/>
        </w:rPr>
        <w:t>1. 法定代表人和委托代理人必须在授权委托书上签字，</w:t>
      </w:r>
      <w:r>
        <w:rPr>
          <w:b/>
          <w:color w:val="auto"/>
          <w:szCs w:val="21"/>
          <w:highlight w:val="none"/>
        </w:rPr>
        <w:t>否则其响应文件按无效响应处理。</w:t>
      </w:r>
    </w:p>
    <w:p w14:paraId="64FC07CB">
      <w:pPr>
        <w:spacing w:line="360" w:lineRule="auto"/>
        <w:ind w:firstLine="420" w:firstLineChars="200"/>
        <w:jc w:val="left"/>
        <w:rPr>
          <w:color w:val="auto"/>
          <w:szCs w:val="21"/>
          <w:highlight w:val="none"/>
        </w:r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E33A06D">
      <w:pPr>
        <w:spacing w:line="360" w:lineRule="auto"/>
        <w:ind w:firstLine="420" w:firstLineChars="200"/>
        <w:jc w:val="left"/>
        <w:rPr>
          <w:color w:val="auto"/>
          <w:szCs w:val="21"/>
          <w:highlight w:val="none"/>
        </w:rPr>
      </w:pPr>
      <w:r>
        <w:rPr>
          <w:color w:val="auto"/>
          <w:szCs w:val="21"/>
          <w:highlight w:val="none"/>
        </w:rPr>
        <w:t>3. 法人、其他组织竞标时</w:t>
      </w:r>
      <w:r>
        <w:rPr>
          <w:rFonts w:hint="eastAsia"/>
          <w:color w:val="auto"/>
          <w:szCs w:val="21"/>
          <w:highlight w:val="none"/>
          <w:lang w:eastAsia="zh-CN"/>
        </w:rPr>
        <w:t>“</w:t>
      </w:r>
      <w:r>
        <w:rPr>
          <w:color w:val="auto"/>
          <w:szCs w:val="21"/>
          <w:highlight w:val="none"/>
        </w:rPr>
        <w:t>我方</w:t>
      </w:r>
      <w:r>
        <w:rPr>
          <w:rFonts w:hint="eastAsia"/>
          <w:color w:val="auto"/>
          <w:szCs w:val="21"/>
          <w:highlight w:val="none"/>
          <w:lang w:eastAsia="zh-CN"/>
        </w:rPr>
        <w:t>”</w:t>
      </w:r>
      <w:r>
        <w:rPr>
          <w:color w:val="auto"/>
          <w:szCs w:val="21"/>
          <w:highlight w:val="none"/>
        </w:rPr>
        <w:t>是指</w:t>
      </w:r>
      <w:r>
        <w:rPr>
          <w:rFonts w:hint="eastAsia"/>
          <w:color w:val="auto"/>
          <w:szCs w:val="21"/>
          <w:highlight w:val="none"/>
          <w:lang w:eastAsia="zh-CN"/>
        </w:rPr>
        <w:t>“</w:t>
      </w:r>
      <w:r>
        <w:rPr>
          <w:color w:val="auto"/>
          <w:szCs w:val="21"/>
          <w:highlight w:val="none"/>
        </w:rPr>
        <w:t>我单位</w:t>
      </w:r>
      <w:r>
        <w:rPr>
          <w:rFonts w:hint="eastAsia"/>
          <w:color w:val="auto"/>
          <w:szCs w:val="21"/>
          <w:highlight w:val="none"/>
          <w:lang w:eastAsia="zh-CN"/>
        </w:rPr>
        <w:t>”</w:t>
      </w:r>
      <w:r>
        <w:rPr>
          <w:color w:val="auto"/>
          <w:szCs w:val="21"/>
          <w:highlight w:val="none"/>
        </w:rPr>
        <w:t>，自然人竞标时</w:t>
      </w:r>
      <w:r>
        <w:rPr>
          <w:rFonts w:hint="eastAsia"/>
          <w:color w:val="auto"/>
          <w:szCs w:val="21"/>
          <w:highlight w:val="none"/>
          <w:lang w:eastAsia="zh-CN"/>
        </w:rPr>
        <w:t>“</w:t>
      </w:r>
      <w:r>
        <w:rPr>
          <w:color w:val="auto"/>
          <w:szCs w:val="21"/>
          <w:highlight w:val="none"/>
        </w:rPr>
        <w:t>我方</w:t>
      </w:r>
      <w:r>
        <w:rPr>
          <w:rFonts w:hint="eastAsia"/>
          <w:color w:val="auto"/>
          <w:szCs w:val="21"/>
          <w:highlight w:val="none"/>
          <w:lang w:eastAsia="zh-CN"/>
        </w:rPr>
        <w:t>”</w:t>
      </w:r>
      <w:r>
        <w:rPr>
          <w:color w:val="auto"/>
          <w:szCs w:val="21"/>
          <w:highlight w:val="none"/>
        </w:rPr>
        <w:t>是指</w:t>
      </w:r>
      <w:r>
        <w:rPr>
          <w:rFonts w:hint="eastAsia"/>
          <w:color w:val="auto"/>
          <w:szCs w:val="21"/>
          <w:highlight w:val="none"/>
          <w:lang w:eastAsia="zh-CN"/>
        </w:rPr>
        <w:t>“</w:t>
      </w:r>
      <w:r>
        <w:rPr>
          <w:color w:val="auto"/>
          <w:szCs w:val="21"/>
          <w:highlight w:val="none"/>
        </w:rPr>
        <w:t>本人</w:t>
      </w:r>
      <w:r>
        <w:rPr>
          <w:rFonts w:hint="eastAsia"/>
          <w:color w:val="auto"/>
          <w:szCs w:val="21"/>
          <w:highlight w:val="none"/>
          <w:lang w:eastAsia="zh-CN"/>
        </w:rPr>
        <w:t>”</w:t>
      </w:r>
      <w:r>
        <w:rPr>
          <w:color w:val="auto"/>
          <w:szCs w:val="21"/>
          <w:highlight w:val="none"/>
        </w:rPr>
        <w:t>。</w:t>
      </w:r>
    </w:p>
    <w:p w14:paraId="2F29D3FA">
      <w:pPr>
        <w:spacing w:line="500" w:lineRule="exact"/>
        <w:jc w:val="center"/>
        <w:rPr>
          <w:rFonts w:hint="eastAsia"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14:paraId="11648E08">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3F3F55BD">
      <w:pPr>
        <w:spacing w:line="500" w:lineRule="exact"/>
        <w:jc w:val="center"/>
        <w:rPr>
          <w:rFonts w:ascii="方正小标宋简体" w:hAnsi="方正小标宋简体" w:eastAsia="方正小标宋简体" w:cs="方正小标宋简体"/>
          <w:color w:val="auto"/>
          <w:sz w:val="44"/>
          <w:szCs w:val="44"/>
          <w:highlight w:val="none"/>
        </w:rPr>
      </w:pPr>
    </w:p>
    <w:p w14:paraId="43A99830">
      <w:pPr>
        <w:spacing w:line="500" w:lineRule="exact"/>
        <w:jc w:val="center"/>
        <w:rPr>
          <w:rFonts w:hint="eastAsia" w:ascii="仿宋_GB2312" w:hAnsi="仿宋_GB2312" w:eastAsia="仿宋_GB2312" w:cs="仿宋_GB2312"/>
          <w:color w:val="auto"/>
          <w:sz w:val="32"/>
          <w:szCs w:val="32"/>
          <w:highlight w:val="none"/>
        </w:rPr>
      </w:pPr>
    </w:p>
    <w:p w14:paraId="6EFEDDD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（联合体其他成员名称）签订的《联合体竞标协议书》的内容，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（姓名）</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 xml:space="preserve"> （姓名）</w:t>
      </w:r>
      <w:r>
        <w:rPr>
          <w:rFonts w:hint="eastAsia" w:ascii="宋体" w:hAnsi="宋体" w:cs="宋体"/>
          <w:color w:val="auto"/>
          <w:szCs w:val="21"/>
          <w:highlight w:val="none"/>
        </w:rPr>
        <w:t>为联合委托代理人，并代表我方全权办理针对上述项目的所有采购程序和环节的具体事务和签署相关文件。</w:t>
      </w:r>
    </w:p>
    <w:p w14:paraId="6EB012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13377A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1B05DA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48D91F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D316728">
      <w:pPr>
        <w:spacing w:line="360" w:lineRule="auto"/>
        <w:ind w:firstLine="1365" w:firstLineChars="650"/>
        <w:rPr>
          <w:rFonts w:hint="eastAsia" w:ascii="宋体" w:hAnsi="宋体" w:cs="宋体"/>
          <w:color w:val="auto"/>
          <w:szCs w:val="21"/>
          <w:highlight w:val="none"/>
        </w:rPr>
      </w:pPr>
      <w:r>
        <w:rPr>
          <w:rFonts w:hint="eastAsia" w:ascii="宋体" w:hAnsi="宋体" w:cs="宋体"/>
          <w:color w:val="auto"/>
          <w:szCs w:val="21"/>
          <w:highlight w:val="none"/>
        </w:rPr>
        <w:t>牵头人法定代表人（签字）：</w:t>
      </w:r>
    </w:p>
    <w:p w14:paraId="05E02220">
      <w:pPr>
        <w:spacing w:line="360" w:lineRule="auto"/>
        <w:ind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牵头人名称（盖公章）：</w:t>
      </w:r>
    </w:p>
    <w:p w14:paraId="48FCA3C0">
      <w:pPr>
        <w:spacing w:line="360" w:lineRule="auto"/>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DB39574">
      <w:pPr>
        <w:spacing w:line="360" w:lineRule="auto"/>
        <w:rPr>
          <w:rFonts w:hint="eastAsia" w:ascii="宋体" w:hAnsi="宋体" w:cs="宋体"/>
          <w:color w:val="auto"/>
          <w:szCs w:val="21"/>
          <w:highlight w:val="none"/>
        </w:rPr>
      </w:pPr>
    </w:p>
    <w:p w14:paraId="0F5C8B57">
      <w:pPr>
        <w:spacing w:line="360" w:lineRule="auto"/>
        <w:ind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委托代理人（签字）：</w:t>
      </w:r>
    </w:p>
    <w:p w14:paraId="55F476D5">
      <w:pPr>
        <w:spacing w:line="360" w:lineRule="auto"/>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26F837FF">
      <w:pPr>
        <w:spacing w:line="360" w:lineRule="auto"/>
        <w:rPr>
          <w:rFonts w:hint="eastAsia" w:ascii="宋体" w:hAnsi="宋体" w:cs="宋体"/>
          <w:color w:val="auto"/>
          <w:szCs w:val="21"/>
          <w:highlight w:val="none"/>
        </w:rPr>
      </w:pPr>
    </w:p>
    <w:p w14:paraId="226A35B3">
      <w:pPr>
        <w:spacing w:line="360" w:lineRule="auto"/>
        <w:ind w:firstLine="420" w:firstLineChars="200"/>
        <w:rPr>
          <w:color w:val="auto"/>
          <w:szCs w:val="21"/>
          <w:highlight w:val="none"/>
        </w:rPr>
      </w:pPr>
      <w:r>
        <w:rPr>
          <w:color w:val="auto"/>
          <w:szCs w:val="21"/>
          <w:highlight w:val="none"/>
        </w:rPr>
        <w:t>注：</w:t>
      </w:r>
    </w:p>
    <w:p w14:paraId="5A7A04CD">
      <w:pPr>
        <w:spacing w:line="360" w:lineRule="auto"/>
        <w:ind w:firstLine="420" w:firstLineChars="200"/>
        <w:rPr>
          <w:color w:val="auto"/>
          <w:szCs w:val="21"/>
          <w:highlight w:val="none"/>
        </w:rPr>
      </w:pPr>
      <w:r>
        <w:rPr>
          <w:color w:val="auto"/>
          <w:szCs w:val="21"/>
          <w:highlight w:val="none"/>
        </w:rPr>
        <w:t>1. 法定代表人和委托代理人必须在授权委托书上签字，</w:t>
      </w:r>
      <w:r>
        <w:rPr>
          <w:b/>
          <w:color w:val="auto"/>
          <w:szCs w:val="21"/>
          <w:highlight w:val="none"/>
        </w:rPr>
        <w:t>否则其响应文件按无效响应处理。</w:t>
      </w:r>
    </w:p>
    <w:p w14:paraId="4586EF66">
      <w:pPr>
        <w:spacing w:line="360" w:lineRule="auto"/>
        <w:ind w:firstLine="420" w:firstLineChars="200"/>
        <w:jc w:val="left"/>
        <w:rPr>
          <w:color w:val="auto"/>
          <w:szCs w:val="21"/>
          <w:highlight w:val="none"/>
        </w:rPr>
      </w:pPr>
      <w:r>
        <w:rPr>
          <w:color w:val="auto"/>
          <w:szCs w:val="21"/>
          <w:highlight w:val="none"/>
        </w:rPr>
        <w:t>2.本授权委托书应由联合体牵头人的法定代表人按上述规定签署。</w:t>
      </w:r>
    </w:p>
    <w:p w14:paraId="1DA3CE48">
      <w:pPr>
        <w:spacing w:line="360" w:lineRule="auto"/>
        <w:ind w:firstLine="420" w:firstLineChars="200"/>
        <w:jc w:val="left"/>
        <w:rPr>
          <w:color w:val="auto"/>
          <w:szCs w:val="21"/>
          <w:highlight w:val="none"/>
        </w:rPr>
      </w:pPr>
      <w:r>
        <w:rPr>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932425C">
      <w:pPr>
        <w:spacing w:line="360" w:lineRule="auto"/>
        <w:ind w:firstLine="420" w:firstLineChars="200"/>
        <w:jc w:val="left"/>
        <w:rPr>
          <w:color w:val="auto"/>
          <w:szCs w:val="21"/>
          <w:highlight w:val="none"/>
        </w:rPr>
      </w:pPr>
      <w:r>
        <w:rPr>
          <w:color w:val="auto"/>
          <w:szCs w:val="21"/>
          <w:highlight w:val="none"/>
        </w:rPr>
        <w:t>4.法人、其他组织竞标时</w:t>
      </w:r>
      <w:r>
        <w:rPr>
          <w:rFonts w:hint="eastAsia"/>
          <w:color w:val="auto"/>
          <w:szCs w:val="21"/>
          <w:highlight w:val="none"/>
          <w:lang w:eastAsia="zh-CN"/>
        </w:rPr>
        <w:t>“</w:t>
      </w:r>
      <w:r>
        <w:rPr>
          <w:color w:val="auto"/>
          <w:szCs w:val="21"/>
          <w:highlight w:val="none"/>
        </w:rPr>
        <w:t>我方</w:t>
      </w:r>
      <w:r>
        <w:rPr>
          <w:rFonts w:hint="eastAsia"/>
          <w:color w:val="auto"/>
          <w:szCs w:val="21"/>
          <w:highlight w:val="none"/>
          <w:lang w:eastAsia="zh-CN"/>
        </w:rPr>
        <w:t>”</w:t>
      </w:r>
      <w:r>
        <w:rPr>
          <w:color w:val="auto"/>
          <w:szCs w:val="21"/>
          <w:highlight w:val="none"/>
        </w:rPr>
        <w:t>是指</w:t>
      </w:r>
      <w:r>
        <w:rPr>
          <w:rFonts w:hint="eastAsia"/>
          <w:color w:val="auto"/>
          <w:szCs w:val="21"/>
          <w:highlight w:val="none"/>
          <w:lang w:eastAsia="zh-CN"/>
        </w:rPr>
        <w:t>“</w:t>
      </w:r>
      <w:r>
        <w:rPr>
          <w:color w:val="auto"/>
          <w:szCs w:val="21"/>
          <w:highlight w:val="none"/>
        </w:rPr>
        <w:t>我单位</w:t>
      </w:r>
      <w:r>
        <w:rPr>
          <w:rFonts w:hint="eastAsia"/>
          <w:color w:val="auto"/>
          <w:szCs w:val="21"/>
          <w:highlight w:val="none"/>
          <w:lang w:eastAsia="zh-CN"/>
        </w:rPr>
        <w:t>”</w:t>
      </w:r>
      <w:r>
        <w:rPr>
          <w:color w:val="auto"/>
          <w:szCs w:val="21"/>
          <w:highlight w:val="none"/>
        </w:rPr>
        <w:t>，自然人竞标时</w:t>
      </w:r>
      <w:r>
        <w:rPr>
          <w:rFonts w:hint="eastAsia"/>
          <w:color w:val="auto"/>
          <w:szCs w:val="21"/>
          <w:highlight w:val="none"/>
          <w:lang w:eastAsia="zh-CN"/>
        </w:rPr>
        <w:t>“</w:t>
      </w:r>
      <w:r>
        <w:rPr>
          <w:color w:val="auto"/>
          <w:szCs w:val="21"/>
          <w:highlight w:val="none"/>
        </w:rPr>
        <w:t>我方</w:t>
      </w:r>
      <w:r>
        <w:rPr>
          <w:rFonts w:hint="eastAsia"/>
          <w:color w:val="auto"/>
          <w:szCs w:val="21"/>
          <w:highlight w:val="none"/>
          <w:lang w:eastAsia="zh-CN"/>
        </w:rPr>
        <w:t>”</w:t>
      </w:r>
      <w:r>
        <w:rPr>
          <w:color w:val="auto"/>
          <w:szCs w:val="21"/>
          <w:highlight w:val="none"/>
        </w:rPr>
        <w:t>是指</w:t>
      </w:r>
      <w:r>
        <w:rPr>
          <w:rFonts w:hint="eastAsia"/>
          <w:color w:val="auto"/>
          <w:szCs w:val="21"/>
          <w:highlight w:val="none"/>
          <w:lang w:eastAsia="zh-CN"/>
        </w:rPr>
        <w:t>“</w:t>
      </w:r>
      <w:r>
        <w:rPr>
          <w:color w:val="auto"/>
          <w:szCs w:val="21"/>
          <w:highlight w:val="none"/>
        </w:rPr>
        <w:t>本人</w:t>
      </w:r>
      <w:r>
        <w:rPr>
          <w:rFonts w:hint="eastAsia"/>
          <w:color w:val="auto"/>
          <w:szCs w:val="21"/>
          <w:highlight w:val="none"/>
          <w:lang w:eastAsia="zh-CN"/>
        </w:rPr>
        <w:t>”</w:t>
      </w:r>
      <w:r>
        <w:rPr>
          <w:color w:val="auto"/>
          <w:szCs w:val="21"/>
          <w:highlight w:val="none"/>
        </w:rPr>
        <w:t>。</w:t>
      </w:r>
    </w:p>
    <w:p w14:paraId="4E2F915E">
      <w:pPr>
        <w:spacing w:line="360" w:lineRule="auto"/>
        <w:ind w:firstLine="420" w:firstLineChars="200"/>
        <w:jc w:val="left"/>
        <w:rPr>
          <w:rFonts w:hint="eastAsia" w:ascii="仿宋_GB2312" w:hAnsi="仿宋_GB2312" w:eastAsia="仿宋_GB2312" w:cs="仿宋_GB2312"/>
          <w:color w:val="auto"/>
          <w:szCs w:val="21"/>
          <w:highlight w:val="none"/>
        </w:rPr>
      </w:pPr>
    </w:p>
    <w:p w14:paraId="748622EE">
      <w:pPr>
        <w:spacing w:line="520" w:lineRule="exact"/>
        <w:jc w:val="left"/>
        <w:rPr>
          <w:rFonts w:eastAsia="仿宋"/>
          <w:b/>
          <w:color w:val="auto"/>
          <w:sz w:val="30"/>
          <w:szCs w:val="30"/>
          <w:highlight w:val="none"/>
        </w:rPr>
      </w:pPr>
      <w:r>
        <w:rPr>
          <w:rFonts w:hint="eastAsia" w:ascii="仿宋_GB2312" w:hAnsi="仿宋_GB2312" w:eastAsia="仿宋_GB2312" w:cs="仿宋_GB2312"/>
          <w:color w:val="auto"/>
          <w:sz w:val="32"/>
          <w:szCs w:val="32"/>
          <w:highlight w:val="none"/>
        </w:rPr>
        <w:br w:type="page"/>
      </w:r>
      <w:r>
        <w:rPr>
          <w:b/>
          <w:color w:val="auto"/>
          <w:sz w:val="28"/>
          <w:szCs w:val="28"/>
          <w:highlight w:val="none"/>
        </w:rPr>
        <w:t>6.商务条款偏离表的格式：</w:t>
      </w:r>
    </w:p>
    <w:p w14:paraId="33F4BCCE">
      <w:pPr>
        <w:pStyle w:val="20"/>
        <w:rPr>
          <w:color w:val="auto"/>
          <w:highlight w:val="none"/>
          <w:lang w:eastAsia="zh-CN"/>
        </w:rPr>
      </w:pPr>
    </w:p>
    <w:p w14:paraId="1CDAD351">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商务条款偏离表</w:t>
      </w:r>
    </w:p>
    <w:p w14:paraId="242B299D">
      <w:pPr>
        <w:spacing w:line="520" w:lineRule="exact"/>
        <w:rPr>
          <w:color w:val="auto"/>
          <w:sz w:val="32"/>
          <w:szCs w:val="32"/>
          <w:highlight w:val="none"/>
        </w:rPr>
      </w:pPr>
    </w:p>
    <w:p w14:paraId="23FC787F">
      <w:pPr>
        <w:spacing w:line="360" w:lineRule="auto"/>
        <w:contextualSpacing/>
        <w:rPr>
          <w:color w:val="auto"/>
          <w:szCs w:val="21"/>
          <w:highlight w:val="none"/>
          <w:u w:val="single"/>
        </w:rPr>
      </w:pPr>
      <w:r>
        <w:rPr>
          <w:color w:val="auto"/>
          <w:szCs w:val="21"/>
          <w:highlight w:val="none"/>
        </w:rPr>
        <w:t>项目名称：</w:t>
      </w:r>
      <w:r>
        <w:rPr>
          <w:color w:val="auto"/>
          <w:szCs w:val="21"/>
          <w:highlight w:val="none"/>
          <w:u w:val="single"/>
        </w:rPr>
        <w:t xml:space="preserve">                 </w:t>
      </w:r>
    </w:p>
    <w:p w14:paraId="6351C2FA">
      <w:pPr>
        <w:spacing w:line="360" w:lineRule="auto"/>
        <w:contextualSpacing/>
        <w:rPr>
          <w:color w:val="auto"/>
          <w:szCs w:val="21"/>
          <w:highlight w:val="none"/>
        </w:rPr>
      </w:pPr>
      <w:r>
        <w:rPr>
          <w:color w:val="auto"/>
          <w:szCs w:val="21"/>
          <w:highlight w:val="none"/>
        </w:rPr>
        <w:t>项目编号：</w:t>
      </w:r>
      <w:r>
        <w:rPr>
          <w:color w:val="auto"/>
          <w:szCs w:val="21"/>
          <w:highlight w:val="none"/>
          <w:u w:val="single"/>
        </w:rPr>
        <w:t xml:space="preserve">                 </w:t>
      </w:r>
    </w:p>
    <w:p w14:paraId="2AADEAFD">
      <w:pPr>
        <w:spacing w:line="360" w:lineRule="auto"/>
        <w:contextualSpacing/>
        <w:rPr>
          <w:color w:val="auto"/>
          <w:szCs w:val="21"/>
          <w:highlight w:val="none"/>
          <w:u w:val="single"/>
        </w:rPr>
      </w:pPr>
      <w:r>
        <w:rPr>
          <w:color w:val="auto"/>
          <w:szCs w:val="21"/>
          <w:highlight w:val="none"/>
        </w:rPr>
        <w:t>所竞分标（如有则填写，无分标时填写</w:t>
      </w:r>
      <w:r>
        <w:rPr>
          <w:rFonts w:hint="eastAsia"/>
          <w:color w:val="auto"/>
          <w:szCs w:val="21"/>
          <w:highlight w:val="none"/>
          <w:lang w:eastAsia="zh-CN"/>
        </w:rPr>
        <w:t>“</w:t>
      </w:r>
      <w:r>
        <w:rPr>
          <w:color w:val="auto"/>
          <w:szCs w:val="21"/>
          <w:highlight w:val="none"/>
        </w:rPr>
        <w:t>无</w:t>
      </w:r>
      <w:r>
        <w:rPr>
          <w:rFonts w:hint="eastAsia"/>
          <w:color w:val="auto"/>
          <w:szCs w:val="21"/>
          <w:highlight w:val="none"/>
          <w:lang w:eastAsia="zh-CN"/>
        </w:rPr>
        <w:t>”</w:t>
      </w:r>
      <w:r>
        <w:rPr>
          <w:color w:val="auto"/>
          <w:szCs w:val="21"/>
          <w:highlight w:val="none"/>
        </w:rPr>
        <w:t>或者留空）：</w:t>
      </w:r>
      <w:r>
        <w:rPr>
          <w:color w:val="auto"/>
          <w:szCs w:val="21"/>
          <w:highlight w:val="none"/>
          <w:u w:val="single"/>
        </w:rPr>
        <w:t xml:space="preserve">                </w:t>
      </w:r>
    </w:p>
    <w:tbl>
      <w:tblPr>
        <w:tblStyle w:val="28"/>
        <w:tblpPr w:leftFromText="180" w:rightFromText="180" w:vertAnchor="text" w:horzAnchor="margin" w:tblpY="21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2CE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DF37679">
            <w:pPr>
              <w:spacing w:line="340" w:lineRule="exact"/>
              <w:jc w:val="center"/>
              <w:rPr>
                <w:color w:val="auto"/>
                <w:szCs w:val="21"/>
                <w:highlight w:val="none"/>
              </w:rPr>
            </w:pPr>
            <w:r>
              <w:rPr>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ACEE3DA">
            <w:pPr>
              <w:spacing w:line="340" w:lineRule="exact"/>
              <w:jc w:val="center"/>
              <w:rPr>
                <w:rFonts w:hint="eastAsia" w:eastAsia="宋体"/>
                <w:color w:val="auto"/>
                <w:szCs w:val="21"/>
                <w:highlight w:val="none"/>
                <w:lang w:eastAsia="zh-CN"/>
              </w:rPr>
            </w:pPr>
            <w:r>
              <w:rPr>
                <w:color w:val="auto"/>
                <w:szCs w:val="21"/>
                <w:highlight w:val="none"/>
              </w:rPr>
              <w:t>竞争性磋商文件的商务</w:t>
            </w:r>
            <w:r>
              <w:rPr>
                <w:rFonts w:hint="eastAsia"/>
                <w:color w:val="auto"/>
                <w:szCs w:val="21"/>
                <w:highlight w:val="none"/>
                <w:lang w:eastAsia="zh-CN"/>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326D5F61">
            <w:pPr>
              <w:spacing w:line="340" w:lineRule="exact"/>
              <w:jc w:val="center"/>
              <w:rPr>
                <w:color w:val="auto"/>
                <w:szCs w:val="21"/>
                <w:highlight w:val="none"/>
              </w:rPr>
            </w:pPr>
            <w:r>
              <w:rPr>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39EF128">
            <w:pPr>
              <w:spacing w:line="340" w:lineRule="exact"/>
              <w:jc w:val="center"/>
              <w:rPr>
                <w:color w:val="auto"/>
                <w:szCs w:val="21"/>
                <w:highlight w:val="none"/>
              </w:rPr>
            </w:pPr>
            <w:r>
              <w:rPr>
                <w:color w:val="auto"/>
                <w:szCs w:val="21"/>
                <w:highlight w:val="none"/>
              </w:rPr>
              <w:t>偏离说明</w:t>
            </w:r>
          </w:p>
        </w:tc>
      </w:tr>
      <w:tr w14:paraId="004B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7EB00E7">
            <w:pPr>
              <w:spacing w:line="340" w:lineRule="exact"/>
              <w:jc w:val="center"/>
              <w:rPr>
                <w:rFonts w:hint="eastAsia"/>
                <w:color w:val="auto"/>
                <w:szCs w:val="21"/>
                <w:highlight w:val="none"/>
              </w:rPr>
            </w:pPr>
            <w:r>
              <w:rPr>
                <w:rFonts w:hint="eastAsia"/>
                <w:color w:val="auto"/>
                <w:szCs w:val="21"/>
                <w:highlight w:val="none"/>
              </w:rPr>
              <w:t>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0E27B00">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3171C4A">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081A143">
            <w:pPr>
              <w:spacing w:line="300" w:lineRule="exact"/>
              <w:rPr>
                <w:color w:val="auto"/>
                <w:szCs w:val="21"/>
                <w:highlight w:val="none"/>
              </w:rPr>
            </w:pPr>
          </w:p>
        </w:tc>
      </w:tr>
      <w:tr w14:paraId="126E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56E000B">
            <w:pPr>
              <w:spacing w:line="340" w:lineRule="exact"/>
              <w:jc w:val="center"/>
              <w:rPr>
                <w:rFonts w:hint="eastAsia"/>
                <w:color w:val="auto"/>
                <w:szCs w:val="21"/>
                <w:highlight w:val="none"/>
              </w:rPr>
            </w:pPr>
            <w:r>
              <w:rPr>
                <w:rFonts w:hint="eastAsia"/>
                <w:color w:val="auto"/>
                <w:szCs w:val="21"/>
                <w:highlight w:val="none"/>
              </w:rPr>
              <w:t>2</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C2A8114">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131B555">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C819676">
            <w:pPr>
              <w:spacing w:line="300" w:lineRule="exact"/>
              <w:rPr>
                <w:color w:val="auto"/>
                <w:szCs w:val="21"/>
                <w:highlight w:val="none"/>
              </w:rPr>
            </w:pPr>
          </w:p>
        </w:tc>
      </w:tr>
      <w:tr w14:paraId="1FE6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F00FDFF">
            <w:pPr>
              <w:spacing w:line="340" w:lineRule="exact"/>
              <w:jc w:val="center"/>
              <w:rPr>
                <w:rFonts w:hint="eastAsia"/>
                <w:color w:val="auto"/>
                <w:szCs w:val="21"/>
                <w:highlight w:val="none"/>
              </w:rPr>
            </w:pPr>
            <w:r>
              <w:rPr>
                <w:rFonts w:hint="eastAsia"/>
                <w:color w:val="auto"/>
                <w:szCs w:val="21"/>
                <w:highlight w:val="none"/>
              </w:rPr>
              <w:t>3</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67F1CE9">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AC93D88">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77CC015">
            <w:pPr>
              <w:spacing w:line="300" w:lineRule="exact"/>
              <w:rPr>
                <w:color w:val="auto"/>
                <w:szCs w:val="21"/>
                <w:highlight w:val="none"/>
              </w:rPr>
            </w:pPr>
          </w:p>
        </w:tc>
      </w:tr>
      <w:tr w14:paraId="2405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A8A345C">
            <w:pPr>
              <w:spacing w:line="340" w:lineRule="exact"/>
              <w:jc w:val="center"/>
              <w:rPr>
                <w:rFonts w:hint="eastAsia"/>
                <w:color w:val="auto"/>
                <w:szCs w:val="21"/>
                <w:highlight w:val="none"/>
              </w:rPr>
            </w:pPr>
            <w:r>
              <w:rPr>
                <w:rFonts w:hint="eastAsia"/>
                <w:color w:val="auto"/>
                <w:szCs w:val="21"/>
                <w:highlight w:val="none"/>
              </w:rPr>
              <w:t>4</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84E9A7D">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28BA357">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B17874">
            <w:pPr>
              <w:spacing w:line="300" w:lineRule="exact"/>
              <w:rPr>
                <w:color w:val="auto"/>
                <w:szCs w:val="21"/>
                <w:highlight w:val="none"/>
              </w:rPr>
            </w:pPr>
          </w:p>
        </w:tc>
      </w:tr>
      <w:tr w14:paraId="023A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06F9978">
            <w:pPr>
              <w:spacing w:line="340" w:lineRule="exact"/>
              <w:jc w:val="center"/>
              <w:rPr>
                <w:rFonts w:hint="eastAsia"/>
                <w:color w:val="auto"/>
                <w:szCs w:val="21"/>
                <w:highlight w:val="none"/>
              </w:rPr>
            </w:pPr>
            <w:r>
              <w:rPr>
                <w:rFonts w:hint="eastAsia"/>
                <w:color w:val="auto"/>
                <w:szCs w:val="21"/>
                <w:highlight w:val="none"/>
              </w:rPr>
              <w:t>5</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014143A">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A3ADB7E">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E6FFDA9">
            <w:pPr>
              <w:spacing w:line="300" w:lineRule="exact"/>
              <w:rPr>
                <w:color w:val="auto"/>
                <w:szCs w:val="21"/>
                <w:highlight w:val="none"/>
              </w:rPr>
            </w:pPr>
          </w:p>
        </w:tc>
      </w:tr>
      <w:tr w14:paraId="7C78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65E7853">
            <w:pPr>
              <w:spacing w:line="340" w:lineRule="exact"/>
              <w:jc w:val="center"/>
              <w:rPr>
                <w:rFonts w:hint="eastAsia"/>
                <w:color w:val="auto"/>
                <w:szCs w:val="21"/>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10CE0EC">
            <w:pPr>
              <w:spacing w:line="340" w:lineRule="exact"/>
              <w:rPr>
                <w:color w:val="auto"/>
                <w:szCs w:val="21"/>
                <w:highlight w:val="none"/>
              </w:rPr>
            </w:pPr>
            <w:r>
              <w:rPr>
                <w:rFonts w:hint="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EBC11D6">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3FECAF6">
            <w:pPr>
              <w:spacing w:line="300" w:lineRule="exact"/>
              <w:rPr>
                <w:color w:val="auto"/>
                <w:szCs w:val="21"/>
                <w:highlight w:val="none"/>
              </w:rPr>
            </w:pPr>
          </w:p>
        </w:tc>
      </w:tr>
    </w:tbl>
    <w:p w14:paraId="2DFE299A">
      <w:pPr>
        <w:pStyle w:val="14"/>
        <w:spacing w:line="400" w:lineRule="exact"/>
        <w:ind w:firstLine="0" w:firstLineChars="0"/>
        <w:contextualSpacing/>
        <w:rPr>
          <w:rFonts w:ascii="Times New Roman" w:eastAsia="宋体"/>
          <w:color w:val="auto"/>
          <w:sz w:val="21"/>
          <w:szCs w:val="21"/>
          <w:highlight w:val="none"/>
        </w:rPr>
      </w:pPr>
      <w:r>
        <w:rPr>
          <w:rFonts w:ascii="Times New Roman" w:eastAsia="宋体"/>
          <w:color w:val="auto"/>
          <w:sz w:val="21"/>
          <w:szCs w:val="21"/>
          <w:highlight w:val="none"/>
        </w:rPr>
        <w:t>注：</w:t>
      </w:r>
    </w:p>
    <w:p w14:paraId="20BA0B97">
      <w:pPr>
        <w:pStyle w:val="14"/>
        <w:spacing w:line="400" w:lineRule="exact"/>
        <w:ind w:firstLine="420" w:firstLineChars="200"/>
        <w:contextualSpacing/>
        <w:rPr>
          <w:rFonts w:ascii="宋体" w:hAnsi="宋体" w:eastAsia="宋体"/>
          <w:color w:val="auto"/>
          <w:sz w:val="21"/>
          <w:szCs w:val="21"/>
          <w:highlight w:val="none"/>
        </w:rPr>
      </w:pPr>
      <w:r>
        <w:rPr>
          <w:rFonts w:ascii="宋体" w:hAnsi="宋体" w:eastAsia="宋体"/>
          <w:color w:val="auto"/>
          <w:sz w:val="21"/>
          <w:szCs w:val="21"/>
          <w:highlight w:val="none"/>
        </w:rPr>
        <w:t>1.应对照磋商文件“第二章 采购需求”中的商务条款逐条作出明确响应，并作出偏离说明。</w:t>
      </w:r>
    </w:p>
    <w:p w14:paraId="2142A765">
      <w:pPr>
        <w:pStyle w:val="14"/>
        <w:spacing w:line="400" w:lineRule="exact"/>
        <w:ind w:firstLine="420" w:firstLineChars="200"/>
        <w:contextualSpacing/>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rPr>
        <w:t>2.供应商应根据自身的承诺，对照磋商文件要求，在“偏离说明”中注明“正偏离”</w:t>
      </w:r>
      <w:r>
        <w:rPr>
          <w:rFonts w:ascii="宋体" w:hAnsi="宋体" w:eastAsia="宋体"/>
          <w:color w:val="auto"/>
          <w:sz w:val="21"/>
          <w:szCs w:val="21"/>
          <w:highlight w:val="none"/>
          <w:lang w:eastAsia="zh-CN"/>
        </w:rPr>
        <w:t>或者</w:t>
      </w:r>
      <w:r>
        <w:rPr>
          <w:rFonts w:ascii="宋体" w:hAnsi="宋体" w:eastAsia="宋体"/>
          <w:color w:val="auto"/>
          <w:sz w:val="21"/>
          <w:szCs w:val="21"/>
          <w:highlight w:val="none"/>
        </w:rPr>
        <w:t>“负偏离”或者“无偏离”。既不属于“正偏离”也不属于“负偏离”即为“无偏离”。 当响应文件的商务内容低于竞争性磋商文件要求时，</w:t>
      </w:r>
      <w:r>
        <w:rPr>
          <w:rFonts w:ascii="宋体" w:hAnsi="宋体" w:eastAsia="宋体"/>
          <w:color w:val="auto"/>
          <w:sz w:val="21"/>
          <w:szCs w:val="21"/>
          <w:highlight w:val="none"/>
          <w:lang w:eastAsia="zh-CN"/>
        </w:rPr>
        <w:t>供应商</w:t>
      </w:r>
      <w:r>
        <w:rPr>
          <w:rFonts w:ascii="宋体" w:hAnsi="宋体" w:eastAsia="宋体"/>
          <w:color w:val="auto"/>
          <w:sz w:val="21"/>
          <w:szCs w:val="21"/>
          <w:highlight w:val="none"/>
        </w:rPr>
        <w:t>应当如实写明“负偏离”</w:t>
      </w:r>
      <w:r>
        <w:rPr>
          <w:rFonts w:hint="eastAsia" w:ascii="宋体" w:hAnsi="宋体" w:eastAsia="宋体"/>
          <w:color w:val="auto"/>
          <w:sz w:val="21"/>
          <w:szCs w:val="21"/>
          <w:highlight w:val="none"/>
          <w:lang w:eastAsia="zh-CN"/>
        </w:rPr>
        <w:t>。</w:t>
      </w:r>
    </w:p>
    <w:p w14:paraId="77A22C5B">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3.表格内容均需按要求填写，不得留空，</w:t>
      </w:r>
      <w:r>
        <w:rPr>
          <w:rFonts w:ascii="宋体" w:hAnsi="宋体"/>
          <w:b/>
          <w:bCs/>
          <w:color w:val="auto"/>
          <w:kern w:val="0"/>
          <w:szCs w:val="21"/>
          <w:highlight w:val="none"/>
        </w:rPr>
        <w:t>否则按竞标无效处理。</w:t>
      </w:r>
    </w:p>
    <w:p w14:paraId="36FA7D25">
      <w:pPr>
        <w:spacing w:line="400" w:lineRule="exact"/>
        <w:ind w:firstLine="420" w:firstLineChars="200"/>
        <w:contextualSpacing/>
        <w:rPr>
          <w:color w:val="auto"/>
          <w:kern w:val="0"/>
          <w:szCs w:val="21"/>
          <w:highlight w:val="none"/>
        </w:rPr>
      </w:pPr>
    </w:p>
    <w:p w14:paraId="5448CA6C">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1E6F297D">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6EAD074">
      <w:pPr>
        <w:snapToGrid w:val="0"/>
        <w:spacing w:line="360" w:lineRule="auto"/>
        <w:ind w:firstLine="602" w:firstLineChars="200"/>
        <w:rPr>
          <w:rFonts w:hint="eastAsia" w:ascii="仿宋" w:hAnsi="仿宋" w:eastAsia="仿宋" w:cs="仿宋_GB2312"/>
          <w:b/>
          <w:color w:val="auto"/>
          <w:sz w:val="30"/>
          <w:szCs w:val="30"/>
          <w:highlight w:val="none"/>
        </w:rPr>
      </w:pPr>
    </w:p>
    <w:p w14:paraId="2B9102EB">
      <w:pPr>
        <w:snapToGrid w:val="0"/>
        <w:spacing w:line="360" w:lineRule="auto"/>
        <w:ind w:firstLine="602" w:firstLineChars="200"/>
        <w:rPr>
          <w:rFonts w:ascii="仿宋" w:hAnsi="仿宋" w:eastAsia="仿宋" w:cs="仿宋_GB2312"/>
          <w:b/>
          <w:color w:val="auto"/>
          <w:sz w:val="30"/>
          <w:szCs w:val="30"/>
          <w:highlight w:val="none"/>
        </w:rPr>
      </w:pPr>
    </w:p>
    <w:p w14:paraId="27772DDA">
      <w:pPr>
        <w:pStyle w:val="7"/>
        <w:rPr>
          <w:rFonts w:ascii="仿宋" w:hAnsi="仿宋" w:eastAsia="仿宋" w:cs="仿宋_GB2312"/>
          <w:b/>
          <w:color w:val="auto"/>
          <w:sz w:val="30"/>
          <w:szCs w:val="30"/>
          <w:highlight w:val="none"/>
        </w:rPr>
      </w:pPr>
    </w:p>
    <w:p w14:paraId="0E6886DA">
      <w:pPr>
        <w:pStyle w:val="7"/>
        <w:rPr>
          <w:rFonts w:ascii="仿宋" w:hAnsi="仿宋" w:eastAsia="仿宋" w:cs="仿宋_GB2312"/>
          <w:b/>
          <w:color w:val="auto"/>
          <w:sz w:val="30"/>
          <w:szCs w:val="30"/>
          <w:highlight w:val="none"/>
        </w:rPr>
      </w:pPr>
    </w:p>
    <w:p w14:paraId="61531BD2">
      <w:pPr>
        <w:snapToGrid w:val="0"/>
        <w:spacing w:before="120" w:beforeLines="50" w:after="50"/>
        <w:rPr>
          <w:rFonts w:hint="eastAsia"/>
          <w:b/>
          <w:color w:val="auto"/>
          <w:sz w:val="28"/>
          <w:szCs w:val="28"/>
          <w:highlight w:val="none"/>
        </w:rPr>
        <w:sectPr>
          <w:pgSz w:w="11911" w:h="16838"/>
          <w:pgMar w:top="1134" w:right="1134" w:bottom="1134" w:left="1134" w:header="720" w:footer="720" w:gutter="0"/>
          <w:cols w:space="720" w:num="1"/>
        </w:sectPr>
      </w:pPr>
    </w:p>
    <w:p w14:paraId="4EFD0F95">
      <w:pPr>
        <w:snapToGrid w:val="0"/>
        <w:spacing w:before="120" w:beforeLines="50" w:after="50"/>
        <w:rPr>
          <w:b/>
          <w:color w:val="auto"/>
          <w:sz w:val="28"/>
          <w:szCs w:val="28"/>
          <w:highlight w:val="none"/>
        </w:rPr>
      </w:pPr>
      <w:r>
        <w:rPr>
          <w:b/>
          <w:color w:val="auto"/>
          <w:sz w:val="28"/>
          <w:szCs w:val="28"/>
          <w:highlight w:val="none"/>
        </w:rPr>
        <w:t>7.</w:t>
      </w:r>
      <w:r>
        <w:rPr>
          <w:color w:val="auto"/>
          <w:highlight w:val="none"/>
        </w:rPr>
        <w:t xml:space="preserve"> </w:t>
      </w:r>
      <w:r>
        <w:rPr>
          <w:b/>
          <w:color w:val="auto"/>
          <w:sz w:val="28"/>
          <w:szCs w:val="28"/>
          <w:highlight w:val="none"/>
        </w:rPr>
        <w:t>建设工程项目管理承诺书的格式：</w:t>
      </w:r>
    </w:p>
    <w:p w14:paraId="75D83EE5">
      <w:pPr>
        <w:rPr>
          <w:rFonts w:cs="宋体"/>
          <w:b/>
          <w:bCs/>
          <w:color w:val="auto"/>
          <w:sz w:val="28"/>
          <w:szCs w:val="28"/>
          <w:highlight w:val="none"/>
        </w:rPr>
      </w:pPr>
    </w:p>
    <w:p w14:paraId="6B78979F">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建设工程项目管理承诺书</w:t>
      </w:r>
    </w:p>
    <w:p w14:paraId="1626415F">
      <w:pPr>
        <w:spacing w:line="400" w:lineRule="exact"/>
        <w:rPr>
          <w:rFonts w:ascii="宋体" w:hAnsi="宋体"/>
          <w:color w:val="auto"/>
          <w:sz w:val="24"/>
          <w:highlight w:val="none"/>
        </w:rPr>
      </w:pPr>
    </w:p>
    <w:p w14:paraId="1127B959">
      <w:pPr>
        <w:spacing w:line="400" w:lineRule="exact"/>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（采购人名称）：</w:t>
      </w:r>
    </w:p>
    <w:p w14:paraId="034713EC">
      <w:pPr>
        <w:spacing w:line="400" w:lineRule="exact"/>
        <w:ind w:firstLine="420" w:firstLineChars="200"/>
        <w:rPr>
          <w:color w:val="auto"/>
          <w:szCs w:val="21"/>
          <w:highlight w:val="none"/>
        </w:rPr>
      </w:pPr>
      <w:r>
        <w:rPr>
          <w:color w:val="auto"/>
          <w:szCs w:val="21"/>
          <w:highlight w:val="none"/>
        </w:rPr>
        <w:t>作为参与</w:t>
      </w:r>
      <w:r>
        <w:rPr>
          <w:color w:val="auto"/>
          <w:szCs w:val="21"/>
          <w:highlight w:val="none"/>
          <w:u w:val="single"/>
        </w:rPr>
        <w:t xml:space="preserve">                  </w:t>
      </w:r>
      <w:r>
        <w:rPr>
          <w:color w:val="auto"/>
          <w:szCs w:val="21"/>
          <w:highlight w:val="none"/>
        </w:rPr>
        <w:t>（项目名称）项目的供应商，根据国家、自治区相关文件规定，我方在此向采购人承诺：</w:t>
      </w:r>
    </w:p>
    <w:p w14:paraId="2E9898E9">
      <w:pPr>
        <w:spacing w:line="400" w:lineRule="exact"/>
        <w:ind w:firstLine="420" w:firstLineChars="200"/>
        <w:rPr>
          <w:color w:val="auto"/>
          <w:szCs w:val="21"/>
          <w:highlight w:val="none"/>
        </w:rPr>
      </w:pPr>
      <w:r>
        <w:rPr>
          <w:color w:val="auto"/>
          <w:szCs w:val="21"/>
          <w:highlight w:val="none"/>
        </w:rPr>
        <w:t>1、一旦成交，我方保证按照政府相关部门的规定，在成交后7个工作日内，按照《保障农民工工资支付条例》规定及广西壮族自治区有关规定开设农民工工资专用账户，并按</w:t>
      </w:r>
      <w:r>
        <w:rPr>
          <w:color w:val="auto"/>
          <w:szCs w:val="21"/>
          <w:highlight w:val="none"/>
          <w:u w:val="single"/>
        </w:rPr>
        <w:t>要求</w:t>
      </w:r>
      <w:r>
        <w:rPr>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1E6B0CF9">
      <w:pPr>
        <w:spacing w:line="400" w:lineRule="exact"/>
        <w:ind w:firstLine="420" w:firstLineChars="200"/>
        <w:rPr>
          <w:color w:val="auto"/>
          <w:szCs w:val="21"/>
          <w:highlight w:val="none"/>
        </w:rPr>
      </w:pPr>
      <w:r>
        <w:rPr>
          <w:color w:val="auto"/>
          <w:szCs w:val="21"/>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7BF6DD9E">
      <w:pPr>
        <w:spacing w:line="400" w:lineRule="exact"/>
        <w:ind w:firstLine="420" w:firstLineChars="200"/>
        <w:rPr>
          <w:color w:val="auto"/>
          <w:szCs w:val="21"/>
          <w:highlight w:val="none"/>
        </w:rPr>
      </w:pPr>
      <w:r>
        <w:rPr>
          <w:color w:val="auto"/>
          <w:szCs w:val="21"/>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0092AE0A">
      <w:pPr>
        <w:spacing w:line="400" w:lineRule="exact"/>
        <w:ind w:firstLine="420" w:firstLineChars="200"/>
        <w:rPr>
          <w:color w:val="auto"/>
          <w:szCs w:val="21"/>
          <w:highlight w:val="none"/>
        </w:rPr>
      </w:pPr>
      <w:r>
        <w:rPr>
          <w:color w:val="auto"/>
          <w:szCs w:val="21"/>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41CC42B6">
      <w:pPr>
        <w:spacing w:line="400" w:lineRule="exact"/>
        <w:ind w:firstLine="420" w:firstLineChars="200"/>
        <w:rPr>
          <w:color w:val="auto"/>
          <w:szCs w:val="21"/>
          <w:highlight w:val="none"/>
        </w:rPr>
      </w:pPr>
      <w:r>
        <w:rPr>
          <w:color w:val="auto"/>
          <w:szCs w:val="21"/>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1E1D93E">
      <w:pPr>
        <w:spacing w:line="400" w:lineRule="exact"/>
        <w:ind w:firstLine="420" w:firstLineChars="200"/>
        <w:rPr>
          <w:color w:val="auto"/>
          <w:szCs w:val="21"/>
          <w:highlight w:val="none"/>
        </w:rPr>
      </w:pPr>
    </w:p>
    <w:p w14:paraId="71F70F55">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0F447C97">
      <w:pPr>
        <w:spacing w:line="400" w:lineRule="exact"/>
        <w:ind w:firstLine="420" w:firstLineChars="200"/>
        <w:jc w:val="center"/>
        <w:rPr>
          <w:color w:val="auto"/>
          <w:szCs w:val="21"/>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color w:val="auto"/>
          <w:szCs w:val="21"/>
          <w:highlight w:val="none"/>
        </w:rPr>
        <w:br w:type="page"/>
      </w:r>
      <w:r>
        <w:rPr>
          <w:b/>
          <w:bCs/>
          <w:color w:val="auto"/>
          <w:szCs w:val="21"/>
          <w:highlight w:val="none"/>
        </w:rPr>
        <w:t>广西壮族自治区建筑工程安全文明施工措施项目清单内容</w:t>
      </w:r>
    </w:p>
    <w:p w14:paraId="648B7947">
      <w:pPr>
        <w:jc w:val="center"/>
        <w:rPr>
          <w:color w:val="auto"/>
          <w:szCs w:val="21"/>
          <w:highlight w:val="none"/>
        </w:rPr>
      </w:pPr>
      <w:r>
        <w:rPr>
          <w:color w:val="auto"/>
          <w:szCs w:val="21"/>
          <w:highlight w:val="none"/>
        </w:rPr>
        <w:t>（桂建质〔2015〕16号文附件一）</w:t>
      </w:r>
    </w:p>
    <w:p w14:paraId="54B3840A">
      <w:pPr>
        <w:jc w:val="center"/>
        <w:rPr>
          <w:b/>
          <w:bCs/>
          <w:color w:val="auto"/>
          <w:szCs w:val="21"/>
          <w:highlight w:val="none"/>
        </w:rPr>
      </w:pPr>
      <w:r>
        <w:rPr>
          <w:b/>
          <w:bCs/>
          <w:color w:val="auto"/>
          <w:szCs w:val="21"/>
          <w:highlight w:val="none"/>
        </w:rPr>
        <w:t>广西壮族自治区</w:t>
      </w:r>
    </w:p>
    <w:p w14:paraId="54E79793">
      <w:pPr>
        <w:jc w:val="center"/>
        <w:rPr>
          <w:b/>
          <w:bCs/>
          <w:color w:val="auto"/>
          <w:w w:val="90"/>
          <w:szCs w:val="21"/>
          <w:highlight w:val="none"/>
        </w:rPr>
      </w:pPr>
      <w:r>
        <w:rPr>
          <w:b/>
          <w:bCs/>
          <w:color w:val="auto"/>
          <w:w w:val="90"/>
          <w:szCs w:val="21"/>
          <w:highlight w:val="none"/>
        </w:rPr>
        <w:t>建设工程安全文明施工措施项目清单内容</w:t>
      </w:r>
    </w:p>
    <w:p w14:paraId="3263EF62">
      <w:pPr>
        <w:rPr>
          <w:b/>
          <w:bCs/>
          <w:color w:val="auto"/>
          <w:w w:val="90"/>
          <w:szCs w:val="21"/>
          <w:highlight w:val="none"/>
        </w:rPr>
      </w:pPr>
    </w:p>
    <w:tbl>
      <w:tblPr>
        <w:tblStyle w:val="28"/>
        <w:tblW w:w="945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62879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14:paraId="199F98C8">
            <w:pPr>
              <w:rPr>
                <w:b/>
                <w:bCs/>
                <w:color w:val="auto"/>
                <w:szCs w:val="21"/>
                <w:highlight w:val="none"/>
              </w:rPr>
            </w:pPr>
            <w:r>
              <w:rPr>
                <w:b/>
                <w:bCs/>
                <w:color w:val="auto"/>
                <w:szCs w:val="21"/>
                <w:highlight w:val="none"/>
              </w:rPr>
              <w:t>类别</w:t>
            </w:r>
          </w:p>
        </w:tc>
        <w:tc>
          <w:tcPr>
            <w:tcW w:w="2070" w:type="dxa"/>
            <w:gridSpan w:val="2"/>
            <w:tcBorders>
              <w:top w:val="single" w:color="auto" w:sz="12" w:space="0"/>
            </w:tcBorders>
            <w:noWrap w:val="0"/>
            <w:vAlign w:val="center"/>
          </w:tcPr>
          <w:p w14:paraId="0C82AFED">
            <w:pPr>
              <w:rPr>
                <w:b/>
                <w:bCs/>
                <w:color w:val="auto"/>
                <w:szCs w:val="21"/>
                <w:highlight w:val="none"/>
              </w:rPr>
            </w:pPr>
            <w:r>
              <w:rPr>
                <w:b/>
                <w:bCs/>
                <w:color w:val="auto"/>
                <w:szCs w:val="21"/>
                <w:highlight w:val="none"/>
              </w:rPr>
              <w:t>项目名称</w:t>
            </w:r>
          </w:p>
        </w:tc>
        <w:tc>
          <w:tcPr>
            <w:tcW w:w="6645" w:type="dxa"/>
            <w:tcBorders>
              <w:top w:val="single" w:color="auto" w:sz="12" w:space="0"/>
            </w:tcBorders>
            <w:noWrap w:val="0"/>
            <w:vAlign w:val="center"/>
          </w:tcPr>
          <w:p w14:paraId="5AF2CB1E">
            <w:pPr>
              <w:rPr>
                <w:b/>
                <w:bCs/>
                <w:color w:val="auto"/>
                <w:szCs w:val="21"/>
                <w:highlight w:val="none"/>
              </w:rPr>
            </w:pPr>
            <w:r>
              <w:rPr>
                <w:b/>
                <w:bCs/>
                <w:color w:val="auto"/>
                <w:szCs w:val="21"/>
                <w:highlight w:val="none"/>
              </w:rPr>
              <w:t>主要内容和要求</w:t>
            </w:r>
          </w:p>
        </w:tc>
      </w:tr>
      <w:tr w14:paraId="16023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406A28F4">
            <w:pPr>
              <w:jc w:val="both"/>
              <w:rPr>
                <w:color w:val="auto"/>
                <w:szCs w:val="21"/>
                <w:highlight w:val="none"/>
              </w:rPr>
            </w:pPr>
            <w:r>
              <w:rPr>
                <w:color w:val="auto"/>
                <w:szCs w:val="21"/>
                <w:highlight w:val="none"/>
              </w:rPr>
              <w:t>文明</w:t>
            </w:r>
          </w:p>
          <w:p w14:paraId="1E61B6D8">
            <w:pPr>
              <w:jc w:val="both"/>
              <w:rPr>
                <w:color w:val="auto"/>
                <w:szCs w:val="21"/>
                <w:highlight w:val="none"/>
              </w:rPr>
            </w:pPr>
            <w:r>
              <w:rPr>
                <w:color w:val="auto"/>
                <w:szCs w:val="21"/>
                <w:highlight w:val="none"/>
              </w:rPr>
              <w:t>施工</w:t>
            </w:r>
          </w:p>
          <w:p w14:paraId="24D9200E">
            <w:pPr>
              <w:jc w:val="both"/>
              <w:rPr>
                <w:color w:val="auto"/>
                <w:szCs w:val="21"/>
                <w:highlight w:val="none"/>
              </w:rPr>
            </w:pPr>
            <w:r>
              <w:rPr>
                <w:color w:val="auto"/>
                <w:szCs w:val="21"/>
                <w:highlight w:val="none"/>
              </w:rPr>
              <w:t>与</w:t>
            </w:r>
          </w:p>
          <w:p w14:paraId="55BF9D27">
            <w:pPr>
              <w:jc w:val="both"/>
              <w:rPr>
                <w:color w:val="auto"/>
                <w:szCs w:val="21"/>
                <w:highlight w:val="none"/>
              </w:rPr>
            </w:pPr>
            <w:r>
              <w:rPr>
                <w:color w:val="auto"/>
                <w:szCs w:val="21"/>
                <w:highlight w:val="none"/>
              </w:rPr>
              <w:t>环境</w:t>
            </w:r>
          </w:p>
          <w:p w14:paraId="71A83F18">
            <w:pPr>
              <w:jc w:val="both"/>
              <w:rPr>
                <w:color w:val="auto"/>
                <w:szCs w:val="21"/>
                <w:highlight w:val="none"/>
              </w:rPr>
            </w:pPr>
            <w:r>
              <w:rPr>
                <w:color w:val="auto"/>
                <w:szCs w:val="21"/>
                <w:highlight w:val="none"/>
              </w:rPr>
              <w:t>保护</w:t>
            </w:r>
          </w:p>
        </w:tc>
        <w:tc>
          <w:tcPr>
            <w:tcW w:w="2070" w:type="dxa"/>
            <w:gridSpan w:val="2"/>
            <w:noWrap w:val="0"/>
            <w:vAlign w:val="center"/>
          </w:tcPr>
          <w:p w14:paraId="68000402">
            <w:pPr>
              <w:rPr>
                <w:color w:val="auto"/>
                <w:szCs w:val="21"/>
                <w:highlight w:val="none"/>
              </w:rPr>
            </w:pPr>
            <w:r>
              <w:rPr>
                <w:color w:val="auto"/>
                <w:szCs w:val="21"/>
                <w:highlight w:val="none"/>
              </w:rPr>
              <w:t>安全警示</w:t>
            </w:r>
          </w:p>
          <w:p w14:paraId="672FE346">
            <w:pPr>
              <w:rPr>
                <w:color w:val="auto"/>
                <w:szCs w:val="21"/>
                <w:highlight w:val="none"/>
              </w:rPr>
            </w:pPr>
            <w:r>
              <w:rPr>
                <w:color w:val="auto"/>
                <w:szCs w:val="21"/>
                <w:highlight w:val="none"/>
              </w:rPr>
              <w:t>标志牌</w:t>
            </w:r>
          </w:p>
        </w:tc>
        <w:tc>
          <w:tcPr>
            <w:tcW w:w="6645" w:type="dxa"/>
            <w:noWrap w:val="0"/>
            <w:vAlign w:val="center"/>
          </w:tcPr>
          <w:p w14:paraId="753669DD">
            <w:pPr>
              <w:rPr>
                <w:color w:val="auto"/>
                <w:szCs w:val="21"/>
                <w:highlight w:val="none"/>
              </w:rPr>
            </w:pPr>
            <w:r>
              <w:rPr>
                <w:color w:val="auto"/>
                <w:szCs w:val="21"/>
                <w:highlight w:val="none"/>
              </w:rPr>
              <w:t>在易发伤亡事故（或危险）处设置明显的、符合国家标准要求的安全警示标志牌。</w:t>
            </w:r>
          </w:p>
        </w:tc>
      </w:tr>
      <w:tr w14:paraId="4403E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D0F768">
            <w:pPr>
              <w:rPr>
                <w:color w:val="auto"/>
                <w:szCs w:val="21"/>
                <w:highlight w:val="none"/>
              </w:rPr>
            </w:pPr>
          </w:p>
        </w:tc>
        <w:tc>
          <w:tcPr>
            <w:tcW w:w="2070" w:type="dxa"/>
            <w:gridSpan w:val="2"/>
            <w:noWrap w:val="0"/>
            <w:vAlign w:val="center"/>
          </w:tcPr>
          <w:p w14:paraId="6B3DFF8A">
            <w:pPr>
              <w:rPr>
                <w:color w:val="auto"/>
                <w:szCs w:val="21"/>
                <w:highlight w:val="none"/>
              </w:rPr>
            </w:pPr>
            <w:r>
              <w:rPr>
                <w:color w:val="auto"/>
                <w:szCs w:val="21"/>
                <w:highlight w:val="none"/>
              </w:rPr>
              <w:t>现场围挡</w:t>
            </w:r>
          </w:p>
        </w:tc>
        <w:tc>
          <w:tcPr>
            <w:tcW w:w="6645" w:type="dxa"/>
            <w:noWrap w:val="0"/>
            <w:vAlign w:val="center"/>
          </w:tcPr>
          <w:p w14:paraId="28A91509">
            <w:pPr>
              <w:rPr>
                <w:color w:val="auto"/>
                <w:szCs w:val="21"/>
                <w:highlight w:val="none"/>
              </w:rPr>
            </w:pPr>
            <w:r>
              <w:rPr>
                <w:color w:val="auto"/>
                <w:szCs w:val="21"/>
                <w:highlight w:val="none"/>
              </w:rPr>
              <w:t>1. 现场采用封闭围挡，高度不小于1.8m。</w:t>
            </w:r>
          </w:p>
          <w:p w14:paraId="2C5571B6">
            <w:pPr>
              <w:rPr>
                <w:color w:val="auto"/>
                <w:szCs w:val="21"/>
                <w:highlight w:val="none"/>
              </w:rPr>
            </w:pPr>
            <w:r>
              <w:rPr>
                <w:color w:val="auto"/>
                <w:szCs w:val="21"/>
                <w:highlight w:val="none"/>
              </w:rPr>
              <w:t>2. 围挡材料可用彩色、定型钢板，砌块等墙体。</w:t>
            </w:r>
          </w:p>
        </w:tc>
      </w:tr>
      <w:tr w14:paraId="3491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017384D">
            <w:pPr>
              <w:rPr>
                <w:color w:val="auto"/>
                <w:szCs w:val="21"/>
                <w:highlight w:val="none"/>
              </w:rPr>
            </w:pPr>
          </w:p>
        </w:tc>
        <w:tc>
          <w:tcPr>
            <w:tcW w:w="2070" w:type="dxa"/>
            <w:gridSpan w:val="2"/>
            <w:noWrap w:val="0"/>
            <w:vAlign w:val="center"/>
          </w:tcPr>
          <w:p w14:paraId="0D071F3E">
            <w:pPr>
              <w:rPr>
                <w:color w:val="auto"/>
                <w:szCs w:val="21"/>
                <w:highlight w:val="none"/>
              </w:rPr>
            </w:pPr>
            <w:r>
              <w:rPr>
                <w:color w:val="auto"/>
                <w:szCs w:val="21"/>
                <w:highlight w:val="none"/>
              </w:rPr>
              <w:t>七牌二图</w:t>
            </w:r>
          </w:p>
        </w:tc>
        <w:tc>
          <w:tcPr>
            <w:tcW w:w="6645" w:type="dxa"/>
            <w:noWrap w:val="0"/>
            <w:vAlign w:val="center"/>
          </w:tcPr>
          <w:p w14:paraId="6331A6F2">
            <w:pPr>
              <w:rPr>
                <w:color w:val="auto"/>
                <w:szCs w:val="21"/>
                <w:highlight w:val="none"/>
              </w:rPr>
            </w:pPr>
            <w:r>
              <w:rPr>
                <w:color w:val="auto"/>
                <w:szCs w:val="21"/>
                <w:highlight w:val="none"/>
              </w:rPr>
              <w:t>在进门处悬挂工程概况、现场出入制度、管理人员名单及监督电话、安全生产规定、文明施工、消防保卫、节能公示等七牌以及施工现场总平面图、工程效果图。</w:t>
            </w:r>
          </w:p>
        </w:tc>
      </w:tr>
      <w:tr w14:paraId="0FAEC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28A34301">
            <w:pPr>
              <w:rPr>
                <w:color w:val="auto"/>
                <w:szCs w:val="21"/>
                <w:highlight w:val="none"/>
              </w:rPr>
            </w:pPr>
          </w:p>
        </w:tc>
        <w:tc>
          <w:tcPr>
            <w:tcW w:w="2070" w:type="dxa"/>
            <w:gridSpan w:val="2"/>
            <w:noWrap w:val="0"/>
            <w:vAlign w:val="center"/>
          </w:tcPr>
          <w:p w14:paraId="05B0D138">
            <w:pPr>
              <w:rPr>
                <w:color w:val="auto"/>
                <w:szCs w:val="21"/>
                <w:highlight w:val="none"/>
              </w:rPr>
            </w:pPr>
            <w:r>
              <w:rPr>
                <w:color w:val="auto"/>
                <w:szCs w:val="21"/>
                <w:highlight w:val="none"/>
              </w:rPr>
              <w:t>企业标志</w:t>
            </w:r>
          </w:p>
        </w:tc>
        <w:tc>
          <w:tcPr>
            <w:tcW w:w="6645" w:type="dxa"/>
            <w:noWrap w:val="0"/>
            <w:vAlign w:val="center"/>
          </w:tcPr>
          <w:p w14:paraId="7ABD582C">
            <w:pPr>
              <w:rPr>
                <w:color w:val="auto"/>
                <w:szCs w:val="21"/>
                <w:highlight w:val="none"/>
              </w:rPr>
            </w:pPr>
            <w:r>
              <w:rPr>
                <w:color w:val="auto"/>
                <w:szCs w:val="21"/>
                <w:highlight w:val="none"/>
              </w:rPr>
              <w:t>现场出入的大门应设有本企业标志或企业标识。</w:t>
            </w:r>
          </w:p>
        </w:tc>
      </w:tr>
      <w:tr w14:paraId="1289F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55F2680">
            <w:pPr>
              <w:rPr>
                <w:color w:val="auto"/>
                <w:szCs w:val="21"/>
                <w:highlight w:val="none"/>
              </w:rPr>
            </w:pPr>
          </w:p>
        </w:tc>
        <w:tc>
          <w:tcPr>
            <w:tcW w:w="2070" w:type="dxa"/>
            <w:gridSpan w:val="2"/>
            <w:noWrap w:val="0"/>
            <w:vAlign w:val="center"/>
          </w:tcPr>
          <w:p w14:paraId="436E6523">
            <w:pPr>
              <w:rPr>
                <w:color w:val="auto"/>
                <w:szCs w:val="21"/>
                <w:highlight w:val="none"/>
              </w:rPr>
            </w:pPr>
            <w:r>
              <w:rPr>
                <w:color w:val="auto"/>
                <w:szCs w:val="21"/>
                <w:highlight w:val="none"/>
              </w:rPr>
              <w:t>场容场貌</w:t>
            </w:r>
          </w:p>
        </w:tc>
        <w:tc>
          <w:tcPr>
            <w:tcW w:w="6645" w:type="dxa"/>
            <w:noWrap w:val="0"/>
            <w:vAlign w:val="center"/>
          </w:tcPr>
          <w:p w14:paraId="06E758DE">
            <w:pPr>
              <w:rPr>
                <w:color w:val="auto"/>
                <w:szCs w:val="21"/>
                <w:highlight w:val="none"/>
              </w:rPr>
            </w:pPr>
            <w:r>
              <w:rPr>
                <w:color w:val="auto"/>
                <w:szCs w:val="21"/>
                <w:highlight w:val="none"/>
              </w:rPr>
              <w:t>1. 道路畅通。</w:t>
            </w:r>
          </w:p>
          <w:p w14:paraId="084E2F6C">
            <w:pPr>
              <w:rPr>
                <w:color w:val="auto"/>
                <w:szCs w:val="21"/>
                <w:highlight w:val="none"/>
              </w:rPr>
            </w:pPr>
            <w:r>
              <w:rPr>
                <w:color w:val="auto"/>
                <w:szCs w:val="21"/>
                <w:highlight w:val="none"/>
              </w:rPr>
              <w:t>2. 排水设施齐全畅通。</w:t>
            </w:r>
          </w:p>
          <w:p w14:paraId="277A5CED">
            <w:pPr>
              <w:rPr>
                <w:color w:val="auto"/>
                <w:szCs w:val="21"/>
                <w:highlight w:val="none"/>
              </w:rPr>
            </w:pPr>
            <w:r>
              <w:rPr>
                <w:color w:val="auto"/>
                <w:szCs w:val="21"/>
                <w:highlight w:val="none"/>
              </w:rPr>
              <w:t>3. 工地地面硬化处理（办公区、生活区、现场道路、材料堆放、混凝土搅拌、砂浆搅拌、钢筋加工等场地和外脚手架基础等）。</w:t>
            </w:r>
          </w:p>
        </w:tc>
      </w:tr>
      <w:tr w14:paraId="2987E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603253F">
            <w:pPr>
              <w:rPr>
                <w:color w:val="auto"/>
                <w:szCs w:val="21"/>
                <w:highlight w:val="none"/>
              </w:rPr>
            </w:pPr>
          </w:p>
        </w:tc>
        <w:tc>
          <w:tcPr>
            <w:tcW w:w="2070" w:type="dxa"/>
            <w:gridSpan w:val="2"/>
            <w:noWrap w:val="0"/>
            <w:vAlign w:val="center"/>
          </w:tcPr>
          <w:p w14:paraId="448DCD66">
            <w:pPr>
              <w:rPr>
                <w:color w:val="auto"/>
                <w:szCs w:val="21"/>
                <w:highlight w:val="none"/>
              </w:rPr>
            </w:pPr>
            <w:r>
              <w:rPr>
                <w:color w:val="auto"/>
                <w:szCs w:val="21"/>
                <w:highlight w:val="none"/>
              </w:rPr>
              <w:t>材料堆放</w:t>
            </w:r>
          </w:p>
        </w:tc>
        <w:tc>
          <w:tcPr>
            <w:tcW w:w="6645" w:type="dxa"/>
            <w:noWrap w:val="0"/>
            <w:vAlign w:val="center"/>
          </w:tcPr>
          <w:p w14:paraId="6FD77B11">
            <w:pPr>
              <w:rPr>
                <w:color w:val="auto"/>
                <w:szCs w:val="21"/>
                <w:highlight w:val="none"/>
              </w:rPr>
            </w:pPr>
            <w:r>
              <w:rPr>
                <w:color w:val="auto"/>
                <w:szCs w:val="21"/>
                <w:highlight w:val="none"/>
              </w:rPr>
              <w:t>材料、构件、料具等堆放时，应有名称、品种、规格等标牌。</w:t>
            </w:r>
          </w:p>
          <w:p w14:paraId="19C57270">
            <w:pPr>
              <w:rPr>
                <w:color w:val="auto"/>
                <w:szCs w:val="21"/>
                <w:highlight w:val="none"/>
              </w:rPr>
            </w:pPr>
            <w:r>
              <w:rPr>
                <w:color w:val="auto"/>
                <w:szCs w:val="21"/>
                <w:highlight w:val="none"/>
              </w:rPr>
              <w:t>2. 水泥和其它易飞扬细颗粒建筑材料应封闭存放或采取覆盖等措施。</w:t>
            </w:r>
          </w:p>
          <w:p w14:paraId="369F9FC9">
            <w:pPr>
              <w:rPr>
                <w:color w:val="auto"/>
                <w:szCs w:val="21"/>
                <w:highlight w:val="none"/>
              </w:rPr>
            </w:pPr>
            <w:r>
              <w:rPr>
                <w:color w:val="auto"/>
                <w:szCs w:val="21"/>
                <w:highlight w:val="none"/>
              </w:rPr>
              <w:t>3. 易燃、易爆和有毒有害物品分类存放。</w:t>
            </w:r>
          </w:p>
        </w:tc>
      </w:tr>
      <w:tr w14:paraId="7A96B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AE2F6AC">
            <w:pPr>
              <w:rPr>
                <w:color w:val="auto"/>
                <w:szCs w:val="21"/>
                <w:highlight w:val="none"/>
              </w:rPr>
            </w:pPr>
          </w:p>
        </w:tc>
        <w:tc>
          <w:tcPr>
            <w:tcW w:w="2070" w:type="dxa"/>
            <w:gridSpan w:val="2"/>
            <w:noWrap w:val="0"/>
            <w:vAlign w:val="center"/>
          </w:tcPr>
          <w:p w14:paraId="30E24CA7">
            <w:pPr>
              <w:rPr>
                <w:color w:val="auto"/>
                <w:szCs w:val="21"/>
                <w:highlight w:val="none"/>
              </w:rPr>
            </w:pPr>
            <w:r>
              <w:rPr>
                <w:color w:val="auto"/>
                <w:szCs w:val="21"/>
                <w:highlight w:val="none"/>
              </w:rPr>
              <w:t>现场防火</w:t>
            </w:r>
          </w:p>
        </w:tc>
        <w:tc>
          <w:tcPr>
            <w:tcW w:w="6645" w:type="dxa"/>
            <w:noWrap w:val="0"/>
            <w:vAlign w:val="center"/>
          </w:tcPr>
          <w:p w14:paraId="3E51377E">
            <w:pPr>
              <w:rPr>
                <w:color w:val="auto"/>
                <w:szCs w:val="21"/>
                <w:highlight w:val="none"/>
              </w:rPr>
            </w:pPr>
            <w:r>
              <w:rPr>
                <w:color w:val="auto"/>
                <w:szCs w:val="21"/>
                <w:highlight w:val="none"/>
              </w:rPr>
              <w:t>消防器材配置合理，符合消防要求。</w:t>
            </w:r>
          </w:p>
        </w:tc>
      </w:tr>
      <w:tr w14:paraId="38476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66D6678">
            <w:pPr>
              <w:rPr>
                <w:color w:val="auto"/>
                <w:szCs w:val="21"/>
                <w:highlight w:val="none"/>
              </w:rPr>
            </w:pPr>
          </w:p>
        </w:tc>
        <w:tc>
          <w:tcPr>
            <w:tcW w:w="2070" w:type="dxa"/>
            <w:gridSpan w:val="2"/>
            <w:noWrap w:val="0"/>
            <w:vAlign w:val="center"/>
          </w:tcPr>
          <w:p w14:paraId="6F6A8D88">
            <w:pPr>
              <w:rPr>
                <w:color w:val="auto"/>
                <w:szCs w:val="21"/>
                <w:highlight w:val="none"/>
              </w:rPr>
            </w:pPr>
            <w:r>
              <w:rPr>
                <w:color w:val="auto"/>
                <w:szCs w:val="21"/>
                <w:highlight w:val="none"/>
              </w:rPr>
              <w:t>垃圾清运</w:t>
            </w:r>
          </w:p>
        </w:tc>
        <w:tc>
          <w:tcPr>
            <w:tcW w:w="6645" w:type="dxa"/>
            <w:noWrap w:val="0"/>
            <w:vAlign w:val="center"/>
          </w:tcPr>
          <w:p w14:paraId="458FB0C2">
            <w:pPr>
              <w:rPr>
                <w:color w:val="auto"/>
                <w:szCs w:val="21"/>
                <w:highlight w:val="none"/>
              </w:rPr>
            </w:pPr>
            <w:r>
              <w:rPr>
                <w:color w:val="auto"/>
                <w:szCs w:val="21"/>
                <w:highlight w:val="none"/>
              </w:rPr>
              <w:t>1. 施工现场应设置密闭式垃圾站，施工垃圾、生活垃圾应分类存放。</w:t>
            </w:r>
          </w:p>
          <w:p w14:paraId="53956C7F">
            <w:pPr>
              <w:rPr>
                <w:color w:val="auto"/>
                <w:szCs w:val="21"/>
                <w:highlight w:val="none"/>
              </w:rPr>
            </w:pPr>
            <w:r>
              <w:rPr>
                <w:color w:val="auto"/>
                <w:szCs w:val="21"/>
                <w:highlight w:val="none"/>
              </w:rPr>
              <w:t>2. 施工垃圾必须采用相应容器或管道运输。</w:t>
            </w:r>
          </w:p>
        </w:tc>
      </w:tr>
      <w:tr w14:paraId="3B7CF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2C0AA2">
            <w:pPr>
              <w:rPr>
                <w:color w:val="auto"/>
                <w:szCs w:val="21"/>
                <w:highlight w:val="none"/>
              </w:rPr>
            </w:pPr>
          </w:p>
        </w:tc>
        <w:tc>
          <w:tcPr>
            <w:tcW w:w="2070" w:type="dxa"/>
            <w:gridSpan w:val="2"/>
            <w:noWrap w:val="0"/>
            <w:vAlign w:val="center"/>
          </w:tcPr>
          <w:p w14:paraId="5E3AA85C">
            <w:pPr>
              <w:rPr>
                <w:color w:val="auto"/>
                <w:szCs w:val="21"/>
                <w:highlight w:val="none"/>
              </w:rPr>
            </w:pPr>
            <w:r>
              <w:rPr>
                <w:color w:val="auto"/>
                <w:szCs w:val="21"/>
                <w:highlight w:val="none"/>
              </w:rPr>
              <w:t>宣传栏、环保及不扰民措施</w:t>
            </w:r>
          </w:p>
        </w:tc>
        <w:tc>
          <w:tcPr>
            <w:tcW w:w="6645" w:type="dxa"/>
            <w:noWrap w:val="0"/>
            <w:vAlign w:val="center"/>
          </w:tcPr>
          <w:p w14:paraId="7CA09B86">
            <w:pPr>
              <w:rPr>
                <w:color w:val="auto"/>
                <w:szCs w:val="21"/>
                <w:highlight w:val="none"/>
              </w:rPr>
            </w:pPr>
            <w:r>
              <w:rPr>
                <w:color w:val="auto"/>
                <w:szCs w:val="21"/>
                <w:highlight w:val="none"/>
              </w:rPr>
              <w:t>宣传栏、安全宣传标语等，洗车（防止污染市区道路）、粉尘、噪声控制和排污（污水、废气）措施等。</w:t>
            </w:r>
          </w:p>
        </w:tc>
      </w:tr>
      <w:tr w14:paraId="7475F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7CD0E584">
            <w:pPr>
              <w:jc w:val="left"/>
              <w:rPr>
                <w:color w:val="auto"/>
                <w:szCs w:val="21"/>
                <w:highlight w:val="none"/>
              </w:rPr>
            </w:pPr>
            <w:r>
              <w:rPr>
                <w:rFonts w:hint="eastAsia"/>
                <w:color w:val="auto"/>
                <w:szCs w:val="21"/>
                <w:highlight w:val="none"/>
                <w:lang w:eastAsia="zh-CN"/>
              </w:rPr>
              <w:t>临时</w:t>
            </w:r>
            <w:r>
              <w:rPr>
                <w:color w:val="auto"/>
                <w:szCs w:val="21"/>
                <w:highlight w:val="none"/>
              </w:rPr>
              <w:t>设施</w:t>
            </w:r>
          </w:p>
        </w:tc>
        <w:tc>
          <w:tcPr>
            <w:tcW w:w="2070" w:type="dxa"/>
            <w:gridSpan w:val="2"/>
            <w:noWrap w:val="0"/>
            <w:vAlign w:val="center"/>
          </w:tcPr>
          <w:p w14:paraId="12E8175C">
            <w:pPr>
              <w:rPr>
                <w:color w:val="auto"/>
                <w:szCs w:val="21"/>
                <w:highlight w:val="none"/>
              </w:rPr>
            </w:pPr>
            <w:r>
              <w:rPr>
                <w:color w:val="auto"/>
                <w:szCs w:val="21"/>
                <w:highlight w:val="none"/>
              </w:rPr>
              <w:t>现场办公</w:t>
            </w:r>
          </w:p>
          <w:p w14:paraId="6CF2AD4C">
            <w:pPr>
              <w:rPr>
                <w:color w:val="auto"/>
                <w:szCs w:val="21"/>
                <w:highlight w:val="none"/>
              </w:rPr>
            </w:pPr>
            <w:r>
              <w:rPr>
                <w:color w:val="auto"/>
                <w:szCs w:val="21"/>
                <w:highlight w:val="none"/>
              </w:rPr>
              <w:t>生活设施</w:t>
            </w:r>
          </w:p>
        </w:tc>
        <w:tc>
          <w:tcPr>
            <w:tcW w:w="6645" w:type="dxa"/>
            <w:noWrap w:val="0"/>
            <w:vAlign w:val="center"/>
          </w:tcPr>
          <w:p w14:paraId="7A26EF2D">
            <w:pPr>
              <w:rPr>
                <w:color w:val="auto"/>
                <w:szCs w:val="21"/>
                <w:highlight w:val="none"/>
              </w:rPr>
            </w:pPr>
            <w:r>
              <w:rPr>
                <w:color w:val="auto"/>
                <w:szCs w:val="21"/>
                <w:highlight w:val="none"/>
              </w:rPr>
              <w:t>1. 施工现场办公、生活区与作业区分开设置，保持安全距离。</w:t>
            </w:r>
          </w:p>
          <w:p w14:paraId="4324E84D">
            <w:pPr>
              <w:rPr>
                <w:color w:val="auto"/>
                <w:szCs w:val="21"/>
                <w:highlight w:val="none"/>
              </w:rPr>
            </w:pPr>
            <w:r>
              <w:rPr>
                <w:color w:val="auto"/>
                <w:szCs w:val="21"/>
                <w:highlight w:val="none"/>
              </w:rPr>
              <w:t>2. 工地办公室、现场宿舍、食堂、厕所、饮水、沐浴、休息场所等符合卫生、消防安全要求。</w:t>
            </w:r>
          </w:p>
        </w:tc>
      </w:tr>
      <w:tr w14:paraId="6312C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F5AF67F">
            <w:pPr>
              <w:rPr>
                <w:color w:val="auto"/>
                <w:szCs w:val="21"/>
                <w:highlight w:val="none"/>
              </w:rPr>
            </w:pPr>
          </w:p>
        </w:tc>
        <w:tc>
          <w:tcPr>
            <w:tcW w:w="525" w:type="dxa"/>
            <w:vMerge w:val="restart"/>
            <w:noWrap w:val="0"/>
            <w:vAlign w:val="center"/>
          </w:tcPr>
          <w:p w14:paraId="5ECA4595">
            <w:pPr>
              <w:rPr>
                <w:color w:val="auto"/>
                <w:szCs w:val="21"/>
                <w:highlight w:val="none"/>
              </w:rPr>
            </w:pPr>
            <w:r>
              <w:rPr>
                <w:color w:val="auto"/>
                <w:szCs w:val="21"/>
                <w:highlight w:val="none"/>
              </w:rPr>
              <w:t>施工现场</w:t>
            </w:r>
          </w:p>
          <w:p w14:paraId="339B7413">
            <w:pPr>
              <w:rPr>
                <w:color w:val="auto"/>
                <w:szCs w:val="21"/>
                <w:highlight w:val="none"/>
              </w:rPr>
            </w:pPr>
            <w:r>
              <w:rPr>
                <w:color w:val="auto"/>
                <w:szCs w:val="21"/>
                <w:highlight w:val="none"/>
              </w:rPr>
              <w:t>临时用电</w:t>
            </w:r>
          </w:p>
        </w:tc>
        <w:tc>
          <w:tcPr>
            <w:tcW w:w="1545" w:type="dxa"/>
            <w:noWrap w:val="0"/>
            <w:vAlign w:val="center"/>
          </w:tcPr>
          <w:p w14:paraId="7E4A6F8B">
            <w:pPr>
              <w:rPr>
                <w:color w:val="auto"/>
                <w:szCs w:val="21"/>
                <w:highlight w:val="none"/>
              </w:rPr>
            </w:pPr>
            <w:r>
              <w:rPr>
                <w:color w:val="auto"/>
                <w:szCs w:val="21"/>
                <w:highlight w:val="none"/>
              </w:rPr>
              <w:t>配电线路</w:t>
            </w:r>
          </w:p>
        </w:tc>
        <w:tc>
          <w:tcPr>
            <w:tcW w:w="6645" w:type="dxa"/>
            <w:noWrap w:val="0"/>
            <w:vAlign w:val="center"/>
          </w:tcPr>
          <w:p w14:paraId="10DE226A">
            <w:pPr>
              <w:rPr>
                <w:color w:val="auto"/>
                <w:szCs w:val="21"/>
                <w:highlight w:val="none"/>
              </w:rPr>
            </w:pPr>
            <w:r>
              <w:rPr>
                <w:color w:val="auto"/>
                <w:szCs w:val="21"/>
                <w:highlight w:val="none"/>
              </w:rPr>
              <w:t>1. 按照TN-S系统要求配备五芯电缆、四芯电缆和三芯电缆。</w:t>
            </w:r>
          </w:p>
          <w:p w14:paraId="7DFDFE35">
            <w:pPr>
              <w:rPr>
                <w:color w:val="auto"/>
                <w:szCs w:val="21"/>
                <w:highlight w:val="none"/>
              </w:rPr>
            </w:pPr>
            <w:r>
              <w:rPr>
                <w:color w:val="auto"/>
                <w:szCs w:val="21"/>
                <w:highlight w:val="none"/>
              </w:rPr>
              <w:t>2. 按要求架设临时用电线路的电杆、横担、瓷夹、瓷瓶等，或电缆埋地的地沟。</w:t>
            </w:r>
          </w:p>
          <w:p w14:paraId="06E42234">
            <w:pPr>
              <w:rPr>
                <w:color w:val="auto"/>
                <w:szCs w:val="21"/>
                <w:highlight w:val="none"/>
              </w:rPr>
            </w:pPr>
            <w:r>
              <w:rPr>
                <w:color w:val="auto"/>
                <w:szCs w:val="21"/>
                <w:highlight w:val="none"/>
              </w:rPr>
              <w:t>3. 对靠近施工现场的外电线路，设置木质、塑料等绝缘体的防护设施。</w:t>
            </w:r>
          </w:p>
        </w:tc>
      </w:tr>
      <w:tr w14:paraId="48A52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F409151">
            <w:pPr>
              <w:rPr>
                <w:color w:val="auto"/>
                <w:szCs w:val="21"/>
                <w:highlight w:val="none"/>
              </w:rPr>
            </w:pPr>
          </w:p>
        </w:tc>
        <w:tc>
          <w:tcPr>
            <w:tcW w:w="525" w:type="dxa"/>
            <w:vMerge w:val="continue"/>
            <w:noWrap w:val="0"/>
            <w:vAlign w:val="center"/>
          </w:tcPr>
          <w:p w14:paraId="2FC1B8E0">
            <w:pPr>
              <w:rPr>
                <w:color w:val="auto"/>
                <w:szCs w:val="21"/>
                <w:highlight w:val="none"/>
              </w:rPr>
            </w:pPr>
          </w:p>
        </w:tc>
        <w:tc>
          <w:tcPr>
            <w:tcW w:w="1545" w:type="dxa"/>
            <w:noWrap w:val="0"/>
            <w:vAlign w:val="center"/>
          </w:tcPr>
          <w:p w14:paraId="5C42219A">
            <w:pPr>
              <w:rPr>
                <w:color w:val="auto"/>
                <w:szCs w:val="21"/>
                <w:highlight w:val="none"/>
              </w:rPr>
            </w:pPr>
            <w:r>
              <w:rPr>
                <w:color w:val="auto"/>
                <w:szCs w:val="21"/>
                <w:highlight w:val="none"/>
              </w:rPr>
              <w:t>配电箱</w:t>
            </w:r>
          </w:p>
          <w:p w14:paraId="13B74D3D">
            <w:pPr>
              <w:rPr>
                <w:color w:val="auto"/>
                <w:szCs w:val="21"/>
                <w:highlight w:val="none"/>
              </w:rPr>
            </w:pPr>
            <w:r>
              <w:rPr>
                <w:color w:val="auto"/>
                <w:szCs w:val="21"/>
                <w:highlight w:val="none"/>
              </w:rPr>
              <w:t>开关箱</w:t>
            </w:r>
          </w:p>
        </w:tc>
        <w:tc>
          <w:tcPr>
            <w:tcW w:w="6645" w:type="dxa"/>
            <w:noWrap w:val="0"/>
            <w:vAlign w:val="center"/>
          </w:tcPr>
          <w:p w14:paraId="4AF2F83F">
            <w:pPr>
              <w:rPr>
                <w:color w:val="auto"/>
                <w:szCs w:val="21"/>
                <w:highlight w:val="none"/>
              </w:rPr>
            </w:pPr>
            <w:r>
              <w:rPr>
                <w:color w:val="auto"/>
                <w:szCs w:val="21"/>
                <w:highlight w:val="none"/>
              </w:rPr>
              <w:t>1. 按三级配电要求，配备总配电箱、分配电箱、开关箱三类（铁质）标准电箱，开关箱应符合</w:t>
            </w:r>
            <w:r>
              <w:rPr>
                <w:rFonts w:hint="eastAsia"/>
                <w:color w:val="auto"/>
                <w:szCs w:val="21"/>
                <w:highlight w:val="none"/>
                <w:lang w:eastAsia="zh-CN"/>
              </w:rPr>
              <w:t>“</w:t>
            </w:r>
            <w:r>
              <w:rPr>
                <w:color w:val="auto"/>
                <w:szCs w:val="21"/>
                <w:highlight w:val="none"/>
              </w:rPr>
              <w:t>一机、一箱、一闸、一漏</w:t>
            </w:r>
            <w:r>
              <w:rPr>
                <w:rFonts w:hint="eastAsia"/>
                <w:color w:val="auto"/>
                <w:szCs w:val="21"/>
                <w:highlight w:val="none"/>
                <w:lang w:eastAsia="zh-CN"/>
              </w:rPr>
              <w:t>”</w:t>
            </w:r>
            <w:r>
              <w:rPr>
                <w:color w:val="auto"/>
                <w:szCs w:val="21"/>
                <w:highlight w:val="none"/>
              </w:rPr>
              <w:t>，三类电箱中的各类电器应是合格品。</w:t>
            </w:r>
          </w:p>
          <w:p w14:paraId="1CDDF8E7">
            <w:pPr>
              <w:rPr>
                <w:color w:val="auto"/>
                <w:szCs w:val="21"/>
                <w:highlight w:val="none"/>
              </w:rPr>
            </w:pPr>
            <w:r>
              <w:rPr>
                <w:color w:val="auto"/>
                <w:szCs w:val="21"/>
                <w:highlight w:val="none"/>
              </w:rPr>
              <w:t>2. 按两级保护的要求，选取符合容量要求和质量合格的总配电箱和开关箱中的漏电保护器。</w:t>
            </w:r>
          </w:p>
          <w:p w14:paraId="795FE5BB">
            <w:pPr>
              <w:rPr>
                <w:color w:val="auto"/>
                <w:szCs w:val="21"/>
                <w:highlight w:val="none"/>
              </w:rPr>
            </w:pPr>
            <w:r>
              <w:rPr>
                <w:color w:val="auto"/>
                <w:szCs w:val="21"/>
                <w:highlight w:val="none"/>
              </w:rPr>
              <w:t>3. 对大型、落地式分配电箱、开关箱设置防护棚和通透式围挡。</w:t>
            </w:r>
          </w:p>
        </w:tc>
      </w:tr>
      <w:tr w14:paraId="6777C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3DB967EA">
            <w:pPr>
              <w:rPr>
                <w:color w:val="auto"/>
                <w:szCs w:val="21"/>
                <w:highlight w:val="none"/>
              </w:rPr>
            </w:pPr>
          </w:p>
        </w:tc>
        <w:tc>
          <w:tcPr>
            <w:tcW w:w="525" w:type="dxa"/>
            <w:vMerge w:val="continue"/>
            <w:noWrap w:val="0"/>
            <w:vAlign w:val="center"/>
          </w:tcPr>
          <w:p w14:paraId="454BFC75">
            <w:pPr>
              <w:rPr>
                <w:color w:val="auto"/>
                <w:szCs w:val="21"/>
                <w:highlight w:val="none"/>
              </w:rPr>
            </w:pPr>
          </w:p>
        </w:tc>
        <w:tc>
          <w:tcPr>
            <w:tcW w:w="1545" w:type="dxa"/>
            <w:noWrap w:val="0"/>
            <w:vAlign w:val="center"/>
          </w:tcPr>
          <w:p w14:paraId="4E46EB9F">
            <w:pPr>
              <w:rPr>
                <w:color w:val="auto"/>
                <w:szCs w:val="21"/>
                <w:highlight w:val="none"/>
              </w:rPr>
            </w:pPr>
            <w:r>
              <w:rPr>
                <w:color w:val="auto"/>
                <w:szCs w:val="21"/>
                <w:highlight w:val="none"/>
              </w:rPr>
              <w:t>接地装置</w:t>
            </w:r>
          </w:p>
        </w:tc>
        <w:tc>
          <w:tcPr>
            <w:tcW w:w="6645" w:type="dxa"/>
            <w:noWrap w:val="0"/>
            <w:vAlign w:val="center"/>
          </w:tcPr>
          <w:p w14:paraId="52113476">
            <w:pPr>
              <w:rPr>
                <w:color w:val="auto"/>
                <w:szCs w:val="21"/>
                <w:highlight w:val="none"/>
              </w:rPr>
            </w:pPr>
            <w:r>
              <w:rPr>
                <w:color w:val="auto"/>
                <w:szCs w:val="21"/>
                <w:highlight w:val="none"/>
              </w:rPr>
              <w:t>施工现场应设置不少于三处的重复接地装置。</w:t>
            </w:r>
          </w:p>
        </w:tc>
      </w:tr>
      <w:tr w14:paraId="21E3E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D04CBDD">
            <w:pPr>
              <w:rPr>
                <w:color w:val="auto"/>
                <w:szCs w:val="21"/>
                <w:highlight w:val="none"/>
              </w:rPr>
            </w:pPr>
          </w:p>
        </w:tc>
        <w:tc>
          <w:tcPr>
            <w:tcW w:w="525" w:type="dxa"/>
            <w:vMerge w:val="continue"/>
            <w:noWrap w:val="0"/>
            <w:vAlign w:val="center"/>
          </w:tcPr>
          <w:p w14:paraId="6AEFD609">
            <w:pPr>
              <w:rPr>
                <w:color w:val="auto"/>
                <w:szCs w:val="21"/>
                <w:highlight w:val="none"/>
              </w:rPr>
            </w:pPr>
          </w:p>
        </w:tc>
        <w:tc>
          <w:tcPr>
            <w:tcW w:w="1545" w:type="dxa"/>
            <w:noWrap w:val="0"/>
            <w:vAlign w:val="center"/>
          </w:tcPr>
          <w:p w14:paraId="58D1102B">
            <w:pPr>
              <w:rPr>
                <w:color w:val="auto"/>
                <w:szCs w:val="21"/>
                <w:highlight w:val="none"/>
              </w:rPr>
            </w:pPr>
            <w:r>
              <w:rPr>
                <w:color w:val="auto"/>
                <w:szCs w:val="21"/>
                <w:highlight w:val="none"/>
              </w:rPr>
              <w:t>现场变配电装置</w:t>
            </w:r>
          </w:p>
        </w:tc>
        <w:tc>
          <w:tcPr>
            <w:tcW w:w="6645" w:type="dxa"/>
            <w:noWrap w:val="0"/>
            <w:vAlign w:val="center"/>
          </w:tcPr>
          <w:p w14:paraId="0A67BD53">
            <w:pPr>
              <w:rPr>
                <w:color w:val="auto"/>
                <w:szCs w:val="21"/>
                <w:highlight w:val="none"/>
              </w:rPr>
            </w:pPr>
            <w:r>
              <w:rPr>
                <w:color w:val="auto"/>
                <w:szCs w:val="21"/>
                <w:highlight w:val="none"/>
              </w:rPr>
              <w:t>总配电房建筑材料必须达到消防防火要求，室内做硬地坪、电缆沟。</w:t>
            </w:r>
          </w:p>
        </w:tc>
      </w:tr>
      <w:tr w14:paraId="34A9E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4D15A19D">
            <w:pPr>
              <w:rPr>
                <w:b/>
                <w:bCs/>
                <w:color w:val="auto"/>
                <w:szCs w:val="21"/>
                <w:highlight w:val="none"/>
              </w:rPr>
            </w:pPr>
            <w:r>
              <w:rPr>
                <w:b/>
                <w:bCs/>
                <w:color w:val="auto"/>
                <w:szCs w:val="21"/>
                <w:highlight w:val="none"/>
              </w:rPr>
              <w:t>类别</w:t>
            </w:r>
          </w:p>
        </w:tc>
        <w:tc>
          <w:tcPr>
            <w:tcW w:w="2070" w:type="dxa"/>
            <w:gridSpan w:val="2"/>
            <w:noWrap w:val="0"/>
            <w:vAlign w:val="center"/>
          </w:tcPr>
          <w:p w14:paraId="65D2D982">
            <w:pPr>
              <w:rPr>
                <w:b/>
                <w:bCs/>
                <w:color w:val="auto"/>
                <w:szCs w:val="21"/>
                <w:highlight w:val="none"/>
              </w:rPr>
            </w:pPr>
            <w:r>
              <w:rPr>
                <w:b/>
                <w:bCs/>
                <w:color w:val="auto"/>
                <w:szCs w:val="21"/>
                <w:highlight w:val="none"/>
              </w:rPr>
              <w:t>项目名称</w:t>
            </w:r>
          </w:p>
        </w:tc>
        <w:tc>
          <w:tcPr>
            <w:tcW w:w="6645" w:type="dxa"/>
            <w:noWrap w:val="0"/>
            <w:vAlign w:val="center"/>
          </w:tcPr>
          <w:p w14:paraId="6C097B95">
            <w:pPr>
              <w:rPr>
                <w:b/>
                <w:bCs/>
                <w:color w:val="auto"/>
                <w:szCs w:val="21"/>
                <w:highlight w:val="none"/>
              </w:rPr>
            </w:pPr>
            <w:r>
              <w:rPr>
                <w:b/>
                <w:bCs/>
                <w:color w:val="auto"/>
                <w:szCs w:val="21"/>
                <w:highlight w:val="none"/>
              </w:rPr>
              <w:t>主要内容和要求</w:t>
            </w:r>
          </w:p>
        </w:tc>
      </w:tr>
      <w:tr w14:paraId="7364C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696D476">
            <w:pPr>
              <w:rPr>
                <w:color w:val="auto"/>
                <w:szCs w:val="21"/>
                <w:highlight w:val="none"/>
              </w:rPr>
            </w:pPr>
            <w:r>
              <w:rPr>
                <w:color w:val="auto"/>
                <w:szCs w:val="21"/>
                <w:highlight w:val="none"/>
              </w:rPr>
              <w:t>安全施工</w:t>
            </w:r>
          </w:p>
        </w:tc>
        <w:tc>
          <w:tcPr>
            <w:tcW w:w="525" w:type="dxa"/>
            <w:vMerge w:val="restart"/>
            <w:noWrap w:val="0"/>
            <w:vAlign w:val="center"/>
          </w:tcPr>
          <w:p w14:paraId="66C02A11">
            <w:pPr>
              <w:rPr>
                <w:color w:val="auto"/>
                <w:szCs w:val="21"/>
                <w:highlight w:val="none"/>
              </w:rPr>
            </w:pPr>
            <w:r>
              <w:rPr>
                <w:color w:val="auto"/>
                <w:szCs w:val="21"/>
                <w:highlight w:val="none"/>
              </w:rPr>
              <w:t>高处作业防护</w:t>
            </w:r>
          </w:p>
        </w:tc>
        <w:tc>
          <w:tcPr>
            <w:tcW w:w="1545" w:type="dxa"/>
            <w:noWrap w:val="0"/>
            <w:vAlign w:val="center"/>
          </w:tcPr>
          <w:p w14:paraId="5BABDEEA">
            <w:pPr>
              <w:rPr>
                <w:color w:val="auto"/>
                <w:szCs w:val="21"/>
                <w:highlight w:val="none"/>
              </w:rPr>
            </w:pPr>
            <w:r>
              <w:rPr>
                <w:color w:val="auto"/>
                <w:szCs w:val="21"/>
                <w:highlight w:val="none"/>
              </w:rPr>
              <w:t>楼层、屋面、阳台等临边</w:t>
            </w:r>
          </w:p>
        </w:tc>
        <w:tc>
          <w:tcPr>
            <w:tcW w:w="6645" w:type="dxa"/>
            <w:noWrap w:val="0"/>
            <w:vAlign w:val="center"/>
          </w:tcPr>
          <w:p w14:paraId="63B3A0E1">
            <w:pPr>
              <w:rPr>
                <w:color w:val="auto"/>
                <w:szCs w:val="21"/>
                <w:highlight w:val="none"/>
              </w:rPr>
            </w:pPr>
            <w:r>
              <w:rPr>
                <w:color w:val="auto"/>
                <w:szCs w:val="21"/>
                <w:highlight w:val="none"/>
              </w:rPr>
              <w:t>设两道防护栏杆和18cm高的踢脚板，用密目式安全立网全封闭。</w:t>
            </w:r>
          </w:p>
        </w:tc>
      </w:tr>
      <w:tr w14:paraId="7EE9D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441669C">
            <w:pPr>
              <w:rPr>
                <w:color w:val="auto"/>
                <w:szCs w:val="21"/>
                <w:highlight w:val="none"/>
              </w:rPr>
            </w:pPr>
          </w:p>
        </w:tc>
        <w:tc>
          <w:tcPr>
            <w:tcW w:w="525" w:type="dxa"/>
            <w:vMerge w:val="continue"/>
            <w:noWrap w:val="0"/>
            <w:vAlign w:val="center"/>
          </w:tcPr>
          <w:p w14:paraId="23F5144A">
            <w:pPr>
              <w:rPr>
                <w:color w:val="auto"/>
                <w:szCs w:val="21"/>
                <w:highlight w:val="none"/>
              </w:rPr>
            </w:pPr>
          </w:p>
        </w:tc>
        <w:tc>
          <w:tcPr>
            <w:tcW w:w="1545" w:type="dxa"/>
            <w:noWrap w:val="0"/>
            <w:vAlign w:val="center"/>
          </w:tcPr>
          <w:p w14:paraId="1786D9C7">
            <w:pPr>
              <w:rPr>
                <w:color w:val="auto"/>
                <w:szCs w:val="21"/>
                <w:highlight w:val="none"/>
              </w:rPr>
            </w:pPr>
            <w:r>
              <w:rPr>
                <w:color w:val="auto"/>
                <w:szCs w:val="21"/>
                <w:highlight w:val="none"/>
              </w:rPr>
              <w:t>通道口</w:t>
            </w:r>
          </w:p>
        </w:tc>
        <w:tc>
          <w:tcPr>
            <w:tcW w:w="6645" w:type="dxa"/>
            <w:noWrap w:val="0"/>
            <w:vAlign w:val="center"/>
          </w:tcPr>
          <w:p w14:paraId="21D215BC">
            <w:pPr>
              <w:rPr>
                <w:color w:val="auto"/>
                <w:szCs w:val="21"/>
                <w:highlight w:val="none"/>
              </w:rPr>
            </w:pPr>
            <w:r>
              <w:rPr>
                <w:color w:val="auto"/>
                <w:szCs w:val="21"/>
                <w:highlight w:val="none"/>
              </w:rPr>
              <w:t>设防护棚，防护棚应为不小于5cm厚的木板或两道相距50cm的竹笆。两侧应沿栏杆架用密目式安全网封闭。</w:t>
            </w:r>
          </w:p>
        </w:tc>
      </w:tr>
      <w:tr w14:paraId="6C5CD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FB5C485">
            <w:pPr>
              <w:rPr>
                <w:color w:val="auto"/>
                <w:szCs w:val="21"/>
                <w:highlight w:val="none"/>
              </w:rPr>
            </w:pPr>
          </w:p>
        </w:tc>
        <w:tc>
          <w:tcPr>
            <w:tcW w:w="525" w:type="dxa"/>
            <w:vMerge w:val="continue"/>
            <w:noWrap w:val="0"/>
            <w:vAlign w:val="center"/>
          </w:tcPr>
          <w:p w14:paraId="686F9B9F">
            <w:pPr>
              <w:rPr>
                <w:color w:val="auto"/>
                <w:szCs w:val="21"/>
                <w:highlight w:val="none"/>
              </w:rPr>
            </w:pPr>
          </w:p>
        </w:tc>
        <w:tc>
          <w:tcPr>
            <w:tcW w:w="1545" w:type="dxa"/>
            <w:noWrap w:val="0"/>
            <w:vAlign w:val="center"/>
          </w:tcPr>
          <w:p w14:paraId="6C11FCB4">
            <w:pPr>
              <w:rPr>
                <w:color w:val="auto"/>
                <w:szCs w:val="21"/>
                <w:highlight w:val="none"/>
              </w:rPr>
            </w:pPr>
            <w:r>
              <w:rPr>
                <w:color w:val="auto"/>
                <w:szCs w:val="21"/>
                <w:highlight w:val="none"/>
              </w:rPr>
              <w:t>预留洞口</w:t>
            </w:r>
          </w:p>
        </w:tc>
        <w:tc>
          <w:tcPr>
            <w:tcW w:w="6645" w:type="dxa"/>
            <w:noWrap w:val="0"/>
            <w:vAlign w:val="center"/>
          </w:tcPr>
          <w:p w14:paraId="089AF5FF">
            <w:pPr>
              <w:rPr>
                <w:color w:val="auto"/>
                <w:szCs w:val="21"/>
                <w:highlight w:val="none"/>
              </w:rPr>
            </w:pPr>
            <w:r>
              <w:rPr>
                <w:color w:val="auto"/>
                <w:szCs w:val="21"/>
                <w:highlight w:val="none"/>
              </w:rPr>
              <w:t>用硬质材料全封闭，短边超过1.5m长的洞口，除封闭外四周还应设有防护栏杆。</w:t>
            </w:r>
          </w:p>
        </w:tc>
      </w:tr>
      <w:tr w14:paraId="7D1DA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7DF06203">
            <w:pPr>
              <w:rPr>
                <w:color w:val="auto"/>
                <w:szCs w:val="21"/>
                <w:highlight w:val="none"/>
              </w:rPr>
            </w:pPr>
          </w:p>
        </w:tc>
        <w:tc>
          <w:tcPr>
            <w:tcW w:w="525" w:type="dxa"/>
            <w:vMerge w:val="continue"/>
            <w:noWrap w:val="0"/>
            <w:vAlign w:val="center"/>
          </w:tcPr>
          <w:p w14:paraId="0BFC7A97">
            <w:pPr>
              <w:rPr>
                <w:color w:val="auto"/>
                <w:szCs w:val="21"/>
                <w:highlight w:val="none"/>
              </w:rPr>
            </w:pPr>
          </w:p>
        </w:tc>
        <w:tc>
          <w:tcPr>
            <w:tcW w:w="1545" w:type="dxa"/>
            <w:noWrap w:val="0"/>
            <w:vAlign w:val="center"/>
          </w:tcPr>
          <w:p w14:paraId="0DCFE7A0">
            <w:pPr>
              <w:rPr>
                <w:color w:val="auto"/>
                <w:szCs w:val="21"/>
                <w:highlight w:val="none"/>
              </w:rPr>
            </w:pPr>
            <w:r>
              <w:rPr>
                <w:color w:val="auto"/>
                <w:szCs w:val="21"/>
                <w:highlight w:val="none"/>
              </w:rPr>
              <w:t>电梯井口</w:t>
            </w:r>
          </w:p>
        </w:tc>
        <w:tc>
          <w:tcPr>
            <w:tcW w:w="6645" w:type="dxa"/>
            <w:noWrap w:val="0"/>
            <w:vAlign w:val="center"/>
          </w:tcPr>
          <w:p w14:paraId="51146CC5">
            <w:pPr>
              <w:rPr>
                <w:color w:val="auto"/>
                <w:szCs w:val="21"/>
                <w:highlight w:val="none"/>
              </w:rPr>
            </w:pPr>
            <w:r>
              <w:rPr>
                <w:color w:val="auto"/>
                <w:szCs w:val="21"/>
                <w:highlight w:val="none"/>
              </w:rPr>
              <w:t>设置定型化、工具化的防护门，在电梯井内每隔2层（不大于10m）设置一道水平防护。</w:t>
            </w:r>
          </w:p>
        </w:tc>
      </w:tr>
      <w:tr w14:paraId="3E463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BE2E304">
            <w:pPr>
              <w:rPr>
                <w:color w:val="auto"/>
                <w:szCs w:val="21"/>
                <w:highlight w:val="none"/>
              </w:rPr>
            </w:pPr>
          </w:p>
        </w:tc>
        <w:tc>
          <w:tcPr>
            <w:tcW w:w="525" w:type="dxa"/>
            <w:vMerge w:val="continue"/>
            <w:noWrap w:val="0"/>
            <w:vAlign w:val="center"/>
          </w:tcPr>
          <w:p w14:paraId="1D4E7EB5">
            <w:pPr>
              <w:rPr>
                <w:color w:val="auto"/>
                <w:szCs w:val="21"/>
                <w:highlight w:val="none"/>
              </w:rPr>
            </w:pPr>
          </w:p>
        </w:tc>
        <w:tc>
          <w:tcPr>
            <w:tcW w:w="1545" w:type="dxa"/>
            <w:noWrap w:val="0"/>
            <w:vAlign w:val="center"/>
          </w:tcPr>
          <w:p w14:paraId="38BC2C21">
            <w:pPr>
              <w:rPr>
                <w:color w:val="auto"/>
                <w:szCs w:val="21"/>
                <w:highlight w:val="none"/>
              </w:rPr>
            </w:pPr>
            <w:r>
              <w:rPr>
                <w:color w:val="auto"/>
                <w:szCs w:val="21"/>
                <w:highlight w:val="none"/>
              </w:rPr>
              <w:t>楼梯边</w:t>
            </w:r>
          </w:p>
        </w:tc>
        <w:tc>
          <w:tcPr>
            <w:tcW w:w="6645" w:type="dxa"/>
            <w:noWrap w:val="0"/>
            <w:vAlign w:val="center"/>
          </w:tcPr>
          <w:p w14:paraId="4AFD1AF6">
            <w:pPr>
              <w:rPr>
                <w:color w:val="auto"/>
                <w:szCs w:val="21"/>
                <w:highlight w:val="none"/>
              </w:rPr>
            </w:pPr>
            <w:r>
              <w:rPr>
                <w:color w:val="auto"/>
                <w:szCs w:val="21"/>
                <w:highlight w:val="none"/>
              </w:rPr>
              <w:t>设1.2m高的定型化、工具化的防护栏，18cm高的踢脚板。</w:t>
            </w:r>
          </w:p>
        </w:tc>
      </w:tr>
      <w:tr w14:paraId="7A9A9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F602FC">
            <w:pPr>
              <w:rPr>
                <w:color w:val="auto"/>
                <w:szCs w:val="21"/>
                <w:highlight w:val="none"/>
              </w:rPr>
            </w:pPr>
          </w:p>
        </w:tc>
        <w:tc>
          <w:tcPr>
            <w:tcW w:w="525" w:type="dxa"/>
            <w:vMerge w:val="continue"/>
            <w:noWrap w:val="0"/>
            <w:vAlign w:val="center"/>
          </w:tcPr>
          <w:p w14:paraId="4D370B89">
            <w:pPr>
              <w:rPr>
                <w:color w:val="auto"/>
                <w:szCs w:val="21"/>
                <w:highlight w:val="none"/>
              </w:rPr>
            </w:pPr>
          </w:p>
        </w:tc>
        <w:tc>
          <w:tcPr>
            <w:tcW w:w="1545" w:type="dxa"/>
            <w:noWrap w:val="0"/>
            <w:vAlign w:val="center"/>
          </w:tcPr>
          <w:p w14:paraId="38C5D9EE">
            <w:pPr>
              <w:rPr>
                <w:color w:val="auto"/>
                <w:szCs w:val="21"/>
                <w:highlight w:val="none"/>
              </w:rPr>
            </w:pPr>
            <w:r>
              <w:rPr>
                <w:color w:val="auto"/>
                <w:szCs w:val="21"/>
                <w:highlight w:val="none"/>
              </w:rPr>
              <w:t>垂直方向交叉作业</w:t>
            </w:r>
          </w:p>
        </w:tc>
        <w:tc>
          <w:tcPr>
            <w:tcW w:w="6645" w:type="dxa"/>
            <w:noWrap w:val="0"/>
            <w:vAlign w:val="center"/>
          </w:tcPr>
          <w:p w14:paraId="1FD864AC">
            <w:pPr>
              <w:rPr>
                <w:color w:val="auto"/>
                <w:szCs w:val="21"/>
                <w:highlight w:val="none"/>
              </w:rPr>
            </w:pPr>
            <w:r>
              <w:rPr>
                <w:color w:val="auto"/>
                <w:szCs w:val="21"/>
                <w:highlight w:val="none"/>
              </w:rPr>
              <w:t>设置防护隔离棚或其它设施。</w:t>
            </w:r>
          </w:p>
        </w:tc>
      </w:tr>
      <w:tr w14:paraId="526C6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BB8597F">
            <w:pPr>
              <w:rPr>
                <w:color w:val="auto"/>
                <w:szCs w:val="21"/>
                <w:highlight w:val="none"/>
              </w:rPr>
            </w:pPr>
          </w:p>
        </w:tc>
        <w:tc>
          <w:tcPr>
            <w:tcW w:w="525" w:type="dxa"/>
            <w:vMerge w:val="continue"/>
            <w:noWrap w:val="0"/>
            <w:vAlign w:val="center"/>
          </w:tcPr>
          <w:p w14:paraId="17223898">
            <w:pPr>
              <w:rPr>
                <w:color w:val="auto"/>
                <w:szCs w:val="21"/>
                <w:highlight w:val="none"/>
              </w:rPr>
            </w:pPr>
          </w:p>
        </w:tc>
        <w:tc>
          <w:tcPr>
            <w:tcW w:w="1545" w:type="dxa"/>
            <w:noWrap w:val="0"/>
            <w:vAlign w:val="center"/>
          </w:tcPr>
          <w:p w14:paraId="0DCC2511">
            <w:pPr>
              <w:rPr>
                <w:color w:val="auto"/>
                <w:szCs w:val="21"/>
                <w:highlight w:val="none"/>
              </w:rPr>
            </w:pPr>
            <w:r>
              <w:rPr>
                <w:color w:val="auto"/>
                <w:szCs w:val="21"/>
                <w:highlight w:val="none"/>
              </w:rPr>
              <w:t>高处作业</w:t>
            </w:r>
          </w:p>
        </w:tc>
        <w:tc>
          <w:tcPr>
            <w:tcW w:w="6645" w:type="dxa"/>
            <w:noWrap w:val="0"/>
            <w:vAlign w:val="center"/>
          </w:tcPr>
          <w:p w14:paraId="61A752AF">
            <w:pPr>
              <w:rPr>
                <w:color w:val="auto"/>
                <w:szCs w:val="21"/>
                <w:highlight w:val="none"/>
              </w:rPr>
            </w:pPr>
            <w:r>
              <w:rPr>
                <w:color w:val="auto"/>
                <w:szCs w:val="21"/>
                <w:highlight w:val="none"/>
              </w:rPr>
              <w:t>有悬挂安全带的悬索或其它设施，有操作平台，有上下的梯子或其它形式的通道。</w:t>
            </w:r>
          </w:p>
        </w:tc>
      </w:tr>
      <w:tr w14:paraId="6AC0B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FE2FDB1">
            <w:pPr>
              <w:rPr>
                <w:color w:val="auto"/>
                <w:szCs w:val="21"/>
                <w:highlight w:val="none"/>
              </w:rPr>
            </w:pPr>
          </w:p>
        </w:tc>
        <w:tc>
          <w:tcPr>
            <w:tcW w:w="525" w:type="dxa"/>
            <w:vMerge w:val="continue"/>
            <w:noWrap w:val="0"/>
            <w:vAlign w:val="center"/>
          </w:tcPr>
          <w:p w14:paraId="12A579C2">
            <w:pPr>
              <w:rPr>
                <w:color w:val="auto"/>
                <w:szCs w:val="21"/>
                <w:highlight w:val="none"/>
              </w:rPr>
            </w:pPr>
          </w:p>
        </w:tc>
        <w:tc>
          <w:tcPr>
            <w:tcW w:w="1545" w:type="dxa"/>
            <w:noWrap w:val="0"/>
            <w:vAlign w:val="center"/>
          </w:tcPr>
          <w:p w14:paraId="77C0B3DD">
            <w:pPr>
              <w:rPr>
                <w:color w:val="auto"/>
                <w:szCs w:val="21"/>
                <w:highlight w:val="none"/>
              </w:rPr>
            </w:pPr>
            <w:r>
              <w:rPr>
                <w:color w:val="auto"/>
                <w:szCs w:val="21"/>
                <w:highlight w:val="none"/>
              </w:rPr>
              <w:t>基坑、物料平台</w:t>
            </w:r>
          </w:p>
        </w:tc>
        <w:tc>
          <w:tcPr>
            <w:tcW w:w="6645" w:type="dxa"/>
            <w:noWrap w:val="0"/>
            <w:vAlign w:val="center"/>
          </w:tcPr>
          <w:p w14:paraId="5DDB5F9B">
            <w:pPr>
              <w:rPr>
                <w:color w:val="auto"/>
                <w:szCs w:val="21"/>
                <w:highlight w:val="none"/>
              </w:rPr>
            </w:pPr>
            <w:r>
              <w:rPr>
                <w:color w:val="auto"/>
                <w:szCs w:val="21"/>
                <w:highlight w:val="none"/>
              </w:rPr>
              <w:t>设1.2m高标准化的防护栏，用密目式安全立网封闭，悬挂标识。</w:t>
            </w:r>
          </w:p>
        </w:tc>
      </w:tr>
      <w:tr w14:paraId="1D087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C6A21D4">
            <w:pPr>
              <w:rPr>
                <w:color w:val="auto"/>
                <w:szCs w:val="21"/>
                <w:highlight w:val="none"/>
              </w:rPr>
            </w:pPr>
          </w:p>
        </w:tc>
        <w:tc>
          <w:tcPr>
            <w:tcW w:w="2070" w:type="dxa"/>
            <w:gridSpan w:val="2"/>
            <w:noWrap w:val="0"/>
            <w:vAlign w:val="center"/>
          </w:tcPr>
          <w:p w14:paraId="6C7FAD19">
            <w:pPr>
              <w:rPr>
                <w:color w:val="auto"/>
                <w:szCs w:val="21"/>
                <w:highlight w:val="none"/>
              </w:rPr>
            </w:pPr>
            <w:r>
              <w:rPr>
                <w:color w:val="auto"/>
                <w:szCs w:val="21"/>
                <w:highlight w:val="none"/>
              </w:rPr>
              <w:t>安全防护用品</w:t>
            </w:r>
          </w:p>
        </w:tc>
        <w:tc>
          <w:tcPr>
            <w:tcW w:w="6645" w:type="dxa"/>
            <w:noWrap w:val="0"/>
            <w:vAlign w:val="center"/>
          </w:tcPr>
          <w:p w14:paraId="1951CFD7">
            <w:pPr>
              <w:rPr>
                <w:color w:val="auto"/>
                <w:szCs w:val="21"/>
                <w:highlight w:val="none"/>
              </w:rPr>
            </w:pPr>
            <w:r>
              <w:rPr>
                <w:color w:val="auto"/>
                <w:szCs w:val="21"/>
                <w:highlight w:val="none"/>
              </w:rPr>
              <w:t>安全帽、安全带、特种作业人员（电工、焊工、架子工等）防护服装、用品等。</w:t>
            </w:r>
          </w:p>
        </w:tc>
      </w:tr>
      <w:tr w14:paraId="7D638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2F0FE4A5">
            <w:pPr>
              <w:rPr>
                <w:color w:val="auto"/>
                <w:szCs w:val="21"/>
                <w:highlight w:val="none"/>
              </w:rPr>
            </w:pPr>
            <w:r>
              <w:rPr>
                <w:color w:val="auto"/>
                <w:szCs w:val="21"/>
                <w:highlight w:val="none"/>
              </w:rPr>
              <w:t>其它</w:t>
            </w:r>
          </w:p>
        </w:tc>
        <w:tc>
          <w:tcPr>
            <w:tcW w:w="525" w:type="dxa"/>
            <w:vMerge w:val="restart"/>
            <w:noWrap w:val="0"/>
            <w:vAlign w:val="center"/>
          </w:tcPr>
          <w:p w14:paraId="7636C039">
            <w:pPr>
              <w:rPr>
                <w:color w:val="auto"/>
                <w:szCs w:val="21"/>
                <w:highlight w:val="none"/>
              </w:rPr>
            </w:pPr>
            <w:r>
              <w:rPr>
                <w:color w:val="auto"/>
                <w:szCs w:val="21"/>
                <w:highlight w:val="none"/>
              </w:rPr>
              <w:t>机械设备防护</w:t>
            </w:r>
          </w:p>
        </w:tc>
        <w:tc>
          <w:tcPr>
            <w:tcW w:w="1545" w:type="dxa"/>
            <w:noWrap w:val="0"/>
            <w:vAlign w:val="center"/>
          </w:tcPr>
          <w:p w14:paraId="673EC368">
            <w:pPr>
              <w:rPr>
                <w:color w:val="auto"/>
                <w:szCs w:val="21"/>
                <w:highlight w:val="none"/>
              </w:rPr>
            </w:pPr>
            <w:r>
              <w:rPr>
                <w:color w:val="auto"/>
                <w:szCs w:val="21"/>
                <w:highlight w:val="none"/>
              </w:rPr>
              <w:t>中小型机械</w:t>
            </w:r>
          </w:p>
        </w:tc>
        <w:tc>
          <w:tcPr>
            <w:tcW w:w="6645" w:type="dxa"/>
            <w:noWrap w:val="0"/>
            <w:vAlign w:val="center"/>
          </w:tcPr>
          <w:p w14:paraId="6D818E59">
            <w:pPr>
              <w:rPr>
                <w:color w:val="auto"/>
                <w:szCs w:val="21"/>
                <w:highlight w:val="none"/>
              </w:rPr>
            </w:pPr>
            <w:r>
              <w:rPr>
                <w:color w:val="auto"/>
                <w:szCs w:val="21"/>
                <w:highlight w:val="none"/>
              </w:rPr>
              <w:t>设防护棚（同通道口防护并有防雨措施）。</w:t>
            </w:r>
          </w:p>
        </w:tc>
      </w:tr>
      <w:tr w14:paraId="6B6B1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63D067">
            <w:pPr>
              <w:rPr>
                <w:color w:val="auto"/>
                <w:szCs w:val="21"/>
                <w:highlight w:val="none"/>
              </w:rPr>
            </w:pPr>
          </w:p>
        </w:tc>
        <w:tc>
          <w:tcPr>
            <w:tcW w:w="525" w:type="dxa"/>
            <w:vMerge w:val="continue"/>
            <w:noWrap w:val="0"/>
            <w:vAlign w:val="center"/>
          </w:tcPr>
          <w:p w14:paraId="68A5DA92">
            <w:pPr>
              <w:rPr>
                <w:color w:val="auto"/>
                <w:szCs w:val="21"/>
                <w:highlight w:val="none"/>
              </w:rPr>
            </w:pPr>
          </w:p>
        </w:tc>
        <w:tc>
          <w:tcPr>
            <w:tcW w:w="1545" w:type="dxa"/>
            <w:noWrap w:val="0"/>
            <w:vAlign w:val="center"/>
          </w:tcPr>
          <w:p w14:paraId="3F9F91FD">
            <w:pPr>
              <w:rPr>
                <w:color w:val="auto"/>
                <w:szCs w:val="21"/>
                <w:highlight w:val="none"/>
              </w:rPr>
            </w:pPr>
            <w:r>
              <w:rPr>
                <w:color w:val="auto"/>
                <w:szCs w:val="21"/>
                <w:highlight w:val="none"/>
              </w:rPr>
              <w:t>垂直运输设备</w:t>
            </w:r>
          </w:p>
        </w:tc>
        <w:tc>
          <w:tcPr>
            <w:tcW w:w="6645" w:type="dxa"/>
            <w:noWrap w:val="0"/>
            <w:vAlign w:val="center"/>
          </w:tcPr>
          <w:p w14:paraId="69D687E5">
            <w:pPr>
              <w:rPr>
                <w:color w:val="auto"/>
                <w:szCs w:val="21"/>
                <w:highlight w:val="none"/>
              </w:rPr>
            </w:pPr>
            <w:r>
              <w:rPr>
                <w:color w:val="auto"/>
                <w:szCs w:val="21"/>
                <w:highlight w:val="none"/>
              </w:rPr>
              <w:t>1. 垂直运输设备检测、检验、日常维护、保养等。</w:t>
            </w:r>
          </w:p>
          <w:p w14:paraId="64193BD9">
            <w:pPr>
              <w:rPr>
                <w:color w:val="auto"/>
                <w:szCs w:val="21"/>
                <w:highlight w:val="none"/>
              </w:rPr>
            </w:pPr>
            <w:r>
              <w:rPr>
                <w:color w:val="auto"/>
                <w:szCs w:val="21"/>
                <w:highlight w:val="none"/>
              </w:rPr>
              <w:t>2. 物料提升机、施工电梯等物料平台搭设、外侧用密目式安全立网全封闭，有安全通道、安全防护门、防护棚等。</w:t>
            </w:r>
          </w:p>
        </w:tc>
      </w:tr>
      <w:tr w14:paraId="3611D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629CAE7E">
            <w:pPr>
              <w:rPr>
                <w:color w:val="auto"/>
                <w:szCs w:val="21"/>
                <w:highlight w:val="none"/>
              </w:rPr>
            </w:pPr>
          </w:p>
        </w:tc>
        <w:tc>
          <w:tcPr>
            <w:tcW w:w="2070" w:type="dxa"/>
            <w:gridSpan w:val="2"/>
            <w:noWrap w:val="0"/>
            <w:vAlign w:val="center"/>
          </w:tcPr>
          <w:p w14:paraId="567BA115">
            <w:pPr>
              <w:rPr>
                <w:color w:val="auto"/>
                <w:szCs w:val="21"/>
                <w:highlight w:val="none"/>
              </w:rPr>
            </w:pPr>
            <w:r>
              <w:rPr>
                <w:color w:val="auto"/>
                <w:szCs w:val="21"/>
                <w:highlight w:val="none"/>
              </w:rPr>
              <w:t>专家论证审查</w:t>
            </w:r>
          </w:p>
        </w:tc>
        <w:tc>
          <w:tcPr>
            <w:tcW w:w="6645" w:type="dxa"/>
            <w:noWrap w:val="0"/>
            <w:vAlign w:val="center"/>
          </w:tcPr>
          <w:p w14:paraId="63885936">
            <w:pPr>
              <w:rPr>
                <w:color w:val="auto"/>
                <w:szCs w:val="21"/>
                <w:highlight w:val="none"/>
              </w:rPr>
            </w:pPr>
            <w:r>
              <w:rPr>
                <w:color w:val="auto"/>
                <w:szCs w:val="21"/>
                <w:highlight w:val="none"/>
              </w:rPr>
              <w:t>超过一定规模的危险性较大分部分项工程专家论证审查。</w:t>
            </w:r>
          </w:p>
        </w:tc>
      </w:tr>
      <w:tr w14:paraId="28CF4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774D02D2">
            <w:pPr>
              <w:rPr>
                <w:color w:val="auto"/>
                <w:szCs w:val="21"/>
                <w:highlight w:val="none"/>
              </w:rPr>
            </w:pPr>
          </w:p>
        </w:tc>
        <w:tc>
          <w:tcPr>
            <w:tcW w:w="2070" w:type="dxa"/>
            <w:gridSpan w:val="2"/>
            <w:noWrap w:val="0"/>
            <w:vAlign w:val="center"/>
          </w:tcPr>
          <w:p w14:paraId="6E1F76F2">
            <w:pPr>
              <w:rPr>
                <w:color w:val="auto"/>
                <w:szCs w:val="21"/>
                <w:highlight w:val="none"/>
              </w:rPr>
            </w:pPr>
            <w:r>
              <w:rPr>
                <w:color w:val="auto"/>
                <w:szCs w:val="21"/>
                <w:highlight w:val="none"/>
              </w:rPr>
              <w:t>应急救援预案</w:t>
            </w:r>
          </w:p>
        </w:tc>
        <w:tc>
          <w:tcPr>
            <w:tcW w:w="6645" w:type="dxa"/>
            <w:noWrap w:val="0"/>
            <w:vAlign w:val="center"/>
          </w:tcPr>
          <w:p w14:paraId="375505A2">
            <w:pPr>
              <w:rPr>
                <w:color w:val="auto"/>
                <w:szCs w:val="21"/>
                <w:highlight w:val="none"/>
              </w:rPr>
            </w:pPr>
            <w:r>
              <w:rPr>
                <w:color w:val="auto"/>
                <w:szCs w:val="21"/>
                <w:highlight w:val="none"/>
              </w:rPr>
              <w:t>救援器材准备及演练等。</w:t>
            </w:r>
          </w:p>
        </w:tc>
      </w:tr>
      <w:tr w14:paraId="4E1F9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14:paraId="55188E6D">
            <w:pPr>
              <w:rPr>
                <w:color w:val="auto"/>
                <w:szCs w:val="21"/>
                <w:highlight w:val="none"/>
              </w:rPr>
            </w:pPr>
          </w:p>
        </w:tc>
        <w:tc>
          <w:tcPr>
            <w:tcW w:w="2070" w:type="dxa"/>
            <w:gridSpan w:val="2"/>
            <w:tcBorders>
              <w:bottom w:val="single" w:color="auto" w:sz="12" w:space="0"/>
            </w:tcBorders>
            <w:noWrap w:val="0"/>
            <w:vAlign w:val="center"/>
          </w:tcPr>
          <w:p w14:paraId="11262B96">
            <w:pPr>
              <w:rPr>
                <w:color w:val="auto"/>
                <w:szCs w:val="21"/>
                <w:highlight w:val="none"/>
              </w:rPr>
            </w:pPr>
            <w:r>
              <w:rPr>
                <w:color w:val="auto"/>
                <w:szCs w:val="21"/>
                <w:highlight w:val="none"/>
              </w:rPr>
              <w:t>非正常情况施工</w:t>
            </w:r>
          </w:p>
        </w:tc>
        <w:tc>
          <w:tcPr>
            <w:tcW w:w="6645" w:type="dxa"/>
            <w:tcBorders>
              <w:bottom w:val="single" w:color="auto" w:sz="12" w:space="0"/>
            </w:tcBorders>
            <w:noWrap w:val="0"/>
            <w:vAlign w:val="center"/>
          </w:tcPr>
          <w:p w14:paraId="1DB391A6">
            <w:pPr>
              <w:rPr>
                <w:color w:val="auto"/>
                <w:szCs w:val="21"/>
                <w:highlight w:val="none"/>
              </w:rPr>
            </w:pPr>
            <w:r>
              <w:rPr>
                <w:color w:val="auto"/>
                <w:szCs w:val="21"/>
                <w:highlight w:val="none"/>
              </w:rPr>
              <w:t>其它特殊情况下的防护费用，如：城市主干道、人流密集、河边等处施工及文物、古建筑、古树保护等。</w:t>
            </w:r>
          </w:p>
        </w:tc>
      </w:tr>
    </w:tbl>
    <w:p w14:paraId="728B6C2A">
      <w:pPr>
        <w:rPr>
          <w:b/>
          <w:bCs/>
          <w:color w:val="auto"/>
          <w:w w:val="90"/>
          <w:szCs w:val="21"/>
          <w:highlight w:val="none"/>
        </w:rPr>
      </w:pPr>
    </w:p>
    <w:p w14:paraId="7496AC02">
      <w:pPr>
        <w:rPr>
          <w:b/>
          <w:color w:val="auto"/>
          <w:szCs w:val="21"/>
          <w:highlight w:val="none"/>
        </w:rPr>
      </w:pPr>
      <w:r>
        <w:rPr>
          <w:color w:val="auto"/>
          <w:szCs w:val="21"/>
          <w:highlight w:val="none"/>
        </w:rPr>
        <w:t>注：本表所列建筑工程安全文明施工费，是依据现行法律法规及标准规范确定的。如法律法规和标准规范修订，本表所列项目应按照修订后的法律法规和标准规范进行调整。</w:t>
      </w:r>
    </w:p>
    <w:p w14:paraId="1E870050">
      <w:pPr>
        <w:snapToGrid w:val="0"/>
        <w:spacing w:before="120" w:beforeLines="50" w:after="50"/>
        <w:rPr>
          <w:rFonts w:hint="eastAsia"/>
          <w:b/>
          <w:color w:val="auto"/>
          <w:sz w:val="28"/>
          <w:szCs w:val="28"/>
          <w:highlight w:val="none"/>
        </w:rPr>
        <w:sectPr>
          <w:pgSz w:w="11911" w:h="16838"/>
          <w:pgMar w:top="1134" w:right="1134" w:bottom="1134" w:left="1134" w:header="720" w:footer="720" w:gutter="0"/>
          <w:cols w:space="720" w:num="1"/>
        </w:sectPr>
      </w:pPr>
    </w:p>
    <w:p w14:paraId="24B08B70">
      <w:pPr>
        <w:snapToGrid w:val="0"/>
        <w:spacing w:before="120" w:beforeLines="50" w:after="50"/>
        <w:rPr>
          <w:b/>
          <w:color w:val="auto"/>
          <w:sz w:val="28"/>
          <w:szCs w:val="28"/>
          <w:highlight w:val="none"/>
        </w:rPr>
      </w:pPr>
      <w:r>
        <w:rPr>
          <w:rFonts w:hint="eastAsia"/>
          <w:b/>
          <w:color w:val="auto"/>
          <w:sz w:val="28"/>
          <w:szCs w:val="28"/>
          <w:highlight w:val="none"/>
        </w:rPr>
        <w:t>8</w:t>
      </w:r>
      <w:r>
        <w:rPr>
          <w:b/>
          <w:color w:val="auto"/>
          <w:sz w:val="28"/>
          <w:szCs w:val="28"/>
          <w:highlight w:val="none"/>
        </w:rPr>
        <w:t>.供应商类似的业绩证明文件</w:t>
      </w:r>
      <w:r>
        <w:rPr>
          <w:b/>
          <w:bCs/>
          <w:color w:val="auto"/>
          <w:sz w:val="30"/>
          <w:szCs w:val="30"/>
          <w:highlight w:val="none"/>
        </w:rPr>
        <w:t>（如有要求）：</w:t>
      </w:r>
    </w:p>
    <w:p w14:paraId="76FCD528">
      <w:pPr>
        <w:pStyle w:val="23"/>
        <w:snapToGrid w:val="0"/>
        <w:ind w:left="480" w:hanging="480"/>
        <w:rPr>
          <w:color w:val="auto"/>
          <w:sz w:val="24"/>
          <w:highlight w:val="none"/>
        </w:rPr>
      </w:pPr>
    </w:p>
    <w:tbl>
      <w:tblPr>
        <w:tblStyle w:val="28"/>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4A0BD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14:paraId="76464D75">
            <w:pPr>
              <w:snapToGrid w:val="0"/>
              <w:spacing w:line="240" w:lineRule="exact"/>
              <w:jc w:val="center"/>
              <w:rPr>
                <w:color w:val="auto"/>
                <w:sz w:val="24"/>
                <w:highlight w:val="none"/>
              </w:rPr>
            </w:pPr>
            <w:r>
              <w:rPr>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0"/>
            <w:vAlign w:val="center"/>
          </w:tcPr>
          <w:p w14:paraId="5EF4754E">
            <w:pPr>
              <w:snapToGrid w:val="0"/>
              <w:spacing w:line="240" w:lineRule="exact"/>
              <w:jc w:val="center"/>
              <w:rPr>
                <w:color w:val="auto"/>
                <w:sz w:val="24"/>
                <w:highlight w:val="none"/>
              </w:rPr>
            </w:pPr>
            <w:r>
              <w:rPr>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1223701">
            <w:pPr>
              <w:snapToGrid w:val="0"/>
              <w:spacing w:line="240" w:lineRule="exact"/>
              <w:jc w:val="center"/>
              <w:rPr>
                <w:color w:val="auto"/>
                <w:sz w:val="24"/>
                <w:highlight w:val="none"/>
              </w:rPr>
            </w:pPr>
            <w:r>
              <w:rPr>
                <w:color w:val="auto"/>
                <w:sz w:val="24"/>
                <w:highlight w:val="none"/>
              </w:rPr>
              <w:t>合同</w:t>
            </w:r>
          </w:p>
          <w:p w14:paraId="4140569C">
            <w:pPr>
              <w:snapToGrid w:val="0"/>
              <w:spacing w:line="240" w:lineRule="exact"/>
              <w:jc w:val="center"/>
              <w:rPr>
                <w:color w:val="auto"/>
                <w:sz w:val="24"/>
                <w:highlight w:val="none"/>
              </w:rPr>
            </w:pPr>
            <w:r>
              <w:rPr>
                <w:color w:val="auto"/>
                <w:sz w:val="24"/>
                <w:highlight w:val="none"/>
              </w:rPr>
              <w:t>金额</w:t>
            </w:r>
          </w:p>
          <w:p w14:paraId="5A6725B4">
            <w:pPr>
              <w:snapToGrid w:val="0"/>
              <w:spacing w:line="240" w:lineRule="exact"/>
              <w:jc w:val="center"/>
              <w:rPr>
                <w:color w:val="auto"/>
                <w:sz w:val="24"/>
                <w:highlight w:val="none"/>
              </w:rPr>
            </w:pPr>
            <w:r>
              <w:rPr>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1B4D73A1">
            <w:pPr>
              <w:snapToGrid w:val="0"/>
              <w:spacing w:line="240" w:lineRule="exact"/>
              <w:jc w:val="center"/>
              <w:rPr>
                <w:color w:val="auto"/>
                <w:sz w:val="24"/>
                <w:highlight w:val="none"/>
              </w:rPr>
            </w:pPr>
            <w:r>
              <w:rPr>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765042B6">
            <w:pPr>
              <w:snapToGrid w:val="0"/>
              <w:spacing w:line="240" w:lineRule="exact"/>
              <w:jc w:val="center"/>
              <w:rPr>
                <w:color w:val="auto"/>
                <w:sz w:val="24"/>
                <w:highlight w:val="none"/>
              </w:rPr>
            </w:pPr>
            <w:r>
              <w:rPr>
                <w:color w:val="auto"/>
                <w:sz w:val="24"/>
                <w:highlight w:val="none"/>
              </w:rPr>
              <w:t>采购人联系人及联系电话</w:t>
            </w:r>
          </w:p>
        </w:tc>
      </w:tr>
      <w:tr w14:paraId="0575B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4FDB08C2">
            <w:pPr>
              <w:jc w:val="left"/>
              <w:rPr>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0"/>
            <w:vAlign w:val="center"/>
          </w:tcPr>
          <w:p w14:paraId="561BBD61">
            <w:pPr>
              <w:jc w:val="left"/>
              <w:rPr>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FEF26F1">
            <w:pPr>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E32F43">
            <w:pPr>
              <w:snapToGrid w:val="0"/>
              <w:spacing w:line="240" w:lineRule="exact"/>
              <w:jc w:val="center"/>
              <w:rPr>
                <w:color w:val="auto"/>
                <w:sz w:val="24"/>
                <w:highlight w:val="none"/>
              </w:rPr>
            </w:pPr>
            <w:r>
              <w:rPr>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49BFBC5">
            <w:pPr>
              <w:snapToGrid w:val="0"/>
              <w:spacing w:line="240" w:lineRule="exact"/>
              <w:jc w:val="center"/>
              <w:rPr>
                <w:color w:val="auto"/>
                <w:sz w:val="24"/>
                <w:highlight w:val="none"/>
              </w:rPr>
            </w:pPr>
            <w:r>
              <w:rPr>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A89650">
            <w:pPr>
              <w:snapToGrid w:val="0"/>
              <w:spacing w:line="240" w:lineRule="exact"/>
              <w:jc w:val="center"/>
              <w:rPr>
                <w:color w:val="auto"/>
                <w:sz w:val="24"/>
                <w:highlight w:val="none"/>
              </w:rPr>
            </w:pPr>
            <w:r>
              <w:rPr>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8251A36">
            <w:pPr>
              <w:jc w:val="left"/>
              <w:rPr>
                <w:color w:val="auto"/>
                <w:sz w:val="24"/>
                <w:highlight w:val="none"/>
              </w:rPr>
            </w:pPr>
          </w:p>
        </w:tc>
      </w:tr>
      <w:tr w14:paraId="47BFE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42D7F481">
            <w:pPr>
              <w:snapToGrid w:val="0"/>
              <w:spacing w:line="24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574FC649">
            <w:pPr>
              <w:snapToGrid w:val="0"/>
              <w:spacing w:line="24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C86A72">
            <w:pPr>
              <w:snapToGrid w:val="0"/>
              <w:spacing w:line="24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CB00FAC">
            <w:pPr>
              <w:snapToGrid w:val="0"/>
              <w:spacing w:line="24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D15F100">
            <w:pPr>
              <w:snapToGrid w:val="0"/>
              <w:spacing w:line="24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2C661A">
            <w:pPr>
              <w:snapToGrid w:val="0"/>
              <w:spacing w:line="24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303C500">
            <w:pPr>
              <w:snapToGrid w:val="0"/>
              <w:spacing w:line="240" w:lineRule="exact"/>
              <w:jc w:val="left"/>
              <w:rPr>
                <w:color w:val="auto"/>
                <w:sz w:val="24"/>
                <w:highlight w:val="none"/>
              </w:rPr>
            </w:pPr>
          </w:p>
        </w:tc>
      </w:tr>
      <w:tr w14:paraId="2D25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3D426913">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3FA0DFD7">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F89CAD2">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47A2C39">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3E5BEE">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3EB169">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492C908">
            <w:pPr>
              <w:snapToGrid w:val="0"/>
              <w:spacing w:before="50" w:after="120" w:afterLines="50" w:line="400" w:lineRule="exact"/>
              <w:jc w:val="left"/>
              <w:rPr>
                <w:color w:val="auto"/>
                <w:sz w:val="24"/>
                <w:highlight w:val="none"/>
              </w:rPr>
            </w:pPr>
          </w:p>
        </w:tc>
      </w:tr>
      <w:tr w14:paraId="50B38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0B56A9CC">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044EDCC5">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8F634C">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5F4645C">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17974F3">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D6E4B9">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4CC5015">
            <w:pPr>
              <w:snapToGrid w:val="0"/>
              <w:spacing w:before="50" w:after="120" w:afterLines="50" w:line="400" w:lineRule="exact"/>
              <w:jc w:val="left"/>
              <w:rPr>
                <w:color w:val="auto"/>
                <w:sz w:val="24"/>
                <w:highlight w:val="none"/>
              </w:rPr>
            </w:pPr>
          </w:p>
        </w:tc>
      </w:tr>
      <w:tr w14:paraId="09090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58A523C8">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62BC0482">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BB032F">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C0FCDBA">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03D5F9">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936FCA">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048B682">
            <w:pPr>
              <w:snapToGrid w:val="0"/>
              <w:spacing w:before="50" w:after="120" w:afterLines="50" w:line="400" w:lineRule="exact"/>
              <w:jc w:val="left"/>
              <w:rPr>
                <w:color w:val="auto"/>
                <w:sz w:val="24"/>
                <w:highlight w:val="none"/>
              </w:rPr>
            </w:pPr>
          </w:p>
        </w:tc>
      </w:tr>
      <w:tr w14:paraId="7006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1F704E9B">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13E76264">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0AA15C">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628E73F">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FA42C3E">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FF1B60">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52235FF">
            <w:pPr>
              <w:snapToGrid w:val="0"/>
              <w:spacing w:before="50" w:after="120" w:afterLines="50" w:line="400" w:lineRule="exact"/>
              <w:jc w:val="left"/>
              <w:rPr>
                <w:color w:val="auto"/>
                <w:sz w:val="24"/>
                <w:highlight w:val="none"/>
              </w:rPr>
            </w:pPr>
          </w:p>
        </w:tc>
      </w:tr>
    </w:tbl>
    <w:p w14:paraId="3EA18D9C">
      <w:pPr>
        <w:pStyle w:val="23"/>
        <w:snapToGrid w:val="0"/>
        <w:ind w:left="480" w:hanging="480"/>
        <w:rPr>
          <w:color w:val="auto"/>
          <w:sz w:val="24"/>
          <w:highlight w:val="none"/>
        </w:rPr>
      </w:pPr>
    </w:p>
    <w:p w14:paraId="75B69DDC">
      <w:pPr>
        <w:pStyle w:val="23"/>
        <w:snapToGrid w:val="0"/>
        <w:ind w:left="480" w:hanging="480"/>
        <w:rPr>
          <w:color w:val="auto"/>
          <w:sz w:val="24"/>
          <w:highlight w:val="none"/>
        </w:rPr>
      </w:pPr>
    </w:p>
    <w:p w14:paraId="4E49D506">
      <w:pPr>
        <w:autoSpaceDE w:val="0"/>
        <w:autoSpaceDN w:val="0"/>
        <w:spacing w:line="360" w:lineRule="auto"/>
        <w:ind w:firstLine="422" w:firstLineChars="200"/>
        <w:rPr>
          <w:color w:val="auto"/>
          <w:szCs w:val="21"/>
          <w:highlight w:val="none"/>
        </w:rPr>
      </w:pPr>
      <w:r>
        <w:rPr>
          <w:b/>
          <w:color w:val="auto"/>
          <w:szCs w:val="21"/>
          <w:highlight w:val="none"/>
        </w:rPr>
        <w:t>附表 :相关项目业绩一览表（供应商类似项目合同复印件、用户验收报告、用户评价意见格式自拟）</w:t>
      </w:r>
    </w:p>
    <w:p w14:paraId="2CC9BF24">
      <w:pPr>
        <w:spacing w:line="360" w:lineRule="auto"/>
        <w:ind w:left="72" w:firstLine="420" w:firstLineChars="200"/>
        <w:rPr>
          <w:color w:val="auto"/>
          <w:kern w:val="0"/>
          <w:szCs w:val="21"/>
          <w:highlight w:val="none"/>
        </w:rPr>
      </w:pPr>
      <w:r>
        <w:rPr>
          <w:color w:val="auto"/>
          <w:kern w:val="0"/>
          <w:szCs w:val="21"/>
          <w:highlight w:val="none"/>
        </w:rPr>
        <w:t>注：供应商可参照下述的格式自行编制，须随表提交相应的合同复印件和用户单位验收证明并注明所在供应商商务技术文件页码。</w:t>
      </w:r>
    </w:p>
    <w:p w14:paraId="51C02DAA">
      <w:pPr>
        <w:snapToGrid w:val="0"/>
        <w:spacing w:line="360" w:lineRule="auto"/>
        <w:ind w:firstLine="4935" w:firstLineChars="2350"/>
        <w:rPr>
          <w:color w:val="auto"/>
          <w:szCs w:val="21"/>
          <w:highlight w:val="none"/>
        </w:rPr>
      </w:pPr>
      <w:r>
        <w:rPr>
          <w:color w:val="auto"/>
          <w:szCs w:val="21"/>
          <w:highlight w:val="none"/>
        </w:rPr>
        <w:t xml:space="preserve"> </w:t>
      </w:r>
    </w:p>
    <w:p w14:paraId="4EB9DF1C">
      <w:pPr>
        <w:snapToGrid w:val="0"/>
        <w:spacing w:line="360" w:lineRule="auto"/>
        <w:ind w:firstLine="4935" w:firstLineChars="2350"/>
        <w:rPr>
          <w:color w:val="auto"/>
          <w:szCs w:val="21"/>
          <w:highlight w:val="none"/>
        </w:rPr>
      </w:pPr>
    </w:p>
    <w:p w14:paraId="078541FD">
      <w:pPr>
        <w:spacing w:line="400" w:lineRule="exact"/>
        <w:ind w:firstLine="4410" w:firstLineChars="2100"/>
        <w:rPr>
          <w:color w:val="auto"/>
          <w:szCs w:val="21"/>
          <w:highlight w:val="none"/>
        </w:rPr>
      </w:pPr>
      <w:r>
        <w:rPr>
          <w:color w:val="auto"/>
          <w:szCs w:val="21"/>
          <w:highlight w:val="none"/>
        </w:rPr>
        <w:t xml:space="preserve"> </w:t>
      </w:r>
    </w:p>
    <w:p w14:paraId="43526ECD">
      <w:pPr>
        <w:spacing w:line="400" w:lineRule="exact"/>
        <w:ind w:firstLine="4410" w:firstLineChars="2100"/>
        <w:rPr>
          <w:color w:val="auto"/>
          <w:szCs w:val="21"/>
          <w:highlight w:val="none"/>
        </w:rPr>
      </w:pPr>
    </w:p>
    <w:p w14:paraId="4301C3AA">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6EB07AB2">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DD0A8E6">
      <w:pPr>
        <w:spacing w:line="500" w:lineRule="exact"/>
        <w:jc w:val="center"/>
        <w:rPr>
          <w:color w:val="auto"/>
          <w:szCs w:val="21"/>
          <w:highlight w:val="none"/>
        </w:rPr>
        <w:sectPr>
          <w:pgSz w:w="11911" w:h="16838"/>
          <w:pgMar w:top="1134" w:right="1134" w:bottom="1134" w:left="1134" w:header="720" w:footer="720" w:gutter="0"/>
          <w:cols w:space="720" w:num="1"/>
        </w:sectPr>
      </w:pPr>
    </w:p>
    <w:p w14:paraId="77A5CC5E">
      <w:pPr>
        <w:snapToGrid w:val="0"/>
        <w:spacing w:line="360" w:lineRule="auto"/>
        <w:rPr>
          <w:color w:val="auto"/>
          <w:sz w:val="28"/>
          <w:szCs w:val="28"/>
          <w:highlight w:val="none"/>
        </w:rPr>
      </w:pPr>
      <w:r>
        <w:rPr>
          <w:rFonts w:hint="eastAsia"/>
          <w:b/>
          <w:color w:val="auto"/>
          <w:sz w:val="28"/>
          <w:szCs w:val="28"/>
          <w:highlight w:val="none"/>
        </w:rPr>
        <w:t>9</w:t>
      </w:r>
      <w:r>
        <w:rPr>
          <w:b/>
          <w:color w:val="auto"/>
          <w:sz w:val="28"/>
          <w:szCs w:val="28"/>
          <w:highlight w:val="none"/>
        </w:rPr>
        <w:t>.</w:t>
      </w:r>
      <w:r>
        <w:rPr>
          <w:rFonts w:hint="eastAsia"/>
          <w:b/>
          <w:color w:val="auto"/>
          <w:sz w:val="28"/>
          <w:szCs w:val="28"/>
          <w:highlight w:val="none"/>
        </w:rPr>
        <w:t>技术</w:t>
      </w:r>
      <w:r>
        <w:rPr>
          <w:b/>
          <w:color w:val="auto"/>
          <w:sz w:val="28"/>
          <w:szCs w:val="28"/>
          <w:highlight w:val="none"/>
        </w:rPr>
        <w:t>需求偏离表的格式：</w:t>
      </w:r>
    </w:p>
    <w:p w14:paraId="7103C1BA">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w:t>
      </w:r>
      <w:r>
        <w:rPr>
          <w:rFonts w:ascii="宋体" w:hAnsi="宋体" w:cs="宋体"/>
          <w:b/>
          <w:bCs/>
          <w:color w:val="auto"/>
          <w:sz w:val="32"/>
          <w:szCs w:val="32"/>
          <w:highlight w:val="none"/>
        </w:rPr>
        <w:t>需求偏离表</w:t>
      </w:r>
    </w:p>
    <w:p w14:paraId="3C72E4CC">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(注：按采购需求具体条款修改)</w:t>
      </w:r>
    </w:p>
    <w:p w14:paraId="468214C4">
      <w:pPr>
        <w:spacing w:line="360" w:lineRule="auto"/>
        <w:contextualSpacing/>
        <w:jc w:val="left"/>
        <w:rPr>
          <w:color w:val="auto"/>
          <w:sz w:val="24"/>
          <w:highlight w:val="none"/>
        </w:rPr>
      </w:pPr>
    </w:p>
    <w:p w14:paraId="12D63D86">
      <w:pPr>
        <w:spacing w:line="360" w:lineRule="auto"/>
        <w:ind w:firstLine="720" w:firstLineChars="300"/>
        <w:contextualSpacing/>
        <w:rPr>
          <w:color w:val="auto"/>
          <w:sz w:val="24"/>
          <w:highlight w:val="none"/>
          <w:u w:val="single"/>
        </w:rPr>
      </w:pPr>
      <w:r>
        <w:rPr>
          <w:color w:val="auto"/>
          <w:sz w:val="24"/>
          <w:highlight w:val="none"/>
        </w:rPr>
        <w:t>项目名称：</w:t>
      </w:r>
      <w:r>
        <w:rPr>
          <w:color w:val="auto"/>
          <w:sz w:val="24"/>
          <w:highlight w:val="none"/>
          <w:u w:val="single"/>
        </w:rPr>
        <w:t xml:space="preserve">                 </w:t>
      </w:r>
    </w:p>
    <w:p w14:paraId="57C93C54">
      <w:pPr>
        <w:spacing w:line="360" w:lineRule="auto"/>
        <w:ind w:firstLine="720" w:firstLineChars="300"/>
        <w:contextualSpacing/>
        <w:rPr>
          <w:color w:val="auto"/>
          <w:sz w:val="24"/>
          <w:highlight w:val="none"/>
        </w:rPr>
      </w:pPr>
      <w:r>
        <w:rPr>
          <w:color w:val="auto"/>
          <w:sz w:val="24"/>
          <w:highlight w:val="none"/>
        </w:rPr>
        <w:t>项目编号：</w:t>
      </w:r>
      <w:r>
        <w:rPr>
          <w:color w:val="auto"/>
          <w:sz w:val="24"/>
          <w:highlight w:val="none"/>
          <w:u w:val="single"/>
        </w:rPr>
        <w:t xml:space="preserve">                 </w:t>
      </w:r>
    </w:p>
    <w:p w14:paraId="290B7D62">
      <w:pPr>
        <w:spacing w:line="360" w:lineRule="auto"/>
        <w:ind w:firstLine="720" w:firstLineChars="300"/>
        <w:contextualSpacing/>
        <w:rPr>
          <w:color w:val="auto"/>
          <w:sz w:val="24"/>
          <w:highlight w:val="none"/>
          <w:u w:val="single"/>
        </w:rPr>
      </w:pPr>
      <w:r>
        <w:rPr>
          <w:color w:val="auto"/>
          <w:sz w:val="24"/>
          <w:highlight w:val="none"/>
        </w:rPr>
        <w:t>所竞分标（如有则填写，无分标时填写</w:t>
      </w:r>
      <w:r>
        <w:rPr>
          <w:rFonts w:hint="eastAsia"/>
          <w:color w:val="auto"/>
          <w:sz w:val="24"/>
          <w:highlight w:val="none"/>
          <w:lang w:eastAsia="zh-CN"/>
        </w:rPr>
        <w:t>“</w:t>
      </w:r>
      <w:r>
        <w:rPr>
          <w:color w:val="auto"/>
          <w:sz w:val="24"/>
          <w:highlight w:val="none"/>
        </w:rPr>
        <w:t>无</w:t>
      </w:r>
      <w:r>
        <w:rPr>
          <w:rFonts w:hint="eastAsia"/>
          <w:color w:val="auto"/>
          <w:sz w:val="24"/>
          <w:highlight w:val="none"/>
          <w:lang w:eastAsia="zh-CN"/>
        </w:rPr>
        <w:t>”</w:t>
      </w:r>
      <w:r>
        <w:rPr>
          <w:color w:val="auto"/>
          <w:sz w:val="24"/>
          <w:highlight w:val="none"/>
        </w:rPr>
        <w:t>或者留空）：</w:t>
      </w:r>
      <w:r>
        <w:rPr>
          <w:color w:val="auto"/>
          <w:sz w:val="24"/>
          <w:highlight w:val="none"/>
          <w:u w:val="single"/>
        </w:rPr>
        <w:t xml:space="preserve">              </w:t>
      </w:r>
    </w:p>
    <w:tbl>
      <w:tblPr>
        <w:tblStyle w:val="28"/>
        <w:tblpPr w:leftFromText="180" w:rightFromText="180" w:vertAnchor="text" w:horzAnchor="page" w:tblpX="1637" w:tblpY="21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87"/>
        <w:gridCol w:w="3032"/>
        <w:gridCol w:w="1274"/>
      </w:tblGrid>
      <w:tr w14:paraId="2C0F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6BC86F13">
            <w:pPr>
              <w:spacing w:line="340" w:lineRule="exact"/>
              <w:jc w:val="center"/>
              <w:rPr>
                <w:color w:val="auto"/>
                <w:szCs w:val="21"/>
                <w:highlight w:val="none"/>
              </w:rPr>
            </w:pPr>
            <w:r>
              <w:rPr>
                <w:color w:val="auto"/>
                <w:szCs w:val="21"/>
                <w:highlight w:val="none"/>
              </w:rPr>
              <w:t>项号</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4AAB3D5E">
            <w:pPr>
              <w:spacing w:line="340" w:lineRule="exact"/>
              <w:jc w:val="center"/>
              <w:rPr>
                <w:color w:val="auto"/>
                <w:szCs w:val="21"/>
                <w:highlight w:val="none"/>
              </w:rPr>
            </w:pPr>
            <w:r>
              <w:rPr>
                <w:color w:val="auto"/>
                <w:szCs w:val="21"/>
                <w:highlight w:val="none"/>
              </w:rPr>
              <w:t>竞争性磋商文件的</w:t>
            </w:r>
            <w:r>
              <w:rPr>
                <w:rFonts w:hint="eastAsia"/>
                <w:color w:val="auto"/>
                <w:szCs w:val="21"/>
                <w:highlight w:val="none"/>
              </w:rPr>
              <w:t>技术要</w:t>
            </w:r>
            <w:r>
              <w:rPr>
                <w:color w:val="auto"/>
                <w:szCs w:val="21"/>
                <w:highlight w:val="none"/>
              </w:rPr>
              <w:t>求</w:t>
            </w:r>
          </w:p>
        </w:tc>
        <w:tc>
          <w:tcPr>
            <w:tcW w:w="3032" w:type="dxa"/>
            <w:tcBorders>
              <w:top w:val="single" w:color="auto" w:sz="4" w:space="0"/>
              <w:left w:val="single" w:color="auto" w:sz="4" w:space="0"/>
              <w:bottom w:val="single" w:color="auto" w:sz="4" w:space="0"/>
              <w:right w:val="single" w:color="auto" w:sz="4" w:space="0"/>
            </w:tcBorders>
            <w:noWrap w:val="0"/>
            <w:vAlign w:val="center"/>
          </w:tcPr>
          <w:p w14:paraId="4444822B">
            <w:pPr>
              <w:spacing w:line="340" w:lineRule="exact"/>
              <w:jc w:val="center"/>
              <w:rPr>
                <w:rFonts w:hint="eastAsia"/>
                <w:color w:val="auto"/>
                <w:szCs w:val="21"/>
                <w:highlight w:val="none"/>
              </w:rPr>
            </w:pPr>
            <w:r>
              <w:rPr>
                <w:color w:val="auto"/>
                <w:szCs w:val="21"/>
                <w:highlight w:val="none"/>
              </w:rPr>
              <w:t>响应文件响应的</w:t>
            </w:r>
            <w:r>
              <w:rPr>
                <w:rFonts w:hint="eastAsia"/>
                <w:color w:val="auto"/>
                <w:szCs w:val="21"/>
                <w:highlight w:val="none"/>
              </w:rPr>
              <w:t>技术要求</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FB0F047">
            <w:pPr>
              <w:spacing w:line="340" w:lineRule="exact"/>
              <w:jc w:val="center"/>
              <w:rPr>
                <w:color w:val="auto"/>
                <w:szCs w:val="21"/>
                <w:highlight w:val="none"/>
              </w:rPr>
            </w:pPr>
            <w:r>
              <w:rPr>
                <w:color w:val="auto"/>
                <w:szCs w:val="21"/>
                <w:highlight w:val="none"/>
              </w:rPr>
              <w:t>偏离说明</w:t>
            </w:r>
          </w:p>
        </w:tc>
      </w:tr>
      <w:tr w14:paraId="59F7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6263BABC">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14:paraId="3BCC7CC9">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14:paraId="4F562EC7">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AF3C527">
            <w:pPr>
              <w:spacing w:line="300" w:lineRule="exact"/>
              <w:rPr>
                <w:color w:val="auto"/>
                <w:szCs w:val="21"/>
                <w:highlight w:val="none"/>
              </w:rPr>
            </w:pPr>
          </w:p>
        </w:tc>
      </w:tr>
      <w:tr w14:paraId="0F78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6385A598">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14:paraId="5CEA1CE6">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14:paraId="0191D5FC">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9C4BC4A">
            <w:pPr>
              <w:spacing w:line="300" w:lineRule="exact"/>
              <w:rPr>
                <w:color w:val="auto"/>
                <w:szCs w:val="21"/>
                <w:highlight w:val="none"/>
              </w:rPr>
            </w:pPr>
          </w:p>
        </w:tc>
      </w:tr>
      <w:tr w14:paraId="4B28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725E03EE">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14:paraId="5111200B">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14:paraId="7717B00F">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24CF331">
            <w:pPr>
              <w:spacing w:line="300" w:lineRule="exact"/>
              <w:rPr>
                <w:color w:val="auto"/>
                <w:szCs w:val="21"/>
                <w:highlight w:val="none"/>
              </w:rPr>
            </w:pPr>
          </w:p>
        </w:tc>
      </w:tr>
      <w:tr w14:paraId="77ED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34CA947">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14:paraId="0553F16E">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14:paraId="6C771518">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AAB6EAC">
            <w:pPr>
              <w:spacing w:line="300" w:lineRule="exact"/>
              <w:rPr>
                <w:color w:val="auto"/>
                <w:szCs w:val="21"/>
                <w:highlight w:val="none"/>
              </w:rPr>
            </w:pPr>
          </w:p>
        </w:tc>
      </w:tr>
      <w:tr w14:paraId="168C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2C325E91">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14:paraId="2B072C00">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14:paraId="53220329">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11FDC89">
            <w:pPr>
              <w:spacing w:line="300" w:lineRule="exact"/>
              <w:rPr>
                <w:color w:val="auto"/>
                <w:szCs w:val="21"/>
                <w:highlight w:val="none"/>
              </w:rPr>
            </w:pPr>
          </w:p>
        </w:tc>
      </w:tr>
      <w:tr w14:paraId="3F1F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8C9E7EC">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14:paraId="0357466F">
            <w:pPr>
              <w:spacing w:line="340" w:lineRule="exact"/>
              <w:rPr>
                <w:color w:val="auto"/>
                <w:szCs w:val="21"/>
                <w:highlight w:val="none"/>
              </w:rPr>
            </w:pPr>
            <w:r>
              <w:rPr>
                <w:rFonts w:hint="eastAsia"/>
                <w:color w:val="auto"/>
                <w:szCs w:val="21"/>
                <w:highlight w:val="none"/>
              </w:rPr>
              <w:t>......</w:t>
            </w:r>
          </w:p>
        </w:tc>
        <w:tc>
          <w:tcPr>
            <w:tcW w:w="3032" w:type="dxa"/>
            <w:tcBorders>
              <w:top w:val="single" w:color="auto" w:sz="4" w:space="0"/>
              <w:left w:val="single" w:color="auto" w:sz="4" w:space="0"/>
              <w:bottom w:val="single" w:color="auto" w:sz="4" w:space="0"/>
              <w:right w:val="single" w:color="auto" w:sz="4" w:space="0"/>
            </w:tcBorders>
            <w:noWrap w:val="0"/>
            <w:vAlign w:val="center"/>
          </w:tcPr>
          <w:p w14:paraId="09F8614D">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7ECEEFD">
            <w:pPr>
              <w:spacing w:line="300" w:lineRule="exact"/>
              <w:rPr>
                <w:color w:val="auto"/>
                <w:szCs w:val="21"/>
                <w:highlight w:val="none"/>
              </w:rPr>
            </w:pPr>
          </w:p>
        </w:tc>
      </w:tr>
    </w:tbl>
    <w:p w14:paraId="1019E0DD">
      <w:pPr>
        <w:pStyle w:val="12"/>
        <w:spacing w:after="0" w:line="360" w:lineRule="auto"/>
        <w:contextualSpacing/>
        <w:rPr>
          <w:color w:val="auto"/>
          <w:kern w:val="0"/>
          <w:sz w:val="24"/>
          <w:szCs w:val="24"/>
          <w:highlight w:val="none"/>
        </w:rPr>
      </w:pPr>
    </w:p>
    <w:p w14:paraId="62939ACD">
      <w:pPr>
        <w:pStyle w:val="12"/>
        <w:spacing w:after="0" w:line="480" w:lineRule="auto"/>
        <w:ind w:firstLine="420" w:firstLineChars="200"/>
        <w:contextualSpacing/>
        <w:rPr>
          <w:color w:val="auto"/>
          <w:kern w:val="0"/>
          <w:sz w:val="21"/>
          <w:szCs w:val="21"/>
          <w:highlight w:val="none"/>
        </w:rPr>
      </w:pPr>
    </w:p>
    <w:p w14:paraId="570504F6">
      <w:pPr>
        <w:pStyle w:val="12"/>
        <w:spacing w:after="0" w:line="480" w:lineRule="auto"/>
        <w:ind w:firstLine="420" w:firstLineChars="200"/>
        <w:contextualSpacing/>
        <w:rPr>
          <w:color w:val="auto"/>
          <w:kern w:val="0"/>
          <w:sz w:val="21"/>
          <w:szCs w:val="21"/>
          <w:highlight w:val="none"/>
        </w:rPr>
      </w:pPr>
    </w:p>
    <w:p w14:paraId="48E30708">
      <w:pPr>
        <w:pStyle w:val="12"/>
        <w:spacing w:after="0" w:line="480" w:lineRule="auto"/>
        <w:ind w:firstLine="420" w:firstLineChars="200"/>
        <w:contextualSpacing/>
        <w:rPr>
          <w:color w:val="auto"/>
          <w:kern w:val="0"/>
          <w:sz w:val="21"/>
          <w:szCs w:val="21"/>
          <w:highlight w:val="none"/>
        </w:rPr>
      </w:pPr>
    </w:p>
    <w:p w14:paraId="65006796">
      <w:pPr>
        <w:pStyle w:val="12"/>
        <w:spacing w:after="0" w:line="480" w:lineRule="auto"/>
        <w:ind w:firstLine="420" w:firstLineChars="200"/>
        <w:contextualSpacing/>
        <w:rPr>
          <w:color w:val="auto"/>
          <w:kern w:val="0"/>
          <w:sz w:val="21"/>
          <w:szCs w:val="21"/>
          <w:highlight w:val="none"/>
        </w:rPr>
      </w:pPr>
    </w:p>
    <w:p w14:paraId="5CD3B97E">
      <w:pPr>
        <w:pStyle w:val="12"/>
        <w:spacing w:after="0" w:line="480" w:lineRule="auto"/>
        <w:ind w:firstLine="420" w:firstLineChars="200"/>
        <w:contextualSpacing/>
        <w:rPr>
          <w:color w:val="auto"/>
          <w:kern w:val="0"/>
          <w:sz w:val="21"/>
          <w:szCs w:val="21"/>
          <w:highlight w:val="none"/>
        </w:rPr>
      </w:pPr>
    </w:p>
    <w:p w14:paraId="0C6618B9">
      <w:pPr>
        <w:pStyle w:val="12"/>
        <w:spacing w:after="0" w:line="480" w:lineRule="auto"/>
        <w:ind w:firstLine="420" w:firstLineChars="200"/>
        <w:contextualSpacing/>
        <w:rPr>
          <w:color w:val="auto"/>
          <w:kern w:val="0"/>
          <w:sz w:val="21"/>
          <w:szCs w:val="21"/>
          <w:highlight w:val="none"/>
        </w:rPr>
      </w:pPr>
    </w:p>
    <w:p w14:paraId="43C7B68C">
      <w:pPr>
        <w:pStyle w:val="12"/>
        <w:spacing w:after="0" w:line="480" w:lineRule="auto"/>
        <w:ind w:firstLine="420" w:firstLineChars="200"/>
        <w:contextualSpacing/>
        <w:rPr>
          <w:color w:val="auto"/>
          <w:kern w:val="0"/>
          <w:sz w:val="21"/>
          <w:szCs w:val="21"/>
          <w:highlight w:val="none"/>
        </w:rPr>
      </w:pPr>
    </w:p>
    <w:p w14:paraId="4BECEEC0">
      <w:pPr>
        <w:pStyle w:val="12"/>
        <w:spacing w:after="0" w:line="480" w:lineRule="auto"/>
        <w:ind w:firstLine="420" w:firstLineChars="200"/>
        <w:contextualSpacing/>
        <w:rPr>
          <w:color w:val="auto"/>
          <w:kern w:val="0"/>
          <w:sz w:val="21"/>
          <w:szCs w:val="21"/>
          <w:highlight w:val="none"/>
        </w:rPr>
      </w:pPr>
    </w:p>
    <w:p w14:paraId="5EA1DD41">
      <w:pPr>
        <w:pStyle w:val="12"/>
        <w:spacing w:after="0" w:line="480" w:lineRule="auto"/>
        <w:ind w:firstLine="420" w:firstLineChars="200"/>
        <w:contextualSpacing/>
        <w:rPr>
          <w:color w:val="auto"/>
          <w:kern w:val="0"/>
          <w:sz w:val="21"/>
          <w:szCs w:val="21"/>
          <w:highlight w:val="none"/>
        </w:rPr>
      </w:pPr>
    </w:p>
    <w:p w14:paraId="179B3353">
      <w:pPr>
        <w:pStyle w:val="12"/>
        <w:spacing w:after="0" w:line="480" w:lineRule="auto"/>
        <w:ind w:firstLine="420" w:firstLineChars="200"/>
        <w:contextualSpacing/>
        <w:rPr>
          <w:color w:val="auto"/>
          <w:kern w:val="0"/>
          <w:sz w:val="21"/>
          <w:szCs w:val="21"/>
          <w:highlight w:val="none"/>
        </w:rPr>
      </w:pPr>
    </w:p>
    <w:p w14:paraId="25513094">
      <w:pPr>
        <w:pStyle w:val="12"/>
        <w:spacing w:after="0" w:line="480" w:lineRule="auto"/>
        <w:ind w:firstLine="420" w:firstLineChars="200"/>
        <w:contextualSpacing/>
        <w:rPr>
          <w:color w:val="auto"/>
          <w:kern w:val="0"/>
          <w:sz w:val="21"/>
          <w:szCs w:val="21"/>
          <w:highlight w:val="none"/>
        </w:rPr>
      </w:pPr>
      <w:r>
        <w:rPr>
          <w:color w:val="auto"/>
          <w:kern w:val="0"/>
          <w:sz w:val="21"/>
          <w:szCs w:val="21"/>
          <w:highlight w:val="none"/>
        </w:rPr>
        <w:t>注：</w:t>
      </w:r>
    </w:p>
    <w:p w14:paraId="411B32E6">
      <w:pPr>
        <w:pStyle w:val="12"/>
        <w:spacing w:after="0" w:line="480" w:lineRule="auto"/>
        <w:ind w:firstLine="420" w:firstLineChars="200"/>
        <w:contextualSpacing/>
        <w:rPr>
          <w:color w:val="auto"/>
          <w:kern w:val="0"/>
          <w:sz w:val="21"/>
          <w:szCs w:val="21"/>
          <w:highlight w:val="none"/>
        </w:rPr>
      </w:pPr>
      <w:r>
        <w:rPr>
          <w:color w:val="auto"/>
          <w:kern w:val="0"/>
          <w:sz w:val="21"/>
          <w:szCs w:val="21"/>
          <w:highlight w:val="none"/>
        </w:rPr>
        <w:t>1.说明：应对照磋商文件</w:t>
      </w:r>
      <w:r>
        <w:rPr>
          <w:rFonts w:hint="eastAsia"/>
          <w:color w:val="auto"/>
          <w:kern w:val="0"/>
          <w:sz w:val="21"/>
          <w:szCs w:val="21"/>
          <w:highlight w:val="none"/>
          <w:lang w:eastAsia="zh-CN"/>
        </w:rPr>
        <w:t>“</w:t>
      </w:r>
      <w:r>
        <w:rPr>
          <w:color w:val="auto"/>
          <w:kern w:val="0"/>
          <w:sz w:val="21"/>
          <w:szCs w:val="21"/>
          <w:highlight w:val="none"/>
        </w:rPr>
        <w:t>第二章</w:t>
      </w:r>
      <w:r>
        <w:rPr>
          <w:rFonts w:hint="eastAsia"/>
          <w:color w:val="auto"/>
          <w:kern w:val="0"/>
          <w:sz w:val="21"/>
          <w:szCs w:val="21"/>
          <w:highlight w:val="none"/>
          <w:lang w:eastAsia="zh-CN"/>
        </w:rPr>
        <w:t>”</w:t>
      </w:r>
      <w:r>
        <w:rPr>
          <w:color w:val="auto"/>
          <w:kern w:val="0"/>
          <w:sz w:val="21"/>
          <w:szCs w:val="21"/>
          <w:highlight w:val="none"/>
        </w:rPr>
        <w:t>中</w:t>
      </w:r>
      <w:r>
        <w:rPr>
          <w:rFonts w:hint="eastAsia"/>
          <w:color w:val="auto"/>
          <w:kern w:val="0"/>
          <w:sz w:val="21"/>
          <w:szCs w:val="21"/>
          <w:highlight w:val="none"/>
          <w:lang w:eastAsia="zh-CN"/>
        </w:rPr>
        <w:t>“</w:t>
      </w:r>
      <w:r>
        <w:rPr>
          <w:color w:val="auto"/>
          <w:kern w:val="0"/>
          <w:sz w:val="21"/>
          <w:szCs w:val="21"/>
          <w:highlight w:val="none"/>
        </w:rPr>
        <w:t>需求一览表</w:t>
      </w:r>
      <w:r>
        <w:rPr>
          <w:rFonts w:hint="eastAsia"/>
          <w:color w:val="auto"/>
          <w:kern w:val="0"/>
          <w:sz w:val="21"/>
          <w:szCs w:val="21"/>
          <w:highlight w:val="none"/>
          <w:lang w:eastAsia="zh-CN"/>
        </w:rPr>
        <w:t>”</w:t>
      </w:r>
      <w:r>
        <w:rPr>
          <w:color w:val="auto"/>
          <w:kern w:val="0"/>
          <w:sz w:val="21"/>
          <w:szCs w:val="21"/>
          <w:highlight w:val="none"/>
        </w:rPr>
        <w:t>的</w:t>
      </w:r>
      <w:r>
        <w:rPr>
          <w:rFonts w:hint="eastAsia"/>
          <w:color w:val="auto"/>
          <w:kern w:val="0"/>
          <w:sz w:val="21"/>
          <w:szCs w:val="21"/>
          <w:highlight w:val="none"/>
          <w:lang w:eastAsia="zh-CN"/>
        </w:rPr>
        <w:t>技术要求</w:t>
      </w:r>
      <w:r>
        <w:rPr>
          <w:color w:val="auto"/>
          <w:kern w:val="0"/>
          <w:sz w:val="21"/>
          <w:szCs w:val="21"/>
          <w:highlight w:val="none"/>
        </w:rPr>
        <w:t>逐条作出明确响应，并作出偏离说明。</w:t>
      </w:r>
    </w:p>
    <w:p w14:paraId="7DCF529C">
      <w:pPr>
        <w:pStyle w:val="14"/>
        <w:spacing w:line="480" w:lineRule="auto"/>
        <w:ind w:firstLine="420" w:firstLineChars="200"/>
        <w:contextualSpacing/>
        <w:rPr>
          <w:rFonts w:ascii="Times New Roman" w:eastAsia="宋体"/>
          <w:color w:val="auto"/>
          <w:sz w:val="21"/>
          <w:szCs w:val="21"/>
          <w:highlight w:val="none"/>
          <w:lang w:eastAsia="zh-CN"/>
        </w:rPr>
      </w:pPr>
      <w:r>
        <w:rPr>
          <w:rFonts w:ascii="Times New Roman" w:eastAsia="宋体"/>
          <w:color w:val="auto"/>
          <w:sz w:val="21"/>
          <w:szCs w:val="21"/>
          <w:highlight w:val="none"/>
        </w:rPr>
        <w:t>2.供应商应根据自身的承诺，对照磋商文件要求，在</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偏离说明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中注明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正偏离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lang w:eastAsia="zh-CN"/>
        </w:rPr>
        <w:t>或者</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负偏离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或者</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无偏离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。既不属于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正偏离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也不属于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负偏离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即为</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无偏离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 当响应文件的</w:t>
      </w:r>
      <w:r>
        <w:rPr>
          <w:rFonts w:hint="eastAsia" w:ascii="Times New Roman" w:eastAsia="宋体"/>
          <w:color w:val="auto"/>
          <w:sz w:val="21"/>
          <w:szCs w:val="21"/>
          <w:highlight w:val="none"/>
          <w:lang w:eastAsia="zh-CN"/>
        </w:rPr>
        <w:t>技术要求</w:t>
      </w:r>
      <w:r>
        <w:rPr>
          <w:rFonts w:ascii="Times New Roman" w:eastAsia="宋体"/>
          <w:color w:val="auto"/>
          <w:sz w:val="21"/>
          <w:szCs w:val="21"/>
          <w:highlight w:val="none"/>
        </w:rPr>
        <w:t>内容低于竞争性磋商文件要求时，</w:t>
      </w:r>
      <w:r>
        <w:rPr>
          <w:rFonts w:ascii="Times New Roman" w:eastAsia="宋体"/>
          <w:color w:val="auto"/>
          <w:sz w:val="21"/>
          <w:szCs w:val="21"/>
          <w:highlight w:val="none"/>
          <w:lang w:eastAsia="zh-CN"/>
        </w:rPr>
        <w:t>供应商</w:t>
      </w:r>
      <w:r>
        <w:rPr>
          <w:rFonts w:ascii="Times New Roman" w:eastAsia="宋体"/>
          <w:color w:val="auto"/>
          <w:sz w:val="21"/>
          <w:szCs w:val="21"/>
          <w:highlight w:val="none"/>
        </w:rPr>
        <w:t>应当如实写明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负偏离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，否则视为虚假应标</w:t>
      </w:r>
      <w:r>
        <w:rPr>
          <w:rFonts w:ascii="Times New Roman" w:eastAsia="宋体"/>
          <w:color w:val="auto"/>
          <w:sz w:val="21"/>
          <w:szCs w:val="21"/>
          <w:highlight w:val="none"/>
          <w:lang w:eastAsia="zh-CN"/>
        </w:rPr>
        <w:t>。</w:t>
      </w:r>
    </w:p>
    <w:p w14:paraId="7D55ABF2">
      <w:pPr>
        <w:spacing w:line="480" w:lineRule="auto"/>
        <w:ind w:firstLine="420" w:firstLineChars="200"/>
        <w:rPr>
          <w:color w:val="auto"/>
          <w:kern w:val="0"/>
          <w:szCs w:val="21"/>
          <w:highlight w:val="none"/>
        </w:rPr>
      </w:pPr>
      <w:r>
        <w:rPr>
          <w:color w:val="auto"/>
          <w:kern w:val="0"/>
          <w:szCs w:val="21"/>
          <w:highlight w:val="none"/>
        </w:rPr>
        <w:t>3.表格内容均需按要求填写并盖章，不得留空，</w:t>
      </w:r>
      <w:r>
        <w:rPr>
          <w:b/>
          <w:bCs/>
          <w:color w:val="auto"/>
          <w:kern w:val="0"/>
          <w:szCs w:val="21"/>
          <w:highlight w:val="none"/>
        </w:rPr>
        <w:t>否则按竞标无效处理。</w:t>
      </w:r>
    </w:p>
    <w:p w14:paraId="112BDBAB">
      <w:pPr>
        <w:spacing w:line="480" w:lineRule="auto"/>
        <w:ind w:firstLine="422" w:firstLineChars="200"/>
        <w:rPr>
          <w:rFonts w:hint="eastAsia" w:eastAsia="宋体"/>
          <w:b/>
          <w:bCs/>
          <w:color w:val="auto"/>
          <w:kern w:val="0"/>
          <w:szCs w:val="21"/>
          <w:highlight w:val="none"/>
          <w:lang w:val="en-US" w:eastAsia="zh-CN"/>
        </w:rPr>
      </w:pPr>
      <w:r>
        <w:rPr>
          <w:rFonts w:hint="eastAsia" w:eastAsia="宋体"/>
          <w:b/>
          <w:bCs/>
          <w:color w:val="auto"/>
          <w:kern w:val="0"/>
          <w:szCs w:val="21"/>
          <w:highlight w:val="none"/>
          <w:lang w:val="en-US" w:eastAsia="zh-CN"/>
        </w:rPr>
        <w:t>4.按</w:t>
      </w:r>
      <w:r>
        <w:rPr>
          <w:rFonts w:hint="eastAsia" w:eastAsia="宋体"/>
          <w:b/>
          <w:bCs/>
          <w:color w:val="auto"/>
          <w:kern w:val="0"/>
          <w:szCs w:val="21"/>
          <w:highlight w:val="none"/>
          <w:lang w:eastAsia="zh-CN"/>
        </w:rPr>
        <w:t>磋商文件“第二章”中“需求一览表”的技术要求提供相关证明材料，否则按竞标无效处理。</w:t>
      </w:r>
    </w:p>
    <w:p w14:paraId="723A153A">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18BE3999">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18EC292">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7B121C25">
      <w:pPr>
        <w:pStyle w:val="37"/>
        <w:rPr>
          <w:rFonts w:hint="eastAsia" w:ascii="方正小标宋简体" w:hAnsi="方正小标宋简体" w:eastAsia="方正小标宋简体" w:cs="方正小标宋简体"/>
          <w:bCs w:val="0"/>
          <w:color w:val="auto"/>
          <w:sz w:val="44"/>
          <w:szCs w:val="44"/>
          <w:highlight w:val="none"/>
        </w:rPr>
      </w:pPr>
    </w:p>
    <w:p w14:paraId="4F9A57FA">
      <w:pPr>
        <w:pStyle w:val="37"/>
        <w:rPr>
          <w:rFonts w:hint="eastAsia" w:ascii="方正小标宋简体" w:hAnsi="方正小标宋简体" w:eastAsia="方正小标宋简体" w:cs="方正小标宋简体"/>
          <w:bCs w:val="0"/>
          <w:color w:val="auto"/>
          <w:sz w:val="44"/>
          <w:szCs w:val="44"/>
          <w:highlight w:val="none"/>
        </w:rPr>
      </w:pPr>
    </w:p>
    <w:p w14:paraId="404E77A6">
      <w:pPr>
        <w:snapToGrid w:val="0"/>
        <w:spacing w:line="360" w:lineRule="auto"/>
        <w:rPr>
          <w:rFonts w:hint="eastAsia"/>
          <w:b/>
          <w:color w:val="auto"/>
          <w:sz w:val="28"/>
          <w:szCs w:val="28"/>
          <w:highlight w:val="none"/>
        </w:rPr>
      </w:pPr>
    </w:p>
    <w:p w14:paraId="5FA6E02D">
      <w:pPr>
        <w:snapToGrid w:val="0"/>
        <w:spacing w:line="360" w:lineRule="auto"/>
        <w:rPr>
          <w:b/>
          <w:color w:val="auto"/>
          <w:sz w:val="28"/>
          <w:szCs w:val="28"/>
          <w:highlight w:val="none"/>
        </w:rPr>
      </w:pPr>
      <w:r>
        <w:rPr>
          <w:rFonts w:hint="eastAsia"/>
          <w:b/>
          <w:color w:val="auto"/>
          <w:sz w:val="28"/>
          <w:szCs w:val="28"/>
          <w:highlight w:val="none"/>
        </w:rPr>
        <w:t>10</w:t>
      </w:r>
      <w:r>
        <w:rPr>
          <w:b/>
          <w:color w:val="auto"/>
          <w:sz w:val="28"/>
          <w:szCs w:val="28"/>
          <w:highlight w:val="none"/>
        </w:rPr>
        <w:t>.施工组织设计（格式自拟）</w:t>
      </w:r>
    </w:p>
    <w:p w14:paraId="691C6938">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20CBCBEE">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30E4D68">
      <w:pPr>
        <w:snapToGrid w:val="0"/>
        <w:spacing w:line="360" w:lineRule="auto"/>
        <w:rPr>
          <w:rFonts w:hint="eastAsia" w:ascii="宋体" w:hAnsi="宋体" w:cs="宋体"/>
          <w:b/>
          <w:color w:val="auto"/>
          <w:sz w:val="30"/>
          <w:szCs w:val="30"/>
          <w:highlight w:val="none"/>
        </w:rPr>
      </w:pPr>
    </w:p>
    <w:p w14:paraId="40E77992">
      <w:pPr>
        <w:pStyle w:val="7"/>
        <w:ind w:firstLine="0"/>
        <w:rPr>
          <w:rFonts w:hint="eastAsia" w:ascii="宋体" w:hAnsi="宋体" w:cs="宋体"/>
          <w:b/>
          <w:color w:val="auto"/>
          <w:sz w:val="30"/>
          <w:szCs w:val="30"/>
          <w:highlight w:val="none"/>
        </w:rPr>
      </w:pPr>
    </w:p>
    <w:p w14:paraId="063273AD">
      <w:pPr>
        <w:pStyle w:val="7"/>
        <w:rPr>
          <w:rFonts w:hint="eastAsia" w:ascii="宋体" w:hAnsi="宋体" w:cs="宋体"/>
          <w:b/>
          <w:color w:val="auto"/>
          <w:sz w:val="30"/>
          <w:szCs w:val="30"/>
          <w:highlight w:val="none"/>
        </w:rPr>
      </w:pPr>
    </w:p>
    <w:p w14:paraId="486A8D6A">
      <w:pPr>
        <w:snapToGrid w:val="0"/>
        <w:spacing w:line="360" w:lineRule="auto"/>
        <w:rPr>
          <w:b/>
          <w:color w:val="auto"/>
          <w:sz w:val="28"/>
          <w:szCs w:val="28"/>
          <w:highlight w:val="none"/>
        </w:rPr>
      </w:pPr>
      <w:r>
        <w:rPr>
          <w:b/>
          <w:color w:val="auto"/>
          <w:sz w:val="28"/>
          <w:szCs w:val="28"/>
          <w:highlight w:val="none"/>
        </w:rPr>
        <w:t>1</w:t>
      </w:r>
      <w:r>
        <w:rPr>
          <w:rFonts w:hint="eastAsia"/>
          <w:b/>
          <w:color w:val="auto"/>
          <w:sz w:val="28"/>
          <w:szCs w:val="28"/>
          <w:highlight w:val="none"/>
        </w:rPr>
        <w:t>1</w:t>
      </w:r>
      <w:r>
        <w:rPr>
          <w:b/>
          <w:color w:val="auto"/>
          <w:sz w:val="28"/>
          <w:szCs w:val="28"/>
          <w:highlight w:val="none"/>
        </w:rPr>
        <w:t>.项目实施人员一览表</w:t>
      </w:r>
    </w:p>
    <w:p w14:paraId="1B4553A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2FFCF3D9">
      <w:pPr>
        <w:pStyle w:val="20"/>
        <w:rPr>
          <w:rFonts w:hint="eastAsia"/>
          <w:color w:val="auto"/>
          <w:highlight w:val="none"/>
        </w:rPr>
      </w:pPr>
    </w:p>
    <w:p w14:paraId="4E4545C6">
      <w:pPr>
        <w:spacing w:line="360" w:lineRule="auto"/>
        <w:rPr>
          <w:color w:val="auto"/>
          <w:kern w:val="0"/>
          <w:szCs w:val="21"/>
          <w:highlight w:val="none"/>
        </w:rPr>
      </w:pPr>
      <w:r>
        <w:rPr>
          <w:color w:val="auto"/>
          <w:szCs w:val="21"/>
          <w:highlight w:val="none"/>
        </w:rPr>
        <w:t>所竞分标（如有则填写，无分标时填写</w:t>
      </w:r>
      <w:r>
        <w:rPr>
          <w:rFonts w:hint="eastAsia"/>
          <w:color w:val="auto"/>
          <w:szCs w:val="21"/>
          <w:highlight w:val="none"/>
          <w:lang w:eastAsia="zh-CN"/>
        </w:rPr>
        <w:t>“</w:t>
      </w:r>
      <w:r>
        <w:rPr>
          <w:color w:val="auto"/>
          <w:szCs w:val="21"/>
          <w:highlight w:val="none"/>
        </w:rPr>
        <w:t>无</w:t>
      </w:r>
      <w:r>
        <w:rPr>
          <w:rFonts w:hint="eastAsia"/>
          <w:color w:val="auto"/>
          <w:szCs w:val="21"/>
          <w:highlight w:val="none"/>
          <w:lang w:eastAsia="zh-CN"/>
        </w:rPr>
        <w:t>”</w:t>
      </w:r>
      <w:r>
        <w:rPr>
          <w:color w:val="auto"/>
          <w:szCs w:val="21"/>
          <w:highlight w:val="none"/>
        </w:rPr>
        <w:t>或者留空）：</w:t>
      </w:r>
      <w:r>
        <w:rPr>
          <w:color w:val="auto"/>
          <w:szCs w:val="21"/>
          <w:highlight w:val="none"/>
          <w:u w:val="single"/>
        </w:rPr>
        <w:t xml:space="preserve">             </w:t>
      </w:r>
    </w:p>
    <w:p w14:paraId="2B078E2C">
      <w:pPr>
        <w:keepNext/>
        <w:autoSpaceDE w:val="0"/>
        <w:autoSpaceDN w:val="0"/>
        <w:spacing w:line="360" w:lineRule="auto"/>
        <w:ind w:firstLine="211" w:firstLineChars="100"/>
        <w:rPr>
          <w:b/>
          <w:color w:val="auto"/>
          <w:szCs w:val="21"/>
          <w:highlight w:val="none"/>
        </w:rPr>
      </w:pPr>
      <w:r>
        <w:rPr>
          <w:b/>
          <w:color w:val="auto"/>
          <w:szCs w:val="21"/>
          <w:highlight w:val="none"/>
        </w:rPr>
        <w:t>项目经理</w:t>
      </w:r>
      <w:r>
        <w:rPr>
          <w:rFonts w:hint="eastAsia"/>
          <w:b/>
          <w:color w:val="auto"/>
          <w:szCs w:val="21"/>
          <w:highlight w:val="none"/>
        </w:rPr>
        <w:t>简历表</w:t>
      </w:r>
      <w:r>
        <w:rPr>
          <w:color w:val="auto"/>
          <w:szCs w:val="21"/>
          <w:highlight w:val="none"/>
        </w:rPr>
        <w:t>（参照此格式自制）</w:t>
      </w:r>
    </w:p>
    <w:tbl>
      <w:tblPr>
        <w:tblStyle w:val="2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7F3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4B75F5DB">
            <w:pPr>
              <w:jc w:val="center"/>
              <w:rPr>
                <w:color w:val="auto"/>
                <w:szCs w:val="21"/>
                <w:highlight w:val="none"/>
              </w:rPr>
            </w:pPr>
            <w:r>
              <w:rPr>
                <w:color w:val="auto"/>
                <w:szCs w:val="21"/>
                <w:highlight w:val="none"/>
              </w:rPr>
              <w:t>姓名</w:t>
            </w:r>
          </w:p>
        </w:tc>
        <w:tc>
          <w:tcPr>
            <w:tcW w:w="2340" w:type="dxa"/>
            <w:gridSpan w:val="3"/>
            <w:noWrap w:val="0"/>
            <w:vAlign w:val="center"/>
          </w:tcPr>
          <w:p w14:paraId="396442C4">
            <w:pPr>
              <w:jc w:val="center"/>
              <w:rPr>
                <w:color w:val="auto"/>
                <w:szCs w:val="21"/>
                <w:highlight w:val="none"/>
              </w:rPr>
            </w:pPr>
          </w:p>
        </w:tc>
        <w:tc>
          <w:tcPr>
            <w:tcW w:w="1893" w:type="dxa"/>
            <w:gridSpan w:val="2"/>
            <w:noWrap w:val="0"/>
            <w:vAlign w:val="center"/>
          </w:tcPr>
          <w:p w14:paraId="50684223">
            <w:pPr>
              <w:jc w:val="center"/>
              <w:rPr>
                <w:color w:val="auto"/>
                <w:szCs w:val="21"/>
                <w:highlight w:val="none"/>
              </w:rPr>
            </w:pPr>
            <w:r>
              <w:rPr>
                <w:color w:val="auto"/>
                <w:szCs w:val="21"/>
                <w:highlight w:val="none"/>
              </w:rPr>
              <w:t>性别</w:t>
            </w:r>
          </w:p>
        </w:tc>
        <w:tc>
          <w:tcPr>
            <w:tcW w:w="1585" w:type="dxa"/>
            <w:gridSpan w:val="2"/>
            <w:noWrap w:val="0"/>
            <w:vAlign w:val="center"/>
          </w:tcPr>
          <w:p w14:paraId="58BFB179">
            <w:pPr>
              <w:jc w:val="center"/>
              <w:rPr>
                <w:color w:val="auto"/>
                <w:szCs w:val="21"/>
                <w:highlight w:val="none"/>
              </w:rPr>
            </w:pPr>
          </w:p>
        </w:tc>
        <w:tc>
          <w:tcPr>
            <w:tcW w:w="1108" w:type="dxa"/>
            <w:gridSpan w:val="2"/>
            <w:noWrap w:val="0"/>
            <w:vAlign w:val="center"/>
          </w:tcPr>
          <w:p w14:paraId="5023653D">
            <w:pPr>
              <w:jc w:val="center"/>
              <w:rPr>
                <w:color w:val="auto"/>
                <w:szCs w:val="21"/>
                <w:highlight w:val="none"/>
              </w:rPr>
            </w:pPr>
            <w:r>
              <w:rPr>
                <w:color w:val="auto"/>
                <w:szCs w:val="21"/>
                <w:highlight w:val="none"/>
              </w:rPr>
              <w:t>年龄</w:t>
            </w:r>
          </w:p>
        </w:tc>
        <w:tc>
          <w:tcPr>
            <w:tcW w:w="1276" w:type="dxa"/>
            <w:noWrap w:val="0"/>
            <w:vAlign w:val="center"/>
          </w:tcPr>
          <w:p w14:paraId="1ADCC22B">
            <w:pPr>
              <w:jc w:val="center"/>
              <w:rPr>
                <w:color w:val="auto"/>
                <w:szCs w:val="21"/>
                <w:highlight w:val="none"/>
              </w:rPr>
            </w:pPr>
          </w:p>
        </w:tc>
      </w:tr>
      <w:tr w14:paraId="0DA6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076476F5">
            <w:pPr>
              <w:jc w:val="center"/>
              <w:rPr>
                <w:color w:val="auto"/>
                <w:szCs w:val="21"/>
                <w:highlight w:val="none"/>
              </w:rPr>
            </w:pPr>
            <w:r>
              <w:rPr>
                <w:color w:val="auto"/>
                <w:szCs w:val="21"/>
                <w:highlight w:val="none"/>
              </w:rPr>
              <w:t>职务</w:t>
            </w:r>
          </w:p>
        </w:tc>
        <w:tc>
          <w:tcPr>
            <w:tcW w:w="2340" w:type="dxa"/>
            <w:gridSpan w:val="3"/>
            <w:noWrap w:val="0"/>
            <w:vAlign w:val="center"/>
          </w:tcPr>
          <w:p w14:paraId="4BA51EA8">
            <w:pPr>
              <w:jc w:val="center"/>
              <w:rPr>
                <w:color w:val="auto"/>
                <w:szCs w:val="21"/>
                <w:highlight w:val="none"/>
              </w:rPr>
            </w:pPr>
          </w:p>
        </w:tc>
        <w:tc>
          <w:tcPr>
            <w:tcW w:w="1893" w:type="dxa"/>
            <w:gridSpan w:val="2"/>
            <w:noWrap w:val="0"/>
            <w:vAlign w:val="center"/>
          </w:tcPr>
          <w:p w14:paraId="7E3594BD">
            <w:pPr>
              <w:jc w:val="center"/>
              <w:rPr>
                <w:color w:val="auto"/>
                <w:szCs w:val="21"/>
                <w:highlight w:val="none"/>
              </w:rPr>
            </w:pPr>
            <w:r>
              <w:rPr>
                <w:color w:val="auto"/>
                <w:szCs w:val="21"/>
                <w:highlight w:val="none"/>
              </w:rPr>
              <w:t>职称</w:t>
            </w:r>
          </w:p>
        </w:tc>
        <w:tc>
          <w:tcPr>
            <w:tcW w:w="1585" w:type="dxa"/>
            <w:gridSpan w:val="2"/>
            <w:noWrap w:val="0"/>
            <w:vAlign w:val="center"/>
          </w:tcPr>
          <w:p w14:paraId="4ABC5D51">
            <w:pPr>
              <w:jc w:val="center"/>
              <w:rPr>
                <w:color w:val="auto"/>
                <w:szCs w:val="21"/>
                <w:highlight w:val="none"/>
              </w:rPr>
            </w:pPr>
          </w:p>
        </w:tc>
        <w:tc>
          <w:tcPr>
            <w:tcW w:w="1108" w:type="dxa"/>
            <w:gridSpan w:val="2"/>
            <w:noWrap w:val="0"/>
            <w:vAlign w:val="center"/>
          </w:tcPr>
          <w:p w14:paraId="44939CCD">
            <w:pPr>
              <w:jc w:val="center"/>
              <w:rPr>
                <w:color w:val="auto"/>
                <w:szCs w:val="21"/>
                <w:highlight w:val="none"/>
              </w:rPr>
            </w:pPr>
            <w:r>
              <w:rPr>
                <w:color w:val="auto"/>
                <w:szCs w:val="21"/>
                <w:highlight w:val="none"/>
              </w:rPr>
              <w:t>学历</w:t>
            </w:r>
          </w:p>
        </w:tc>
        <w:tc>
          <w:tcPr>
            <w:tcW w:w="1276" w:type="dxa"/>
            <w:noWrap w:val="0"/>
            <w:vAlign w:val="center"/>
          </w:tcPr>
          <w:p w14:paraId="1F1E3B37">
            <w:pPr>
              <w:jc w:val="center"/>
              <w:rPr>
                <w:color w:val="auto"/>
                <w:szCs w:val="21"/>
                <w:highlight w:val="none"/>
              </w:rPr>
            </w:pPr>
          </w:p>
        </w:tc>
      </w:tr>
      <w:tr w14:paraId="38A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07DD7738">
            <w:pPr>
              <w:jc w:val="center"/>
              <w:rPr>
                <w:color w:val="auto"/>
                <w:szCs w:val="21"/>
                <w:highlight w:val="none"/>
              </w:rPr>
            </w:pPr>
            <w:r>
              <w:rPr>
                <w:color w:val="auto"/>
                <w:szCs w:val="21"/>
                <w:highlight w:val="none"/>
              </w:rPr>
              <w:t>参加工作时间</w:t>
            </w:r>
          </w:p>
        </w:tc>
        <w:tc>
          <w:tcPr>
            <w:tcW w:w="1893" w:type="dxa"/>
            <w:gridSpan w:val="2"/>
            <w:noWrap w:val="0"/>
            <w:vAlign w:val="center"/>
          </w:tcPr>
          <w:p w14:paraId="18770125">
            <w:pPr>
              <w:jc w:val="center"/>
              <w:rPr>
                <w:color w:val="auto"/>
                <w:szCs w:val="21"/>
                <w:highlight w:val="none"/>
              </w:rPr>
            </w:pPr>
          </w:p>
        </w:tc>
        <w:tc>
          <w:tcPr>
            <w:tcW w:w="2693" w:type="dxa"/>
            <w:gridSpan w:val="4"/>
            <w:noWrap w:val="0"/>
            <w:vAlign w:val="center"/>
          </w:tcPr>
          <w:p w14:paraId="31E78A75">
            <w:pPr>
              <w:jc w:val="center"/>
              <w:rPr>
                <w:color w:val="auto"/>
                <w:szCs w:val="21"/>
                <w:highlight w:val="none"/>
              </w:rPr>
            </w:pPr>
            <w:r>
              <w:rPr>
                <w:color w:val="auto"/>
                <w:szCs w:val="21"/>
                <w:highlight w:val="none"/>
              </w:rPr>
              <w:t>担任项目经理年限</w:t>
            </w:r>
          </w:p>
        </w:tc>
        <w:tc>
          <w:tcPr>
            <w:tcW w:w="1276" w:type="dxa"/>
            <w:noWrap w:val="0"/>
            <w:vAlign w:val="center"/>
          </w:tcPr>
          <w:p w14:paraId="20962EF0">
            <w:pPr>
              <w:jc w:val="center"/>
              <w:rPr>
                <w:color w:val="auto"/>
                <w:szCs w:val="21"/>
                <w:highlight w:val="none"/>
              </w:rPr>
            </w:pPr>
          </w:p>
        </w:tc>
      </w:tr>
      <w:tr w14:paraId="6621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29D10192">
            <w:pPr>
              <w:jc w:val="center"/>
              <w:rPr>
                <w:color w:val="auto"/>
                <w:szCs w:val="21"/>
                <w:highlight w:val="none"/>
              </w:rPr>
            </w:pPr>
            <w:r>
              <w:rPr>
                <w:color w:val="auto"/>
                <w:szCs w:val="21"/>
                <w:highlight w:val="none"/>
              </w:rPr>
              <w:t>建造师注册证书编号</w:t>
            </w:r>
          </w:p>
        </w:tc>
        <w:tc>
          <w:tcPr>
            <w:tcW w:w="5862" w:type="dxa"/>
            <w:gridSpan w:val="7"/>
            <w:noWrap w:val="0"/>
            <w:vAlign w:val="center"/>
          </w:tcPr>
          <w:p w14:paraId="0CA06FD7">
            <w:pPr>
              <w:jc w:val="center"/>
              <w:rPr>
                <w:color w:val="auto"/>
                <w:szCs w:val="21"/>
                <w:highlight w:val="none"/>
              </w:rPr>
            </w:pPr>
          </w:p>
        </w:tc>
      </w:tr>
      <w:tr w14:paraId="7BE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6C3E62A7">
            <w:pPr>
              <w:jc w:val="center"/>
              <w:rPr>
                <w:color w:val="auto"/>
                <w:szCs w:val="21"/>
                <w:highlight w:val="none"/>
              </w:rPr>
            </w:pPr>
            <w:r>
              <w:rPr>
                <w:color w:val="auto"/>
                <w:szCs w:val="21"/>
                <w:highlight w:val="none"/>
              </w:rPr>
              <w:t>在建和已完工程项目情况</w:t>
            </w:r>
          </w:p>
        </w:tc>
      </w:tr>
      <w:tr w14:paraId="05A5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532CE041">
            <w:pPr>
              <w:jc w:val="center"/>
              <w:rPr>
                <w:color w:val="auto"/>
                <w:szCs w:val="21"/>
                <w:highlight w:val="none"/>
              </w:rPr>
            </w:pPr>
            <w:r>
              <w:rPr>
                <w:color w:val="auto"/>
                <w:szCs w:val="21"/>
                <w:highlight w:val="none"/>
              </w:rPr>
              <w:t>建设单位</w:t>
            </w:r>
          </w:p>
        </w:tc>
        <w:tc>
          <w:tcPr>
            <w:tcW w:w="1548" w:type="dxa"/>
            <w:noWrap w:val="0"/>
            <w:vAlign w:val="center"/>
          </w:tcPr>
          <w:p w14:paraId="5B16DFE5">
            <w:pPr>
              <w:jc w:val="center"/>
              <w:rPr>
                <w:color w:val="auto"/>
                <w:szCs w:val="21"/>
                <w:highlight w:val="none"/>
              </w:rPr>
            </w:pPr>
            <w:r>
              <w:rPr>
                <w:color w:val="auto"/>
                <w:szCs w:val="21"/>
                <w:highlight w:val="none"/>
              </w:rPr>
              <w:t>项目名称</w:t>
            </w:r>
          </w:p>
        </w:tc>
        <w:tc>
          <w:tcPr>
            <w:tcW w:w="1547" w:type="dxa"/>
            <w:gridSpan w:val="2"/>
            <w:noWrap w:val="0"/>
            <w:vAlign w:val="center"/>
          </w:tcPr>
          <w:p w14:paraId="3545B9A8">
            <w:pPr>
              <w:jc w:val="center"/>
              <w:rPr>
                <w:color w:val="auto"/>
                <w:szCs w:val="21"/>
                <w:highlight w:val="none"/>
              </w:rPr>
            </w:pPr>
            <w:r>
              <w:rPr>
                <w:color w:val="auto"/>
                <w:szCs w:val="21"/>
                <w:highlight w:val="none"/>
              </w:rPr>
              <w:t>建设规模</w:t>
            </w:r>
          </w:p>
        </w:tc>
        <w:tc>
          <w:tcPr>
            <w:tcW w:w="1548" w:type="dxa"/>
            <w:gridSpan w:val="2"/>
            <w:noWrap w:val="0"/>
            <w:vAlign w:val="center"/>
          </w:tcPr>
          <w:p w14:paraId="2132F9D6">
            <w:pPr>
              <w:jc w:val="center"/>
              <w:rPr>
                <w:color w:val="auto"/>
                <w:szCs w:val="21"/>
                <w:highlight w:val="none"/>
              </w:rPr>
            </w:pPr>
            <w:r>
              <w:rPr>
                <w:color w:val="auto"/>
                <w:szCs w:val="21"/>
                <w:highlight w:val="none"/>
              </w:rPr>
              <w:t>开、竣工日期</w:t>
            </w:r>
          </w:p>
        </w:tc>
        <w:tc>
          <w:tcPr>
            <w:tcW w:w="1547" w:type="dxa"/>
            <w:gridSpan w:val="2"/>
            <w:noWrap w:val="0"/>
            <w:vAlign w:val="center"/>
          </w:tcPr>
          <w:p w14:paraId="4D5DA556">
            <w:pPr>
              <w:jc w:val="center"/>
              <w:rPr>
                <w:color w:val="auto"/>
                <w:szCs w:val="21"/>
                <w:highlight w:val="none"/>
              </w:rPr>
            </w:pPr>
            <w:r>
              <w:rPr>
                <w:color w:val="auto"/>
                <w:szCs w:val="21"/>
                <w:highlight w:val="none"/>
              </w:rPr>
              <w:t>在建或已完</w:t>
            </w:r>
          </w:p>
        </w:tc>
        <w:tc>
          <w:tcPr>
            <w:tcW w:w="1548" w:type="dxa"/>
            <w:gridSpan w:val="2"/>
            <w:noWrap w:val="0"/>
            <w:vAlign w:val="center"/>
          </w:tcPr>
          <w:p w14:paraId="214CAAF5">
            <w:pPr>
              <w:jc w:val="center"/>
              <w:rPr>
                <w:color w:val="auto"/>
                <w:szCs w:val="21"/>
                <w:highlight w:val="none"/>
              </w:rPr>
            </w:pPr>
            <w:r>
              <w:rPr>
                <w:color w:val="auto"/>
                <w:szCs w:val="21"/>
                <w:highlight w:val="none"/>
              </w:rPr>
              <w:t>工程质量</w:t>
            </w:r>
          </w:p>
        </w:tc>
      </w:tr>
      <w:tr w14:paraId="2889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ACB818E">
            <w:pPr>
              <w:jc w:val="center"/>
              <w:rPr>
                <w:color w:val="auto"/>
                <w:szCs w:val="21"/>
                <w:highlight w:val="none"/>
              </w:rPr>
            </w:pPr>
          </w:p>
        </w:tc>
        <w:tc>
          <w:tcPr>
            <w:tcW w:w="1548" w:type="dxa"/>
            <w:noWrap w:val="0"/>
            <w:vAlign w:val="center"/>
          </w:tcPr>
          <w:p w14:paraId="341A3512">
            <w:pPr>
              <w:jc w:val="center"/>
              <w:rPr>
                <w:color w:val="auto"/>
                <w:szCs w:val="21"/>
                <w:highlight w:val="none"/>
              </w:rPr>
            </w:pPr>
          </w:p>
        </w:tc>
        <w:tc>
          <w:tcPr>
            <w:tcW w:w="1547" w:type="dxa"/>
            <w:gridSpan w:val="2"/>
            <w:noWrap w:val="0"/>
            <w:vAlign w:val="center"/>
          </w:tcPr>
          <w:p w14:paraId="3D8C0B2A">
            <w:pPr>
              <w:jc w:val="center"/>
              <w:rPr>
                <w:color w:val="auto"/>
                <w:szCs w:val="21"/>
                <w:highlight w:val="none"/>
              </w:rPr>
            </w:pPr>
          </w:p>
        </w:tc>
        <w:tc>
          <w:tcPr>
            <w:tcW w:w="1548" w:type="dxa"/>
            <w:gridSpan w:val="2"/>
            <w:noWrap w:val="0"/>
            <w:vAlign w:val="center"/>
          </w:tcPr>
          <w:p w14:paraId="52E2F363">
            <w:pPr>
              <w:jc w:val="center"/>
              <w:rPr>
                <w:color w:val="auto"/>
                <w:szCs w:val="21"/>
                <w:highlight w:val="none"/>
              </w:rPr>
            </w:pPr>
          </w:p>
        </w:tc>
        <w:tc>
          <w:tcPr>
            <w:tcW w:w="1547" w:type="dxa"/>
            <w:gridSpan w:val="2"/>
            <w:noWrap w:val="0"/>
            <w:vAlign w:val="center"/>
          </w:tcPr>
          <w:p w14:paraId="426013E6">
            <w:pPr>
              <w:jc w:val="center"/>
              <w:rPr>
                <w:color w:val="auto"/>
                <w:szCs w:val="21"/>
                <w:highlight w:val="none"/>
              </w:rPr>
            </w:pPr>
          </w:p>
        </w:tc>
        <w:tc>
          <w:tcPr>
            <w:tcW w:w="1548" w:type="dxa"/>
            <w:gridSpan w:val="2"/>
            <w:noWrap w:val="0"/>
            <w:vAlign w:val="center"/>
          </w:tcPr>
          <w:p w14:paraId="3F18B5EA">
            <w:pPr>
              <w:jc w:val="center"/>
              <w:rPr>
                <w:color w:val="auto"/>
                <w:szCs w:val="21"/>
                <w:highlight w:val="none"/>
              </w:rPr>
            </w:pPr>
          </w:p>
        </w:tc>
      </w:tr>
      <w:tr w14:paraId="4FE2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01AF19C5">
            <w:pPr>
              <w:jc w:val="center"/>
              <w:rPr>
                <w:color w:val="auto"/>
                <w:szCs w:val="21"/>
                <w:highlight w:val="none"/>
              </w:rPr>
            </w:pPr>
          </w:p>
        </w:tc>
        <w:tc>
          <w:tcPr>
            <w:tcW w:w="1548" w:type="dxa"/>
            <w:noWrap w:val="0"/>
            <w:vAlign w:val="center"/>
          </w:tcPr>
          <w:p w14:paraId="12EA7FD9">
            <w:pPr>
              <w:jc w:val="center"/>
              <w:rPr>
                <w:color w:val="auto"/>
                <w:szCs w:val="21"/>
                <w:highlight w:val="none"/>
              </w:rPr>
            </w:pPr>
          </w:p>
        </w:tc>
        <w:tc>
          <w:tcPr>
            <w:tcW w:w="1547" w:type="dxa"/>
            <w:gridSpan w:val="2"/>
            <w:noWrap w:val="0"/>
            <w:vAlign w:val="center"/>
          </w:tcPr>
          <w:p w14:paraId="7137A641">
            <w:pPr>
              <w:jc w:val="center"/>
              <w:rPr>
                <w:color w:val="auto"/>
                <w:szCs w:val="21"/>
                <w:highlight w:val="none"/>
              </w:rPr>
            </w:pPr>
          </w:p>
        </w:tc>
        <w:tc>
          <w:tcPr>
            <w:tcW w:w="1548" w:type="dxa"/>
            <w:gridSpan w:val="2"/>
            <w:noWrap w:val="0"/>
            <w:vAlign w:val="center"/>
          </w:tcPr>
          <w:p w14:paraId="50FD80BC">
            <w:pPr>
              <w:jc w:val="center"/>
              <w:rPr>
                <w:color w:val="auto"/>
                <w:szCs w:val="21"/>
                <w:highlight w:val="none"/>
              </w:rPr>
            </w:pPr>
          </w:p>
        </w:tc>
        <w:tc>
          <w:tcPr>
            <w:tcW w:w="1547" w:type="dxa"/>
            <w:gridSpan w:val="2"/>
            <w:noWrap w:val="0"/>
            <w:vAlign w:val="center"/>
          </w:tcPr>
          <w:p w14:paraId="40563707">
            <w:pPr>
              <w:jc w:val="center"/>
              <w:rPr>
                <w:color w:val="auto"/>
                <w:szCs w:val="21"/>
                <w:highlight w:val="none"/>
              </w:rPr>
            </w:pPr>
          </w:p>
        </w:tc>
        <w:tc>
          <w:tcPr>
            <w:tcW w:w="1548" w:type="dxa"/>
            <w:gridSpan w:val="2"/>
            <w:noWrap w:val="0"/>
            <w:vAlign w:val="center"/>
          </w:tcPr>
          <w:p w14:paraId="0B004DFC">
            <w:pPr>
              <w:jc w:val="center"/>
              <w:rPr>
                <w:color w:val="auto"/>
                <w:szCs w:val="21"/>
                <w:highlight w:val="none"/>
              </w:rPr>
            </w:pPr>
          </w:p>
        </w:tc>
      </w:tr>
      <w:tr w14:paraId="3EF1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0AB0B17">
            <w:pPr>
              <w:jc w:val="center"/>
              <w:rPr>
                <w:color w:val="auto"/>
                <w:szCs w:val="21"/>
                <w:highlight w:val="none"/>
              </w:rPr>
            </w:pPr>
          </w:p>
        </w:tc>
        <w:tc>
          <w:tcPr>
            <w:tcW w:w="1548" w:type="dxa"/>
            <w:noWrap w:val="0"/>
            <w:vAlign w:val="center"/>
          </w:tcPr>
          <w:p w14:paraId="6705FC27">
            <w:pPr>
              <w:jc w:val="center"/>
              <w:rPr>
                <w:color w:val="auto"/>
                <w:szCs w:val="21"/>
                <w:highlight w:val="none"/>
              </w:rPr>
            </w:pPr>
          </w:p>
        </w:tc>
        <w:tc>
          <w:tcPr>
            <w:tcW w:w="1547" w:type="dxa"/>
            <w:gridSpan w:val="2"/>
            <w:noWrap w:val="0"/>
            <w:vAlign w:val="center"/>
          </w:tcPr>
          <w:p w14:paraId="463F5378">
            <w:pPr>
              <w:jc w:val="center"/>
              <w:rPr>
                <w:color w:val="auto"/>
                <w:szCs w:val="21"/>
                <w:highlight w:val="none"/>
              </w:rPr>
            </w:pPr>
          </w:p>
        </w:tc>
        <w:tc>
          <w:tcPr>
            <w:tcW w:w="1548" w:type="dxa"/>
            <w:gridSpan w:val="2"/>
            <w:noWrap w:val="0"/>
            <w:vAlign w:val="center"/>
          </w:tcPr>
          <w:p w14:paraId="5DAEE4A6">
            <w:pPr>
              <w:jc w:val="center"/>
              <w:rPr>
                <w:color w:val="auto"/>
                <w:szCs w:val="21"/>
                <w:highlight w:val="none"/>
              </w:rPr>
            </w:pPr>
          </w:p>
        </w:tc>
        <w:tc>
          <w:tcPr>
            <w:tcW w:w="1547" w:type="dxa"/>
            <w:gridSpan w:val="2"/>
            <w:noWrap w:val="0"/>
            <w:vAlign w:val="center"/>
          </w:tcPr>
          <w:p w14:paraId="003F8A0E">
            <w:pPr>
              <w:jc w:val="center"/>
              <w:rPr>
                <w:color w:val="auto"/>
                <w:szCs w:val="21"/>
                <w:highlight w:val="none"/>
              </w:rPr>
            </w:pPr>
          </w:p>
        </w:tc>
        <w:tc>
          <w:tcPr>
            <w:tcW w:w="1548" w:type="dxa"/>
            <w:gridSpan w:val="2"/>
            <w:noWrap w:val="0"/>
            <w:vAlign w:val="center"/>
          </w:tcPr>
          <w:p w14:paraId="02520800">
            <w:pPr>
              <w:jc w:val="center"/>
              <w:rPr>
                <w:color w:val="auto"/>
                <w:szCs w:val="21"/>
                <w:highlight w:val="none"/>
              </w:rPr>
            </w:pPr>
          </w:p>
        </w:tc>
      </w:tr>
      <w:tr w14:paraId="56AE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1D275220">
            <w:pPr>
              <w:jc w:val="center"/>
              <w:rPr>
                <w:color w:val="auto"/>
                <w:szCs w:val="21"/>
                <w:highlight w:val="none"/>
              </w:rPr>
            </w:pPr>
          </w:p>
        </w:tc>
        <w:tc>
          <w:tcPr>
            <w:tcW w:w="1548" w:type="dxa"/>
            <w:noWrap w:val="0"/>
            <w:vAlign w:val="center"/>
          </w:tcPr>
          <w:p w14:paraId="2064A5CC">
            <w:pPr>
              <w:jc w:val="center"/>
              <w:rPr>
                <w:color w:val="auto"/>
                <w:szCs w:val="21"/>
                <w:highlight w:val="none"/>
              </w:rPr>
            </w:pPr>
          </w:p>
        </w:tc>
        <w:tc>
          <w:tcPr>
            <w:tcW w:w="1547" w:type="dxa"/>
            <w:gridSpan w:val="2"/>
            <w:noWrap w:val="0"/>
            <w:vAlign w:val="center"/>
          </w:tcPr>
          <w:p w14:paraId="078A7693">
            <w:pPr>
              <w:jc w:val="center"/>
              <w:rPr>
                <w:color w:val="auto"/>
                <w:szCs w:val="21"/>
                <w:highlight w:val="none"/>
              </w:rPr>
            </w:pPr>
          </w:p>
        </w:tc>
        <w:tc>
          <w:tcPr>
            <w:tcW w:w="1548" w:type="dxa"/>
            <w:gridSpan w:val="2"/>
            <w:noWrap w:val="0"/>
            <w:vAlign w:val="center"/>
          </w:tcPr>
          <w:p w14:paraId="30EA9939">
            <w:pPr>
              <w:jc w:val="center"/>
              <w:rPr>
                <w:color w:val="auto"/>
                <w:szCs w:val="21"/>
                <w:highlight w:val="none"/>
              </w:rPr>
            </w:pPr>
          </w:p>
        </w:tc>
        <w:tc>
          <w:tcPr>
            <w:tcW w:w="1547" w:type="dxa"/>
            <w:gridSpan w:val="2"/>
            <w:noWrap w:val="0"/>
            <w:vAlign w:val="center"/>
          </w:tcPr>
          <w:p w14:paraId="5099E803">
            <w:pPr>
              <w:jc w:val="center"/>
              <w:rPr>
                <w:color w:val="auto"/>
                <w:szCs w:val="21"/>
                <w:highlight w:val="none"/>
              </w:rPr>
            </w:pPr>
          </w:p>
        </w:tc>
        <w:tc>
          <w:tcPr>
            <w:tcW w:w="1548" w:type="dxa"/>
            <w:gridSpan w:val="2"/>
            <w:noWrap w:val="0"/>
            <w:vAlign w:val="center"/>
          </w:tcPr>
          <w:p w14:paraId="04F6E9AA">
            <w:pPr>
              <w:jc w:val="center"/>
              <w:rPr>
                <w:color w:val="auto"/>
                <w:szCs w:val="21"/>
                <w:highlight w:val="none"/>
              </w:rPr>
            </w:pPr>
          </w:p>
        </w:tc>
      </w:tr>
    </w:tbl>
    <w:p w14:paraId="7BA30B1E">
      <w:pPr>
        <w:autoSpaceDE w:val="0"/>
        <w:autoSpaceDN w:val="0"/>
        <w:spacing w:line="360" w:lineRule="auto"/>
        <w:rPr>
          <w:b/>
          <w:color w:val="auto"/>
          <w:szCs w:val="21"/>
          <w:highlight w:val="none"/>
        </w:rPr>
      </w:pPr>
    </w:p>
    <w:p w14:paraId="2CD2599C">
      <w:pPr>
        <w:spacing w:line="360" w:lineRule="auto"/>
        <w:ind w:firstLine="420" w:firstLineChars="200"/>
        <w:rPr>
          <w:rFonts w:hint="eastAsia" w:eastAsia="楷体"/>
          <w:b/>
          <w:color w:val="auto"/>
          <w:szCs w:val="21"/>
          <w:highlight w:val="none"/>
        </w:rPr>
      </w:pPr>
      <w:r>
        <w:rPr>
          <w:rFonts w:hint="eastAsia" w:ascii="楷体" w:hAnsi="楷体" w:eastAsia="楷体"/>
          <w:color w:val="auto"/>
          <w:highlight w:val="none"/>
        </w:rPr>
        <w:t>备注：</w:t>
      </w:r>
      <w:r>
        <w:rPr>
          <w:rFonts w:hint="eastAsia" w:eastAsia="楷体"/>
          <w:color w:val="auto"/>
          <w:highlight w:val="none"/>
        </w:rPr>
        <w:t>附身份证、注册建造师执业资格证、职称证（如有）、</w:t>
      </w:r>
      <w:r>
        <w:rPr>
          <w:rFonts w:eastAsia="楷体"/>
          <w:color w:val="auto"/>
          <w:highlight w:val="none"/>
        </w:rPr>
        <w:t>已完成的类似工程应附中标通知书（如有）、合同协议书有关页面（如有）、工程竣工验收证明材料（如有）的</w:t>
      </w:r>
      <w:r>
        <w:rPr>
          <w:rFonts w:hint="eastAsia" w:eastAsia="楷体"/>
          <w:color w:val="auto"/>
          <w:highlight w:val="none"/>
        </w:rPr>
        <w:t>扫描件。</w:t>
      </w:r>
    </w:p>
    <w:p w14:paraId="60CDAC4E">
      <w:pPr>
        <w:autoSpaceDE w:val="0"/>
        <w:autoSpaceDN w:val="0"/>
        <w:spacing w:line="360" w:lineRule="auto"/>
        <w:rPr>
          <w:b/>
          <w:color w:val="auto"/>
          <w:szCs w:val="21"/>
          <w:highlight w:val="none"/>
        </w:rPr>
      </w:pPr>
    </w:p>
    <w:p w14:paraId="505DD375">
      <w:pPr>
        <w:autoSpaceDE w:val="0"/>
        <w:autoSpaceDN w:val="0"/>
        <w:spacing w:line="360" w:lineRule="auto"/>
        <w:rPr>
          <w:b/>
          <w:color w:val="auto"/>
          <w:szCs w:val="21"/>
          <w:highlight w:val="none"/>
        </w:rPr>
      </w:pPr>
    </w:p>
    <w:p w14:paraId="59CCE263">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7895E147">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7AA6221">
      <w:pPr>
        <w:autoSpaceDE w:val="0"/>
        <w:autoSpaceDN w:val="0"/>
        <w:spacing w:line="360" w:lineRule="auto"/>
        <w:rPr>
          <w:b/>
          <w:color w:val="auto"/>
          <w:szCs w:val="21"/>
          <w:highlight w:val="none"/>
        </w:rPr>
      </w:pPr>
    </w:p>
    <w:p w14:paraId="1809A0C9">
      <w:pPr>
        <w:pStyle w:val="7"/>
        <w:rPr>
          <w:b/>
          <w:color w:val="auto"/>
          <w:szCs w:val="21"/>
          <w:highlight w:val="none"/>
        </w:rPr>
      </w:pPr>
    </w:p>
    <w:p w14:paraId="74D0DFC8">
      <w:pPr>
        <w:autoSpaceDE w:val="0"/>
        <w:autoSpaceDN w:val="0"/>
        <w:spacing w:line="360" w:lineRule="auto"/>
        <w:rPr>
          <w:b/>
          <w:color w:val="auto"/>
          <w:szCs w:val="21"/>
          <w:highlight w:val="none"/>
        </w:rPr>
      </w:pPr>
      <w:r>
        <w:rPr>
          <w:rFonts w:hint="eastAsia"/>
          <w:b/>
          <w:color w:val="auto"/>
          <w:szCs w:val="21"/>
          <w:highlight w:val="none"/>
        </w:rPr>
        <w:t>项目管理机构配备情况表</w:t>
      </w:r>
    </w:p>
    <w:tbl>
      <w:tblPr>
        <w:tblStyle w:val="28"/>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14:paraId="6636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2624C46C">
            <w:pPr>
              <w:ind w:left="223" w:hanging="222" w:hangingChars="106"/>
              <w:jc w:val="center"/>
              <w:rPr>
                <w:color w:val="auto"/>
                <w:highlight w:val="none"/>
              </w:rPr>
            </w:pPr>
            <w:r>
              <w:rPr>
                <w:rFonts w:hint="eastAsia" w:cs="宋体"/>
                <w:color w:val="auto"/>
                <w:highlight w:val="none"/>
              </w:rPr>
              <w:t>岗位</w:t>
            </w:r>
          </w:p>
        </w:tc>
        <w:tc>
          <w:tcPr>
            <w:tcW w:w="829" w:type="dxa"/>
            <w:vMerge w:val="restart"/>
            <w:noWrap w:val="0"/>
            <w:vAlign w:val="center"/>
          </w:tcPr>
          <w:p w14:paraId="526BCD30">
            <w:pPr>
              <w:ind w:left="223" w:hanging="222" w:hangingChars="106"/>
              <w:jc w:val="center"/>
              <w:rPr>
                <w:color w:val="auto"/>
                <w:highlight w:val="none"/>
              </w:rPr>
            </w:pPr>
            <w:r>
              <w:rPr>
                <w:rFonts w:hint="eastAsia" w:cs="宋体"/>
                <w:color w:val="auto"/>
                <w:highlight w:val="none"/>
              </w:rPr>
              <w:t>姓名</w:t>
            </w:r>
          </w:p>
        </w:tc>
        <w:tc>
          <w:tcPr>
            <w:tcW w:w="816" w:type="dxa"/>
            <w:vMerge w:val="restart"/>
            <w:noWrap w:val="0"/>
            <w:vAlign w:val="center"/>
          </w:tcPr>
          <w:p w14:paraId="5B32ECA4">
            <w:pPr>
              <w:ind w:left="223" w:hanging="222" w:hangingChars="106"/>
              <w:jc w:val="center"/>
              <w:rPr>
                <w:color w:val="auto"/>
                <w:highlight w:val="none"/>
              </w:rPr>
            </w:pPr>
            <w:r>
              <w:rPr>
                <w:rFonts w:hint="eastAsia" w:cs="宋体"/>
                <w:color w:val="auto"/>
                <w:highlight w:val="none"/>
              </w:rPr>
              <w:t>职称</w:t>
            </w:r>
          </w:p>
        </w:tc>
        <w:tc>
          <w:tcPr>
            <w:tcW w:w="4592" w:type="dxa"/>
            <w:gridSpan w:val="4"/>
            <w:noWrap w:val="0"/>
            <w:vAlign w:val="center"/>
          </w:tcPr>
          <w:p w14:paraId="197DA8E3">
            <w:pPr>
              <w:ind w:left="223" w:hanging="222" w:hangingChars="106"/>
              <w:jc w:val="center"/>
              <w:rPr>
                <w:color w:val="auto"/>
                <w:highlight w:val="none"/>
              </w:rPr>
            </w:pPr>
            <w:r>
              <w:rPr>
                <w:rFonts w:hint="eastAsia" w:cs="宋体"/>
                <w:color w:val="auto"/>
                <w:highlight w:val="none"/>
              </w:rPr>
              <w:t>执业或职业资格证明</w:t>
            </w:r>
          </w:p>
        </w:tc>
        <w:tc>
          <w:tcPr>
            <w:tcW w:w="2529" w:type="dxa"/>
            <w:gridSpan w:val="2"/>
            <w:noWrap w:val="0"/>
            <w:vAlign w:val="center"/>
          </w:tcPr>
          <w:p w14:paraId="0BC55269">
            <w:pPr>
              <w:ind w:left="223" w:hanging="222" w:hangingChars="106"/>
              <w:jc w:val="center"/>
              <w:rPr>
                <w:color w:val="auto"/>
                <w:highlight w:val="none"/>
              </w:rPr>
            </w:pPr>
            <w:r>
              <w:rPr>
                <w:rFonts w:hint="eastAsia" w:cs="宋体"/>
                <w:color w:val="auto"/>
                <w:highlight w:val="none"/>
              </w:rPr>
              <w:t>承担完工工程情况</w:t>
            </w:r>
          </w:p>
        </w:tc>
      </w:tr>
      <w:tr w14:paraId="6642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250D4AE4">
            <w:pPr>
              <w:ind w:left="223" w:hanging="222" w:hangingChars="106"/>
              <w:jc w:val="center"/>
              <w:rPr>
                <w:color w:val="auto"/>
                <w:highlight w:val="none"/>
              </w:rPr>
            </w:pPr>
          </w:p>
        </w:tc>
        <w:tc>
          <w:tcPr>
            <w:tcW w:w="829" w:type="dxa"/>
            <w:vMerge w:val="continue"/>
            <w:noWrap w:val="0"/>
            <w:vAlign w:val="center"/>
          </w:tcPr>
          <w:p w14:paraId="0B305217">
            <w:pPr>
              <w:ind w:left="223" w:hanging="222" w:hangingChars="106"/>
              <w:jc w:val="center"/>
              <w:rPr>
                <w:color w:val="auto"/>
                <w:highlight w:val="none"/>
              </w:rPr>
            </w:pPr>
          </w:p>
        </w:tc>
        <w:tc>
          <w:tcPr>
            <w:tcW w:w="816" w:type="dxa"/>
            <w:vMerge w:val="continue"/>
            <w:noWrap w:val="0"/>
            <w:vAlign w:val="center"/>
          </w:tcPr>
          <w:p w14:paraId="3466E263">
            <w:pPr>
              <w:ind w:left="223" w:hanging="222" w:hangingChars="106"/>
              <w:jc w:val="center"/>
              <w:rPr>
                <w:color w:val="auto"/>
                <w:highlight w:val="none"/>
              </w:rPr>
            </w:pPr>
          </w:p>
        </w:tc>
        <w:tc>
          <w:tcPr>
            <w:tcW w:w="1148" w:type="dxa"/>
            <w:noWrap w:val="0"/>
            <w:vAlign w:val="center"/>
          </w:tcPr>
          <w:p w14:paraId="035E6F4C">
            <w:pPr>
              <w:ind w:left="223" w:hanging="222" w:hangingChars="106"/>
              <w:jc w:val="center"/>
              <w:rPr>
                <w:color w:val="auto"/>
                <w:highlight w:val="none"/>
              </w:rPr>
            </w:pPr>
            <w:r>
              <w:rPr>
                <w:rFonts w:hint="eastAsia" w:cs="宋体"/>
                <w:color w:val="auto"/>
                <w:highlight w:val="none"/>
              </w:rPr>
              <w:t>证书名称</w:t>
            </w:r>
          </w:p>
        </w:tc>
        <w:tc>
          <w:tcPr>
            <w:tcW w:w="1148" w:type="dxa"/>
            <w:noWrap w:val="0"/>
            <w:vAlign w:val="center"/>
          </w:tcPr>
          <w:p w14:paraId="26891BBA">
            <w:pPr>
              <w:ind w:left="223" w:hanging="222" w:hangingChars="106"/>
              <w:jc w:val="center"/>
              <w:rPr>
                <w:color w:val="auto"/>
                <w:highlight w:val="none"/>
              </w:rPr>
            </w:pPr>
            <w:r>
              <w:rPr>
                <w:rFonts w:hint="eastAsia" w:cs="宋体"/>
                <w:color w:val="auto"/>
                <w:highlight w:val="none"/>
              </w:rPr>
              <w:t>级别</w:t>
            </w:r>
          </w:p>
        </w:tc>
        <w:tc>
          <w:tcPr>
            <w:tcW w:w="1148" w:type="dxa"/>
            <w:noWrap w:val="0"/>
            <w:vAlign w:val="center"/>
          </w:tcPr>
          <w:p w14:paraId="324392B0">
            <w:pPr>
              <w:ind w:left="223" w:hanging="222" w:hangingChars="106"/>
              <w:jc w:val="center"/>
              <w:rPr>
                <w:color w:val="auto"/>
                <w:highlight w:val="none"/>
              </w:rPr>
            </w:pPr>
            <w:r>
              <w:rPr>
                <w:rFonts w:hint="eastAsia" w:cs="宋体"/>
                <w:color w:val="auto"/>
                <w:highlight w:val="none"/>
              </w:rPr>
              <w:t>证号</w:t>
            </w:r>
          </w:p>
        </w:tc>
        <w:tc>
          <w:tcPr>
            <w:tcW w:w="1148" w:type="dxa"/>
            <w:noWrap w:val="0"/>
            <w:vAlign w:val="center"/>
          </w:tcPr>
          <w:p w14:paraId="092C96E5">
            <w:pPr>
              <w:ind w:left="223" w:hanging="222" w:hangingChars="106"/>
              <w:jc w:val="center"/>
              <w:rPr>
                <w:color w:val="auto"/>
                <w:highlight w:val="none"/>
              </w:rPr>
            </w:pPr>
            <w:r>
              <w:rPr>
                <w:rFonts w:hint="eastAsia" w:cs="宋体"/>
                <w:color w:val="auto"/>
                <w:highlight w:val="none"/>
              </w:rPr>
              <w:t>专业</w:t>
            </w:r>
          </w:p>
        </w:tc>
        <w:tc>
          <w:tcPr>
            <w:tcW w:w="850" w:type="dxa"/>
            <w:noWrap w:val="0"/>
            <w:vAlign w:val="center"/>
          </w:tcPr>
          <w:p w14:paraId="5640F763">
            <w:pPr>
              <w:ind w:left="223" w:hanging="222" w:hangingChars="106"/>
              <w:jc w:val="center"/>
              <w:rPr>
                <w:color w:val="auto"/>
                <w:highlight w:val="none"/>
              </w:rPr>
            </w:pPr>
            <w:r>
              <w:rPr>
                <w:rFonts w:hint="eastAsia" w:cs="宋体"/>
                <w:color w:val="auto"/>
                <w:highlight w:val="none"/>
              </w:rPr>
              <w:t>项目数</w:t>
            </w:r>
          </w:p>
        </w:tc>
        <w:tc>
          <w:tcPr>
            <w:tcW w:w="1679" w:type="dxa"/>
            <w:noWrap w:val="0"/>
            <w:vAlign w:val="center"/>
          </w:tcPr>
          <w:p w14:paraId="4D40011D">
            <w:pPr>
              <w:ind w:left="223" w:hanging="222" w:hangingChars="106"/>
              <w:jc w:val="center"/>
              <w:rPr>
                <w:color w:val="auto"/>
                <w:highlight w:val="none"/>
              </w:rPr>
            </w:pPr>
            <w:r>
              <w:rPr>
                <w:rFonts w:hint="eastAsia" w:cs="宋体"/>
                <w:color w:val="auto"/>
                <w:highlight w:val="none"/>
              </w:rPr>
              <w:t>主要项目</w:t>
            </w:r>
          </w:p>
          <w:p w14:paraId="70C4243D">
            <w:pPr>
              <w:ind w:left="223" w:hanging="222" w:hangingChars="106"/>
              <w:jc w:val="center"/>
              <w:rPr>
                <w:color w:val="auto"/>
                <w:highlight w:val="none"/>
              </w:rPr>
            </w:pPr>
            <w:r>
              <w:rPr>
                <w:rFonts w:hint="eastAsia" w:cs="宋体"/>
                <w:color w:val="auto"/>
                <w:highlight w:val="none"/>
              </w:rPr>
              <w:t>名称</w:t>
            </w:r>
          </w:p>
        </w:tc>
      </w:tr>
      <w:tr w14:paraId="3A50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A159C7A">
            <w:pPr>
              <w:ind w:left="223" w:hanging="222" w:hangingChars="106"/>
              <w:jc w:val="center"/>
              <w:rPr>
                <w:color w:val="auto"/>
                <w:highlight w:val="none"/>
              </w:rPr>
            </w:pPr>
          </w:p>
        </w:tc>
        <w:tc>
          <w:tcPr>
            <w:tcW w:w="829" w:type="dxa"/>
            <w:noWrap w:val="0"/>
            <w:vAlign w:val="center"/>
          </w:tcPr>
          <w:p w14:paraId="52B9C7CF">
            <w:pPr>
              <w:ind w:left="223" w:hanging="222" w:hangingChars="106"/>
              <w:jc w:val="center"/>
              <w:rPr>
                <w:color w:val="auto"/>
                <w:highlight w:val="none"/>
              </w:rPr>
            </w:pPr>
          </w:p>
        </w:tc>
        <w:tc>
          <w:tcPr>
            <w:tcW w:w="816" w:type="dxa"/>
            <w:noWrap w:val="0"/>
            <w:vAlign w:val="center"/>
          </w:tcPr>
          <w:p w14:paraId="3D3B7DF7">
            <w:pPr>
              <w:ind w:left="223" w:hanging="222" w:hangingChars="106"/>
              <w:jc w:val="center"/>
              <w:rPr>
                <w:color w:val="auto"/>
                <w:highlight w:val="none"/>
              </w:rPr>
            </w:pPr>
          </w:p>
        </w:tc>
        <w:tc>
          <w:tcPr>
            <w:tcW w:w="1148" w:type="dxa"/>
            <w:noWrap w:val="0"/>
            <w:vAlign w:val="center"/>
          </w:tcPr>
          <w:p w14:paraId="63BBFA1F">
            <w:pPr>
              <w:ind w:left="223" w:hanging="222" w:hangingChars="106"/>
              <w:jc w:val="center"/>
              <w:rPr>
                <w:color w:val="auto"/>
                <w:highlight w:val="none"/>
              </w:rPr>
            </w:pPr>
          </w:p>
        </w:tc>
        <w:tc>
          <w:tcPr>
            <w:tcW w:w="1148" w:type="dxa"/>
            <w:noWrap w:val="0"/>
            <w:vAlign w:val="center"/>
          </w:tcPr>
          <w:p w14:paraId="03965556">
            <w:pPr>
              <w:ind w:left="223" w:hanging="222" w:hangingChars="106"/>
              <w:jc w:val="center"/>
              <w:rPr>
                <w:color w:val="auto"/>
                <w:highlight w:val="none"/>
              </w:rPr>
            </w:pPr>
          </w:p>
        </w:tc>
        <w:tc>
          <w:tcPr>
            <w:tcW w:w="1148" w:type="dxa"/>
            <w:noWrap w:val="0"/>
            <w:vAlign w:val="center"/>
          </w:tcPr>
          <w:p w14:paraId="35066799">
            <w:pPr>
              <w:ind w:left="223" w:hanging="222" w:hangingChars="106"/>
              <w:jc w:val="center"/>
              <w:rPr>
                <w:color w:val="auto"/>
                <w:highlight w:val="none"/>
              </w:rPr>
            </w:pPr>
          </w:p>
        </w:tc>
        <w:tc>
          <w:tcPr>
            <w:tcW w:w="1148" w:type="dxa"/>
            <w:noWrap w:val="0"/>
            <w:vAlign w:val="center"/>
          </w:tcPr>
          <w:p w14:paraId="7B8B3DF0">
            <w:pPr>
              <w:ind w:left="223" w:hanging="222" w:hangingChars="106"/>
              <w:jc w:val="center"/>
              <w:rPr>
                <w:color w:val="auto"/>
                <w:highlight w:val="none"/>
              </w:rPr>
            </w:pPr>
          </w:p>
        </w:tc>
        <w:tc>
          <w:tcPr>
            <w:tcW w:w="850" w:type="dxa"/>
            <w:noWrap w:val="0"/>
            <w:vAlign w:val="center"/>
          </w:tcPr>
          <w:p w14:paraId="52D24FE0">
            <w:pPr>
              <w:ind w:left="223" w:hanging="222" w:hangingChars="106"/>
              <w:jc w:val="center"/>
              <w:rPr>
                <w:color w:val="auto"/>
                <w:highlight w:val="none"/>
              </w:rPr>
            </w:pPr>
          </w:p>
        </w:tc>
        <w:tc>
          <w:tcPr>
            <w:tcW w:w="1679" w:type="dxa"/>
            <w:noWrap w:val="0"/>
            <w:vAlign w:val="center"/>
          </w:tcPr>
          <w:p w14:paraId="2F5D7F66">
            <w:pPr>
              <w:ind w:left="223" w:hanging="222" w:hangingChars="106"/>
              <w:jc w:val="center"/>
              <w:rPr>
                <w:color w:val="auto"/>
                <w:highlight w:val="none"/>
              </w:rPr>
            </w:pPr>
          </w:p>
        </w:tc>
      </w:tr>
      <w:tr w14:paraId="0675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DEAACEF">
            <w:pPr>
              <w:ind w:left="223" w:hanging="222" w:hangingChars="106"/>
              <w:jc w:val="center"/>
              <w:rPr>
                <w:color w:val="auto"/>
                <w:highlight w:val="none"/>
              </w:rPr>
            </w:pPr>
          </w:p>
        </w:tc>
        <w:tc>
          <w:tcPr>
            <w:tcW w:w="829" w:type="dxa"/>
            <w:noWrap w:val="0"/>
            <w:vAlign w:val="center"/>
          </w:tcPr>
          <w:p w14:paraId="02589F0F">
            <w:pPr>
              <w:ind w:left="223" w:hanging="222" w:hangingChars="106"/>
              <w:jc w:val="center"/>
              <w:rPr>
                <w:color w:val="auto"/>
                <w:highlight w:val="none"/>
              </w:rPr>
            </w:pPr>
          </w:p>
        </w:tc>
        <w:tc>
          <w:tcPr>
            <w:tcW w:w="816" w:type="dxa"/>
            <w:noWrap w:val="0"/>
            <w:vAlign w:val="center"/>
          </w:tcPr>
          <w:p w14:paraId="4F5B3B6F">
            <w:pPr>
              <w:ind w:left="223" w:hanging="222" w:hangingChars="106"/>
              <w:jc w:val="center"/>
              <w:rPr>
                <w:color w:val="auto"/>
                <w:highlight w:val="none"/>
              </w:rPr>
            </w:pPr>
          </w:p>
        </w:tc>
        <w:tc>
          <w:tcPr>
            <w:tcW w:w="1148" w:type="dxa"/>
            <w:noWrap w:val="0"/>
            <w:vAlign w:val="center"/>
          </w:tcPr>
          <w:p w14:paraId="460B636B">
            <w:pPr>
              <w:ind w:left="223" w:hanging="222" w:hangingChars="106"/>
              <w:jc w:val="center"/>
              <w:rPr>
                <w:color w:val="auto"/>
                <w:highlight w:val="none"/>
              </w:rPr>
            </w:pPr>
          </w:p>
        </w:tc>
        <w:tc>
          <w:tcPr>
            <w:tcW w:w="1148" w:type="dxa"/>
            <w:noWrap w:val="0"/>
            <w:vAlign w:val="center"/>
          </w:tcPr>
          <w:p w14:paraId="74A7BFFF">
            <w:pPr>
              <w:ind w:left="223" w:hanging="222" w:hangingChars="106"/>
              <w:jc w:val="center"/>
              <w:rPr>
                <w:color w:val="auto"/>
                <w:highlight w:val="none"/>
              </w:rPr>
            </w:pPr>
          </w:p>
        </w:tc>
        <w:tc>
          <w:tcPr>
            <w:tcW w:w="1148" w:type="dxa"/>
            <w:noWrap w:val="0"/>
            <w:vAlign w:val="center"/>
          </w:tcPr>
          <w:p w14:paraId="61DC0A2D">
            <w:pPr>
              <w:ind w:left="223" w:hanging="222" w:hangingChars="106"/>
              <w:jc w:val="center"/>
              <w:rPr>
                <w:color w:val="auto"/>
                <w:highlight w:val="none"/>
              </w:rPr>
            </w:pPr>
          </w:p>
        </w:tc>
        <w:tc>
          <w:tcPr>
            <w:tcW w:w="1148" w:type="dxa"/>
            <w:noWrap w:val="0"/>
            <w:vAlign w:val="center"/>
          </w:tcPr>
          <w:p w14:paraId="55A88E34">
            <w:pPr>
              <w:ind w:left="223" w:hanging="222" w:hangingChars="106"/>
              <w:jc w:val="center"/>
              <w:rPr>
                <w:color w:val="auto"/>
                <w:highlight w:val="none"/>
              </w:rPr>
            </w:pPr>
          </w:p>
        </w:tc>
        <w:tc>
          <w:tcPr>
            <w:tcW w:w="850" w:type="dxa"/>
            <w:noWrap w:val="0"/>
            <w:vAlign w:val="center"/>
          </w:tcPr>
          <w:p w14:paraId="2FAD2441">
            <w:pPr>
              <w:ind w:left="223" w:hanging="222" w:hangingChars="106"/>
              <w:jc w:val="center"/>
              <w:rPr>
                <w:color w:val="auto"/>
                <w:highlight w:val="none"/>
              </w:rPr>
            </w:pPr>
          </w:p>
        </w:tc>
        <w:tc>
          <w:tcPr>
            <w:tcW w:w="1679" w:type="dxa"/>
            <w:noWrap w:val="0"/>
            <w:vAlign w:val="center"/>
          </w:tcPr>
          <w:p w14:paraId="52582636">
            <w:pPr>
              <w:ind w:left="223" w:hanging="222" w:hangingChars="106"/>
              <w:jc w:val="center"/>
              <w:rPr>
                <w:color w:val="auto"/>
                <w:highlight w:val="none"/>
              </w:rPr>
            </w:pPr>
          </w:p>
        </w:tc>
      </w:tr>
      <w:tr w14:paraId="25C1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46C7026">
            <w:pPr>
              <w:ind w:left="223" w:hanging="222" w:hangingChars="106"/>
              <w:jc w:val="center"/>
              <w:rPr>
                <w:color w:val="auto"/>
                <w:highlight w:val="none"/>
              </w:rPr>
            </w:pPr>
          </w:p>
        </w:tc>
        <w:tc>
          <w:tcPr>
            <w:tcW w:w="829" w:type="dxa"/>
            <w:noWrap w:val="0"/>
            <w:vAlign w:val="center"/>
          </w:tcPr>
          <w:p w14:paraId="4DFA0863">
            <w:pPr>
              <w:ind w:left="223" w:hanging="222" w:hangingChars="106"/>
              <w:jc w:val="center"/>
              <w:rPr>
                <w:color w:val="auto"/>
                <w:highlight w:val="none"/>
              </w:rPr>
            </w:pPr>
          </w:p>
        </w:tc>
        <w:tc>
          <w:tcPr>
            <w:tcW w:w="816" w:type="dxa"/>
            <w:noWrap w:val="0"/>
            <w:vAlign w:val="center"/>
          </w:tcPr>
          <w:p w14:paraId="68FA74B3">
            <w:pPr>
              <w:ind w:left="223" w:hanging="222" w:hangingChars="106"/>
              <w:jc w:val="center"/>
              <w:rPr>
                <w:color w:val="auto"/>
                <w:highlight w:val="none"/>
              </w:rPr>
            </w:pPr>
          </w:p>
        </w:tc>
        <w:tc>
          <w:tcPr>
            <w:tcW w:w="1148" w:type="dxa"/>
            <w:noWrap w:val="0"/>
            <w:vAlign w:val="center"/>
          </w:tcPr>
          <w:p w14:paraId="2E1ACBA5">
            <w:pPr>
              <w:ind w:left="223" w:hanging="222" w:hangingChars="106"/>
              <w:jc w:val="center"/>
              <w:rPr>
                <w:color w:val="auto"/>
                <w:highlight w:val="none"/>
              </w:rPr>
            </w:pPr>
          </w:p>
        </w:tc>
        <w:tc>
          <w:tcPr>
            <w:tcW w:w="1148" w:type="dxa"/>
            <w:noWrap w:val="0"/>
            <w:vAlign w:val="center"/>
          </w:tcPr>
          <w:p w14:paraId="300078B7">
            <w:pPr>
              <w:ind w:left="223" w:hanging="222" w:hangingChars="106"/>
              <w:jc w:val="center"/>
              <w:rPr>
                <w:color w:val="auto"/>
                <w:highlight w:val="none"/>
              </w:rPr>
            </w:pPr>
          </w:p>
        </w:tc>
        <w:tc>
          <w:tcPr>
            <w:tcW w:w="1148" w:type="dxa"/>
            <w:noWrap w:val="0"/>
            <w:vAlign w:val="center"/>
          </w:tcPr>
          <w:p w14:paraId="56EE7758">
            <w:pPr>
              <w:ind w:left="223" w:hanging="222" w:hangingChars="106"/>
              <w:jc w:val="center"/>
              <w:rPr>
                <w:color w:val="auto"/>
                <w:highlight w:val="none"/>
              </w:rPr>
            </w:pPr>
          </w:p>
        </w:tc>
        <w:tc>
          <w:tcPr>
            <w:tcW w:w="1148" w:type="dxa"/>
            <w:noWrap w:val="0"/>
            <w:vAlign w:val="center"/>
          </w:tcPr>
          <w:p w14:paraId="691D78F1">
            <w:pPr>
              <w:ind w:left="223" w:hanging="222" w:hangingChars="106"/>
              <w:jc w:val="center"/>
              <w:rPr>
                <w:color w:val="auto"/>
                <w:highlight w:val="none"/>
              </w:rPr>
            </w:pPr>
          </w:p>
        </w:tc>
        <w:tc>
          <w:tcPr>
            <w:tcW w:w="850" w:type="dxa"/>
            <w:noWrap w:val="0"/>
            <w:vAlign w:val="center"/>
          </w:tcPr>
          <w:p w14:paraId="41D8CD03">
            <w:pPr>
              <w:ind w:left="223" w:hanging="222" w:hangingChars="106"/>
              <w:jc w:val="center"/>
              <w:rPr>
                <w:color w:val="auto"/>
                <w:highlight w:val="none"/>
              </w:rPr>
            </w:pPr>
          </w:p>
        </w:tc>
        <w:tc>
          <w:tcPr>
            <w:tcW w:w="1679" w:type="dxa"/>
            <w:noWrap w:val="0"/>
            <w:vAlign w:val="center"/>
          </w:tcPr>
          <w:p w14:paraId="755D2EA9">
            <w:pPr>
              <w:ind w:left="223" w:hanging="222" w:hangingChars="106"/>
              <w:jc w:val="center"/>
              <w:rPr>
                <w:color w:val="auto"/>
                <w:highlight w:val="none"/>
              </w:rPr>
            </w:pPr>
          </w:p>
        </w:tc>
      </w:tr>
      <w:tr w14:paraId="53DA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21A9D0F">
            <w:pPr>
              <w:ind w:left="223" w:hanging="222" w:hangingChars="106"/>
              <w:jc w:val="center"/>
              <w:rPr>
                <w:color w:val="auto"/>
                <w:highlight w:val="none"/>
              </w:rPr>
            </w:pPr>
          </w:p>
        </w:tc>
        <w:tc>
          <w:tcPr>
            <w:tcW w:w="829" w:type="dxa"/>
            <w:noWrap w:val="0"/>
            <w:vAlign w:val="center"/>
          </w:tcPr>
          <w:p w14:paraId="7BBC430B">
            <w:pPr>
              <w:ind w:left="223" w:hanging="222" w:hangingChars="106"/>
              <w:jc w:val="center"/>
              <w:rPr>
                <w:color w:val="auto"/>
                <w:highlight w:val="none"/>
              </w:rPr>
            </w:pPr>
          </w:p>
        </w:tc>
        <w:tc>
          <w:tcPr>
            <w:tcW w:w="816" w:type="dxa"/>
            <w:noWrap w:val="0"/>
            <w:vAlign w:val="center"/>
          </w:tcPr>
          <w:p w14:paraId="1F2D9F54">
            <w:pPr>
              <w:ind w:left="223" w:hanging="222" w:hangingChars="106"/>
              <w:jc w:val="center"/>
              <w:rPr>
                <w:color w:val="auto"/>
                <w:highlight w:val="none"/>
              </w:rPr>
            </w:pPr>
          </w:p>
        </w:tc>
        <w:tc>
          <w:tcPr>
            <w:tcW w:w="1148" w:type="dxa"/>
            <w:noWrap w:val="0"/>
            <w:vAlign w:val="center"/>
          </w:tcPr>
          <w:p w14:paraId="26496393">
            <w:pPr>
              <w:ind w:left="223" w:hanging="222" w:hangingChars="106"/>
              <w:jc w:val="center"/>
              <w:rPr>
                <w:color w:val="auto"/>
                <w:highlight w:val="none"/>
              </w:rPr>
            </w:pPr>
          </w:p>
        </w:tc>
        <w:tc>
          <w:tcPr>
            <w:tcW w:w="1148" w:type="dxa"/>
            <w:noWrap w:val="0"/>
            <w:vAlign w:val="center"/>
          </w:tcPr>
          <w:p w14:paraId="18BC0FA8">
            <w:pPr>
              <w:ind w:left="223" w:hanging="222" w:hangingChars="106"/>
              <w:jc w:val="center"/>
              <w:rPr>
                <w:color w:val="auto"/>
                <w:highlight w:val="none"/>
              </w:rPr>
            </w:pPr>
          </w:p>
        </w:tc>
        <w:tc>
          <w:tcPr>
            <w:tcW w:w="1148" w:type="dxa"/>
            <w:noWrap w:val="0"/>
            <w:vAlign w:val="center"/>
          </w:tcPr>
          <w:p w14:paraId="1342AB58">
            <w:pPr>
              <w:ind w:left="223" w:hanging="222" w:hangingChars="106"/>
              <w:jc w:val="center"/>
              <w:rPr>
                <w:color w:val="auto"/>
                <w:highlight w:val="none"/>
              </w:rPr>
            </w:pPr>
          </w:p>
        </w:tc>
        <w:tc>
          <w:tcPr>
            <w:tcW w:w="1148" w:type="dxa"/>
            <w:noWrap w:val="0"/>
            <w:vAlign w:val="center"/>
          </w:tcPr>
          <w:p w14:paraId="456093DF">
            <w:pPr>
              <w:ind w:left="223" w:hanging="222" w:hangingChars="106"/>
              <w:jc w:val="center"/>
              <w:rPr>
                <w:color w:val="auto"/>
                <w:highlight w:val="none"/>
              </w:rPr>
            </w:pPr>
          </w:p>
        </w:tc>
        <w:tc>
          <w:tcPr>
            <w:tcW w:w="850" w:type="dxa"/>
            <w:noWrap w:val="0"/>
            <w:vAlign w:val="center"/>
          </w:tcPr>
          <w:p w14:paraId="6D3F0632">
            <w:pPr>
              <w:ind w:left="223" w:hanging="222" w:hangingChars="106"/>
              <w:jc w:val="center"/>
              <w:rPr>
                <w:color w:val="auto"/>
                <w:highlight w:val="none"/>
              </w:rPr>
            </w:pPr>
          </w:p>
        </w:tc>
        <w:tc>
          <w:tcPr>
            <w:tcW w:w="1679" w:type="dxa"/>
            <w:noWrap w:val="0"/>
            <w:vAlign w:val="center"/>
          </w:tcPr>
          <w:p w14:paraId="1E1DD19A">
            <w:pPr>
              <w:ind w:left="223" w:hanging="222" w:hangingChars="106"/>
              <w:jc w:val="center"/>
              <w:rPr>
                <w:color w:val="auto"/>
                <w:highlight w:val="none"/>
              </w:rPr>
            </w:pPr>
          </w:p>
        </w:tc>
      </w:tr>
      <w:tr w14:paraId="37B8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0CA4504">
            <w:pPr>
              <w:ind w:left="223" w:hanging="222" w:hangingChars="106"/>
              <w:jc w:val="center"/>
              <w:rPr>
                <w:color w:val="auto"/>
                <w:highlight w:val="none"/>
              </w:rPr>
            </w:pPr>
          </w:p>
        </w:tc>
        <w:tc>
          <w:tcPr>
            <w:tcW w:w="829" w:type="dxa"/>
            <w:noWrap w:val="0"/>
            <w:vAlign w:val="center"/>
          </w:tcPr>
          <w:p w14:paraId="00AF96D1">
            <w:pPr>
              <w:ind w:left="223" w:hanging="222" w:hangingChars="106"/>
              <w:jc w:val="center"/>
              <w:rPr>
                <w:color w:val="auto"/>
                <w:highlight w:val="none"/>
              </w:rPr>
            </w:pPr>
          </w:p>
        </w:tc>
        <w:tc>
          <w:tcPr>
            <w:tcW w:w="816" w:type="dxa"/>
            <w:noWrap w:val="0"/>
            <w:vAlign w:val="center"/>
          </w:tcPr>
          <w:p w14:paraId="3786FEB7">
            <w:pPr>
              <w:ind w:left="223" w:hanging="222" w:hangingChars="106"/>
              <w:jc w:val="center"/>
              <w:rPr>
                <w:color w:val="auto"/>
                <w:highlight w:val="none"/>
              </w:rPr>
            </w:pPr>
          </w:p>
        </w:tc>
        <w:tc>
          <w:tcPr>
            <w:tcW w:w="1148" w:type="dxa"/>
            <w:noWrap w:val="0"/>
            <w:vAlign w:val="center"/>
          </w:tcPr>
          <w:p w14:paraId="78C8138E">
            <w:pPr>
              <w:ind w:left="223" w:hanging="222" w:hangingChars="106"/>
              <w:jc w:val="center"/>
              <w:rPr>
                <w:color w:val="auto"/>
                <w:highlight w:val="none"/>
              </w:rPr>
            </w:pPr>
          </w:p>
        </w:tc>
        <w:tc>
          <w:tcPr>
            <w:tcW w:w="1148" w:type="dxa"/>
            <w:noWrap w:val="0"/>
            <w:vAlign w:val="center"/>
          </w:tcPr>
          <w:p w14:paraId="4B2B6755">
            <w:pPr>
              <w:ind w:left="223" w:hanging="222" w:hangingChars="106"/>
              <w:jc w:val="center"/>
              <w:rPr>
                <w:color w:val="auto"/>
                <w:highlight w:val="none"/>
              </w:rPr>
            </w:pPr>
          </w:p>
        </w:tc>
        <w:tc>
          <w:tcPr>
            <w:tcW w:w="1148" w:type="dxa"/>
            <w:noWrap w:val="0"/>
            <w:vAlign w:val="center"/>
          </w:tcPr>
          <w:p w14:paraId="6041F9F9">
            <w:pPr>
              <w:ind w:left="223" w:hanging="222" w:hangingChars="106"/>
              <w:jc w:val="center"/>
              <w:rPr>
                <w:color w:val="auto"/>
                <w:highlight w:val="none"/>
              </w:rPr>
            </w:pPr>
          </w:p>
        </w:tc>
        <w:tc>
          <w:tcPr>
            <w:tcW w:w="1148" w:type="dxa"/>
            <w:noWrap w:val="0"/>
            <w:vAlign w:val="center"/>
          </w:tcPr>
          <w:p w14:paraId="6FDE8DC9">
            <w:pPr>
              <w:ind w:left="223" w:hanging="222" w:hangingChars="106"/>
              <w:jc w:val="center"/>
              <w:rPr>
                <w:color w:val="auto"/>
                <w:highlight w:val="none"/>
              </w:rPr>
            </w:pPr>
          </w:p>
        </w:tc>
        <w:tc>
          <w:tcPr>
            <w:tcW w:w="850" w:type="dxa"/>
            <w:noWrap w:val="0"/>
            <w:vAlign w:val="center"/>
          </w:tcPr>
          <w:p w14:paraId="08257BBE">
            <w:pPr>
              <w:ind w:left="223" w:hanging="222" w:hangingChars="106"/>
              <w:jc w:val="center"/>
              <w:rPr>
                <w:color w:val="auto"/>
                <w:highlight w:val="none"/>
              </w:rPr>
            </w:pPr>
          </w:p>
        </w:tc>
        <w:tc>
          <w:tcPr>
            <w:tcW w:w="1679" w:type="dxa"/>
            <w:noWrap w:val="0"/>
            <w:vAlign w:val="center"/>
          </w:tcPr>
          <w:p w14:paraId="02A7C143">
            <w:pPr>
              <w:ind w:left="223" w:hanging="222" w:hangingChars="106"/>
              <w:jc w:val="center"/>
              <w:rPr>
                <w:color w:val="auto"/>
                <w:highlight w:val="none"/>
              </w:rPr>
            </w:pPr>
          </w:p>
        </w:tc>
      </w:tr>
      <w:tr w14:paraId="2EA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2A3C0A92">
            <w:pPr>
              <w:ind w:left="223" w:hanging="222" w:hangingChars="106"/>
              <w:jc w:val="center"/>
              <w:rPr>
                <w:color w:val="auto"/>
                <w:highlight w:val="none"/>
              </w:rPr>
            </w:pPr>
          </w:p>
        </w:tc>
        <w:tc>
          <w:tcPr>
            <w:tcW w:w="829" w:type="dxa"/>
            <w:noWrap w:val="0"/>
            <w:vAlign w:val="center"/>
          </w:tcPr>
          <w:p w14:paraId="1A917E9A">
            <w:pPr>
              <w:ind w:left="223" w:hanging="222" w:hangingChars="106"/>
              <w:jc w:val="center"/>
              <w:rPr>
                <w:color w:val="auto"/>
                <w:highlight w:val="none"/>
              </w:rPr>
            </w:pPr>
          </w:p>
        </w:tc>
        <w:tc>
          <w:tcPr>
            <w:tcW w:w="816" w:type="dxa"/>
            <w:noWrap w:val="0"/>
            <w:vAlign w:val="center"/>
          </w:tcPr>
          <w:p w14:paraId="106726F2">
            <w:pPr>
              <w:ind w:left="223" w:hanging="222" w:hangingChars="106"/>
              <w:jc w:val="center"/>
              <w:rPr>
                <w:color w:val="auto"/>
                <w:highlight w:val="none"/>
              </w:rPr>
            </w:pPr>
          </w:p>
        </w:tc>
        <w:tc>
          <w:tcPr>
            <w:tcW w:w="1148" w:type="dxa"/>
            <w:noWrap w:val="0"/>
            <w:vAlign w:val="center"/>
          </w:tcPr>
          <w:p w14:paraId="36959CCD">
            <w:pPr>
              <w:ind w:left="223" w:hanging="222" w:hangingChars="106"/>
              <w:jc w:val="center"/>
              <w:rPr>
                <w:color w:val="auto"/>
                <w:highlight w:val="none"/>
              </w:rPr>
            </w:pPr>
          </w:p>
        </w:tc>
        <w:tc>
          <w:tcPr>
            <w:tcW w:w="1148" w:type="dxa"/>
            <w:noWrap w:val="0"/>
            <w:vAlign w:val="center"/>
          </w:tcPr>
          <w:p w14:paraId="70B10F1A">
            <w:pPr>
              <w:ind w:left="223" w:hanging="222" w:hangingChars="106"/>
              <w:jc w:val="center"/>
              <w:rPr>
                <w:color w:val="auto"/>
                <w:highlight w:val="none"/>
              </w:rPr>
            </w:pPr>
          </w:p>
        </w:tc>
        <w:tc>
          <w:tcPr>
            <w:tcW w:w="1148" w:type="dxa"/>
            <w:noWrap w:val="0"/>
            <w:vAlign w:val="center"/>
          </w:tcPr>
          <w:p w14:paraId="0DD5DF75">
            <w:pPr>
              <w:ind w:left="223" w:hanging="222" w:hangingChars="106"/>
              <w:jc w:val="center"/>
              <w:rPr>
                <w:color w:val="auto"/>
                <w:highlight w:val="none"/>
              </w:rPr>
            </w:pPr>
          </w:p>
        </w:tc>
        <w:tc>
          <w:tcPr>
            <w:tcW w:w="1148" w:type="dxa"/>
            <w:noWrap w:val="0"/>
            <w:vAlign w:val="center"/>
          </w:tcPr>
          <w:p w14:paraId="0D7F11A1">
            <w:pPr>
              <w:ind w:left="223" w:hanging="222" w:hangingChars="106"/>
              <w:jc w:val="center"/>
              <w:rPr>
                <w:color w:val="auto"/>
                <w:highlight w:val="none"/>
              </w:rPr>
            </w:pPr>
          </w:p>
        </w:tc>
        <w:tc>
          <w:tcPr>
            <w:tcW w:w="850" w:type="dxa"/>
            <w:noWrap w:val="0"/>
            <w:vAlign w:val="center"/>
          </w:tcPr>
          <w:p w14:paraId="2F3EE15F">
            <w:pPr>
              <w:ind w:left="223" w:hanging="222" w:hangingChars="106"/>
              <w:jc w:val="center"/>
              <w:rPr>
                <w:color w:val="auto"/>
                <w:highlight w:val="none"/>
              </w:rPr>
            </w:pPr>
          </w:p>
        </w:tc>
        <w:tc>
          <w:tcPr>
            <w:tcW w:w="1679" w:type="dxa"/>
            <w:noWrap w:val="0"/>
            <w:vAlign w:val="center"/>
          </w:tcPr>
          <w:p w14:paraId="6B62472C">
            <w:pPr>
              <w:ind w:left="223" w:hanging="222" w:hangingChars="106"/>
              <w:jc w:val="center"/>
              <w:rPr>
                <w:color w:val="auto"/>
                <w:highlight w:val="none"/>
              </w:rPr>
            </w:pPr>
          </w:p>
        </w:tc>
      </w:tr>
      <w:tr w14:paraId="0CCE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14:paraId="0EECA91F">
            <w:pPr>
              <w:spacing w:before="120" w:beforeLines="50" w:after="120" w:afterLines="50" w:line="360" w:lineRule="auto"/>
              <w:rPr>
                <w:color w:val="auto"/>
                <w:highlight w:val="none"/>
              </w:rPr>
            </w:pPr>
            <w:r>
              <w:rPr>
                <w:rFonts w:hint="eastAsia" w:cs="宋体"/>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4D2931AA">
      <w:pPr>
        <w:snapToGrid w:val="0"/>
        <w:spacing w:line="360" w:lineRule="auto"/>
        <w:ind w:firstLine="422" w:firstLineChars="200"/>
        <w:rPr>
          <w:b/>
          <w:color w:val="auto"/>
          <w:szCs w:val="21"/>
          <w:highlight w:val="none"/>
        </w:rPr>
      </w:pPr>
    </w:p>
    <w:p w14:paraId="6E2BA67D">
      <w:pPr>
        <w:autoSpaceDE w:val="0"/>
        <w:autoSpaceDN w:val="0"/>
        <w:spacing w:line="360" w:lineRule="auto"/>
        <w:jc w:val="left"/>
        <w:rPr>
          <w:rFonts w:hint="eastAsia" w:eastAsia="楷体_GB2312" w:cs="楷体_GB2312"/>
          <w:color w:val="auto"/>
          <w:highlight w:val="none"/>
        </w:rPr>
      </w:pPr>
      <w:r>
        <w:rPr>
          <w:rFonts w:hint="eastAsia" w:eastAsia="楷体_GB2312" w:cs="楷体_GB2312"/>
          <w:color w:val="auto"/>
          <w:highlight w:val="none"/>
        </w:rPr>
        <w:t>【</w:t>
      </w:r>
      <w:r>
        <w:rPr>
          <w:rFonts w:hint="eastAsia" w:ascii="楷体" w:hAnsi="楷体" w:eastAsia="楷体"/>
          <w:color w:val="auto"/>
          <w:highlight w:val="none"/>
        </w:rPr>
        <w:t>备注：附上述人员的身份证</w:t>
      </w:r>
      <w:r>
        <w:rPr>
          <w:rFonts w:hint="eastAsia" w:eastAsia="楷体"/>
          <w:color w:val="auto"/>
          <w:highlight w:val="none"/>
        </w:rPr>
        <w:t>、</w:t>
      </w:r>
      <w:r>
        <w:rPr>
          <w:rFonts w:hint="eastAsia" w:ascii="楷体" w:hAnsi="楷体" w:eastAsia="楷体"/>
          <w:color w:val="auto"/>
          <w:highlight w:val="none"/>
        </w:rPr>
        <w:t>各岗位人员资格证件（如有）扫描件</w:t>
      </w:r>
      <w:r>
        <w:rPr>
          <w:rFonts w:hint="eastAsia" w:eastAsia="楷体_GB2312" w:cs="楷体_GB2312"/>
          <w:color w:val="auto"/>
          <w:highlight w:val="none"/>
        </w:rPr>
        <w:t>】</w:t>
      </w:r>
    </w:p>
    <w:p w14:paraId="76ABA5F2">
      <w:pPr>
        <w:pStyle w:val="7"/>
        <w:rPr>
          <w:rFonts w:hint="eastAsia" w:eastAsia="楷体_GB2312" w:cs="楷体_GB2312"/>
          <w:color w:val="auto"/>
          <w:highlight w:val="none"/>
        </w:rPr>
      </w:pPr>
    </w:p>
    <w:p w14:paraId="09C835C4">
      <w:pPr>
        <w:pStyle w:val="7"/>
        <w:rPr>
          <w:rFonts w:eastAsia="楷体_GB2312" w:cs="楷体_GB2312"/>
          <w:color w:val="auto"/>
          <w:highlight w:val="none"/>
        </w:rPr>
      </w:pPr>
    </w:p>
    <w:p w14:paraId="47E4F399">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1D6E40D6">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3C1F508">
      <w:pPr>
        <w:autoSpaceDE w:val="0"/>
        <w:autoSpaceDN w:val="0"/>
        <w:spacing w:line="360" w:lineRule="auto"/>
        <w:ind w:firstLine="5670" w:firstLineChars="2700"/>
        <w:rPr>
          <w:rFonts w:eastAsia="仿宋_GB2312"/>
          <w:color w:val="auto"/>
          <w:kern w:val="0"/>
          <w:szCs w:val="21"/>
          <w:highlight w:val="none"/>
          <w:lang w:val="zh-CN"/>
        </w:rPr>
      </w:pPr>
    </w:p>
    <w:p w14:paraId="37E3114D">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14:paraId="7FCA0D50">
      <w:pPr>
        <w:pStyle w:val="3"/>
        <w:jc w:val="center"/>
        <w:rPr>
          <w:rFonts w:ascii="Times New Roman" w:hAnsi="Times New Roman"/>
          <w:color w:val="auto"/>
          <w:highlight w:val="none"/>
        </w:rPr>
      </w:pPr>
      <w:bookmarkStart w:id="149" w:name="_Toc80205941"/>
      <w:bookmarkStart w:id="150" w:name="_Toc80886945"/>
      <w:bookmarkStart w:id="151" w:name="_Toc12611"/>
      <w:bookmarkStart w:id="152" w:name="_Toc31035"/>
      <w:r>
        <w:rPr>
          <w:rFonts w:ascii="Times New Roman" w:hAnsi="Times New Roman"/>
          <w:color w:val="auto"/>
          <w:highlight w:val="none"/>
        </w:rPr>
        <w:t>第</w:t>
      </w:r>
      <w:r>
        <w:rPr>
          <w:rFonts w:ascii="Times New Roman" w:hAnsi="Times New Roman"/>
          <w:color w:val="auto"/>
          <w:highlight w:val="none"/>
          <w:lang w:eastAsia="zh-CN"/>
        </w:rPr>
        <w:t>三</w:t>
      </w:r>
      <w:r>
        <w:rPr>
          <w:rFonts w:ascii="Times New Roman" w:hAnsi="Times New Roman"/>
          <w:color w:val="auto"/>
          <w:highlight w:val="none"/>
        </w:rPr>
        <w:t>节 报价文件格式</w:t>
      </w:r>
      <w:bookmarkEnd w:id="149"/>
      <w:bookmarkEnd w:id="150"/>
      <w:bookmarkEnd w:id="151"/>
      <w:bookmarkEnd w:id="152"/>
    </w:p>
    <w:p w14:paraId="359DE967">
      <w:pPr>
        <w:pStyle w:val="20"/>
        <w:rPr>
          <w:color w:val="auto"/>
          <w:highlight w:val="none"/>
          <w:lang w:val="zh-CN" w:eastAsia="zh-CN"/>
        </w:rPr>
      </w:pPr>
      <w:r>
        <w:rPr>
          <w:color w:val="auto"/>
          <w:sz w:val="24"/>
          <w:highlight w:val="none"/>
        </w:rPr>
        <w:t xml:space="preserve">  </w:t>
      </w:r>
      <w:r>
        <w:rPr>
          <w:b/>
          <w:bCs/>
          <w:color w:val="auto"/>
          <w:sz w:val="28"/>
          <w:szCs w:val="28"/>
          <w:highlight w:val="none"/>
          <w:lang w:val="en-US" w:eastAsia="zh-CN"/>
        </w:rPr>
        <w:t>1.</w:t>
      </w:r>
      <w:r>
        <w:rPr>
          <w:b/>
          <w:bCs/>
          <w:color w:val="auto"/>
          <w:sz w:val="28"/>
          <w:szCs w:val="28"/>
          <w:highlight w:val="none"/>
        </w:rPr>
        <w:t>报价文件</w:t>
      </w:r>
      <w:r>
        <w:rPr>
          <w:b/>
          <w:bCs/>
          <w:color w:val="auto"/>
          <w:sz w:val="28"/>
          <w:szCs w:val="28"/>
          <w:highlight w:val="none"/>
          <w:lang w:eastAsia="zh-CN"/>
        </w:rPr>
        <w:t>封面的格式：</w:t>
      </w:r>
    </w:p>
    <w:p w14:paraId="60B0C1EC">
      <w:pPr>
        <w:snapToGrid w:val="0"/>
        <w:spacing w:before="120" w:beforeLines="50" w:after="50"/>
        <w:rPr>
          <w:color w:val="auto"/>
          <w:sz w:val="24"/>
          <w:highlight w:val="none"/>
        </w:rPr>
      </w:pPr>
      <w:r>
        <w:rPr>
          <w:color w:val="auto"/>
          <w:sz w:val="24"/>
          <w:highlight w:val="none"/>
        </w:rPr>
        <w:t xml:space="preserve">                                             </w:t>
      </w:r>
    </w:p>
    <w:p w14:paraId="036088DF">
      <w:pPr>
        <w:snapToGrid w:val="0"/>
        <w:spacing w:before="120" w:beforeLines="50" w:after="50"/>
        <w:ind w:firstLine="6720" w:firstLineChars="3200"/>
        <w:rPr>
          <w:bCs/>
          <w:color w:val="auto"/>
          <w:sz w:val="32"/>
          <w:szCs w:val="20"/>
          <w:highlight w:val="none"/>
        </w:rPr>
      </w:pPr>
      <w:r>
        <w:rPr>
          <w:bCs/>
          <w:color w:val="auto"/>
          <w:highlight w:val="none"/>
        </w:rPr>
        <w:t>全流程电子文件</w:t>
      </w:r>
    </w:p>
    <w:p w14:paraId="6FA5D124">
      <w:pPr>
        <w:snapToGrid w:val="0"/>
        <w:spacing w:before="120" w:beforeLines="50" w:after="50"/>
        <w:rPr>
          <w:color w:val="auto"/>
          <w:sz w:val="24"/>
          <w:szCs w:val="20"/>
          <w:highlight w:val="none"/>
        </w:rPr>
      </w:pPr>
    </w:p>
    <w:p w14:paraId="72F22EC4">
      <w:pPr>
        <w:snapToGrid w:val="0"/>
        <w:spacing w:before="120" w:beforeLines="50" w:after="50"/>
        <w:rPr>
          <w:color w:val="auto"/>
          <w:sz w:val="24"/>
          <w:szCs w:val="20"/>
          <w:highlight w:val="none"/>
        </w:rPr>
      </w:pPr>
    </w:p>
    <w:p w14:paraId="24D4E80E">
      <w:pPr>
        <w:snapToGrid w:val="0"/>
        <w:spacing w:before="120" w:beforeLines="50" w:after="50"/>
        <w:rPr>
          <w:color w:val="auto"/>
          <w:sz w:val="24"/>
          <w:szCs w:val="20"/>
          <w:highlight w:val="none"/>
        </w:rPr>
      </w:pPr>
    </w:p>
    <w:p w14:paraId="67689589">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  价  文  件</w:t>
      </w:r>
    </w:p>
    <w:p w14:paraId="2703CB6C">
      <w:pPr>
        <w:snapToGrid w:val="0"/>
        <w:spacing w:before="120" w:beforeLines="50" w:after="50"/>
        <w:rPr>
          <w:bCs/>
          <w:color w:val="auto"/>
          <w:sz w:val="24"/>
          <w:szCs w:val="20"/>
          <w:highlight w:val="none"/>
        </w:rPr>
      </w:pPr>
    </w:p>
    <w:p w14:paraId="54484210">
      <w:pPr>
        <w:snapToGrid w:val="0"/>
        <w:spacing w:before="120" w:beforeLines="50" w:after="50"/>
        <w:rPr>
          <w:bCs/>
          <w:color w:val="auto"/>
          <w:sz w:val="24"/>
          <w:szCs w:val="20"/>
          <w:highlight w:val="none"/>
        </w:rPr>
      </w:pPr>
    </w:p>
    <w:p w14:paraId="52F7E81F">
      <w:pPr>
        <w:snapToGrid w:val="0"/>
        <w:spacing w:before="120" w:beforeLines="50" w:after="50"/>
        <w:rPr>
          <w:bCs/>
          <w:color w:val="auto"/>
          <w:sz w:val="24"/>
          <w:szCs w:val="20"/>
          <w:highlight w:val="none"/>
        </w:rPr>
      </w:pPr>
    </w:p>
    <w:p w14:paraId="6370E1B4">
      <w:pPr>
        <w:snapToGrid w:val="0"/>
        <w:spacing w:before="120" w:beforeLines="50" w:after="50"/>
        <w:rPr>
          <w:bCs/>
          <w:color w:val="auto"/>
          <w:sz w:val="24"/>
          <w:szCs w:val="20"/>
          <w:highlight w:val="none"/>
        </w:rPr>
      </w:pPr>
    </w:p>
    <w:p w14:paraId="620A4D39">
      <w:pPr>
        <w:snapToGrid w:val="0"/>
        <w:spacing w:before="120" w:beforeLines="50" w:after="50"/>
        <w:rPr>
          <w:bCs/>
          <w:color w:val="auto"/>
          <w:sz w:val="24"/>
          <w:szCs w:val="20"/>
          <w:highlight w:val="none"/>
        </w:rPr>
      </w:pPr>
    </w:p>
    <w:p w14:paraId="5C9CCA36">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14:paraId="00CCAFE1">
      <w:pPr>
        <w:snapToGrid w:val="0"/>
        <w:spacing w:before="120" w:beforeLines="50" w:after="50"/>
        <w:ind w:firstLine="720" w:firstLineChars="225"/>
        <w:rPr>
          <w:bCs/>
          <w:color w:val="auto"/>
          <w:sz w:val="32"/>
          <w:szCs w:val="32"/>
          <w:highlight w:val="none"/>
        </w:rPr>
      </w:pPr>
    </w:p>
    <w:p w14:paraId="06C2C7E1">
      <w:pPr>
        <w:snapToGrid w:val="0"/>
        <w:spacing w:before="120" w:beforeLines="50" w:after="50"/>
        <w:ind w:firstLine="640" w:firstLineChars="200"/>
        <w:rPr>
          <w:bCs/>
          <w:color w:val="auto"/>
          <w:sz w:val="32"/>
          <w:szCs w:val="32"/>
          <w:highlight w:val="none"/>
        </w:rPr>
      </w:pPr>
      <w:r>
        <w:rPr>
          <w:bCs/>
          <w:color w:val="auto"/>
          <w:sz w:val="32"/>
          <w:szCs w:val="32"/>
          <w:highlight w:val="none"/>
        </w:rPr>
        <w:t>项目编号：</w:t>
      </w:r>
    </w:p>
    <w:p w14:paraId="7F154D4D">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14:paraId="1C86AE2D">
      <w:pPr>
        <w:snapToGrid w:val="0"/>
        <w:spacing w:before="120" w:beforeLines="50" w:after="50"/>
        <w:ind w:firstLine="640" w:firstLineChars="200"/>
        <w:rPr>
          <w:bCs/>
          <w:color w:val="auto"/>
          <w:sz w:val="32"/>
          <w:szCs w:val="32"/>
          <w:highlight w:val="none"/>
        </w:rPr>
      </w:pPr>
      <w:r>
        <w:rPr>
          <w:bCs/>
          <w:color w:val="auto"/>
          <w:sz w:val="32"/>
          <w:szCs w:val="32"/>
          <w:highlight w:val="none"/>
        </w:rPr>
        <w:t>所竞分标（如有则填写，无分标时填写</w:t>
      </w:r>
      <w:r>
        <w:rPr>
          <w:rFonts w:hint="eastAsia"/>
          <w:bCs/>
          <w:color w:val="auto"/>
          <w:sz w:val="32"/>
          <w:szCs w:val="32"/>
          <w:highlight w:val="none"/>
          <w:lang w:eastAsia="zh-CN"/>
        </w:rPr>
        <w:t>“</w:t>
      </w:r>
      <w:r>
        <w:rPr>
          <w:bCs/>
          <w:color w:val="auto"/>
          <w:sz w:val="32"/>
          <w:szCs w:val="32"/>
          <w:highlight w:val="none"/>
        </w:rPr>
        <w:t>无</w:t>
      </w:r>
      <w:r>
        <w:rPr>
          <w:rFonts w:hint="eastAsia"/>
          <w:bCs/>
          <w:color w:val="auto"/>
          <w:sz w:val="32"/>
          <w:szCs w:val="32"/>
          <w:highlight w:val="none"/>
          <w:lang w:eastAsia="zh-CN"/>
        </w:rPr>
        <w:t>”</w:t>
      </w:r>
      <w:r>
        <w:rPr>
          <w:bCs/>
          <w:color w:val="auto"/>
          <w:sz w:val="32"/>
          <w:szCs w:val="32"/>
          <w:highlight w:val="none"/>
        </w:rPr>
        <w:t>或者留空）：</w:t>
      </w:r>
    </w:p>
    <w:p w14:paraId="6D145DBD">
      <w:pPr>
        <w:snapToGrid w:val="0"/>
        <w:spacing w:before="120" w:beforeLines="50" w:after="50"/>
        <w:ind w:firstLine="720" w:firstLineChars="225"/>
        <w:rPr>
          <w:bCs/>
          <w:color w:val="auto"/>
          <w:sz w:val="32"/>
          <w:szCs w:val="32"/>
          <w:highlight w:val="none"/>
        </w:rPr>
      </w:pPr>
    </w:p>
    <w:p w14:paraId="2C24A399">
      <w:pPr>
        <w:pStyle w:val="7"/>
        <w:snapToGrid w:val="0"/>
        <w:spacing w:before="50" w:after="50"/>
        <w:ind w:firstLine="640" w:firstLineChars="200"/>
        <w:rPr>
          <w:bCs/>
          <w:color w:val="auto"/>
          <w:sz w:val="32"/>
          <w:szCs w:val="32"/>
          <w:highlight w:val="none"/>
        </w:rPr>
      </w:pPr>
      <w:r>
        <w:rPr>
          <w:bCs/>
          <w:color w:val="auto"/>
          <w:sz w:val="32"/>
          <w:szCs w:val="32"/>
          <w:highlight w:val="none"/>
        </w:rPr>
        <w:t>供应商名称：</w:t>
      </w:r>
    </w:p>
    <w:p w14:paraId="154442DD">
      <w:pPr>
        <w:pStyle w:val="7"/>
        <w:snapToGrid w:val="0"/>
        <w:spacing w:before="50" w:after="50"/>
        <w:ind w:firstLine="720" w:firstLineChars="225"/>
        <w:rPr>
          <w:bCs/>
          <w:color w:val="auto"/>
          <w:sz w:val="32"/>
          <w:szCs w:val="32"/>
          <w:highlight w:val="none"/>
        </w:rPr>
      </w:pPr>
    </w:p>
    <w:p w14:paraId="0DC9B892">
      <w:pPr>
        <w:pStyle w:val="7"/>
        <w:snapToGrid w:val="0"/>
        <w:spacing w:before="50" w:after="50"/>
        <w:ind w:firstLine="720" w:firstLineChars="225"/>
        <w:rPr>
          <w:bCs/>
          <w:color w:val="auto"/>
          <w:sz w:val="32"/>
          <w:szCs w:val="32"/>
          <w:highlight w:val="none"/>
        </w:rPr>
      </w:pPr>
    </w:p>
    <w:p w14:paraId="3290FAB7">
      <w:pPr>
        <w:pStyle w:val="7"/>
        <w:snapToGrid w:val="0"/>
        <w:spacing w:before="50" w:after="50"/>
        <w:ind w:firstLine="1280" w:firstLineChars="400"/>
        <w:rPr>
          <w:bCs/>
          <w:color w:val="auto"/>
          <w:sz w:val="32"/>
          <w:szCs w:val="32"/>
          <w:highlight w:val="none"/>
        </w:rPr>
      </w:pPr>
    </w:p>
    <w:p w14:paraId="71E8A358">
      <w:pPr>
        <w:snapToGrid w:val="0"/>
        <w:spacing w:before="120" w:beforeLines="50" w:after="50"/>
        <w:jc w:val="center"/>
        <w:rPr>
          <w:color w:val="auto"/>
          <w:sz w:val="32"/>
          <w:szCs w:val="32"/>
          <w:highlight w:val="none"/>
        </w:rPr>
      </w:pPr>
      <w:r>
        <w:rPr>
          <w:color w:val="auto"/>
          <w:sz w:val="32"/>
          <w:szCs w:val="32"/>
          <w:highlight w:val="none"/>
        </w:rPr>
        <w:t>年    月    日</w:t>
      </w:r>
    </w:p>
    <w:p w14:paraId="348B84DE">
      <w:pPr>
        <w:snapToGrid w:val="0"/>
        <w:spacing w:before="120" w:beforeLines="50" w:after="50" w:line="360" w:lineRule="auto"/>
        <w:jc w:val="left"/>
        <w:rPr>
          <w:color w:val="auto"/>
          <w:sz w:val="28"/>
          <w:szCs w:val="28"/>
          <w:highlight w:val="none"/>
        </w:rPr>
      </w:pPr>
      <w:r>
        <w:rPr>
          <w:color w:val="auto"/>
          <w:sz w:val="24"/>
          <w:highlight w:val="none"/>
        </w:rPr>
        <w:br w:type="page"/>
      </w:r>
      <w:r>
        <w:rPr>
          <w:b/>
          <w:color w:val="auto"/>
          <w:sz w:val="28"/>
          <w:szCs w:val="28"/>
          <w:highlight w:val="none"/>
        </w:rPr>
        <w:t>2.</w:t>
      </w:r>
      <w:r>
        <w:rPr>
          <w:b/>
          <w:bCs/>
          <w:color w:val="auto"/>
          <w:sz w:val="28"/>
          <w:szCs w:val="28"/>
          <w:highlight w:val="none"/>
        </w:rPr>
        <w:t>报价文件目录</w:t>
      </w:r>
    </w:p>
    <w:p w14:paraId="30963556">
      <w:pPr>
        <w:snapToGrid w:val="0"/>
        <w:spacing w:before="50" w:after="120" w:afterLines="50" w:line="360" w:lineRule="auto"/>
        <w:jc w:val="left"/>
        <w:rPr>
          <w:b/>
          <w:color w:val="auto"/>
          <w:sz w:val="28"/>
          <w:szCs w:val="28"/>
          <w:highlight w:val="none"/>
        </w:rPr>
      </w:pPr>
      <w:r>
        <w:rPr>
          <w:color w:val="auto"/>
          <w:sz w:val="28"/>
          <w:szCs w:val="28"/>
          <w:highlight w:val="none"/>
        </w:rPr>
        <w:t>根据竞争性磋商文件规定及供应商提供的材料自行编写目录</w:t>
      </w:r>
      <w:r>
        <w:rPr>
          <w:color w:val="auto"/>
          <w:kern w:val="0"/>
          <w:sz w:val="28"/>
          <w:szCs w:val="28"/>
          <w:highlight w:val="none"/>
        </w:rPr>
        <w:t>（部分格式后附）</w:t>
      </w:r>
      <w:r>
        <w:rPr>
          <w:color w:val="auto"/>
          <w:sz w:val="28"/>
          <w:szCs w:val="28"/>
          <w:highlight w:val="none"/>
        </w:rPr>
        <w:t>。</w:t>
      </w:r>
    </w:p>
    <w:p w14:paraId="79A3BCA6">
      <w:pPr>
        <w:spacing w:line="360" w:lineRule="auto"/>
        <w:rPr>
          <w:rFonts w:eastAsia="仿宋_GB2312"/>
          <w:color w:val="auto"/>
          <w:sz w:val="24"/>
          <w:highlight w:val="none"/>
        </w:rPr>
      </w:pPr>
    </w:p>
    <w:p w14:paraId="3F94F3DD">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7B253D4C">
      <w:pPr>
        <w:snapToGrid w:val="0"/>
        <w:spacing w:before="120" w:beforeLines="50" w:after="50" w:line="360" w:lineRule="auto"/>
        <w:jc w:val="left"/>
        <w:rPr>
          <w:color w:val="auto"/>
          <w:szCs w:val="21"/>
          <w:highlight w:val="none"/>
        </w:rPr>
      </w:pPr>
      <w:r>
        <w:rPr>
          <w:rFonts w:ascii="Calibri" w:cs="仿宋_GB2312"/>
          <w:color w:val="auto"/>
          <w:sz w:val="24"/>
          <w:highlight w:val="none"/>
        </w:rPr>
        <w:br w:type="page"/>
      </w:r>
      <w:r>
        <w:rPr>
          <w:b/>
          <w:color w:val="auto"/>
          <w:sz w:val="28"/>
          <w:szCs w:val="28"/>
          <w:highlight w:val="none"/>
        </w:rPr>
        <w:t>3.</w:t>
      </w:r>
      <w:r>
        <w:rPr>
          <w:b/>
          <w:color w:val="auto"/>
          <w:sz w:val="28"/>
          <w:szCs w:val="28"/>
          <w:highlight w:val="none"/>
          <w:lang w:val="zh-CN"/>
        </w:rPr>
        <w:t>响应函的格式：</w:t>
      </w:r>
    </w:p>
    <w:p w14:paraId="7EF29776">
      <w:pPr>
        <w:spacing w:line="500" w:lineRule="exact"/>
        <w:jc w:val="center"/>
        <w:rPr>
          <w:b/>
          <w:bCs/>
          <w:color w:val="auto"/>
          <w:kern w:val="0"/>
          <w:sz w:val="28"/>
          <w:szCs w:val="28"/>
          <w:highlight w:val="none"/>
        </w:rPr>
      </w:pPr>
      <w:r>
        <w:rPr>
          <w:b/>
          <w:bCs/>
          <w:color w:val="auto"/>
          <w:kern w:val="0"/>
          <w:sz w:val="28"/>
          <w:szCs w:val="28"/>
          <w:highlight w:val="none"/>
        </w:rPr>
        <w:t>响应函</w:t>
      </w:r>
    </w:p>
    <w:p w14:paraId="1D057113">
      <w:pPr>
        <w:spacing w:line="500" w:lineRule="exact"/>
        <w:rPr>
          <w:color w:val="auto"/>
          <w:kern w:val="0"/>
          <w:szCs w:val="21"/>
          <w:highlight w:val="none"/>
        </w:rPr>
      </w:pPr>
    </w:p>
    <w:p w14:paraId="7BC4129B">
      <w:pPr>
        <w:spacing w:line="440" w:lineRule="exact"/>
        <w:rPr>
          <w:color w:val="auto"/>
          <w:kern w:val="0"/>
          <w:szCs w:val="21"/>
          <w:highlight w:val="none"/>
        </w:rPr>
      </w:pPr>
      <w:r>
        <w:rPr>
          <w:color w:val="auto"/>
          <w:kern w:val="0"/>
          <w:szCs w:val="21"/>
          <w:highlight w:val="none"/>
        </w:rPr>
        <w:t>致：</w:t>
      </w:r>
      <w:r>
        <w:rPr>
          <w:color w:val="auto"/>
          <w:kern w:val="0"/>
          <w:szCs w:val="21"/>
          <w:highlight w:val="none"/>
          <w:u w:val="single"/>
        </w:rPr>
        <w:t xml:space="preserve">                      </w:t>
      </w:r>
      <w:r>
        <w:rPr>
          <w:color w:val="auto"/>
          <w:kern w:val="0"/>
          <w:szCs w:val="21"/>
          <w:highlight w:val="none"/>
        </w:rPr>
        <w:t>（采购代理机构名称）</w:t>
      </w:r>
    </w:p>
    <w:p w14:paraId="633415A3">
      <w:pPr>
        <w:spacing w:line="440" w:lineRule="exact"/>
        <w:ind w:firstLine="420" w:firstLineChars="200"/>
        <w:rPr>
          <w:color w:val="auto"/>
          <w:kern w:val="0"/>
          <w:szCs w:val="21"/>
          <w:highlight w:val="none"/>
        </w:rPr>
      </w:pPr>
      <w:r>
        <w:rPr>
          <w:color w:val="auto"/>
          <w:kern w:val="0"/>
          <w:szCs w:val="21"/>
          <w:highlight w:val="none"/>
        </w:rPr>
        <w:t>我方已仔细阅读了贵方组织的</w:t>
      </w:r>
      <w:r>
        <w:rPr>
          <w:color w:val="auto"/>
          <w:kern w:val="0"/>
          <w:szCs w:val="21"/>
          <w:highlight w:val="none"/>
          <w:u w:val="single"/>
        </w:rPr>
        <w:t xml:space="preserve">                </w:t>
      </w:r>
      <w:r>
        <w:rPr>
          <w:color w:val="auto"/>
          <w:kern w:val="0"/>
          <w:szCs w:val="21"/>
          <w:highlight w:val="none"/>
        </w:rPr>
        <w:t>项目（项目编号：</w:t>
      </w:r>
      <w:r>
        <w:rPr>
          <w:color w:val="auto"/>
          <w:kern w:val="0"/>
          <w:szCs w:val="21"/>
          <w:highlight w:val="none"/>
          <w:u w:val="single"/>
        </w:rPr>
        <w:t xml:space="preserve">             </w:t>
      </w:r>
      <w:r>
        <w:rPr>
          <w:color w:val="auto"/>
          <w:kern w:val="0"/>
          <w:szCs w:val="21"/>
          <w:highlight w:val="none"/>
        </w:rPr>
        <w:t xml:space="preserve">）的竞争性磋商文件的全部内容，现正式递交下述文件参加贵方组织的本次政府采购活动： </w:t>
      </w:r>
    </w:p>
    <w:p w14:paraId="20E847F0">
      <w:pPr>
        <w:spacing w:line="440" w:lineRule="exact"/>
        <w:ind w:firstLine="420" w:firstLineChars="200"/>
        <w:rPr>
          <w:color w:val="auto"/>
          <w:kern w:val="0"/>
          <w:szCs w:val="21"/>
          <w:highlight w:val="none"/>
        </w:rPr>
      </w:pPr>
      <w:r>
        <w:rPr>
          <w:color w:val="auto"/>
          <w:kern w:val="0"/>
          <w:szCs w:val="21"/>
          <w:highlight w:val="none"/>
        </w:rPr>
        <w:t>一、首次报价文件电子版（包含按</w:t>
      </w:r>
      <w:r>
        <w:rPr>
          <w:rFonts w:hint="eastAsia"/>
          <w:color w:val="auto"/>
          <w:kern w:val="0"/>
          <w:szCs w:val="21"/>
          <w:highlight w:val="none"/>
          <w:lang w:eastAsia="zh-CN"/>
        </w:rPr>
        <w:t>“</w:t>
      </w:r>
      <w:r>
        <w:rPr>
          <w:color w:val="auto"/>
          <w:kern w:val="0"/>
          <w:szCs w:val="21"/>
          <w:highlight w:val="none"/>
        </w:rPr>
        <w:t>第三章 供应商须知</w:t>
      </w:r>
      <w:r>
        <w:rPr>
          <w:rFonts w:hint="eastAsia"/>
          <w:color w:val="auto"/>
          <w:kern w:val="0"/>
          <w:szCs w:val="21"/>
          <w:highlight w:val="none"/>
          <w:lang w:eastAsia="zh-CN"/>
        </w:rPr>
        <w:t>”</w:t>
      </w:r>
      <w:r>
        <w:rPr>
          <w:color w:val="auto"/>
          <w:kern w:val="0"/>
          <w:szCs w:val="21"/>
          <w:highlight w:val="none"/>
        </w:rPr>
        <w:t>提交的全部文件）；</w:t>
      </w:r>
    </w:p>
    <w:p w14:paraId="7ECC9EDE">
      <w:pPr>
        <w:spacing w:line="440" w:lineRule="exact"/>
        <w:ind w:firstLine="420" w:firstLineChars="200"/>
        <w:rPr>
          <w:color w:val="auto"/>
          <w:kern w:val="0"/>
          <w:szCs w:val="21"/>
          <w:highlight w:val="none"/>
        </w:rPr>
      </w:pPr>
      <w:r>
        <w:rPr>
          <w:color w:val="auto"/>
          <w:kern w:val="0"/>
          <w:szCs w:val="21"/>
          <w:highlight w:val="none"/>
        </w:rPr>
        <w:t>二、技术文件电子版（包含按</w:t>
      </w:r>
      <w:r>
        <w:rPr>
          <w:rFonts w:hint="eastAsia"/>
          <w:color w:val="auto"/>
          <w:kern w:val="0"/>
          <w:szCs w:val="21"/>
          <w:highlight w:val="none"/>
          <w:lang w:eastAsia="zh-CN"/>
        </w:rPr>
        <w:t>“</w:t>
      </w:r>
      <w:r>
        <w:rPr>
          <w:color w:val="auto"/>
          <w:kern w:val="0"/>
          <w:szCs w:val="21"/>
          <w:highlight w:val="none"/>
        </w:rPr>
        <w:t>第三章 供应商须知</w:t>
      </w:r>
      <w:r>
        <w:rPr>
          <w:rFonts w:hint="eastAsia"/>
          <w:color w:val="auto"/>
          <w:kern w:val="0"/>
          <w:szCs w:val="21"/>
          <w:highlight w:val="none"/>
          <w:lang w:eastAsia="zh-CN"/>
        </w:rPr>
        <w:t>”</w:t>
      </w:r>
      <w:r>
        <w:rPr>
          <w:color w:val="auto"/>
          <w:kern w:val="0"/>
          <w:szCs w:val="21"/>
          <w:highlight w:val="none"/>
        </w:rPr>
        <w:t>提交的全部文件）；商务文件电子版（包含按</w:t>
      </w:r>
      <w:r>
        <w:rPr>
          <w:rFonts w:hint="eastAsia"/>
          <w:color w:val="auto"/>
          <w:kern w:val="0"/>
          <w:szCs w:val="21"/>
          <w:highlight w:val="none"/>
          <w:lang w:eastAsia="zh-CN"/>
        </w:rPr>
        <w:t>“</w:t>
      </w:r>
      <w:r>
        <w:rPr>
          <w:color w:val="auto"/>
          <w:kern w:val="0"/>
          <w:szCs w:val="21"/>
          <w:highlight w:val="none"/>
        </w:rPr>
        <w:t>第三章 供应商须知</w:t>
      </w:r>
      <w:r>
        <w:rPr>
          <w:rFonts w:hint="eastAsia"/>
          <w:color w:val="auto"/>
          <w:kern w:val="0"/>
          <w:szCs w:val="21"/>
          <w:highlight w:val="none"/>
          <w:lang w:eastAsia="zh-CN"/>
        </w:rPr>
        <w:t>”</w:t>
      </w:r>
      <w:r>
        <w:rPr>
          <w:color w:val="auto"/>
          <w:kern w:val="0"/>
          <w:szCs w:val="21"/>
          <w:highlight w:val="none"/>
        </w:rPr>
        <w:t>提交的全部文件）；</w:t>
      </w:r>
    </w:p>
    <w:p w14:paraId="04461E06">
      <w:pPr>
        <w:spacing w:line="440" w:lineRule="exact"/>
        <w:ind w:firstLine="420" w:firstLineChars="200"/>
        <w:rPr>
          <w:color w:val="auto"/>
          <w:kern w:val="0"/>
          <w:szCs w:val="21"/>
          <w:highlight w:val="none"/>
        </w:rPr>
      </w:pPr>
      <w:r>
        <w:rPr>
          <w:color w:val="auto"/>
          <w:kern w:val="0"/>
          <w:szCs w:val="21"/>
          <w:highlight w:val="none"/>
        </w:rPr>
        <w:t>三、资格证明文件电子版（包含按</w:t>
      </w:r>
      <w:r>
        <w:rPr>
          <w:rFonts w:hint="eastAsia"/>
          <w:color w:val="auto"/>
          <w:kern w:val="0"/>
          <w:szCs w:val="21"/>
          <w:highlight w:val="none"/>
          <w:lang w:eastAsia="zh-CN"/>
        </w:rPr>
        <w:t>“</w:t>
      </w:r>
      <w:r>
        <w:rPr>
          <w:color w:val="auto"/>
          <w:kern w:val="0"/>
          <w:szCs w:val="21"/>
          <w:highlight w:val="none"/>
        </w:rPr>
        <w:t>第三章供应商须知</w:t>
      </w:r>
      <w:r>
        <w:rPr>
          <w:rFonts w:hint="eastAsia"/>
          <w:color w:val="auto"/>
          <w:kern w:val="0"/>
          <w:szCs w:val="21"/>
          <w:highlight w:val="none"/>
          <w:lang w:eastAsia="zh-CN"/>
        </w:rPr>
        <w:t>”</w:t>
      </w:r>
      <w:r>
        <w:rPr>
          <w:color w:val="auto"/>
          <w:kern w:val="0"/>
          <w:szCs w:val="21"/>
          <w:highlight w:val="none"/>
        </w:rPr>
        <w:t>提交的全部文件）。</w:t>
      </w:r>
    </w:p>
    <w:p w14:paraId="29DF87DB">
      <w:pPr>
        <w:spacing w:line="440" w:lineRule="exact"/>
        <w:ind w:firstLine="420" w:firstLineChars="200"/>
        <w:rPr>
          <w:color w:val="auto"/>
          <w:kern w:val="0"/>
          <w:szCs w:val="21"/>
          <w:highlight w:val="none"/>
        </w:rPr>
      </w:pPr>
      <w:r>
        <w:rPr>
          <w:color w:val="auto"/>
          <w:kern w:val="0"/>
          <w:szCs w:val="21"/>
          <w:highlight w:val="none"/>
        </w:rPr>
        <w:t>据此函，</w:t>
      </w:r>
      <w:r>
        <w:rPr>
          <w:rFonts w:hint="eastAsia"/>
          <w:color w:val="auto"/>
          <w:kern w:val="0"/>
          <w:szCs w:val="21"/>
          <w:highlight w:val="none"/>
          <w:lang w:eastAsia="zh-CN"/>
        </w:rPr>
        <w:t>我方</w:t>
      </w:r>
      <w:r>
        <w:rPr>
          <w:color w:val="auto"/>
          <w:kern w:val="0"/>
          <w:szCs w:val="21"/>
          <w:highlight w:val="none"/>
        </w:rPr>
        <w:t>兹宣布：</w:t>
      </w:r>
    </w:p>
    <w:p w14:paraId="411E5AEC">
      <w:pPr>
        <w:spacing w:line="440" w:lineRule="exact"/>
        <w:ind w:firstLine="420" w:firstLineChars="200"/>
        <w:rPr>
          <w:color w:val="auto"/>
          <w:kern w:val="0"/>
          <w:szCs w:val="21"/>
          <w:highlight w:val="none"/>
        </w:rPr>
      </w:pPr>
      <w:r>
        <w:rPr>
          <w:color w:val="auto"/>
          <w:kern w:val="0"/>
          <w:szCs w:val="21"/>
          <w:highlight w:val="none"/>
        </w:rPr>
        <w:t>1、我方愿意以磋商时提交的最后报价表中的</w:t>
      </w:r>
      <w:r>
        <w:rPr>
          <w:rFonts w:hint="eastAsia"/>
          <w:color w:val="auto"/>
          <w:kern w:val="0"/>
          <w:szCs w:val="21"/>
          <w:highlight w:val="none"/>
        </w:rPr>
        <w:t>磋商</w:t>
      </w:r>
      <w:r>
        <w:rPr>
          <w:color w:val="auto"/>
          <w:kern w:val="0"/>
          <w:szCs w:val="21"/>
          <w:highlight w:val="none"/>
        </w:rPr>
        <w:t>总报价，在承诺的</w:t>
      </w:r>
      <w:r>
        <w:rPr>
          <w:rFonts w:hint="eastAsia"/>
          <w:color w:val="auto"/>
          <w:kern w:val="0"/>
          <w:szCs w:val="21"/>
          <w:highlight w:val="none"/>
        </w:rPr>
        <w:t>工期内</w:t>
      </w:r>
      <w:r>
        <w:rPr>
          <w:color w:val="auto"/>
          <w:kern w:val="0"/>
          <w:szCs w:val="21"/>
          <w:highlight w:val="none"/>
        </w:rPr>
        <w:t>提供本项目竞争性磋商文件第二章</w:t>
      </w:r>
      <w:r>
        <w:rPr>
          <w:rFonts w:hint="eastAsia"/>
          <w:color w:val="auto"/>
          <w:kern w:val="0"/>
          <w:szCs w:val="21"/>
          <w:highlight w:val="none"/>
          <w:lang w:eastAsia="zh-CN"/>
        </w:rPr>
        <w:t>“</w:t>
      </w:r>
      <w:r>
        <w:rPr>
          <w:color w:val="auto"/>
          <w:kern w:val="0"/>
          <w:szCs w:val="21"/>
          <w:highlight w:val="none"/>
        </w:rPr>
        <w:t>采购需求</w:t>
      </w:r>
      <w:r>
        <w:rPr>
          <w:rFonts w:hint="eastAsia"/>
          <w:color w:val="auto"/>
          <w:kern w:val="0"/>
          <w:szCs w:val="21"/>
          <w:highlight w:val="none"/>
          <w:lang w:eastAsia="zh-CN"/>
        </w:rPr>
        <w:t>”</w:t>
      </w:r>
      <w:r>
        <w:rPr>
          <w:color w:val="auto"/>
          <w:kern w:val="0"/>
          <w:szCs w:val="21"/>
          <w:highlight w:val="none"/>
        </w:rPr>
        <w:t>中相应的采购内容，具体详见最后报价表。</w:t>
      </w:r>
    </w:p>
    <w:p w14:paraId="33F36D14">
      <w:pPr>
        <w:spacing w:line="440" w:lineRule="exact"/>
        <w:ind w:firstLine="420" w:firstLineChars="200"/>
        <w:rPr>
          <w:color w:val="auto"/>
          <w:kern w:val="0"/>
          <w:szCs w:val="21"/>
          <w:highlight w:val="none"/>
        </w:rPr>
      </w:pPr>
      <w:r>
        <w:rPr>
          <w:color w:val="auto"/>
          <w:kern w:val="0"/>
          <w:szCs w:val="21"/>
          <w:highlight w:val="none"/>
        </w:rPr>
        <w:t>2、</w:t>
      </w:r>
      <w:r>
        <w:rPr>
          <w:rFonts w:hint="eastAsia"/>
          <w:color w:val="auto"/>
          <w:kern w:val="0"/>
          <w:szCs w:val="21"/>
          <w:highlight w:val="none"/>
        </w:rPr>
        <w:t>我方同意自本项目竞争性磋商文件采购公告规定的</w:t>
      </w:r>
      <w:r>
        <w:rPr>
          <w:rFonts w:hint="eastAsia"/>
          <w:color w:val="auto"/>
          <w:kern w:val="0"/>
          <w:szCs w:val="21"/>
          <w:highlight w:val="none"/>
          <w:lang w:eastAsia="zh-CN"/>
        </w:rPr>
        <w:t>提</w:t>
      </w:r>
      <w:r>
        <w:rPr>
          <w:rFonts w:hint="eastAsia"/>
          <w:color w:val="auto"/>
          <w:kern w:val="0"/>
          <w:szCs w:val="21"/>
          <w:highlight w:val="none"/>
        </w:rPr>
        <w:t>交响应文件截止时间起遵循本响应函，并承诺在“第三章 供应商须知”规定的</w:t>
      </w:r>
      <w:r>
        <w:rPr>
          <w:rFonts w:hint="eastAsia"/>
          <w:color w:val="auto"/>
          <w:kern w:val="0"/>
          <w:szCs w:val="21"/>
          <w:highlight w:val="none"/>
          <w:lang w:val="en-US" w:eastAsia="zh-CN"/>
        </w:rPr>
        <w:t>竞标</w:t>
      </w:r>
      <w:r>
        <w:rPr>
          <w:rFonts w:hint="eastAsia"/>
          <w:color w:val="auto"/>
          <w:kern w:val="0"/>
          <w:szCs w:val="21"/>
          <w:highlight w:val="none"/>
        </w:rPr>
        <w:t>有效期内不修改、撤销响应文件</w:t>
      </w:r>
      <w:r>
        <w:rPr>
          <w:color w:val="auto"/>
          <w:kern w:val="0"/>
          <w:szCs w:val="21"/>
          <w:highlight w:val="none"/>
        </w:rPr>
        <w:t>。</w:t>
      </w:r>
    </w:p>
    <w:p w14:paraId="704EED5B">
      <w:pPr>
        <w:spacing w:line="440" w:lineRule="exact"/>
        <w:ind w:firstLine="420" w:firstLineChars="200"/>
        <w:rPr>
          <w:color w:val="auto"/>
          <w:kern w:val="0"/>
          <w:szCs w:val="21"/>
          <w:highlight w:val="none"/>
        </w:rPr>
      </w:pPr>
      <w:r>
        <w:rPr>
          <w:color w:val="auto"/>
          <w:kern w:val="0"/>
          <w:szCs w:val="21"/>
          <w:highlight w:val="none"/>
        </w:rPr>
        <w:t>3、我方在此声明，所递交的响应文件及有关资料内容完整、真实和准确。</w:t>
      </w:r>
    </w:p>
    <w:p w14:paraId="0D77FA84">
      <w:pPr>
        <w:spacing w:line="440" w:lineRule="exact"/>
        <w:ind w:firstLine="420" w:firstLineChars="200"/>
        <w:rPr>
          <w:color w:val="auto"/>
          <w:kern w:val="0"/>
          <w:szCs w:val="21"/>
          <w:highlight w:val="none"/>
        </w:rPr>
      </w:pPr>
      <w:r>
        <w:rPr>
          <w:color w:val="auto"/>
          <w:kern w:val="0"/>
          <w:szCs w:val="21"/>
          <w:highlight w:val="none"/>
        </w:rPr>
        <w:t>4、如本项目采购内容涉及须符合国家强制规定的，我方承诺我方本次竞标均符合国家有关强制规定。</w:t>
      </w:r>
    </w:p>
    <w:p w14:paraId="286ECFE5">
      <w:pPr>
        <w:spacing w:line="440" w:lineRule="exact"/>
        <w:ind w:firstLine="420" w:firstLineChars="200"/>
        <w:rPr>
          <w:rFonts w:hint="eastAsia"/>
          <w:color w:val="auto"/>
          <w:kern w:val="0"/>
          <w:szCs w:val="21"/>
          <w:highlight w:val="none"/>
        </w:rPr>
      </w:pPr>
      <w:r>
        <w:rPr>
          <w:rFonts w:hint="eastAsia"/>
          <w:color w:val="auto"/>
          <w:kern w:val="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56697F46">
      <w:pPr>
        <w:spacing w:line="440" w:lineRule="exact"/>
        <w:ind w:firstLine="420" w:firstLineChars="200"/>
        <w:rPr>
          <w:rFonts w:hint="eastAsia"/>
          <w:color w:val="auto"/>
          <w:kern w:val="0"/>
          <w:szCs w:val="21"/>
          <w:highlight w:val="none"/>
        </w:rPr>
      </w:pPr>
      <w:r>
        <w:rPr>
          <w:rFonts w:hint="eastAsia"/>
          <w:color w:val="auto"/>
          <w:kern w:val="0"/>
          <w:szCs w:val="21"/>
          <w:highlight w:val="none"/>
          <w:lang w:val="en-US" w:eastAsia="zh-CN"/>
        </w:rPr>
        <w:t>6</w:t>
      </w:r>
      <w:r>
        <w:rPr>
          <w:rFonts w:hint="eastAsia"/>
          <w:color w:val="auto"/>
          <w:kern w:val="0"/>
          <w:szCs w:val="21"/>
          <w:highlight w:val="none"/>
        </w:rPr>
        <w:t>、我方已详细审核竞争性磋商文件，我方知道必须放弃提出含糊不清或误解问题的权利。</w:t>
      </w:r>
    </w:p>
    <w:p w14:paraId="237612F3">
      <w:pPr>
        <w:spacing w:line="440" w:lineRule="exact"/>
        <w:ind w:firstLine="420" w:firstLineChars="200"/>
        <w:rPr>
          <w:rFonts w:hint="eastAsia"/>
          <w:color w:val="auto"/>
          <w:kern w:val="0"/>
          <w:szCs w:val="21"/>
          <w:highlight w:val="none"/>
        </w:rPr>
      </w:pPr>
      <w:r>
        <w:rPr>
          <w:rFonts w:hint="eastAsia"/>
          <w:color w:val="auto"/>
          <w:kern w:val="0"/>
          <w:szCs w:val="21"/>
          <w:highlight w:val="none"/>
          <w:lang w:val="en-US" w:eastAsia="zh-CN"/>
        </w:rPr>
        <w:t>7</w:t>
      </w:r>
      <w:r>
        <w:rPr>
          <w:rFonts w:hint="eastAsia"/>
          <w:color w:val="auto"/>
          <w:kern w:val="0"/>
          <w:szCs w:val="21"/>
          <w:highlight w:val="none"/>
        </w:rPr>
        <w:t>、我方承诺满足竞争性磋商文件第六章“合同文本”的条款，承担完成合同的责任和义务。</w:t>
      </w:r>
    </w:p>
    <w:p w14:paraId="6DBE9C6F">
      <w:pPr>
        <w:spacing w:line="440" w:lineRule="exact"/>
        <w:ind w:firstLine="420" w:firstLineChars="200"/>
        <w:rPr>
          <w:rFonts w:hint="eastAsia"/>
          <w:color w:val="auto"/>
          <w:kern w:val="0"/>
          <w:szCs w:val="21"/>
          <w:highlight w:val="none"/>
        </w:rPr>
      </w:pPr>
      <w:r>
        <w:rPr>
          <w:rFonts w:hint="eastAsia"/>
          <w:color w:val="auto"/>
          <w:kern w:val="0"/>
          <w:szCs w:val="21"/>
          <w:highlight w:val="none"/>
          <w:lang w:val="en-US" w:eastAsia="zh-CN"/>
        </w:rPr>
        <w:t>8</w:t>
      </w:r>
      <w:r>
        <w:rPr>
          <w:rFonts w:hint="eastAsia"/>
          <w:color w:val="auto"/>
          <w:kern w:val="0"/>
          <w:szCs w:val="21"/>
          <w:highlight w:val="none"/>
        </w:rPr>
        <w:t>、我方同意应贵方要求提供与本竞标有关的任何数据或资料。若贵方需要，我方愿意提供我方作出的一切承诺的证明材料。</w:t>
      </w:r>
    </w:p>
    <w:p w14:paraId="2CA92DDC">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、我方完全理解贵方不一定接受响应报价最低的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为成交供应商的行为。</w:t>
      </w:r>
    </w:p>
    <w:p w14:paraId="64BFC17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8789A0">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提供虚假材料谋取中标、成交的；</w:t>
      </w:r>
    </w:p>
    <w:p w14:paraId="3DFB04E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采取不正当手段诋毁、排挤其他供应商的；</w:t>
      </w:r>
    </w:p>
    <w:p w14:paraId="72191408">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与采购人、其他供应商或者采购代理机构恶意串通的；</w:t>
      </w:r>
    </w:p>
    <w:p w14:paraId="3A06038C">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向采购人、采购代理机构行贿或者提供其他不正当利益的；</w:t>
      </w:r>
    </w:p>
    <w:p w14:paraId="4E257C72">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在采购过程中与采购人进行协商</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的；</w:t>
      </w:r>
    </w:p>
    <w:p w14:paraId="26F9374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拒绝有关部门监督检查或提供虚假情况的。</w:t>
      </w:r>
    </w:p>
    <w:p w14:paraId="221F8D3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kern w:val="0"/>
          <w:sz w:val="21"/>
          <w:szCs w:val="21"/>
          <w:highlight w:val="none"/>
        </w:rPr>
      </w:pPr>
      <w:r>
        <w:rPr>
          <w:rFonts w:hint="eastAsia" w:ascii="宋体" w:hAnsi="宋体" w:eastAsia="宋体" w:cs="宋体"/>
          <w:color w:val="auto"/>
          <w:kern w:val="0"/>
          <w:sz w:val="21"/>
          <w:szCs w:val="21"/>
          <w:highlight w:val="none"/>
          <w:lang w:val="en-US" w:eastAsia="zh-CN"/>
        </w:rPr>
        <w:t>11、</w:t>
      </w:r>
      <w:r>
        <w:rPr>
          <w:rFonts w:hint="eastAsia" w:eastAsia="宋体" w:cs="Times New Roman"/>
          <w:color w:val="auto"/>
          <w:sz w:val="21"/>
          <w:szCs w:val="21"/>
          <w:highlight w:val="none"/>
        </w:rPr>
        <w:t>以上事项如有虚假或</w:t>
      </w:r>
      <w:r>
        <w:rPr>
          <w:rFonts w:hint="eastAsia" w:cs="Times New Roman"/>
          <w:color w:val="auto"/>
          <w:sz w:val="21"/>
          <w:szCs w:val="21"/>
          <w:highlight w:val="none"/>
          <w:lang w:val="en-US" w:eastAsia="zh-CN"/>
        </w:rPr>
        <w:t>者</w:t>
      </w:r>
      <w:r>
        <w:rPr>
          <w:rFonts w:hint="eastAsia" w:eastAsia="宋体" w:cs="Times New Roman"/>
          <w:color w:val="auto"/>
          <w:sz w:val="21"/>
          <w:szCs w:val="21"/>
          <w:highlight w:val="none"/>
        </w:rPr>
        <w:t>隐瞒，我方愿意承担一切后果，并不再寻求任何旨在减轻或</w:t>
      </w:r>
      <w:r>
        <w:rPr>
          <w:rFonts w:hint="eastAsia" w:cs="Times New Roman"/>
          <w:color w:val="auto"/>
          <w:sz w:val="21"/>
          <w:szCs w:val="21"/>
          <w:highlight w:val="none"/>
          <w:lang w:val="en-US" w:eastAsia="zh-CN"/>
        </w:rPr>
        <w:t>者</w:t>
      </w:r>
      <w:r>
        <w:rPr>
          <w:rFonts w:hint="eastAsia" w:eastAsia="宋体" w:cs="Times New Roman"/>
          <w:color w:val="auto"/>
          <w:sz w:val="21"/>
          <w:szCs w:val="21"/>
          <w:highlight w:val="none"/>
        </w:rPr>
        <w:t>免除法律责任的辩解</w:t>
      </w:r>
      <w:r>
        <w:rPr>
          <w:rFonts w:hint="eastAsia" w:eastAsia="宋体" w:cs="Times New Roman"/>
          <w:color w:val="auto"/>
          <w:sz w:val="21"/>
          <w:szCs w:val="21"/>
          <w:highlight w:val="none"/>
          <w:lang w:eastAsia="zh-CN"/>
        </w:rPr>
        <w:t>。</w:t>
      </w:r>
    </w:p>
    <w:p w14:paraId="539B5B7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b/>
          <w:bCs/>
          <w:color w:val="auto"/>
          <w:kern w:val="0"/>
          <w:szCs w:val="21"/>
          <w:highlight w:val="none"/>
        </w:rPr>
      </w:pPr>
      <w:r>
        <w:rPr>
          <w:b/>
          <w:bCs/>
          <w:color w:val="auto"/>
          <w:kern w:val="0"/>
          <w:szCs w:val="21"/>
          <w:highlight w:val="none"/>
        </w:rPr>
        <w:t>12</w:t>
      </w:r>
      <w:r>
        <w:rPr>
          <w:rFonts w:hint="eastAsia"/>
          <w:b/>
          <w:bCs/>
          <w:color w:val="auto"/>
          <w:kern w:val="0"/>
          <w:szCs w:val="21"/>
          <w:highlight w:val="none"/>
          <w:lang w:eastAsia="zh-CN"/>
        </w:rPr>
        <w:t>、</w:t>
      </w:r>
      <w:r>
        <w:rPr>
          <w:b/>
          <w:bCs/>
          <w:color w:val="auto"/>
          <w:kern w:val="0"/>
          <w:szCs w:val="21"/>
          <w:highlight w:val="none"/>
        </w:rPr>
        <w:t xml:space="preserve">与本磋商有关的一切正式往来信函请寄： </w:t>
      </w:r>
    </w:p>
    <w:p w14:paraId="3FA3960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rPr>
      </w:pPr>
      <w:r>
        <w:rPr>
          <w:color w:val="auto"/>
          <w:kern w:val="0"/>
          <w:szCs w:val="21"/>
          <w:highlight w:val="none"/>
        </w:rPr>
        <w:t>地址：</w:t>
      </w:r>
      <w:r>
        <w:rPr>
          <w:color w:val="auto"/>
          <w:kern w:val="0"/>
          <w:szCs w:val="21"/>
          <w:highlight w:val="none"/>
          <w:u w:val="single"/>
        </w:rPr>
        <w:t xml:space="preserve">                                                        </w:t>
      </w:r>
      <w:r>
        <w:rPr>
          <w:color w:val="auto"/>
          <w:kern w:val="0"/>
          <w:szCs w:val="21"/>
          <w:highlight w:val="none"/>
        </w:rPr>
        <w:t xml:space="preserve"> </w:t>
      </w:r>
    </w:p>
    <w:p w14:paraId="2053664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电话：</w:t>
      </w:r>
      <w:r>
        <w:rPr>
          <w:color w:val="auto"/>
          <w:kern w:val="0"/>
          <w:szCs w:val="21"/>
          <w:highlight w:val="none"/>
          <w:u w:val="single"/>
        </w:rPr>
        <w:t xml:space="preserve">                                      　　　　　　　　　</w:t>
      </w:r>
    </w:p>
    <w:p w14:paraId="47F02D5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传真：</w:t>
      </w:r>
      <w:r>
        <w:rPr>
          <w:color w:val="auto"/>
          <w:kern w:val="0"/>
          <w:szCs w:val="21"/>
          <w:highlight w:val="none"/>
          <w:u w:val="single"/>
        </w:rPr>
        <w:t>　　　　　　　　　　　　　　　　　　　　　　　　　　　　</w:t>
      </w:r>
    </w:p>
    <w:p w14:paraId="7AB0FDA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szCs w:val="21"/>
          <w:highlight w:val="none"/>
        </w:rPr>
      </w:pPr>
      <w:r>
        <w:rPr>
          <w:color w:val="auto"/>
          <w:kern w:val="0"/>
          <w:szCs w:val="21"/>
          <w:highlight w:val="none"/>
        </w:rPr>
        <w:t>电子邮箱：</w:t>
      </w:r>
      <w:r>
        <w:rPr>
          <w:color w:val="auto"/>
          <w:kern w:val="0"/>
          <w:szCs w:val="21"/>
          <w:highlight w:val="none"/>
          <w:u w:val="single"/>
        </w:rPr>
        <w:t>　　　　　　　　　　　　　　　　　　　　　　　　　　</w:t>
      </w:r>
    </w:p>
    <w:p w14:paraId="0879E57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邮政编码：</w:t>
      </w:r>
      <w:r>
        <w:rPr>
          <w:color w:val="auto"/>
          <w:kern w:val="0"/>
          <w:szCs w:val="21"/>
          <w:highlight w:val="none"/>
          <w:u w:val="single"/>
        </w:rPr>
        <w:t xml:space="preserve">                                                    </w:t>
      </w:r>
    </w:p>
    <w:p w14:paraId="5B4966F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开户名称：</w:t>
      </w:r>
      <w:r>
        <w:rPr>
          <w:color w:val="auto"/>
          <w:kern w:val="0"/>
          <w:szCs w:val="21"/>
          <w:highlight w:val="none"/>
          <w:u w:val="single"/>
        </w:rPr>
        <w:t xml:space="preserve">                                                    </w:t>
      </w:r>
    </w:p>
    <w:p w14:paraId="6371FDF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开户银行：</w:t>
      </w:r>
      <w:r>
        <w:rPr>
          <w:color w:val="auto"/>
          <w:kern w:val="0"/>
          <w:szCs w:val="21"/>
          <w:highlight w:val="none"/>
          <w:u w:val="single"/>
        </w:rPr>
        <w:t xml:space="preserve">                                                    </w:t>
      </w:r>
    </w:p>
    <w:p w14:paraId="7D50E62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银行账号：</w:t>
      </w:r>
      <w:r>
        <w:rPr>
          <w:color w:val="auto"/>
          <w:kern w:val="0"/>
          <w:szCs w:val="21"/>
          <w:highlight w:val="none"/>
          <w:u w:val="single"/>
        </w:rPr>
        <w:t xml:space="preserve">                                                    </w:t>
      </w:r>
    </w:p>
    <w:p w14:paraId="01C37615">
      <w:pPr>
        <w:pStyle w:val="15"/>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15" w:firstLineChars="150"/>
        <w:textAlignment w:val="auto"/>
        <w:rPr>
          <w:color w:val="auto"/>
          <w:szCs w:val="21"/>
          <w:highlight w:val="none"/>
        </w:rPr>
      </w:pPr>
      <w:r>
        <w:rPr>
          <w:color w:val="auto"/>
          <w:szCs w:val="21"/>
          <w:highlight w:val="none"/>
        </w:rPr>
        <w:t>特此承诺。</w:t>
      </w:r>
    </w:p>
    <w:p w14:paraId="7CE4805D">
      <w:pPr>
        <w:spacing w:line="360" w:lineRule="auto"/>
        <w:contextualSpacing/>
        <w:jc w:val="left"/>
        <w:rPr>
          <w:color w:val="auto"/>
          <w:szCs w:val="21"/>
          <w:highlight w:val="none"/>
        </w:rPr>
      </w:pPr>
    </w:p>
    <w:p w14:paraId="333C0455">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2FF0442C">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0FDD004">
      <w:pPr>
        <w:spacing w:line="500" w:lineRule="exact"/>
        <w:rPr>
          <w:b/>
          <w:color w:val="auto"/>
          <w:szCs w:val="21"/>
          <w:highlight w:val="none"/>
        </w:rPr>
      </w:pPr>
    </w:p>
    <w:p w14:paraId="6A547436">
      <w:pPr>
        <w:spacing w:line="500" w:lineRule="exact"/>
        <w:rPr>
          <w:color w:val="auto"/>
          <w:highlight w:val="none"/>
        </w:rPr>
      </w:pPr>
      <w:r>
        <w:rPr>
          <w:rFonts w:hint="eastAsia" w:ascii="宋体" w:hAnsi="宋体" w:cs="宋体"/>
          <w:b/>
          <w:color w:val="auto"/>
          <w:sz w:val="28"/>
          <w:szCs w:val="28"/>
          <w:highlight w:val="none"/>
        </w:rPr>
        <w:br w:type="page"/>
      </w:r>
      <w:r>
        <w:rPr>
          <w:b/>
          <w:color w:val="auto"/>
          <w:sz w:val="28"/>
          <w:szCs w:val="28"/>
          <w:highlight w:val="none"/>
        </w:rPr>
        <w:t>4.</w:t>
      </w:r>
      <w:r>
        <w:rPr>
          <w:b/>
          <w:color w:val="auto"/>
          <w:sz w:val="28"/>
          <w:szCs w:val="28"/>
          <w:highlight w:val="none"/>
          <w:lang w:val="zh-CN"/>
        </w:rPr>
        <w:t>响应报价表的格式：</w:t>
      </w:r>
      <w:r>
        <w:rPr>
          <w:rFonts w:eastAsia="仿宋"/>
          <w:b/>
          <w:color w:val="auto"/>
          <w:sz w:val="30"/>
          <w:szCs w:val="30"/>
          <w:highlight w:val="none"/>
          <w:lang w:val="zh-CN"/>
        </w:rPr>
        <w:t xml:space="preserve"> </w:t>
      </w:r>
    </w:p>
    <w:p w14:paraId="23CA6D98">
      <w:pPr>
        <w:spacing w:line="520" w:lineRule="exact"/>
        <w:jc w:val="center"/>
        <w:rPr>
          <w:b/>
          <w:bCs/>
          <w:color w:val="auto"/>
          <w:sz w:val="32"/>
          <w:szCs w:val="32"/>
          <w:highlight w:val="none"/>
        </w:rPr>
      </w:pPr>
      <w:r>
        <w:rPr>
          <w:b/>
          <w:bCs/>
          <w:color w:val="auto"/>
          <w:sz w:val="32"/>
          <w:szCs w:val="32"/>
          <w:highlight w:val="none"/>
        </w:rPr>
        <w:t>响应报价表</w:t>
      </w:r>
    </w:p>
    <w:p w14:paraId="496DEE38">
      <w:pPr>
        <w:snapToGrid w:val="0"/>
        <w:spacing w:before="50" w:after="50" w:line="360" w:lineRule="auto"/>
        <w:rPr>
          <w:color w:val="auto"/>
          <w:sz w:val="24"/>
          <w:highlight w:val="none"/>
        </w:rPr>
      </w:pPr>
    </w:p>
    <w:p w14:paraId="4D051535">
      <w:pPr>
        <w:snapToGrid w:val="0"/>
        <w:spacing w:before="50" w:after="50" w:line="360" w:lineRule="auto"/>
        <w:rPr>
          <w:color w:val="auto"/>
          <w:szCs w:val="21"/>
          <w:highlight w:val="none"/>
        </w:rPr>
      </w:pPr>
      <w:r>
        <w:rPr>
          <w:rFonts w:hint="eastAsia" w:ascii="宋体" w:hAnsi="宋体" w:cs="宋体"/>
          <w:color w:val="auto"/>
          <w:szCs w:val="21"/>
          <w:highlight w:val="none"/>
        </w:rPr>
        <w:t>项</w:t>
      </w:r>
      <w:r>
        <w:rPr>
          <w:color w:val="auto"/>
          <w:szCs w:val="21"/>
          <w:highlight w:val="none"/>
        </w:rPr>
        <w:t>目名称：</w:t>
      </w:r>
      <w:r>
        <w:rPr>
          <w:color w:val="auto"/>
          <w:szCs w:val="21"/>
          <w:highlight w:val="none"/>
          <w:u w:val="single"/>
        </w:rPr>
        <w:t xml:space="preserve">           </w:t>
      </w:r>
      <w:r>
        <w:rPr>
          <w:color w:val="auto"/>
          <w:szCs w:val="21"/>
          <w:highlight w:val="none"/>
        </w:rPr>
        <w:t xml:space="preserve">         </w:t>
      </w:r>
    </w:p>
    <w:p w14:paraId="2A5795B1">
      <w:pPr>
        <w:snapToGrid w:val="0"/>
        <w:spacing w:before="50" w:after="50" w:line="360" w:lineRule="auto"/>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tbl>
      <w:tblPr>
        <w:tblStyle w:val="2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98"/>
        <w:gridCol w:w="1417"/>
        <w:gridCol w:w="2209"/>
        <w:gridCol w:w="1184"/>
      </w:tblGrid>
      <w:tr w14:paraId="7435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21265C74">
            <w:pPr>
              <w:contextualSpacing/>
              <w:jc w:val="center"/>
              <w:rPr>
                <w:rFonts w:ascii="宋体" w:hAnsi="宋体" w:cs="仿宋_GB2312"/>
                <w:color w:val="auto"/>
                <w:sz w:val="21"/>
                <w:szCs w:val="21"/>
                <w:highlight w:val="none"/>
              </w:rPr>
            </w:pPr>
            <w:bookmarkStart w:id="153" w:name="OLE_LINK46"/>
            <w:r>
              <w:rPr>
                <w:rFonts w:ascii="宋体" w:hAnsi="宋体" w:cs="仿宋_GB2312"/>
                <w:color w:val="auto"/>
                <w:sz w:val="21"/>
                <w:szCs w:val="21"/>
                <w:highlight w:val="none"/>
              </w:rPr>
              <w:t>序号</w:t>
            </w:r>
          </w:p>
        </w:tc>
        <w:tc>
          <w:tcPr>
            <w:tcW w:w="3698" w:type="dxa"/>
            <w:tcBorders>
              <w:top w:val="single" w:color="auto" w:sz="4" w:space="0"/>
              <w:left w:val="single" w:color="auto" w:sz="4" w:space="0"/>
              <w:bottom w:val="single" w:color="auto" w:sz="4" w:space="0"/>
              <w:right w:val="single" w:color="auto" w:sz="4" w:space="0"/>
            </w:tcBorders>
            <w:noWrap w:val="0"/>
            <w:vAlign w:val="center"/>
          </w:tcPr>
          <w:p w14:paraId="08769892">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标的名称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455E7C">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数量</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3E53DDB9">
            <w:pPr>
              <w:contextualSpacing/>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0B2684">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备注</w:t>
            </w:r>
          </w:p>
        </w:tc>
      </w:tr>
      <w:tr w14:paraId="1E38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66A5DEE3">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1</w:t>
            </w:r>
          </w:p>
        </w:tc>
        <w:tc>
          <w:tcPr>
            <w:tcW w:w="3698" w:type="dxa"/>
            <w:tcBorders>
              <w:top w:val="single" w:color="auto" w:sz="4" w:space="0"/>
              <w:left w:val="single" w:color="auto" w:sz="4" w:space="0"/>
              <w:bottom w:val="single" w:color="auto" w:sz="4" w:space="0"/>
              <w:right w:val="single" w:color="auto" w:sz="4" w:space="0"/>
            </w:tcBorders>
            <w:noWrap w:val="0"/>
            <w:vAlign w:val="center"/>
          </w:tcPr>
          <w:p w14:paraId="29B424DC">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生活垃圾中转站建设项目</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32E4259">
            <w:pPr>
              <w:contextualSpacing/>
              <w:jc w:val="center"/>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1项</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425B9DB5">
            <w:pPr>
              <w:contextualSpacing/>
              <w:jc w:val="center"/>
              <w:rPr>
                <w:rFonts w:ascii="宋体" w:hAnsi="宋体" w:cs="仿宋_GB2312"/>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1184B2">
            <w:pPr>
              <w:contextualSpacing/>
              <w:rPr>
                <w:rFonts w:ascii="宋体" w:hAnsi="宋体" w:cs="仿宋_GB2312"/>
                <w:color w:val="auto"/>
                <w:sz w:val="21"/>
                <w:szCs w:val="21"/>
                <w:highlight w:val="none"/>
              </w:rPr>
            </w:pPr>
          </w:p>
        </w:tc>
      </w:tr>
      <w:tr w14:paraId="7114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6178663">
            <w:pPr>
              <w:contextualSpacing/>
              <w:rPr>
                <w:rFonts w:ascii="宋体" w:hAnsi="宋体" w:cs="仿宋_GB2312"/>
                <w:color w:val="auto"/>
                <w:sz w:val="21"/>
                <w:szCs w:val="21"/>
                <w:highlight w:val="none"/>
              </w:rPr>
            </w:pPr>
            <w:r>
              <w:rPr>
                <w:rFonts w:hint="eastAsia" w:ascii="宋体" w:hAnsi="宋体" w:cs="仿宋_GB2312"/>
                <w:color w:val="auto"/>
                <w:sz w:val="21"/>
                <w:szCs w:val="21"/>
                <w:highlight w:val="none"/>
              </w:rPr>
              <w:t>竞标总报价</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大写</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人民币</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tc>
      </w:tr>
      <w:tr w14:paraId="3948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135E9D23">
            <w:pPr>
              <w:contextualSpacing/>
              <w:rPr>
                <w:rFonts w:hint="eastAsia" w:ascii="宋体" w:hAnsi="宋体" w:cs="仿宋_GB2312"/>
                <w:color w:val="auto"/>
                <w:sz w:val="21"/>
                <w:szCs w:val="21"/>
                <w:highlight w:val="none"/>
              </w:rPr>
            </w:pPr>
            <w:r>
              <w:rPr>
                <w:rFonts w:hint="eastAsia"/>
                <w:color w:val="auto"/>
                <w:sz w:val="21"/>
                <w:szCs w:val="21"/>
                <w:highlight w:val="none"/>
              </w:rPr>
              <w:t>工期</w:t>
            </w:r>
            <w:r>
              <w:rPr>
                <w:rFonts w:hint="eastAsia" w:hAnsi="宋体"/>
                <w:color w:val="auto"/>
                <w:kern w:val="56"/>
                <w:sz w:val="21"/>
                <w:szCs w:val="21"/>
                <w:highlight w:val="none"/>
              </w:rPr>
              <w:t>：</w:t>
            </w:r>
            <w:r>
              <w:rPr>
                <w:rFonts w:hint="eastAsia" w:hAnsi="宋体"/>
                <w:color w:val="auto"/>
                <w:kern w:val="56"/>
                <w:sz w:val="21"/>
                <w:szCs w:val="21"/>
                <w:highlight w:val="none"/>
                <w:u w:val="single"/>
              </w:rPr>
              <w:t xml:space="preserve">     </w:t>
            </w:r>
            <w:r>
              <w:rPr>
                <w:rFonts w:hAnsi="宋体"/>
                <w:color w:val="auto"/>
                <w:kern w:val="56"/>
                <w:sz w:val="21"/>
                <w:szCs w:val="21"/>
                <w:highlight w:val="none"/>
                <w:u w:val="single"/>
              </w:rPr>
              <w:t xml:space="preserve">                     </w:t>
            </w:r>
            <w:r>
              <w:rPr>
                <w:rFonts w:hint="eastAsia" w:hAnsi="宋体"/>
                <w:color w:val="auto"/>
                <w:kern w:val="56"/>
                <w:sz w:val="21"/>
                <w:szCs w:val="21"/>
                <w:highlight w:val="none"/>
                <w:u w:val="single"/>
              </w:rPr>
              <w:t xml:space="preserve"> </w:t>
            </w:r>
          </w:p>
        </w:tc>
      </w:tr>
      <w:tr w14:paraId="00EA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677E8EDB">
            <w:pPr>
              <w:contextualSpacing/>
              <w:rPr>
                <w:rFonts w:hint="eastAsia" w:hAnsi="宋体"/>
                <w:color w:val="auto"/>
                <w:kern w:val="56"/>
                <w:sz w:val="21"/>
                <w:szCs w:val="21"/>
                <w:highlight w:val="none"/>
              </w:rPr>
            </w:pPr>
            <w:r>
              <w:rPr>
                <w:rFonts w:hint="eastAsia"/>
                <w:color w:val="auto"/>
                <w:sz w:val="21"/>
                <w:szCs w:val="21"/>
                <w:highlight w:val="none"/>
              </w:rPr>
              <w:t>质量</w:t>
            </w:r>
            <w:r>
              <w:rPr>
                <w:rFonts w:hint="eastAsia"/>
                <w:color w:val="auto"/>
                <w:sz w:val="21"/>
                <w:szCs w:val="21"/>
                <w:highlight w:val="none"/>
                <w:lang w:eastAsia="zh-CN"/>
              </w:rPr>
              <w:t>要求</w:t>
            </w:r>
            <w:r>
              <w:rPr>
                <w:rFonts w:hint="eastAsia"/>
                <w:color w:val="auto"/>
                <w:sz w:val="21"/>
                <w:szCs w:val="21"/>
                <w:highlight w:val="none"/>
              </w:rPr>
              <w:t>：</w:t>
            </w:r>
            <w:r>
              <w:rPr>
                <w:rFonts w:hint="eastAsia" w:hAnsi="宋体"/>
                <w:color w:val="auto"/>
                <w:kern w:val="56"/>
                <w:sz w:val="21"/>
                <w:szCs w:val="21"/>
                <w:highlight w:val="none"/>
                <w:u w:val="single"/>
              </w:rPr>
              <w:t xml:space="preserve">                       </w:t>
            </w:r>
          </w:p>
        </w:tc>
      </w:tr>
      <w:bookmarkEnd w:id="153"/>
    </w:tbl>
    <w:p w14:paraId="2BFDBD3F">
      <w:pPr>
        <w:snapToGrid w:val="0"/>
        <w:spacing w:before="50" w:after="50" w:line="360" w:lineRule="auto"/>
        <w:ind w:firstLine="420" w:firstLineChars="200"/>
        <w:jc w:val="left"/>
        <w:rPr>
          <w:color w:val="auto"/>
          <w:kern w:val="0"/>
          <w:szCs w:val="21"/>
          <w:highlight w:val="none"/>
          <w:lang w:val="zh-CN"/>
        </w:rPr>
      </w:pPr>
    </w:p>
    <w:p w14:paraId="7C2E9B39">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 xml:space="preserve">注： </w:t>
      </w:r>
    </w:p>
    <w:p w14:paraId="1FB3D459">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1、供应商需按本表格式填写，不得自行更改，也不得留空（</w:t>
      </w:r>
      <w:r>
        <w:rPr>
          <w:color w:val="auto"/>
          <w:szCs w:val="21"/>
          <w:highlight w:val="none"/>
        </w:rPr>
        <w:t>备注除外</w:t>
      </w:r>
      <w:r>
        <w:rPr>
          <w:color w:val="auto"/>
          <w:kern w:val="0"/>
          <w:szCs w:val="21"/>
          <w:highlight w:val="none"/>
          <w:lang w:val="zh-CN"/>
        </w:rPr>
        <w:t>）, 如有多分标，按分标分别提供响应报价表，</w:t>
      </w:r>
      <w:r>
        <w:rPr>
          <w:b/>
          <w:color w:val="auto"/>
          <w:kern w:val="0"/>
          <w:szCs w:val="21"/>
          <w:highlight w:val="none"/>
          <w:lang w:val="zh-CN"/>
        </w:rPr>
        <w:t>否则其响应按无效响应处理。</w:t>
      </w:r>
    </w:p>
    <w:p w14:paraId="5317DD6E">
      <w:pPr>
        <w:snapToGrid w:val="0"/>
        <w:spacing w:before="50" w:after="50" w:line="360" w:lineRule="auto"/>
        <w:ind w:firstLine="420" w:firstLineChars="200"/>
        <w:jc w:val="left"/>
        <w:rPr>
          <w:b/>
          <w:color w:val="auto"/>
          <w:kern w:val="0"/>
          <w:szCs w:val="21"/>
          <w:highlight w:val="none"/>
          <w:lang w:val="zh-CN"/>
        </w:rPr>
      </w:pPr>
      <w:r>
        <w:rPr>
          <w:color w:val="auto"/>
          <w:kern w:val="0"/>
          <w:szCs w:val="21"/>
          <w:highlight w:val="none"/>
          <w:lang w:val="zh-CN"/>
        </w:rPr>
        <w:t>2、如为联合体响应的，“供应商名称”处必须列明联合体各方名称，并标注联合体牵头人名称，且盖章处须加盖联合体各方公章，</w:t>
      </w:r>
      <w:r>
        <w:rPr>
          <w:b/>
          <w:color w:val="auto"/>
          <w:kern w:val="0"/>
          <w:szCs w:val="21"/>
          <w:highlight w:val="none"/>
          <w:lang w:val="zh-CN"/>
        </w:rPr>
        <w:t>否则其响应按无效响应处理。</w:t>
      </w:r>
    </w:p>
    <w:p w14:paraId="17DB412B">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3</w:t>
      </w:r>
      <w:r>
        <w:rPr>
          <w:color w:val="auto"/>
          <w:kern w:val="0"/>
          <w:szCs w:val="21"/>
          <w:highlight w:val="none"/>
          <w:lang w:val="zh-CN"/>
        </w:rPr>
        <w:t>、特别提示：采购代理机构将对项目名称和项目编号，成交供应商名称</w:t>
      </w:r>
      <w:r>
        <w:rPr>
          <w:rFonts w:hint="eastAsia"/>
          <w:color w:val="auto"/>
          <w:kern w:val="0"/>
          <w:szCs w:val="21"/>
          <w:highlight w:val="none"/>
          <w:lang w:val="zh-CN"/>
        </w:rPr>
        <w:t>、</w:t>
      </w:r>
      <w:r>
        <w:rPr>
          <w:color w:val="auto"/>
          <w:kern w:val="0"/>
          <w:szCs w:val="21"/>
          <w:highlight w:val="none"/>
          <w:lang w:val="zh-CN"/>
        </w:rPr>
        <w:t>成交金额等予以公示。</w:t>
      </w:r>
    </w:p>
    <w:p w14:paraId="50925585">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4</w:t>
      </w:r>
      <w:r>
        <w:rPr>
          <w:color w:val="auto"/>
          <w:kern w:val="0"/>
          <w:szCs w:val="21"/>
          <w:highlight w:val="none"/>
          <w:lang w:val="zh-CN"/>
        </w:rPr>
        <w:t>、符合采购文件中列明的可享受中小企业扶持政策的供应商，请填写中小企业声明函。</w:t>
      </w:r>
    </w:p>
    <w:p w14:paraId="54AAB966">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5</w:t>
      </w:r>
      <w:r>
        <w:rPr>
          <w:color w:val="auto"/>
          <w:kern w:val="0"/>
          <w:szCs w:val="21"/>
          <w:highlight w:val="none"/>
        </w:rPr>
        <w:t>、</w:t>
      </w:r>
      <w:r>
        <w:rPr>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4C518395">
      <w:pPr>
        <w:autoSpaceDE w:val="0"/>
        <w:autoSpaceDN w:val="0"/>
        <w:spacing w:line="360" w:lineRule="auto"/>
        <w:ind w:left="4305" w:leftChars="1950" w:hanging="210" w:hangingChars="100"/>
        <w:rPr>
          <w:color w:val="auto"/>
          <w:kern w:val="0"/>
          <w:szCs w:val="21"/>
          <w:highlight w:val="none"/>
        </w:rPr>
      </w:pPr>
    </w:p>
    <w:p w14:paraId="73EAC8AD">
      <w:pPr>
        <w:pStyle w:val="13"/>
        <w:rPr>
          <w:color w:val="auto"/>
          <w:szCs w:val="21"/>
          <w:highlight w:val="none"/>
        </w:rPr>
      </w:pPr>
    </w:p>
    <w:p w14:paraId="7F56DBBA">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16D83219">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4C17C37">
      <w:pPr>
        <w:numPr>
          <w:ilvl w:val="0"/>
          <w:numId w:val="4"/>
        </w:numPr>
        <w:spacing w:line="500" w:lineRule="exact"/>
        <w:rPr>
          <w:rFonts w:hint="eastAsia"/>
          <w:b/>
          <w:color w:val="auto"/>
          <w:sz w:val="28"/>
          <w:szCs w:val="28"/>
          <w:highlight w:val="none"/>
        </w:rPr>
      </w:pPr>
      <w:r>
        <w:rPr>
          <w:rFonts w:hint="eastAsia" w:ascii="宋体" w:hAnsi="宋体" w:cs="宋体"/>
          <w:color w:val="auto"/>
          <w:kern w:val="0"/>
          <w:sz w:val="24"/>
          <w:szCs w:val="21"/>
          <w:highlight w:val="none"/>
          <w:lang w:val="zh-CN"/>
        </w:rPr>
        <w:br w:type="page"/>
      </w:r>
      <w:r>
        <w:rPr>
          <w:rFonts w:hint="eastAsia"/>
          <w:b/>
          <w:color w:val="auto"/>
          <w:sz w:val="28"/>
          <w:szCs w:val="28"/>
          <w:highlight w:val="none"/>
        </w:rPr>
        <w:t>已标价工程量清单</w:t>
      </w:r>
    </w:p>
    <w:p w14:paraId="22148B9A">
      <w:pPr>
        <w:pStyle w:val="7"/>
        <w:ind w:firstLine="0"/>
        <w:rPr>
          <w:color w:val="auto"/>
          <w:highlight w:val="none"/>
        </w:rPr>
      </w:pPr>
    </w:p>
    <w:p w14:paraId="7BF363EA">
      <w:pPr>
        <w:pStyle w:val="7"/>
        <w:ind w:firstLine="0"/>
        <w:rPr>
          <w:color w:val="auto"/>
          <w:highlight w:val="none"/>
        </w:rPr>
      </w:pPr>
    </w:p>
    <w:p w14:paraId="5EC92EE8">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已标价工程量清单应按第七章</w:t>
      </w:r>
      <w:r>
        <w:rPr>
          <w:rFonts w:hint="eastAsia"/>
          <w:color w:val="auto"/>
          <w:highlight w:val="none"/>
          <w:lang w:eastAsia="zh-CN"/>
        </w:rPr>
        <w:t>“</w:t>
      </w:r>
      <w:r>
        <w:rPr>
          <w:rFonts w:hint="eastAsia" w:cs="宋体"/>
          <w:color w:val="auto"/>
          <w:highlight w:val="none"/>
        </w:rPr>
        <w:t>工程量清单</w:t>
      </w:r>
      <w:r>
        <w:rPr>
          <w:rFonts w:hint="eastAsia"/>
          <w:color w:val="auto"/>
          <w:highlight w:val="none"/>
          <w:lang w:eastAsia="zh-CN"/>
        </w:rPr>
        <w:t>”</w:t>
      </w:r>
      <w:r>
        <w:rPr>
          <w:rFonts w:hint="eastAsia" w:cs="宋体"/>
          <w:color w:val="auto"/>
          <w:highlight w:val="none"/>
        </w:rPr>
        <w:t>中的相关表格及报价说明填写。构成合同文件的已标价工程量清单包括第七章</w:t>
      </w:r>
      <w:r>
        <w:rPr>
          <w:rFonts w:hint="eastAsia"/>
          <w:color w:val="auto"/>
          <w:highlight w:val="none"/>
          <w:lang w:eastAsia="zh-CN"/>
        </w:rPr>
        <w:t>“</w:t>
      </w:r>
      <w:r>
        <w:rPr>
          <w:rFonts w:hint="eastAsia" w:cs="宋体"/>
          <w:color w:val="auto"/>
          <w:highlight w:val="none"/>
        </w:rPr>
        <w:t>工程量清单</w:t>
      </w:r>
      <w:r>
        <w:rPr>
          <w:rFonts w:hint="eastAsia"/>
          <w:color w:val="auto"/>
          <w:highlight w:val="none"/>
          <w:lang w:eastAsia="zh-CN"/>
        </w:rPr>
        <w:t>”</w:t>
      </w:r>
      <w:r>
        <w:rPr>
          <w:rFonts w:hint="eastAsia" w:cs="宋体"/>
          <w:color w:val="auto"/>
          <w:highlight w:val="none"/>
        </w:rPr>
        <w:t>有关工程量清单、报价以及其他说明的内容。</w:t>
      </w:r>
    </w:p>
    <w:p w14:paraId="61A1A53B">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14:paraId="526C0459">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14:paraId="6941F256">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14:paraId="24025A81">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27F5977F">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208678EF">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1B109036">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169E72C4">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51405B6D">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449EC7D4">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w:t>
      </w:r>
    </w:p>
    <w:p w14:paraId="0AC0C15C">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4CAEF6FA">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15DC28AE">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1D3CA599">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669F8EE">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7A88D9A9">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3ADB261B">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66C16967">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47D30D9B">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49A87284">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6E15AD90">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14:paraId="101272E1">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5294CDCA">
      <w:pPr>
        <w:spacing w:line="360" w:lineRule="auto"/>
        <w:ind w:firstLine="630" w:firstLineChars="300"/>
        <w:rPr>
          <w:color w:val="auto"/>
          <w:highlight w:val="none"/>
        </w:rPr>
      </w:pPr>
    </w:p>
    <w:p w14:paraId="6AE4CA2E">
      <w:pPr>
        <w:spacing w:line="360" w:lineRule="auto"/>
        <w:rPr>
          <w:color w:val="auto"/>
          <w:highlight w:val="none"/>
        </w:rPr>
      </w:pPr>
      <w:r>
        <w:rPr>
          <w:rFonts w:hint="eastAsia" w:cs="宋体"/>
          <w:color w:val="auto"/>
          <w:highlight w:val="none"/>
        </w:rPr>
        <w:t>备注：</w:t>
      </w:r>
    </w:p>
    <w:p w14:paraId="5D81819A">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）总价封面必须经供应商盖章，并由法定代表人（或其授权人）签字（或盖章），同时由编制人签字盖专用章。</w:t>
      </w:r>
    </w:p>
    <w:p w14:paraId="7DB7FD00">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44C58BC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工程量清单必须提供该表格，且不能提供空白表。以下表格视工程实际需要选用，如该工程不发生如下表格相关项目和费用，工程量清单不应列入该部分表格，已标价工程量清单亦不包括这部分表格。</w:t>
      </w:r>
    </w:p>
    <w:p w14:paraId="37D93863">
      <w:pPr>
        <w:spacing w:line="360" w:lineRule="auto"/>
        <w:ind w:firstLine="945" w:firstLineChars="45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3DD617AE">
      <w:pPr>
        <w:spacing w:line="360" w:lineRule="auto"/>
        <w:ind w:firstLine="945" w:firstLineChars="45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30D47827">
      <w:pPr>
        <w:spacing w:line="360" w:lineRule="auto"/>
        <w:ind w:firstLine="945" w:firstLineChars="45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1FD79808">
      <w:pPr>
        <w:spacing w:line="360" w:lineRule="auto"/>
        <w:ind w:firstLine="945" w:firstLineChars="45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79BDD188">
      <w:pPr>
        <w:spacing w:line="360" w:lineRule="auto"/>
        <w:ind w:firstLine="945" w:firstLineChars="45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7D3A2647">
      <w:pPr>
        <w:spacing w:line="360" w:lineRule="auto"/>
        <w:ind w:firstLine="945" w:firstLineChars="45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3D776BF0">
      <w:pPr>
        <w:spacing w:line="360" w:lineRule="auto"/>
        <w:ind w:firstLine="945" w:firstLineChars="450"/>
        <w:rPr>
          <w:rFonts w:hint="eastAsia"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272C4DDC">
      <w:pPr>
        <w:spacing w:line="360" w:lineRule="auto"/>
        <w:ind w:firstLine="945" w:firstLineChars="450"/>
        <w:rPr>
          <w:color w:val="auto"/>
          <w:highlight w:val="none"/>
        </w:rPr>
        <w:sectPr>
          <w:pgSz w:w="11911" w:h="16838"/>
          <w:pgMar w:top="1134" w:right="1134" w:bottom="1134" w:left="1134" w:header="720" w:footer="720" w:gutter="0"/>
          <w:cols w:space="720" w:num="1"/>
        </w:sect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12400980">
      <w:pPr>
        <w:spacing w:line="500" w:lineRule="exact"/>
        <w:rPr>
          <w:rFonts w:eastAsia="仿宋"/>
          <w:b/>
          <w:color w:val="auto"/>
          <w:sz w:val="30"/>
          <w:szCs w:val="30"/>
          <w:highlight w:val="none"/>
          <w:lang w:val="zh-CN"/>
        </w:rPr>
      </w:pPr>
      <w:r>
        <w:rPr>
          <w:rFonts w:hint="eastAsia"/>
          <w:b/>
          <w:color w:val="auto"/>
          <w:sz w:val="28"/>
          <w:szCs w:val="28"/>
          <w:highlight w:val="none"/>
        </w:rPr>
        <w:t>6</w:t>
      </w:r>
      <w:r>
        <w:rPr>
          <w:b/>
          <w:color w:val="auto"/>
          <w:sz w:val="28"/>
          <w:szCs w:val="28"/>
          <w:highlight w:val="none"/>
        </w:rPr>
        <w:t>.</w:t>
      </w:r>
      <w:r>
        <w:rPr>
          <w:b/>
          <w:color w:val="auto"/>
          <w:sz w:val="28"/>
          <w:szCs w:val="28"/>
          <w:highlight w:val="none"/>
          <w:lang w:val="zh-CN"/>
        </w:rPr>
        <w:t>最后报价表的格式：</w:t>
      </w:r>
      <w:r>
        <w:rPr>
          <w:rFonts w:eastAsia="仿宋"/>
          <w:b/>
          <w:color w:val="auto"/>
          <w:sz w:val="30"/>
          <w:szCs w:val="30"/>
          <w:highlight w:val="none"/>
          <w:lang w:val="zh-CN"/>
        </w:rPr>
        <w:t xml:space="preserve"> </w:t>
      </w:r>
    </w:p>
    <w:p w14:paraId="26FCDFB3">
      <w:pPr>
        <w:spacing w:line="520" w:lineRule="exact"/>
        <w:rPr>
          <w:color w:val="auto"/>
          <w:highlight w:val="none"/>
        </w:rPr>
      </w:pPr>
    </w:p>
    <w:p w14:paraId="08AAA5DE">
      <w:pPr>
        <w:spacing w:line="520" w:lineRule="exact"/>
        <w:jc w:val="center"/>
        <w:rPr>
          <w:color w:val="auto"/>
          <w:sz w:val="24"/>
          <w:highlight w:val="none"/>
        </w:rPr>
      </w:pPr>
      <w:r>
        <w:rPr>
          <w:b/>
          <w:bCs/>
          <w:color w:val="auto"/>
          <w:sz w:val="32"/>
          <w:szCs w:val="32"/>
          <w:highlight w:val="none"/>
        </w:rPr>
        <w:t>最后报价表</w:t>
      </w:r>
    </w:p>
    <w:p w14:paraId="1050250D">
      <w:pPr>
        <w:snapToGrid w:val="0"/>
        <w:spacing w:before="50" w:after="50" w:line="360" w:lineRule="auto"/>
        <w:rPr>
          <w:color w:val="auto"/>
          <w:szCs w:val="21"/>
          <w:highlight w:val="none"/>
        </w:rPr>
      </w:pPr>
      <w:r>
        <w:rPr>
          <w:rFonts w:hint="eastAsia" w:ascii="宋体" w:hAnsi="宋体" w:cs="宋体"/>
          <w:color w:val="auto"/>
          <w:szCs w:val="21"/>
          <w:highlight w:val="none"/>
        </w:rPr>
        <w:t>项</w:t>
      </w:r>
      <w:r>
        <w:rPr>
          <w:color w:val="auto"/>
          <w:szCs w:val="21"/>
          <w:highlight w:val="none"/>
        </w:rPr>
        <w:t>目名称：</w:t>
      </w:r>
      <w:r>
        <w:rPr>
          <w:color w:val="auto"/>
          <w:szCs w:val="21"/>
          <w:highlight w:val="none"/>
          <w:u w:val="single"/>
        </w:rPr>
        <w:t xml:space="preserve">           </w:t>
      </w:r>
      <w:r>
        <w:rPr>
          <w:color w:val="auto"/>
          <w:szCs w:val="21"/>
          <w:highlight w:val="none"/>
        </w:rPr>
        <w:t xml:space="preserve">         </w:t>
      </w:r>
    </w:p>
    <w:p w14:paraId="003E5CF3">
      <w:pPr>
        <w:snapToGrid w:val="0"/>
        <w:spacing w:before="50" w:after="50" w:line="360" w:lineRule="auto"/>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tbl>
      <w:tblPr>
        <w:tblStyle w:val="2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98"/>
        <w:gridCol w:w="1417"/>
        <w:gridCol w:w="2209"/>
        <w:gridCol w:w="1184"/>
      </w:tblGrid>
      <w:tr w14:paraId="47BD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2AB8819E">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序号</w:t>
            </w:r>
          </w:p>
        </w:tc>
        <w:tc>
          <w:tcPr>
            <w:tcW w:w="3698" w:type="dxa"/>
            <w:tcBorders>
              <w:top w:val="single" w:color="auto" w:sz="4" w:space="0"/>
              <w:left w:val="single" w:color="auto" w:sz="4" w:space="0"/>
              <w:bottom w:val="single" w:color="auto" w:sz="4" w:space="0"/>
              <w:right w:val="single" w:color="auto" w:sz="4" w:space="0"/>
            </w:tcBorders>
            <w:noWrap w:val="0"/>
            <w:vAlign w:val="center"/>
          </w:tcPr>
          <w:p w14:paraId="35B131BC">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标的名称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10F477">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数量</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0E0DBE17">
            <w:pPr>
              <w:contextualSpacing/>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F73C67B">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备注</w:t>
            </w:r>
          </w:p>
        </w:tc>
      </w:tr>
      <w:tr w14:paraId="0CA1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142040E3">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1</w:t>
            </w:r>
          </w:p>
        </w:tc>
        <w:tc>
          <w:tcPr>
            <w:tcW w:w="3698" w:type="dxa"/>
            <w:tcBorders>
              <w:top w:val="single" w:color="auto" w:sz="4" w:space="0"/>
              <w:left w:val="single" w:color="auto" w:sz="4" w:space="0"/>
              <w:bottom w:val="single" w:color="auto" w:sz="4" w:space="0"/>
              <w:right w:val="single" w:color="auto" w:sz="4" w:space="0"/>
            </w:tcBorders>
            <w:noWrap w:val="0"/>
            <w:vAlign w:val="center"/>
          </w:tcPr>
          <w:p w14:paraId="3286A323">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生活垃圾中转站建设项目</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88547FB">
            <w:pPr>
              <w:contextualSpacing/>
              <w:jc w:val="center"/>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1项</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04F5A230">
            <w:pPr>
              <w:contextualSpacing/>
              <w:jc w:val="center"/>
              <w:rPr>
                <w:rFonts w:ascii="宋体" w:hAnsi="宋体" w:cs="仿宋_GB2312"/>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83D5F3">
            <w:pPr>
              <w:contextualSpacing/>
              <w:rPr>
                <w:rFonts w:ascii="宋体" w:hAnsi="宋体" w:cs="仿宋_GB2312"/>
                <w:color w:val="auto"/>
                <w:sz w:val="21"/>
                <w:szCs w:val="21"/>
                <w:highlight w:val="none"/>
              </w:rPr>
            </w:pPr>
          </w:p>
        </w:tc>
      </w:tr>
      <w:tr w14:paraId="64EC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07892DC1">
            <w:pPr>
              <w:contextualSpacing/>
              <w:rPr>
                <w:rFonts w:ascii="宋体" w:hAnsi="宋体" w:cs="仿宋_GB2312"/>
                <w:color w:val="auto"/>
                <w:sz w:val="21"/>
                <w:szCs w:val="21"/>
                <w:highlight w:val="none"/>
              </w:rPr>
            </w:pPr>
            <w:r>
              <w:rPr>
                <w:rFonts w:hint="eastAsia" w:ascii="宋体" w:hAnsi="宋体" w:cs="仿宋_GB2312"/>
                <w:color w:val="auto"/>
                <w:sz w:val="21"/>
                <w:szCs w:val="21"/>
                <w:highlight w:val="none"/>
              </w:rPr>
              <w:t>竞标总报价</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大写</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人民币</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tc>
      </w:tr>
      <w:tr w14:paraId="1553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664C8E2">
            <w:pPr>
              <w:contextualSpacing/>
              <w:rPr>
                <w:rFonts w:hint="eastAsia" w:ascii="宋体" w:hAnsi="宋体" w:cs="仿宋_GB2312"/>
                <w:color w:val="auto"/>
                <w:sz w:val="21"/>
                <w:szCs w:val="21"/>
                <w:highlight w:val="none"/>
              </w:rPr>
            </w:pPr>
            <w:r>
              <w:rPr>
                <w:rFonts w:hint="eastAsia"/>
                <w:color w:val="auto"/>
                <w:sz w:val="21"/>
                <w:szCs w:val="21"/>
                <w:highlight w:val="none"/>
              </w:rPr>
              <w:t>工期</w:t>
            </w:r>
            <w:r>
              <w:rPr>
                <w:rFonts w:hint="eastAsia" w:hAnsi="宋体"/>
                <w:color w:val="auto"/>
                <w:kern w:val="56"/>
                <w:sz w:val="21"/>
                <w:szCs w:val="21"/>
                <w:highlight w:val="none"/>
              </w:rPr>
              <w:t>：</w:t>
            </w:r>
            <w:r>
              <w:rPr>
                <w:rFonts w:hint="eastAsia" w:hAnsi="宋体"/>
                <w:color w:val="auto"/>
                <w:kern w:val="56"/>
                <w:sz w:val="21"/>
                <w:szCs w:val="21"/>
                <w:highlight w:val="none"/>
                <w:u w:val="single"/>
              </w:rPr>
              <w:t xml:space="preserve">     </w:t>
            </w:r>
            <w:r>
              <w:rPr>
                <w:rFonts w:hAnsi="宋体"/>
                <w:color w:val="auto"/>
                <w:kern w:val="56"/>
                <w:sz w:val="21"/>
                <w:szCs w:val="21"/>
                <w:highlight w:val="none"/>
                <w:u w:val="single"/>
              </w:rPr>
              <w:t xml:space="preserve">                     </w:t>
            </w:r>
            <w:r>
              <w:rPr>
                <w:rFonts w:hint="eastAsia" w:hAnsi="宋体"/>
                <w:color w:val="auto"/>
                <w:kern w:val="56"/>
                <w:sz w:val="21"/>
                <w:szCs w:val="21"/>
                <w:highlight w:val="none"/>
                <w:u w:val="single"/>
              </w:rPr>
              <w:t xml:space="preserve"> </w:t>
            </w:r>
          </w:p>
        </w:tc>
      </w:tr>
      <w:tr w14:paraId="09B5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1C4D0843">
            <w:pPr>
              <w:contextualSpacing/>
              <w:rPr>
                <w:rFonts w:hint="eastAsia" w:hAnsi="宋体"/>
                <w:color w:val="auto"/>
                <w:kern w:val="56"/>
                <w:sz w:val="21"/>
                <w:szCs w:val="21"/>
                <w:highlight w:val="none"/>
              </w:rPr>
            </w:pPr>
            <w:r>
              <w:rPr>
                <w:rFonts w:hint="eastAsia"/>
                <w:color w:val="auto"/>
                <w:sz w:val="21"/>
                <w:szCs w:val="21"/>
                <w:highlight w:val="none"/>
              </w:rPr>
              <w:t>质量</w:t>
            </w:r>
            <w:r>
              <w:rPr>
                <w:rFonts w:hint="eastAsia"/>
                <w:color w:val="auto"/>
                <w:sz w:val="21"/>
                <w:szCs w:val="21"/>
                <w:highlight w:val="none"/>
                <w:lang w:eastAsia="zh-CN"/>
              </w:rPr>
              <w:t>要求</w:t>
            </w:r>
            <w:r>
              <w:rPr>
                <w:rFonts w:hint="eastAsia"/>
                <w:color w:val="auto"/>
                <w:sz w:val="21"/>
                <w:szCs w:val="21"/>
                <w:highlight w:val="none"/>
              </w:rPr>
              <w:t>：</w:t>
            </w:r>
            <w:r>
              <w:rPr>
                <w:rFonts w:hint="eastAsia" w:hAnsi="宋体"/>
                <w:color w:val="auto"/>
                <w:kern w:val="56"/>
                <w:sz w:val="21"/>
                <w:szCs w:val="21"/>
                <w:highlight w:val="none"/>
                <w:u w:val="single"/>
              </w:rPr>
              <w:t xml:space="preserve">                       </w:t>
            </w:r>
          </w:p>
        </w:tc>
      </w:tr>
    </w:tbl>
    <w:p w14:paraId="19D666BC">
      <w:pPr>
        <w:snapToGrid w:val="0"/>
        <w:spacing w:before="50" w:after="50" w:line="360" w:lineRule="auto"/>
        <w:ind w:firstLine="420" w:firstLineChars="200"/>
        <w:jc w:val="left"/>
        <w:rPr>
          <w:color w:val="auto"/>
          <w:kern w:val="0"/>
          <w:szCs w:val="21"/>
          <w:highlight w:val="none"/>
          <w:lang w:val="zh-CN"/>
        </w:rPr>
      </w:pPr>
    </w:p>
    <w:p w14:paraId="7686B5BD">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 xml:space="preserve">注： </w:t>
      </w:r>
    </w:p>
    <w:p w14:paraId="69871227">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1、供应商需按本表格式填写，不得自行更改，也不得留空（</w:t>
      </w:r>
      <w:r>
        <w:rPr>
          <w:color w:val="auto"/>
          <w:szCs w:val="21"/>
          <w:highlight w:val="none"/>
        </w:rPr>
        <w:t>备注除外</w:t>
      </w:r>
      <w:r>
        <w:rPr>
          <w:color w:val="auto"/>
          <w:kern w:val="0"/>
          <w:szCs w:val="21"/>
          <w:highlight w:val="none"/>
          <w:lang w:val="zh-CN"/>
        </w:rPr>
        <w:t>）, 如有多分标，按分标分别提供响应报价表，</w:t>
      </w:r>
      <w:r>
        <w:rPr>
          <w:b/>
          <w:color w:val="auto"/>
          <w:kern w:val="0"/>
          <w:szCs w:val="21"/>
          <w:highlight w:val="none"/>
          <w:lang w:val="zh-CN"/>
        </w:rPr>
        <w:t>否则其响应按无效响应处理。</w:t>
      </w:r>
    </w:p>
    <w:p w14:paraId="2290BC2E">
      <w:pPr>
        <w:snapToGrid w:val="0"/>
        <w:spacing w:before="50" w:after="50" w:line="360" w:lineRule="auto"/>
        <w:ind w:firstLine="420" w:firstLineChars="200"/>
        <w:jc w:val="left"/>
        <w:rPr>
          <w:b/>
          <w:color w:val="auto"/>
          <w:kern w:val="0"/>
          <w:szCs w:val="21"/>
          <w:highlight w:val="none"/>
          <w:lang w:val="zh-CN"/>
        </w:rPr>
      </w:pPr>
      <w:r>
        <w:rPr>
          <w:color w:val="auto"/>
          <w:kern w:val="0"/>
          <w:szCs w:val="21"/>
          <w:highlight w:val="none"/>
          <w:lang w:val="zh-CN"/>
        </w:rPr>
        <w:t>2、如为联合体响应的，</w:t>
      </w:r>
      <w:r>
        <w:rPr>
          <w:rFonts w:hint="eastAsia"/>
          <w:color w:val="auto"/>
          <w:kern w:val="0"/>
          <w:szCs w:val="21"/>
          <w:highlight w:val="none"/>
          <w:lang w:val="zh-CN"/>
        </w:rPr>
        <w:t>“</w:t>
      </w:r>
      <w:r>
        <w:rPr>
          <w:color w:val="auto"/>
          <w:kern w:val="0"/>
          <w:szCs w:val="21"/>
          <w:highlight w:val="none"/>
          <w:lang w:val="zh-CN"/>
        </w:rPr>
        <w:t>供应商名称</w:t>
      </w:r>
      <w:r>
        <w:rPr>
          <w:rFonts w:hint="eastAsia"/>
          <w:color w:val="auto"/>
          <w:kern w:val="0"/>
          <w:szCs w:val="21"/>
          <w:highlight w:val="none"/>
          <w:lang w:val="zh-CN"/>
        </w:rPr>
        <w:t>”</w:t>
      </w:r>
      <w:r>
        <w:rPr>
          <w:color w:val="auto"/>
          <w:kern w:val="0"/>
          <w:szCs w:val="21"/>
          <w:highlight w:val="none"/>
          <w:lang w:val="zh-CN"/>
        </w:rPr>
        <w:t>处必须列明联合体各方名称，并标注联合体牵头人名称，且盖章处须加盖联合体各方公章，</w:t>
      </w:r>
      <w:r>
        <w:rPr>
          <w:b/>
          <w:color w:val="auto"/>
          <w:kern w:val="0"/>
          <w:szCs w:val="21"/>
          <w:highlight w:val="none"/>
          <w:lang w:val="zh-CN"/>
        </w:rPr>
        <w:t>否则其响应按无效响应处理。</w:t>
      </w:r>
    </w:p>
    <w:p w14:paraId="197AABE5">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3</w:t>
      </w:r>
      <w:r>
        <w:rPr>
          <w:color w:val="auto"/>
          <w:kern w:val="0"/>
          <w:szCs w:val="21"/>
          <w:highlight w:val="none"/>
          <w:lang w:val="zh-CN"/>
        </w:rPr>
        <w:t>、特别提示：采购代理机构将对项目名称和项目编号，成交供应商名称</w:t>
      </w:r>
      <w:r>
        <w:rPr>
          <w:rFonts w:hint="eastAsia"/>
          <w:color w:val="auto"/>
          <w:kern w:val="0"/>
          <w:szCs w:val="21"/>
          <w:highlight w:val="none"/>
          <w:lang w:val="zh-CN"/>
        </w:rPr>
        <w:t>、</w:t>
      </w:r>
      <w:r>
        <w:rPr>
          <w:color w:val="auto"/>
          <w:kern w:val="0"/>
          <w:szCs w:val="21"/>
          <w:highlight w:val="none"/>
          <w:lang w:val="zh-CN"/>
        </w:rPr>
        <w:t>成交金额等予以公示。</w:t>
      </w:r>
    </w:p>
    <w:p w14:paraId="4E35A121">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4</w:t>
      </w:r>
      <w:r>
        <w:rPr>
          <w:color w:val="auto"/>
          <w:kern w:val="0"/>
          <w:szCs w:val="21"/>
          <w:highlight w:val="none"/>
          <w:lang w:val="zh-CN"/>
        </w:rPr>
        <w:t>、符合采购文件中列明的可享受中小企业扶持政策的供应商，请填写中小企业声明函。</w:t>
      </w:r>
    </w:p>
    <w:p w14:paraId="4B5B164F">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5</w:t>
      </w:r>
      <w:r>
        <w:rPr>
          <w:color w:val="auto"/>
          <w:kern w:val="0"/>
          <w:szCs w:val="21"/>
          <w:highlight w:val="none"/>
        </w:rPr>
        <w:t>、</w:t>
      </w:r>
      <w:r>
        <w:rPr>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7B0E4C81">
      <w:pPr>
        <w:snapToGrid w:val="0"/>
        <w:spacing w:line="360" w:lineRule="auto"/>
        <w:ind w:firstLine="420" w:firstLineChars="200"/>
        <w:jc w:val="left"/>
        <w:rPr>
          <w:color w:val="auto"/>
          <w:kern w:val="0"/>
          <w:szCs w:val="21"/>
          <w:highlight w:val="none"/>
          <w:lang w:val="zh-CN"/>
        </w:rPr>
      </w:pPr>
    </w:p>
    <w:p w14:paraId="5621D566">
      <w:pPr>
        <w:pStyle w:val="13"/>
        <w:rPr>
          <w:color w:val="auto"/>
          <w:szCs w:val="21"/>
          <w:highlight w:val="none"/>
        </w:rPr>
      </w:pPr>
    </w:p>
    <w:p w14:paraId="1C5902B8">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650CDB81">
      <w:pPr>
        <w:spacing w:line="500" w:lineRule="exact"/>
        <w:rPr>
          <w:color w:val="auto"/>
          <w:sz w:val="24"/>
          <w:highlight w:val="none"/>
          <w:lang w:val="zh-CN"/>
        </w:rPr>
        <w:sectPr>
          <w:pgSz w:w="11911" w:h="16838"/>
          <w:pgMar w:top="1134" w:right="1134" w:bottom="1134" w:left="1134" w:header="720" w:footer="720" w:gutter="0"/>
          <w:cols w:space="720" w:num="1"/>
        </w:sect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17F5D05">
      <w:pPr>
        <w:pStyle w:val="3"/>
        <w:jc w:val="center"/>
        <w:rPr>
          <w:rFonts w:ascii="宋体" w:hAnsi="宋体"/>
          <w:b w:val="0"/>
          <w:color w:val="auto"/>
          <w:highlight w:val="none"/>
        </w:rPr>
      </w:pPr>
      <w:bookmarkStart w:id="154" w:name="_Toc18482"/>
      <w:bookmarkStart w:id="155" w:name="_Toc80205942"/>
      <w:bookmarkStart w:id="156" w:name="_Toc13936"/>
      <w:bookmarkStart w:id="157" w:name="_Toc80886946"/>
      <w:r>
        <w:rPr>
          <w:rFonts w:hint="eastAsia" w:ascii="宋体" w:hAnsi="宋体"/>
          <w:color w:val="auto"/>
          <w:highlight w:val="none"/>
        </w:rPr>
        <w:t>第</w:t>
      </w:r>
      <w:r>
        <w:rPr>
          <w:rFonts w:hint="eastAsia" w:ascii="宋体" w:hAnsi="宋体"/>
          <w:color w:val="auto"/>
          <w:highlight w:val="none"/>
          <w:lang w:eastAsia="zh-CN"/>
        </w:rPr>
        <w:t>四</w:t>
      </w:r>
      <w:r>
        <w:rPr>
          <w:rFonts w:hint="eastAsia" w:ascii="宋体" w:hAnsi="宋体"/>
          <w:color w:val="auto"/>
          <w:highlight w:val="none"/>
        </w:rPr>
        <w:t>节 其他文书、文件格式</w:t>
      </w:r>
      <w:bookmarkEnd w:id="154"/>
      <w:bookmarkEnd w:id="155"/>
      <w:bookmarkEnd w:id="156"/>
      <w:bookmarkEnd w:id="157"/>
    </w:p>
    <w:p w14:paraId="201CE475">
      <w:pPr>
        <w:spacing w:line="500" w:lineRule="exact"/>
        <w:rPr>
          <w:b/>
          <w:color w:val="auto"/>
          <w:sz w:val="30"/>
          <w:szCs w:val="30"/>
          <w:highlight w:val="none"/>
          <w:lang w:val="zh-CN"/>
        </w:rPr>
      </w:pPr>
      <w:r>
        <w:rPr>
          <w:b/>
          <w:color w:val="auto"/>
          <w:sz w:val="30"/>
          <w:szCs w:val="30"/>
          <w:highlight w:val="none"/>
        </w:rPr>
        <w:t>1.</w:t>
      </w:r>
      <w:r>
        <w:rPr>
          <w:b/>
          <w:color w:val="auto"/>
          <w:sz w:val="30"/>
          <w:szCs w:val="30"/>
          <w:highlight w:val="none"/>
          <w:lang w:val="zh-CN"/>
        </w:rPr>
        <w:t>中小企业声明函的格式：</w:t>
      </w:r>
    </w:p>
    <w:p w14:paraId="54F10C17">
      <w:pPr>
        <w:pStyle w:val="20"/>
        <w:rPr>
          <w:color w:val="auto"/>
          <w:highlight w:val="none"/>
          <w:lang w:eastAsia="zh-CN"/>
        </w:rPr>
      </w:pPr>
    </w:p>
    <w:p w14:paraId="58559891">
      <w:pPr>
        <w:spacing w:line="300" w:lineRule="auto"/>
        <w:ind w:firstLine="3520" w:firstLineChars="800"/>
        <w:rPr>
          <w:color w:val="auto"/>
          <w:sz w:val="44"/>
          <w:szCs w:val="44"/>
          <w:highlight w:val="none"/>
        </w:rPr>
      </w:pPr>
      <w:r>
        <w:rPr>
          <w:color w:val="auto"/>
          <w:sz w:val="44"/>
          <w:szCs w:val="44"/>
          <w:highlight w:val="none"/>
        </w:rPr>
        <w:t>中小企业声明函</w:t>
      </w:r>
    </w:p>
    <w:p w14:paraId="30461C7D">
      <w:pPr>
        <w:pStyle w:val="13"/>
        <w:spacing w:after="0" w:line="360" w:lineRule="auto"/>
        <w:ind w:left="-426" w:right="142" w:firstLine="640"/>
        <w:contextualSpacing/>
        <w:rPr>
          <w:color w:val="auto"/>
          <w:sz w:val="24"/>
          <w:highlight w:val="none"/>
        </w:rPr>
      </w:pPr>
    </w:p>
    <w:p w14:paraId="1CE3572A">
      <w:pPr>
        <w:pStyle w:val="13"/>
        <w:spacing w:after="0" w:line="360" w:lineRule="auto"/>
        <w:ind w:right="142" w:firstLine="420" w:firstLineChars="200"/>
        <w:contextualSpacing/>
        <w:rPr>
          <w:color w:val="auto"/>
          <w:szCs w:val="21"/>
          <w:highlight w:val="none"/>
        </w:rPr>
      </w:pPr>
      <w:r>
        <w:rPr>
          <w:color w:val="auto"/>
          <w:szCs w:val="21"/>
          <w:highlight w:val="none"/>
        </w:rPr>
        <w:t>本公司（联合体）郑重声明，根据《政府采购促进中小企业发展管理办法》（财库﹝2020﹞46号）的规定，本公司（联合体）参加</w:t>
      </w:r>
      <w:r>
        <w:rPr>
          <w:i/>
          <w:iCs/>
          <w:color w:val="auto"/>
          <w:szCs w:val="21"/>
          <w:highlight w:val="none"/>
          <w:u w:val="single"/>
        </w:rPr>
        <w:t>（单位名称）</w:t>
      </w:r>
      <w:r>
        <w:rPr>
          <w:color w:val="auto"/>
          <w:szCs w:val="21"/>
          <w:highlight w:val="none"/>
        </w:rPr>
        <w:t>的</w:t>
      </w:r>
      <w:r>
        <w:rPr>
          <w:i/>
          <w:iCs/>
          <w:color w:val="auto"/>
          <w:szCs w:val="21"/>
          <w:highlight w:val="none"/>
          <w:u w:val="single"/>
        </w:rPr>
        <w:t>（项目名称）</w:t>
      </w:r>
      <w:r>
        <w:rPr>
          <w:color w:val="auto"/>
          <w:szCs w:val="21"/>
          <w:highlight w:val="none"/>
        </w:rPr>
        <w:t>采购活动，</w:t>
      </w:r>
      <w:r>
        <w:rPr>
          <w:rFonts w:hint="eastAsia"/>
          <w:color w:val="auto"/>
          <w:kern w:val="0"/>
          <w:szCs w:val="21"/>
          <w:highlight w:val="none"/>
          <w:lang w:eastAsia="zh-CN"/>
        </w:rPr>
        <w:t>工程</w:t>
      </w:r>
      <w:r>
        <w:rPr>
          <w:color w:val="auto"/>
          <w:kern w:val="0"/>
          <w:szCs w:val="21"/>
          <w:highlight w:val="none"/>
        </w:rPr>
        <w:t>全部由符合政策要求的中小企业承接</w:t>
      </w:r>
      <w:r>
        <w:rPr>
          <w:color w:val="auto"/>
          <w:szCs w:val="21"/>
          <w:highlight w:val="none"/>
        </w:rPr>
        <w:t>。相关企业（含联合体中的中小企业、签订分包意向协议的中小企业）的具体情况如下：</w:t>
      </w:r>
    </w:p>
    <w:p w14:paraId="78D645B8">
      <w:pPr>
        <w:tabs>
          <w:tab w:val="left" w:pos="1384"/>
          <w:tab w:val="left" w:pos="4562"/>
          <w:tab w:val="left" w:pos="6803"/>
        </w:tabs>
        <w:spacing w:line="360" w:lineRule="auto"/>
        <w:ind w:right="-58" w:firstLine="420" w:firstLineChars="200"/>
        <w:contextualSpacing/>
        <w:rPr>
          <w:color w:val="auto"/>
          <w:szCs w:val="21"/>
          <w:highlight w:val="none"/>
        </w:rPr>
      </w:pPr>
      <w:r>
        <w:rPr>
          <w:color w:val="auto"/>
          <w:szCs w:val="21"/>
          <w:highlight w:val="none"/>
        </w:rPr>
        <w:t>1.</w:t>
      </w:r>
      <w:r>
        <w:rPr>
          <w:color w:val="auto"/>
          <w:szCs w:val="21"/>
          <w:highlight w:val="none"/>
          <w:u w:val="single"/>
        </w:rPr>
        <w:t>（</w:t>
      </w:r>
      <w:r>
        <w:rPr>
          <w:i/>
          <w:iCs/>
          <w:color w:val="auto"/>
          <w:szCs w:val="21"/>
          <w:highlight w:val="none"/>
          <w:u w:val="single"/>
        </w:rPr>
        <w:t>标的名称</w:t>
      </w:r>
      <w:r>
        <w:rPr>
          <w:color w:val="auto"/>
          <w:szCs w:val="21"/>
          <w:highlight w:val="none"/>
          <w:u w:val="single"/>
        </w:rPr>
        <w:t>）</w:t>
      </w:r>
      <w:r>
        <w:rPr>
          <w:color w:val="auto"/>
          <w:szCs w:val="21"/>
          <w:highlight w:val="none"/>
        </w:rPr>
        <w:t>，属于</w:t>
      </w:r>
      <w:r>
        <w:rPr>
          <w:color w:val="auto"/>
          <w:szCs w:val="21"/>
          <w:highlight w:val="none"/>
          <w:u w:val="single"/>
        </w:rPr>
        <w:t>（</w:t>
      </w:r>
      <w:r>
        <w:rPr>
          <w:i/>
          <w:iCs/>
          <w:color w:val="auto"/>
          <w:szCs w:val="21"/>
          <w:highlight w:val="none"/>
          <w:u w:val="single"/>
        </w:rPr>
        <w:t>采购文件中明确的所属行业</w:t>
      </w:r>
      <w:r>
        <w:rPr>
          <w:color w:val="auto"/>
          <w:szCs w:val="21"/>
          <w:highlight w:val="none"/>
          <w:u w:val="single"/>
        </w:rPr>
        <w:t>）</w:t>
      </w:r>
      <w:r>
        <w:rPr>
          <w:color w:val="auto"/>
          <w:szCs w:val="21"/>
          <w:highlight w:val="none"/>
        </w:rPr>
        <w:t>；</w:t>
      </w:r>
      <w:r>
        <w:rPr>
          <w:color w:val="auto"/>
          <w:kern w:val="0"/>
          <w:szCs w:val="21"/>
          <w:highlight w:val="none"/>
        </w:rPr>
        <w:t>承建（承接）企业</w:t>
      </w:r>
      <w:r>
        <w:rPr>
          <w:color w:val="auto"/>
          <w:szCs w:val="21"/>
          <w:highlight w:val="none"/>
        </w:rPr>
        <w:t>为</w:t>
      </w:r>
      <w:r>
        <w:rPr>
          <w:color w:val="auto"/>
          <w:szCs w:val="21"/>
          <w:highlight w:val="none"/>
          <w:u w:val="single"/>
        </w:rPr>
        <w:t>（</w:t>
      </w:r>
      <w:r>
        <w:rPr>
          <w:i/>
          <w:iCs/>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w:t>
      </w:r>
      <w:r>
        <w:rPr>
          <w:i/>
          <w:iCs/>
          <w:color w:val="auto"/>
          <w:szCs w:val="21"/>
          <w:highlight w:val="none"/>
          <w:u w:val="single"/>
        </w:rPr>
        <w:t>中型企业、小型企业、微型企业</w:t>
      </w:r>
      <w:r>
        <w:rPr>
          <w:color w:val="auto"/>
          <w:szCs w:val="21"/>
          <w:highlight w:val="none"/>
          <w:u w:val="single"/>
        </w:rPr>
        <w:t>）</w:t>
      </w:r>
      <w:r>
        <w:rPr>
          <w:color w:val="auto"/>
          <w:szCs w:val="21"/>
          <w:highlight w:val="none"/>
        </w:rPr>
        <w:t>；</w:t>
      </w:r>
    </w:p>
    <w:p w14:paraId="59BFEE04">
      <w:pPr>
        <w:tabs>
          <w:tab w:val="left" w:pos="1065"/>
          <w:tab w:val="left" w:pos="6477"/>
        </w:tabs>
        <w:spacing w:line="360" w:lineRule="auto"/>
        <w:ind w:right="-58" w:firstLine="420" w:firstLineChars="200"/>
        <w:contextualSpacing/>
        <w:rPr>
          <w:color w:val="auto"/>
          <w:szCs w:val="21"/>
          <w:highlight w:val="none"/>
        </w:rPr>
      </w:pPr>
      <w:r>
        <w:rPr>
          <w:color w:val="auto"/>
          <w:szCs w:val="21"/>
          <w:highlight w:val="none"/>
        </w:rPr>
        <w:t>2.</w:t>
      </w:r>
      <w:r>
        <w:rPr>
          <w:color w:val="auto"/>
          <w:szCs w:val="21"/>
          <w:highlight w:val="none"/>
          <w:u w:val="single"/>
        </w:rPr>
        <w:t>（</w:t>
      </w:r>
      <w:r>
        <w:rPr>
          <w:i/>
          <w:iCs/>
          <w:color w:val="auto"/>
          <w:szCs w:val="21"/>
          <w:highlight w:val="none"/>
          <w:u w:val="single"/>
        </w:rPr>
        <w:t>标的名称</w:t>
      </w:r>
      <w:r>
        <w:rPr>
          <w:color w:val="auto"/>
          <w:szCs w:val="21"/>
          <w:highlight w:val="none"/>
          <w:u w:val="single"/>
        </w:rPr>
        <w:t>）</w:t>
      </w:r>
      <w:r>
        <w:rPr>
          <w:color w:val="auto"/>
          <w:szCs w:val="21"/>
          <w:highlight w:val="none"/>
        </w:rPr>
        <w:t>，属于</w:t>
      </w:r>
      <w:r>
        <w:rPr>
          <w:color w:val="auto"/>
          <w:szCs w:val="21"/>
          <w:highlight w:val="none"/>
          <w:u w:val="single"/>
        </w:rPr>
        <w:t>（</w:t>
      </w:r>
      <w:r>
        <w:rPr>
          <w:i/>
          <w:iCs/>
          <w:color w:val="auto"/>
          <w:szCs w:val="21"/>
          <w:highlight w:val="none"/>
          <w:u w:val="single"/>
        </w:rPr>
        <w:t>采购文件中明确的所属行业</w:t>
      </w:r>
      <w:r>
        <w:rPr>
          <w:color w:val="auto"/>
          <w:szCs w:val="21"/>
          <w:highlight w:val="none"/>
          <w:u w:val="single"/>
        </w:rPr>
        <w:t>）</w:t>
      </w:r>
      <w:r>
        <w:rPr>
          <w:color w:val="auto"/>
          <w:szCs w:val="21"/>
          <w:highlight w:val="none"/>
        </w:rPr>
        <w:t>；</w:t>
      </w:r>
      <w:r>
        <w:rPr>
          <w:color w:val="auto"/>
          <w:kern w:val="0"/>
          <w:szCs w:val="21"/>
          <w:highlight w:val="none"/>
        </w:rPr>
        <w:t>承建（承接）企业</w:t>
      </w:r>
      <w:r>
        <w:rPr>
          <w:color w:val="auto"/>
          <w:szCs w:val="21"/>
          <w:highlight w:val="none"/>
        </w:rPr>
        <w:t>为</w:t>
      </w:r>
      <w:r>
        <w:rPr>
          <w:color w:val="auto"/>
          <w:szCs w:val="21"/>
          <w:highlight w:val="none"/>
          <w:u w:val="single"/>
        </w:rPr>
        <w:t>（</w:t>
      </w:r>
      <w:r>
        <w:rPr>
          <w:i/>
          <w:iCs/>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w:t>
      </w:r>
      <w:r>
        <w:rPr>
          <w:i/>
          <w:iCs/>
          <w:color w:val="auto"/>
          <w:szCs w:val="21"/>
          <w:highlight w:val="none"/>
          <w:u w:val="single"/>
        </w:rPr>
        <w:t>中型企业、小型企业、微型企业</w:t>
      </w:r>
      <w:r>
        <w:rPr>
          <w:color w:val="auto"/>
          <w:szCs w:val="21"/>
          <w:highlight w:val="none"/>
          <w:u w:val="single"/>
        </w:rPr>
        <w:t>）</w:t>
      </w:r>
      <w:r>
        <w:rPr>
          <w:color w:val="auto"/>
          <w:szCs w:val="21"/>
          <w:highlight w:val="none"/>
        </w:rPr>
        <w:t>；</w:t>
      </w:r>
    </w:p>
    <w:p w14:paraId="4765395A">
      <w:pPr>
        <w:pStyle w:val="13"/>
        <w:spacing w:after="0" w:line="360" w:lineRule="auto"/>
        <w:ind w:right="142" w:firstLine="420" w:firstLineChars="200"/>
        <w:contextualSpacing/>
        <w:rPr>
          <w:color w:val="auto"/>
          <w:szCs w:val="21"/>
          <w:highlight w:val="none"/>
        </w:rPr>
      </w:pPr>
      <w:r>
        <w:rPr>
          <w:color w:val="auto"/>
          <w:szCs w:val="21"/>
          <w:highlight w:val="none"/>
        </w:rPr>
        <w:t xml:space="preserve">…… </w:t>
      </w:r>
    </w:p>
    <w:p w14:paraId="2CC5806A">
      <w:pPr>
        <w:pStyle w:val="13"/>
        <w:spacing w:after="0" w:line="360" w:lineRule="auto"/>
        <w:ind w:left="15" w:leftChars="7" w:right="142" w:firstLine="594" w:firstLineChars="283"/>
        <w:contextualSpacing/>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1AB499AE">
      <w:pPr>
        <w:pStyle w:val="13"/>
        <w:spacing w:after="0" w:line="360" w:lineRule="auto"/>
        <w:ind w:right="142" w:firstLine="420" w:firstLineChars="200"/>
        <w:contextualSpacing/>
        <w:rPr>
          <w:color w:val="auto"/>
          <w:szCs w:val="21"/>
          <w:highlight w:val="none"/>
        </w:rPr>
      </w:pPr>
      <w:r>
        <w:rPr>
          <w:color w:val="auto"/>
          <w:szCs w:val="21"/>
          <w:highlight w:val="none"/>
        </w:rPr>
        <w:t>本企业对上述声明内容的真实性负责。如有虚假，将依法承担相应责任。</w:t>
      </w:r>
    </w:p>
    <w:p w14:paraId="6A9844F0">
      <w:pPr>
        <w:pStyle w:val="13"/>
        <w:spacing w:after="0" w:line="360" w:lineRule="auto"/>
        <w:ind w:left="3960" w:right="1808"/>
        <w:contextualSpacing/>
        <w:rPr>
          <w:color w:val="auto"/>
          <w:szCs w:val="21"/>
          <w:highlight w:val="none"/>
        </w:rPr>
      </w:pPr>
    </w:p>
    <w:p w14:paraId="25939F50">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67EF67C9">
      <w:pPr>
        <w:autoSpaceDE w:val="0"/>
        <w:autoSpaceDN w:val="0"/>
        <w:spacing w:line="360" w:lineRule="auto"/>
        <w:ind w:left="4410" w:leftChars="2100" w:firstLine="1260" w:firstLineChars="600"/>
        <w:rPr>
          <w:color w:val="auto"/>
          <w:kern w:val="0"/>
          <w:szCs w:val="21"/>
          <w:highlight w:val="none"/>
          <w:lang w:val="zh-CN"/>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3043EDB">
      <w:pPr>
        <w:pStyle w:val="13"/>
        <w:spacing w:after="0" w:line="360" w:lineRule="auto"/>
        <w:ind w:left="3960" w:right="1808"/>
        <w:contextualSpacing/>
        <w:rPr>
          <w:color w:val="auto"/>
          <w:szCs w:val="21"/>
          <w:highlight w:val="none"/>
        </w:rPr>
      </w:pPr>
    </w:p>
    <w:p w14:paraId="5ABEB15D">
      <w:pPr>
        <w:spacing w:line="360" w:lineRule="auto"/>
        <w:ind w:firstLine="420" w:firstLineChars="200"/>
        <w:contextualSpacing/>
        <w:jc w:val="left"/>
        <w:rPr>
          <w:color w:val="auto"/>
          <w:kern w:val="0"/>
          <w:szCs w:val="21"/>
          <w:highlight w:val="none"/>
        </w:rPr>
      </w:pPr>
      <w:r>
        <w:rPr>
          <w:color w:val="auto"/>
          <w:szCs w:val="21"/>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3FC4E3E0">
      <w:pPr>
        <w:snapToGrid w:val="0"/>
        <w:spacing w:before="120" w:beforeLines="50" w:after="50" w:line="360" w:lineRule="auto"/>
        <w:outlineLvl w:val="1"/>
        <w:rPr>
          <w:b/>
          <w:bCs/>
          <w:color w:val="auto"/>
          <w:sz w:val="32"/>
          <w:szCs w:val="32"/>
          <w:highlight w:val="none"/>
        </w:rPr>
        <w:sectPr>
          <w:pgSz w:w="11911" w:h="16838"/>
          <w:pgMar w:top="1134" w:right="1134" w:bottom="1134" w:left="1134" w:header="720" w:footer="720" w:gutter="0"/>
          <w:cols w:space="720" w:num="1"/>
        </w:sectPr>
      </w:pPr>
    </w:p>
    <w:p w14:paraId="53F51602">
      <w:pPr>
        <w:spacing w:line="520" w:lineRule="exact"/>
        <w:rPr>
          <w:b/>
          <w:color w:val="auto"/>
          <w:sz w:val="28"/>
          <w:szCs w:val="28"/>
          <w:highlight w:val="none"/>
        </w:rPr>
      </w:pPr>
      <w:r>
        <w:rPr>
          <w:b/>
          <w:color w:val="auto"/>
          <w:sz w:val="28"/>
          <w:szCs w:val="28"/>
          <w:highlight w:val="none"/>
        </w:rPr>
        <w:t>2.残疾人福利性单位声明函的格式：</w:t>
      </w:r>
    </w:p>
    <w:p w14:paraId="4CA478E8">
      <w:pPr>
        <w:pStyle w:val="20"/>
        <w:rPr>
          <w:color w:val="auto"/>
          <w:highlight w:val="none"/>
        </w:rPr>
      </w:pPr>
    </w:p>
    <w:p w14:paraId="009D3C2F">
      <w:pPr>
        <w:spacing w:line="520" w:lineRule="exact"/>
        <w:jc w:val="center"/>
        <w:rPr>
          <w:rFonts w:eastAsia="方正小标宋简体"/>
          <w:color w:val="auto"/>
          <w:sz w:val="44"/>
          <w:szCs w:val="44"/>
          <w:highlight w:val="none"/>
        </w:rPr>
      </w:pPr>
    </w:p>
    <w:p w14:paraId="571ACED2">
      <w:pPr>
        <w:spacing w:line="520" w:lineRule="exact"/>
        <w:jc w:val="center"/>
        <w:rPr>
          <w:rFonts w:eastAsia="方正小标宋简体"/>
          <w:color w:val="auto"/>
          <w:sz w:val="44"/>
          <w:szCs w:val="44"/>
          <w:highlight w:val="none"/>
        </w:rPr>
      </w:pPr>
    </w:p>
    <w:p w14:paraId="4A46CBFC">
      <w:pPr>
        <w:spacing w:line="520" w:lineRule="exact"/>
        <w:jc w:val="center"/>
        <w:rPr>
          <w:b/>
          <w:bCs/>
          <w:color w:val="auto"/>
          <w:sz w:val="36"/>
          <w:szCs w:val="36"/>
          <w:highlight w:val="none"/>
        </w:rPr>
      </w:pPr>
      <w:r>
        <w:rPr>
          <w:b/>
          <w:bCs/>
          <w:color w:val="auto"/>
          <w:sz w:val="36"/>
          <w:szCs w:val="36"/>
          <w:highlight w:val="none"/>
        </w:rPr>
        <w:t>残疾人福利性单位声明函</w:t>
      </w:r>
    </w:p>
    <w:p w14:paraId="2BC5FBF6">
      <w:pPr>
        <w:spacing w:line="520" w:lineRule="exact"/>
        <w:rPr>
          <w:color w:val="auto"/>
          <w:sz w:val="32"/>
          <w:szCs w:val="32"/>
          <w:highlight w:val="none"/>
        </w:rPr>
      </w:pPr>
    </w:p>
    <w:p w14:paraId="4E1C4471">
      <w:pPr>
        <w:spacing w:line="360" w:lineRule="auto"/>
        <w:ind w:firstLine="420" w:firstLineChars="200"/>
        <w:contextualSpacing/>
        <w:rPr>
          <w:color w:val="auto"/>
          <w:szCs w:val="21"/>
          <w:highlight w:val="none"/>
        </w:rPr>
      </w:pPr>
    </w:p>
    <w:p w14:paraId="147762D4">
      <w:pPr>
        <w:spacing w:line="360" w:lineRule="auto"/>
        <w:ind w:firstLine="420" w:firstLineChars="200"/>
        <w:contextualSpacing/>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23A717C">
      <w:pPr>
        <w:spacing w:line="360" w:lineRule="auto"/>
        <w:ind w:firstLine="420" w:firstLineChars="200"/>
        <w:contextualSpacing/>
        <w:rPr>
          <w:color w:val="auto"/>
          <w:szCs w:val="21"/>
          <w:highlight w:val="none"/>
        </w:rPr>
      </w:pPr>
      <w:r>
        <w:rPr>
          <w:color w:val="auto"/>
          <w:szCs w:val="21"/>
          <w:highlight w:val="none"/>
        </w:rPr>
        <w:t>本单位对上述声明的真实性负责。如有虚假，将依法承担相应责任。</w:t>
      </w:r>
    </w:p>
    <w:p w14:paraId="618509A2">
      <w:pPr>
        <w:spacing w:line="360" w:lineRule="auto"/>
        <w:contextualSpacing/>
        <w:rPr>
          <w:color w:val="auto"/>
          <w:szCs w:val="21"/>
          <w:highlight w:val="none"/>
        </w:rPr>
      </w:pPr>
    </w:p>
    <w:p w14:paraId="6B756E30">
      <w:pPr>
        <w:spacing w:line="360" w:lineRule="auto"/>
        <w:contextualSpacing/>
        <w:rPr>
          <w:color w:val="auto"/>
          <w:szCs w:val="21"/>
          <w:highlight w:val="none"/>
        </w:rPr>
      </w:pPr>
    </w:p>
    <w:p w14:paraId="10AEA1EF">
      <w:pPr>
        <w:spacing w:line="360" w:lineRule="auto"/>
        <w:contextualSpacing/>
        <w:rPr>
          <w:color w:val="auto"/>
          <w:szCs w:val="21"/>
          <w:highlight w:val="none"/>
        </w:rPr>
      </w:pPr>
    </w:p>
    <w:p w14:paraId="2136C27B">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5A3EE3D0">
      <w:pPr>
        <w:spacing w:line="360" w:lineRule="auto"/>
        <w:contextualSpacing/>
        <w:rPr>
          <w:color w:val="auto"/>
          <w:szCs w:val="21"/>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6B25FFF">
      <w:pPr>
        <w:spacing w:line="360" w:lineRule="auto"/>
        <w:contextualSpacing/>
        <w:rPr>
          <w:color w:val="auto"/>
          <w:szCs w:val="21"/>
          <w:highlight w:val="none"/>
        </w:rPr>
      </w:pPr>
    </w:p>
    <w:p w14:paraId="1EA8B35A">
      <w:pPr>
        <w:spacing w:line="360" w:lineRule="auto"/>
        <w:contextualSpacing/>
        <w:rPr>
          <w:color w:val="auto"/>
          <w:szCs w:val="21"/>
          <w:highlight w:val="none"/>
        </w:rPr>
      </w:pPr>
    </w:p>
    <w:p w14:paraId="0194B8E2">
      <w:pPr>
        <w:spacing w:line="360" w:lineRule="auto"/>
        <w:ind w:firstLine="420" w:firstLineChars="200"/>
        <w:contextualSpacing/>
        <w:rPr>
          <w:color w:val="auto"/>
          <w:szCs w:val="21"/>
          <w:highlight w:val="none"/>
        </w:rPr>
      </w:pPr>
      <w:r>
        <w:rPr>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2B6B3BC6">
      <w:pPr>
        <w:pStyle w:val="13"/>
        <w:ind w:left="1" w:firstLine="2" w:firstLineChars="1"/>
        <w:rPr>
          <w:b/>
          <w:bCs/>
          <w:color w:val="auto"/>
          <w:sz w:val="18"/>
          <w:szCs w:val="18"/>
          <w:highlight w:val="none"/>
        </w:rPr>
      </w:pPr>
      <w:r>
        <w:rPr>
          <w:rFonts w:hint="eastAsia" w:ascii="宋体" w:hAnsi="宋体" w:cs="宋体"/>
          <w:color w:val="auto"/>
          <w:szCs w:val="21"/>
          <w:highlight w:val="none"/>
        </w:rPr>
        <w:br w:type="page"/>
      </w:r>
    </w:p>
    <w:p w14:paraId="22FF5C9D">
      <w:pPr>
        <w:spacing w:line="520" w:lineRule="exact"/>
        <w:jc w:val="center"/>
        <w:rPr>
          <w:color w:val="auto"/>
          <w:sz w:val="24"/>
          <w:highlight w:val="none"/>
        </w:rPr>
      </w:pPr>
    </w:p>
    <w:p w14:paraId="7BEA8649">
      <w:pPr>
        <w:spacing w:line="520" w:lineRule="exact"/>
        <w:jc w:val="center"/>
        <w:rPr>
          <w:color w:val="auto"/>
          <w:sz w:val="24"/>
          <w:highlight w:val="none"/>
        </w:rPr>
      </w:pPr>
    </w:p>
    <w:p w14:paraId="09A23384">
      <w:pPr>
        <w:spacing w:line="520" w:lineRule="exact"/>
        <w:jc w:val="center"/>
        <w:rPr>
          <w:color w:val="auto"/>
          <w:sz w:val="24"/>
          <w:highlight w:val="none"/>
        </w:rPr>
      </w:pPr>
    </w:p>
    <w:p w14:paraId="34C93A7F">
      <w:pPr>
        <w:spacing w:line="520" w:lineRule="exact"/>
        <w:jc w:val="center"/>
        <w:rPr>
          <w:color w:val="auto"/>
          <w:sz w:val="24"/>
          <w:highlight w:val="none"/>
        </w:rPr>
      </w:pPr>
    </w:p>
    <w:p w14:paraId="17D91099">
      <w:pPr>
        <w:spacing w:line="520" w:lineRule="exact"/>
        <w:jc w:val="center"/>
        <w:rPr>
          <w:color w:val="auto"/>
          <w:sz w:val="24"/>
          <w:highlight w:val="none"/>
        </w:rPr>
      </w:pPr>
    </w:p>
    <w:p w14:paraId="13D84CDA">
      <w:pPr>
        <w:spacing w:line="520" w:lineRule="exact"/>
        <w:jc w:val="center"/>
        <w:rPr>
          <w:color w:val="auto"/>
          <w:sz w:val="24"/>
          <w:highlight w:val="none"/>
        </w:rPr>
      </w:pPr>
    </w:p>
    <w:p w14:paraId="635F1854">
      <w:pPr>
        <w:spacing w:line="520" w:lineRule="exact"/>
        <w:jc w:val="center"/>
        <w:rPr>
          <w:color w:val="auto"/>
          <w:sz w:val="24"/>
          <w:highlight w:val="none"/>
        </w:rPr>
      </w:pPr>
    </w:p>
    <w:p w14:paraId="15118F08">
      <w:pPr>
        <w:spacing w:line="520" w:lineRule="exact"/>
        <w:jc w:val="center"/>
        <w:rPr>
          <w:color w:val="auto"/>
          <w:sz w:val="24"/>
          <w:highlight w:val="none"/>
        </w:rPr>
      </w:pPr>
    </w:p>
    <w:p w14:paraId="7ABE276C">
      <w:pPr>
        <w:pStyle w:val="2"/>
        <w:jc w:val="center"/>
        <w:rPr>
          <w:rFonts w:hint="eastAsia"/>
          <w:b w:val="0"/>
          <w:bCs w:val="0"/>
          <w:color w:val="auto"/>
          <w:highlight w:val="none"/>
        </w:rPr>
      </w:pPr>
      <w:bookmarkStart w:id="158" w:name="_Toc28369"/>
      <w:bookmarkStart w:id="159" w:name="_Toc80886947"/>
      <w:bookmarkStart w:id="160" w:name="_Toc9343"/>
      <w:bookmarkStart w:id="161" w:name="_Toc15154"/>
      <w:bookmarkStart w:id="162" w:name="_Toc31579"/>
      <w:bookmarkStart w:id="163" w:name="_Toc24786"/>
      <w:bookmarkStart w:id="164" w:name="_Toc4005"/>
      <w:bookmarkStart w:id="165" w:name="_Toc12748"/>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8"/>
      <w:bookmarkEnd w:id="159"/>
      <w:bookmarkEnd w:id="160"/>
      <w:bookmarkEnd w:id="161"/>
      <w:bookmarkEnd w:id="162"/>
      <w:bookmarkEnd w:id="163"/>
      <w:bookmarkEnd w:id="164"/>
    </w:p>
    <w:p w14:paraId="15D4DB49">
      <w:pPr>
        <w:spacing w:line="360" w:lineRule="auto"/>
        <w:rPr>
          <w:rFonts w:ascii="宋体" w:hAnsi="宋体" w:cs="宋体"/>
          <w:b/>
          <w:bCs/>
          <w:color w:val="auto"/>
          <w:kern w:val="44"/>
          <w:sz w:val="32"/>
          <w:szCs w:val="32"/>
          <w:highlight w:val="none"/>
          <w:lang w:val="zh-CN"/>
        </w:rPr>
      </w:pPr>
      <w:r>
        <w:rPr>
          <w:b/>
          <w:bCs/>
          <w:color w:val="auto"/>
          <w:highlight w:val="none"/>
        </w:rPr>
        <w:br w:type="page"/>
      </w:r>
      <w:bookmarkEnd w:id="165"/>
      <w:bookmarkStart w:id="166" w:name="_Toc407135283"/>
      <w:bookmarkStart w:id="167" w:name="_Toc29015"/>
      <w:bookmarkStart w:id="168" w:name="_Toc14114"/>
    </w:p>
    <w:p w14:paraId="1659F2C5">
      <w:pPr>
        <w:spacing w:line="360" w:lineRule="auto"/>
        <w:jc w:val="center"/>
        <w:rPr>
          <w:rFonts w:ascii="宋体" w:hAnsi="宋体" w:cs="宋体"/>
          <w:b/>
          <w:bCs/>
          <w:color w:val="auto"/>
          <w:kern w:val="44"/>
          <w:sz w:val="72"/>
          <w:szCs w:val="72"/>
          <w:highlight w:val="none"/>
          <w:lang w:val="zh-CN"/>
        </w:rPr>
      </w:pPr>
    </w:p>
    <w:p w14:paraId="54B7FB24">
      <w:pPr>
        <w:spacing w:line="360" w:lineRule="auto"/>
        <w:jc w:val="center"/>
        <w:rPr>
          <w:rFonts w:ascii="宋体" w:hAnsi="宋体" w:cs="宋体"/>
          <w:b/>
          <w:bCs/>
          <w:color w:val="auto"/>
          <w:kern w:val="44"/>
          <w:sz w:val="72"/>
          <w:szCs w:val="72"/>
          <w:highlight w:val="none"/>
          <w:lang w:val="zh-CN"/>
        </w:rPr>
      </w:pPr>
    </w:p>
    <w:p w14:paraId="708AA7CC">
      <w:pPr>
        <w:spacing w:line="360" w:lineRule="auto"/>
        <w:jc w:val="center"/>
        <w:rPr>
          <w:rFonts w:ascii="宋体" w:hAnsi="宋体" w:cs="宋体"/>
          <w:b/>
          <w:bCs/>
          <w:color w:val="auto"/>
          <w:kern w:val="44"/>
          <w:sz w:val="72"/>
          <w:szCs w:val="72"/>
          <w:highlight w:val="none"/>
          <w:lang w:val="zh-CN"/>
        </w:rPr>
      </w:pPr>
      <w:r>
        <w:rPr>
          <w:rFonts w:hint="eastAsia" w:ascii="宋体" w:hAnsi="宋体" w:cs="宋体"/>
          <w:b/>
          <w:bCs/>
          <w:color w:val="auto"/>
          <w:kern w:val="44"/>
          <w:sz w:val="72"/>
          <w:szCs w:val="72"/>
          <w:highlight w:val="none"/>
          <w:lang w:val="zh-CN"/>
        </w:rPr>
        <w:t>建设工程施工合同</w:t>
      </w:r>
    </w:p>
    <w:p w14:paraId="059F15B5">
      <w:pPr>
        <w:spacing w:line="360" w:lineRule="auto"/>
        <w:rPr>
          <w:rFonts w:ascii="宋体" w:hAnsi="宋体" w:cs="宋体"/>
          <w:b/>
          <w:bCs/>
          <w:color w:val="auto"/>
          <w:kern w:val="44"/>
          <w:sz w:val="28"/>
          <w:szCs w:val="28"/>
          <w:highlight w:val="none"/>
          <w:lang w:val="zh-CN"/>
        </w:rPr>
      </w:pPr>
    </w:p>
    <w:p w14:paraId="0334B354">
      <w:pPr>
        <w:spacing w:line="360" w:lineRule="auto"/>
        <w:rPr>
          <w:rFonts w:ascii="宋体" w:hAnsi="宋体" w:cs="宋体"/>
          <w:b/>
          <w:bCs/>
          <w:color w:val="auto"/>
          <w:kern w:val="44"/>
          <w:sz w:val="28"/>
          <w:szCs w:val="28"/>
          <w:highlight w:val="none"/>
          <w:lang w:val="zh-CN"/>
        </w:rPr>
      </w:pPr>
    </w:p>
    <w:p w14:paraId="36E3F224">
      <w:pPr>
        <w:spacing w:line="360" w:lineRule="auto"/>
        <w:rPr>
          <w:rFonts w:ascii="宋体" w:hAnsi="宋体" w:cs="宋体"/>
          <w:b/>
          <w:bCs/>
          <w:color w:val="auto"/>
          <w:kern w:val="44"/>
          <w:sz w:val="28"/>
          <w:szCs w:val="28"/>
          <w:highlight w:val="none"/>
          <w:lang w:val="zh-CN"/>
        </w:rPr>
      </w:pPr>
    </w:p>
    <w:p w14:paraId="1E998431">
      <w:pPr>
        <w:spacing w:line="360" w:lineRule="auto"/>
        <w:rPr>
          <w:rFonts w:ascii="宋体" w:hAnsi="宋体" w:cs="宋体"/>
          <w:b/>
          <w:bCs/>
          <w:color w:val="auto"/>
          <w:kern w:val="44"/>
          <w:sz w:val="28"/>
          <w:szCs w:val="28"/>
          <w:highlight w:val="none"/>
          <w:lang w:val="zh-CN"/>
        </w:rPr>
      </w:pPr>
    </w:p>
    <w:p w14:paraId="5F9BB32C">
      <w:pPr>
        <w:spacing w:line="360" w:lineRule="auto"/>
        <w:rPr>
          <w:rFonts w:ascii="宋体" w:hAnsi="宋体" w:cs="宋体"/>
          <w:b/>
          <w:bCs/>
          <w:color w:val="auto"/>
          <w:kern w:val="44"/>
          <w:sz w:val="28"/>
          <w:szCs w:val="28"/>
          <w:highlight w:val="none"/>
          <w:lang w:val="zh-CN"/>
        </w:rPr>
      </w:pPr>
    </w:p>
    <w:p w14:paraId="22F0B08F">
      <w:pPr>
        <w:spacing w:line="800" w:lineRule="exact"/>
        <w:rPr>
          <w:rFonts w:ascii="宋体" w:hAnsi="宋体" w:cs="宋体"/>
          <w:b/>
          <w:bCs/>
          <w:color w:val="auto"/>
          <w:kern w:val="44"/>
          <w:sz w:val="28"/>
          <w:szCs w:val="28"/>
          <w:highlight w:val="none"/>
          <w:lang w:val="zh-CN"/>
        </w:rPr>
      </w:pPr>
    </w:p>
    <w:p w14:paraId="0A05E8C0">
      <w:pPr>
        <w:spacing w:line="800" w:lineRule="exact"/>
        <w:ind w:left="2681" w:leftChars="-100" w:hanging="2891" w:hangingChars="900"/>
        <w:jc w:val="left"/>
        <w:rPr>
          <w:rFonts w:ascii="宋体" w:hAnsi="宋体" w:cs="宋体"/>
          <w:b/>
          <w:bCs/>
          <w:color w:val="auto"/>
          <w:kern w:val="44"/>
          <w:sz w:val="32"/>
          <w:szCs w:val="32"/>
          <w:highlight w:val="none"/>
          <w:u w:val="single"/>
        </w:rPr>
      </w:pPr>
      <w:r>
        <w:rPr>
          <w:rFonts w:hint="eastAsia" w:ascii="宋体" w:hAnsi="宋体" w:cs="宋体"/>
          <w:b/>
          <w:bCs/>
          <w:color w:val="auto"/>
          <w:kern w:val="44"/>
          <w:sz w:val="32"/>
          <w:szCs w:val="32"/>
          <w:highlight w:val="none"/>
          <w:lang w:val="zh-CN"/>
        </w:rPr>
        <w:t xml:space="preserve">  工程名称：</w:t>
      </w:r>
      <w:r>
        <w:rPr>
          <w:rFonts w:hint="eastAsia" w:ascii="宋体" w:hAnsi="宋体" w:cs="宋体"/>
          <w:b/>
          <w:bCs/>
          <w:color w:val="auto"/>
          <w:kern w:val="44"/>
          <w:sz w:val="30"/>
          <w:szCs w:val="30"/>
          <w:highlight w:val="none"/>
          <w:u w:val="single"/>
          <w:lang w:val="zh-CN" w:eastAsia="zh-CN"/>
        </w:rPr>
        <w:t>生活垃圾中转站建设项目</w:t>
      </w:r>
      <w:r>
        <w:rPr>
          <w:rFonts w:hint="eastAsia" w:ascii="宋体" w:hAnsi="宋体" w:cs="宋体"/>
          <w:b/>
          <w:bCs/>
          <w:color w:val="auto"/>
          <w:kern w:val="44"/>
          <w:sz w:val="30"/>
          <w:szCs w:val="30"/>
          <w:highlight w:val="none"/>
          <w:u w:val="single"/>
          <w:lang w:val="zh-CN"/>
        </w:rPr>
        <w:t xml:space="preserve"> </w:t>
      </w:r>
      <w:r>
        <w:rPr>
          <w:rFonts w:hint="eastAsia" w:ascii="宋体" w:hAnsi="宋体" w:cs="宋体"/>
          <w:b/>
          <w:bCs/>
          <w:color w:val="auto"/>
          <w:kern w:val="44"/>
          <w:sz w:val="32"/>
          <w:szCs w:val="32"/>
          <w:highlight w:val="none"/>
          <w:u w:val="single"/>
        </w:rPr>
        <w:t xml:space="preserve">      </w:t>
      </w:r>
    </w:p>
    <w:p w14:paraId="4AE9F963">
      <w:pPr>
        <w:spacing w:line="800" w:lineRule="exact"/>
        <w:rPr>
          <w:rFonts w:ascii="宋体" w:hAnsi="宋体" w:cs="宋体"/>
          <w:b/>
          <w:bCs/>
          <w:color w:val="auto"/>
          <w:kern w:val="44"/>
          <w:sz w:val="30"/>
          <w:szCs w:val="30"/>
          <w:highlight w:val="none"/>
          <w:u w:val="single"/>
        </w:rPr>
      </w:pPr>
      <w:r>
        <w:rPr>
          <w:rFonts w:hint="eastAsia" w:ascii="宋体" w:hAnsi="宋体" w:cs="宋体"/>
          <w:b/>
          <w:bCs/>
          <w:color w:val="auto"/>
          <w:kern w:val="44"/>
          <w:sz w:val="32"/>
          <w:szCs w:val="32"/>
          <w:highlight w:val="none"/>
          <w:lang w:val="zh-CN"/>
        </w:rPr>
        <w:t xml:space="preserve"> 发包人：</w:t>
      </w:r>
      <w:r>
        <w:rPr>
          <w:rFonts w:hint="eastAsia" w:ascii="宋体" w:hAnsi="宋体" w:cs="宋体"/>
          <w:b/>
          <w:bCs/>
          <w:color w:val="auto"/>
          <w:kern w:val="44"/>
          <w:sz w:val="30"/>
          <w:szCs w:val="30"/>
          <w:highlight w:val="none"/>
          <w:u w:val="single"/>
          <w:lang w:val="zh-CN"/>
        </w:rPr>
        <w:t>灵川县海洋乡人民政府</w:t>
      </w:r>
      <w:r>
        <w:rPr>
          <w:rFonts w:hint="eastAsia" w:ascii="宋体" w:hAnsi="宋体" w:cs="宋体"/>
          <w:b/>
          <w:bCs/>
          <w:color w:val="auto"/>
          <w:kern w:val="44"/>
          <w:sz w:val="30"/>
          <w:szCs w:val="30"/>
          <w:highlight w:val="none"/>
          <w:u w:val="single"/>
        </w:rPr>
        <w:t xml:space="preserve">      </w:t>
      </w:r>
      <w:r>
        <w:rPr>
          <w:rFonts w:hint="eastAsia" w:ascii="宋体" w:hAnsi="宋体" w:cs="宋体"/>
          <w:b/>
          <w:bCs/>
          <w:color w:val="auto"/>
          <w:kern w:val="44"/>
          <w:sz w:val="30"/>
          <w:szCs w:val="30"/>
          <w:highlight w:val="none"/>
          <w:u w:val="single"/>
          <w:lang w:val="en-US" w:eastAsia="zh-CN"/>
        </w:rPr>
        <w:t xml:space="preserve">                </w:t>
      </w:r>
      <w:r>
        <w:rPr>
          <w:rFonts w:hint="eastAsia" w:ascii="宋体" w:hAnsi="宋体" w:cs="宋体"/>
          <w:b/>
          <w:bCs/>
          <w:color w:val="auto"/>
          <w:kern w:val="44"/>
          <w:sz w:val="30"/>
          <w:szCs w:val="30"/>
          <w:highlight w:val="none"/>
          <w:u w:val="single"/>
        </w:rPr>
        <w:t xml:space="preserve">     </w:t>
      </w:r>
    </w:p>
    <w:p w14:paraId="651526B8">
      <w:pPr>
        <w:spacing w:line="800" w:lineRule="exact"/>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lang w:val="zh-CN"/>
        </w:rPr>
        <w:t xml:space="preserve"> 承包人：</w:t>
      </w:r>
      <w:r>
        <w:rPr>
          <w:rFonts w:hint="eastAsia" w:ascii="宋体" w:hAnsi="宋体" w:cs="宋体"/>
          <w:b/>
          <w:bCs/>
          <w:color w:val="auto"/>
          <w:kern w:val="44"/>
          <w:sz w:val="32"/>
          <w:szCs w:val="32"/>
          <w:highlight w:val="none"/>
          <w:u w:val="single"/>
        </w:rPr>
        <w:t xml:space="preserve">                                     </w:t>
      </w:r>
    </w:p>
    <w:p w14:paraId="14E8A663">
      <w:pPr>
        <w:spacing w:line="800" w:lineRule="exact"/>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lang w:val="zh-CN"/>
        </w:rPr>
        <w:t xml:space="preserve"> 签订地点：</w:t>
      </w:r>
      <w:r>
        <w:rPr>
          <w:rFonts w:hint="eastAsia" w:ascii="宋体" w:hAnsi="宋体" w:cs="宋体"/>
          <w:b/>
          <w:bCs/>
          <w:color w:val="auto"/>
          <w:kern w:val="44"/>
          <w:sz w:val="32"/>
          <w:szCs w:val="32"/>
          <w:highlight w:val="none"/>
          <w:u w:val="single"/>
        </w:rPr>
        <w:t xml:space="preserve">            </w:t>
      </w:r>
      <w:r>
        <w:rPr>
          <w:rFonts w:hint="eastAsia" w:ascii="宋体" w:hAnsi="宋体" w:cs="宋体"/>
          <w:b/>
          <w:bCs/>
          <w:color w:val="auto"/>
          <w:kern w:val="44"/>
          <w:sz w:val="32"/>
          <w:szCs w:val="32"/>
          <w:highlight w:val="none"/>
          <w:u w:val="single"/>
          <w:lang w:eastAsia="zh-CN"/>
        </w:rPr>
        <w:t>桂林市</w:t>
      </w:r>
      <w:r>
        <w:rPr>
          <w:rFonts w:hint="eastAsia" w:ascii="宋体" w:hAnsi="宋体" w:cs="宋体"/>
          <w:b/>
          <w:bCs/>
          <w:color w:val="auto"/>
          <w:kern w:val="44"/>
          <w:sz w:val="32"/>
          <w:szCs w:val="32"/>
          <w:highlight w:val="none"/>
          <w:u w:val="single"/>
        </w:rPr>
        <w:t xml:space="preserve">               </w:t>
      </w:r>
    </w:p>
    <w:p w14:paraId="72ABBA54">
      <w:pPr>
        <w:spacing w:line="360" w:lineRule="auto"/>
        <w:jc w:val="center"/>
        <w:rPr>
          <w:rFonts w:hint="eastAsia" w:ascii="宋体" w:hAnsi="宋体" w:cs="宋体"/>
          <w:b/>
          <w:bCs/>
          <w:color w:val="auto"/>
          <w:kern w:val="44"/>
          <w:sz w:val="32"/>
          <w:szCs w:val="32"/>
          <w:highlight w:val="none"/>
          <w:lang w:val="zh-CN"/>
        </w:rPr>
      </w:pPr>
    </w:p>
    <w:p w14:paraId="6A48E030">
      <w:pPr>
        <w:spacing w:line="360" w:lineRule="auto"/>
        <w:jc w:val="center"/>
        <w:rPr>
          <w:rFonts w:hint="eastAsia" w:ascii="宋体" w:hAnsi="宋体" w:cs="宋体"/>
          <w:b/>
          <w:bCs/>
          <w:color w:val="auto"/>
          <w:kern w:val="44"/>
          <w:sz w:val="32"/>
          <w:szCs w:val="32"/>
          <w:highlight w:val="none"/>
          <w:lang w:val="zh-CN"/>
        </w:rPr>
      </w:pPr>
    </w:p>
    <w:p w14:paraId="51D8215C">
      <w:pPr>
        <w:spacing w:line="360" w:lineRule="auto"/>
        <w:jc w:val="center"/>
        <w:rPr>
          <w:rFonts w:ascii="宋体" w:hAnsi="宋体" w:cs="宋体"/>
          <w:color w:val="auto"/>
          <w:kern w:val="0"/>
          <w:sz w:val="32"/>
          <w:szCs w:val="32"/>
          <w:highlight w:val="none"/>
        </w:rPr>
      </w:pPr>
      <w:r>
        <w:rPr>
          <w:rFonts w:hint="eastAsia" w:ascii="宋体" w:hAnsi="宋体" w:cs="宋体"/>
          <w:b/>
          <w:bCs/>
          <w:color w:val="auto"/>
          <w:kern w:val="44"/>
          <w:sz w:val="32"/>
          <w:szCs w:val="32"/>
          <w:highlight w:val="none"/>
          <w:lang w:val="zh-CN"/>
        </w:rPr>
        <w:t>签订时间：</w:t>
      </w:r>
      <w:r>
        <w:rPr>
          <w:rFonts w:hint="eastAsia" w:ascii="宋体" w:hAnsi="宋体" w:cs="宋体"/>
          <w:b/>
          <w:bCs/>
          <w:color w:val="auto"/>
          <w:kern w:val="44"/>
          <w:sz w:val="32"/>
          <w:szCs w:val="32"/>
          <w:highlight w:val="none"/>
        </w:rPr>
        <w:t>202  年  月  日</w:t>
      </w:r>
    </w:p>
    <w:p w14:paraId="4FDDD6D1">
      <w:pPr>
        <w:keepNext/>
        <w:keepLines/>
        <w:spacing w:line="360" w:lineRule="auto"/>
        <w:jc w:val="center"/>
        <w:rPr>
          <w:rFonts w:ascii="宋体" w:hAnsi="宋体" w:cs="宋体"/>
          <w:b/>
          <w:bCs/>
          <w:color w:val="auto"/>
          <w:kern w:val="44"/>
          <w:sz w:val="32"/>
          <w:szCs w:val="32"/>
          <w:highlight w:val="none"/>
          <w:lang w:val="zh-CN"/>
        </w:rPr>
        <w:sectPr>
          <w:headerReference r:id="rId14" w:type="default"/>
          <w:footerReference r:id="rId15" w:type="default"/>
          <w:pgSz w:w="11906" w:h="16838"/>
          <w:pgMar w:top="1417" w:right="1417" w:bottom="1417" w:left="1417" w:header="851" w:footer="992" w:gutter="0"/>
          <w:cols w:space="720" w:num="1"/>
          <w:docGrid w:type="lines" w:linePitch="312" w:charSpace="0"/>
        </w:sectPr>
      </w:pPr>
    </w:p>
    <w:p w14:paraId="677A91DD">
      <w:pPr>
        <w:spacing w:line="360" w:lineRule="auto"/>
        <w:jc w:val="center"/>
        <w:rPr>
          <w:rFonts w:hAnsi="宋体" w:cs="宋体"/>
          <w:b/>
          <w:bCs/>
          <w:color w:val="auto"/>
          <w:sz w:val="36"/>
          <w:szCs w:val="44"/>
          <w:highlight w:val="none"/>
        </w:rPr>
      </w:pPr>
      <w:bookmarkStart w:id="169" w:name="_Toc78449777"/>
      <w:bookmarkStart w:id="170" w:name="_Toc351203480"/>
      <w:bookmarkStart w:id="171" w:name="_Toc296890982"/>
      <w:bookmarkStart w:id="172" w:name="_Toc389065255"/>
      <w:bookmarkStart w:id="173" w:name="_Toc1756478213"/>
      <w:bookmarkStart w:id="174" w:name="_Toc407135191"/>
      <w:bookmarkStart w:id="175" w:name="_Toc373478199"/>
      <w:bookmarkStart w:id="176" w:name="_Toc724920571"/>
      <w:bookmarkStart w:id="177" w:name="_Toc373227552"/>
      <w:bookmarkStart w:id="178" w:name="_Toc16707"/>
      <w:bookmarkStart w:id="179" w:name="_Toc296503025"/>
      <w:bookmarkStart w:id="180" w:name="_Toc27919"/>
      <w:r>
        <w:rPr>
          <w:rFonts w:hint="eastAsia" w:cs="黑体"/>
          <w:b/>
          <w:bCs/>
          <w:color w:val="auto"/>
          <w:sz w:val="36"/>
          <w:szCs w:val="44"/>
          <w:highlight w:val="none"/>
        </w:rPr>
        <w:t>第一部分</w:t>
      </w:r>
      <w:r>
        <w:rPr>
          <w:rFonts w:hint="eastAsia" w:cs="黑体"/>
          <w:b/>
          <w:bCs/>
          <w:color w:val="auto"/>
          <w:sz w:val="36"/>
          <w:szCs w:val="44"/>
          <w:highlight w:val="none"/>
          <w:lang w:val="en-US" w:eastAsia="zh-CN"/>
        </w:rPr>
        <w:t xml:space="preserve">  </w:t>
      </w:r>
      <w:r>
        <w:rPr>
          <w:rFonts w:hint="eastAsia" w:cs="黑体"/>
          <w:b/>
          <w:bCs/>
          <w:color w:val="auto"/>
          <w:sz w:val="36"/>
          <w:szCs w:val="44"/>
          <w:highlight w:val="none"/>
        </w:rPr>
        <w:t>合同协议书</w:t>
      </w:r>
      <w:bookmarkEnd w:id="169"/>
      <w:bookmarkEnd w:id="170"/>
      <w:bookmarkEnd w:id="171"/>
      <w:bookmarkEnd w:id="172"/>
      <w:bookmarkEnd w:id="173"/>
      <w:bookmarkEnd w:id="174"/>
      <w:bookmarkEnd w:id="175"/>
      <w:bookmarkEnd w:id="176"/>
      <w:bookmarkEnd w:id="177"/>
      <w:bookmarkEnd w:id="178"/>
      <w:bookmarkEnd w:id="179"/>
      <w:bookmarkEnd w:id="180"/>
    </w:p>
    <w:p w14:paraId="5781D06B">
      <w:pPr>
        <w:ind w:firstLine="420"/>
        <w:rPr>
          <w:color w:val="auto"/>
          <w:szCs w:val="20"/>
          <w:highlight w:val="none"/>
        </w:rPr>
      </w:pPr>
    </w:p>
    <w:p w14:paraId="0352D857">
      <w:pPr>
        <w:pStyle w:val="75"/>
        <w:spacing w:line="360" w:lineRule="auto"/>
        <w:rPr>
          <w:rFonts w:hint="eastAsia" w:eastAsia="宋体"/>
          <w:color w:val="000000"/>
          <w:szCs w:val="21"/>
          <w:u w:val="single"/>
          <w:lang w:eastAsia="zh-CN"/>
        </w:rPr>
      </w:pPr>
      <w:r>
        <w:rPr>
          <w:rFonts w:hint="eastAsia" w:hAnsi="宋体"/>
          <w:color w:val="000000"/>
          <w:szCs w:val="21"/>
        </w:rPr>
        <w:t>发包人（全称）：</w:t>
      </w:r>
      <w:r>
        <w:rPr>
          <w:rFonts w:hint="eastAsia" w:hAnsi="宋体"/>
          <w:color w:val="000000"/>
          <w:szCs w:val="21"/>
          <w:u w:val="single"/>
          <w:lang w:eastAsia="zh-CN"/>
        </w:rPr>
        <w:t>灵川县海洋乡人民政府</w:t>
      </w:r>
    </w:p>
    <w:p w14:paraId="76978BD2">
      <w:pPr>
        <w:pStyle w:val="75"/>
        <w:spacing w:line="360" w:lineRule="auto"/>
        <w:rPr>
          <w:color w:val="000000"/>
          <w:szCs w:val="21"/>
          <w:u w:val="single"/>
        </w:rPr>
      </w:pPr>
      <w:r>
        <w:rPr>
          <w:rFonts w:hint="eastAsia" w:hAnsi="宋体"/>
          <w:color w:val="000000"/>
          <w:szCs w:val="21"/>
        </w:rPr>
        <w:t>承包人（全称）：</w:t>
      </w:r>
      <w:r>
        <w:rPr>
          <w:rFonts w:hint="eastAsia" w:hAnsi="宋体"/>
          <w:color w:val="000000"/>
          <w:szCs w:val="21"/>
          <w:u w:val="single"/>
        </w:rPr>
        <w:t></w:t>
      </w:r>
      <w:r>
        <w:rPr>
          <w:rFonts w:hAnsi="宋体"/>
          <w:color w:val="000000"/>
          <w:szCs w:val="21"/>
          <w:u w:val="single"/>
        </w:rPr>
        <w:t xml:space="preserve">           </w:t>
      </w:r>
    </w:p>
    <w:p w14:paraId="36AC12D1">
      <w:pPr>
        <w:pStyle w:val="75"/>
        <w:spacing w:line="360" w:lineRule="auto"/>
        <w:ind w:firstLine="420" w:firstLineChars="200"/>
        <w:rPr>
          <w:rFonts w:hAnsi="宋体"/>
          <w:color w:val="000000"/>
          <w:szCs w:val="21"/>
        </w:rPr>
      </w:pPr>
      <w:r>
        <w:rPr>
          <w:rFonts w:hint="eastAsia" w:hAnsi="宋体"/>
          <w:color w:val="000000"/>
          <w:szCs w:val="21"/>
        </w:rPr>
        <w:t>根据《中华人民共和国民法典》、《中华人民共和国建筑法》及有关法律规定，遵循平等、自愿、公平和诚实信用的原则，双方就</w:t>
      </w:r>
      <w:r>
        <w:rPr>
          <w:rFonts w:hint="eastAsia"/>
          <w:b/>
          <w:bCs/>
          <w:color w:val="000000"/>
          <w:szCs w:val="21"/>
          <w:u w:val="single"/>
          <w:lang w:eastAsia="zh-CN"/>
        </w:rPr>
        <w:t>生活垃圾中转站建设项目</w:t>
      </w:r>
      <w:r>
        <w:rPr>
          <w:rFonts w:hint="eastAsia" w:hAnsi="宋体"/>
          <w:color w:val="000000"/>
          <w:szCs w:val="21"/>
        </w:rPr>
        <w:t>施工及有关事项协商一致，共同达成如下协议：</w:t>
      </w:r>
      <w:bookmarkStart w:id="181" w:name="_Toc351203481"/>
    </w:p>
    <w:p w14:paraId="324F71D7">
      <w:pPr>
        <w:pStyle w:val="75"/>
        <w:spacing w:line="360" w:lineRule="auto"/>
        <w:ind w:firstLine="422" w:firstLineChars="200"/>
        <w:outlineLvl w:val="2"/>
        <w:rPr>
          <w:b/>
          <w:bCs/>
          <w:color w:val="000000"/>
          <w:szCs w:val="21"/>
        </w:rPr>
      </w:pPr>
      <w:r>
        <w:rPr>
          <w:rFonts w:hint="eastAsia" w:hAnsi="宋体"/>
          <w:b/>
          <w:bCs/>
          <w:color w:val="000000"/>
          <w:szCs w:val="21"/>
        </w:rPr>
        <w:t>一、工程概况</w:t>
      </w:r>
      <w:bookmarkEnd w:id="181"/>
    </w:p>
    <w:p w14:paraId="42D353EB">
      <w:pPr>
        <w:pStyle w:val="75"/>
        <w:spacing w:line="360" w:lineRule="auto"/>
        <w:ind w:firstLine="411" w:firstLineChars="196"/>
        <w:rPr>
          <w:rFonts w:hint="eastAsia" w:hAnsi="宋体"/>
          <w:color w:val="000000"/>
          <w:szCs w:val="21"/>
        </w:rPr>
      </w:pPr>
      <w:r>
        <w:rPr>
          <w:bCs/>
          <w:color w:val="000000"/>
          <w:szCs w:val="21"/>
        </w:rPr>
        <w:t>1.</w:t>
      </w:r>
      <w:r>
        <w:rPr>
          <w:rFonts w:hint="eastAsia" w:hAnsi="宋体"/>
          <w:bCs/>
          <w:color w:val="000000"/>
          <w:szCs w:val="21"/>
        </w:rPr>
        <w:t>工程名称</w:t>
      </w:r>
      <w:r>
        <w:rPr>
          <w:rFonts w:hint="eastAsia" w:hAnsi="宋体"/>
          <w:color w:val="000000"/>
          <w:szCs w:val="21"/>
        </w:rPr>
        <w:t>：</w:t>
      </w:r>
      <w:r>
        <w:rPr>
          <w:rFonts w:hint="eastAsia"/>
          <w:color w:val="000000"/>
          <w:u w:val="single"/>
          <w:lang w:eastAsia="zh-CN"/>
        </w:rPr>
        <w:t>生活垃圾中转站建设项目</w:t>
      </w:r>
      <w:r>
        <w:rPr>
          <w:color w:val="000000"/>
          <w:szCs w:val="21"/>
          <w:u w:val="single"/>
        </w:rPr>
        <w:t xml:space="preserve"> </w:t>
      </w:r>
      <w:r>
        <w:rPr>
          <w:rFonts w:hint="eastAsia" w:hAnsi="宋体"/>
          <w:color w:val="000000"/>
          <w:szCs w:val="21"/>
        </w:rPr>
        <w:t>。</w:t>
      </w:r>
    </w:p>
    <w:p w14:paraId="6F3EA0BA">
      <w:pPr>
        <w:pStyle w:val="75"/>
        <w:spacing w:line="360" w:lineRule="auto"/>
        <w:ind w:firstLine="411" w:firstLineChars="196"/>
        <w:rPr>
          <w:color w:val="000000"/>
          <w:szCs w:val="21"/>
          <w:u w:val="single"/>
        </w:rPr>
      </w:pPr>
      <w:r>
        <w:rPr>
          <w:bCs/>
          <w:color w:val="000000"/>
          <w:szCs w:val="21"/>
        </w:rPr>
        <w:t>2.</w:t>
      </w:r>
      <w:r>
        <w:rPr>
          <w:rFonts w:hint="eastAsia" w:hAnsi="宋体"/>
          <w:bCs/>
          <w:color w:val="000000"/>
          <w:szCs w:val="21"/>
        </w:rPr>
        <w:t>工程地点：</w:t>
      </w:r>
      <w:r>
        <w:rPr>
          <w:rFonts w:hint="eastAsia" w:ascii="宋体" w:hAnsi="宋体" w:eastAsia="宋体" w:cs="宋体"/>
          <w:color w:val="auto"/>
          <w:szCs w:val="21"/>
          <w:highlight w:val="none"/>
          <w:lang w:val="en-US" w:eastAsia="zh-CN"/>
        </w:rPr>
        <w:t>广西桂林市</w:t>
      </w:r>
      <w:r>
        <w:rPr>
          <w:rFonts w:hint="eastAsia"/>
          <w:color w:val="auto"/>
          <w:highlight w:val="none"/>
          <w:lang w:val="en-US" w:eastAsia="zh-CN"/>
        </w:rPr>
        <w:t>灵川县海洋乡</w:t>
      </w:r>
      <w:r>
        <w:rPr>
          <w:rFonts w:hint="eastAsia" w:ascii="宋体" w:hAnsi="宋体" w:cs="宋体"/>
          <w:kern w:val="0"/>
          <w:sz w:val="24"/>
        </w:rPr>
        <w:t xml:space="preserve"> </w:t>
      </w:r>
    </w:p>
    <w:p w14:paraId="666A13BB">
      <w:pPr>
        <w:pStyle w:val="75"/>
        <w:spacing w:line="360" w:lineRule="auto"/>
        <w:ind w:firstLine="411" w:firstLineChars="196"/>
        <w:rPr>
          <w:bCs/>
          <w:color w:val="000000"/>
          <w:szCs w:val="21"/>
        </w:rPr>
      </w:pPr>
      <w:r>
        <w:rPr>
          <w:bCs/>
          <w:color w:val="000000"/>
          <w:szCs w:val="21"/>
        </w:rPr>
        <w:t>3.</w:t>
      </w:r>
      <w:r>
        <w:rPr>
          <w:rFonts w:hint="eastAsia" w:hAnsi="宋体"/>
          <w:bCs/>
          <w:color w:val="000000"/>
          <w:szCs w:val="21"/>
        </w:rPr>
        <w:t>工程立项批准文号：</w:t>
      </w:r>
      <w:r>
        <w:rPr>
          <w:rFonts w:hint="eastAsia"/>
          <w:color w:val="000000"/>
          <w:u w:val="single"/>
          <w:lang w:val="en-US" w:eastAsia="zh-CN"/>
        </w:rPr>
        <w:t xml:space="preserve">             </w:t>
      </w:r>
      <w:r>
        <w:rPr>
          <w:rFonts w:hint="eastAsia" w:hAnsi="宋体"/>
          <w:bCs/>
          <w:color w:val="000000"/>
          <w:szCs w:val="21"/>
        </w:rPr>
        <w:t>。</w:t>
      </w:r>
    </w:p>
    <w:p w14:paraId="693F58EF">
      <w:pPr>
        <w:pStyle w:val="75"/>
        <w:spacing w:line="360" w:lineRule="auto"/>
        <w:ind w:firstLine="411" w:firstLineChars="196"/>
        <w:rPr>
          <w:bCs/>
          <w:color w:val="000000"/>
          <w:szCs w:val="21"/>
        </w:rPr>
      </w:pPr>
      <w:r>
        <w:rPr>
          <w:bCs/>
          <w:color w:val="000000"/>
          <w:szCs w:val="21"/>
        </w:rPr>
        <w:t>4.</w:t>
      </w:r>
      <w:r>
        <w:rPr>
          <w:rFonts w:hint="eastAsia" w:hAnsi="宋体"/>
          <w:bCs/>
          <w:color w:val="000000"/>
          <w:szCs w:val="21"/>
        </w:rPr>
        <w:t>资金来源：</w:t>
      </w:r>
      <w:r>
        <w:rPr>
          <w:rFonts w:hint="eastAsia" w:hAnsi="宋体"/>
          <w:color w:val="000000"/>
          <w:szCs w:val="21"/>
          <w:u w:val="single"/>
        </w:rPr>
        <w:t>财政资金</w:t>
      </w:r>
      <w:r>
        <w:rPr>
          <w:rFonts w:hAnsi="宋体"/>
          <w:color w:val="000000"/>
          <w:szCs w:val="21"/>
          <w:u w:val="single"/>
        </w:rPr>
        <w:t xml:space="preserve"> </w:t>
      </w:r>
      <w:r>
        <w:rPr>
          <w:color w:val="000000"/>
          <w:szCs w:val="21"/>
          <w:u w:val="single"/>
        </w:rPr>
        <w:t xml:space="preserve"> </w:t>
      </w:r>
      <w:r>
        <w:rPr>
          <w:rFonts w:hint="eastAsia" w:hAnsi="宋体"/>
          <w:bCs/>
          <w:color w:val="000000"/>
          <w:szCs w:val="21"/>
        </w:rPr>
        <w:t>。</w:t>
      </w:r>
    </w:p>
    <w:p w14:paraId="51E4ABAD">
      <w:pPr>
        <w:pStyle w:val="75"/>
        <w:spacing w:line="360" w:lineRule="auto"/>
        <w:ind w:firstLine="411" w:firstLineChars="196"/>
        <w:rPr>
          <w:bCs/>
          <w:color w:val="000000"/>
          <w:szCs w:val="21"/>
        </w:rPr>
      </w:pPr>
      <w:r>
        <w:rPr>
          <w:bCs/>
          <w:color w:val="000000"/>
          <w:szCs w:val="21"/>
        </w:rPr>
        <w:t>5.</w:t>
      </w:r>
      <w:r>
        <w:rPr>
          <w:rFonts w:hint="eastAsia" w:hAnsi="宋体"/>
          <w:bCs/>
          <w:color w:val="000000"/>
          <w:szCs w:val="21"/>
        </w:rPr>
        <w:t>工程内容：</w:t>
      </w:r>
      <w:bookmarkStart w:id="182" w:name="OLE_LINK14"/>
      <w:r>
        <w:rPr>
          <w:rFonts w:hint="eastAsia"/>
          <w:color w:val="auto"/>
          <w:highlight w:val="none"/>
          <w:lang w:val="en-US" w:eastAsia="zh-CN"/>
        </w:rPr>
        <w:t>本工程为灵川县海洋乡生活垃圾中转站建设项目，位于广西桂林市灵川县海洋乡，工程包含建筑、安装等工程（具体以施工图纸和工程量清单内容为准）。</w:t>
      </w:r>
      <w:bookmarkEnd w:id="182"/>
    </w:p>
    <w:p w14:paraId="17C90C8C">
      <w:pPr>
        <w:pStyle w:val="75"/>
        <w:spacing w:line="360" w:lineRule="auto"/>
        <w:ind w:firstLine="411" w:firstLineChars="196"/>
        <w:rPr>
          <w:rFonts w:hAnsi="宋体"/>
          <w:color w:val="000000"/>
          <w:szCs w:val="21"/>
        </w:rPr>
      </w:pPr>
      <w:r>
        <w:rPr>
          <w:bCs/>
          <w:color w:val="000000"/>
          <w:szCs w:val="21"/>
        </w:rPr>
        <w:t xml:space="preserve">6. </w:t>
      </w:r>
      <w:r>
        <w:rPr>
          <w:rFonts w:hint="eastAsia" w:hAnsi="宋体"/>
          <w:bCs/>
          <w:color w:val="000000"/>
          <w:szCs w:val="21"/>
        </w:rPr>
        <w:t>工程承包范围：</w:t>
      </w:r>
      <w:r>
        <w:rPr>
          <w:rFonts w:hint="eastAsia" w:ascii="宋体" w:hAnsi="宋体" w:cs="宋体"/>
          <w:color w:val="auto"/>
          <w:szCs w:val="21"/>
          <w:highlight w:val="none"/>
          <w:u w:val="single"/>
          <w:lang w:val="en-US" w:eastAsia="zh-CN"/>
        </w:rPr>
        <w:t>施工图纸和工程量清单</w:t>
      </w:r>
      <w:r>
        <w:rPr>
          <w:rFonts w:hint="eastAsia"/>
          <w:color w:val="000000"/>
          <w:u w:val="single"/>
        </w:rPr>
        <w:t>的全部内容</w:t>
      </w:r>
      <w:r>
        <w:rPr>
          <w:color w:val="000000"/>
          <w:szCs w:val="21"/>
          <w:u w:val="single"/>
        </w:rPr>
        <w:t xml:space="preserve"> </w:t>
      </w:r>
      <w:r>
        <w:rPr>
          <w:rFonts w:hint="eastAsia" w:hAnsi="宋体"/>
          <w:color w:val="000000"/>
          <w:szCs w:val="21"/>
        </w:rPr>
        <w:t>。</w:t>
      </w:r>
    </w:p>
    <w:p w14:paraId="26156E83">
      <w:pPr>
        <w:pStyle w:val="75"/>
        <w:spacing w:line="360" w:lineRule="auto"/>
        <w:ind w:firstLine="407" w:firstLineChars="193"/>
        <w:outlineLvl w:val="2"/>
        <w:rPr>
          <w:b/>
          <w:bCs/>
          <w:color w:val="000000"/>
          <w:szCs w:val="21"/>
        </w:rPr>
      </w:pPr>
      <w:bookmarkStart w:id="183" w:name="_Toc351203482"/>
      <w:r>
        <w:rPr>
          <w:rFonts w:hint="eastAsia" w:hAnsi="宋体"/>
          <w:b/>
          <w:bCs/>
          <w:color w:val="000000"/>
          <w:szCs w:val="21"/>
        </w:rPr>
        <w:t>二、合同工期</w:t>
      </w:r>
      <w:bookmarkEnd w:id="183"/>
    </w:p>
    <w:p w14:paraId="76A2CB81">
      <w:pPr>
        <w:pStyle w:val="75"/>
        <w:spacing w:line="360" w:lineRule="auto"/>
        <w:ind w:firstLine="459"/>
        <w:rPr>
          <w:color w:val="000000"/>
          <w:szCs w:val="21"/>
        </w:rPr>
      </w:pPr>
      <w:r>
        <w:rPr>
          <w:rFonts w:hint="eastAsia" w:hAnsi="宋体"/>
          <w:color w:val="000000"/>
          <w:szCs w:val="21"/>
        </w:rPr>
        <w:t>计划开工日期：</w:t>
      </w:r>
      <w:r>
        <w:rPr>
          <w:rFonts w:hint="eastAsia" w:hAnsi="宋体"/>
          <w:color w:val="000000"/>
          <w:szCs w:val="21"/>
          <w:u w:val="single"/>
        </w:rPr>
        <w:t></w:t>
      </w:r>
      <w:r>
        <w:rPr>
          <w:rFonts w:hint="eastAsia" w:hAnsi="宋体"/>
          <w:color w:val="000000"/>
          <w:szCs w:val="21"/>
          <w:u w:val="single"/>
          <w:lang w:eastAsia="zh-CN"/>
        </w:rPr>
        <w:t>2025</w:t>
      </w:r>
      <w:r>
        <w:rPr>
          <w:rFonts w:hint="eastAsia" w:hAnsi="宋体"/>
          <w:color w:val="000000"/>
          <w:szCs w:val="21"/>
          <w:u w:val="single"/>
        </w:rPr>
        <w:t></w:t>
      </w:r>
      <w:r>
        <w:rPr>
          <w:rFonts w:hint="eastAsia" w:hAnsi="宋体"/>
          <w:color w:val="000000"/>
          <w:szCs w:val="21"/>
        </w:rPr>
        <w:t>年</w:t>
      </w:r>
      <w:r>
        <w:rPr>
          <w:rFonts w:hint="eastAsia" w:hAnsi="宋体"/>
          <w:color w:val="000000"/>
          <w:szCs w:val="21"/>
          <w:u w:val="single"/>
        </w:rPr>
        <w:t></w:t>
      </w:r>
      <w:r>
        <w:rPr>
          <w:rFonts w:hAnsi="宋体"/>
          <w:color w:val="000000"/>
          <w:szCs w:val="21"/>
          <w:u w:val="single"/>
        </w:rPr>
        <w:t xml:space="preserve"> </w:t>
      </w:r>
      <w:r>
        <w:rPr>
          <w:rFonts w:hint="eastAsia" w:hAnsi="宋体"/>
          <w:color w:val="000000"/>
          <w:szCs w:val="21"/>
          <w:u w:val="single"/>
        </w:rPr>
        <w:t></w:t>
      </w:r>
      <w:r>
        <w:rPr>
          <w:rFonts w:hint="eastAsia" w:hAnsi="宋体"/>
          <w:color w:val="000000"/>
          <w:szCs w:val="21"/>
        </w:rPr>
        <w:t>月</w:t>
      </w:r>
      <w:r>
        <w:rPr>
          <w:rFonts w:hint="eastAsia" w:hAnsi="宋体"/>
          <w:color w:val="000000"/>
          <w:szCs w:val="21"/>
          <w:u w:val="single"/>
        </w:rPr>
        <w:t></w:t>
      </w:r>
      <w:r>
        <w:rPr>
          <w:rFonts w:hAnsi="宋体"/>
          <w:color w:val="000000"/>
          <w:szCs w:val="21"/>
          <w:u w:val="single"/>
        </w:rPr>
        <w:t xml:space="preserve"> </w:t>
      </w:r>
      <w:r>
        <w:rPr>
          <w:rFonts w:hint="eastAsia" w:hAnsi="宋体"/>
          <w:color w:val="000000"/>
          <w:szCs w:val="21"/>
          <w:u w:val="single"/>
        </w:rPr>
        <w:t></w:t>
      </w:r>
      <w:r>
        <w:rPr>
          <w:rFonts w:hint="eastAsia" w:hAnsi="宋体"/>
          <w:color w:val="000000"/>
          <w:szCs w:val="21"/>
        </w:rPr>
        <w:t>日。（具体以发包人书面通知为准）</w:t>
      </w:r>
    </w:p>
    <w:p w14:paraId="2E8A7965">
      <w:pPr>
        <w:pStyle w:val="75"/>
        <w:spacing w:line="360" w:lineRule="auto"/>
        <w:ind w:firstLine="459"/>
        <w:rPr>
          <w:color w:val="000000"/>
          <w:szCs w:val="21"/>
        </w:rPr>
      </w:pPr>
      <w:r>
        <w:rPr>
          <w:rFonts w:hint="eastAsia" w:hAnsi="宋体"/>
          <w:color w:val="000000"/>
          <w:szCs w:val="21"/>
        </w:rPr>
        <w:t>计划竣工日期：</w:t>
      </w:r>
      <w:r>
        <w:rPr>
          <w:rFonts w:hint="eastAsia" w:hAnsi="宋体"/>
          <w:color w:val="000000"/>
          <w:szCs w:val="21"/>
          <w:u w:val="single"/>
        </w:rPr>
        <w:t></w:t>
      </w:r>
      <w:r>
        <w:rPr>
          <w:rFonts w:hint="eastAsia" w:hAnsi="宋体"/>
          <w:color w:val="000000"/>
          <w:szCs w:val="21"/>
          <w:u w:val="single"/>
          <w:lang w:eastAsia="zh-CN"/>
        </w:rPr>
        <w:t>2025</w:t>
      </w:r>
      <w:r>
        <w:rPr>
          <w:rFonts w:hint="eastAsia" w:hAnsi="宋体"/>
          <w:color w:val="000000"/>
          <w:szCs w:val="21"/>
          <w:u w:val="single"/>
        </w:rPr>
        <w:t></w:t>
      </w:r>
      <w:r>
        <w:rPr>
          <w:rFonts w:hint="eastAsia" w:hAnsi="宋体"/>
          <w:color w:val="000000"/>
          <w:szCs w:val="21"/>
        </w:rPr>
        <w:t>年</w:t>
      </w:r>
      <w:r>
        <w:rPr>
          <w:rFonts w:hAnsi="宋体"/>
          <w:color w:val="000000"/>
          <w:szCs w:val="21"/>
          <w:u w:val="single"/>
        </w:rPr>
        <w:t xml:space="preserve">  </w:t>
      </w:r>
      <w:r>
        <w:rPr>
          <w:rFonts w:hint="eastAsia" w:hAnsi="宋体"/>
          <w:color w:val="000000"/>
          <w:szCs w:val="21"/>
        </w:rPr>
        <w:t>月</w:t>
      </w:r>
      <w:r>
        <w:rPr>
          <w:rFonts w:hAnsi="宋体"/>
          <w:color w:val="000000"/>
          <w:szCs w:val="21"/>
          <w:u w:val="single"/>
        </w:rPr>
        <w:t xml:space="preserve">   </w:t>
      </w:r>
      <w:r>
        <w:rPr>
          <w:rFonts w:hint="eastAsia" w:hAnsi="宋体"/>
          <w:color w:val="000000"/>
          <w:szCs w:val="21"/>
        </w:rPr>
        <w:t>日。</w:t>
      </w:r>
    </w:p>
    <w:p w14:paraId="148DF3A6">
      <w:pPr>
        <w:pStyle w:val="75"/>
        <w:spacing w:line="360" w:lineRule="auto"/>
        <w:ind w:firstLine="459"/>
        <w:rPr>
          <w:rFonts w:hAnsi="宋体"/>
          <w:color w:val="000000"/>
          <w:szCs w:val="21"/>
        </w:rPr>
      </w:pPr>
      <w:r>
        <w:rPr>
          <w:rFonts w:hint="eastAsia" w:hAnsi="宋体"/>
          <w:color w:val="000000"/>
          <w:szCs w:val="21"/>
        </w:rPr>
        <w:t>工期总日历天数：</w:t>
      </w:r>
      <w:r>
        <w:rPr>
          <w:rFonts w:hint="eastAsia" w:hAnsi="宋体"/>
          <w:color w:val="000000"/>
          <w:szCs w:val="21"/>
          <w:u w:val="single"/>
          <w:lang w:val="en-US" w:eastAsia="zh-CN"/>
        </w:rPr>
        <w:t xml:space="preserve">        </w:t>
      </w:r>
      <w:r>
        <w:rPr>
          <w:rFonts w:hint="eastAsia" w:hAnsi="宋体"/>
          <w:color w:val="000000"/>
          <w:szCs w:val="21"/>
        </w:rPr>
        <w:t>天。工期总日历天数与根据前述计划开竣工日期计算的工期天数不一致的，以工期总日历天数为准。</w:t>
      </w:r>
    </w:p>
    <w:p w14:paraId="704D847A">
      <w:pPr>
        <w:pStyle w:val="75"/>
        <w:spacing w:line="360" w:lineRule="auto"/>
        <w:ind w:firstLine="459"/>
        <w:outlineLvl w:val="2"/>
        <w:rPr>
          <w:b/>
          <w:bCs/>
          <w:color w:val="000000"/>
          <w:szCs w:val="21"/>
        </w:rPr>
      </w:pPr>
      <w:bookmarkStart w:id="184" w:name="_Toc351203483"/>
      <w:r>
        <w:rPr>
          <w:rFonts w:hint="eastAsia" w:hAnsi="宋体"/>
          <w:b/>
          <w:bCs/>
          <w:color w:val="000000"/>
          <w:szCs w:val="21"/>
        </w:rPr>
        <w:t>三、质量标准</w:t>
      </w:r>
      <w:bookmarkEnd w:id="184"/>
    </w:p>
    <w:p w14:paraId="0340C595">
      <w:pPr>
        <w:pStyle w:val="75"/>
        <w:spacing w:line="360" w:lineRule="auto"/>
        <w:ind w:firstLine="459"/>
        <w:rPr>
          <w:rFonts w:hAnsi="宋体"/>
          <w:color w:val="000000"/>
          <w:szCs w:val="21"/>
        </w:rPr>
      </w:pPr>
      <w:r>
        <w:rPr>
          <w:rFonts w:hint="eastAsia" w:hAnsi="宋体"/>
          <w:color w:val="000000"/>
          <w:szCs w:val="21"/>
        </w:rPr>
        <w:t>工程质量符合</w:t>
      </w:r>
      <w:r>
        <w:rPr>
          <w:rFonts w:hint="eastAsia" w:ascii="宋体" w:hAnsi="宋体" w:cs="宋体"/>
          <w:color w:val="000000"/>
          <w:u w:val="single"/>
        </w:rPr>
        <w:t>现行国家相关专业施工验收规范合格</w:t>
      </w:r>
      <w:r>
        <w:rPr>
          <w:rFonts w:hint="eastAsia" w:hAnsi="宋体"/>
          <w:color w:val="000000"/>
          <w:szCs w:val="21"/>
        </w:rPr>
        <w:t>标准。</w:t>
      </w:r>
    </w:p>
    <w:p w14:paraId="0D387987">
      <w:pPr>
        <w:pStyle w:val="75"/>
        <w:spacing w:line="360" w:lineRule="auto"/>
        <w:ind w:firstLine="459"/>
        <w:outlineLvl w:val="2"/>
        <w:rPr>
          <w:rFonts w:hAnsi="宋体"/>
          <w:b/>
          <w:bCs/>
          <w:color w:val="000000"/>
          <w:szCs w:val="21"/>
        </w:rPr>
      </w:pPr>
      <w:bookmarkStart w:id="185" w:name="_Toc351203484"/>
      <w:r>
        <w:rPr>
          <w:rFonts w:hint="eastAsia" w:hAnsi="宋体"/>
          <w:b/>
          <w:bCs/>
          <w:color w:val="000000"/>
          <w:szCs w:val="21"/>
        </w:rPr>
        <w:t>四、签约合同价与合同价格形式</w:t>
      </w:r>
      <w:bookmarkEnd w:id="185"/>
    </w:p>
    <w:p w14:paraId="7BD937D8">
      <w:pPr>
        <w:pStyle w:val="75"/>
        <w:spacing w:line="360" w:lineRule="auto"/>
        <w:ind w:firstLine="459"/>
        <w:rPr>
          <w:color w:val="000000"/>
          <w:szCs w:val="21"/>
        </w:rPr>
      </w:pPr>
      <w:r>
        <w:rPr>
          <w:color w:val="000000"/>
          <w:szCs w:val="21"/>
        </w:rPr>
        <w:t xml:space="preserve">1. </w:t>
      </w:r>
      <w:r>
        <w:rPr>
          <w:rFonts w:hint="eastAsia" w:hAnsi="宋体"/>
          <w:color w:val="000000"/>
          <w:szCs w:val="21"/>
        </w:rPr>
        <w:t>签约合同价为：</w:t>
      </w:r>
    </w:p>
    <w:p w14:paraId="0F6A95A6">
      <w:pPr>
        <w:pStyle w:val="75"/>
        <w:spacing w:line="360" w:lineRule="auto"/>
        <w:ind w:firstLine="525" w:firstLineChars="250"/>
        <w:rPr>
          <w:rFonts w:hAnsi="宋体"/>
          <w:color w:val="000000"/>
          <w:szCs w:val="21"/>
        </w:rPr>
      </w:pPr>
      <w:r>
        <w:rPr>
          <w:rFonts w:hint="eastAsia" w:hAnsi="宋体"/>
          <w:color w:val="000000"/>
          <w:szCs w:val="21"/>
        </w:rPr>
        <w:t>人民币（大写）</w:t>
      </w:r>
      <w:r>
        <w:rPr>
          <w:color w:val="000000"/>
          <w:szCs w:val="21"/>
          <w:u w:val="single"/>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14:paraId="7103E48D">
      <w:pPr>
        <w:pStyle w:val="75"/>
        <w:spacing w:line="360" w:lineRule="auto"/>
        <w:ind w:firstLine="525" w:firstLineChars="250"/>
        <w:rPr>
          <w:rFonts w:hAnsi="宋体"/>
          <w:color w:val="000000"/>
          <w:szCs w:val="21"/>
        </w:rPr>
      </w:pPr>
      <w:r>
        <w:rPr>
          <w:rFonts w:hint="eastAsia" w:hAnsi="宋体"/>
          <w:color w:val="000000"/>
          <w:szCs w:val="21"/>
        </w:rPr>
        <w:t>其中：</w:t>
      </w:r>
    </w:p>
    <w:p w14:paraId="65699F24">
      <w:pPr>
        <w:pStyle w:val="75"/>
        <w:spacing w:line="360" w:lineRule="auto"/>
        <w:ind w:firstLine="420" w:firstLineChars="200"/>
        <w:rPr>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）安全文明施工费：</w:t>
      </w:r>
    </w:p>
    <w:p w14:paraId="5EFC8515">
      <w:pPr>
        <w:pStyle w:val="75"/>
        <w:spacing w:line="360" w:lineRule="auto"/>
        <w:ind w:left="420" w:leftChars="200" w:firstLine="525" w:firstLineChars="2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14:paraId="6AF1A4CD">
      <w:pPr>
        <w:pStyle w:val="75"/>
        <w:spacing w:line="360" w:lineRule="auto"/>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）材料和工程设备暂估价金额：</w:t>
      </w:r>
    </w:p>
    <w:p w14:paraId="38970B41">
      <w:pPr>
        <w:pStyle w:val="75"/>
        <w:spacing w:line="360" w:lineRule="auto"/>
        <w:ind w:firstLine="945" w:firstLineChars="450"/>
        <w:rPr>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14:paraId="201E685A">
      <w:pPr>
        <w:pStyle w:val="75"/>
        <w:spacing w:line="360" w:lineRule="auto"/>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）专业工程暂估价金额：</w:t>
      </w:r>
    </w:p>
    <w:p w14:paraId="2C1F1489">
      <w:pPr>
        <w:pStyle w:val="75"/>
        <w:spacing w:line="360" w:lineRule="auto"/>
        <w:ind w:firstLine="945" w:firstLineChars="450"/>
        <w:rPr>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14:paraId="01693020">
      <w:pPr>
        <w:pStyle w:val="75"/>
        <w:spacing w:line="360" w:lineRule="auto"/>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）暂列金额：</w:t>
      </w:r>
    </w:p>
    <w:p w14:paraId="6CBCF25C">
      <w:pPr>
        <w:pStyle w:val="75"/>
        <w:spacing w:line="360" w:lineRule="auto"/>
        <w:ind w:firstLine="945" w:firstLineChars="4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14:paraId="6916CA68">
      <w:pPr>
        <w:pStyle w:val="75"/>
        <w:spacing w:line="360" w:lineRule="auto"/>
        <w:ind w:firstLine="359" w:firstLineChars="171"/>
        <w:rPr>
          <w:color w:val="000000"/>
          <w:szCs w:val="21"/>
        </w:rPr>
      </w:pPr>
      <w:r>
        <w:rPr>
          <w:rFonts w:hint="eastAsia" w:hAnsi="宋体"/>
          <w:color w:val="000000"/>
          <w:szCs w:val="21"/>
        </w:rPr>
        <w:t>（</w:t>
      </w:r>
      <w:r>
        <w:rPr>
          <w:color w:val="000000"/>
          <w:szCs w:val="21"/>
        </w:rPr>
        <w:t>5</w:t>
      </w:r>
      <w:r>
        <w:rPr>
          <w:rFonts w:hint="eastAsia" w:hAnsi="宋体"/>
          <w:color w:val="000000"/>
          <w:szCs w:val="21"/>
        </w:rPr>
        <w:t>）增值税额：</w:t>
      </w:r>
    </w:p>
    <w:p w14:paraId="15AE176B">
      <w:pPr>
        <w:pStyle w:val="75"/>
        <w:spacing w:line="360" w:lineRule="auto"/>
        <w:ind w:firstLine="945" w:firstLineChars="4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14:paraId="3526963F">
      <w:pPr>
        <w:pStyle w:val="75"/>
        <w:spacing w:line="360" w:lineRule="auto"/>
        <w:ind w:firstLine="987" w:firstLineChars="470"/>
        <w:rPr>
          <w:rFonts w:hAnsi="宋体"/>
          <w:color w:val="000000"/>
          <w:szCs w:val="21"/>
        </w:rPr>
      </w:pPr>
      <w:r>
        <w:rPr>
          <w:rFonts w:hint="eastAsia" w:hAnsi="宋体"/>
          <w:color w:val="000000"/>
          <w:szCs w:val="21"/>
        </w:rPr>
        <w:t>增值税率：</w:t>
      </w:r>
      <w:r>
        <w:rPr>
          <w:rFonts w:hAnsi="宋体"/>
          <w:color w:val="000000"/>
          <w:szCs w:val="21"/>
          <w:u w:val="single"/>
        </w:rPr>
        <w:t xml:space="preserve">  </w:t>
      </w:r>
      <w:r>
        <w:rPr>
          <w:rFonts w:hint="eastAsia" w:hAnsi="宋体"/>
          <w:color w:val="000000"/>
          <w:szCs w:val="21"/>
          <w:u w:val="single"/>
        </w:rPr>
        <w:t>　　　　　　</w:t>
      </w:r>
      <w:r>
        <w:rPr>
          <w:rFonts w:hAnsi="宋体"/>
          <w:color w:val="000000"/>
          <w:szCs w:val="21"/>
          <w:u w:val="single"/>
        </w:rPr>
        <w:t xml:space="preserve">  </w:t>
      </w:r>
    </w:p>
    <w:p w14:paraId="6EA51510">
      <w:pPr>
        <w:pStyle w:val="75"/>
        <w:spacing w:line="360" w:lineRule="auto"/>
        <w:ind w:firstLine="420" w:firstLineChars="200"/>
        <w:rPr>
          <w:rFonts w:hAnsi="宋体"/>
          <w:color w:val="000000"/>
          <w:szCs w:val="21"/>
        </w:rPr>
      </w:pPr>
      <w:r>
        <w:rPr>
          <w:color w:val="000000"/>
          <w:szCs w:val="21"/>
        </w:rPr>
        <w:t xml:space="preserve">2. </w:t>
      </w:r>
      <w:r>
        <w:rPr>
          <w:rFonts w:hint="eastAsia" w:hAnsi="宋体"/>
          <w:color w:val="000000"/>
          <w:szCs w:val="21"/>
        </w:rPr>
        <w:t>合同价格形式：</w:t>
      </w:r>
      <w:r>
        <w:rPr>
          <w:rFonts w:hint="eastAsia" w:ascii="宋体" w:hAnsi="宋体" w:cs="宋体"/>
          <w:b/>
          <w:color w:val="000000"/>
          <w:u w:val="single"/>
        </w:rPr>
        <w:t>固定综合单价合同</w:t>
      </w:r>
      <w:r>
        <w:rPr>
          <w:rFonts w:hint="eastAsia" w:hAnsi="宋体"/>
          <w:color w:val="000000"/>
          <w:szCs w:val="21"/>
        </w:rPr>
        <w:t>。</w:t>
      </w:r>
    </w:p>
    <w:p w14:paraId="42A1A009">
      <w:pPr>
        <w:pStyle w:val="75"/>
        <w:spacing w:line="360" w:lineRule="auto"/>
        <w:ind w:firstLine="422" w:firstLineChars="200"/>
        <w:outlineLvl w:val="2"/>
        <w:rPr>
          <w:b/>
          <w:bCs/>
          <w:color w:val="000000"/>
          <w:szCs w:val="21"/>
        </w:rPr>
      </w:pPr>
      <w:bookmarkStart w:id="186" w:name="_Toc351203485"/>
      <w:r>
        <w:rPr>
          <w:rFonts w:hint="eastAsia" w:hAnsi="宋体"/>
          <w:b/>
          <w:bCs/>
          <w:color w:val="000000"/>
          <w:szCs w:val="21"/>
        </w:rPr>
        <w:t>五、</w:t>
      </w:r>
      <w:bookmarkEnd w:id="186"/>
      <w:r>
        <w:rPr>
          <w:rFonts w:hint="eastAsia" w:hAnsi="宋体"/>
          <w:b/>
          <w:bCs/>
          <w:color w:val="000000"/>
          <w:szCs w:val="21"/>
        </w:rPr>
        <w:t>项目经理</w:t>
      </w:r>
    </w:p>
    <w:p w14:paraId="609DE892">
      <w:pPr>
        <w:pStyle w:val="75"/>
        <w:spacing w:line="360" w:lineRule="auto"/>
        <w:ind w:firstLine="420" w:firstLineChars="200"/>
        <w:rPr>
          <w:rFonts w:hAnsi="宋体"/>
          <w:color w:val="000000"/>
          <w:szCs w:val="21"/>
        </w:rPr>
      </w:pPr>
      <w:r>
        <w:rPr>
          <w:rFonts w:hint="eastAsia" w:hAnsi="宋体"/>
          <w:color w:val="000000"/>
          <w:szCs w:val="21"/>
        </w:rPr>
        <w:t>承包人项目经理：</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rFonts w:hint="eastAsia" w:hAnsi="宋体"/>
          <w:color w:val="000000"/>
          <w:szCs w:val="21"/>
        </w:rPr>
        <w:t>。</w:t>
      </w:r>
    </w:p>
    <w:p w14:paraId="6053013C">
      <w:pPr>
        <w:pStyle w:val="75"/>
        <w:spacing w:line="360" w:lineRule="auto"/>
        <w:ind w:firstLine="422" w:firstLineChars="200"/>
        <w:outlineLvl w:val="2"/>
        <w:rPr>
          <w:b/>
          <w:bCs/>
          <w:color w:val="000000"/>
          <w:szCs w:val="21"/>
        </w:rPr>
      </w:pPr>
      <w:bookmarkStart w:id="187" w:name="_Toc351203486"/>
      <w:r>
        <w:rPr>
          <w:rFonts w:hint="eastAsia" w:hAnsi="宋体"/>
          <w:b/>
          <w:bCs/>
          <w:color w:val="000000"/>
          <w:szCs w:val="21"/>
        </w:rPr>
        <w:t>六、合同文件构成</w:t>
      </w:r>
      <w:bookmarkEnd w:id="187"/>
    </w:p>
    <w:p w14:paraId="4B45394F">
      <w:pPr>
        <w:pStyle w:val="75"/>
        <w:spacing w:line="360" w:lineRule="auto"/>
        <w:ind w:firstLine="420" w:firstLineChars="200"/>
        <w:rPr>
          <w:bCs/>
          <w:color w:val="000000"/>
          <w:szCs w:val="21"/>
        </w:rPr>
      </w:pPr>
      <w:r>
        <w:rPr>
          <w:rFonts w:hint="eastAsia" w:hAnsi="宋体"/>
          <w:bCs/>
          <w:color w:val="000000"/>
          <w:szCs w:val="21"/>
        </w:rPr>
        <w:t>本协议书与下列文件一起构成合同文件：</w:t>
      </w:r>
    </w:p>
    <w:p w14:paraId="09B7B0F4">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）成交通知书；</w:t>
      </w:r>
    </w:p>
    <w:p w14:paraId="2D1FF656">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w:t>
      </w:r>
      <w:r>
        <w:rPr>
          <w:rFonts w:hint="eastAsia" w:hAnsi="宋体"/>
          <w:color w:val="000000"/>
          <w:szCs w:val="21"/>
          <w:lang w:eastAsia="zh-CN"/>
        </w:rPr>
        <w:t>响应函</w:t>
      </w:r>
      <w:r>
        <w:rPr>
          <w:rFonts w:hint="eastAsia" w:hAnsi="宋体"/>
          <w:color w:val="000000"/>
          <w:szCs w:val="21"/>
        </w:rPr>
        <w:t>及其附录；</w:t>
      </w:r>
      <w:r>
        <w:rPr>
          <w:color w:val="000000"/>
          <w:szCs w:val="21"/>
        </w:rPr>
        <w:t xml:space="preserve"> </w:t>
      </w:r>
    </w:p>
    <w:p w14:paraId="79071AB0">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3</w:t>
      </w:r>
      <w:r>
        <w:rPr>
          <w:rFonts w:hint="eastAsia" w:hAnsi="宋体"/>
          <w:color w:val="000000"/>
          <w:szCs w:val="21"/>
        </w:rPr>
        <w:t>）专用合同条款及其附件；</w:t>
      </w:r>
    </w:p>
    <w:p w14:paraId="7C47F003">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4</w:t>
      </w:r>
      <w:r>
        <w:rPr>
          <w:rFonts w:hint="eastAsia" w:hAnsi="宋体"/>
          <w:color w:val="000000"/>
          <w:szCs w:val="21"/>
        </w:rPr>
        <w:t>）通用合同条款；</w:t>
      </w:r>
    </w:p>
    <w:p w14:paraId="5D584F8C">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5</w:t>
      </w:r>
      <w:r>
        <w:rPr>
          <w:rFonts w:hint="eastAsia" w:hAnsi="宋体"/>
          <w:color w:val="000000"/>
          <w:szCs w:val="21"/>
        </w:rPr>
        <w:t>）技术标准和要求</w:t>
      </w:r>
      <w:r>
        <w:rPr>
          <w:rFonts w:hint="eastAsia"/>
          <w:color w:val="000000"/>
          <w:szCs w:val="21"/>
        </w:rPr>
        <w:t>；</w:t>
      </w:r>
    </w:p>
    <w:p w14:paraId="39F01F5B">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6</w:t>
      </w:r>
      <w:r>
        <w:rPr>
          <w:rFonts w:hint="eastAsia" w:hAnsi="宋体"/>
          <w:color w:val="000000"/>
          <w:szCs w:val="21"/>
        </w:rPr>
        <w:t>）采购文件及附件（含所有补充通知）；</w:t>
      </w:r>
    </w:p>
    <w:p w14:paraId="26E98313">
      <w:pPr>
        <w:pStyle w:val="75"/>
        <w:autoSpaceDE w:val="0"/>
        <w:autoSpaceDN w:val="0"/>
        <w:adjustRightInd w:val="0"/>
        <w:spacing w:line="360" w:lineRule="auto"/>
        <w:ind w:firstLine="420" w:firstLineChars="200"/>
        <w:jc w:val="left"/>
        <w:rPr>
          <w:color w:val="000000"/>
          <w:szCs w:val="21"/>
          <w:u w:val="single"/>
        </w:rPr>
      </w:pPr>
      <w:r>
        <w:rPr>
          <w:rFonts w:hint="eastAsia" w:hAnsi="宋体"/>
          <w:color w:val="000000"/>
          <w:szCs w:val="21"/>
        </w:rPr>
        <w:t>（</w:t>
      </w:r>
      <w:r>
        <w:rPr>
          <w:color w:val="000000"/>
          <w:szCs w:val="21"/>
        </w:rPr>
        <w:t>7</w:t>
      </w:r>
      <w:r>
        <w:rPr>
          <w:rFonts w:hint="eastAsia" w:hAnsi="宋体"/>
          <w:color w:val="000000"/>
          <w:szCs w:val="21"/>
        </w:rPr>
        <w:t>）已标价工程量清单；</w:t>
      </w:r>
    </w:p>
    <w:p w14:paraId="4764D76B">
      <w:pPr>
        <w:pStyle w:val="75"/>
        <w:autoSpaceDE w:val="0"/>
        <w:autoSpaceDN w:val="0"/>
        <w:adjustRightInd w:val="0"/>
        <w:spacing w:line="360" w:lineRule="auto"/>
        <w:ind w:firstLine="420" w:firstLineChars="200"/>
        <w:jc w:val="left"/>
        <w:rPr>
          <w:color w:val="000000"/>
          <w:szCs w:val="21"/>
          <w:u w:val="single"/>
        </w:rPr>
      </w:pPr>
      <w:r>
        <w:rPr>
          <w:rFonts w:hint="eastAsia" w:hAnsi="宋体"/>
          <w:color w:val="000000"/>
          <w:szCs w:val="21"/>
        </w:rPr>
        <w:t>（</w:t>
      </w:r>
      <w:r>
        <w:rPr>
          <w:color w:val="000000"/>
          <w:szCs w:val="21"/>
        </w:rPr>
        <w:t>8</w:t>
      </w:r>
      <w:r>
        <w:rPr>
          <w:rFonts w:hint="eastAsia" w:hAnsi="宋体"/>
          <w:color w:val="000000"/>
          <w:szCs w:val="21"/>
        </w:rPr>
        <w:t>）图纸（如有）；</w:t>
      </w:r>
    </w:p>
    <w:p w14:paraId="6C3D6688">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9</w:t>
      </w:r>
      <w:r>
        <w:rPr>
          <w:rFonts w:hint="eastAsia" w:hAnsi="宋体"/>
          <w:color w:val="000000"/>
          <w:szCs w:val="21"/>
        </w:rPr>
        <w:t>）其他合同文件：</w:t>
      </w:r>
    </w:p>
    <w:p w14:paraId="576BC989">
      <w:pPr>
        <w:pStyle w:val="75"/>
        <w:autoSpaceDE w:val="0"/>
        <w:autoSpaceDN w:val="0"/>
        <w:adjustRightInd w:val="0"/>
        <w:spacing w:line="360" w:lineRule="auto"/>
        <w:ind w:firstLine="420" w:firstLineChars="200"/>
        <w:jc w:val="left"/>
        <w:rPr>
          <w:color w:val="000000"/>
          <w:szCs w:val="21"/>
        </w:rPr>
      </w:pPr>
      <w:r>
        <w:rPr>
          <w:rFonts w:hint="eastAsia" w:hAnsi="宋体"/>
          <w:color w:val="000000"/>
          <w:szCs w:val="21"/>
        </w:rPr>
        <w:t>在合同订立及履行过程中形成的与合同有关的文件均构成合同文件组成部分。</w:t>
      </w:r>
    </w:p>
    <w:p w14:paraId="5FD56C83">
      <w:pPr>
        <w:pStyle w:val="75"/>
        <w:autoSpaceDE w:val="0"/>
        <w:autoSpaceDN w:val="0"/>
        <w:adjustRightInd w:val="0"/>
        <w:spacing w:line="360" w:lineRule="auto"/>
        <w:ind w:firstLine="420" w:firstLineChars="200"/>
        <w:jc w:val="left"/>
        <w:rPr>
          <w:rFonts w:hAnsi="宋体"/>
          <w:color w:val="000000"/>
          <w:szCs w:val="21"/>
        </w:rPr>
      </w:pPr>
      <w:r>
        <w:rPr>
          <w:rFonts w:hint="eastAsia" w:hAnsi="宋体"/>
          <w:color w:val="000000"/>
          <w:szCs w:val="21"/>
        </w:rPr>
        <w:t>上述各项合同文件包括合同当事人就该项合同文件所作出的补充和修改，属于同一类内容的文件，</w:t>
      </w:r>
      <w:r>
        <w:rPr>
          <w:rFonts w:hint="eastAsia" w:hAnsi="宋体" w:cs="宋体"/>
          <w:color w:val="000000"/>
          <w:kern w:val="0"/>
        </w:rPr>
        <w:t>应以最新签署的为</w:t>
      </w:r>
      <w:r>
        <w:rPr>
          <w:rFonts w:hint="eastAsia" w:hAnsi="宋体"/>
          <w:color w:val="000000"/>
          <w:szCs w:val="21"/>
        </w:rPr>
        <w:t>准（违反采购文件实质性内容的约定除外）。专用合同条款及其附件须经合同当事人签字或盖章。</w:t>
      </w:r>
    </w:p>
    <w:p w14:paraId="0F13B489">
      <w:pPr>
        <w:pStyle w:val="75"/>
        <w:autoSpaceDE w:val="0"/>
        <w:autoSpaceDN w:val="0"/>
        <w:adjustRightInd w:val="0"/>
        <w:spacing w:line="360" w:lineRule="auto"/>
        <w:ind w:firstLine="422" w:firstLineChars="200"/>
        <w:jc w:val="left"/>
        <w:outlineLvl w:val="2"/>
        <w:rPr>
          <w:b/>
          <w:bCs/>
          <w:color w:val="000000"/>
          <w:szCs w:val="21"/>
        </w:rPr>
      </w:pPr>
      <w:bookmarkStart w:id="188" w:name="_Toc351203487"/>
      <w:r>
        <w:rPr>
          <w:rFonts w:hint="eastAsia" w:hAnsi="宋体"/>
          <w:b/>
          <w:bCs/>
          <w:color w:val="000000"/>
          <w:szCs w:val="21"/>
        </w:rPr>
        <w:t>七、承诺</w:t>
      </w:r>
      <w:bookmarkEnd w:id="188"/>
    </w:p>
    <w:p w14:paraId="556B69E0">
      <w:pPr>
        <w:pStyle w:val="75"/>
        <w:spacing w:line="360" w:lineRule="auto"/>
        <w:ind w:firstLine="420" w:firstLineChars="200"/>
        <w:rPr>
          <w:bCs/>
          <w:color w:val="000000"/>
          <w:szCs w:val="21"/>
        </w:rPr>
      </w:pPr>
      <w:r>
        <w:rPr>
          <w:bCs/>
          <w:color w:val="000000"/>
          <w:szCs w:val="21"/>
        </w:rPr>
        <w:t xml:space="preserve">1. </w:t>
      </w:r>
      <w:r>
        <w:rPr>
          <w:rFonts w:hint="eastAsia" w:hAnsi="宋体"/>
          <w:bCs/>
          <w:color w:val="000000"/>
          <w:szCs w:val="21"/>
        </w:rPr>
        <w:t>发包人承诺按照法律规定履行项目审批手续、筹集工程建设资金并按照合同约定的期限和方式支付合同价款。</w:t>
      </w:r>
    </w:p>
    <w:p w14:paraId="26E56680">
      <w:pPr>
        <w:pStyle w:val="75"/>
        <w:spacing w:line="360" w:lineRule="auto"/>
        <w:ind w:firstLine="420" w:firstLineChars="200"/>
        <w:rPr>
          <w:bCs/>
          <w:color w:val="000000"/>
          <w:szCs w:val="21"/>
        </w:rPr>
      </w:pPr>
      <w:r>
        <w:rPr>
          <w:bCs/>
          <w:color w:val="000000"/>
          <w:szCs w:val="21"/>
        </w:rPr>
        <w:t xml:space="preserve">2. </w:t>
      </w:r>
      <w:r>
        <w:rPr>
          <w:rFonts w:hint="eastAsia" w:ascii="宋体" w:hAnsi="宋体" w:cs="宋体"/>
          <w:bCs/>
          <w:color w:val="000000"/>
          <w:szCs w:val="21"/>
        </w:rPr>
        <w:t>发包人承诺协调周边环境、并与相关部门协调保证工期不受影响。</w:t>
      </w:r>
    </w:p>
    <w:p w14:paraId="603C9385">
      <w:pPr>
        <w:pStyle w:val="75"/>
        <w:spacing w:line="360" w:lineRule="auto"/>
        <w:ind w:firstLine="420" w:firstLineChars="200"/>
        <w:rPr>
          <w:bCs/>
          <w:color w:val="000000"/>
          <w:szCs w:val="21"/>
        </w:rPr>
      </w:pPr>
      <w:r>
        <w:rPr>
          <w:bCs/>
          <w:color w:val="000000"/>
          <w:szCs w:val="21"/>
        </w:rPr>
        <w:t xml:space="preserve">3. </w:t>
      </w:r>
      <w:r>
        <w:rPr>
          <w:rFonts w:hint="eastAsia" w:hAnsi="宋体"/>
          <w:bCs/>
          <w:color w:val="000000"/>
          <w:szCs w:val="21"/>
        </w:rPr>
        <w:t>承包人承诺按照法律规定及合同约定组织完成工程施工，确保工程质量和安全，不进行转包及违法分包，并在缺陷责任期及保修期内承担相应的工程维修责任。</w:t>
      </w:r>
    </w:p>
    <w:p w14:paraId="3373A11A">
      <w:pPr>
        <w:pStyle w:val="75"/>
        <w:spacing w:line="360" w:lineRule="auto"/>
        <w:ind w:firstLine="420" w:firstLineChars="200"/>
        <w:rPr>
          <w:rFonts w:hAnsi="宋体"/>
          <w:bCs/>
          <w:color w:val="000000"/>
          <w:szCs w:val="21"/>
        </w:rPr>
      </w:pPr>
      <w:r>
        <w:rPr>
          <w:bCs/>
          <w:color w:val="000000"/>
          <w:szCs w:val="21"/>
        </w:rPr>
        <w:t xml:space="preserve">4. </w:t>
      </w:r>
      <w:r>
        <w:rPr>
          <w:rFonts w:hint="eastAsia" w:hAnsi="宋体"/>
          <w:bCs/>
          <w:color w:val="000000"/>
          <w:szCs w:val="21"/>
        </w:rPr>
        <w:t>发包人和承包人通过招投标形式签订合同的，双方理解并承诺不再就同一工程另行签订与合同实质性内容相背离的协议。</w:t>
      </w:r>
      <w:bookmarkStart w:id="189" w:name="_Toc351203488"/>
    </w:p>
    <w:p w14:paraId="696508DE">
      <w:pPr>
        <w:pStyle w:val="75"/>
        <w:spacing w:line="360" w:lineRule="auto"/>
        <w:ind w:firstLine="422" w:firstLineChars="200"/>
        <w:outlineLvl w:val="2"/>
        <w:rPr>
          <w:b/>
          <w:bCs/>
          <w:color w:val="000000"/>
          <w:szCs w:val="21"/>
        </w:rPr>
      </w:pPr>
      <w:r>
        <w:rPr>
          <w:rFonts w:hint="eastAsia" w:hAnsi="宋体"/>
          <w:b/>
          <w:bCs/>
          <w:color w:val="000000"/>
          <w:szCs w:val="21"/>
        </w:rPr>
        <w:t>八、词语含义</w:t>
      </w:r>
      <w:bookmarkEnd w:id="189"/>
    </w:p>
    <w:p w14:paraId="650DA011">
      <w:pPr>
        <w:pStyle w:val="75"/>
        <w:spacing w:line="360" w:lineRule="auto"/>
        <w:ind w:firstLine="420" w:firstLineChars="200"/>
        <w:rPr>
          <w:rFonts w:hAnsi="宋体"/>
          <w:bCs/>
          <w:color w:val="000000"/>
          <w:szCs w:val="21"/>
        </w:rPr>
      </w:pPr>
      <w:r>
        <w:rPr>
          <w:rFonts w:hint="eastAsia" w:hAnsi="宋体"/>
          <w:bCs/>
          <w:color w:val="000000"/>
          <w:szCs w:val="21"/>
        </w:rPr>
        <w:t>本协议书中词语含义与第二部分通用合同条款中赋予的含义相同。</w:t>
      </w:r>
    </w:p>
    <w:p w14:paraId="51502331">
      <w:pPr>
        <w:pStyle w:val="75"/>
        <w:spacing w:line="360" w:lineRule="auto"/>
        <w:ind w:firstLine="422" w:firstLineChars="200"/>
        <w:outlineLvl w:val="2"/>
        <w:rPr>
          <w:b/>
          <w:bCs/>
          <w:color w:val="000000"/>
          <w:szCs w:val="21"/>
        </w:rPr>
      </w:pPr>
      <w:bookmarkStart w:id="190" w:name="_Toc351203489"/>
      <w:r>
        <w:rPr>
          <w:rFonts w:hint="eastAsia" w:hAnsi="宋体"/>
          <w:b/>
          <w:bCs/>
          <w:color w:val="000000"/>
          <w:szCs w:val="21"/>
        </w:rPr>
        <w:t>九、签订时间</w:t>
      </w:r>
      <w:bookmarkEnd w:id="190"/>
    </w:p>
    <w:p w14:paraId="0E14BABD">
      <w:pPr>
        <w:pStyle w:val="75"/>
        <w:spacing w:line="360" w:lineRule="auto"/>
        <w:ind w:firstLine="420" w:firstLineChars="200"/>
        <w:rPr>
          <w:rFonts w:hAnsi="宋体"/>
          <w:bCs/>
          <w:color w:val="000000"/>
          <w:szCs w:val="21"/>
        </w:rPr>
      </w:pPr>
      <w:r>
        <w:rPr>
          <w:rFonts w:hint="eastAsia" w:hAnsi="宋体"/>
          <w:bCs/>
          <w:color w:val="000000"/>
          <w:szCs w:val="21"/>
        </w:rPr>
        <w:t>本合同于</w:t>
      </w:r>
      <w:r>
        <w:rPr>
          <w:bCs/>
          <w:color w:val="000000"/>
          <w:szCs w:val="21"/>
          <w:u w:val="single"/>
        </w:rPr>
        <w:t xml:space="preserve">         </w:t>
      </w:r>
      <w:r>
        <w:rPr>
          <w:rFonts w:hint="eastAsia" w:hAnsi="宋体"/>
          <w:bCs/>
          <w:color w:val="000000"/>
          <w:szCs w:val="21"/>
        </w:rPr>
        <w:t>年</w:t>
      </w:r>
      <w:r>
        <w:rPr>
          <w:bCs/>
          <w:color w:val="000000"/>
          <w:szCs w:val="21"/>
          <w:u w:val="single"/>
        </w:rPr>
        <w:t xml:space="preserve">    </w:t>
      </w:r>
      <w:r>
        <w:rPr>
          <w:rFonts w:hint="eastAsia" w:hAnsi="宋体"/>
          <w:bCs/>
          <w:color w:val="000000"/>
          <w:szCs w:val="21"/>
        </w:rPr>
        <w:t>月</w:t>
      </w:r>
      <w:r>
        <w:rPr>
          <w:bCs/>
          <w:color w:val="000000"/>
          <w:szCs w:val="21"/>
          <w:u w:val="single"/>
        </w:rPr>
        <w:t xml:space="preserve">    </w:t>
      </w:r>
      <w:r>
        <w:rPr>
          <w:rFonts w:hint="eastAsia" w:hAnsi="宋体"/>
          <w:bCs/>
          <w:color w:val="000000"/>
          <w:szCs w:val="21"/>
        </w:rPr>
        <w:t>日签订。</w:t>
      </w:r>
    </w:p>
    <w:p w14:paraId="3DA6A489">
      <w:pPr>
        <w:pStyle w:val="75"/>
        <w:spacing w:line="360" w:lineRule="auto"/>
        <w:ind w:firstLine="422" w:firstLineChars="200"/>
        <w:outlineLvl w:val="2"/>
        <w:rPr>
          <w:b/>
          <w:bCs/>
          <w:color w:val="000000"/>
          <w:szCs w:val="21"/>
        </w:rPr>
      </w:pPr>
      <w:bookmarkStart w:id="191" w:name="_Toc351203490"/>
      <w:r>
        <w:rPr>
          <w:rFonts w:hint="eastAsia" w:hAnsi="宋体"/>
          <w:b/>
          <w:bCs/>
          <w:color w:val="000000"/>
          <w:szCs w:val="21"/>
        </w:rPr>
        <w:t>十、签订地点</w:t>
      </w:r>
      <w:bookmarkEnd w:id="191"/>
    </w:p>
    <w:p w14:paraId="5584960A">
      <w:pPr>
        <w:pStyle w:val="75"/>
        <w:spacing w:line="360" w:lineRule="auto"/>
        <w:ind w:firstLine="420" w:firstLineChars="200"/>
        <w:rPr>
          <w:rFonts w:hAnsi="宋体"/>
          <w:bCs/>
          <w:color w:val="000000"/>
          <w:szCs w:val="21"/>
        </w:rPr>
      </w:pPr>
      <w:r>
        <w:rPr>
          <w:rFonts w:hint="eastAsia" w:hAnsi="宋体"/>
          <w:bCs/>
          <w:color w:val="000000"/>
          <w:szCs w:val="21"/>
        </w:rPr>
        <w:t>合同未尽事宜，合同当事人另行签订补充协议，补充协议是合同的组成部分。</w:t>
      </w:r>
    </w:p>
    <w:p w14:paraId="4C9446C4">
      <w:pPr>
        <w:pStyle w:val="75"/>
        <w:spacing w:line="360" w:lineRule="auto"/>
        <w:ind w:firstLine="422" w:firstLineChars="200"/>
        <w:outlineLvl w:val="2"/>
        <w:rPr>
          <w:b/>
          <w:bCs/>
          <w:color w:val="000000"/>
          <w:szCs w:val="21"/>
        </w:rPr>
      </w:pPr>
      <w:bookmarkStart w:id="192" w:name="_Toc351203492"/>
      <w:r>
        <w:rPr>
          <w:rFonts w:hint="eastAsia" w:hAnsi="宋体"/>
          <w:b/>
          <w:bCs/>
          <w:color w:val="000000"/>
          <w:szCs w:val="21"/>
        </w:rPr>
        <w:t>十一、合同生效</w:t>
      </w:r>
      <w:bookmarkEnd w:id="192"/>
    </w:p>
    <w:p w14:paraId="5A781C3C">
      <w:pPr>
        <w:pStyle w:val="75"/>
        <w:spacing w:line="360" w:lineRule="auto"/>
        <w:ind w:firstLine="420" w:firstLineChars="200"/>
        <w:rPr>
          <w:rFonts w:hAnsi="宋体"/>
          <w:bCs/>
          <w:color w:val="000000"/>
          <w:szCs w:val="21"/>
        </w:rPr>
      </w:pPr>
      <w:r>
        <w:rPr>
          <w:rFonts w:hint="eastAsia" w:hAnsi="宋体"/>
          <w:bCs/>
          <w:color w:val="000000"/>
          <w:szCs w:val="21"/>
        </w:rPr>
        <w:t>本合同自</w:t>
      </w:r>
      <w:r>
        <w:rPr>
          <w:bCs/>
          <w:color w:val="000000"/>
          <w:szCs w:val="21"/>
          <w:u w:val="single"/>
        </w:rPr>
        <w:t xml:space="preserve">  </w:t>
      </w:r>
      <w:r>
        <w:rPr>
          <w:rFonts w:hint="eastAsia"/>
          <w:bCs/>
          <w:color w:val="000000"/>
          <w:szCs w:val="21"/>
          <w:u w:val="single"/>
        </w:rPr>
        <w:t>双方法定代表人或其委托代理人签字或盖章并加盖本单位公章后</w:t>
      </w:r>
      <w:r>
        <w:rPr>
          <w:bCs/>
          <w:color w:val="000000"/>
          <w:szCs w:val="21"/>
          <w:u w:val="single"/>
        </w:rPr>
        <w:t xml:space="preserve">  </w:t>
      </w:r>
      <w:r>
        <w:rPr>
          <w:rFonts w:hint="eastAsia" w:hAnsi="宋体"/>
          <w:bCs/>
          <w:color w:val="000000"/>
          <w:szCs w:val="21"/>
        </w:rPr>
        <w:t>生效。</w:t>
      </w:r>
    </w:p>
    <w:p w14:paraId="20A39C15">
      <w:pPr>
        <w:pStyle w:val="75"/>
        <w:spacing w:line="360" w:lineRule="auto"/>
        <w:ind w:firstLine="422" w:firstLineChars="200"/>
        <w:outlineLvl w:val="2"/>
        <w:rPr>
          <w:b/>
          <w:bCs/>
          <w:color w:val="000000"/>
          <w:szCs w:val="21"/>
        </w:rPr>
      </w:pPr>
      <w:bookmarkStart w:id="193" w:name="_Toc351203493"/>
      <w:r>
        <w:rPr>
          <w:rFonts w:hint="eastAsia" w:hAnsi="宋体"/>
          <w:b/>
          <w:bCs/>
          <w:color w:val="000000"/>
          <w:szCs w:val="21"/>
        </w:rPr>
        <w:t>十二、合同份数</w:t>
      </w:r>
      <w:bookmarkEnd w:id="193"/>
    </w:p>
    <w:p w14:paraId="0241DA33">
      <w:pPr>
        <w:pStyle w:val="75"/>
        <w:spacing w:line="360" w:lineRule="auto"/>
        <w:ind w:firstLine="420" w:firstLineChars="200"/>
        <w:rPr>
          <w:bCs/>
          <w:color w:val="000000"/>
          <w:szCs w:val="21"/>
        </w:rPr>
      </w:pPr>
      <w:r>
        <w:rPr>
          <w:rFonts w:hint="eastAsia" w:hAnsi="宋体"/>
          <w:bCs/>
          <w:color w:val="000000"/>
          <w:szCs w:val="21"/>
        </w:rPr>
        <w:t>本合同一式</w:t>
      </w:r>
      <w:r>
        <w:rPr>
          <w:bCs/>
          <w:color w:val="000000"/>
          <w:szCs w:val="21"/>
          <w:u w:val="single"/>
        </w:rPr>
        <w:t xml:space="preserve">    </w:t>
      </w:r>
      <w:r>
        <w:rPr>
          <w:rFonts w:hint="eastAsia" w:hAnsi="宋体"/>
          <w:bCs/>
          <w:color w:val="000000"/>
          <w:szCs w:val="21"/>
        </w:rPr>
        <w:t>份，均具有同等法律效力，发包人执</w:t>
      </w:r>
      <w:r>
        <w:rPr>
          <w:bCs/>
          <w:color w:val="000000"/>
          <w:szCs w:val="21"/>
          <w:u w:val="single"/>
        </w:rPr>
        <w:t xml:space="preserve">    </w:t>
      </w:r>
      <w:r>
        <w:rPr>
          <w:rFonts w:hint="eastAsia" w:hAnsi="宋体"/>
          <w:bCs/>
          <w:color w:val="000000"/>
          <w:szCs w:val="21"/>
        </w:rPr>
        <w:t>份，承包人执</w:t>
      </w:r>
      <w:r>
        <w:rPr>
          <w:bCs/>
          <w:color w:val="000000"/>
          <w:szCs w:val="21"/>
          <w:u w:val="single"/>
        </w:rPr>
        <w:t xml:space="preserve">    </w:t>
      </w:r>
      <w:r>
        <w:rPr>
          <w:rFonts w:hint="eastAsia" w:hAnsi="宋体"/>
          <w:bCs/>
          <w:color w:val="000000"/>
          <w:szCs w:val="21"/>
        </w:rPr>
        <w:t>份。</w:t>
      </w:r>
    </w:p>
    <w:p w14:paraId="68CC23AE">
      <w:pPr>
        <w:pStyle w:val="75"/>
        <w:spacing w:line="360" w:lineRule="auto"/>
        <w:rPr>
          <w:rFonts w:hAnsi="宋体"/>
          <w:color w:val="000000"/>
          <w:szCs w:val="21"/>
        </w:rPr>
      </w:pPr>
    </w:p>
    <w:p w14:paraId="37CE3446">
      <w:pPr>
        <w:pStyle w:val="75"/>
        <w:spacing w:line="360" w:lineRule="auto"/>
        <w:rPr>
          <w:color w:val="000000"/>
          <w:szCs w:val="21"/>
        </w:rPr>
      </w:pPr>
      <w:r>
        <w:rPr>
          <w:rFonts w:hint="eastAsia" w:hAnsi="宋体"/>
          <w:color w:val="000000"/>
          <w:szCs w:val="21"/>
        </w:rPr>
        <w:t>发包人：</w:t>
      </w:r>
      <w:r>
        <w:rPr>
          <w:color w:val="000000"/>
          <w:szCs w:val="21"/>
        </w:rPr>
        <w:t xml:space="preserve">  </w:t>
      </w:r>
      <w:r>
        <w:rPr>
          <w:rFonts w:hint="eastAsia"/>
          <w:color w:val="000000"/>
          <w:szCs w:val="21"/>
        </w:rPr>
        <w:t>（</w:t>
      </w:r>
      <w:r>
        <w:rPr>
          <w:rFonts w:hint="eastAsia" w:hAnsi="宋体"/>
          <w:color w:val="000000"/>
          <w:szCs w:val="21"/>
        </w:rPr>
        <w:t>公章</w:t>
      </w:r>
      <w:r>
        <w:rPr>
          <w:rFonts w:hint="eastAsia"/>
          <w:color w:val="000000"/>
          <w:szCs w:val="21"/>
        </w:rPr>
        <w:t>）</w:t>
      </w:r>
      <w:r>
        <w:rPr>
          <w:color w:val="000000"/>
          <w:szCs w:val="21"/>
        </w:rPr>
        <w:t xml:space="preserve">                           </w:t>
      </w:r>
      <w:r>
        <w:rPr>
          <w:rFonts w:hint="eastAsia" w:hAnsi="宋体"/>
          <w:color w:val="000000"/>
          <w:szCs w:val="21"/>
        </w:rPr>
        <w:t>承包人：</w:t>
      </w:r>
      <w:r>
        <w:rPr>
          <w:color w:val="000000"/>
          <w:szCs w:val="21"/>
        </w:rPr>
        <w:t xml:space="preserve">  </w:t>
      </w:r>
      <w:r>
        <w:rPr>
          <w:rFonts w:hint="eastAsia"/>
          <w:color w:val="000000"/>
          <w:szCs w:val="21"/>
        </w:rPr>
        <w:t>（</w:t>
      </w:r>
      <w:r>
        <w:rPr>
          <w:rFonts w:hint="eastAsia" w:hAnsi="宋体"/>
          <w:color w:val="000000"/>
          <w:szCs w:val="21"/>
        </w:rPr>
        <w:t>公章</w:t>
      </w:r>
      <w:r>
        <w:rPr>
          <w:rFonts w:hint="eastAsia"/>
          <w:color w:val="000000"/>
          <w:szCs w:val="21"/>
        </w:rPr>
        <w:t>）</w:t>
      </w:r>
    </w:p>
    <w:p w14:paraId="18521CD2">
      <w:pPr>
        <w:pStyle w:val="75"/>
        <w:spacing w:line="360" w:lineRule="auto"/>
        <w:rPr>
          <w:color w:val="000000"/>
          <w:szCs w:val="21"/>
        </w:rPr>
      </w:pPr>
      <w:r>
        <w:rPr>
          <w:rFonts w:hint="eastAsia" w:hAnsi="宋体"/>
          <w:color w:val="000000"/>
          <w:szCs w:val="21"/>
        </w:rPr>
        <w:t>法定代表人或其委托代理人：</w:t>
      </w:r>
      <w:r>
        <w:rPr>
          <w:color w:val="000000"/>
          <w:szCs w:val="21"/>
        </w:rPr>
        <w:t xml:space="preserve">                    </w:t>
      </w:r>
      <w:r>
        <w:rPr>
          <w:rFonts w:hint="eastAsia" w:hAnsi="宋体"/>
          <w:color w:val="000000"/>
          <w:szCs w:val="21"/>
        </w:rPr>
        <w:t>法定代表人或其委托代理人：</w:t>
      </w:r>
    </w:p>
    <w:p w14:paraId="57943D58">
      <w:pPr>
        <w:pStyle w:val="75"/>
        <w:spacing w:line="360" w:lineRule="auto"/>
        <w:rPr>
          <w:color w:val="000000"/>
          <w:szCs w:val="21"/>
        </w:rPr>
      </w:pPr>
      <w:r>
        <w:rPr>
          <w:rFonts w:hint="eastAsia" w:hAnsi="宋体"/>
          <w:color w:val="000000"/>
          <w:szCs w:val="21"/>
        </w:rPr>
        <w:t>（签字）</w:t>
      </w:r>
      <w:r>
        <w:rPr>
          <w:color w:val="000000"/>
          <w:szCs w:val="21"/>
        </w:rPr>
        <w:t xml:space="preserve">                                     </w:t>
      </w:r>
      <w:r>
        <w:rPr>
          <w:rFonts w:hint="eastAsia" w:hAnsi="宋体"/>
          <w:color w:val="000000"/>
          <w:szCs w:val="21"/>
        </w:rPr>
        <w:t>（签字）</w:t>
      </w:r>
    </w:p>
    <w:p w14:paraId="610DDD52">
      <w:pPr>
        <w:pStyle w:val="75"/>
        <w:tabs>
          <w:tab w:val="left" w:pos="4410"/>
        </w:tabs>
        <w:spacing w:line="360" w:lineRule="auto"/>
        <w:rPr>
          <w:color w:val="000000"/>
          <w:szCs w:val="21"/>
        </w:rPr>
      </w:pPr>
      <w:r>
        <w:rPr>
          <w:rFonts w:hint="eastAsia" w:hAnsi="宋体" w:cs="宋体"/>
          <w:color w:val="000000"/>
        </w:rPr>
        <w:t>统一</w:t>
      </w:r>
      <w:r>
        <w:rPr>
          <w:rFonts w:hint="eastAsia" w:hAnsi="宋体"/>
          <w:color w:val="000000"/>
          <w:szCs w:val="21"/>
        </w:rPr>
        <w:t>社会信用代码：</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s="宋体"/>
          <w:color w:val="000000"/>
        </w:rPr>
        <w:t>统一</w:t>
      </w:r>
      <w:r>
        <w:rPr>
          <w:rFonts w:hint="eastAsia" w:hAnsi="宋体"/>
          <w:color w:val="000000"/>
          <w:szCs w:val="21"/>
        </w:rPr>
        <w:t>社会信用代码：</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p>
    <w:p w14:paraId="75B6C5C9">
      <w:pPr>
        <w:pStyle w:val="75"/>
        <w:spacing w:line="360" w:lineRule="auto"/>
        <w:rPr>
          <w:color w:val="000000"/>
          <w:szCs w:val="21"/>
        </w:rPr>
      </w:pPr>
      <w:r>
        <w:rPr>
          <w:rFonts w:hint="eastAsia" w:hAnsi="宋体"/>
          <w:color w:val="000000"/>
          <w:szCs w:val="21"/>
        </w:rPr>
        <w:t>地</w:t>
      </w:r>
      <w:r>
        <w:rPr>
          <w:color w:val="000000"/>
          <w:szCs w:val="21"/>
        </w:rPr>
        <w:t xml:space="preserve">  </w:t>
      </w:r>
      <w:r>
        <w:rPr>
          <w:rFonts w:hint="eastAsia" w:hAnsi="宋体"/>
          <w:color w:val="000000"/>
          <w:szCs w:val="21"/>
        </w:rPr>
        <w:t>址：</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地</w:t>
      </w:r>
      <w:r>
        <w:rPr>
          <w:color w:val="000000"/>
          <w:szCs w:val="21"/>
        </w:rPr>
        <w:t xml:space="preserve">  </w:t>
      </w:r>
      <w:r>
        <w:rPr>
          <w:rFonts w:hint="eastAsia" w:hAnsi="宋体"/>
          <w:color w:val="000000"/>
          <w:szCs w:val="21"/>
        </w:rPr>
        <w:t>址：</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p>
    <w:p w14:paraId="6345110B">
      <w:pPr>
        <w:pStyle w:val="75"/>
        <w:spacing w:line="360" w:lineRule="auto"/>
        <w:rPr>
          <w:color w:val="000000"/>
          <w:szCs w:val="21"/>
        </w:rPr>
      </w:pPr>
      <w:r>
        <w:rPr>
          <w:rFonts w:hint="eastAsia" w:hAnsi="宋体"/>
          <w:color w:val="000000"/>
          <w:szCs w:val="21"/>
        </w:rPr>
        <w:t>邮政编码：</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邮政编码：</w:t>
      </w:r>
      <w:r>
        <w:rPr>
          <w:rFonts w:hint="eastAsia" w:hAnsi="宋体"/>
          <w:color w:val="000000"/>
          <w:szCs w:val="21"/>
          <w:u w:val="single"/>
        </w:rPr>
        <w:t></w:t>
      </w:r>
      <w:r>
        <w:rPr>
          <w:color w:val="000000"/>
          <w:szCs w:val="21"/>
          <w:u w:val="single"/>
        </w:rPr>
        <w:t xml:space="preserve">   </w:t>
      </w:r>
    </w:p>
    <w:p w14:paraId="64643BA7">
      <w:pPr>
        <w:pStyle w:val="75"/>
        <w:spacing w:line="360" w:lineRule="auto"/>
        <w:rPr>
          <w:color w:val="000000"/>
          <w:szCs w:val="21"/>
        </w:rPr>
      </w:pPr>
      <w:r>
        <w:rPr>
          <w:rFonts w:hint="eastAsia" w:hAnsi="宋体"/>
          <w:color w:val="000000"/>
          <w:szCs w:val="21"/>
        </w:rPr>
        <w:t>法定代表人：</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法定代表人：</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p>
    <w:p w14:paraId="2F915922">
      <w:pPr>
        <w:pStyle w:val="75"/>
        <w:spacing w:line="360" w:lineRule="auto"/>
        <w:rPr>
          <w:color w:val="000000"/>
          <w:szCs w:val="21"/>
        </w:rPr>
      </w:pPr>
      <w:r>
        <w:rPr>
          <w:rFonts w:hint="eastAsia" w:hAnsi="宋体"/>
          <w:color w:val="000000"/>
          <w:szCs w:val="21"/>
        </w:rPr>
        <w:t>委托代理人：</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委托代理人：</w:t>
      </w:r>
      <w:r>
        <w:rPr>
          <w:rFonts w:hint="eastAsia" w:hAnsi="宋体"/>
          <w:color w:val="000000"/>
          <w:szCs w:val="21"/>
          <w:u w:val="single"/>
        </w:rPr>
        <w:t></w:t>
      </w:r>
      <w:r>
        <w:rPr>
          <w:color w:val="000000"/>
          <w:szCs w:val="21"/>
          <w:u w:val="single"/>
        </w:rPr>
        <w:t xml:space="preserve">             </w:t>
      </w:r>
    </w:p>
    <w:p w14:paraId="6F0B34E0">
      <w:pPr>
        <w:pStyle w:val="75"/>
        <w:spacing w:line="360" w:lineRule="auto"/>
        <w:rPr>
          <w:color w:val="000000"/>
          <w:szCs w:val="21"/>
        </w:rPr>
      </w:pPr>
      <w:r>
        <w:rPr>
          <w:rFonts w:hint="eastAsia" w:hAnsi="宋体"/>
          <w:color w:val="000000"/>
          <w:szCs w:val="21"/>
        </w:rPr>
        <w:t>电</w:t>
      </w:r>
      <w:r>
        <w:rPr>
          <w:color w:val="000000"/>
          <w:szCs w:val="21"/>
        </w:rPr>
        <w:t xml:space="preserve">  </w:t>
      </w:r>
      <w:r>
        <w:rPr>
          <w:rFonts w:hint="eastAsia" w:hAnsi="宋体"/>
          <w:color w:val="000000"/>
          <w:szCs w:val="21"/>
        </w:rPr>
        <w:t>话：</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电</w:t>
      </w:r>
      <w:r>
        <w:rPr>
          <w:color w:val="000000"/>
          <w:szCs w:val="21"/>
        </w:rPr>
        <w:t xml:space="preserve">  </w:t>
      </w:r>
      <w:r>
        <w:rPr>
          <w:rFonts w:hint="eastAsia" w:hAnsi="宋体"/>
          <w:color w:val="000000"/>
          <w:szCs w:val="21"/>
        </w:rPr>
        <w:t>话：</w:t>
      </w:r>
      <w:r>
        <w:rPr>
          <w:rFonts w:hint="eastAsia" w:hAnsi="宋体"/>
          <w:color w:val="000000"/>
          <w:szCs w:val="21"/>
          <w:u w:val="single"/>
        </w:rPr>
        <w:t></w:t>
      </w:r>
      <w:r>
        <w:rPr>
          <w:color w:val="000000"/>
          <w:szCs w:val="21"/>
          <w:u w:val="single"/>
        </w:rPr>
        <w:t xml:space="preserve">     </w:t>
      </w:r>
    </w:p>
    <w:p w14:paraId="547193BD">
      <w:pPr>
        <w:pStyle w:val="75"/>
        <w:spacing w:line="360" w:lineRule="auto"/>
        <w:rPr>
          <w:color w:val="000000"/>
          <w:szCs w:val="21"/>
        </w:rPr>
      </w:pPr>
      <w:r>
        <w:rPr>
          <w:rFonts w:hint="eastAsia" w:hAnsi="宋体"/>
          <w:color w:val="000000"/>
          <w:szCs w:val="21"/>
        </w:rPr>
        <w:t>传</w:t>
      </w:r>
      <w:r>
        <w:rPr>
          <w:color w:val="000000"/>
          <w:szCs w:val="21"/>
        </w:rPr>
        <w:t xml:space="preserve">  </w:t>
      </w:r>
      <w:r>
        <w:rPr>
          <w:rFonts w:hint="eastAsia" w:hAnsi="宋体"/>
          <w:color w:val="000000"/>
          <w:szCs w:val="21"/>
        </w:rPr>
        <w:t>真：</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传</w:t>
      </w:r>
      <w:r>
        <w:rPr>
          <w:color w:val="000000"/>
          <w:szCs w:val="21"/>
        </w:rPr>
        <w:t xml:space="preserve">  </w:t>
      </w:r>
      <w:r>
        <w:rPr>
          <w:rFonts w:hint="eastAsia" w:hAnsi="宋体"/>
          <w:color w:val="000000"/>
          <w:szCs w:val="21"/>
        </w:rPr>
        <w:t>真：</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p>
    <w:p w14:paraId="0F903B38">
      <w:pPr>
        <w:pStyle w:val="75"/>
        <w:spacing w:line="360" w:lineRule="auto"/>
        <w:rPr>
          <w:color w:val="000000"/>
          <w:szCs w:val="21"/>
        </w:rPr>
      </w:pPr>
      <w:r>
        <w:rPr>
          <w:rFonts w:hint="eastAsia" w:hAnsi="宋体"/>
          <w:color w:val="000000"/>
          <w:szCs w:val="21"/>
        </w:rPr>
        <w:t>电子信箱：</w:t>
      </w:r>
      <w:r>
        <w:rPr>
          <w:color w:val="000000"/>
          <w:szCs w:val="21"/>
          <w:u w:val="single"/>
        </w:rPr>
        <w:t xml:space="preserve">                 </w:t>
      </w:r>
      <w:r>
        <w:rPr>
          <w:color w:val="000000"/>
          <w:szCs w:val="21"/>
        </w:rPr>
        <w:t xml:space="preserve">                  </w:t>
      </w:r>
      <w:r>
        <w:rPr>
          <w:rFonts w:hint="eastAsia" w:hAnsi="宋体"/>
          <w:color w:val="000000"/>
          <w:szCs w:val="21"/>
        </w:rPr>
        <w:t>电子信箱：</w:t>
      </w:r>
      <w:r>
        <w:rPr>
          <w:rFonts w:hint="eastAsia" w:hAnsi="宋体"/>
          <w:color w:val="000000"/>
          <w:szCs w:val="21"/>
          <w:u w:val="single"/>
        </w:rPr>
        <w:t></w:t>
      </w:r>
      <w:r>
        <w:rPr>
          <w:color w:val="000000"/>
          <w:szCs w:val="21"/>
          <w:u w:val="single"/>
        </w:rPr>
        <w:t xml:space="preserve">   </w:t>
      </w:r>
    </w:p>
    <w:p w14:paraId="2EE9B390">
      <w:pPr>
        <w:pStyle w:val="75"/>
        <w:spacing w:line="360" w:lineRule="auto"/>
        <w:rPr>
          <w:color w:val="000000"/>
          <w:szCs w:val="21"/>
        </w:rPr>
      </w:pPr>
      <w:r>
        <w:rPr>
          <w:rFonts w:hint="eastAsia" w:hAnsi="宋体"/>
          <w:color w:val="000000"/>
          <w:szCs w:val="21"/>
        </w:rPr>
        <w:t>开户银行：</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开户银行：</w:t>
      </w:r>
      <w:r>
        <w:rPr>
          <w:rFonts w:hint="eastAsia" w:hAnsi="宋体"/>
          <w:color w:val="000000"/>
          <w:szCs w:val="21"/>
          <w:u w:val="single"/>
        </w:rPr>
        <w:t></w:t>
      </w:r>
      <w:r>
        <w:rPr>
          <w:color w:val="000000"/>
          <w:szCs w:val="21"/>
          <w:u w:val="single"/>
        </w:rPr>
        <w:t xml:space="preserve">   </w:t>
      </w:r>
    </w:p>
    <w:p w14:paraId="221300B3">
      <w:pPr>
        <w:pStyle w:val="75"/>
        <w:rPr>
          <w:color w:val="000000"/>
        </w:rPr>
      </w:pPr>
      <w:r>
        <w:rPr>
          <w:rFonts w:hint="eastAsia" w:hAnsi="宋体"/>
          <w:color w:val="000000"/>
          <w:szCs w:val="21"/>
        </w:rPr>
        <w:t>账</w:t>
      </w:r>
      <w:r>
        <w:rPr>
          <w:color w:val="000000"/>
          <w:szCs w:val="21"/>
        </w:rPr>
        <w:t xml:space="preserve">  </w:t>
      </w:r>
      <w:r>
        <w:rPr>
          <w:rFonts w:hint="eastAsia" w:hAnsi="宋体"/>
          <w:color w:val="000000"/>
          <w:szCs w:val="21"/>
        </w:rPr>
        <w:t>号：</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账</w:t>
      </w:r>
      <w:r>
        <w:rPr>
          <w:color w:val="000000"/>
          <w:szCs w:val="21"/>
        </w:rPr>
        <w:t xml:space="preserve">  </w:t>
      </w:r>
      <w:r>
        <w:rPr>
          <w:rFonts w:hint="eastAsia" w:hAnsi="宋体"/>
          <w:color w:val="000000"/>
          <w:szCs w:val="21"/>
        </w:rPr>
        <w:t>号：</w:t>
      </w:r>
      <w:r>
        <w:rPr>
          <w:rFonts w:hint="eastAsia" w:hAnsi="宋体"/>
          <w:color w:val="000000"/>
          <w:szCs w:val="21"/>
          <w:u w:val="single"/>
        </w:rPr>
        <w:t></w:t>
      </w:r>
      <w:r>
        <w:rPr>
          <w:color w:val="000000"/>
          <w:szCs w:val="21"/>
          <w:u w:val="single"/>
        </w:rPr>
        <w:t xml:space="preserve">     </w:t>
      </w:r>
      <w:r>
        <w:rPr>
          <w:color w:val="000000"/>
        </w:rPr>
        <w:t xml:space="preserve"> </w:t>
      </w:r>
    </w:p>
    <w:p w14:paraId="6263F1EA">
      <w:pPr>
        <w:rPr>
          <w:rFonts w:ascii="宋体" w:hAnsi="宋体" w:cs="宋体"/>
          <w:color w:val="000000"/>
          <w:sz w:val="20"/>
        </w:rPr>
      </w:pPr>
      <w:r>
        <w:rPr>
          <w:rFonts w:hint="eastAsia" w:ascii="宋体" w:hAnsi="宋体" w:cs="宋体"/>
          <w:color w:val="000000"/>
          <w:sz w:val="20"/>
        </w:rPr>
        <w:t xml:space="preserve"> </w:t>
      </w:r>
    </w:p>
    <w:p w14:paraId="5B7781AE">
      <w:pPr>
        <w:widowControl/>
        <w:jc w:val="left"/>
        <w:rPr>
          <w:rFonts w:hint="eastAsia" w:ascii="宋体" w:hAnsi="宋体" w:cs="宋体"/>
          <w:color w:val="000000"/>
          <w:u w:val="single"/>
        </w:rPr>
      </w:pPr>
      <w:r>
        <w:rPr>
          <w:rFonts w:hint="eastAsia" w:ascii="宋体" w:hAnsi="宋体" w:cs="宋体"/>
          <w:color w:val="000000"/>
        </w:rPr>
        <w:br w:type="page"/>
      </w:r>
    </w:p>
    <w:p w14:paraId="6692B6D6">
      <w:pPr>
        <w:pStyle w:val="2"/>
        <w:jc w:val="center"/>
        <w:rPr>
          <w:rFonts w:hint="eastAsia" w:ascii="宋体" w:hAnsi="宋体" w:cs="宋体"/>
          <w:color w:val="000000"/>
        </w:rPr>
      </w:pPr>
      <w:bookmarkStart w:id="194" w:name="_Toc407135192"/>
      <w:bookmarkStart w:id="195" w:name="_Toc166576093"/>
      <w:bookmarkStart w:id="196" w:name="_Toc23781183"/>
      <w:bookmarkStart w:id="197" w:name="_Toc389065256"/>
      <w:bookmarkStart w:id="198" w:name="_Toc373478338"/>
      <w:bookmarkStart w:id="199" w:name="_Toc351203632"/>
      <w:bookmarkStart w:id="200" w:name="_Toc373227691"/>
      <w:r>
        <w:rPr>
          <w:rFonts w:hint="eastAsia" w:ascii="宋体" w:hAnsi="宋体" w:cs="宋体"/>
          <w:color w:val="000000"/>
        </w:rPr>
        <w:t>第二部分 通用合同条款</w:t>
      </w:r>
      <w:bookmarkEnd w:id="194"/>
      <w:bookmarkEnd w:id="195"/>
      <w:bookmarkEnd w:id="196"/>
      <w:bookmarkEnd w:id="197"/>
    </w:p>
    <w:p w14:paraId="065B5490">
      <w:pPr>
        <w:spacing w:line="360" w:lineRule="auto"/>
        <w:ind w:firstLine="422" w:firstLineChars="200"/>
        <w:rPr>
          <w:rFonts w:hint="eastAsia" w:ascii="宋体" w:hAnsi="宋体" w:cs="宋体"/>
          <w:b/>
          <w:bCs/>
          <w:color w:val="000000"/>
          <w:kern w:val="0"/>
        </w:rPr>
      </w:pPr>
      <w:r>
        <w:rPr>
          <w:rFonts w:hint="eastAsia" w:ascii="宋体" w:hAnsi="宋体" w:cs="宋体"/>
          <w:b/>
          <w:bCs/>
          <w:color w:val="000000"/>
          <w:kern w:val="0"/>
        </w:rPr>
        <w:t>采用《建设工程施工合同（示范文本）》（GF—2017—0201）。</w:t>
      </w:r>
    </w:p>
    <w:p w14:paraId="45D67669">
      <w:pPr>
        <w:pStyle w:val="2"/>
        <w:keepNext w:val="0"/>
        <w:keepLines w:val="0"/>
        <w:jc w:val="center"/>
        <w:rPr>
          <w:rFonts w:hint="eastAsia" w:ascii="宋体" w:hAnsi="宋体" w:cs="宋体"/>
          <w:color w:val="000000"/>
          <w:sz w:val="30"/>
          <w:szCs w:val="30"/>
        </w:rPr>
      </w:pPr>
      <w:bookmarkStart w:id="201" w:name="_Toc23781184"/>
      <w:bookmarkStart w:id="202" w:name="_Toc407135193"/>
      <w:bookmarkStart w:id="203" w:name="_Toc389065257"/>
      <w:bookmarkStart w:id="204" w:name="_Toc166576094"/>
      <w:r>
        <w:rPr>
          <w:rFonts w:hint="eastAsia" w:ascii="宋体" w:hAnsi="宋体" w:cs="宋体"/>
          <w:color w:val="000000"/>
          <w:sz w:val="30"/>
          <w:szCs w:val="30"/>
        </w:rPr>
        <w:t>第三部分 专用合同条款</w:t>
      </w:r>
      <w:bookmarkEnd w:id="198"/>
      <w:bookmarkEnd w:id="199"/>
      <w:bookmarkEnd w:id="200"/>
      <w:bookmarkEnd w:id="201"/>
      <w:bookmarkEnd w:id="202"/>
      <w:bookmarkEnd w:id="203"/>
      <w:bookmarkEnd w:id="204"/>
    </w:p>
    <w:p w14:paraId="538A1430">
      <w:pPr>
        <w:spacing w:line="360" w:lineRule="auto"/>
        <w:jc w:val="center"/>
        <w:outlineLvl w:val="1"/>
        <w:rPr>
          <w:rFonts w:hint="eastAsia" w:ascii="宋体" w:hAnsi="宋体" w:cs="宋体"/>
          <w:b/>
          <w:bCs/>
          <w:color w:val="000000"/>
          <w:kern w:val="0"/>
          <w:szCs w:val="22"/>
        </w:rPr>
      </w:pPr>
    </w:p>
    <w:p w14:paraId="2072FF70">
      <w:pPr>
        <w:rPr>
          <w:rFonts w:hint="eastAsia" w:ascii="宋体" w:hAnsi="宋体" w:cs="宋体"/>
          <w:color w:val="000000"/>
          <w:sz w:val="20"/>
        </w:rPr>
      </w:pPr>
    </w:p>
    <w:p w14:paraId="25E7C698">
      <w:pPr>
        <w:keepNext w:val="0"/>
        <w:keepLines w:val="0"/>
        <w:pageBreakBefore w:val="0"/>
        <w:widowControl/>
        <w:kinsoku/>
        <w:wordWrap/>
        <w:overflowPunct/>
        <w:topLinePunct w:val="0"/>
        <w:bidi w:val="0"/>
        <w:adjustRightInd/>
        <w:snapToGrid/>
        <w:spacing w:before="60" w:after="60" w:line="440" w:lineRule="exact"/>
        <w:textAlignment w:val="auto"/>
        <w:outlineLvl w:val="2"/>
        <w:rPr>
          <w:rFonts w:ascii="Times New Roman" w:hAnsi="Times New Roman" w:eastAsia="宋体" w:cs="宋体"/>
          <w:b/>
          <w:bCs/>
          <w:color w:val="auto"/>
          <w:kern w:val="0"/>
          <w:szCs w:val="21"/>
        </w:rPr>
      </w:pPr>
      <w:bookmarkStart w:id="205" w:name="_Toc1017"/>
      <w:bookmarkStart w:id="206" w:name="_Toc11129"/>
      <w:bookmarkStart w:id="207" w:name="_Toc15810"/>
      <w:bookmarkStart w:id="208" w:name="_Toc351203633"/>
      <w:bookmarkStart w:id="209" w:name="_Toc373478339"/>
      <w:bookmarkStart w:id="210" w:name="_Toc373227692"/>
      <w:bookmarkStart w:id="211" w:name="_Toc389065258"/>
      <w:r>
        <w:rPr>
          <w:rFonts w:hint="eastAsia" w:ascii="Times New Roman" w:hAnsi="Times New Roman" w:eastAsia="宋体" w:cs="宋体"/>
          <w:b/>
          <w:bCs/>
          <w:color w:val="auto"/>
          <w:kern w:val="0"/>
          <w:szCs w:val="21"/>
        </w:rPr>
        <w:t>1. 一般约定</w:t>
      </w:r>
      <w:bookmarkEnd w:id="205"/>
      <w:bookmarkEnd w:id="206"/>
    </w:p>
    <w:p w14:paraId="2BF0B9FC">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 词语定义</w:t>
      </w:r>
    </w:p>
    <w:p w14:paraId="7B5A2E2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1.1.1合同</w:t>
      </w:r>
    </w:p>
    <w:p w14:paraId="3580A53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1.1.1.10其他合同文件包括：</w:t>
      </w:r>
      <w:r>
        <w:rPr>
          <w:rFonts w:hint="eastAsia" w:ascii="Times New Roman" w:hAnsi="Times New Roman" w:eastAsia="宋体" w:cs="宋体"/>
          <w:color w:val="auto"/>
          <w:kern w:val="0"/>
          <w:szCs w:val="21"/>
          <w:u w:val="single"/>
        </w:rPr>
        <w:t>（1）本合同协议书；（2）</w:t>
      </w:r>
      <w:r>
        <w:rPr>
          <w:rFonts w:hint="eastAsia" w:ascii="Times New Roman" w:hAnsi="Times New Roman" w:cs="宋体"/>
          <w:color w:val="auto"/>
          <w:kern w:val="0"/>
          <w:szCs w:val="21"/>
          <w:u w:val="single"/>
          <w:lang w:eastAsia="zh-CN"/>
        </w:rPr>
        <w:t>中标（成交）</w:t>
      </w:r>
      <w:r>
        <w:rPr>
          <w:rFonts w:ascii="Times New Roman" w:hAnsi="Times New Roman" w:eastAsia="宋体" w:cs="宋体"/>
          <w:color w:val="auto"/>
          <w:kern w:val="0"/>
          <w:szCs w:val="21"/>
          <w:u w:val="single"/>
        </w:rPr>
        <w:t>通知书</w:t>
      </w:r>
      <w:r>
        <w:rPr>
          <w:rFonts w:hint="eastAsia" w:ascii="Times New Roman" w:hAnsi="Times New Roman" w:eastAsia="宋体" w:cs="宋体"/>
          <w:color w:val="auto"/>
          <w:kern w:val="0"/>
          <w:szCs w:val="21"/>
          <w:u w:val="single"/>
        </w:rPr>
        <w:t>；（3）本合同专用条款及补充条款；（4）本合同通用条款；（5）标准、规范及有关技术文件；（6）图纸（含图纸修改通知单及图纸设计变更文件）；（7）本工程预算造价成果文件；（8）双方约定的与工程施工有关的具有合同约束力的文件或书面协议（如工程变更、施工组织设计、签证、工作联系函、会议纪要、补充协议、其他文件等）。</w:t>
      </w:r>
    </w:p>
    <w:p w14:paraId="4A23B86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1.1.2 合同当事人及其他相关方</w:t>
      </w:r>
    </w:p>
    <w:p w14:paraId="6591A49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1.1.2.4监理人：</w:t>
      </w:r>
    </w:p>
    <w:p w14:paraId="57C4614C">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名    称：</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1FEBD40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资质类别和等级：</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165E2EA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联系电话：</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3EB4F8E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电子信箱：</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1CD52C92">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通信地址：</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p>
    <w:p w14:paraId="0C50475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1.1.2.5 设计人：</w:t>
      </w:r>
    </w:p>
    <w:p w14:paraId="0843ACCE">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名    称：</w:t>
      </w:r>
      <w:r>
        <w:rPr>
          <w:rFonts w:hint="eastAsia" w:ascii="Times New Roman" w:hAnsi="Times New Roman" w:eastAsia="宋体" w:cs="宋体"/>
          <w:color w:val="auto"/>
          <w:kern w:val="0"/>
          <w:szCs w:val="21"/>
          <w:u w:val="single"/>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15B8BBF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资质类别和等级：</w:t>
      </w:r>
      <w:r>
        <w:rPr>
          <w:rFonts w:hint="eastAsia" w:ascii="Times New Roman" w:hAnsi="Times New Roman" w:eastAsia="宋体" w:cs="宋体"/>
          <w:color w:val="auto"/>
          <w:kern w:val="0"/>
          <w:szCs w:val="21"/>
          <w:u w:val="single"/>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2948C2F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联系电话：</w:t>
      </w:r>
      <w:r>
        <w:rPr>
          <w:rFonts w:hint="eastAsia" w:ascii="Times New Roman" w:hAnsi="Times New Roman" w:eastAsia="宋体" w:cs="宋体"/>
          <w:color w:val="auto"/>
          <w:kern w:val="0"/>
          <w:szCs w:val="21"/>
          <w:u w:val="single"/>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3E5837F3">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电子信箱：</w:t>
      </w:r>
      <w:r>
        <w:rPr>
          <w:rFonts w:hint="eastAsia" w:ascii="Times New Roman" w:hAnsi="Times New Roman" w:eastAsia="宋体" w:cs="宋体"/>
          <w:color w:val="auto"/>
          <w:kern w:val="0"/>
          <w:szCs w:val="21"/>
          <w:u w:val="single"/>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07DEA801">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通信地址：</w:t>
      </w:r>
      <w:r>
        <w:rPr>
          <w:rFonts w:hint="eastAsia" w:ascii="Times New Roman" w:hAnsi="Times New Roman" w:eastAsia="宋体" w:cs="宋体"/>
          <w:color w:val="auto"/>
          <w:kern w:val="0"/>
          <w:szCs w:val="21"/>
          <w:u w:val="single"/>
        </w:rPr>
        <w:t xml:space="preserve">     </w:t>
      </w:r>
      <w:r>
        <w:rPr>
          <w:rFonts w:hint="eastAsia"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4823AD9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1.1.3 工程和设备</w:t>
      </w:r>
    </w:p>
    <w:p w14:paraId="5AB36AB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1.1.3.7 作为施工现场组成部分的其他场所包括：</w:t>
      </w:r>
      <w:r>
        <w:rPr>
          <w:rFonts w:hint="eastAsia" w:ascii="Times New Roman" w:hAnsi="Times New Roman" w:eastAsia="宋体" w:cs="宋体"/>
          <w:color w:val="auto"/>
          <w:kern w:val="0"/>
          <w:szCs w:val="21"/>
          <w:u w:val="single"/>
        </w:rPr>
        <w:t>用于承包人施工所需的场地</w:t>
      </w:r>
      <w:r>
        <w:rPr>
          <w:rFonts w:hint="eastAsia" w:ascii="Times New Roman" w:hAnsi="Times New Roman" w:eastAsia="宋体" w:cs="宋体"/>
          <w:color w:val="auto"/>
          <w:kern w:val="0"/>
          <w:szCs w:val="21"/>
        </w:rPr>
        <w:t>。</w:t>
      </w:r>
    </w:p>
    <w:p w14:paraId="6FCD29D7">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1.1.3.9 永久占地包括：</w:t>
      </w:r>
      <w:r>
        <w:rPr>
          <w:rFonts w:hint="eastAsia" w:ascii="Times New Roman" w:hAnsi="Times New Roman" w:eastAsia="宋体" w:cs="宋体"/>
          <w:color w:val="auto"/>
          <w:kern w:val="0"/>
          <w:szCs w:val="21"/>
          <w:u w:val="single"/>
        </w:rPr>
        <w:t>实施工程需永久占用的土地</w:t>
      </w:r>
      <w:r>
        <w:rPr>
          <w:rFonts w:hint="eastAsia" w:ascii="Times New Roman" w:hAnsi="Times New Roman" w:eastAsia="宋体" w:cs="宋体"/>
          <w:color w:val="auto"/>
          <w:kern w:val="0"/>
          <w:szCs w:val="21"/>
        </w:rPr>
        <w:t>。</w:t>
      </w:r>
    </w:p>
    <w:p w14:paraId="5A8607CB">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1.1.3.10 临时占地包括：</w:t>
      </w:r>
      <w:r>
        <w:rPr>
          <w:rFonts w:hint="eastAsia" w:ascii="Times New Roman" w:hAnsi="Times New Roman" w:eastAsia="宋体" w:cs="宋体"/>
          <w:color w:val="auto"/>
          <w:kern w:val="0"/>
          <w:szCs w:val="21"/>
          <w:u w:val="single"/>
        </w:rPr>
        <w:t>实施工程需要临时占用的土地</w:t>
      </w:r>
      <w:r>
        <w:rPr>
          <w:rFonts w:hint="eastAsia" w:ascii="Times New Roman" w:hAnsi="Times New Roman" w:eastAsia="宋体" w:cs="宋体"/>
          <w:color w:val="auto"/>
          <w:kern w:val="0"/>
          <w:szCs w:val="21"/>
        </w:rPr>
        <w:t>。</w:t>
      </w:r>
    </w:p>
    <w:p w14:paraId="7C5DEE80">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1.3法律 </w:t>
      </w:r>
    </w:p>
    <w:p w14:paraId="6AC6B5E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适用于合同的其他规范性文件：</w:t>
      </w:r>
      <w:r>
        <w:rPr>
          <w:rFonts w:hint="eastAsia" w:ascii="Times New Roman" w:hAnsi="Times New Roman" w:eastAsia="宋体" w:cs="宋体"/>
          <w:color w:val="auto"/>
          <w:kern w:val="0"/>
          <w:szCs w:val="21"/>
          <w:u w:val="single"/>
        </w:rPr>
        <w:t>《中华人民共和国民法典》、《中华人民共和国建筑法》、《建设工程质量管理条例》及现行的国家法律、行政法规及部门规章，工程所在地政府、行政主管部门的有关法规和规章及规范性文件。</w:t>
      </w:r>
    </w:p>
    <w:p w14:paraId="1EBD4BA8">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 标准和规范</w:t>
      </w:r>
    </w:p>
    <w:p w14:paraId="7C20D91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1.4.1适用于工程的标准规范包括：</w:t>
      </w:r>
      <w:r>
        <w:rPr>
          <w:rFonts w:hint="eastAsia" w:ascii="Times New Roman" w:hAnsi="Times New Roman" w:eastAsia="宋体" w:cs="宋体"/>
          <w:color w:val="auto"/>
          <w:kern w:val="0"/>
          <w:szCs w:val="21"/>
          <w:u w:val="single"/>
        </w:rPr>
        <w:t>国家及工程所在地省市颁布的与本合同工程有关的现行的法律、行政法规、技术标准及规范。国家和本地方没有规定的，按发包人指定的规范、标准执行。</w:t>
      </w:r>
    </w:p>
    <w:p w14:paraId="7BD42BA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1.4.2 发包人提供国外标准、规范的名称：</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77022E0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发包人提供国外标准、规范的份数：</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605FD0C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发包人提供国外标准、规范的名称：</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783B750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1.4.3发包人对工程的技术标准和功能要求的特殊要求：</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5A53254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 合同文件的优先顺序</w:t>
      </w:r>
    </w:p>
    <w:p w14:paraId="295EB545">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合同文件组成及优先顺序为：</w:t>
      </w:r>
    </w:p>
    <w:p w14:paraId="6787D40B">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（1）合同协议书；</w:t>
      </w:r>
    </w:p>
    <w:p w14:paraId="2A6BF75A">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通知书（如果有）；</w:t>
      </w:r>
    </w:p>
    <w:p w14:paraId="71D50314">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（3）投标函及其附录（如果有）； </w:t>
      </w:r>
    </w:p>
    <w:p w14:paraId="201D5DE6">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（4）专用合同条款及其附件；</w:t>
      </w:r>
    </w:p>
    <w:p w14:paraId="1067FDAA">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（5）通用合同条款；</w:t>
      </w:r>
    </w:p>
    <w:p w14:paraId="46964171">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（6）技术标准和要求；</w:t>
      </w:r>
    </w:p>
    <w:p w14:paraId="5E4E4BE5">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（7）图纸（含图纸修改通知单及图纸设计变更文件）；</w:t>
      </w:r>
    </w:p>
    <w:p w14:paraId="0F829FB0">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（8）已标价工程量清单或预算书；</w:t>
      </w:r>
    </w:p>
    <w:p w14:paraId="16D8E31E">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（9）本工程预算控制价造价成果文件。</w:t>
      </w:r>
    </w:p>
    <w:p w14:paraId="12D3B194">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（10）《建设工程工程量清单计价规范（2013》及其广西实施细则、《建设工程工程量清单计算规范（2013）》及其广西实施细则。</w:t>
      </w:r>
    </w:p>
    <w:p w14:paraId="729FC911">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（11）合同履行中发包人和承包人就有关工程的洽商、变更等书面协议或文件视为本合同有效施工组成部分。</w:t>
      </w:r>
    </w:p>
    <w:p w14:paraId="35C6540F">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（12）上述各项合同文件包括合同当事人就该项合同文件所作出的补充和修改，属于同一类内容的文件，应以最新签署的为准。</w:t>
      </w:r>
    </w:p>
    <w:p w14:paraId="61D921F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（13）在合同订立及履行过程中形成的与合同有关的文件均构成合同文件组成部分，并根据其性质确定优先解释顺序。</w:t>
      </w:r>
    </w:p>
    <w:p w14:paraId="6C52941F">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 图纸和承包人文件</w:t>
      </w:r>
    </w:p>
    <w:p w14:paraId="5DFDE03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1.6.1 图纸的提供</w:t>
      </w:r>
    </w:p>
    <w:p w14:paraId="5D88BAC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发包人向承包人提供图纸的期限：</w:t>
      </w:r>
      <w:r>
        <w:rPr>
          <w:rFonts w:hint="eastAsia" w:ascii="Times New Roman" w:hAnsi="Times New Roman" w:eastAsia="宋体" w:cs="宋体"/>
          <w:color w:val="auto"/>
          <w:kern w:val="0"/>
          <w:szCs w:val="21"/>
          <w:u w:val="single"/>
        </w:rPr>
        <w:t>合同生效后7天内，开工前15天内（以时间在后的日期为准）</w:t>
      </w:r>
      <w:r>
        <w:rPr>
          <w:rFonts w:hint="eastAsia" w:ascii="Times New Roman" w:hAnsi="Times New Roman" w:eastAsia="宋体" w:cs="宋体"/>
          <w:color w:val="auto"/>
          <w:kern w:val="0"/>
          <w:szCs w:val="21"/>
        </w:rPr>
        <w:t>；</w:t>
      </w:r>
    </w:p>
    <w:p w14:paraId="1FC8BE1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发包人向承包人提供图纸的数量：</w:t>
      </w:r>
      <w:r>
        <w:rPr>
          <w:rFonts w:hint="eastAsia" w:ascii="Times New Roman" w:hAnsi="Times New Roman" w:eastAsia="宋体" w:cs="宋体"/>
          <w:color w:val="auto"/>
          <w:kern w:val="0"/>
          <w:szCs w:val="21"/>
          <w:u w:val="single"/>
        </w:rPr>
        <w:t>6套纸质施工图纸；承包人需要增加图纸套数的，承包人自行负责并承担相应费用；</w:t>
      </w:r>
    </w:p>
    <w:p w14:paraId="0E2A281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发包人向承包人提供图纸的内容：</w:t>
      </w:r>
      <w:r>
        <w:rPr>
          <w:rFonts w:hint="eastAsia" w:ascii="Times New Roman" w:hAnsi="Times New Roman" w:eastAsia="宋体" w:cs="宋体"/>
          <w:color w:val="auto"/>
          <w:kern w:val="0"/>
          <w:szCs w:val="21"/>
          <w:u w:val="single"/>
        </w:rPr>
        <w:t>按照约定的施工内容，在合理的时间内，提供本工程的全套完整的施工图纸和其他技术资料</w:t>
      </w:r>
      <w:r>
        <w:rPr>
          <w:rFonts w:hint="eastAsia" w:ascii="Times New Roman" w:hAnsi="Times New Roman" w:eastAsia="宋体" w:cs="宋体"/>
          <w:color w:val="auto"/>
          <w:kern w:val="0"/>
          <w:szCs w:val="21"/>
        </w:rPr>
        <w:t>。</w:t>
      </w:r>
    </w:p>
    <w:p w14:paraId="26C1959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1.6.4 承包人文件</w:t>
      </w:r>
    </w:p>
    <w:p w14:paraId="18965454">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需要由承包人提供的文件，包括：</w:t>
      </w:r>
      <w:r>
        <w:rPr>
          <w:rFonts w:hint="eastAsia" w:ascii="Times New Roman" w:hAnsi="Times New Roman" w:eastAsia="宋体" w:cs="宋体"/>
          <w:color w:val="auto"/>
          <w:kern w:val="0"/>
          <w:szCs w:val="21"/>
          <w:u w:val="single"/>
        </w:rPr>
        <w:t>1、资质证书、营业执照副本、安全生产许可证复印件并加</w:t>
      </w:r>
      <w:r>
        <w:rPr>
          <w:rFonts w:hint="eastAsia" w:cs="宋体"/>
          <w:color w:val="auto"/>
          <w:kern w:val="0"/>
          <w:szCs w:val="21"/>
          <w:u w:val="single"/>
          <w:lang w:eastAsia="zh-CN"/>
        </w:rPr>
        <w:t>盖</w:t>
      </w:r>
      <w:r>
        <w:rPr>
          <w:rFonts w:hint="eastAsia" w:ascii="Times New Roman" w:hAnsi="Times New Roman" w:eastAsia="宋体" w:cs="宋体"/>
          <w:color w:val="auto"/>
          <w:kern w:val="0"/>
          <w:szCs w:val="21"/>
          <w:u w:val="single"/>
        </w:rPr>
        <w:t>单位公章；2、施工组织设计、工程进度计划；3、施工预算书；4、专项施工方案、安全文明施工措施、质量管控体系；5、施工图以外的大样图、加工图、标准图等图册；6、管理人员名单、职称、职务、上岗证等；7、其他建设行政主管部门、发包人需要用于本工程的文件（含电子版）</w:t>
      </w:r>
      <w:r>
        <w:rPr>
          <w:rFonts w:hint="eastAsia" w:ascii="Times New Roman" w:hAnsi="Times New Roman" w:eastAsia="宋体" w:cs="宋体"/>
          <w:color w:val="auto"/>
          <w:kern w:val="0"/>
          <w:szCs w:val="21"/>
        </w:rPr>
        <w:t>；</w:t>
      </w:r>
    </w:p>
    <w:p w14:paraId="2E416BE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承包人提供的文件的期限为：</w:t>
      </w:r>
      <w:r>
        <w:rPr>
          <w:rFonts w:hint="eastAsia" w:ascii="Times New Roman" w:hAnsi="Times New Roman" w:eastAsia="宋体" w:cs="宋体"/>
          <w:color w:val="auto"/>
          <w:kern w:val="0"/>
          <w:szCs w:val="21"/>
          <w:u w:val="single"/>
        </w:rPr>
        <w:t>签订合同后10天内提供办理施工许可证所需的资料，开工前5天内上述资料必须全部提供完整，上述两个阶段，每延迟一天，按</w:t>
      </w:r>
      <w:r>
        <w:rPr>
          <w:rFonts w:ascii="Times New Roman" w:hAnsi="Times New Roman" w:eastAsia="宋体" w:cs="宋体"/>
          <w:color w:val="auto"/>
          <w:kern w:val="0"/>
          <w:szCs w:val="21"/>
          <w:u w:val="single"/>
        </w:rPr>
        <w:t>5000</w:t>
      </w:r>
      <w:r>
        <w:rPr>
          <w:rFonts w:hint="eastAsia" w:ascii="Times New Roman" w:hAnsi="Times New Roman" w:eastAsia="宋体" w:cs="宋体"/>
          <w:color w:val="auto"/>
          <w:kern w:val="0"/>
          <w:szCs w:val="21"/>
          <w:u w:val="single"/>
        </w:rPr>
        <w:t>元/天进行罚款</w:t>
      </w:r>
      <w:r>
        <w:rPr>
          <w:rFonts w:hint="eastAsia" w:ascii="Times New Roman" w:hAnsi="Times New Roman" w:eastAsia="宋体" w:cs="宋体"/>
          <w:color w:val="auto"/>
          <w:kern w:val="0"/>
          <w:szCs w:val="21"/>
        </w:rPr>
        <w:t>；</w:t>
      </w:r>
    </w:p>
    <w:p w14:paraId="1A66D85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承包人提供的文件的数量为：</w:t>
      </w:r>
      <w:r>
        <w:rPr>
          <w:rFonts w:hint="eastAsia" w:ascii="Times New Roman" w:hAnsi="Times New Roman" w:eastAsia="宋体" w:cs="宋体"/>
          <w:color w:val="auto"/>
          <w:kern w:val="0"/>
          <w:szCs w:val="21"/>
          <w:u w:val="single"/>
        </w:rPr>
        <w:t>6套纸质版</w:t>
      </w:r>
      <w:r>
        <w:rPr>
          <w:rFonts w:hint="eastAsia" w:ascii="Times New Roman" w:hAnsi="Times New Roman" w:eastAsia="宋体" w:cs="宋体"/>
          <w:color w:val="auto"/>
          <w:kern w:val="0"/>
          <w:szCs w:val="21"/>
        </w:rPr>
        <w:t>；</w:t>
      </w:r>
    </w:p>
    <w:p w14:paraId="73521A9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承包人提供的文件的形式为：</w:t>
      </w:r>
      <w:r>
        <w:rPr>
          <w:rFonts w:ascii="Times New Roman" w:hAnsi="Times New Roman" w:eastAsia="宋体" w:cs="宋体"/>
          <w:color w:val="auto"/>
          <w:kern w:val="0"/>
          <w:szCs w:val="21"/>
          <w:u w:val="single"/>
        </w:rPr>
        <w:t>纸质版装订成册</w:t>
      </w:r>
      <w:r>
        <w:rPr>
          <w:rFonts w:hint="eastAsia" w:ascii="Times New Roman" w:hAnsi="Times New Roman" w:eastAsia="宋体" w:cs="宋体"/>
          <w:color w:val="auto"/>
          <w:kern w:val="0"/>
          <w:szCs w:val="21"/>
        </w:rPr>
        <w:t>；</w:t>
      </w:r>
    </w:p>
    <w:p w14:paraId="4D8548A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发包人审批承包人文件的期限：</w:t>
      </w:r>
      <w:r>
        <w:rPr>
          <w:rFonts w:hint="eastAsia" w:ascii="Times New Roman" w:hAnsi="Times New Roman" w:eastAsia="宋体" w:cs="宋体"/>
          <w:color w:val="auto"/>
          <w:kern w:val="0"/>
          <w:szCs w:val="21"/>
          <w:u w:val="single"/>
        </w:rPr>
        <w:t>收到承包人齐全有效的文件后10天内</w:t>
      </w:r>
      <w:r>
        <w:rPr>
          <w:rFonts w:hint="eastAsia" w:ascii="Times New Roman" w:hAnsi="Times New Roman" w:eastAsia="宋体" w:cs="宋体"/>
          <w:color w:val="auto"/>
          <w:kern w:val="0"/>
          <w:szCs w:val="21"/>
        </w:rPr>
        <w:t>。</w:t>
      </w:r>
    </w:p>
    <w:p w14:paraId="767C876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1.6.5 现场图纸准备</w:t>
      </w:r>
    </w:p>
    <w:p w14:paraId="20B8A5F2">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关于现场图纸准备的约定：</w:t>
      </w:r>
      <w:r>
        <w:rPr>
          <w:rFonts w:hint="eastAsia" w:ascii="Times New Roman" w:hAnsi="Times New Roman" w:eastAsia="宋体" w:cs="宋体"/>
          <w:color w:val="auto"/>
          <w:kern w:val="0"/>
          <w:szCs w:val="21"/>
          <w:u w:val="single"/>
        </w:rPr>
        <w:t>发包人向承包人提供图纸后在施工现场不够使用时由承包人自行复印，图纸未经发包人允许不得向第三人借阅；承包人应在施工现场另行保存一套完整的图纸供发包人、监理人及有关人员进行工程检查时使用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int="eastAsia" w:ascii="Times New Roman" w:hAnsi="Times New Roman" w:eastAsia="宋体" w:cs="宋体"/>
          <w:color w:val="auto"/>
          <w:kern w:val="0"/>
          <w:szCs w:val="21"/>
        </w:rPr>
        <w:t>。</w:t>
      </w:r>
    </w:p>
    <w:p w14:paraId="171F40F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1.7 联络</w:t>
      </w:r>
    </w:p>
    <w:p w14:paraId="6C63F03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1.7.1发包人和承包人应当在</w:t>
      </w:r>
      <w:r>
        <w:rPr>
          <w:rFonts w:hint="eastAsia" w:ascii="Times New Roman" w:hAnsi="Times New Roman" w:eastAsia="宋体" w:cs="宋体"/>
          <w:color w:val="auto"/>
          <w:kern w:val="0"/>
          <w:szCs w:val="21"/>
          <w:u w:val="single"/>
        </w:rPr>
        <w:t xml:space="preserve">7  </w:t>
      </w:r>
      <w:r>
        <w:rPr>
          <w:rFonts w:hint="eastAsia" w:ascii="Times New Roman" w:hAnsi="Times New Roman" w:eastAsia="宋体" w:cs="宋体"/>
          <w:color w:val="auto"/>
          <w:kern w:val="0"/>
          <w:szCs w:val="21"/>
        </w:rPr>
        <w:t>天内将与合同有关的通知、批准、证明、证书、指示、指令、要求、请求、同意、意见、确定和决定等书面函件送达对方当事人。</w:t>
      </w:r>
    </w:p>
    <w:p w14:paraId="1C2943D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1.7.2 </w:t>
      </w:r>
    </w:p>
    <w:p w14:paraId="0BF2571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①发包人接收文件的地点：</w:t>
      </w:r>
      <w:r>
        <w:rPr>
          <w:rFonts w:hint="eastAsia" w:ascii="Times New Roman" w:hAnsi="Times New Roman" w:eastAsia="宋体" w:cs="宋体"/>
          <w:color w:val="auto"/>
          <w:kern w:val="0"/>
          <w:szCs w:val="21"/>
          <w:u w:val="single"/>
        </w:rPr>
        <w:t>现场项目部</w:t>
      </w:r>
      <w:r>
        <w:rPr>
          <w:rFonts w:hint="eastAsia" w:ascii="Times New Roman" w:hAnsi="Times New Roman" w:eastAsia="宋体" w:cs="宋体"/>
          <w:color w:val="auto"/>
          <w:kern w:val="0"/>
          <w:szCs w:val="21"/>
        </w:rPr>
        <w:t>；</w:t>
      </w:r>
    </w:p>
    <w:p w14:paraId="0D610DF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②发包人指定的接收人为：</w:t>
      </w:r>
      <w:r>
        <w:rPr>
          <w:rFonts w:hint="eastAsia" w:ascii="Times New Roman" w:hAnsi="Times New Roman" w:eastAsia="宋体" w:cs="宋体"/>
          <w:color w:val="auto"/>
          <w:kern w:val="0"/>
          <w:szCs w:val="21"/>
          <w:u w:val="single"/>
        </w:rPr>
        <w:t>发包人现场代表</w:t>
      </w:r>
      <w:r>
        <w:rPr>
          <w:rFonts w:hint="eastAsia" w:ascii="Times New Roman" w:hAnsi="Times New Roman" w:eastAsia="宋体" w:cs="宋体"/>
          <w:color w:val="auto"/>
          <w:kern w:val="0"/>
          <w:szCs w:val="21"/>
        </w:rPr>
        <w:t>。</w:t>
      </w:r>
    </w:p>
    <w:p w14:paraId="0CAF9E2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③承包人接收文件的地点：</w:t>
      </w:r>
      <w:r>
        <w:rPr>
          <w:rFonts w:hint="eastAsia" w:ascii="Times New Roman" w:hAnsi="Times New Roman" w:eastAsia="宋体" w:cs="宋体"/>
          <w:color w:val="auto"/>
          <w:kern w:val="0"/>
          <w:szCs w:val="21"/>
          <w:u w:val="single"/>
        </w:rPr>
        <w:t>现场项目部</w:t>
      </w:r>
      <w:r>
        <w:rPr>
          <w:rFonts w:hint="eastAsia" w:ascii="Times New Roman" w:hAnsi="Times New Roman" w:eastAsia="宋体" w:cs="宋体"/>
          <w:color w:val="auto"/>
          <w:kern w:val="0"/>
          <w:szCs w:val="21"/>
        </w:rPr>
        <w:t>；</w:t>
      </w:r>
    </w:p>
    <w:p w14:paraId="73E3FF1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④承包人指定的接收人为：</w:t>
      </w:r>
      <w:r>
        <w:rPr>
          <w:rFonts w:hint="eastAsia" w:ascii="Times New Roman" w:hAnsi="Times New Roman" w:eastAsia="宋体" w:cs="宋体"/>
          <w:color w:val="auto"/>
          <w:kern w:val="0"/>
          <w:szCs w:val="21"/>
          <w:u w:val="single"/>
        </w:rPr>
        <w:t>承包人现场项目经理</w:t>
      </w:r>
      <w:r>
        <w:rPr>
          <w:rFonts w:hint="eastAsia" w:ascii="Times New Roman" w:hAnsi="Times New Roman" w:eastAsia="宋体" w:cs="宋体"/>
          <w:color w:val="auto"/>
          <w:kern w:val="0"/>
          <w:szCs w:val="21"/>
        </w:rPr>
        <w:t>。</w:t>
      </w:r>
    </w:p>
    <w:p w14:paraId="3AB9BA1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⑤监理人接收文件的地点：</w:t>
      </w:r>
      <w:r>
        <w:rPr>
          <w:rFonts w:hint="eastAsia" w:ascii="Times New Roman" w:hAnsi="Times New Roman" w:eastAsia="宋体" w:cs="宋体"/>
          <w:color w:val="auto"/>
          <w:kern w:val="0"/>
          <w:szCs w:val="21"/>
          <w:u w:val="single"/>
        </w:rPr>
        <w:t>现场项目部</w:t>
      </w:r>
      <w:r>
        <w:rPr>
          <w:rFonts w:hint="eastAsia" w:ascii="Times New Roman" w:hAnsi="Times New Roman" w:eastAsia="宋体" w:cs="宋体"/>
          <w:color w:val="auto"/>
          <w:kern w:val="0"/>
          <w:szCs w:val="21"/>
        </w:rPr>
        <w:t>；</w:t>
      </w:r>
    </w:p>
    <w:p w14:paraId="323E3EB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⑥监理人指定的接收人为：</w:t>
      </w:r>
      <w:r>
        <w:rPr>
          <w:rFonts w:hint="eastAsia" w:ascii="Times New Roman" w:hAnsi="Times New Roman" w:eastAsia="宋体" w:cs="宋体"/>
          <w:color w:val="auto"/>
          <w:kern w:val="0"/>
          <w:szCs w:val="21"/>
          <w:u w:val="single"/>
        </w:rPr>
        <w:t>总监理工程师或现场监理工程师</w:t>
      </w:r>
      <w:r>
        <w:rPr>
          <w:rFonts w:hint="eastAsia" w:ascii="Times New Roman" w:hAnsi="Times New Roman" w:eastAsia="宋体" w:cs="宋体"/>
          <w:color w:val="auto"/>
          <w:kern w:val="0"/>
          <w:szCs w:val="21"/>
        </w:rPr>
        <w:t>。</w:t>
      </w:r>
    </w:p>
    <w:p w14:paraId="582A735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⑦发包人（包括监理人）和承包人中任何一方指定的接收人或者接收地点发生变动，应当在实际变动前提前至少一个工作日以书面方式通知另一方。发包人（包括监理人）和承包人应当确保其各自指定的接收人在法定和（或）符合合同约定的工作时间内始终工作在指定的接收地点，指定接收人离开工作岗位而无法及时签收来往函件构成拒不签收。</w:t>
      </w:r>
    </w:p>
    <w:p w14:paraId="2666AA2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包括监理人和造价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28A9C95">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1.10 交通运输</w:t>
      </w:r>
    </w:p>
    <w:p w14:paraId="7FA14EB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1.10.1 出入现场的权利</w:t>
      </w:r>
    </w:p>
    <w:p w14:paraId="278D48A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关于出入现场的权利的约定：</w:t>
      </w:r>
      <w:r>
        <w:rPr>
          <w:rFonts w:hint="eastAsia" w:ascii="Times New Roman" w:hAnsi="Times New Roman" w:eastAsia="宋体" w:cs="宋体"/>
          <w:color w:val="auto"/>
          <w:kern w:val="0"/>
          <w:szCs w:val="21"/>
          <w:u w:val="single"/>
        </w:rPr>
        <w:t>除正常施工涉及的人员及车辆外，其他人员及车辆进出场内须经过发包人同意，且由承包人进行管理登记</w:t>
      </w:r>
      <w:r>
        <w:rPr>
          <w:rFonts w:hint="eastAsia" w:ascii="Times New Roman" w:hAnsi="Times New Roman" w:eastAsia="宋体" w:cs="宋体"/>
          <w:color w:val="auto"/>
          <w:kern w:val="0"/>
          <w:szCs w:val="21"/>
        </w:rPr>
        <w:t>。</w:t>
      </w:r>
    </w:p>
    <w:p w14:paraId="6026294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1.10.3 场内交通</w:t>
      </w:r>
    </w:p>
    <w:p w14:paraId="4C932EB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关于场外交通和场内交通的边界的约定：</w:t>
      </w:r>
      <w:r>
        <w:rPr>
          <w:rFonts w:hint="eastAsia" w:ascii="Times New Roman" w:hAnsi="Times New Roman" w:eastAsia="宋体" w:cs="宋体"/>
          <w:color w:val="auto"/>
          <w:kern w:val="0"/>
          <w:szCs w:val="21"/>
          <w:u w:val="single"/>
        </w:rPr>
        <w:t>以发包人取得的用地规划许可证上的用地红线为准</w:t>
      </w:r>
      <w:r>
        <w:rPr>
          <w:rFonts w:hint="eastAsia" w:ascii="Times New Roman" w:hAnsi="Times New Roman" w:eastAsia="宋体" w:cs="宋体"/>
          <w:color w:val="auto"/>
          <w:kern w:val="0"/>
          <w:szCs w:val="21"/>
        </w:rPr>
        <w:t>。</w:t>
      </w:r>
    </w:p>
    <w:p w14:paraId="165242C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关于发包人向承包人免费提供满足工程施工需要的场内道路和交通设施的约定：</w:t>
      </w:r>
    </w:p>
    <w:p w14:paraId="3E5B83FA">
      <w:pPr>
        <w:keepNext w:val="0"/>
        <w:keepLines w:val="0"/>
        <w:pageBreakBefore w:val="0"/>
        <w:widowControl/>
        <w:kinsoku/>
        <w:wordWrap/>
        <w:overflowPunct/>
        <w:topLinePunct w:val="0"/>
        <w:bidi w:val="0"/>
        <w:adjustRightInd/>
        <w:snapToGrid/>
        <w:spacing w:line="440" w:lineRule="exact"/>
        <w:ind w:firstLine="422"/>
        <w:jc w:val="left"/>
        <w:textAlignment w:val="auto"/>
        <w:rPr>
          <w:rFonts w:ascii="Times New Roman" w:hAnsi="Times New Roman" w:eastAsia="宋体" w:cs="宋体"/>
          <w:color w:val="auto"/>
          <w:kern w:val="0"/>
          <w:szCs w:val="21"/>
          <w:u w:val="single"/>
        </w:rPr>
      </w:pPr>
      <w:r>
        <w:rPr>
          <w:rFonts w:ascii="Times New Roman" w:hAnsi="Times New Roman" w:eastAsia="宋体" w:cs="宋体"/>
          <w:b/>
          <w:color w:val="auto"/>
          <w:kern w:val="0"/>
          <w:szCs w:val="21"/>
          <w:u w:val="single"/>
        </w:rPr>
        <w:t>发包人提供离施工现场围墙范围50m内的电源点和供水点，接入费用和使用费用由承包人承担。施工需要的场内道路和交通设施，由承包人修建，相关费用按规定执行，确保满足施工运输的需要并保证施工期间的畅通。发包人指定的其他分包人可免费使用该道路。</w:t>
      </w:r>
    </w:p>
    <w:p w14:paraId="2606BC77">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1.10.4超大件和超重件的运输</w:t>
      </w:r>
    </w:p>
    <w:p w14:paraId="6816B91F">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运输超大件或超重件所需的道路和桥梁临时加固改造费用和其他有关费用由</w:t>
      </w:r>
      <w:r>
        <w:rPr>
          <w:rFonts w:hint="eastAsia" w:ascii="Times New Roman" w:hAnsi="Times New Roman" w:eastAsia="宋体" w:cs="宋体"/>
          <w:color w:val="auto"/>
          <w:kern w:val="0"/>
          <w:szCs w:val="21"/>
          <w:u w:val="single"/>
        </w:rPr>
        <w:t>承包人</w:t>
      </w:r>
      <w:r>
        <w:rPr>
          <w:rFonts w:hint="eastAsia" w:ascii="Times New Roman" w:hAnsi="Times New Roman" w:eastAsia="宋体" w:cs="宋体"/>
          <w:color w:val="auto"/>
          <w:kern w:val="0"/>
          <w:szCs w:val="21"/>
        </w:rPr>
        <w:t>承担。</w:t>
      </w:r>
    </w:p>
    <w:p w14:paraId="531053F3">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1.11知识产权</w:t>
      </w:r>
    </w:p>
    <w:p w14:paraId="5C2DA3C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宋体"/>
          <w:color w:val="auto"/>
          <w:kern w:val="0"/>
          <w:szCs w:val="21"/>
          <w:u w:val="single"/>
        </w:rPr>
        <w:t>著作权属于发包人</w:t>
      </w:r>
      <w:r>
        <w:rPr>
          <w:rFonts w:hint="eastAsia" w:ascii="Times New Roman" w:hAnsi="Times New Roman" w:eastAsia="宋体" w:cs="宋体"/>
          <w:color w:val="auto"/>
          <w:kern w:val="0"/>
          <w:szCs w:val="21"/>
        </w:rPr>
        <w:t>。</w:t>
      </w:r>
    </w:p>
    <w:p w14:paraId="2BB048B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关于发包人提供的上述文件的使用限制的要求：</w:t>
      </w:r>
      <w:r>
        <w:rPr>
          <w:rFonts w:hint="eastAsia" w:ascii="Times New Roman" w:hAnsi="Times New Roman" w:eastAsia="宋体" w:cs="宋体"/>
          <w:color w:val="auto"/>
          <w:kern w:val="0"/>
          <w:szCs w:val="21"/>
          <w:u w:val="single"/>
        </w:rPr>
        <w:t>未经发包人同意，承包人不得为了合同以外的目的而复制、使用上述文件或将之提供给任何第三方</w:t>
      </w:r>
      <w:r>
        <w:rPr>
          <w:rFonts w:hint="eastAsia" w:ascii="Times New Roman" w:hAnsi="Times New Roman" w:eastAsia="宋体" w:cs="宋体"/>
          <w:color w:val="auto"/>
          <w:kern w:val="0"/>
          <w:szCs w:val="21"/>
        </w:rPr>
        <w:t>。</w:t>
      </w:r>
    </w:p>
    <w:p w14:paraId="7689EA1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1.11.2 关于承包人为实施工程所编制文件的著作权的归属：</w:t>
      </w:r>
      <w:r>
        <w:rPr>
          <w:rFonts w:hint="eastAsia" w:ascii="Times New Roman" w:hAnsi="Times New Roman" w:eastAsia="宋体" w:cs="宋体"/>
          <w:color w:val="auto"/>
          <w:kern w:val="0"/>
          <w:szCs w:val="21"/>
          <w:u w:val="single"/>
        </w:rPr>
        <w:t>除署名以外著作权属于发包人</w:t>
      </w:r>
      <w:r>
        <w:rPr>
          <w:rFonts w:hint="eastAsia" w:ascii="Times New Roman" w:hAnsi="Times New Roman" w:eastAsia="宋体" w:cs="宋体"/>
          <w:color w:val="auto"/>
          <w:kern w:val="0"/>
          <w:szCs w:val="21"/>
        </w:rPr>
        <w:t>。</w:t>
      </w:r>
    </w:p>
    <w:p w14:paraId="4EAB163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关于承包人提供的上述文件的使用限制的要求：</w:t>
      </w:r>
      <w:r>
        <w:rPr>
          <w:rFonts w:hint="eastAsia" w:ascii="Times New Roman" w:hAnsi="Times New Roman" w:eastAsia="宋体" w:cs="宋体"/>
          <w:color w:val="auto"/>
          <w:kern w:val="0"/>
          <w:szCs w:val="21"/>
          <w:u w:val="single"/>
        </w:rPr>
        <w:t>未经发包人同意，承包人不得为了合同以外的目的而复制、使用上述文件或将之提供给任何第三方</w:t>
      </w:r>
      <w:r>
        <w:rPr>
          <w:rFonts w:hint="eastAsia" w:ascii="Times New Roman" w:hAnsi="Times New Roman" w:eastAsia="宋体" w:cs="宋体"/>
          <w:color w:val="auto"/>
          <w:kern w:val="0"/>
          <w:szCs w:val="21"/>
        </w:rPr>
        <w:t>。</w:t>
      </w:r>
    </w:p>
    <w:p w14:paraId="508969E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1.11.4 承包人在施工过程中所采用的专利、专有技术、技术秘密的使用费</w:t>
      </w:r>
      <w:r>
        <w:rPr>
          <w:rFonts w:hint="eastAsia" w:ascii="Times New Roman" w:hAnsi="Times New Roman" w:eastAsia="宋体" w:cs="宋体"/>
          <w:color w:val="auto"/>
          <w:kern w:val="0"/>
          <w:szCs w:val="21"/>
          <w:u w:val="single"/>
        </w:rPr>
        <w:t>由承包人自行承担相关费用，发包人不额外支付费用</w:t>
      </w:r>
      <w:r>
        <w:rPr>
          <w:rFonts w:hint="eastAsia" w:ascii="Times New Roman" w:hAnsi="Times New Roman" w:eastAsia="宋体" w:cs="宋体"/>
          <w:color w:val="auto"/>
          <w:kern w:val="0"/>
          <w:szCs w:val="21"/>
        </w:rPr>
        <w:t>。</w:t>
      </w:r>
    </w:p>
    <w:p w14:paraId="12EBE7C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1.13工程量清单错误的修正</w:t>
      </w:r>
    </w:p>
    <w:p w14:paraId="464FE84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出现工程量清单错误时，是否调整合同价格：</w:t>
      </w:r>
      <w:r>
        <w:rPr>
          <w:rFonts w:hint="eastAsia" w:ascii="Times New Roman" w:hAnsi="Times New Roman" w:eastAsia="宋体" w:cs="宋体"/>
          <w:color w:val="auto"/>
          <w:kern w:val="0"/>
          <w:szCs w:val="21"/>
          <w:u w:val="single"/>
        </w:rPr>
        <w:t>允许。</w:t>
      </w:r>
    </w:p>
    <w:p w14:paraId="2FEDCE1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允许调整合同价格的工程量偏差范围：</w:t>
      </w:r>
      <w:r>
        <w:rPr>
          <w:rFonts w:hint="eastAsia" w:ascii="Times New Roman" w:hAnsi="Times New Roman" w:eastAsia="宋体" w:cs="宋体"/>
          <w:color w:val="auto"/>
          <w:kern w:val="0"/>
          <w:szCs w:val="21"/>
          <w:u w:val="single"/>
        </w:rPr>
        <w:t>工程量按实际完成的工程量计量</w:t>
      </w:r>
      <w:r>
        <w:rPr>
          <w:rFonts w:hint="eastAsia" w:ascii="Times New Roman" w:hAnsi="Times New Roman" w:eastAsia="宋体" w:cs="宋体"/>
          <w:color w:val="auto"/>
          <w:kern w:val="0"/>
          <w:szCs w:val="21"/>
        </w:rPr>
        <w:t>。</w:t>
      </w:r>
    </w:p>
    <w:p w14:paraId="4414D023">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12" w:name="_Toc17536"/>
      <w:r>
        <w:rPr>
          <w:rFonts w:hint="eastAsia" w:ascii="Times New Roman" w:hAnsi="Times New Roman" w:eastAsia="宋体" w:cs="宋体"/>
          <w:b/>
          <w:bCs/>
          <w:color w:val="auto"/>
          <w:kern w:val="0"/>
          <w:szCs w:val="21"/>
        </w:rPr>
        <w:t>2. 发包人</w:t>
      </w:r>
      <w:bookmarkEnd w:id="212"/>
    </w:p>
    <w:p w14:paraId="0EE756C2">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2.1 将通用条款2.1条第二段修订为：“因发包人原因未能及时办理完毕前述许可、批准或备案，由发包人承担由此增加的费用和（或）延误的工期，但承包人应当在知晓前述情形之日或损失发生之日起28天内向发包人主张增加费用及顺延工期，逾期视为承包人放弃主张增加费用及工期顺延。”</w:t>
      </w:r>
    </w:p>
    <w:p w14:paraId="74AAD99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2.2 发包人代表</w:t>
      </w:r>
    </w:p>
    <w:p w14:paraId="63E7E39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发包人代表：</w:t>
      </w:r>
    </w:p>
    <w:p w14:paraId="4B290CD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姓    名：</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49CDC1A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身份证号：</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0F2AFBD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职    务：</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1796CF2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联系电话：</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489AA05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电子信箱：</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491C3F4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通信地址：</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3D86F21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发包人对发包人代表的授权范围如下：</w:t>
      </w:r>
      <w:r>
        <w:rPr>
          <w:rFonts w:hint="eastAsia" w:ascii="Times New Roman" w:hAnsi="Times New Roman" w:eastAsia="宋体" w:cs="宋体"/>
          <w:color w:val="auto"/>
          <w:kern w:val="0"/>
          <w:szCs w:val="21"/>
          <w:u w:val="single"/>
        </w:rPr>
        <w:t>对工程进度、质量进行监督、办理中间交工工程验收手续，负责现场签证，解决由发包人授权处理的事宜</w:t>
      </w:r>
      <w:r>
        <w:rPr>
          <w:rFonts w:hint="eastAsia" w:ascii="Times New Roman" w:hAnsi="Times New Roman" w:eastAsia="宋体" w:cs="宋体"/>
          <w:color w:val="auto"/>
          <w:kern w:val="0"/>
          <w:szCs w:val="21"/>
        </w:rPr>
        <w:t>。</w:t>
      </w:r>
    </w:p>
    <w:p w14:paraId="406629B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必须经发包人盖章确认的事项：⑴凡涉及扩大建设规模、增加工程投资的设计变更，涉及外立面的变更；⑵施工方案与开工报告审批及停工令，工期的延长和提前竣工；⑶合同条款的变更；⑷合同价款的增减和工程的签证；⑸工程款支付；⑹组织工程竣工验收；⑺结算价款的确认；（8）签发竣工付款证书；（9）签发工程接受证书；（10）签发缺陷责任终止证书；（11）工程变更及签证。承包人明确知晓以上事务的处理必须由发包人盖章的书面文件方为有效，并应自行尽谨慎注意之义务，否则由此产生的不利法律后果由承包人自行承担 。</w:t>
      </w:r>
    </w:p>
    <w:p w14:paraId="0A5E5BC1">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2.4 施工现场、施工条件和基础资料的提供</w:t>
      </w:r>
    </w:p>
    <w:p w14:paraId="087FACE5">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2.4.1 提供施工现场</w:t>
      </w:r>
    </w:p>
    <w:p w14:paraId="6770BB80">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关于发包人移交施工现场的期限要求：</w:t>
      </w:r>
      <w:r>
        <w:rPr>
          <w:rFonts w:hint="eastAsia" w:ascii="Times New Roman" w:hAnsi="Times New Roman" w:eastAsia="宋体" w:cs="宋体"/>
          <w:color w:val="auto"/>
          <w:kern w:val="0"/>
          <w:szCs w:val="21"/>
          <w:u w:val="single"/>
        </w:rPr>
        <w:t>施工场地应在监理人发出的开工通知中载明的开工日期前 7 天具备施工条件并移交给承包人，但不一定是完整工作面的移交。承包人在收到工程师发给的开工通知后，应在指定的时间内将满足合同履行需要的人、机、料等组织进场并从速开工，不得延误。如无相反证据，开工令的签发是现场满足协议书约定的移交标准、具备施工条件且发包人已将现场移交给承包人的充分证据。</w:t>
      </w:r>
    </w:p>
    <w:p w14:paraId="3A8BBB2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工程地质和地下管线资料提供时间</w:t>
      </w:r>
      <w:r>
        <w:rPr>
          <w:rFonts w:hint="eastAsia" w:ascii="Times New Roman" w:hAnsi="Times New Roman" w:eastAsia="宋体" w:cs="宋体"/>
          <w:color w:val="auto"/>
          <w:kern w:val="0"/>
          <w:szCs w:val="21"/>
          <w:u w:val="single"/>
        </w:rPr>
        <w:t>：发包人最迟在移交施工场地的同时向承包人提供施工场地内地下管线和地下设施等有关资料，并保证资料的真实、准确和完整，由承包人现场复核，所发生的费用由承包人承担。</w:t>
      </w:r>
    </w:p>
    <w:p w14:paraId="13A70C80">
      <w:pPr>
        <w:keepNext w:val="0"/>
        <w:keepLines w:val="0"/>
        <w:pageBreakBefore w:val="0"/>
        <w:widowControl/>
        <w:kinsoku/>
        <w:wordWrap/>
        <w:overflowPunct/>
        <w:topLinePunct w:val="0"/>
        <w:bidi w:val="0"/>
        <w:adjustRightInd/>
        <w:snapToGrid/>
        <w:spacing w:line="440" w:lineRule="exact"/>
        <w:ind w:firstLine="368"/>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水准点与坐标控制点交验要求：</w:t>
      </w:r>
      <w:r>
        <w:rPr>
          <w:rFonts w:hint="eastAsia" w:ascii="Times New Roman" w:hAnsi="Times New Roman" w:eastAsia="宋体" w:cs="宋体"/>
          <w:color w:val="auto"/>
          <w:kern w:val="0"/>
          <w:szCs w:val="21"/>
          <w:u w:val="single"/>
        </w:rPr>
        <w:t>于开工前7天内现场交验，双方做好签认工作。</w:t>
      </w:r>
    </w:p>
    <w:p w14:paraId="22EB066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2.4.2 提供施工条件</w:t>
      </w:r>
    </w:p>
    <w:p w14:paraId="33FD6EB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关于发包人应负责提供施工所需要的条件，包括：施工场地、电源点、供水点。</w:t>
      </w:r>
    </w:p>
    <w:p w14:paraId="7DE79F2F">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2.5 资金来源证明及支付担保</w:t>
      </w:r>
    </w:p>
    <w:p w14:paraId="1C68328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发包人提供资金来源证明的期限要求：无。</w:t>
      </w:r>
    </w:p>
    <w:p w14:paraId="1A91EB4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发包人是否提供支付担保：无。</w:t>
      </w:r>
    </w:p>
    <w:p w14:paraId="120EF2D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发包人提供支付担保的形式：无。</w:t>
      </w:r>
    </w:p>
    <w:p w14:paraId="47D29E76">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13" w:name="_Toc32122"/>
      <w:r>
        <w:rPr>
          <w:rFonts w:hint="eastAsia" w:ascii="Times New Roman" w:hAnsi="Times New Roman" w:eastAsia="宋体" w:cs="宋体"/>
          <w:b/>
          <w:bCs/>
          <w:color w:val="auto"/>
          <w:kern w:val="0"/>
          <w:szCs w:val="21"/>
        </w:rPr>
        <w:t>3. 承包人</w:t>
      </w:r>
      <w:bookmarkEnd w:id="213"/>
    </w:p>
    <w:p w14:paraId="3608D5D1">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3.1 承包人的一般义务</w:t>
      </w:r>
    </w:p>
    <w:p w14:paraId="22031484">
      <w:pPr>
        <w:keepNext w:val="0"/>
        <w:keepLines w:val="0"/>
        <w:pageBreakBefore w:val="0"/>
        <w:widowControl/>
        <w:kinsoku/>
        <w:wordWrap/>
        <w:overflowPunct/>
        <w:topLinePunct w:val="0"/>
        <w:bidi w:val="0"/>
        <w:adjustRightInd/>
        <w:snapToGrid/>
        <w:spacing w:line="440" w:lineRule="exact"/>
        <w:ind w:firstLine="21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（9）承包人提交的竣工资料的内容：</w:t>
      </w:r>
      <w:r>
        <w:rPr>
          <w:rFonts w:hint="eastAsia" w:ascii="Times New Roman" w:hAnsi="Times New Roman" w:eastAsia="宋体" w:cs="宋体"/>
          <w:color w:val="auto"/>
          <w:kern w:val="0"/>
          <w:szCs w:val="21"/>
          <w:u w:val="single"/>
        </w:rPr>
        <w:t>①竣工图纸；②设计变更、洽商记录、现场签证；③施工资料：控制资料(含：材料检试验报告、施工记录、检验批质量、隐蔽工程记录、分项工程验收记录、分部工程验收记录)；④管理资料（含：开工报审表、施工日志、施工组织设计）；⑤提交上级建设主管部门的备案资料；⑥桂林市档案馆需要提供的其他资料。</w:t>
      </w:r>
    </w:p>
    <w:p w14:paraId="29296F38">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承包人需要提交的竣工资料套数：</w:t>
      </w:r>
      <w:r>
        <w:rPr>
          <w:rFonts w:hint="eastAsia" w:ascii="Times New Roman" w:hAnsi="Times New Roman" w:eastAsia="宋体" w:cs="宋体"/>
          <w:color w:val="auto"/>
          <w:kern w:val="0"/>
          <w:szCs w:val="21"/>
          <w:u w:val="single"/>
        </w:rPr>
        <w:t>完整、准确的竣工图纸三套及建筑专业竣工图三套，竣工资料一式三份，结算一式三份</w:t>
      </w:r>
      <w:r>
        <w:rPr>
          <w:rFonts w:hint="eastAsia" w:ascii="Times New Roman" w:hAnsi="Times New Roman" w:eastAsia="宋体" w:cs="宋体"/>
          <w:color w:val="auto"/>
          <w:kern w:val="0"/>
          <w:szCs w:val="21"/>
        </w:rPr>
        <w:t>。</w:t>
      </w:r>
    </w:p>
    <w:p w14:paraId="689E137F">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承包人提交的竣工资料的费用承担：</w:t>
      </w:r>
      <w:r>
        <w:rPr>
          <w:rFonts w:hint="eastAsia" w:ascii="Times New Roman" w:hAnsi="Times New Roman" w:eastAsia="宋体" w:cs="宋体"/>
          <w:color w:val="auto"/>
          <w:kern w:val="0"/>
          <w:szCs w:val="21"/>
          <w:u w:val="single"/>
        </w:rPr>
        <w:t>由承包人承担相关费用，如发包人需要增加竣工资料套数的，承包人代为整理，所需的资料费由发包人承担</w:t>
      </w:r>
      <w:r>
        <w:rPr>
          <w:rFonts w:hint="eastAsia" w:ascii="Times New Roman" w:hAnsi="Times New Roman" w:eastAsia="宋体" w:cs="宋体"/>
          <w:color w:val="auto"/>
          <w:kern w:val="0"/>
          <w:szCs w:val="21"/>
        </w:rPr>
        <w:t>。</w:t>
      </w:r>
    </w:p>
    <w:p w14:paraId="00B94A28">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承包人提交的竣工资料移交时间：</w:t>
      </w:r>
      <w:r>
        <w:rPr>
          <w:rFonts w:hint="eastAsia" w:ascii="Times New Roman" w:hAnsi="Times New Roman" w:eastAsia="宋体" w:cs="宋体"/>
          <w:color w:val="auto"/>
          <w:kern w:val="0"/>
          <w:szCs w:val="21"/>
          <w:u w:val="single"/>
        </w:rPr>
        <w:t>竣工验收后30天内</w:t>
      </w:r>
      <w:r>
        <w:rPr>
          <w:rFonts w:hint="eastAsia" w:ascii="Times New Roman" w:hAnsi="Times New Roman" w:eastAsia="宋体" w:cs="宋体"/>
          <w:color w:val="auto"/>
          <w:kern w:val="0"/>
          <w:szCs w:val="21"/>
        </w:rPr>
        <w:t>。</w:t>
      </w:r>
    </w:p>
    <w:p w14:paraId="098637C9">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承包人提交的竣工资料形式要求：</w:t>
      </w:r>
      <w:r>
        <w:rPr>
          <w:rFonts w:ascii="Times New Roman" w:hAnsi="Times New Roman" w:eastAsia="宋体" w:cs="宋体"/>
          <w:color w:val="auto"/>
          <w:kern w:val="0"/>
          <w:szCs w:val="21"/>
          <w:u w:val="single"/>
        </w:rPr>
        <w:t>按竣工资料整理要求编制形成纸质资料并装订成册（达到市档案馆收件标准），并移交发包人。</w:t>
      </w:r>
    </w:p>
    <w:p w14:paraId="4484598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（10）承包人应履行的其他义务：</w:t>
      </w:r>
    </w:p>
    <w:p w14:paraId="0FEE7D23">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1）承包人应负责施工场地及其周边环境与生态的保护工作：按行政部门规定办理手续或双方协商。发包人办理项目环评。①需要办理交通特别通行证时，由承包人负责办证并承担相关费用；②需要排放有害污水时，由承包人办理相关手续，并承担相关费用；③施工噪音超过规定时，由承包人提出措施并承担相关费用。④自行与居民（村民）处理好关系，妥善解决涉及周边居民（村民）纠纷问题。</w:t>
      </w:r>
    </w:p>
    <w:p w14:paraId="74D9FA9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2）为他人提供方便</w:t>
      </w:r>
    </w:p>
    <w:p w14:paraId="7B075EF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承包人应当对在施工场地或者附近实施与合同工程有关的其他工作的独立承包人履行管理、协调、配合、照管和服务义务，由此发生的费用已经包括在承包人的签约合同价中，具体工作内容和要求包括：1、需要办理交通特别通告证时。由承包人负责办证并承担相</w:t>
      </w:r>
      <w:r>
        <w:rPr>
          <w:rFonts w:hint="eastAsia" w:ascii="Times New Roman" w:hAnsi="Times New Roman" w:eastAsia="宋体" w:cs="宋体"/>
          <w:color w:val="auto"/>
          <w:kern w:val="0"/>
          <w:szCs w:val="21"/>
          <w:u w:val="single"/>
          <w:lang w:val="en-US" w:eastAsia="zh-CN"/>
        </w:rPr>
        <w:t>关</w:t>
      </w:r>
      <w:r>
        <w:rPr>
          <w:rFonts w:hint="eastAsia" w:ascii="Times New Roman" w:hAnsi="Times New Roman" w:eastAsia="宋体" w:cs="宋体"/>
          <w:color w:val="auto"/>
          <w:kern w:val="0"/>
          <w:szCs w:val="21"/>
          <w:u w:val="single"/>
        </w:rPr>
        <w:t>费用；2、需要排放有害污水时，由承包人办理有关手续，并承担相关费用；3、施工噪音超过桂林市有关规定标准由此产生的费用由承包人承担；4、免费提供现场监理及发包人办公室、办公桌椅及电话、网络等相应的办公设施（含水电）；5、配合发包人做好安全文明工程、领导检查、宣传等工作；6、负责现场所有分包工程的扬尘防治工作（园林工程除外）。</w:t>
      </w:r>
    </w:p>
    <w:p w14:paraId="6F55F46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u w:val="single"/>
        </w:rPr>
        <w:t>承包人还应按监理人指示为独立承包人以外的他人在施工场地或者附近实施与合同工程有关的其他工作提供可能的条件，可能发生</w:t>
      </w:r>
      <w:r>
        <w:rPr>
          <w:rFonts w:hint="eastAsia" w:cs="宋体"/>
          <w:color w:val="auto"/>
          <w:kern w:val="0"/>
          <w:szCs w:val="21"/>
          <w:u w:val="single"/>
          <w:lang w:eastAsia="zh-CN"/>
        </w:rPr>
        <w:t>的</w:t>
      </w:r>
      <w:r>
        <w:rPr>
          <w:rFonts w:hint="eastAsia" w:ascii="Times New Roman" w:hAnsi="Times New Roman" w:eastAsia="宋体" w:cs="宋体"/>
          <w:color w:val="auto"/>
          <w:kern w:val="0"/>
          <w:szCs w:val="21"/>
          <w:u w:val="single"/>
        </w:rPr>
        <w:t>费用由承包人承担（与村民的关系，甲乙双</w:t>
      </w:r>
      <w:r>
        <w:rPr>
          <w:rFonts w:hint="eastAsia"/>
          <w:lang w:eastAsia="zh-CN"/>
        </w:rPr>
        <w:t>方</w:t>
      </w:r>
      <w:r>
        <w:rPr>
          <w:rFonts w:hint="eastAsia" w:ascii="Times New Roman" w:hAnsi="Times New Roman" w:eastAsia="宋体" w:cs="宋体"/>
          <w:color w:val="auto"/>
          <w:kern w:val="0"/>
          <w:szCs w:val="21"/>
          <w:u w:val="single"/>
        </w:rPr>
        <w:t>共同处理，承包人承担自身原因发生的费用）。</w:t>
      </w:r>
    </w:p>
    <w:p w14:paraId="75B474B3">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3）安全生产，文明施工必须符合当地建设行政主管部门规定。</w:t>
      </w:r>
    </w:p>
    <w:p w14:paraId="533E5FA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4）按建设行政主管部门有关规定配合发包人其他工程的施工。为发包人依法发包或指定分包的专业工程承包商提供总承包管理与协调服务，并为专业工程承包商提供一切施工方便。</w:t>
      </w:r>
    </w:p>
    <w:p w14:paraId="53A0A31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5）根据现场场地条件，必须负责施工场地二次围场施工，施工围场不得影响周边居民的正常通行，所发生的费用由承包人自行负责。</w:t>
      </w:r>
    </w:p>
    <w:p w14:paraId="18BD014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6）严格按建设行政主管部门的有关要求进行资料和现场准备。</w:t>
      </w:r>
    </w:p>
    <w:p w14:paraId="51264A1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7）承包人负责办理施工有关的环卫和噪音等审批手续，并承担费用。承包人负责满足施工期间政府职能部门对工地消防设施有关要求，并承担相关费用。</w:t>
      </w:r>
    </w:p>
    <w:p w14:paraId="4C9A3E9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承包人应负责协调解决来自当地居民对工程施工的人为干扰，并承担相关费用（非承包人原因除外）。承包人应合理安排施工时间，确保做到不影响周边居民的正常生活，对居民的合理意见应积极整改，确保工程顺利进行。</w:t>
      </w:r>
    </w:p>
    <w:p w14:paraId="3D440A7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9）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w:t>
      </w:r>
    </w:p>
    <w:p w14:paraId="0FA882D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10）承包人应按时支付农民工工资。</w:t>
      </w:r>
    </w:p>
    <w:p w14:paraId="430F436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11）承包人在签订合同后15天内，施工现场及临时设施必须达到办理施工许可证的要求，通过主管行政部门的检查，每延迟一天，</w:t>
      </w:r>
      <w:r>
        <w:rPr>
          <w:rFonts w:ascii="Times New Roman" w:hAnsi="Times New Roman" w:eastAsia="宋体" w:cs="宋体"/>
          <w:b/>
          <w:color w:val="auto"/>
          <w:kern w:val="0"/>
          <w:szCs w:val="21"/>
        </w:rPr>
        <w:t>按5000元/天进行罚款</w:t>
      </w:r>
      <w:r>
        <w:rPr>
          <w:rFonts w:hint="eastAsia" w:ascii="Times New Roman" w:hAnsi="Times New Roman" w:eastAsia="宋体" w:cs="宋体"/>
          <w:color w:val="auto"/>
          <w:kern w:val="0"/>
          <w:szCs w:val="21"/>
        </w:rPr>
        <w:t>。</w:t>
      </w:r>
    </w:p>
    <w:p w14:paraId="0CC9DCE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3.2 项目经理</w:t>
      </w:r>
    </w:p>
    <w:p w14:paraId="26C4797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3.2.1 项目经理：</w:t>
      </w:r>
    </w:p>
    <w:p w14:paraId="3BEED47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姓    名：</w:t>
      </w:r>
      <w:r>
        <w:rPr>
          <w:rFonts w:hint="eastAsia" w:ascii="Times New Roman" w:hAnsi="Times New Roman" w:eastAsia="宋体" w:cs="宋体"/>
          <w:color w:val="auto"/>
          <w:kern w:val="0"/>
          <w:szCs w:val="21"/>
          <w:u w:val="single"/>
        </w:rPr>
        <w:t></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762C2209">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身份证号：</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7A017F7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建造师执业资格等级：</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0B8A196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建造师注册证书号：</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14D3118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建造师执业印章号：</w:t>
      </w:r>
      <w:r>
        <w:rPr>
          <w:rFonts w:hint="eastAsia" w:ascii="Times New Roman" w:hAnsi="Times New Roman" w:eastAsia="宋体" w:cs="宋体"/>
          <w:color w:val="auto"/>
          <w:kern w:val="0"/>
          <w:szCs w:val="21"/>
          <w:u w:val="single"/>
        </w:rPr>
        <w:t></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6B5E726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安全生产考核合格证书号：</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3B5904F1">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联系电话：</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ascii="Times New Roman" w:hAnsi="Times New Roman" w:eastAsia="宋体" w:cs="宋体"/>
          <w:color w:val="auto"/>
          <w:kern w:val="0"/>
          <w:szCs w:val="21"/>
          <w:u w:val="single"/>
        </w:rPr>
        <w:t xml:space="preserve">  </w:t>
      </w:r>
      <w:r>
        <w:rPr>
          <w:rFonts w:ascii="Times New Roman" w:hAnsi="Times New Roman" w:eastAsia="宋体" w:cs="宋体"/>
          <w:color w:val="auto"/>
          <w:kern w:val="0"/>
          <w:szCs w:val="21"/>
        </w:rPr>
        <w:t>；</w:t>
      </w:r>
    </w:p>
    <w:p w14:paraId="7BFE53C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电子信箱：</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ascii="Times New Roman" w:hAnsi="Times New Roman" w:eastAsia="宋体" w:cs="宋体"/>
          <w:color w:val="auto"/>
          <w:kern w:val="0"/>
          <w:szCs w:val="21"/>
        </w:rPr>
        <w:t>；</w:t>
      </w:r>
    </w:p>
    <w:p w14:paraId="49A2A0B1">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通信地址：</w:t>
      </w:r>
      <w:r>
        <w:rPr>
          <w:rFonts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ascii="Times New Roman" w:hAnsi="Times New Roman" w:eastAsia="宋体" w:cs="宋体"/>
          <w:color w:val="auto"/>
          <w:kern w:val="0"/>
          <w:szCs w:val="21"/>
        </w:rPr>
        <w:t>；</w:t>
      </w:r>
    </w:p>
    <w:p w14:paraId="338EBF4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承包人对项目经理的授权范围如下：</w:t>
      </w:r>
      <w:r>
        <w:rPr>
          <w:rFonts w:hint="eastAsia" w:ascii="Times New Roman" w:hAnsi="Times New Roman" w:eastAsia="宋体" w:cs="宋体"/>
          <w:color w:val="auto"/>
          <w:kern w:val="0"/>
          <w:szCs w:val="21"/>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未经承包人盖章同意不得以承包人名义向外融资、采购材料设备、租用建筑周转材料、雇佣劳动力、签订分包合同等从事一切为承包人设立义务或责任的行为</w:t>
      </w:r>
      <w:r>
        <w:rPr>
          <w:rFonts w:hint="eastAsia" w:ascii="Times New Roman" w:hAnsi="Times New Roman" w:eastAsia="宋体" w:cs="宋体"/>
          <w:color w:val="auto"/>
          <w:kern w:val="0"/>
          <w:szCs w:val="21"/>
        </w:rPr>
        <w:t>。</w:t>
      </w:r>
    </w:p>
    <w:p w14:paraId="0A8B384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u w:val="single"/>
        </w:rPr>
        <w:t>但未经承包人盖章同意不得以承包人和（或本工程项目部）名义向外融资、采购材料设备、租用建筑周转材料、雇佣劳动力、签订分包合同等从事一切为承包人设立义务或责任的行为。</w:t>
      </w:r>
    </w:p>
    <w:p w14:paraId="21C88DB1">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关于项目经理每月在施工现场的时间要求：</w:t>
      </w:r>
      <w:r>
        <w:rPr>
          <w:rFonts w:hint="eastAsia" w:ascii="Times New Roman" w:hAnsi="Times New Roman" w:eastAsia="宋体" w:cs="宋体"/>
          <w:color w:val="auto"/>
          <w:kern w:val="0"/>
          <w:szCs w:val="21"/>
          <w:u w:val="single"/>
        </w:rPr>
        <w:t>不得少于当月施工时间的80% ，每日在岗时间不少于8小时，若项目经理每月在岗时间少于当月施工时间的80%或每日在岗时间少于8小时的，发包人有权更换项目经理，由此造成的一切损失由承包人承担。</w:t>
      </w:r>
    </w:p>
    <w:p w14:paraId="3BBD5AF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承包人未提交劳动合同，以及没有为项目经理缴纳社会保险证明的违约责任：</w:t>
      </w:r>
      <w:r>
        <w:rPr>
          <w:rFonts w:hint="eastAsia" w:ascii="Times New Roman" w:hAnsi="Times New Roman" w:eastAsia="宋体" w:cs="宋体"/>
          <w:color w:val="auto"/>
          <w:kern w:val="0"/>
          <w:szCs w:val="21"/>
          <w:u w:val="single"/>
        </w:rPr>
        <w:t>发包人有权要求更换项目经理直至解除承包合同，由此增加的费用和（或）延误的工期由承包人承担，发包人要求承包人更换项目经理的，承包人还应承担违约金2万元</w:t>
      </w:r>
      <w:r>
        <w:rPr>
          <w:rFonts w:hint="eastAsia" w:ascii="Times New Roman" w:hAnsi="Times New Roman" w:eastAsia="宋体" w:cs="宋体"/>
          <w:color w:val="auto"/>
          <w:kern w:val="0"/>
          <w:szCs w:val="21"/>
        </w:rPr>
        <w:t>。</w:t>
      </w:r>
    </w:p>
    <w:p w14:paraId="4482454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项目经理未经批准，擅自离开施工现场的违约责任：</w:t>
      </w:r>
      <w:r>
        <w:rPr>
          <w:rFonts w:hint="eastAsia" w:ascii="Times New Roman" w:hAnsi="Times New Roman" w:eastAsia="宋体" w:cs="宋体"/>
          <w:color w:val="auto"/>
          <w:kern w:val="0"/>
          <w:szCs w:val="21"/>
          <w:u w:val="single"/>
        </w:rPr>
        <w:t>未经发包人同意或正当理由，项目经理每月在岗带班时间少于当月施工时间80%的，少在岗带班一天，发包人有权处违约金5000元/日（人民币）（项目经理缺席周例会、月例会或现场协调会的，视为擅自离场），超过5日，发包人有权解除承包合同</w:t>
      </w:r>
      <w:r>
        <w:rPr>
          <w:rFonts w:hint="eastAsia" w:ascii="Times New Roman" w:hAnsi="Times New Roman" w:eastAsia="宋体" w:cs="宋体"/>
          <w:color w:val="auto"/>
          <w:kern w:val="0"/>
          <w:szCs w:val="21"/>
        </w:rPr>
        <w:t>。</w:t>
      </w:r>
    </w:p>
    <w:p w14:paraId="6E7CA0E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3.2.3 承包人擅自更换项目经理的违约责任：</w:t>
      </w:r>
      <w:r>
        <w:rPr>
          <w:rFonts w:hint="eastAsia" w:ascii="Times New Roman" w:hAnsi="Times New Roman" w:eastAsia="宋体" w:cs="宋体"/>
          <w:color w:val="auto"/>
          <w:kern w:val="0"/>
          <w:szCs w:val="21"/>
          <w:u w:val="single"/>
        </w:rPr>
        <w:t>承包人项目经理必须与承包人投标时所承诺的人员一致。在监理人向承包人颁发 《工程档案验收合格证明》前，项目经理不得同时兼任其他任何项目的项目经理。</w:t>
      </w:r>
    </w:p>
    <w:p w14:paraId="415B653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u w:val="single"/>
        </w:rPr>
        <w:t>未经发包人书面同意，承包人擅自更换项目经理和项目技术负责人的视为违约，违约金处20000元/人•次（人民币），原项目经理如能够继续履行职责的，发包人或监理人有权责令承包人撤销其更换决定，如原项目经理客观上已经无法继续履行职责的，发包人或监理人有权要求审核确认承包人更换的项目经理，由此增加的费用和（或）延误的工期由承包人承担</w:t>
      </w:r>
      <w:r>
        <w:rPr>
          <w:rFonts w:hint="eastAsia" w:ascii="Times New Roman" w:hAnsi="Times New Roman" w:eastAsia="宋体" w:cs="宋体"/>
          <w:color w:val="auto"/>
          <w:kern w:val="0"/>
          <w:szCs w:val="21"/>
        </w:rPr>
        <w:t>。</w:t>
      </w:r>
    </w:p>
    <w:p w14:paraId="155D45F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3.2.4 承包人无正当理由拒绝更换项目经理的违约责任：</w:t>
      </w:r>
      <w:r>
        <w:rPr>
          <w:rFonts w:hint="eastAsia" w:ascii="Times New Roman" w:hAnsi="Times New Roman" w:eastAsia="宋体" w:cs="宋体"/>
          <w:color w:val="auto"/>
          <w:kern w:val="0"/>
          <w:szCs w:val="21"/>
          <w:u w:val="single"/>
        </w:rPr>
        <w:t>因承包人项目经理不称职，发包人要求调换而未及时调换的，视为承包人违约，必须向发包人交纳处罚金10000元/人•次（人民币），发包人或监理人还有权指示暂时停止施工，暂停施工按照“通用合同条款”7.8.2项[承包人原因引起的暂停施工]处理</w:t>
      </w:r>
      <w:r>
        <w:rPr>
          <w:rFonts w:hint="eastAsia" w:ascii="Times New Roman" w:hAnsi="Times New Roman" w:eastAsia="宋体" w:cs="宋体"/>
          <w:color w:val="auto"/>
          <w:kern w:val="0"/>
          <w:szCs w:val="21"/>
        </w:rPr>
        <w:t>。</w:t>
      </w:r>
    </w:p>
    <w:p w14:paraId="46B4C7E4">
      <w:pPr>
        <w:keepNext w:val="0"/>
        <w:keepLines w:val="0"/>
        <w:pageBreakBefore w:val="0"/>
        <w:widowControl/>
        <w:kinsoku/>
        <w:wordWrap/>
        <w:overflowPunct/>
        <w:topLinePunct w:val="0"/>
        <w:bidi w:val="0"/>
        <w:adjustRightInd/>
        <w:snapToGrid/>
        <w:spacing w:line="440" w:lineRule="exac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 xml:space="preserve">   </w:t>
      </w:r>
      <w:r>
        <w:rPr>
          <w:rFonts w:hint="eastAsia" w:ascii="Times New Roman" w:hAnsi="Times New Roman" w:eastAsia="宋体" w:cs="宋体"/>
          <w:color w:val="auto"/>
          <w:kern w:val="0"/>
          <w:szCs w:val="21"/>
          <w:u w:val="single"/>
        </w:rPr>
        <w:t>3.2.4.1对于下列承包人现场管理人员及施工队组，发包人有权要求及时更换，承包人在收到书面通知后必须在三天内将其调离本工程范围，同时，承包人应在三天内用发包人批准的合格的人员代替上述调离的人员，且发包人有权对承包人进行经济处罚2000-10000元/次。</w:t>
      </w:r>
    </w:p>
    <w:p w14:paraId="11DF205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①对施工进度及质量达不到合同要求负有责任的施工人员；</w:t>
      </w:r>
    </w:p>
    <w:p w14:paraId="128C60B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②专业水平达不到岗位要求、工作责任心不强的施工人员；</w:t>
      </w:r>
    </w:p>
    <w:p w14:paraId="10129E6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③不能积极配合发包人正常工作（包括发包人要求的销售活动配合）者；</w:t>
      </w:r>
    </w:p>
    <w:p w14:paraId="7D4D0E3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④违反发包人或承包人工地现场管理规定者；</w:t>
      </w:r>
    </w:p>
    <w:p w14:paraId="6B2E599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⑤无证上岗者（适用于按规定必须有上岗证）；</w:t>
      </w:r>
    </w:p>
    <w:p w14:paraId="491BF69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⑥与本工程施工无关及对本工程产生不良影响的其他人员。</w:t>
      </w:r>
    </w:p>
    <w:p w14:paraId="056DDAA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3.3 承包人人员</w:t>
      </w:r>
    </w:p>
    <w:p w14:paraId="0DC4F23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3.3.1 承包人提交项目管理机构及施工现场管理人员安排报告的期限：</w:t>
      </w:r>
      <w:r>
        <w:rPr>
          <w:rFonts w:hint="eastAsia" w:ascii="Times New Roman" w:hAnsi="Times New Roman" w:eastAsia="宋体" w:cs="宋体"/>
          <w:color w:val="auto"/>
          <w:kern w:val="0"/>
          <w:szCs w:val="21"/>
          <w:u w:val="single"/>
        </w:rPr>
        <w:t>合同签订后7天内</w:t>
      </w:r>
      <w:r>
        <w:rPr>
          <w:rFonts w:hint="eastAsia" w:ascii="Times New Roman" w:hAnsi="Times New Roman" w:eastAsia="宋体" w:cs="宋体"/>
          <w:color w:val="auto"/>
          <w:kern w:val="0"/>
          <w:szCs w:val="21"/>
        </w:rPr>
        <w:t>。</w:t>
      </w:r>
    </w:p>
    <w:p w14:paraId="01957BCD">
      <w:pPr>
        <w:keepNext w:val="0"/>
        <w:keepLines w:val="0"/>
        <w:pageBreakBefore w:val="0"/>
        <w:widowControl/>
        <w:kinsoku/>
        <w:wordWrap/>
        <w:overflowPunct/>
        <w:topLinePunct w:val="0"/>
        <w:bidi w:val="0"/>
        <w:adjustRightInd/>
        <w:snapToGrid/>
        <w:spacing w:line="440" w:lineRule="exact"/>
        <w:ind w:firstLine="420"/>
        <w:textAlignment w:val="auto"/>
        <w:rPr>
          <w:rFonts w:hint="eastAsia" w:ascii="Times New Roman" w:hAnsi="Times New Roman" w:eastAsia="宋体" w:cs="宋体"/>
          <w:color w:val="auto"/>
          <w:kern w:val="0"/>
          <w:szCs w:val="21"/>
          <w:u w:val="single"/>
          <w:lang w:eastAsia="zh-CN"/>
        </w:rPr>
      </w:pPr>
      <w:r>
        <w:rPr>
          <w:rFonts w:hint="eastAsia" w:ascii="Times New Roman" w:hAnsi="Times New Roman" w:eastAsia="宋体" w:cs="宋体"/>
          <w:color w:val="auto"/>
          <w:kern w:val="0"/>
          <w:szCs w:val="21"/>
        </w:rPr>
        <w:t>3.3.3 承包人无正当理由拒绝撤换主要施工管理人员的违约责任：</w:t>
      </w:r>
      <w:r>
        <w:rPr>
          <w:rFonts w:ascii="Times New Roman" w:hAnsi="Times New Roman" w:eastAsia="宋体" w:cs="宋体"/>
          <w:color w:val="auto"/>
          <w:kern w:val="0"/>
          <w:szCs w:val="21"/>
          <w:u w:val="single"/>
        </w:rPr>
        <w:t>1万元/人次</w:t>
      </w:r>
      <w:r>
        <w:rPr>
          <w:rFonts w:hint="eastAsia"/>
          <w:lang w:eastAsia="zh-CN"/>
        </w:rPr>
        <w:t>。</w:t>
      </w:r>
    </w:p>
    <w:p w14:paraId="4E07C81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3.3.4 承包人主要施工管理人员离开施工现场的批准要求：</w:t>
      </w:r>
      <w:r>
        <w:rPr>
          <w:rFonts w:hint="eastAsia" w:ascii="Times New Roman" w:hAnsi="Times New Roman" w:eastAsia="宋体" w:cs="宋体"/>
          <w:color w:val="auto"/>
          <w:kern w:val="0"/>
          <w:szCs w:val="21"/>
          <w:u w:val="single"/>
        </w:rPr>
        <w:t>按通用条款执行，无特殊约定</w:t>
      </w:r>
      <w:r>
        <w:rPr>
          <w:rFonts w:hint="eastAsia" w:ascii="Times New Roman" w:hAnsi="Times New Roman" w:eastAsia="宋体" w:cs="宋体"/>
          <w:color w:val="auto"/>
          <w:kern w:val="0"/>
          <w:szCs w:val="21"/>
        </w:rPr>
        <w:t>。</w:t>
      </w:r>
    </w:p>
    <w:p w14:paraId="5BEA4D1D">
      <w:pPr>
        <w:keepNext w:val="0"/>
        <w:keepLines w:val="0"/>
        <w:pageBreakBefore w:val="0"/>
        <w:widowControl/>
        <w:kinsoku/>
        <w:wordWrap/>
        <w:overflowPunct/>
        <w:topLinePunct w:val="0"/>
        <w:bidi w:val="0"/>
        <w:adjustRightInd/>
        <w:snapToGrid/>
        <w:spacing w:line="440" w:lineRule="exact"/>
        <w:ind w:firstLine="420"/>
        <w:textAlignment w:val="auto"/>
        <w:rPr>
          <w:rFonts w:hint="eastAsia" w:cs="宋体"/>
          <w:color w:val="auto"/>
          <w:kern w:val="0"/>
          <w:szCs w:val="21"/>
          <w:u w:val="single"/>
          <w:lang w:eastAsia="zh-CN"/>
        </w:rPr>
      </w:pPr>
      <w:r>
        <w:rPr>
          <w:rFonts w:hint="eastAsia" w:ascii="Times New Roman" w:hAnsi="Times New Roman" w:eastAsia="宋体" w:cs="宋体"/>
          <w:color w:val="auto"/>
          <w:kern w:val="0"/>
          <w:szCs w:val="21"/>
        </w:rPr>
        <w:t>3.3.5 承包人未书面通知发包人擅自更换主要施工管理人员的违约责任：</w:t>
      </w:r>
      <w:r>
        <w:rPr>
          <w:rFonts w:ascii="Times New Roman" w:hAnsi="Times New Roman" w:eastAsia="宋体" w:cs="宋体"/>
          <w:color w:val="auto"/>
          <w:kern w:val="0"/>
          <w:szCs w:val="21"/>
          <w:u w:val="single"/>
        </w:rPr>
        <w:t>1万元/人次</w:t>
      </w:r>
      <w:r>
        <w:rPr>
          <w:rFonts w:hint="eastAsia" w:cs="宋体"/>
          <w:color w:val="auto"/>
          <w:kern w:val="0"/>
          <w:szCs w:val="21"/>
          <w:u w:val="single"/>
          <w:lang w:eastAsia="zh-CN"/>
        </w:rPr>
        <w:t>。</w:t>
      </w:r>
    </w:p>
    <w:p w14:paraId="4BA1E647">
      <w:pPr>
        <w:keepNext w:val="0"/>
        <w:keepLines w:val="0"/>
        <w:pageBreakBefore w:val="0"/>
        <w:widowControl/>
        <w:kinsoku/>
        <w:wordWrap/>
        <w:overflowPunct/>
        <w:topLinePunct w:val="0"/>
        <w:bidi w:val="0"/>
        <w:adjustRightInd/>
        <w:snapToGrid/>
        <w:spacing w:line="440" w:lineRule="exact"/>
        <w:ind w:firstLine="420"/>
        <w:textAlignment w:val="auto"/>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承包人主要施工管理人员擅自离开施工现场的违约责任：</w:t>
      </w:r>
      <w:r>
        <w:rPr>
          <w:rFonts w:hint="eastAsia" w:ascii="Times New Roman" w:hAnsi="Times New Roman" w:eastAsia="宋体" w:cs="宋体"/>
          <w:color w:val="auto"/>
          <w:kern w:val="0"/>
          <w:szCs w:val="21"/>
          <w:u w:val="single"/>
        </w:rPr>
        <w:t>未经发包人同意，项目技术负责人擅自离岗的，视为承包人违约，发包人有权处违约金 500元/人•次（人民币）；其它在场管理人员擅自离岗的，视为承包人违约，发包人有权处违约金 500 元/人•次（人民币），擅自离场＞2天的，发包人或监理人有权要求承包人更换该管理人员，承包人还应额外承担违约金2000元。由此增加的费用和（或）延误的工期由承包人承担</w:t>
      </w:r>
      <w:r>
        <w:rPr>
          <w:rFonts w:hint="eastAsia" w:ascii="Times New Roman" w:hAnsi="Times New Roman" w:eastAsia="宋体" w:cs="宋体"/>
          <w:color w:val="auto"/>
          <w:kern w:val="0"/>
          <w:szCs w:val="21"/>
        </w:rPr>
        <w:t>。</w:t>
      </w:r>
    </w:p>
    <w:p w14:paraId="03B1A311">
      <w:pPr>
        <w:keepNext w:val="0"/>
        <w:keepLines w:val="0"/>
        <w:pageBreakBefore w:val="0"/>
        <w:widowControl/>
        <w:kinsoku/>
        <w:wordWrap/>
        <w:overflowPunct/>
        <w:topLinePunct w:val="0"/>
        <w:bidi w:val="0"/>
        <w:adjustRightInd/>
        <w:snapToGrid/>
        <w:spacing w:line="440" w:lineRule="exact"/>
        <w:ind w:firstLine="420"/>
        <w:textAlignment w:val="auto"/>
        <w:rPr>
          <w:rFonts w:hint="eastAsia" w:ascii="Times New Roman" w:hAnsi="Times New Roman" w:eastAsia="宋体" w:cs="宋体"/>
          <w:b w:val="0"/>
          <w:color w:val="auto"/>
          <w:kern w:val="0"/>
          <w:szCs w:val="21"/>
        </w:rPr>
      </w:pPr>
      <w:r>
        <w:rPr>
          <w:rFonts w:hint="eastAsia" w:ascii="Times New Roman" w:hAnsi="Times New Roman" w:eastAsia="宋体" w:cs="宋体"/>
          <w:b w:val="0"/>
          <w:color w:val="auto"/>
          <w:kern w:val="0"/>
          <w:szCs w:val="21"/>
          <w:highlight w:val="none"/>
        </w:rPr>
        <w:t>3.3.6对施工人员（包括项目经理）的违约处罚，必须在违约事实发生后14个工作日内，以书面形式告知承包单位工程部予以确认，并加以整改。处罚限额是合同价的1%。</w:t>
      </w:r>
    </w:p>
    <w:p w14:paraId="7FA37D02">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3.5 分包</w:t>
      </w:r>
    </w:p>
    <w:p w14:paraId="583F073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3.5.1 分包的一般约定</w:t>
      </w:r>
    </w:p>
    <w:p w14:paraId="5E486310">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禁止分包的工程包括：</w:t>
      </w:r>
      <w:r>
        <w:rPr>
          <w:rFonts w:hint="eastAsia" w:ascii="Times New Roman" w:hAnsi="Times New Roman" w:eastAsia="宋体" w:cs="宋体"/>
          <w:color w:val="auto"/>
          <w:kern w:val="0"/>
          <w:szCs w:val="21"/>
          <w:u w:val="single"/>
        </w:rPr>
        <w:t>主体、关键性工作。</w:t>
      </w:r>
    </w:p>
    <w:p w14:paraId="572E8877">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主体结构、关键性工作的范围：</w:t>
      </w:r>
      <w:r>
        <w:rPr>
          <w:rFonts w:hint="eastAsia" w:ascii="Times New Roman" w:hAnsi="Times New Roman" w:eastAsia="宋体" w:cs="宋体"/>
          <w:color w:val="auto"/>
          <w:kern w:val="0"/>
          <w:szCs w:val="21"/>
          <w:u w:val="single"/>
        </w:rPr>
        <w:t>按照国家有关规定执行</w:t>
      </w:r>
      <w:r>
        <w:rPr>
          <w:rFonts w:hint="eastAsia" w:ascii="Times New Roman" w:hAnsi="Times New Roman" w:eastAsia="宋体" w:cs="宋体"/>
          <w:color w:val="auto"/>
          <w:kern w:val="0"/>
          <w:szCs w:val="21"/>
        </w:rPr>
        <w:t>。</w:t>
      </w:r>
      <w:bookmarkStart w:id="214" w:name="_Toc296891201"/>
      <w:bookmarkStart w:id="215" w:name="_Toc300934947"/>
      <w:bookmarkStart w:id="216" w:name="_Toc297123494"/>
      <w:bookmarkStart w:id="217" w:name="_Toc296346662"/>
      <w:bookmarkStart w:id="218" w:name="_Toc296890989"/>
      <w:bookmarkStart w:id="219" w:name="_Toc297216153"/>
      <w:bookmarkStart w:id="220" w:name="_Toc296347160"/>
      <w:bookmarkStart w:id="221" w:name="_Toc296503161"/>
      <w:bookmarkStart w:id="222" w:name="_Toc297120461"/>
      <w:bookmarkStart w:id="223" w:name="_Toc297048347"/>
      <w:bookmarkStart w:id="224" w:name="_Toc304295525"/>
      <w:bookmarkStart w:id="225" w:name="_Toc296944500"/>
      <w:bookmarkStart w:id="226" w:name="_Toc303539104"/>
    </w:p>
    <w:p w14:paraId="7B6C0F7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本工程必须由承包人自营施工，如发现承包人转包或未经发包人书面许可分包工程的，发包人有权终止合同。承包人在发包人提出终止合同7天内无条件退场，并按已完成工程造价的10%赔偿发包人损失。</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CFD27E8">
      <w:pPr>
        <w:keepNext w:val="0"/>
        <w:keepLines w:val="0"/>
        <w:pageBreakBefore w:val="0"/>
        <w:widowControl/>
        <w:kinsoku/>
        <w:wordWrap/>
        <w:overflowPunct/>
        <w:topLinePunct w:val="0"/>
        <w:bidi w:val="0"/>
        <w:adjustRightInd/>
        <w:snapToGrid/>
        <w:spacing w:line="440" w:lineRule="exac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    3.5.2分包的确定</w:t>
      </w:r>
    </w:p>
    <w:p w14:paraId="24533EF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允许分包的专业工程包括：</w:t>
      </w:r>
      <w:r>
        <w:rPr>
          <w:rFonts w:hint="eastAsia" w:ascii="Times New Roman" w:hAnsi="Times New Roman" w:eastAsia="宋体" w:cs="宋体"/>
          <w:color w:val="auto"/>
          <w:kern w:val="0"/>
          <w:szCs w:val="21"/>
          <w:u w:val="single"/>
        </w:rPr>
        <w:t>经过发包人同意，承包人可以将其他非主体、非关键性工作分包给第三人，但分包人应当经过发包人审批。发包人有权拒绝承包人的分包请求和承包人选择的分包人</w:t>
      </w:r>
      <w:r>
        <w:rPr>
          <w:rFonts w:hint="eastAsia" w:ascii="Times New Roman" w:hAnsi="Times New Roman" w:eastAsia="宋体" w:cs="宋体"/>
          <w:color w:val="auto"/>
          <w:kern w:val="0"/>
          <w:szCs w:val="21"/>
        </w:rPr>
        <w:t>。</w:t>
      </w:r>
    </w:p>
    <w:p w14:paraId="02ADDEB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其他关于分包的约定：</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1080068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3.5.4 分包合同价款</w:t>
      </w:r>
    </w:p>
    <w:p w14:paraId="234490D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关于分包合同价款支付的约定：</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1F52E2D8">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3.6 工程照管与成品、半成品保护</w:t>
      </w:r>
    </w:p>
    <w:p w14:paraId="359E1D6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承包人负责照管工程及工程相关的材料、工程设备的起始时间：</w:t>
      </w:r>
      <w:r>
        <w:rPr>
          <w:rFonts w:hint="eastAsia" w:ascii="Times New Roman" w:hAnsi="Times New Roman" w:eastAsia="宋体" w:cs="宋体"/>
          <w:color w:val="auto"/>
          <w:kern w:val="0"/>
          <w:szCs w:val="21"/>
          <w:u w:val="single"/>
        </w:rPr>
        <w:t>（1）自发包人向承包人移交施工现场之日起，承包人应负责照管工程及工程相关的材料、工程设备，直到颁发工程接收证书之日止。（2）在承包人负责照管期间，因承包人自身原因造成工程、材料、工程设备损坏的，由承包人负责修复或更换，并承担由此增加的费用。（3）对合同内分期完成的成品和半成品，在工程接收证书颁发前，由承包人承担保护责任。因承包人原因造成成品或半成品损坏的，由承包人负责修复或更换，并承担由此增加的费用。</w:t>
      </w:r>
    </w:p>
    <w:p w14:paraId="4FDC981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3.7 履约担保</w:t>
      </w:r>
    </w:p>
    <w:p w14:paraId="5C0CA65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承包人是否提供履约担保：</w:t>
      </w:r>
      <w:r>
        <w:rPr>
          <w:rFonts w:hint="eastAsia" w:ascii="Times New Roman" w:hAnsi="Times New Roman" w:eastAsia="宋体" w:cs="宋体"/>
          <w:color w:val="auto"/>
          <w:kern w:val="0"/>
          <w:szCs w:val="21"/>
          <w:u w:val="single"/>
        </w:rPr>
        <w:t>需提供</w:t>
      </w:r>
      <w:r>
        <w:rPr>
          <w:rFonts w:hint="eastAsia" w:ascii="Times New Roman" w:hAnsi="Times New Roman" w:eastAsia="宋体" w:cs="宋体"/>
          <w:color w:val="auto"/>
          <w:kern w:val="0"/>
          <w:szCs w:val="21"/>
        </w:rPr>
        <w:t>。</w:t>
      </w:r>
    </w:p>
    <w:p w14:paraId="0FCE5BB3">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承包人提供履约担保的形式、金额及期限的：现金、银行保函、工程担保或保证保险等形式。承包人在收到</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通知书后，须在30日内向发包人提交合同价款扣除社会保险费、发包人材料价款、暂估专业工程、暂列金额后5%的履约担保。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7E02D27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承包人在</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后 7 个工作日内，按桂林市住房和城乡建设主管部门规定将农民工工资保障金存入</w:t>
      </w:r>
      <w:r>
        <w:rPr>
          <w:rFonts w:hint="eastAsia"/>
          <w:lang w:val="en-US" w:eastAsia="zh-CN"/>
        </w:rPr>
        <w:t>账</w:t>
      </w:r>
      <w:r>
        <w:rPr>
          <w:rFonts w:hint="eastAsia" w:ascii="Times New Roman" w:hAnsi="Times New Roman" w:eastAsia="宋体" w:cs="宋体"/>
          <w:color w:val="auto"/>
          <w:kern w:val="0"/>
          <w:szCs w:val="21"/>
        </w:rPr>
        <w:t xml:space="preserve">户。工程竣工验收后，按照规定程序，将农民工工资保障金没有使用或剩余的金额退还给承包人。低价风险保证金在工程竣工验收合格后的 7 个日历天内，发包人一次性退还给承包人（无息）。 </w:t>
      </w:r>
    </w:p>
    <w:p w14:paraId="4EF1CC6B">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27" w:name="_Toc6223"/>
      <w:r>
        <w:rPr>
          <w:rFonts w:hint="eastAsia" w:ascii="Times New Roman" w:hAnsi="Times New Roman" w:eastAsia="宋体" w:cs="宋体"/>
          <w:b/>
          <w:bCs/>
          <w:color w:val="auto"/>
          <w:kern w:val="0"/>
          <w:szCs w:val="21"/>
        </w:rPr>
        <w:t>4. 监理人</w:t>
      </w:r>
      <w:bookmarkEnd w:id="227"/>
    </w:p>
    <w:p w14:paraId="739CE323">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4.1监理人的一般规定</w:t>
      </w:r>
    </w:p>
    <w:p w14:paraId="4DBD6BF9">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监理人的监理内容：按照发包人与监理方签订的合同，依照合同和有关法律、法规，负责和主持整个项目的监理工作，在合同规定范围内，对工程项目施工进行全过程监理，包括但不限于对施工阶段的工程质量、进度、安全监督、工程进度款审核及组织协调等工作。</w:t>
      </w:r>
    </w:p>
    <w:p w14:paraId="35F592C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监理人的监理权限：1、在发出施工进度计划和施工方案说明以及有关能引起工程费用实际增加（减少）或延长工期的指令前，应得到发包人的书面批准，否则不对发包人产生约束力。2、监理工程师在向承包人发出有关技术规范的重大变更或有关变更合同条款的任何指令前均应获得发包人书面批准。3、工程实际竣工日期提前或超过工程承包合同规定的竣工期限的签证之前应得到发包人的书面批准。4、对签证单有证明权（详见发包人与监理单位签订的监理合同）。5、工程内容和材料变更确认应得到发包人的书面批准。6、工程暂停令和复工令签发、参与工程变更的审核签认、审核工程款支付申请，最终均须经发包人审批确认。7、按监理合同有关条款及国家地方建设监理有关规定的内容监督，但无权解除合同中承包人的义务 。</w:t>
      </w:r>
    </w:p>
    <w:p w14:paraId="2623029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关于监理人在施工现场的办公场所、生活场所的提供和费用承担的约定：</w:t>
      </w:r>
      <w:r>
        <w:rPr>
          <w:rFonts w:hint="eastAsia" w:ascii="Times New Roman" w:hAnsi="Times New Roman" w:eastAsia="宋体" w:cs="宋体"/>
          <w:color w:val="auto"/>
          <w:kern w:val="0"/>
          <w:szCs w:val="21"/>
          <w:u w:val="single"/>
        </w:rPr>
        <w:t>承包人应为监理人员提供施工现场所必需的生活、办公场所</w:t>
      </w:r>
      <w:r>
        <w:rPr>
          <w:rFonts w:hint="eastAsia" w:ascii="Times New Roman" w:hAnsi="Times New Roman" w:eastAsia="宋体" w:cs="宋体"/>
          <w:color w:val="auto"/>
          <w:kern w:val="0"/>
          <w:szCs w:val="21"/>
        </w:rPr>
        <w:t>。</w:t>
      </w:r>
    </w:p>
    <w:p w14:paraId="44AD1483">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4.2 监理人员</w:t>
      </w:r>
    </w:p>
    <w:p w14:paraId="5958A3D1">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总监理工程师：</w:t>
      </w:r>
    </w:p>
    <w:p w14:paraId="64ABF31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姓    名：</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64D414D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职    务：</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181AAC1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监理工程师执业资格证书号：</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75BE5D2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联系电话：</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50D9079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电子信箱：</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29FD47C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通信地址：</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0C1F83B2">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关于监理人的其他约定：</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lang w:val="en-US" w:eastAsia="zh-CN"/>
        </w:rPr>
        <w:t>合同签订时填写</w:t>
      </w:r>
      <w:r>
        <w:rPr>
          <w:rFonts w:hint="eastAsia" w:ascii="Times New Roman" w:hAnsi="Times New Roman" w:eastAsia="宋体" w:cs="宋体"/>
          <w:color w:val="auto"/>
          <w:kern w:val="0"/>
          <w:szCs w:val="21"/>
          <w:u w:val="single"/>
          <w:lang w:eastAsia="zh-CN"/>
        </w:rPr>
        <w:t>）</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u w:val="single"/>
          <w:lang w:val="en-US" w:eastAsia="zh-CN"/>
        </w:rPr>
        <w:t xml:space="preserve"> </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52AF8123">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4.3  监理人的指示</w:t>
      </w:r>
    </w:p>
    <w:p w14:paraId="6C4F26B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监理人应按本合同《通用合同条款》第4.3 款的约定向承包人发出指示，监理人的指示应盖有监理人授权的施工场地机构章，并由总监理工程师或总监理工程师按约定授权的监理人员签字。总监理工程师不得将第4.4条款[商定或确定]约定由总监理工程师作出确定的权力授权或委托给其他监理人员。</w:t>
      </w:r>
    </w:p>
    <w:p w14:paraId="3658EE71">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4.4 商定或确定</w:t>
      </w:r>
    </w:p>
    <w:p w14:paraId="1F80115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在发包人和承包人不能通过协商达成一致意见时，发包人授权监理人对以下事项进行确定：</w:t>
      </w:r>
    </w:p>
    <w:p w14:paraId="4E11199F">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319B1C0E">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（2）无；</w:t>
      </w:r>
    </w:p>
    <w:p w14:paraId="13399811">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（3）无。</w:t>
      </w:r>
    </w:p>
    <w:p w14:paraId="2F3DA3DA">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28" w:name="_Toc5684"/>
      <w:r>
        <w:rPr>
          <w:rFonts w:hint="eastAsia" w:ascii="Times New Roman" w:hAnsi="Times New Roman" w:eastAsia="宋体" w:cs="宋体"/>
          <w:b/>
          <w:bCs/>
          <w:color w:val="auto"/>
          <w:kern w:val="0"/>
          <w:szCs w:val="21"/>
        </w:rPr>
        <w:t>5. 工程质量</w:t>
      </w:r>
      <w:bookmarkEnd w:id="228"/>
    </w:p>
    <w:p w14:paraId="5C91F462">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5.1 质量要求</w:t>
      </w:r>
    </w:p>
    <w:p w14:paraId="661D4F33">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5.1.1 特殊质量标准和要求：</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55172398">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关于工程奖项的约定：</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19566B8E">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5.3 隐蔽工程检查</w:t>
      </w:r>
    </w:p>
    <w:p w14:paraId="5B1961EC">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5.3.2承包人提前通知监理人隐蔽工程检查的期限的约定：</w:t>
      </w:r>
      <w:r>
        <w:rPr>
          <w:rFonts w:ascii="Times New Roman" w:hAnsi="Times New Roman" w:eastAsia="宋体" w:cs="宋体"/>
          <w:color w:val="auto"/>
          <w:kern w:val="0"/>
          <w:szCs w:val="21"/>
          <w:u w:val="single"/>
        </w:rPr>
        <w:t>任何部位的工程需要覆盖或隐蔽前，均应提前24小时通知发包人、监理工程师和质量监督站进行中间验收并拍照。对于事后难以检查工程量的隐蔽工程，承包人应做好原始测量记录，并提前24小时通知监理人和发包人现场复核，工程量核实完成后方能隐蔽。没有发包人、监理工程师和质量监督站的批准，均不得隐蔽或验收。对相关单位所提出涉及工程质量、安全管理等存在问题时，必须进行整改，承包人应在监理人及相关人员指示的时间内修整返工后，由监理人及相关人员重新检查。如</w:t>
      </w:r>
      <w:r>
        <w:rPr>
          <w:rFonts w:ascii="Times New Roman" w:hAnsi="Times New Roman" w:eastAsia="宋体" w:cs="宋体"/>
          <w:color w:val="auto"/>
          <w:kern w:val="0"/>
          <w:szCs w:val="21"/>
        </w:rPr>
        <w:t>发包人发现承包人未整改，处罚10000元/次。</w:t>
      </w:r>
    </w:p>
    <w:p w14:paraId="64E3429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监理人不能按时进行检查时，应提前</w:t>
      </w:r>
      <w:r>
        <w:rPr>
          <w:rFonts w:hint="eastAsia" w:ascii="Times New Roman" w:hAnsi="Times New Roman" w:eastAsia="宋体" w:cs="宋体"/>
          <w:color w:val="auto"/>
          <w:kern w:val="0"/>
          <w:szCs w:val="21"/>
          <w:u w:val="single"/>
        </w:rPr>
        <w:t xml:space="preserve"> 24  </w:t>
      </w:r>
      <w:r>
        <w:rPr>
          <w:rFonts w:hint="eastAsia" w:ascii="Times New Roman" w:hAnsi="Times New Roman" w:eastAsia="宋体" w:cs="宋体"/>
          <w:color w:val="auto"/>
          <w:kern w:val="0"/>
          <w:szCs w:val="21"/>
        </w:rPr>
        <w:t>小时提交书面延期要求。</w:t>
      </w:r>
    </w:p>
    <w:p w14:paraId="6021996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关于延期最长不得超过：</w:t>
      </w:r>
      <w:r>
        <w:rPr>
          <w:rFonts w:hint="eastAsia" w:ascii="Times New Roman" w:hAnsi="Times New Roman" w:eastAsia="宋体" w:cs="宋体"/>
          <w:color w:val="auto"/>
          <w:kern w:val="0"/>
          <w:szCs w:val="21"/>
          <w:u w:val="single"/>
        </w:rPr>
        <w:t xml:space="preserve">  48   </w:t>
      </w:r>
      <w:r>
        <w:rPr>
          <w:rFonts w:hint="eastAsia" w:ascii="Times New Roman" w:hAnsi="Times New Roman" w:eastAsia="宋体" w:cs="宋体"/>
          <w:color w:val="auto"/>
          <w:kern w:val="0"/>
          <w:szCs w:val="21"/>
        </w:rPr>
        <w:t>小时。</w:t>
      </w:r>
    </w:p>
    <w:p w14:paraId="079DD052">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29" w:name="_Toc4683"/>
      <w:r>
        <w:rPr>
          <w:rFonts w:hint="eastAsia" w:ascii="Times New Roman" w:hAnsi="Times New Roman" w:eastAsia="宋体" w:cs="宋体"/>
          <w:b/>
          <w:bCs/>
          <w:color w:val="auto"/>
          <w:kern w:val="0"/>
          <w:szCs w:val="21"/>
        </w:rPr>
        <w:t>6. 安全文明施工与环境保护</w:t>
      </w:r>
      <w:bookmarkEnd w:id="229"/>
    </w:p>
    <w:p w14:paraId="7D645752">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6.1安全文明施工</w:t>
      </w:r>
    </w:p>
    <w:p w14:paraId="6BEEE15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6.1.1 项目安全生产的达标目标及相应事项的约定：</w:t>
      </w:r>
      <w:r>
        <w:rPr>
          <w:rFonts w:hint="eastAsia" w:ascii="Times New Roman" w:hAnsi="Times New Roman" w:eastAsia="宋体" w:cs="宋体"/>
          <w:color w:val="auto"/>
          <w:kern w:val="0"/>
          <w:szCs w:val="21"/>
          <w:u w:val="single"/>
        </w:rPr>
        <w:t>达到《建筑施工安全检查标准》（JGJ59-2011）的标准和符合</w:t>
      </w:r>
      <w:r>
        <w:rPr>
          <w:rFonts w:ascii="Times New Roman" w:hAnsi="Times New Roman" w:eastAsia="宋体" w:cs="宋体"/>
          <w:color w:val="auto"/>
          <w:kern w:val="0"/>
          <w:szCs w:val="21"/>
          <w:u w:val="single"/>
        </w:rPr>
        <w:t>《广西壮族自治区建筑工程安全防护、文明施工措施费及使用管理细则》（桂建质安【2015】16号文）的要求</w:t>
      </w:r>
      <w:r>
        <w:rPr>
          <w:rFonts w:ascii="Times New Roman" w:hAnsi="Times New Roman" w:eastAsia="宋体" w:cs="宋体"/>
          <w:color w:val="auto"/>
          <w:kern w:val="0"/>
          <w:szCs w:val="21"/>
        </w:rPr>
        <w:t>。</w:t>
      </w:r>
    </w:p>
    <w:p w14:paraId="02FD32D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6.1.4 关于治安保卫的特别约定：</w:t>
      </w:r>
      <w:r>
        <w:rPr>
          <w:rFonts w:hint="eastAsia" w:ascii="Times New Roman" w:hAnsi="Times New Roman" w:eastAsia="宋体" w:cs="宋体"/>
          <w:color w:val="auto"/>
          <w:kern w:val="0"/>
          <w:szCs w:val="21"/>
          <w:u w:val="single"/>
        </w:rPr>
        <w:t>承包人应当负责统一管理施工场地的治安保卫事项，履行合同工程的治安保卫职责。承包人应采取一切合理的预防措施，防止人员伤亡、财产损失事故，费用由承包人承担。承包人生活设施及施工场应自费配备消防设备，防止火灾发生</w:t>
      </w:r>
      <w:r>
        <w:rPr>
          <w:rFonts w:hint="eastAsia" w:ascii="Times New Roman" w:hAnsi="Times New Roman" w:eastAsia="宋体" w:cs="宋体"/>
          <w:color w:val="auto"/>
          <w:kern w:val="0"/>
          <w:szCs w:val="21"/>
        </w:rPr>
        <w:t>。</w:t>
      </w:r>
    </w:p>
    <w:p w14:paraId="7EB3B32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关于编制施工场地治安管理计划的约定：</w:t>
      </w:r>
      <w:r>
        <w:rPr>
          <w:rFonts w:hint="eastAsia" w:ascii="Times New Roman" w:hAnsi="Times New Roman" w:eastAsia="宋体" w:cs="宋体"/>
          <w:color w:val="auto"/>
          <w:kern w:val="0"/>
          <w:szCs w:val="21"/>
          <w:u w:val="single"/>
        </w:rPr>
        <w:t>开工前3天内由承包人编制施工场地治安管理计划，并制定应对突发治安事件紧急预案</w:t>
      </w:r>
      <w:r>
        <w:rPr>
          <w:rFonts w:hint="eastAsia" w:ascii="Times New Roman" w:hAnsi="Times New Roman" w:eastAsia="宋体" w:cs="宋体"/>
          <w:color w:val="auto"/>
          <w:kern w:val="0"/>
          <w:szCs w:val="21"/>
        </w:rPr>
        <w:t>。</w:t>
      </w:r>
    </w:p>
    <w:p w14:paraId="01A9CEB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6.1.5 文明施工</w:t>
      </w:r>
    </w:p>
    <w:p w14:paraId="57CCD4AF">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合同当事人对文明施工的要求： 按工程所在地有关建设行政管理部门的规定执行。在承包范围内，承包人必须做到工完料净场清，承包人应在现场设置垃圾池，施工过程产生的建筑垃圾（含废</w:t>
      </w:r>
      <w:r>
        <w:rPr>
          <w:rFonts w:hint="eastAsia"/>
          <w:lang w:val="en-US" w:eastAsia="zh-CN"/>
        </w:rPr>
        <w:t>模</w:t>
      </w:r>
      <w:r>
        <w:rPr>
          <w:rFonts w:hint="eastAsia" w:ascii="Times New Roman" w:hAnsi="Times New Roman" w:eastAsia="宋体" w:cs="宋体"/>
          <w:color w:val="auto"/>
          <w:kern w:val="0"/>
          <w:szCs w:val="21"/>
        </w:rPr>
        <w:t>板、落地灰、钢筋头等）必须统一堆放在垃圾池内，建筑垃圾倒满垃圾池后，即清除外运。以上费用已包括在安全文明施工费中。</w:t>
      </w:r>
    </w:p>
    <w:p w14:paraId="0AE00FEB">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6.1.6 关于安全文明施工费支付比例和支付期限的约定：</w:t>
      </w:r>
      <w:r>
        <w:rPr>
          <w:rFonts w:ascii="Times New Roman" w:hAnsi="Times New Roman" w:eastAsia="宋体" w:cs="宋体"/>
          <w:color w:val="auto"/>
          <w:kern w:val="0"/>
          <w:szCs w:val="21"/>
          <w:u w:val="single"/>
        </w:rPr>
        <w:t>具体按《广西壮族自治区建筑工程安全防护、文明施工措施费及管理细则》（桂建质〔2015〕16 号）和当地建设行政主管部门要求执行。</w:t>
      </w:r>
    </w:p>
    <w:p w14:paraId="289B18F6">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6.1.6.1</w:t>
      </w:r>
      <w:r>
        <w:rPr>
          <w:rFonts w:hint="eastAsia" w:ascii="Times New Roman" w:hAnsi="Times New Roman" w:eastAsia="宋体" w:cs="宋体"/>
          <w:color w:val="auto"/>
          <w:kern w:val="0"/>
          <w:szCs w:val="21"/>
          <w:u w:val="single"/>
        </w:rPr>
        <w:t>本工程安全文明施工要求按照合同附件8《项目安全文明施工管理实施细则》执行。</w:t>
      </w:r>
    </w:p>
    <w:p w14:paraId="631020D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6.1.6.2 承包人按桂林市《关于市建成区、临桂新区、灵川县范围内建筑工程新增扬尘防治费用的通知》住建〔2016〕34号文、《关于进一步加强全市建筑工地扬尘治理工作的通知》市住建〔2016〕71号文、《关于市建成区、临桂新区、灵川县范围内建筑工程新增扬尘防治费用通知的补充说明》市住建[2016]156号文件要求和内容承担扬尘治理责任。</w:t>
      </w:r>
    </w:p>
    <w:p w14:paraId="7BA05CE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6.3 环境保护（双方各负责任）</w:t>
      </w:r>
    </w:p>
    <w:p w14:paraId="5C9F1A10">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因施工需要，经发包人批准，由承包人办理有关施工场地交通、环卫和施工噪音管理等手续。</w:t>
      </w:r>
    </w:p>
    <w:p w14:paraId="5A84EE0B">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经过城市道路的施工车辆，必须按交警、城管、运输等部门相关规定执行。由于施工车辆造成的道路、环境等污染，其责任和费用均由承包人承担。</w:t>
      </w:r>
    </w:p>
    <w:p w14:paraId="204A1EE4">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环保工作的约定：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并根据实际情况将场地恢复到原有状态，费用自理。</w:t>
      </w:r>
    </w:p>
    <w:p w14:paraId="2D46892C">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30" w:name="_Toc23012"/>
      <w:r>
        <w:rPr>
          <w:rFonts w:hint="eastAsia" w:ascii="Times New Roman" w:hAnsi="Times New Roman" w:eastAsia="宋体" w:cs="宋体"/>
          <w:b/>
          <w:bCs/>
          <w:color w:val="auto"/>
          <w:kern w:val="0"/>
          <w:szCs w:val="21"/>
        </w:rPr>
        <w:t>7. 工期和进度</w:t>
      </w:r>
      <w:bookmarkEnd w:id="230"/>
    </w:p>
    <w:p w14:paraId="688A7AD8">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7.1 施工组织设计</w:t>
      </w:r>
    </w:p>
    <w:p w14:paraId="1D13222E">
      <w:pPr>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7.1.1 合同当事人约定的施工组织设计应包括的其他内容：1、</w:t>
      </w:r>
      <w:r>
        <w:rPr>
          <w:rFonts w:hint="eastAsia" w:ascii="Times New Roman" w:hAnsi="Times New Roman" w:eastAsia="宋体" w:cs="宋体"/>
          <w:color w:val="auto"/>
          <w:kern w:val="0"/>
          <w:szCs w:val="21"/>
          <w:u w:val="single"/>
        </w:rPr>
        <w:t>施工进度计划包括总进度计划、分阶段和分项进度计划、设备材料人员进场计划；施工方案说明包括分部、分项工程或工程部位的名称及施工顺序和方法；2、管理人员名单、职称、职务、上岗证等；3、按照国家及地方有关规定应当提交的内容</w:t>
      </w:r>
      <w:r>
        <w:rPr>
          <w:rFonts w:hint="eastAsia" w:ascii="Times New Roman" w:hAnsi="Times New Roman" w:eastAsia="宋体" w:cs="宋体"/>
          <w:color w:val="auto"/>
          <w:kern w:val="0"/>
          <w:szCs w:val="21"/>
        </w:rPr>
        <w:t>。</w:t>
      </w:r>
    </w:p>
    <w:p w14:paraId="716A5CED">
      <w:pPr>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7.1.2 施工组织设计的提交和修改</w:t>
      </w:r>
    </w:p>
    <w:p w14:paraId="3DFD10CE">
      <w:pPr>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承包人提交详细施工组织设计的期限的约定：</w:t>
      </w:r>
      <w:r>
        <w:rPr>
          <w:rFonts w:hint="eastAsia" w:ascii="Times New Roman" w:hAnsi="Times New Roman" w:eastAsia="宋体" w:cs="宋体"/>
          <w:color w:val="auto"/>
          <w:kern w:val="0"/>
          <w:szCs w:val="21"/>
          <w:u w:val="single"/>
        </w:rPr>
        <w:t>合同签订后14天内，最迟不得晚于开工通知载明的开工日期前7天</w:t>
      </w:r>
      <w:r>
        <w:rPr>
          <w:rFonts w:hint="eastAsia" w:ascii="Times New Roman" w:hAnsi="Times New Roman" w:eastAsia="宋体" w:cs="宋体"/>
          <w:color w:val="auto"/>
          <w:kern w:val="0"/>
          <w:szCs w:val="21"/>
        </w:rPr>
        <w:t>。</w:t>
      </w:r>
    </w:p>
    <w:p w14:paraId="76284C42">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发包人和监理人在收到详细的施工组织设计后确认或提出修改意见的期限：</w:t>
      </w:r>
      <w:r>
        <w:rPr>
          <w:rFonts w:hint="eastAsia" w:ascii="Times New Roman" w:hAnsi="Times New Roman" w:eastAsia="宋体" w:cs="宋体"/>
          <w:color w:val="auto"/>
          <w:kern w:val="0"/>
          <w:szCs w:val="21"/>
          <w:u w:val="single"/>
        </w:rPr>
        <w:t>收到施工组织设计后7天内确认或提出修改意见</w:t>
      </w:r>
      <w:r>
        <w:rPr>
          <w:rFonts w:hint="eastAsia" w:ascii="Times New Roman" w:hAnsi="Times New Roman" w:eastAsia="宋体" w:cs="宋体"/>
          <w:color w:val="auto"/>
          <w:kern w:val="0"/>
          <w:szCs w:val="21"/>
        </w:rPr>
        <w:t>。</w:t>
      </w:r>
    </w:p>
    <w:p w14:paraId="42EB6FF1">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7.2 施工进度计划</w:t>
      </w:r>
    </w:p>
    <w:p w14:paraId="5FBE6C3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7.2.2 施工进度计划的修订</w:t>
      </w:r>
    </w:p>
    <w:p w14:paraId="5F8408E8">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发包人和监理人在收到修订的施工进度计划后确认或提出修改意见的期限：</w:t>
      </w:r>
      <w:r>
        <w:rPr>
          <w:rFonts w:hint="eastAsia" w:ascii="Times New Roman" w:hAnsi="Times New Roman" w:eastAsia="宋体" w:cs="宋体"/>
          <w:color w:val="auto"/>
          <w:kern w:val="0"/>
          <w:szCs w:val="21"/>
          <w:u w:val="single"/>
        </w:rPr>
        <w:t xml:space="preserve">收到修订的施工进度计划后7天内确认或提出修改意见 </w:t>
      </w:r>
      <w:r>
        <w:rPr>
          <w:rFonts w:hint="eastAsia" w:ascii="Times New Roman" w:hAnsi="Times New Roman" w:eastAsia="宋体" w:cs="宋体"/>
          <w:color w:val="auto"/>
          <w:kern w:val="0"/>
          <w:szCs w:val="21"/>
        </w:rPr>
        <w:t>。</w:t>
      </w:r>
    </w:p>
    <w:p w14:paraId="73634E4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7.3 开工</w:t>
      </w:r>
    </w:p>
    <w:p w14:paraId="5B7D7932">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7.3.1 开工准备</w:t>
      </w:r>
    </w:p>
    <w:p w14:paraId="2C9B33A3">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关于承包人提交工程开工报审表的期限：</w:t>
      </w:r>
      <w:r>
        <w:rPr>
          <w:rFonts w:hint="eastAsia" w:ascii="Times New Roman" w:hAnsi="Times New Roman" w:eastAsia="宋体" w:cs="宋体"/>
          <w:color w:val="auto"/>
          <w:kern w:val="0"/>
          <w:szCs w:val="21"/>
          <w:u w:val="single"/>
        </w:rPr>
        <w:t>工程开工前7天内</w:t>
      </w:r>
      <w:r>
        <w:rPr>
          <w:rFonts w:hint="eastAsia" w:ascii="Times New Roman" w:hAnsi="Times New Roman" w:eastAsia="宋体" w:cs="宋体"/>
          <w:color w:val="auto"/>
          <w:kern w:val="0"/>
          <w:szCs w:val="21"/>
        </w:rPr>
        <w:t>。</w:t>
      </w:r>
    </w:p>
    <w:p w14:paraId="051DCC7E">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关于发包人应完成的其他开工准备工作及期限：</w:t>
      </w:r>
      <w:r>
        <w:rPr>
          <w:rFonts w:hint="eastAsia" w:ascii="Times New Roman" w:hAnsi="Times New Roman" w:eastAsia="宋体" w:cs="宋体"/>
          <w:color w:val="auto"/>
          <w:kern w:val="0"/>
          <w:szCs w:val="21"/>
          <w:u w:val="single"/>
        </w:rPr>
        <w:t>工程开工前7天内</w:t>
      </w:r>
      <w:r>
        <w:rPr>
          <w:rFonts w:hint="eastAsia" w:ascii="Times New Roman" w:hAnsi="Times New Roman" w:eastAsia="宋体" w:cs="宋体"/>
          <w:color w:val="auto"/>
          <w:kern w:val="0"/>
          <w:szCs w:val="21"/>
        </w:rPr>
        <w:t>。</w:t>
      </w:r>
    </w:p>
    <w:p w14:paraId="6B703ADE">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关于承包人应完成的其他开工准备工作及期限：</w:t>
      </w:r>
      <w:r>
        <w:rPr>
          <w:rFonts w:hint="eastAsia" w:ascii="Times New Roman" w:hAnsi="Times New Roman" w:eastAsia="宋体" w:cs="宋体"/>
          <w:color w:val="auto"/>
          <w:kern w:val="0"/>
          <w:szCs w:val="21"/>
          <w:u w:val="single"/>
        </w:rPr>
        <w:t>工程开工前7天内</w:t>
      </w:r>
      <w:r>
        <w:rPr>
          <w:rFonts w:hint="eastAsia" w:ascii="Times New Roman" w:hAnsi="Times New Roman" w:eastAsia="宋体" w:cs="宋体"/>
          <w:color w:val="auto"/>
          <w:kern w:val="0"/>
          <w:szCs w:val="21"/>
        </w:rPr>
        <w:t>。</w:t>
      </w:r>
    </w:p>
    <w:p w14:paraId="5E6A65E3">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7.3.2开工通知</w:t>
      </w:r>
    </w:p>
    <w:p w14:paraId="7E0486D3">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因发包人原因造成监理人未能在计划开工日期之日起</w:t>
      </w:r>
      <w:r>
        <w:rPr>
          <w:rFonts w:hint="eastAsia" w:ascii="Times New Roman" w:hAnsi="Times New Roman" w:eastAsia="宋体" w:cs="宋体"/>
          <w:color w:val="auto"/>
          <w:kern w:val="0"/>
          <w:szCs w:val="21"/>
          <w:u w:val="single"/>
        </w:rPr>
        <w:t xml:space="preserve">  90 </w:t>
      </w:r>
      <w:r>
        <w:rPr>
          <w:rFonts w:hint="eastAsia" w:ascii="Times New Roman" w:hAnsi="Times New Roman" w:eastAsia="宋体" w:cs="宋体"/>
          <w:color w:val="auto"/>
          <w:kern w:val="0"/>
          <w:szCs w:val="21"/>
        </w:rPr>
        <w:t>天内发出开工通知的，承包人有权提出价格调整要求，或者解除合同。</w:t>
      </w:r>
    </w:p>
    <w:p w14:paraId="04445E15">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7.4 测量放线</w:t>
      </w:r>
    </w:p>
    <w:p w14:paraId="5A76D74D">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7.4.1发包人通过监理人向承包人提供测量基准点、基准线和水准点及其书面资料的期限：</w:t>
      </w:r>
      <w:r>
        <w:rPr>
          <w:rFonts w:hint="eastAsia" w:ascii="Times New Roman" w:hAnsi="Times New Roman" w:eastAsia="宋体" w:cs="宋体"/>
          <w:color w:val="auto"/>
          <w:kern w:val="0"/>
          <w:szCs w:val="21"/>
          <w:u w:val="single"/>
        </w:rPr>
        <w:t xml:space="preserve">工程开工前7天内 </w:t>
      </w:r>
      <w:r>
        <w:rPr>
          <w:rFonts w:hint="eastAsia" w:ascii="Times New Roman" w:hAnsi="Times New Roman" w:eastAsia="宋体" w:cs="宋体"/>
          <w:color w:val="auto"/>
          <w:kern w:val="0"/>
          <w:szCs w:val="21"/>
        </w:rPr>
        <w:t>。</w:t>
      </w:r>
    </w:p>
    <w:p w14:paraId="51A8D99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7.5 工期延误</w:t>
      </w:r>
    </w:p>
    <w:p w14:paraId="2B33DB50">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7.5.1 因发包人原因导致工期延误，工期顺延。</w:t>
      </w:r>
    </w:p>
    <w:p w14:paraId="30A869DC">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因发包人原因导致工期延误的其他情形：</w:t>
      </w:r>
      <w:r>
        <w:rPr>
          <w:rFonts w:hint="eastAsia" w:ascii="Times New Roman" w:hAnsi="Times New Roman" w:eastAsia="宋体" w:cs="宋体"/>
          <w:color w:val="auto"/>
          <w:kern w:val="0"/>
          <w:szCs w:val="21"/>
          <w:u w:val="single"/>
        </w:rPr>
        <w:t>因发包人原因影响到</w:t>
      </w:r>
      <w:r>
        <w:rPr>
          <w:rFonts w:hint="eastAsia" w:cs="宋体"/>
          <w:color w:val="auto"/>
          <w:kern w:val="0"/>
          <w:szCs w:val="21"/>
          <w:u w:val="single"/>
          <w:lang w:eastAsia="zh-CN"/>
        </w:rPr>
        <w:t>关键</w:t>
      </w:r>
      <w:r>
        <w:rPr>
          <w:rFonts w:hint="eastAsia" w:ascii="Times New Roman" w:hAnsi="Times New Roman" w:eastAsia="宋体" w:cs="宋体"/>
          <w:color w:val="auto"/>
          <w:kern w:val="0"/>
          <w:szCs w:val="21"/>
          <w:u w:val="single"/>
        </w:rPr>
        <w:t>线路工期的，工期相应顺延，1、工程量增加和设计变更导致工程量增加；2、发包人未按时支付工程款；3、重大图纸变更影响关</w:t>
      </w:r>
      <w:r>
        <w:rPr>
          <w:rFonts w:hint="eastAsia" w:ascii="Times New Roman" w:hAnsi="Times New Roman" w:eastAsia="宋体" w:cs="宋体"/>
          <w:color w:val="auto"/>
          <w:kern w:val="0"/>
          <w:szCs w:val="21"/>
          <w:u w:val="single"/>
          <w:lang w:val="en-US" w:eastAsia="zh-CN"/>
        </w:rPr>
        <w:t>键</w:t>
      </w:r>
      <w:r>
        <w:rPr>
          <w:rFonts w:hint="eastAsia" w:ascii="Times New Roman" w:hAnsi="Times New Roman" w:eastAsia="宋体" w:cs="宋体"/>
          <w:color w:val="auto"/>
          <w:kern w:val="0"/>
          <w:szCs w:val="21"/>
          <w:u w:val="single"/>
        </w:rPr>
        <w:t>线路工序施工；4、因发包人未能及时确认变更价格或甲供材料提供延误的；5、因发包人应承担责任的原因，未能按合同要求配合施工直接造成停工的。</w:t>
      </w:r>
    </w:p>
    <w:p w14:paraId="786F5CC2">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7.5.2 因承包人原因导致工期延误</w:t>
      </w:r>
    </w:p>
    <w:p w14:paraId="4862B3B4">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因承包人原因造成工期延误，逾期竣工违约金的计算方法为：</w:t>
      </w:r>
      <w:r>
        <w:rPr>
          <w:rFonts w:hint="eastAsia" w:ascii="Times New Roman" w:hAnsi="Times New Roman" w:eastAsia="宋体" w:cs="宋体"/>
          <w:color w:val="auto"/>
          <w:kern w:val="0"/>
          <w:szCs w:val="21"/>
          <w:u w:val="single"/>
        </w:rPr>
        <w:t>承包人不能按合同约定的时间竣工，承包人应承担违约责任。承包人按本合同约定的工期和本合同约定顺延后的工期竣工，每延误一天，按工程总造价的万分之四支付违约金给发包人。发包人可从应向承包人支付的任何金额中扣除此项</w:t>
      </w:r>
      <w:r>
        <w:rPr>
          <w:rFonts w:hint="eastAsia"/>
          <w:lang w:val="en-US" w:eastAsia="zh-CN"/>
        </w:rPr>
        <w:t>赔偿</w:t>
      </w:r>
      <w:r>
        <w:rPr>
          <w:rFonts w:hint="eastAsia" w:ascii="Times New Roman" w:hAnsi="Times New Roman" w:eastAsia="宋体" w:cs="宋体"/>
          <w:color w:val="auto"/>
          <w:kern w:val="0"/>
          <w:szCs w:val="21"/>
          <w:u w:val="single"/>
        </w:rPr>
        <w:t>费或其他方式收回此款，此赔偿款的支付并不能解除承包人应完成工程的责任或合同规定的其他责任。</w:t>
      </w:r>
    </w:p>
    <w:p w14:paraId="08D7C7CE">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因承包人原因造成工期延误，逾期竣工违约金的上限：</w:t>
      </w:r>
      <w:r>
        <w:rPr>
          <w:rFonts w:ascii="Times New Roman" w:hAnsi="Times New Roman" w:eastAsia="宋体" w:cs="宋体"/>
          <w:color w:val="auto"/>
          <w:kern w:val="0"/>
          <w:szCs w:val="21"/>
          <w:u w:val="single"/>
        </w:rPr>
        <w:t>工程造价的</w:t>
      </w:r>
      <w:r>
        <w:rPr>
          <w:rFonts w:hint="eastAsia" w:ascii="Times New Roman" w:hAnsi="Times New Roman" w:eastAsia="宋体" w:cs="宋体"/>
          <w:color w:val="auto"/>
          <w:kern w:val="0"/>
          <w:szCs w:val="21"/>
          <w:u w:val="single"/>
        </w:rPr>
        <w:t>5</w:t>
      </w:r>
      <w:r>
        <w:rPr>
          <w:rFonts w:ascii="Times New Roman" w:hAnsi="Times New Roman" w:eastAsia="宋体" w:cs="宋体"/>
          <w:color w:val="auto"/>
          <w:kern w:val="0"/>
          <w:szCs w:val="21"/>
          <w:u w:val="single"/>
        </w:rPr>
        <w:t>%。</w:t>
      </w:r>
    </w:p>
    <w:p w14:paraId="5EF209A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7.5.3双方约定工期顺延的其他情况</w:t>
      </w:r>
    </w:p>
    <w:p w14:paraId="6AFB65F6">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由于以下原因之一造成竣工日期推迟的延误，工期顺延：</w:t>
      </w:r>
    </w:p>
    <w:p w14:paraId="121A19EE">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cs="宋体"/>
          <w:color w:val="auto"/>
          <w:kern w:val="0"/>
          <w:szCs w:val="21"/>
          <w:lang w:eastAsia="zh-CN"/>
        </w:rPr>
        <w:t>（</w:t>
      </w:r>
      <w:r>
        <w:rPr>
          <w:rFonts w:hint="eastAsia" w:ascii="Times New Roman" w:hAnsi="Times New Roman" w:cs="宋体"/>
          <w:color w:val="auto"/>
          <w:kern w:val="0"/>
          <w:szCs w:val="21"/>
          <w:lang w:val="en-US" w:eastAsia="zh-CN"/>
        </w:rPr>
        <w:t>1</w:t>
      </w:r>
      <w:r>
        <w:rPr>
          <w:rFonts w:hint="eastAsia" w:ascii="Times New Roman" w:hAnsi="Times New Roman" w:cs="宋体"/>
          <w:color w:val="auto"/>
          <w:kern w:val="0"/>
          <w:szCs w:val="21"/>
          <w:lang w:eastAsia="zh-CN"/>
        </w:rPr>
        <w:t>）</w:t>
      </w:r>
      <w:r>
        <w:rPr>
          <w:rFonts w:hint="eastAsia" w:ascii="Times New Roman" w:hAnsi="Times New Roman" w:eastAsia="宋体" w:cs="宋体"/>
          <w:color w:val="auto"/>
          <w:kern w:val="0"/>
          <w:szCs w:val="21"/>
        </w:rPr>
        <w:t>在施工过程中遇到地下障碍物、淤泥、流沙、溶洞、岩石、坟穴或地下管线的。</w:t>
      </w:r>
    </w:p>
    <w:p w14:paraId="5A0CD938">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cs="宋体"/>
          <w:color w:val="auto"/>
          <w:kern w:val="0"/>
          <w:szCs w:val="21"/>
          <w:lang w:eastAsia="zh-CN"/>
        </w:rPr>
        <w:t>（</w:t>
      </w:r>
      <w:r>
        <w:rPr>
          <w:rFonts w:hint="eastAsia" w:ascii="Times New Roman" w:hAnsi="Times New Roman" w:cs="宋体"/>
          <w:color w:val="auto"/>
          <w:kern w:val="0"/>
          <w:szCs w:val="21"/>
          <w:lang w:val="en-US" w:eastAsia="zh-CN"/>
        </w:rPr>
        <w:t>2</w:t>
      </w:r>
      <w:r>
        <w:rPr>
          <w:rFonts w:hint="eastAsia" w:ascii="Times New Roman" w:hAnsi="Times New Roman" w:cs="宋体"/>
          <w:color w:val="auto"/>
          <w:kern w:val="0"/>
          <w:szCs w:val="21"/>
          <w:lang w:eastAsia="zh-CN"/>
        </w:rPr>
        <w:t>）</w:t>
      </w:r>
      <w:r>
        <w:rPr>
          <w:rFonts w:hint="eastAsia" w:ascii="Times New Roman" w:hAnsi="Times New Roman" w:eastAsia="宋体" w:cs="宋体"/>
          <w:color w:val="auto"/>
          <w:kern w:val="0"/>
          <w:szCs w:val="21"/>
        </w:rPr>
        <w:t>施工期间如因停电、停水连续8小时以上或一周内间歇性停水、停电累计8小时（含 8 小时）影响正常施工的。</w:t>
      </w:r>
    </w:p>
    <w:p w14:paraId="161751FD">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cs="宋体"/>
          <w:color w:val="auto"/>
          <w:kern w:val="0"/>
          <w:szCs w:val="21"/>
          <w:lang w:eastAsia="zh-CN"/>
        </w:rPr>
        <w:t>（</w:t>
      </w:r>
      <w:r>
        <w:rPr>
          <w:rFonts w:hint="eastAsia" w:ascii="Times New Roman" w:hAnsi="Times New Roman" w:cs="宋体"/>
          <w:color w:val="auto"/>
          <w:kern w:val="0"/>
          <w:szCs w:val="21"/>
          <w:lang w:val="en-US" w:eastAsia="zh-CN"/>
        </w:rPr>
        <w:t>3</w:t>
      </w:r>
      <w:r>
        <w:rPr>
          <w:rFonts w:hint="eastAsia" w:ascii="Times New Roman" w:hAnsi="Times New Roman" w:cs="宋体"/>
          <w:color w:val="auto"/>
          <w:kern w:val="0"/>
          <w:szCs w:val="21"/>
          <w:lang w:eastAsia="zh-CN"/>
        </w:rPr>
        <w:t>）</w:t>
      </w:r>
      <w:r>
        <w:rPr>
          <w:rFonts w:hint="eastAsia" w:ascii="Times New Roman" w:hAnsi="Times New Roman" w:eastAsia="宋体" w:cs="宋体"/>
          <w:color w:val="auto"/>
          <w:kern w:val="0"/>
          <w:szCs w:val="21"/>
        </w:rPr>
        <w:t>政府指令性要求停工的（高考、中考、重要会议等）或政府部门和社区地方涉及的政策或行政干预而引起纠纷造成的停工。</w:t>
      </w:r>
    </w:p>
    <w:p w14:paraId="28951D7A">
      <w:pPr>
        <w:keepNext w:val="0"/>
        <w:keepLines w:val="0"/>
        <w:pageBreakBefore w:val="0"/>
        <w:widowControl/>
        <w:kinsoku/>
        <w:wordWrap/>
        <w:overflowPunct/>
        <w:topLinePunct w:val="0"/>
        <w:bidi w:val="0"/>
        <w:adjustRightInd/>
        <w:snapToGrid/>
        <w:spacing w:line="440" w:lineRule="exact"/>
        <w:ind w:firstLine="412"/>
        <w:textAlignment w:val="auto"/>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（4）非承包人责任造成的工期延误或工程师同意或承包人有证据证明可顺延工期的其他情况。</w:t>
      </w:r>
    </w:p>
    <w:p w14:paraId="72A8BF00">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（5）不可抗力的意外因素；</w:t>
      </w:r>
    </w:p>
    <w:p w14:paraId="7A070204">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（6）非承包人的责任造成的工期延误其他情形。</w:t>
      </w:r>
    </w:p>
    <w:p w14:paraId="432FDE55">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出现上述工期顺延情形的，承包人须在该等情形出现后7天内提出书面意见并提交相关</w:t>
      </w:r>
    </w:p>
    <w:p w14:paraId="28573DAB">
      <w:pPr>
        <w:keepNext w:val="0"/>
        <w:keepLines w:val="0"/>
        <w:pageBreakBefore w:val="0"/>
        <w:widowControl/>
        <w:kinsoku/>
        <w:wordWrap/>
        <w:overflowPunct/>
        <w:topLinePunct w:val="0"/>
        <w:bidi w:val="0"/>
        <w:adjustRightInd/>
        <w:snapToGrid/>
        <w:spacing w:line="440" w:lineRule="exact"/>
        <w:textAlignment w:val="auto"/>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证据材料，经发包人书面签证认可的，承包人可不承担相应违约责任，逾期则视为承包人自行放弃顺延。</w:t>
      </w:r>
    </w:p>
    <w:p w14:paraId="0AE8A56A">
      <w:pPr>
        <w:keepNext w:val="0"/>
        <w:keepLines w:val="0"/>
        <w:pageBreakBefore w:val="0"/>
        <w:widowControl/>
        <w:kinsoku/>
        <w:wordWrap/>
        <w:overflowPunct/>
        <w:topLinePunct w:val="0"/>
        <w:bidi w:val="0"/>
        <w:adjustRightInd/>
        <w:snapToGrid/>
        <w:spacing w:line="440" w:lineRule="exact"/>
        <w:ind w:firstLine="412"/>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7.5.4 工期延误发生后，应办理工期签证单，注明工期延误原因和责任方。</w:t>
      </w:r>
    </w:p>
    <w:p w14:paraId="1E4D7FB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7.6 不利物质条件</w:t>
      </w:r>
    </w:p>
    <w:p w14:paraId="43B57075">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不利物质条件的其他情形和有关约定： </w:t>
      </w:r>
    </w:p>
    <w:p w14:paraId="5D20AB30">
      <w:pPr>
        <w:keepNext w:val="0"/>
        <w:keepLines w:val="0"/>
        <w:pageBreakBefore w:val="0"/>
        <w:widowControl/>
        <w:kinsoku/>
        <w:wordWrap/>
        <w:overflowPunct/>
        <w:topLinePunct w:val="0"/>
        <w:bidi w:val="0"/>
        <w:adjustRightInd/>
        <w:snapToGrid/>
        <w:spacing w:line="440" w:lineRule="exact"/>
        <w:ind w:firstLine="315"/>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①一周内非承包人原因，停水、停电、停气造成停工连续超过8小时②遇到地下障碍物、文物、坟穴。对上述几种形式，应以造成灾害和影响施工并以政府相关部门的规定为准；其余按本合同《通用条款》规定执行。</w:t>
      </w:r>
    </w:p>
    <w:p w14:paraId="4D1412B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7.7异常恶劣的气候条件</w:t>
      </w:r>
    </w:p>
    <w:p w14:paraId="16AB38D7">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发包人和承包人同意以下情形视为异常恶劣的气候条件：</w:t>
      </w:r>
    </w:p>
    <w:p w14:paraId="7D4B1D8C">
      <w:pPr>
        <w:keepNext w:val="0"/>
        <w:keepLines w:val="0"/>
        <w:pageBreakBefore w:val="0"/>
        <w:widowControl/>
        <w:numPr>
          <w:ilvl w:val="0"/>
          <w:numId w:val="5"/>
        </w:numPr>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4 级以上的地震；</w:t>
      </w:r>
    </w:p>
    <w:p w14:paraId="7B6AC01E">
      <w:pPr>
        <w:keepNext w:val="0"/>
        <w:keepLines w:val="0"/>
        <w:pageBreakBefore w:val="0"/>
        <w:widowControl/>
        <w:numPr>
          <w:ilvl w:val="0"/>
          <w:numId w:val="5"/>
        </w:numPr>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6 级及以上的大风；</w:t>
      </w:r>
    </w:p>
    <w:p w14:paraId="2422F9EB">
      <w:pPr>
        <w:keepNext w:val="0"/>
        <w:keepLines w:val="0"/>
        <w:pageBreakBefore w:val="0"/>
        <w:widowControl/>
        <w:numPr>
          <w:ilvl w:val="0"/>
          <w:numId w:val="5"/>
        </w:numPr>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按施工规范和政府文件规定导致关键线路延期的低温天气；</w:t>
      </w:r>
    </w:p>
    <w:p w14:paraId="423A773F">
      <w:pPr>
        <w:keepNext w:val="0"/>
        <w:keepLines w:val="0"/>
        <w:pageBreakBefore w:val="0"/>
        <w:widowControl/>
        <w:numPr>
          <w:ilvl w:val="0"/>
          <w:numId w:val="5"/>
        </w:numPr>
        <w:kinsoku/>
        <w:wordWrap/>
        <w:overflowPunct/>
        <w:topLinePunct w:val="0"/>
        <w:autoSpaceDE w:val="0"/>
        <w:autoSpaceDN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u w:val="single"/>
        </w:rPr>
        <w:t>20年以上未发生过的洪水。</w:t>
      </w:r>
    </w:p>
    <w:p w14:paraId="5C037983">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7.8暂停施工</w:t>
      </w:r>
    </w:p>
    <w:p w14:paraId="51B33027">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7.8.1发包人原因引起的暂停施工</w:t>
      </w:r>
    </w:p>
    <w:p w14:paraId="026B63EF">
      <w:pPr>
        <w:keepNext w:val="0"/>
        <w:keepLines w:val="0"/>
        <w:pageBreakBefore w:val="0"/>
        <w:widowControl/>
        <w:kinsoku/>
        <w:wordWrap/>
        <w:overflowPunct/>
        <w:topLinePunct w:val="0"/>
        <w:bidi w:val="0"/>
        <w:adjustRightInd/>
        <w:snapToGrid/>
        <w:spacing w:after="120"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将7.8.1项第二段修改为:“因发包人原因引起的暂停施工，发包人应承担由此增加的费用和（或）延误的工期”。</w:t>
      </w:r>
    </w:p>
    <w:p w14:paraId="24F65A9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7.9 提前竣工的奖励</w:t>
      </w:r>
    </w:p>
    <w:p w14:paraId="6553A5BA">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7.9.2提前竣工的奖励：</w:t>
      </w:r>
      <w:r>
        <w:rPr>
          <w:rFonts w:hint="eastAsia" w:ascii="Times New Roman" w:hAnsi="Times New Roman" w:eastAsia="宋体" w:cs="宋体"/>
          <w:color w:val="auto"/>
          <w:kern w:val="0"/>
          <w:szCs w:val="21"/>
          <w:u w:val="single"/>
        </w:rPr>
        <w:t xml:space="preserve">   选择（1）方式    </w:t>
      </w:r>
    </w:p>
    <w:p w14:paraId="55AD2100">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（1）无。</w:t>
      </w:r>
    </w:p>
    <w:p w14:paraId="504DC779">
      <w:pPr>
        <w:keepNext w:val="0"/>
        <w:keepLines w:val="0"/>
        <w:pageBreakBefore w:val="0"/>
        <w:widowControl/>
        <w:kinsoku/>
        <w:wordWrap/>
        <w:overflowPunct/>
        <w:topLinePunct w:val="0"/>
        <w:bidi w:val="0"/>
        <w:adjustRightInd/>
        <w:snapToGrid/>
        <w:spacing w:line="44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（2）每提前一天按万分之四奖励，最高限额为合同价的4%。</w:t>
      </w:r>
    </w:p>
    <w:p w14:paraId="4771FC0C">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Times New Roman" w:hAnsi="Times New Roman" w:eastAsia="宋体" w:cs="宋体"/>
          <w:b/>
          <w:bCs/>
          <w:color w:val="auto"/>
          <w:kern w:val="0"/>
          <w:szCs w:val="21"/>
        </w:rPr>
      </w:pPr>
      <w:bookmarkStart w:id="231" w:name="_Toc14314"/>
      <w:r>
        <w:rPr>
          <w:rFonts w:hint="eastAsia" w:ascii="Times New Roman" w:hAnsi="Times New Roman" w:eastAsia="宋体" w:cs="宋体"/>
          <w:b/>
          <w:bCs/>
          <w:color w:val="auto"/>
          <w:kern w:val="0"/>
          <w:szCs w:val="21"/>
        </w:rPr>
        <w:t>8. 材料与设备</w:t>
      </w:r>
      <w:bookmarkEnd w:id="231"/>
    </w:p>
    <w:p w14:paraId="174093DF">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8.2 承包人采购材料与工程设备</w:t>
      </w:r>
    </w:p>
    <w:p w14:paraId="298DA66A">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承包人将由其提供的材料和工程设备的供货人及品种、规格、数量和供货时间等报送监理人审批的期限：在材料和工程设备到货2天前。</w:t>
      </w:r>
    </w:p>
    <w:p w14:paraId="6C961A96">
      <w:pPr>
        <w:keepNext w:val="0"/>
        <w:keepLines w:val="0"/>
        <w:pageBreakBefore w:val="0"/>
        <w:widowControl/>
        <w:kinsoku/>
        <w:wordWrap/>
        <w:overflowPunct/>
        <w:topLinePunct w:val="0"/>
        <w:bidi w:val="0"/>
        <w:adjustRightInd/>
        <w:snapToGrid/>
        <w:spacing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采购材料和设备的约定：（1）材料设备的品种、规格、型号、质量应满足设计文件的要求；（2）材料设备的品种、规格、型号、质量应满足现行《建筑工程施工质量与验收规范》要求；（3）各种材料的检验或实验必须满足设计文件的要求及国家现行的有关标准。（4）承包人应按专用合同条款的约定，将各项材料和工程设备的供货人及品种、规格、 数量和供货时间等报送监理人审批。承包人应向监理人提交其负责提供的材料和工程设备的质量证明文件，并满足合同约定的质量标准。（5）对承包人提供的材料和工程设备，承包人应会同发包人、监理人进行检验和交货验收，查验材料合格证明和产品合格证书，并按合同约定和监理人指示，进行材料的抽样检验和工程设备的检验测试，检验和测试结果应提交监理人。（6）承包人所采购的材料设备，事前应取得发包人同意；未经发包人同意，如已用于本工程，承包人也应按发包人的指令无条件执行，所造成的损失由承包人负责。（7）需送检的材料设备由承包人负责。送检时，应通知监理工程师和发包人现场代表见证，未经监理工程师和发包人现场代表见证的送检材料，不能用于本工程，否则，因此所造成的损失由承包人负责。（8）承包人用于本工程的模板，必须符合模板验收技术规范。</w:t>
      </w:r>
    </w:p>
    <w:p w14:paraId="18151158">
      <w:pPr>
        <w:keepNext w:val="0"/>
        <w:keepLines w:val="0"/>
        <w:pageBreakBefore w:val="0"/>
        <w:widowControl/>
        <w:kinsoku/>
        <w:wordWrap/>
        <w:overflowPunct/>
        <w:topLinePunct w:val="0"/>
        <w:bidi w:val="0"/>
        <w:adjustRightInd/>
        <w:snapToGrid/>
        <w:spacing w:after="120" w:line="44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本工程发包范围内所有材料、设备均由承包人负责采购、供应；材料及设备在定购时需经发包人认可，并留置样品备查。材料应严格保证质量，相同类型材料品质应统一。承包人投标时所报的材料品牌原则上不允许更换，确需更换时须经发包人认可。</w:t>
      </w:r>
    </w:p>
    <w:p w14:paraId="1C1BB6AE">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8.4材料与工程设备的保管与使用</w:t>
      </w:r>
    </w:p>
    <w:p w14:paraId="5D4B951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8.4.1发包人供应的材料设备的保管费用的承担：</w:t>
      </w:r>
      <w:r>
        <w:rPr>
          <w:rFonts w:hint="eastAsia" w:ascii="Times New Roman" w:hAnsi="Times New Roman" w:eastAsia="宋体" w:cs="宋体"/>
          <w:color w:val="auto"/>
          <w:kern w:val="0"/>
          <w:szCs w:val="21"/>
          <w:u w:val="single"/>
        </w:rPr>
        <w:t>由发包人提供的材料和工程设备，经双【甲供材】方验收后，发包人负责运到施工现场围墙内，供货数量按理论安装数量乘以消耗量定额中的损耗量供应，承包人需控制现场安装损耗，实际安装超出发包人供应数量的，由承包人自行承担；发包人按甲供材总价的3%支付承包人费用，由承包人负责接收、运输和保管等工作内容</w:t>
      </w:r>
      <w:r>
        <w:rPr>
          <w:rFonts w:hint="eastAsia" w:ascii="Times New Roman" w:hAnsi="Times New Roman" w:eastAsia="宋体" w:cs="宋体"/>
          <w:color w:val="auto"/>
          <w:kern w:val="0"/>
          <w:szCs w:val="21"/>
        </w:rPr>
        <w:t>。</w:t>
      </w:r>
    </w:p>
    <w:p w14:paraId="234013D6">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8.6 样品</w:t>
      </w:r>
    </w:p>
    <w:p w14:paraId="7BDAF1A6">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8.6.1样品的报送与封存</w:t>
      </w:r>
    </w:p>
    <w:p w14:paraId="5CBE42A7">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需要承包人报送样品的材料或工程设备，样品的种类、名称、规格、数量要求：</w:t>
      </w:r>
      <w:r>
        <w:rPr>
          <w:rFonts w:hint="eastAsia" w:ascii="Times New Roman" w:hAnsi="Times New Roman" w:eastAsia="宋体" w:cs="宋体"/>
          <w:color w:val="auto"/>
          <w:kern w:val="0"/>
          <w:szCs w:val="21"/>
          <w:u w:val="single"/>
        </w:rPr>
        <w:t>按图纸及设计要求使用的样品且①采购的样品必须先经监理和发包人认可；②货到接受监理、发包人检查；③在监理监督下，按规定送检或试验</w:t>
      </w:r>
      <w:r>
        <w:rPr>
          <w:rFonts w:hint="eastAsia" w:ascii="Times New Roman" w:hAnsi="Times New Roman" w:eastAsia="宋体" w:cs="宋体"/>
          <w:color w:val="auto"/>
          <w:kern w:val="0"/>
          <w:szCs w:val="21"/>
        </w:rPr>
        <w:t>。</w:t>
      </w:r>
    </w:p>
    <w:p w14:paraId="582CA568">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8.8 施工设备和临时设施</w:t>
      </w:r>
    </w:p>
    <w:p w14:paraId="4BCCD3CD">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8.8.1 承包人提供的施工设备和临时设施</w:t>
      </w:r>
    </w:p>
    <w:p w14:paraId="5DCBD308">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关于修建临时设施费用承担的约定：</w:t>
      </w:r>
      <w:r>
        <w:rPr>
          <w:rFonts w:hint="eastAsia" w:ascii="Times New Roman" w:hAnsi="Times New Roman" w:eastAsia="宋体" w:cs="宋体"/>
          <w:color w:val="auto"/>
          <w:kern w:val="0"/>
          <w:szCs w:val="21"/>
          <w:u w:val="single"/>
        </w:rPr>
        <w:t xml:space="preserve">按相关规定计算在工程造价内，由承包人修建，支付相关费用由承包人自行承担 </w:t>
      </w:r>
      <w:r>
        <w:rPr>
          <w:rFonts w:hint="eastAsia" w:ascii="Times New Roman" w:hAnsi="Times New Roman" w:eastAsia="宋体" w:cs="宋体"/>
          <w:color w:val="auto"/>
          <w:kern w:val="0"/>
          <w:szCs w:val="21"/>
        </w:rPr>
        <w:t>。</w:t>
      </w:r>
    </w:p>
    <w:p w14:paraId="7F8F005D">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8.8.2发包人提供的施工设备和临时设施：</w:t>
      </w:r>
      <w:r>
        <w:rPr>
          <w:rFonts w:hint="eastAsia" w:ascii="Times New Roman" w:hAnsi="Times New Roman" w:eastAsia="宋体" w:cs="宋体"/>
          <w:color w:val="auto"/>
          <w:kern w:val="0"/>
          <w:szCs w:val="21"/>
          <w:u w:val="single"/>
        </w:rPr>
        <w:t>临时占地申请由发包人配合承包人联系红线范围外的临时占地，支付相关费用由发包人承担，按实计算相关费用。</w:t>
      </w:r>
    </w:p>
    <w:p w14:paraId="553FDB8D">
      <w:pPr>
        <w:keepNext w:val="0"/>
        <w:keepLines w:val="0"/>
        <w:pageBreakBefore w:val="0"/>
        <w:widowControl/>
        <w:kinsoku/>
        <w:wordWrap/>
        <w:overflowPunct/>
        <w:topLinePunct w:val="0"/>
        <w:bidi w:val="0"/>
        <w:adjustRightInd/>
        <w:snapToGrid/>
        <w:spacing w:line="400" w:lineRule="exact"/>
        <w:textAlignment w:val="auto"/>
        <w:outlineLvl w:val="2"/>
        <w:rPr>
          <w:rFonts w:ascii="Times New Roman" w:hAnsi="Times New Roman" w:eastAsia="宋体" w:cs="宋体"/>
          <w:b/>
          <w:bCs/>
          <w:color w:val="auto"/>
          <w:kern w:val="0"/>
          <w:szCs w:val="21"/>
        </w:rPr>
      </w:pPr>
      <w:bookmarkStart w:id="232" w:name="_Toc1555"/>
      <w:r>
        <w:rPr>
          <w:rFonts w:hint="eastAsia" w:ascii="Times New Roman" w:hAnsi="Times New Roman" w:eastAsia="宋体" w:cs="宋体"/>
          <w:b/>
          <w:bCs/>
          <w:color w:val="auto"/>
          <w:kern w:val="0"/>
          <w:szCs w:val="21"/>
        </w:rPr>
        <w:t>9. 试验与检验</w:t>
      </w:r>
      <w:bookmarkEnd w:id="232"/>
    </w:p>
    <w:p w14:paraId="43399FE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9.1试验设备与试验人员</w:t>
      </w:r>
    </w:p>
    <w:p w14:paraId="6CF2E3C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9.1.2 试验设备</w:t>
      </w:r>
    </w:p>
    <w:p w14:paraId="18D4295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施工现场需要配置的试验场所：</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 xml:space="preserve">。 </w:t>
      </w:r>
    </w:p>
    <w:p w14:paraId="450E58B0">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施工现场需要配备的试验设备：</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1B985647">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施工现场需要具备的其他试验条件：</w:t>
      </w:r>
      <w:r>
        <w:rPr>
          <w:rFonts w:hint="eastAsia" w:ascii="Times New Roman" w:hAnsi="Times New Roman" w:eastAsia="宋体" w:cs="宋体"/>
          <w:color w:val="auto"/>
          <w:kern w:val="0"/>
          <w:szCs w:val="21"/>
          <w:u w:val="single"/>
        </w:rPr>
        <w:t>无</w:t>
      </w:r>
      <w:r>
        <w:rPr>
          <w:rFonts w:hint="eastAsia" w:ascii="Times New Roman" w:hAnsi="Times New Roman" w:eastAsia="宋体" w:cs="宋体"/>
          <w:color w:val="auto"/>
          <w:kern w:val="0"/>
          <w:szCs w:val="21"/>
        </w:rPr>
        <w:t>。</w:t>
      </w:r>
    </w:p>
    <w:p w14:paraId="39CC5B05">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9.4 现场工艺试验 </w:t>
      </w:r>
    </w:p>
    <w:p w14:paraId="78E8EE5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现场工艺试验的有关约定：</w:t>
      </w:r>
      <w:r>
        <w:rPr>
          <w:rFonts w:hint="eastAsia" w:ascii="Times New Roman" w:hAnsi="Times New Roman" w:eastAsia="宋体" w:cs="宋体"/>
          <w:color w:val="auto"/>
          <w:kern w:val="0"/>
          <w:szCs w:val="21"/>
          <w:u w:val="single"/>
        </w:rPr>
        <w:t>按照设计和国家施工规范要求</w:t>
      </w:r>
      <w:r>
        <w:rPr>
          <w:rFonts w:hint="eastAsia" w:ascii="Times New Roman" w:hAnsi="Times New Roman" w:eastAsia="宋体" w:cs="宋体"/>
          <w:color w:val="auto"/>
          <w:kern w:val="0"/>
          <w:szCs w:val="21"/>
        </w:rPr>
        <w:t>。</w:t>
      </w:r>
    </w:p>
    <w:p w14:paraId="41482CFF">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9.5检验费用</w:t>
      </w:r>
    </w:p>
    <w:p w14:paraId="79468358">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检验费用有关约定：</w:t>
      </w:r>
      <w:r>
        <w:rPr>
          <w:rFonts w:hint="eastAsia" w:ascii="Times New Roman" w:hAnsi="Times New Roman" w:eastAsia="宋体" w:cs="宋体"/>
          <w:color w:val="auto"/>
          <w:kern w:val="0"/>
          <w:szCs w:val="21"/>
          <w:u w:val="single"/>
        </w:rPr>
        <w:t>根据《建设工程质量检测管理办法》（建设部令第141号）以及《广西壮族自治区建设工程质量检测管理规定》（桂建管〔2013〕11号）规定，工程质量检测业务由发包人委托有相应资质的检测机构检测。检验试验费由发包人在工程建设其他费用中列支并直接支付给检测机构，检验试验费不计入本合同价款内，承包人必须做好检验试验的配合工作。</w:t>
      </w:r>
    </w:p>
    <w:p w14:paraId="75EEA131">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3" w:name="_Toc3803"/>
      <w:r>
        <w:rPr>
          <w:rFonts w:hint="eastAsia" w:ascii="Times New Roman" w:hAnsi="Times New Roman" w:eastAsia="宋体" w:cs="宋体"/>
          <w:b/>
          <w:bCs/>
          <w:color w:val="auto"/>
          <w:kern w:val="0"/>
          <w:szCs w:val="21"/>
        </w:rPr>
        <w:t>10. 变更</w:t>
      </w:r>
      <w:bookmarkEnd w:id="233"/>
    </w:p>
    <w:p w14:paraId="1286210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10.1变更的范围</w:t>
      </w:r>
    </w:p>
    <w:p w14:paraId="4AAC5CF5">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关于变更的范围的约定：</w:t>
      </w:r>
    </w:p>
    <w:p w14:paraId="0F96CBD0">
      <w:pPr>
        <w:keepNext w:val="0"/>
        <w:keepLines w:val="0"/>
        <w:pageBreakBefore w:val="0"/>
        <w:widowControl/>
        <w:kinsoku/>
        <w:wordWrap/>
        <w:overflowPunct/>
        <w:topLinePunct w:val="0"/>
        <w:bidi w:val="0"/>
        <w:adjustRightInd/>
        <w:snapToGrid/>
        <w:spacing w:line="400" w:lineRule="exact"/>
        <w:ind w:firstLine="420"/>
        <w:textAlignment w:val="auto"/>
        <w:rPr>
          <w:rFonts w:hint="eastAsia" w:ascii="Times New Roman" w:hAnsi="Times New Roman" w:eastAsia="宋体" w:cs="宋体"/>
          <w:strike/>
          <w:color w:val="auto"/>
          <w:sz w:val="21"/>
          <w:szCs w:val="21"/>
          <w:lang w:eastAsia="zh-CN"/>
        </w:rPr>
      </w:pPr>
      <w:r>
        <w:rPr>
          <w:rFonts w:ascii="Times New Roman" w:hAnsi="Times New Roman" w:eastAsia="宋体" w:cs="宋体"/>
          <w:color w:val="auto"/>
          <w:sz w:val="21"/>
          <w:szCs w:val="21"/>
        </w:rPr>
        <w:t>①发包人有权改变承包人的工程范围及内容，发包人不需承担任何费用</w:t>
      </w:r>
      <w:r>
        <w:rPr>
          <w:rFonts w:hint="eastAsia" w:ascii="Times New Roman" w:hAnsi="Times New Roman" w:cs="宋体"/>
          <w:color w:val="auto"/>
          <w:sz w:val="21"/>
          <w:szCs w:val="21"/>
          <w:lang w:eastAsia="zh-CN"/>
        </w:rPr>
        <w:t>。</w:t>
      </w:r>
    </w:p>
    <w:p w14:paraId="62F2C6A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②</w:t>
      </w:r>
      <w:r>
        <w:rPr>
          <w:rFonts w:hint="eastAsia" w:ascii="Times New Roman" w:hAnsi="Times New Roman" w:eastAsia="宋体" w:cs="宋体"/>
          <w:color w:val="auto"/>
          <w:kern w:val="0"/>
          <w:szCs w:val="21"/>
          <w:u w:val="single"/>
        </w:rPr>
        <w:t>施工期间因不可预见因素或发包人要求所发生的工程量增减（由变更、签证产生），需按发包人要求办理工程变更手续，经监理工程师及发包人审批后实施，工程变更综合单价按专用条款第10.4点规定执行</w:t>
      </w:r>
      <w:r>
        <w:rPr>
          <w:rFonts w:hint="eastAsia" w:ascii="Times New Roman" w:hAnsi="Times New Roman" w:eastAsia="宋体" w:cs="宋体"/>
          <w:color w:val="auto"/>
          <w:kern w:val="0"/>
          <w:szCs w:val="21"/>
        </w:rPr>
        <w:t>。</w:t>
      </w:r>
    </w:p>
    <w:p w14:paraId="2795B34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10.4 变更估价</w:t>
      </w:r>
    </w:p>
    <w:p w14:paraId="7F81D2E9">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10.4.1 变更估价原则</w:t>
      </w:r>
    </w:p>
    <w:p w14:paraId="7A1C2B5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关于变更估价的约定: 因设计变更、相关签证引起工程项目、工程量任何变化的，变更合同价款按下列方法进行：</w:t>
      </w:r>
    </w:p>
    <w:p w14:paraId="1EB4C80D">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（1）投标报价中已有适用于变更工程的综合单价，按已有的综合单价；</w:t>
      </w:r>
    </w:p>
    <w:p w14:paraId="12DB64B3">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（2）投标报价中有类似变更工程的综合单价，可参照投标报价中类似的综合单价确定；</w:t>
      </w:r>
    </w:p>
    <w:p w14:paraId="46B22A0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投标报价中没有适用或类似于变更工程的综合单价，则有定额的套用定额计算，执行本工程编制招标控制价的参考依据，其中材料价格有信息价的按合同该新增子项实施期间《桂林市建设工程造价信息》中桂林市的平均价计取，无信息价时按市场价格共同协商确定；此类工程结算综合单价=按现行定额计算（管理费、利润取中值）的综合单价×</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系数</w:t>
      </w:r>
      <w:r>
        <w:rPr>
          <w:rFonts w:hint="eastAsia" w:ascii="Times New Roman" w:hAnsi="Times New Roman" w:cs="宋体"/>
          <w:color w:val="auto"/>
          <w:kern w:val="0"/>
          <w:szCs w:val="21"/>
          <w:lang w:eastAsia="zh-CN"/>
        </w:rPr>
        <w:t>【</w:t>
      </w:r>
      <w:r>
        <w:rPr>
          <w:rFonts w:hint="eastAsia" w:ascii="Times New Roman" w:hAnsi="Times New Roman" w:cs="宋体"/>
          <w:color w:val="auto"/>
          <w:kern w:val="0"/>
          <w:szCs w:val="21"/>
          <w:lang w:val="en-US" w:eastAsia="zh-CN"/>
        </w:rPr>
        <w:t>中</w:t>
      </w:r>
      <w:r>
        <w:rPr>
          <w:rFonts w:ascii="Times New Roman" w:hAnsi="Times New Roman" w:eastAsia="宋体" w:cs="宋体"/>
          <w:color w:val="auto"/>
          <w:kern w:val="0"/>
          <w:szCs w:val="21"/>
        </w:rPr>
        <w:t>标</w:t>
      </w:r>
      <w:r>
        <w:rPr>
          <w:rFonts w:hint="eastAsia" w:ascii="Times New Roman" w:hAnsi="Times New Roman" w:cs="宋体"/>
          <w:color w:val="auto"/>
          <w:kern w:val="0"/>
          <w:szCs w:val="21"/>
          <w:lang w:eastAsia="zh-CN"/>
        </w:rPr>
        <w:t>（</w:t>
      </w:r>
      <w:r>
        <w:rPr>
          <w:rFonts w:hint="eastAsia" w:ascii="Times New Roman" w:hAnsi="Times New Roman" w:cs="宋体"/>
          <w:color w:val="auto"/>
          <w:kern w:val="0"/>
          <w:szCs w:val="21"/>
          <w:lang w:val="en-US" w:eastAsia="zh-CN"/>
        </w:rPr>
        <w:t>成交</w:t>
      </w:r>
      <w:r>
        <w:rPr>
          <w:rFonts w:hint="eastAsia" w:ascii="Times New Roman" w:hAnsi="Times New Roman" w:cs="宋体"/>
          <w:color w:val="auto"/>
          <w:kern w:val="0"/>
          <w:szCs w:val="21"/>
          <w:lang w:eastAsia="zh-CN"/>
        </w:rPr>
        <w:t>）</w:t>
      </w:r>
      <w:r>
        <w:rPr>
          <w:rFonts w:ascii="Times New Roman" w:hAnsi="Times New Roman" w:eastAsia="宋体" w:cs="宋体"/>
          <w:color w:val="auto"/>
          <w:kern w:val="0"/>
          <w:szCs w:val="21"/>
        </w:rPr>
        <w:t>人的投标报价÷预算价</w:t>
      </w:r>
      <w:r>
        <w:rPr>
          <w:rFonts w:hint="eastAsia" w:ascii="Times New Roman" w:hAnsi="Times New Roman" w:cs="宋体"/>
          <w:color w:val="auto"/>
          <w:kern w:val="0"/>
          <w:szCs w:val="21"/>
          <w:lang w:eastAsia="zh-CN"/>
        </w:rPr>
        <w:t>】</w:t>
      </w:r>
      <w:r>
        <w:rPr>
          <w:rFonts w:ascii="Times New Roman" w:hAnsi="Times New Roman" w:eastAsia="宋体" w:cs="宋体"/>
          <w:color w:val="auto"/>
          <w:kern w:val="0"/>
          <w:szCs w:val="21"/>
        </w:rPr>
        <w:t>,签订合同时写明具体数值</w:t>
      </w:r>
      <w:r>
        <w:rPr>
          <w:rFonts w:hint="eastAsia" w:ascii="Times New Roman" w:hAnsi="Times New Roman" w:cs="宋体"/>
          <w:color w:val="auto"/>
          <w:kern w:val="0"/>
          <w:szCs w:val="21"/>
          <w:u w:val="single"/>
          <w:lang w:val="en-US" w:eastAsia="zh-CN"/>
        </w:rPr>
        <w:t xml:space="preserve">           </w:t>
      </w:r>
      <w:r>
        <w:rPr>
          <w:rFonts w:ascii="Times New Roman" w:hAnsi="Times New Roman" w:eastAsia="宋体" w:cs="宋体"/>
          <w:color w:val="auto"/>
          <w:kern w:val="0"/>
          <w:szCs w:val="21"/>
        </w:rPr>
        <w:t>%(中标</w:t>
      </w:r>
      <w:r>
        <w:rPr>
          <w:rFonts w:hint="eastAsia" w:ascii="Times New Roman" w:hAnsi="Times New Roman" w:cs="宋体"/>
          <w:color w:val="auto"/>
          <w:kern w:val="0"/>
          <w:szCs w:val="21"/>
          <w:lang w:eastAsia="zh-CN"/>
        </w:rPr>
        <w:t>（</w:t>
      </w:r>
      <w:r>
        <w:rPr>
          <w:rFonts w:hint="eastAsia" w:ascii="Times New Roman" w:hAnsi="Times New Roman" w:cs="宋体"/>
          <w:color w:val="auto"/>
          <w:kern w:val="0"/>
          <w:szCs w:val="21"/>
          <w:lang w:val="en-US" w:eastAsia="zh-CN"/>
        </w:rPr>
        <w:t>成交</w:t>
      </w:r>
      <w:r>
        <w:rPr>
          <w:rFonts w:hint="eastAsia" w:ascii="Times New Roman" w:hAnsi="Times New Roman" w:cs="宋体"/>
          <w:color w:val="auto"/>
          <w:kern w:val="0"/>
          <w:szCs w:val="21"/>
          <w:lang w:eastAsia="zh-CN"/>
        </w:rPr>
        <w:t>）</w:t>
      </w:r>
      <w:r>
        <w:rPr>
          <w:rFonts w:ascii="Times New Roman" w:hAnsi="Times New Roman" w:eastAsia="宋体" w:cs="宋体"/>
          <w:color w:val="auto"/>
          <w:kern w:val="0"/>
          <w:szCs w:val="21"/>
        </w:rPr>
        <w:t>人的投标报价÷预算价)，新增项目无定额可套用时，由发包人、承包人及监理三方共同协商初步确定，最终以发包人及承包人双方确认的金额为准。</w:t>
      </w:r>
    </w:p>
    <w:p w14:paraId="75E5039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14:paraId="3A7902F4">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暂定价调整方法为：暂定材料价格部分仅调整合同实施期间材料市场价与暂定价之间的材差并计相应的税金，投标书中相应的综合单价不再调整。专业工程暂估价的确定方法：由承包人申报单价，发包人确定,如发包人认为材料暂估价及专业工程暂估价需要进行市场询价的，以发包人市场询价确认的单价为准。</w:t>
      </w:r>
    </w:p>
    <w:p w14:paraId="00CAE92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（6）无约定的参照我区现行《建设工程工程量清单计价规范》及配套定额相关规定执行。</w:t>
      </w:r>
    </w:p>
    <w:p w14:paraId="7D857CD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7）本工程最终结算以发包人委托的造价咨询机构审定（符合财政投资评审范围的，以财政投资评审审定）并经发包人及承包人双方确认的金额为准，如项目结算符合财政投资评审范围，工程结算最终以财政部门审定结果为准。</w:t>
      </w:r>
    </w:p>
    <w:p w14:paraId="70A42984">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注：无信息价的，通过市场询价共同协商确定的材料套用定额时，材料价格部分结算时不再下浮。如果双方对市场询价协商不一致，发包人有权甲供材，承包人无条件配合，对双方约定见8.4.1条。</w:t>
      </w:r>
    </w:p>
    <w:p w14:paraId="39CF9AC2">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10.5承包人的合理化建议</w:t>
      </w:r>
    </w:p>
    <w:p w14:paraId="0987C80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监理人审查承包人合理化建议的期限：</w:t>
      </w:r>
      <w:r>
        <w:rPr>
          <w:rFonts w:hint="eastAsia" w:ascii="Times New Roman" w:hAnsi="Times New Roman" w:eastAsia="宋体" w:cs="宋体"/>
          <w:color w:val="auto"/>
          <w:kern w:val="0"/>
          <w:szCs w:val="21"/>
          <w:u w:val="single"/>
        </w:rPr>
        <w:t xml:space="preserve"> 7天 </w:t>
      </w:r>
      <w:r>
        <w:rPr>
          <w:rFonts w:hint="eastAsia" w:ascii="Times New Roman" w:hAnsi="Times New Roman" w:eastAsia="宋体" w:cs="宋体"/>
          <w:color w:val="auto"/>
          <w:kern w:val="0"/>
          <w:szCs w:val="21"/>
        </w:rPr>
        <w:t>。</w:t>
      </w:r>
    </w:p>
    <w:p w14:paraId="572F717B">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发包人审批承包人合理化建议的期限：</w:t>
      </w:r>
      <w:r>
        <w:rPr>
          <w:rFonts w:hint="eastAsia" w:ascii="Times New Roman" w:hAnsi="Times New Roman" w:eastAsia="宋体" w:cs="宋体"/>
          <w:color w:val="auto"/>
          <w:kern w:val="0"/>
          <w:szCs w:val="21"/>
          <w:u w:val="single"/>
        </w:rPr>
        <w:t xml:space="preserve"> 7天 </w:t>
      </w:r>
      <w:r>
        <w:rPr>
          <w:rFonts w:hint="eastAsia" w:ascii="Times New Roman" w:hAnsi="Times New Roman" w:eastAsia="宋体" w:cs="宋体"/>
          <w:color w:val="auto"/>
          <w:kern w:val="0"/>
          <w:szCs w:val="21"/>
        </w:rPr>
        <w:t>。</w:t>
      </w:r>
    </w:p>
    <w:p w14:paraId="0A64044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承包人提出的合理化建议降低了合同价格或者提高了工程经济效益的奖励的方法和金额为：</w:t>
      </w:r>
      <w:r>
        <w:rPr>
          <w:rFonts w:hint="eastAsia" w:ascii="Times New Roman" w:hAnsi="Times New Roman" w:eastAsia="宋体" w:cs="宋体"/>
          <w:color w:val="auto"/>
          <w:kern w:val="0"/>
          <w:szCs w:val="21"/>
          <w:u w:val="single"/>
        </w:rPr>
        <w:t xml:space="preserve">  /  </w:t>
      </w:r>
      <w:r>
        <w:rPr>
          <w:rFonts w:hint="eastAsia" w:ascii="Times New Roman" w:hAnsi="Times New Roman" w:eastAsia="宋体" w:cs="宋体"/>
          <w:color w:val="auto"/>
          <w:kern w:val="0"/>
          <w:szCs w:val="21"/>
        </w:rPr>
        <w:t>。</w:t>
      </w:r>
    </w:p>
    <w:p w14:paraId="6C8FB0A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10.7 暂估价</w:t>
      </w:r>
    </w:p>
    <w:p w14:paraId="6D80C86C">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暂估价材料和工程设备的明细详见附件11：《暂估价一览表》。</w:t>
      </w:r>
    </w:p>
    <w:p w14:paraId="39BBA3E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10.7.1 依法必须招标的暂估价项目</w:t>
      </w:r>
    </w:p>
    <w:p w14:paraId="4D082F4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对于依法必须招标的暂估价项目的确认和批准采取第</w:t>
      </w:r>
      <w:r>
        <w:rPr>
          <w:rFonts w:hint="eastAsia" w:ascii="Times New Roman" w:hAnsi="Times New Roman" w:eastAsia="宋体" w:cs="宋体"/>
          <w:color w:val="auto"/>
          <w:kern w:val="0"/>
          <w:szCs w:val="21"/>
          <w:u w:val="single"/>
        </w:rPr>
        <w:t xml:space="preserve">  3  </w:t>
      </w:r>
      <w:r>
        <w:rPr>
          <w:rFonts w:hint="eastAsia" w:ascii="Times New Roman" w:hAnsi="Times New Roman" w:eastAsia="宋体" w:cs="宋体"/>
          <w:color w:val="auto"/>
          <w:kern w:val="0"/>
          <w:szCs w:val="21"/>
        </w:rPr>
        <w:t>种方式确定。</w:t>
      </w:r>
    </w:p>
    <w:p w14:paraId="7AECD4C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第1种方式：对于依法必须招标的暂估价项目，由承包人招标，对该暂估价项目的确认和批准按照以下约定执行：</w:t>
      </w:r>
    </w:p>
    <w:p w14:paraId="173B912C">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11B67F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（2）承包人应当根据施工进度计划，提前14天将</w:t>
      </w:r>
      <w:r>
        <w:rPr>
          <w:rFonts w:hint="eastAsia" w:cs="宋体"/>
          <w:color w:val="auto"/>
          <w:kern w:val="0"/>
          <w:szCs w:val="21"/>
          <w:lang w:eastAsia="zh-CN"/>
        </w:rPr>
        <w:t>竞争性磋商文件</w:t>
      </w:r>
      <w:r>
        <w:rPr>
          <w:rFonts w:hint="eastAsia" w:ascii="Times New Roman" w:hAnsi="Times New Roman" w:eastAsia="宋体" w:cs="宋体"/>
          <w:color w:val="auto"/>
          <w:kern w:val="0"/>
          <w:szCs w:val="21"/>
        </w:rPr>
        <w:t>通过监理人报送发包人审批，发包人应当在收到承包人报送的相关文件后7天内完成审批或提出修改意见；发包人有权确定招标控制价并委派评标委员会成员；</w:t>
      </w:r>
    </w:p>
    <w:p w14:paraId="6ADCF96A">
      <w:pPr>
        <w:keepNext w:val="0"/>
        <w:keepLines w:val="0"/>
        <w:pageBreakBefore w:val="0"/>
        <w:widowControl/>
        <w:kinsoku/>
        <w:wordWrap/>
        <w:overflowPunct/>
        <w:topLinePunct w:val="0"/>
        <w:bidi w:val="0"/>
        <w:adjustRightInd/>
        <w:snapToGrid/>
        <w:spacing w:line="400" w:lineRule="exac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    （3）承包人与供应商、分包人在签订暂估价合同前，应当提前7天将确定的</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候选供应商或</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候选分包人的资料报送发包人，发包人应在收到资料后3天内与承包人共同确定</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人；承包人应当在签订合同后7天内，将暂估价合同副本报送发包人留存。</w:t>
      </w:r>
    </w:p>
    <w:p w14:paraId="18C6798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人后，由发包人、承包人与</w:t>
      </w:r>
      <w:r>
        <w:rPr>
          <w:rFonts w:hint="eastAsia" w:ascii="Times New Roman" w:hAnsi="Times New Roman" w:cs="宋体"/>
          <w:color w:val="auto"/>
          <w:kern w:val="0"/>
          <w:szCs w:val="21"/>
          <w:lang w:eastAsia="zh-CN"/>
        </w:rPr>
        <w:t>中标（成交）</w:t>
      </w:r>
      <w:r>
        <w:rPr>
          <w:rFonts w:hint="eastAsia" w:ascii="Times New Roman" w:hAnsi="Times New Roman" w:eastAsia="宋体" w:cs="宋体"/>
          <w:color w:val="auto"/>
          <w:kern w:val="0"/>
          <w:szCs w:val="21"/>
        </w:rPr>
        <w:t>人共同签订暂估价合同。</w:t>
      </w:r>
    </w:p>
    <w:p w14:paraId="6E74EF0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第3种方式：发包人作为招标人，承包人配合、协助发包人的招标工作。</w:t>
      </w:r>
    </w:p>
    <w:p w14:paraId="6E816F03">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10.7.2 不属于依法必须招标的暂估价项目</w:t>
      </w:r>
    </w:p>
    <w:p w14:paraId="5709DAD0">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对于不属于依法必须招标的暂估价项目的确认和批准采取第 3  种方式确定。</w:t>
      </w:r>
    </w:p>
    <w:p w14:paraId="4F2BE229">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第1种方式：对于不属于依法必须招标的暂估价项目，按本项约定确认和批准：</w:t>
      </w:r>
    </w:p>
    <w:p w14:paraId="3CC0903E">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承包人根据施工进度计划，在签订暂估价项目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50B89DD">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（2）发包人认为承包人确定的供应商、分包人无法满足工程质量或合同要求的，发包人可以要求承包人重新确定暂估价项目的供应商、分包人;</w:t>
      </w:r>
    </w:p>
    <w:p w14:paraId="4BCC6C38">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（3）承包人应当在签订暂估价合同后7天内，将暂估价合同副本报送发包人留存。</w:t>
      </w:r>
    </w:p>
    <w:p w14:paraId="54F046C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第2种方式：承包人按照第10.7.1项〔依法必须招标的暂估价项目〕约定的第1种方式确定暂估价项目。</w:t>
      </w:r>
    </w:p>
    <w:p w14:paraId="535A01D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第3种方式：承包人实施的暂估价项目</w:t>
      </w:r>
    </w:p>
    <w:p w14:paraId="237EC1B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发包人认为承包人具备实施暂估价项目的资格和条件的，经发包人同意后，由承包人实施暂估价项目，结算方式同10.4条。</w:t>
      </w:r>
    </w:p>
    <w:p w14:paraId="00E162A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10.8 暂列金额</w:t>
      </w:r>
    </w:p>
    <w:p w14:paraId="713E61A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合同当事人关于暂列金额使用的约定：</w:t>
      </w:r>
    </w:p>
    <w:p w14:paraId="49CE8E0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（1）已签约合同价中的暂列金额由发包人掌握使用。 </w:t>
      </w:r>
    </w:p>
    <w:p w14:paraId="5784B1A6">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（2）发包人按照规定所作支付后，暂列金额如有余额归发包人。</w:t>
      </w:r>
    </w:p>
    <w:p w14:paraId="024ABEF5">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4" w:name="_Toc22255"/>
      <w:r>
        <w:rPr>
          <w:rFonts w:hint="eastAsia" w:ascii="Times New Roman" w:hAnsi="Times New Roman" w:eastAsia="宋体" w:cs="宋体"/>
          <w:b/>
          <w:bCs/>
          <w:color w:val="auto"/>
          <w:kern w:val="0"/>
          <w:szCs w:val="21"/>
        </w:rPr>
        <w:t>11. 价格调整</w:t>
      </w:r>
      <w:bookmarkEnd w:id="234"/>
    </w:p>
    <w:p w14:paraId="7F95E8D8">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11.1 市场价格波动引起的调整</w:t>
      </w:r>
    </w:p>
    <w:p w14:paraId="220F31B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市场价格波动是否调整合同价格的约定：</w:t>
      </w:r>
      <w:r>
        <w:rPr>
          <w:rFonts w:hint="eastAsia" w:ascii="Times New Roman" w:hAnsi="Times New Roman" w:eastAsia="宋体" w:cs="宋体"/>
          <w:color w:val="auto"/>
          <w:kern w:val="0"/>
          <w:szCs w:val="21"/>
          <w:u w:val="single"/>
        </w:rPr>
        <w:t>允许调整</w:t>
      </w:r>
      <w:r>
        <w:rPr>
          <w:rFonts w:hint="eastAsia" w:ascii="Times New Roman" w:hAnsi="Times New Roman" w:eastAsia="宋体" w:cs="宋体"/>
          <w:color w:val="auto"/>
          <w:kern w:val="0"/>
          <w:szCs w:val="21"/>
        </w:rPr>
        <w:t>。</w:t>
      </w:r>
    </w:p>
    <w:p w14:paraId="5B5EEE7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因市场价格波动调整合同价格，采用以下第</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b/>
          <w:color w:val="auto"/>
          <w:kern w:val="0"/>
          <w:szCs w:val="21"/>
          <w:u w:val="single"/>
        </w:rPr>
        <w:t>2</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种方式对合同价格进行调整：</w:t>
      </w:r>
    </w:p>
    <w:p w14:paraId="3060295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第1种方式：采用价格指数进行价格调整。</w:t>
      </w:r>
    </w:p>
    <w:p w14:paraId="4D2DC056">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关于各可调因子、定值和变值权重，以及基本价格指数及其来源的约定：</w:t>
      </w:r>
      <w:r>
        <w:rPr>
          <w:rFonts w:hint="eastAsia" w:ascii="Times New Roman" w:hAnsi="Times New Roman" w:eastAsia="宋体" w:cs="宋体"/>
          <w:color w:val="auto"/>
          <w:kern w:val="0"/>
          <w:szCs w:val="21"/>
          <w:u w:val="single"/>
        </w:rPr>
        <w:t xml:space="preserve"> 无</w:t>
      </w:r>
      <w:r>
        <w:rPr>
          <w:rFonts w:hint="eastAsia" w:ascii="Times New Roman" w:hAnsi="Times New Roman" w:eastAsia="宋体" w:cs="宋体"/>
          <w:color w:val="auto"/>
          <w:kern w:val="0"/>
          <w:szCs w:val="21"/>
        </w:rPr>
        <w:t xml:space="preserve">；  </w:t>
      </w:r>
    </w:p>
    <w:p w14:paraId="2FBB83A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第2种方式：采用造价信息进行价格调整。</w:t>
      </w:r>
    </w:p>
    <w:p w14:paraId="48B6A6F5">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429E92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26FF757">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（2）材料价格调整</w:t>
      </w:r>
    </w:p>
    <w:p w14:paraId="673EAC7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yellow"/>
        </w:rPr>
      </w:pPr>
      <w:r>
        <w:rPr>
          <w:rFonts w:hint="eastAsia" w:ascii="Times New Roman" w:hAnsi="Times New Roman" w:eastAsia="宋体" w:cs="宋体"/>
          <w:color w:val="auto"/>
          <w:kern w:val="0"/>
          <w:szCs w:val="21"/>
        </w:rPr>
        <w:t>关于基准价格的</w:t>
      </w:r>
      <w:r>
        <w:rPr>
          <w:rFonts w:hint="eastAsia" w:ascii="Times New Roman" w:hAnsi="Times New Roman" w:eastAsia="宋体" w:cs="宋体"/>
          <w:color w:val="auto"/>
          <w:kern w:val="0"/>
          <w:szCs w:val="21"/>
          <w:highlight w:val="none"/>
        </w:rPr>
        <w:t>约定：</w:t>
      </w:r>
      <w:r>
        <w:rPr>
          <w:rFonts w:hint="eastAsia" w:ascii="Times New Roman" w:hAnsi="Times New Roman" w:eastAsia="宋体" w:cs="宋体"/>
          <w:color w:val="auto"/>
          <w:kern w:val="0"/>
          <w:szCs w:val="21"/>
          <w:highlight w:val="none"/>
          <w:u w:val="single"/>
        </w:rPr>
        <w:t>审定的招标控制价采用的造价信息即</w:t>
      </w:r>
      <w:r>
        <w:rPr>
          <w:rFonts w:hint="eastAsia" w:ascii="Times New Roman" w:hAnsi="Times New Roman" w:cs="宋体"/>
          <w:color w:val="auto"/>
          <w:kern w:val="0"/>
          <w:szCs w:val="21"/>
          <w:highlight w:val="none"/>
          <w:u w:val="single"/>
          <w:lang w:eastAsia="zh-CN"/>
        </w:rPr>
        <w:t>20</w:t>
      </w:r>
      <w:r>
        <w:rPr>
          <w:rFonts w:hint="eastAsia" w:ascii="Times New Roman" w:hAnsi="Times New Roman" w:cs="宋体"/>
          <w:color w:val="auto"/>
          <w:kern w:val="0"/>
          <w:szCs w:val="21"/>
          <w:highlight w:val="none"/>
          <w:u w:val="single"/>
          <w:lang w:val="en-US" w:eastAsia="zh-CN"/>
        </w:rPr>
        <w:t>25</w:t>
      </w:r>
      <w:r>
        <w:rPr>
          <w:rFonts w:hint="eastAsia" w:ascii="Times New Roman" w:hAnsi="Times New Roman" w:cs="宋体"/>
          <w:color w:val="auto"/>
          <w:kern w:val="0"/>
          <w:szCs w:val="21"/>
          <w:highlight w:val="none"/>
          <w:u w:val="single"/>
          <w:lang w:eastAsia="zh-CN"/>
        </w:rPr>
        <w:t>年第</w:t>
      </w:r>
      <w:r>
        <w:rPr>
          <w:rFonts w:hint="eastAsia" w:cs="宋体"/>
          <w:color w:val="auto"/>
          <w:kern w:val="0"/>
          <w:szCs w:val="21"/>
          <w:highlight w:val="none"/>
          <w:u w:val="single"/>
          <w:lang w:val="en-US" w:eastAsia="zh-CN"/>
        </w:rPr>
        <w:t>3</w:t>
      </w:r>
      <w:r>
        <w:rPr>
          <w:rFonts w:hint="eastAsia" w:ascii="Times New Roman" w:hAnsi="Times New Roman" w:cs="宋体"/>
          <w:color w:val="auto"/>
          <w:kern w:val="0"/>
          <w:szCs w:val="21"/>
          <w:highlight w:val="none"/>
          <w:u w:val="single"/>
          <w:lang w:eastAsia="zh-CN"/>
        </w:rPr>
        <w:t>期</w:t>
      </w:r>
      <w:r>
        <w:rPr>
          <w:rFonts w:hint="eastAsia" w:ascii="Times New Roman" w:hAnsi="Times New Roman" w:eastAsia="宋体" w:cs="宋体"/>
          <w:color w:val="auto"/>
          <w:kern w:val="0"/>
          <w:szCs w:val="21"/>
          <w:highlight w:val="none"/>
          <w:u w:val="single"/>
        </w:rPr>
        <w:t>《桂林市建设工程造价信息</w:t>
      </w:r>
      <w:r>
        <w:rPr>
          <w:rFonts w:hint="eastAsia" w:cs="宋体"/>
          <w:color w:val="auto"/>
          <w:kern w:val="0"/>
          <w:szCs w:val="21"/>
          <w:highlight w:val="none"/>
          <w:u w:val="single"/>
          <w:lang w:eastAsia="zh-CN"/>
        </w:rPr>
        <w:t>（</w:t>
      </w:r>
      <w:r>
        <w:rPr>
          <w:rFonts w:hint="eastAsia" w:cs="宋体"/>
          <w:color w:val="auto"/>
          <w:kern w:val="0"/>
          <w:szCs w:val="21"/>
          <w:highlight w:val="none"/>
          <w:u w:val="single"/>
          <w:lang w:val="en-US" w:eastAsia="zh-CN"/>
        </w:rPr>
        <w:t>灵川县</w:t>
      </w:r>
      <w:r>
        <w:rPr>
          <w:rFonts w:hint="eastAsia" w:cs="宋体"/>
          <w:color w:val="auto"/>
          <w:kern w:val="0"/>
          <w:szCs w:val="21"/>
          <w:highlight w:val="none"/>
          <w:u w:val="single"/>
          <w:lang w:eastAsia="zh-CN"/>
        </w:rPr>
        <w:t>）</w:t>
      </w:r>
      <w:r>
        <w:rPr>
          <w:rFonts w:hint="eastAsia" w:ascii="Times New Roman" w:hAnsi="Times New Roman" w:eastAsia="宋体" w:cs="宋体"/>
          <w:color w:val="auto"/>
          <w:kern w:val="0"/>
          <w:szCs w:val="21"/>
          <w:highlight w:val="none"/>
          <w:u w:val="single"/>
        </w:rPr>
        <w:t>》</w:t>
      </w:r>
      <w:r>
        <w:rPr>
          <w:rFonts w:hint="eastAsia" w:ascii="Times New Roman" w:hAnsi="Times New Roman" w:eastAsia="宋体" w:cs="宋体"/>
          <w:color w:val="auto"/>
          <w:kern w:val="0"/>
          <w:szCs w:val="21"/>
          <w:highlight w:val="none"/>
        </w:rPr>
        <w:t>。</w:t>
      </w:r>
    </w:p>
    <w:p w14:paraId="27AEB13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①可调整材料单价的材料为：</w:t>
      </w:r>
      <w:r>
        <w:rPr>
          <w:rFonts w:hint="eastAsia" w:ascii="Times New Roman" w:hAnsi="Times New Roman" w:eastAsia="宋体" w:cs="宋体"/>
          <w:color w:val="auto"/>
          <w:kern w:val="0"/>
          <w:szCs w:val="21"/>
          <w:u w:val="single"/>
        </w:rPr>
        <w:t>水泥、碎石、砂、商品混凝土，商品砂浆（预拌砂浆）、钢材、砖。</w:t>
      </w:r>
    </w:p>
    <w:p w14:paraId="7F1BF4E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②承包人在已标价工程量清单或预算书中载明的材料单价低于基准价格的：专用合同条款合同履行期间材料单价涨幅以基准价格为基础超过</w:t>
      </w:r>
      <w:r>
        <w:rPr>
          <w:rFonts w:hint="eastAsia" w:ascii="Times New Roman" w:hAnsi="Times New Roman" w:eastAsia="宋体" w:cs="宋体"/>
          <w:color w:val="auto"/>
          <w:kern w:val="0"/>
          <w:szCs w:val="21"/>
          <w:u w:val="single"/>
        </w:rPr>
        <w:t xml:space="preserve"> 5 </w:t>
      </w:r>
      <w:r>
        <w:rPr>
          <w:rFonts w:hint="eastAsia" w:ascii="Times New Roman" w:hAnsi="Times New Roman" w:eastAsia="宋体" w:cs="宋体"/>
          <w:color w:val="auto"/>
          <w:kern w:val="0"/>
          <w:szCs w:val="21"/>
        </w:rPr>
        <w:t>%时，或材料单价跌幅以已标价工程量清单或预算书中载明材料单价为基础超过</w:t>
      </w:r>
      <w:r>
        <w:rPr>
          <w:rFonts w:hint="eastAsia" w:ascii="Times New Roman" w:hAnsi="Times New Roman" w:eastAsia="宋体" w:cs="宋体"/>
          <w:color w:val="auto"/>
          <w:kern w:val="0"/>
          <w:szCs w:val="21"/>
          <w:u w:val="single"/>
        </w:rPr>
        <w:t xml:space="preserve"> 5 </w:t>
      </w:r>
      <w:r>
        <w:rPr>
          <w:rFonts w:hint="eastAsia" w:ascii="Times New Roman" w:hAnsi="Times New Roman" w:eastAsia="宋体" w:cs="宋体"/>
          <w:color w:val="auto"/>
          <w:kern w:val="0"/>
          <w:szCs w:val="21"/>
        </w:rPr>
        <w:t>%时，其超过部分据实调整。</w:t>
      </w:r>
    </w:p>
    <w:p w14:paraId="5AD5AA3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③承包人在已标价工程量清单或预算书中载明的材料单价高于基准价格的：专用合同条款合同履行期间材料单价跌幅以基准价格为基础超过</w:t>
      </w:r>
      <w:r>
        <w:rPr>
          <w:rFonts w:hint="eastAsia" w:ascii="Times New Roman" w:hAnsi="Times New Roman" w:eastAsia="宋体" w:cs="宋体"/>
          <w:color w:val="auto"/>
          <w:kern w:val="0"/>
          <w:szCs w:val="21"/>
          <w:u w:val="single"/>
        </w:rPr>
        <w:t xml:space="preserve"> 5 </w:t>
      </w:r>
      <w:r>
        <w:rPr>
          <w:rFonts w:hint="eastAsia" w:ascii="Times New Roman" w:hAnsi="Times New Roman" w:eastAsia="宋体" w:cs="宋体"/>
          <w:color w:val="auto"/>
          <w:kern w:val="0"/>
          <w:szCs w:val="21"/>
        </w:rPr>
        <w:t>%时，材料单价涨幅以已标价工程量清单或预算书中载明材料单价为基础超过</w:t>
      </w:r>
      <w:r>
        <w:rPr>
          <w:rFonts w:hint="eastAsia" w:ascii="Times New Roman" w:hAnsi="Times New Roman" w:eastAsia="宋体" w:cs="宋体"/>
          <w:color w:val="auto"/>
          <w:kern w:val="0"/>
          <w:szCs w:val="21"/>
          <w:u w:val="single"/>
        </w:rPr>
        <w:t xml:space="preserve"> 5 </w:t>
      </w:r>
      <w:r>
        <w:rPr>
          <w:rFonts w:hint="eastAsia" w:ascii="Times New Roman" w:hAnsi="Times New Roman" w:eastAsia="宋体" w:cs="宋体"/>
          <w:color w:val="auto"/>
          <w:kern w:val="0"/>
          <w:szCs w:val="21"/>
        </w:rPr>
        <w:t>%时，其超过部分据实调整。</w:t>
      </w:r>
    </w:p>
    <w:p w14:paraId="4A370DCC">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④承包人在已标价工程量清单或预算书中载明的材料单价等于基准单价的：专用合同条款合同履行期间材料单价涨跌幅以基准单价为基础超过±</w:t>
      </w:r>
      <w:r>
        <w:rPr>
          <w:rFonts w:hint="eastAsia" w:ascii="Times New Roman" w:hAnsi="Times New Roman" w:eastAsia="宋体" w:cs="宋体"/>
          <w:color w:val="auto"/>
          <w:kern w:val="0"/>
          <w:szCs w:val="21"/>
          <w:u w:val="single"/>
        </w:rPr>
        <w:t xml:space="preserve"> 5 </w:t>
      </w:r>
      <w:r>
        <w:rPr>
          <w:rFonts w:hint="eastAsia" w:ascii="Times New Roman" w:hAnsi="Times New Roman" w:eastAsia="宋体" w:cs="宋体"/>
          <w:color w:val="auto"/>
          <w:kern w:val="0"/>
          <w:szCs w:val="21"/>
        </w:rPr>
        <w:t>%时，其超过部分据实调整。</w:t>
      </w:r>
    </w:p>
    <w:p w14:paraId="4AB738F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结算时，综合单价不变，仅计材料价差及相应税金。</w:t>
      </w:r>
    </w:p>
    <w:p w14:paraId="139B1499">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5" w:name="_Toc25311"/>
      <w:r>
        <w:rPr>
          <w:rFonts w:hint="eastAsia" w:ascii="Times New Roman" w:hAnsi="Times New Roman" w:eastAsia="宋体" w:cs="宋体"/>
          <w:b/>
          <w:bCs/>
          <w:color w:val="auto"/>
          <w:kern w:val="0"/>
          <w:szCs w:val="21"/>
        </w:rPr>
        <w:t>12. 合同价格、计量与支付</w:t>
      </w:r>
      <w:bookmarkEnd w:id="235"/>
    </w:p>
    <w:p w14:paraId="3506117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12.1 合同价格形式：</w:t>
      </w:r>
      <w:r>
        <w:rPr>
          <w:rFonts w:hint="eastAsia" w:ascii="Times New Roman" w:hAnsi="Times New Roman" w:eastAsia="宋体" w:cs="宋体"/>
          <w:color w:val="auto"/>
          <w:kern w:val="0"/>
          <w:szCs w:val="21"/>
          <w:u w:val="single"/>
        </w:rPr>
        <w:t>本合同价款采用  单价合同  方式确定。</w:t>
      </w:r>
    </w:p>
    <w:p w14:paraId="0CC1BE7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综合单价包含的风险范围：</w:t>
      </w:r>
      <w:r>
        <w:rPr>
          <w:rFonts w:hint="eastAsia" w:ascii="Times New Roman" w:hAnsi="Times New Roman" w:eastAsia="宋体" w:cs="宋体"/>
          <w:color w:val="auto"/>
          <w:kern w:val="0"/>
          <w:szCs w:val="21"/>
          <w:u w:val="single"/>
        </w:rPr>
        <w:t>除工程变更、政策性调整以外的一切因素。</w:t>
      </w:r>
    </w:p>
    <w:p w14:paraId="07A324F4">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风险费用的计算方法：</w:t>
      </w:r>
      <w:r>
        <w:rPr>
          <w:rFonts w:hint="eastAsia" w:ascii="Times New Roman" w:hAnsi="Times New Roman" w:eastAsia="宋体" w:cs="宋体"/>
          <w:color w:val="auto"/>
          <w:kern w:val="0"/>
          <w:szCs w:val="21"/>
          <w:u w:val="single"/>
        </w:rPr>
        <w:t xml:space="preserve">   /     </w:t>
      </w:r>
      <w:r>
        <w:rPr>
          <w:rFonts w:hint="eastAsia" w:ascii="Times New Roman" w:hAnsi="Times New Roman" w:eastAsia="宋体" w:cs="宋体"/>
          <w:color w:val="auto"/>
          <w:kern w:val="0"/>
          <w:szCs w:val="21"/>
        </w:rPr>
        <w:t>。</w:t>
      </w:r>
    </w:p>
    <w:p w14:paraId="0E0AA7F2">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风险范围以外合同价格的调整方法：</w:t>
      </w:r>
    </w:p>
    <w:p w14:paraId="56FC4AD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①工程变更：</w:t>
      </w:r>
      <w:r>
        <w:rPr>
          <w:rFonts w:hint="eastAsia" w:ascii="Times New Roman" w:hAnsi="Times New Roman" w:eastAsia="宋体" w:cs="宋体"/>
          <w:color w:val="auto"/>
          <w:kern w:val="0"/>
          <w:szCs w:val="21"/>
          <w:u w:val="single"/>
        </w:rPr>
        <w:t>按10.4.1变更估价原则的约定调整。</w:t>
      </w:r>
    </w:p>
    <w:p w14:paraId="0FBEC67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②政策性调整：</w:t>
      </w:r>
      <w:r>
        <w:rPr>
          <w:rFonts w:hint="eastAsia" w:ascii="Times New Roman" w:hAnsi="Times New Roman" w:eastAsia="宋体" w:cs="宋体"/>
          <w:color w:val="auto"/>
          <w:kern w:val="0"/>
          <w:szCs w:val="21"/>
          <w:u w:val="single"/>
        </w:rPr>
        <w:t>按</w:t>
      </w:r>
      <w:r>
        <w:rPr>
          <w:rFonts w:hint="eastAsia" w:cs="宋体"/>
          <w:color w:val="auto"/>
          <w:kern w:val="0"/>
          <w:szCs w:val="21"/>
          <w:u w:val="single"/>
          <w:lang w:eastAsia="zh-CN"/>
        </w:rPr>
        <w:t>桂林市</w:t>
      </w:r>
      <w:r>
        <w:rPr>
          <w:rFonts w:hint="eastAsia" w:ascii="Times New Roman" w:hAnsi="Times New Roman" w:eastAsia="宋体" w:cs="宋体"/>
          <w:color w:val="auto"/>
          <w:kern w:val="0"/>
          <w:szCs w:val="21"/>
          <w:u w:val="single"/>
        </w:rPr>
        <w:t>建设行政主管部门颁布的文件执行。</w:t>
      </w:r>
    </w:p>
    <w:p w14:paraId="2209DFA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③材料价格风险：</w:t>
      </w:r>
      <w:r>
        <w:rPr>
          <w:rFonts w:hint="eastAsia" w:ascii="Times New Roman" w:hAnsi="Times New Roman" w:eastAsia="宋体" w:cs="宋体"/>
          <w:color w:val="auto"/>
          <w:kern w:val="0"/>
          <w:szCs w:val="21"/>
          <w:u w:val="single"/>
        </w:rPr>
        <w:t>按11.1的约定调整。</w:t>
      </w:r>
    </w:p>
    <w:p w14:paraId="43A8E8AD">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④发包人缴纳的可办理退费的各项规费，由承包人提供相关资料并配合发包人退费，如因承包人原因造成不能退费的，相关损失从承包人结算中扣除。</w:t>
      </w:r>
    </w:p>
    <w:p w14:paraId="228AD47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⑤因发包人原因造成的承包人停工、窝工或机械停滞的，其停工、窝工人工工日数量和机械台班停滞数量按实际发生签证，其单价按现行计价规范和消耗量定额计算。</w:t>
      </w:r>
    </w:p>
    <w:p w14:paraId="3F3108F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2、总价合同。</w:t>
      </w:r>
    </w:p>
    <w:p w14:paraId="7EA47E25">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总价包含的风险范围：</w:t>
      </w:r>
      <w:r>
        <w:rPr>
          <w:rFonts w:hint="eastAsia" w:ascii="Times New Roman" w:hAnsi="Times New Roman" w:eastAsia="宋体" w:cs="宋体"/>
          <w:color w:val="auto"/>
          <w:kern w:val="0"/>
          <w:szCs w:val="21"/>
          <w:u w:val="single"/>
        </w:rPr>
        <w:t xml:space="preserve">           /                 。</w:t>
      </w:r>
    </w:p>
    <w:p w14:paraId="267E2DF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风险费用的计算方法：</w:t>
      </w:r>
      <w:r>
        <w:rPr>
          <w:rFonts w:hint="eastAsia" w:ascii="Times New Roman" w:hAnsi="Times New Roman" w:eastAsia="宋体" w:cs="宋体"/>
          <w:color w:val="auto"/>
          <w:kern w:val="0"/>
          <w:szCs w:val="21"/>
          <w:u w:val="single"/>
        </w:rPr>
        <w:t xml:space="preserve">         /                   。</w:t>
      </w:r>
    </w:p>
    <w:p w14:paraId="39407DB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风险范围以外合同价格的调整方法：</w:t>
      </w:r>
      <w:r>
        <w:rPr>
          <w:rFonts w:hint="eastAsia" w:ascii="Times New Roman" w:hAnsi="Times New Roman" w:eastAsia="宋体" w:cs="宋体"/>
          <w:color w:val="auto"/>
          <w:kern w:val="0"/>
          <w:szCs w:val="21"/>
          <w:u w:val="single"/>
        </w:rPr>
        <w:t xml:space="preserve">      /          。</w:t>
      </w:r>
    </w:p>
    <w:p w14:paraId="6045383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3、其他价格方式：</w:t>
      </w:r>
      <w:r>
        <w:rPr>
          <w:rFonts w:hint="eastAsia" w:ascii="Times New Roman" w:hAnsi="Times New Roman" w:eastAsia="宋体" w:cs="宋体"/>
          <w:color w:val="auto"/>
          <w:kern w:val="0"/>
          <w:szCs w:val="21"/>
          <w:u w:val="single"/>
        </w:rPr>
        <w:t xml:space="preserve">     /                          。</w:t>
      </w:r>
    </w:p>
    <w:p w14:paraId="7083419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12.2 预付款</w:t>
      </w:r>
    </w:p>
    <w:p w14:paraId="4962648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12.2.1 预付款的支付</w:t>
      </w:r>
    </w:p>
    <w:p w14:paraId="3B077753">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预付款支付比例或金额：</w:t>
      </w:r>
      <w:r>
        <w:rPr>
          <w:rFonts w:hint="eastAsia" w:cs="宋体"/>
          <w:color w:val="auto"/>
          <w:kern w:val="0"/>
          <w:szCs w:val="21"/>
          <w:u w:val="single"/>
          <w:lang w:eastAsia="zh-CN"/>
        </w:rPr>
        <w:t>合同价的30%</w:t>
      </w:r>
      <w:r>
        <w:rPr>
          <w:rFonts w:hint="eastAsia" w:ascii="Times New Roman" w:hAnsi="Times New Roman" w:eastAsia="宋体" w:cs="宋体"/>
          <w:color w:val="auto"/>
          <w:kern w:val="0"/>
          <w:szCs w:val="21"/>
          <w:u w:val="single"/>
        </w:rPr>
        <w:t>。</w:t>
      </w:r>
    </w:p>
    <w:p w14:paraId="45EA9FCC">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预付款支付期限：</w:t>
      </w:r>
      <w:r>
        <w:rPr>
          <w:rFonts w:hint="eastAsia" w:cs="宋体"/>
          <w:color w:val="auto"/>
          <w:kern w:val="0"/>
          <w:szCs w:val="21"/>
          <w:u w:val="single"/>
          <w:lang w:eastAsia="zh-CN"/>
        </w:rPr>
        <w:t>合同签订后3个工作日内</w:t>
      </w:r>
      <w:r>
        <w:rPr>
          <w:rFonts w:ascii="Times New Roman" w:hAnsi="Times New Roman" w:eastAsia="宋体" w:cs="宋体"/>
          <w:color w:val="auto"/>
          <w:kern w:val="0"/>
          <w:szCs w:val="21"/>
          <w:u w:val="single"/>
        </w:rPr>
        <w:t>。</w:t>
      </w:r>
    </w:p>
    <w:p w14:paraId="4BF832C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预付款扣回的方式：</w:t>
      </w:r>
      <w:r>
        <w:rPr>
          <w:rFonts w:hint="eastAsia" w:cs="宋体"/>
          <w:color w:val="auto"/>
          <w:kern w:val="0"/>
          <w:szCs w:val="21"/>
          <w:u w:val="single"/>
          <w:lang w:val="en-US" w:eastAsia="zh-CN"/>
        </w:rPr>
        <w:t xml:space="preserve"> 分三期，即项目第一次，第二次及第三次支付进度款时扣回，扣回比例分别为：第一次扣回预付金额的 30%；第二次扣回预付金额的 30%；第三次扣回预付金额的40%  </w:t>
      </w:r>
      <w:r>
        <w:rPr>
          <w:rFonts w:hint="eastAsia" w:ascii="Times New Roman" w:hAnsi="Times New Roman" w:eastAsia="宋体" w:cs="宋体"/>
          <w:color w:val="auto"/>
          <w:kern w:val="0"/>
          <w:szCs w:val="21"/>
        </w:rPr>
        <w:t>。</w:t>
      </w:r>
    </w:p>
    <w:p w14:paraId="6FCF1D8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12.2.2 预付款担保</w:t>
      </w:r>
    </w:p>
    <w:p w14:paraId="3A8FD339">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承包人提交预付款担保的期限：承包人应在发包人支付预付款7天前提供预付款担保。</w:t>
      </w:r>
    </w:p>
    <w:p w14:paraId="58B681D4">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预付款担保的形式为：银行保函或担保公司担保。在预付款完全扣回之前，</w:t>
      </w:r>
    </w:p>
    <w:p w14:paraId="76AA614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预付款担保的有效期：工程完工前，承包人应保证预付款担保持续有效。</w:t>
      </w:r>
    </w:p>
    <w:p w14:paraId="3078BD26">
      <w:pPr>
        <w:keepNext w:val="0"/>
        <w:keepLines w:val="0"/>
        <w:pageBreakBefore w:val="0"/>
        <w:widowControl/>
        <w:kinsoku/>
        <w:wordWrap/>
        <w:overflowPunct/>
        <w:topLinePunct w:val="0"/>
        <w:bidi w:val="0"/>
        <w:adjustRightInd/>
        <w:snapToGrid/>
        <w:spacing w:line="400" w:lineRule="exact"/>
        <w:ind w:firstLine="420"/>
        <w:textAlignment w:val="auto"/>
        <w:outlineLvl w:val="3"/>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12.3计量</w:t>
      </w:r>
    </w:p>
    <w:p w14:paraId="6E7834A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12.3.1 计量原则</w:t>
      </w:r>
    </w:p>
    <w:p w14:paraId="76C71CA2">
      <w:pPr>
        <w:keepNext w:val="0"/>
        <w:keepLines w:val="0"/>
        <w:pageBreakBefore w:val="0"/>
        <w:widowControl/>
        <w:numPr>
          <w:ilvl w:val="0"/>
          <w:numId w:val="0"/>
        </w:numPr>
        <w:tabs>
          <w:tab w:val="left" w:pos="1159"/>
        </w:tabs>
        <w:kinsoku/>
        <w:wordWrap/>
        <w:overflowPunct/>
        <w:topLinePunct w:val="0"/>
        <w:bidi w:val="0"/>
        <w:adjustRightInd/>
        <w:snapToGrid/>
        <w:spacing w:line="400" w:lineRule="exact"/>
        <w:ind w:right="160" w:rightChars="0" w:firstLine="420" w:firstLineChars="20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工程量计算规则：现行的广西工程量清单计价规范和广西消耗量定额。</w:t>
      </w:r>
    </w:p>
    <w:p w14:paraId="6CD9557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12.3.2 计量周期</w:t>
      </w:r>
    </w:p>
    <w:p w14:paraId="42F3140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关于计量周期的约定：见12.4.1条。</w:t>
      </w:r>
    </w:p>
    <w:p w14:paraId="68AC826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12.3.3 单价合同的计量</w:t>
      </w:r>
    </w:p>
    <w:p w14:paraId="507561BC">
      <w:pPr>
        <w:keepNext w:val="0"/>
        <w:keepLines w:val="0"/>
        <w:pageBreakBefore w:val="0"/>
        <w:widowControl/>
        <w:kinsoku/>
        <w:wordWrap/>
        <w:overflowPunct/>
        <w:topLinePunct w:val="0"/>
        <w:bidi w:val="0"/>
        <w:adjustRightInd/>
        <w:snapToGrid/>
        <w:spacing w:line="400" w:lineRule="exact"/>
        <w:ind w:firstLine="437"/>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 工程量清单所列的工程量，不能作为承包人按合同履行其责任依据，实际施工中发生的工程量增加或减少并不影响承包人履行合同的责任，工程结算以完成的实际工程量为准。</w:t>
      </w:r>
    </w:p>
    <w:p w14:paraId="60589D6F">
      <w:pPr>
        <w:keepNext w:val="0"/>
        <w:keepLines w:val="0"/>
        <w:pageBreakBefore w:val="0"/>
        <w:widowControl/>
        <w:kinsoku/>
        <w:wordWrap/>
        <w:overflowPunct/>
        <w:topLinePunct w:val="0"/>
        <w:bidi w:val="0"/>
        <w:adjustRightInd/>
        <w:snapToGrid/>
        <w:spacing w:line="400" w:lineRule="exact"/>
        <w:ind w:firstLine="437"/>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 除另有规定外，工程师应按照合同通过计量来核实确定已完成的工程量和价值，承包人应得到该价值扣除保留金后的价款。当工程师要对已完工的工程量进行计量时，应适时地通知承包人参加。</w:t>
      </w:r>
    </w:p>
    <w:p w14:paraId="7A723385">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12.3.4 总价合同的计量</w:t>
      </w:r>
    </w:p>
    <w:p w14:paraId="58AC6318">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关于总价合同计量的约定：</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7DED68E5">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12.3.5总价合同采用支付分解表计量支付的，是否适用第12.3.4 项〔总价合同的计量〕约定进行计量：</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47079E3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12.3.6 其他价格形式合同的计量</w:t>
      </w:r>
    </w:p>
    <w:p w14:paraId="16E1325F">
      <w:pPr>
        <w:keepNext w:val="0"/>
        <w:keepLines w:val="0"/>
        <w:pageBreakBefore w:val="0"/>
        <w:widowControl/>
        <w:kinsoku/>
        <w:wordWrap/>
        <w:overflowPunct/>
        <w:topLinePunct w:val="0"/>
        <w:bidi w:val="0"/>
        <w:adjustRightInd/>
        <w:snapToGrid/>
        <w:spacing w:line="400" w:lineRule="exact"/>
        <w:ind w:firstLine="441"/>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其他价格形式的计量方式和程序：</w:t>
      </w:r>
      <w:r>
        <w:rPr>
          <w:rFonts w:hint="eastAsia" w:ascii="Times New Roman" w:hAnsi="Times New Roman" w:eastAsia="宋体" w:cs="宋体"/>
          <w:color w:val="auto"/>
          <w:kern w:val="0"/>
          <w:szCs w:val="21"/>
          <w:u w:val="single"/>
        </w:rPr>
        <w:t>无。</w:t>
      </w:r>
    </w:p>
    <w:p w14:paraId="160DC9A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12.4 工程进度款支付</w:t>
      </w:r>
    </w:p>
    <w:p w14:paraId="0B76907E">
      <w:pPr>
        <w:keepNext w:val="0"/>
        <w:keepLines w:val="0"/>
        <w:pageBreakBefore w:val="0"/>
        <w:widowControl/>
        <w:kinsoku/>
        <w:wordWrap/>
        <w:overflowPunct/>
        <w:topLinePunct w:val="0"/>
        <w:bidi w:val="0"/>
        <w:adjustRightInd/>
        <w:snapToGrid/>
        <w:spacing w:line="400" w:lineRule="exact"/>
        <w:ind w:firstLine="441"/>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12.4.1 付款周期</w:t>
      </w:r>
    </w:p>
    <w:p w14:paraId="57EA66A9">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rPr>
      </w:pPr>
      <w:r>
        <w:rPr>
          <w:rFonts w:hint="eastAsia" w:ascii="Times New Roman" w:hAnsi="Times New Roman"/>
          <w:color w:val="auto"/>
          <w:szCs w:val="21"/>
          <w:u w:val="single"/>
        </w:rPr>
        <w:t>关于付款周期的约定：按工程进度付款，按月支付当月完成工程款项的</w:t>
      </w:r>
      <w:r>
        <w:rPr>
          <w:rFonts w:hint="eastAsia"/>
          <w:color w:val="auto"/>
          <w:szCs w:val="21"/>
          <w:u w:val="single"/>
          <w:lang w:val="en-US" w:eastAsia="zh-CN"/>
        </w:rPr>
        <w:t>8</w:t>
      </w:r>
      <w:r>
        <w:rPr>
          <w:rFonts w:hint="eastAsia" w:ascii="Times New Roman" w:hAnsi="Times New Roman"/>
          <w:color w:val="auto"/>
          <w:szCs w:val="21"/>
          <w:u w:val="single"/>
        </w:rPr>
        <w:t>0%；工程</w:t>
      </w:r>
      <w:r>
        <w:rPr>
          <w:rFonts w:ascii="Times New Roman" w:hAnsi="Times New Roman"/>
          <w:color w:val="auto"/>
          <w:szCs w:val="21"/>
          <w:u w:val="single"/>
        </w:rPr>
        <w:t>完成竣工备案</w:t>
      </w:r>
      <w:r>
        <w:rPr>
          <w:rFonts w:hint="eastAsia" w:ascii="Times New Roman" w:hAnsi="Times New Roman"/>
          <w:color w:val="auto"/>
          <w:szCs w:val="21"/>
          <w:u w:val="single"/>
        </w:rPr>
        <w:t>及结算审定后，发包人、承包人双方签字生效后10</w:t>
      </w:r>
      <w:r>
        <w:rPr>
          <w:rFonts w:hint="eastAsia"/>
          <w:color w:val="auto"/>
          <w:szCs w:val="21"/>
          <w:u w:val="single"/>
          <w:lang w:eastAsia="zh-CN"/>
        </w:rPr>
        <w:t>个工作</w:t>
      </w:r>
      <w:r>
        <w:rPr>
          <w:rFonts w:hint="eastAsia" w:ascii="Times New Roman" w:hAnsi="Times New Roman"/>
          <w:color w:val="auto"/>
          <w:szCs w:val="21"/>
          <w:u w:val="single"/>
        </w:rPr>
        <w:t>日内支付至经审核后结算价的9</w:t>
      </w:r>
      <w:r>
        <w:rPr>
          <w:rFonts w:ascii="Times New Roman" w:hAnsi="Times New Roman"/>
          <w:color w:val="auto"/>
          <w:szCs w:val="21"/>
          <w:u w:val="single"/>
        </w:rPr>
        <w:t>7</w:t>
      </w:r>
      <w:r>
        <w:rPr>
          <w:rFonts w:hint="eastAsia" w:ascii="Times New Roman" w:hAnsi="Times New Roman"/>
          <w:color w:val="auto"/>
          <w:szCs w:val="21"/>
          <w:u w:val="single"/>
        </w:rPr>
        <w:t>%，留结算价的</w:t>
      </w:r>
      <w:r>
        <w:rPr>
          <w:rFonts w:ascii="Times New Roman" w:hAnsi="Times New Roman"/>
          <w:color w:val="auto"/>
          <w:szCs w:val="21"/>
          <w:u w:val="single"/>
        </w:rPr>
        <w:t>3</w:t>
      </w:r>
      <w:r>
        <w:rPr>
          <w:rFonts w:hint="eastAsia" w:ascii="Times New Roman" w:hAnsi="Times New Roman"/>
          <w:color w:val="auto"/>
          <w:szCs w:val="21"/>
          <w:u w:val="single"/>
        </w:rPr>
        <w:t>%作为质量保证金，</w:t>
      </w:r>
      <w:r>
        <w:rPr>
          <w:rFonts w:hint="eastAsia" w:ascii="Times New Roman" w:hAnsi="Times New Roman" w:cs="宋体"/>
          <w:color w:val="auto"/>
          <w:szCs w:val="21"/>
          <w:u w:val="single"/>
        </w:rPr>
        <w:t>质保期满后一次性付清。</w:t>
      </w:r>
    </w:p>
    <w:p w14:paraId="79920C53">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12.4.2 进度付款申请单的编制</w:t>
      </w:r>
    </w:p>
    <w:p w14:paraId="46C336FF">
      <w:pPr>
        <w:keepNext w:val="0"/>
        <w:keepLines w:val="0"/>
        <w:pageBreakBefore w:val="0"/>
        <w:widowControl/>
        <w:kinsoku/>
        <w:wordWrap/>
        <w:overflowPunct/>
        <w:topLinePunct w:val="0"/>
        <w:bidi w:val="0"/>
        <w:adjustRightInd/>
        <w:snapToGrid/>
        <w:spacing w:line="400" w:lineRule="exact"/>
        <w:ind w:firstLine="441"/>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关于进度付款申请单编制的约定：</w:t>
      </w:r>
      <w:r>
        <w:rPr>
          <w:rFonts w:hint="eastAsia" w:ascii="Times New Roman" w:hAnsi="Times New Roman" w:eastAsia="宋体" w:cs="宋体"/>
          <w:color w:val="auto"/>
          <w:kern w:val="0"/>
          <w:szCs w:val="21"/>
          <w:u w:val="single"/>
        </w:rPr>
        <w:t>根据发包人的要求进行编制。</w:t>
      </w:r>
    </w:p>
    <w:p w14:paraId="78B48B4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12.4.3 进度付款申请单的提交</w:t>
      </w:r>
    </w:p>
    <w:p w14:paraId="20C1255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（1）单价合同进度付款申请单提交的约定：</w:t>
      </w:r>
      <w:r>
        <w:rPr>
          <w:rFonts w:hint="eastAsia" w:ascii="Times New Roman" w:hAnsi="Times New Roman" w:eastAsia="宋体" w:cs="宋体"/>
          <w:color w:val="auto"/>
          <w:kern w:val="0"/>
          <w:szCs w:val="21"/>
          <w:u w:val="single"/>
        </w:rPr>
        <w:t>承包人应在每个计量周期时向发包人提交已完工程进度款支付申请一式四份。</w:t>
      </w:r>
    </w:p>
    <w:p w14:paraId="39B771F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（2）总价合同进度付款申请单提交的约定：</w:t>
      </w:r>
      <w:r>
        <w:rPr>
          <w:rFonts w:hint="eastAsia" w:ascii="Times New Roman" w:hAnsi="Times New Roman" w:eastAsia="宋体" w:cs="宋体"/>
          <w:color w:val="auto"/>
          <w:kern w:val="0"/>
          <w:szCs w:val="21"/>
          <w:u w:val="single"/>
        </w:rPr>
        <w:t>承包人应在每个计量周期时向发包人提交已完工程进度款支付申请一式四份</w:t>
      </w:r>
      <w:r>
        <w:rPr>
          <w:rFonts w:hint="eastAsia" w:ascii="Times New Roman" w:hAnsi="Times New Roman" w:eastAsia="宋体" w:cs="宋体"/>
          <w:color w:val="auto"/>
          <w:kern w:val="0"/>
          <w:szCs w:val="21"/>
        </w:rPr>
        <w:t>。</w:t>
      </w:r>
    </w:p>
    <w:p w14:paraId="3575953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（3）其他价格形式合同进度付款申请单提交的约定：</w:t>
      </w:r>
      <w:r>
        <w:rPr>
          <w:rFonts w:hint="eastAsia" w:ascii="Times New Roman" w:hAnsi="Times New Roman" w:eastAsia="宋体" w:cs="宋体"/>
          <w:color w:val="auto"/>
          <w:kern w:val="0"/>
          <w:szCs w:val="21"/>
          <w:u w:val="single"/>
        </w:rPr>
        <w:t>承包人应在每个计量周期时向发包人提交已完工程进度款支付申请一式四份。</w:t>
      </w:r>
    </w:p>
    <w:p w14:paraId="710A29B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12.4.4 进度款审核和支付</w:t>
      </w:r>
    </w:p>
    <w:p w14:paraId="2A6CDD4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（1）监理人审查并报送发包人的期限：</w:t>
      </w:r>
      <w:r>
        <w:rPr>
          <w:rFonts w:hint="eastAsia" w:ascii="Times New Roman" w:hAnsi="Times New Roman" w:eastAsia="宋体" w:cs="宋体"/>
          <w:color w:val="auto"/>
          <w:kern w:val="0"/>
          <w:szCs w:val="21"/>
          <w:u w:val="single"/>
        </w:rPr>
        <w:t>收到相关资料后5天内</w:t>
      </w:r>
      <w:r>
        <w:rPr>
          <w:rFonts w:hint="eastAsia" w:ascii="Times New Roman" w:hAnsi="Times New Roman" w:eastAsia="宋体" w:cs="宋体"/>
          <w:color w:val="auto"/>
          <w:kern w:val="0"/>
          <w:szCs w:val="21"/>
        </w:rPr>
        <w:t>。</w:t>
      </w:r>
    </w:p>
    <w:p w14:paraId="6186F4C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（2）发包人完成审批并签发进度款支付证书的期限：</w:t>
      </w:r>
      <w:r>
        <w:rPr>
          <w:rFonts w:hint="eastAsia" w:ascii="Times New Roman" w:hAnsi="Times New Roman" w:eastAsia="宋体" w:cs="宋体"/>
          <w:color w:val="auto"/>
          <w:kern w:val="0"/>
          <w:szCs w:val="21"/>
          <w:u w:val="single"/>
        </w:rPr>
        <w:t>收到监理审查报告20个工作日内。</w:t>
      </w:r>
    </w:p>
    <w:p w14:paraId="2C0BAC05">
      <w:pPr>
        <w:keepNext w:val="0"/>
        <w:keepLines w:val="0"/>
        <w:pageBreakBefore w:val="0"/>
        <w:widowControl/>
        <w:kinsoku/>
        <w:wordWrap/>
        <w:overflowPunct/>
        <w:topLinePunct w:val="0"/>
        <w:bidi w:val="0"/>
        <w:adjustRightInd/>
        <w:snapToGrid/>
        <w:spacing w:line="400" w:lineRule="exact"/>
        <w:ind w:left="4200" w:hanging="378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（3）发包人支付进度款的期限：收到承包人开具的付款发票后15个工作日内完成支付。</w:t>
      </w:r>
    </w:p>
    <w:p w14:paraId="3BD7299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（4）发包人逾期支付进度款的违约金的计算方式：以应支付的进度款金额为基数，按中国人民银行发布的同期同类贷款基准利率计算。</w:t>
      </w:r>
    </w:p>
    <w:p w14:paraId="421F6EA3">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（5）进度款支付方式：银行转账。</w:t>
      </w:r>
    </w:p>
    <w:p w14:paraId="336F83E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12.4.6 支付分解表的编制</w:t>
      </w:r>
    </w:p>
    <w:p w14:paraId="5212700E">
      <w:pPr>
        <w:keepNext w:val="0"/>
        <w:keepLines w:val="0"/>
        <w:pageBreakBefore w:val="0"/>
        <w:widowControl/>
        <w:kinsoku/>
        <w:wordWrap/>
        <w:overflowPunct/>
        <w:topLinePunct w:val="0"/>
        <w:bidi w:val="0"/>
        <w:adjustRightInd/>
        <w:snapToGrid/>
        <w:spacing w:line="400" w:lineRule="exact"/>
        <w:ind w:left="4200" w:hanging="378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2、总价合同支付分解表的编制与审批：</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6B55335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3、单价合同的总价项目支付分解表的编制与审批：</w:t>
      </w:r>
      <w:r>
        <w:rPr>
          <w:rFonts w:hint="eastAsia" w:ascii="Times New Roman" w:hAnsi="Times New Roman" w:eastAsia="宋体" w:cs="宋体"/>
          <w:color w:val="auto"/>
          <w:kern w:val="0"/>
          <w:szCs w:val="21"/>
          <w:u w:val="single"/>
        </w:rPr>
        <w:t xml:space="preserve">/ </w:t>
      </w:r>
      <w:r>
        <w:rPr>
          <w:rFonts w:hint="eastAsia" w:ascii="Times New Roman" w:hAnsi="Times New Roman" w:eastAsia="宋体" w:cs="宋体"/>
          <w:color w:val="auto"/>
          <w:kern w:val="0"/>
          <w:szCs w:val="21"/>
        </w:rPr>
        <w:t>。</w:t>
      </w:r>
    </w:p>
    <w:p w14:paraId="78192F6E">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6" w:name="_Toc12347"/>
      <w:r>
        <w:rPr>
          <w:rFonts w:hint="eastAsia" w:ascii="Times New Roman" w:hAnsi="Times New Roman" w:eastAsia="宋体" w:cs="宋体"/>
          <w:b/>
          <w:bCs/>
          <w:color w:val="auto"/>
          <w:kern w:val="0"/>
          <w:szCs w:val="21"/>
        </w:rPr>
        <w:t>13. 验收和工程试车</w:t>
      </w:r>
      <w:bookmarkEnd w:id="236"/>
    </w:p>
    <w:p w14:paraId="3551CBE8">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13.1 分部分项工程验收</w:t>
      </w:r>
    </w:p>
    <w:p w14:paraId="345816F8">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13.1.2监理人不能按时进行验收时，应提前</w:t>
      </w:r>
      <w:r>
        <w:rPr>
          <w:rFonts w:hint="eastAsia" w:ascii="Times New Roman" w:hAnsi="Times New Roman" w:eastAsia="宋体" w:cs="宋体"/>
          <w:color w:val="auto"/>
          <w:kern w:val="0"/>
          <w:szCs w:val="21"/>
          <w:u w:val="single"/>
        </w:rPr>
        <w:t xml:space="preserve">  24  </w:t>
      </w:r>
      <w:r>
        <w:rPr>
          <w:rFonts w:hint="eastAsia" w:ascii="Times New Roman" w:hAnsi="Times New Roman" w:eastAsia="宋体" w:cs="宋体"/>
          <w:color w:val="auto"/>
          <w:kern w:val="0"/>
          <w:szCs w:val="21"/>
        </w:rPr>
        <w:t>小时提交书面延期要求。</w:t>
      </w:r>
    </w:p>
    <w:p w14:paraId="3983E4FD">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关于延期最长不得超过：</w:t>
      </w:r>
      <w:r>
        <w:rPr>
          <w:rFonts w:hint="eastAsia" w:ascii="Times New Roman" w:hAnsi="Times New Roman" w:eastAsia="宋体" w:cs="宋体"/>
          <w:color w:val="auto"/>
          <w:kern w:val="0"/>
          <w:szCs w:val="21"/>
          <w:u w:val="single"/>
        </w:rPr>
        <w:t xml:space="preserve"> 48  </w:t>
      </w:r>
      <w:r>
        <w:rPr>
          <w:rFonts w:hint="eastAsia" w:ascii="Times New Roman" w:hAnsi="Times New Roman" w:eastAsia="宋体" w:cs="宋体"/>
          <w:color w:val="auto"/>
          <w:kern w:val="0"/>
          <w:szCs w:val="21"/>
        </w:rPr>
        <w:t>小时。</w:t>
      </w:r>
    </w:p>
    <w:p w14:paraId="2866FC8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13.1.3中间验收</w:t>
      </w:r>
    </w:p>
    <w:p w14:paraId="6A26FB6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本工程需要进行中间验收的部位如下：按国家有关验收规程执行。</w:t>
      </w:r>
    </w:p>
    <w:p w14:paraId="26D1AE9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当工程进度达到本款约定的中间验收部位时，承包人应当进行自检，并在中间验收前48小时以书面形式通知监理人、发包人验收。书面通知应包括中间验收的内容、验收时间和地点。承包人应当准备验收记录。只有监理人和发包人验收合格并在验收记录上签字后，承包人方可继续施工。验收不合格的，承包人在  48小时期限内进行修改后重新验收。</w:t>
      </w:r>
    </w:p>
    <w:p w14:paraId="4A379739">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监理人或发包人不能按时进行验收的，应在验收前24小时以书面形式向承包人提出延期要求，延期不能超过48小时。监理人或发包人未能按本款约定的时限提出延期要求，又未按期进行验收的，承包人可自行组织验收，监理人必须认同验收记录。</w:t>
      </w:r>
    </w:p>
    <w:p w14:paraId="2BB55B4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经监理人验收后工程质量符合约定的验收标准，但验收24小时后监理人仍不在验收记录上签字的，视为监理人已经认可验收记录，承包人可继续施工。</w:t>
      </w:r>
    </w:p>
    <w:p w14:paraId="6B5D58B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13.2.1竣工验收条件</w:t>
      </w:r>
    </w:p>
    <w:p w14:paraId="4911C62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（3）承包人负责整理和提交的竣工验收资料应当符合工程所在地建设行政主管部门和(或)城市建设档案管理机构有关施工资料的要求，具体内容包括：参照桂林市城建馆存档要求及发包人需要。</w:t>
      </w:r>
    </w:p>
    <w:p w14:paraId="51FEF65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竣工验收资料的份数：一式四套。</w:t>
      </w:r>
    </w:p>
    <w:p w14:paraId="3C71A0E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承包人提供竣工图的约定：竣工验收正式通过后15天，提供竣工图的数量为4套。</w:t>
      </w:r>
    </w:p>
    <w:p w14:paraId="1094EEB5">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13.2 竣工验收</w:t>
      </w:r>
    </w:p>
    <w:p w14:paraId="37A8A7C5">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13.2.2竣工验收程序</w:t>
      </w:r>
    </w:p>
    <w:p w14:paraId="747486C9">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关于竣工验收程序的补充约定：</w:t>
      </w:r>
    </w:p>
    <w:p w14:paraId="74F8F66D">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（1）发包人与有关部门联系，确定验收日期，组织勘</w:t>
      </w:r>
      <w:r>
        <w:rPr>
          <w:rFonts w:hint="eastAsia" w:cs="宋体"/>
          <w:color w:val="auto"/>
          <w:kern w:val="0"/>
          <w:szCs w:val="21"/>
          <w:u w:val="single"/>
          <w:lang w:eastAsia="zh-CN"/>
        </w:rPr>
        <w:t>察</w:t>
      </w:r>
      <w:r>
        <w:rPr>
          <w:rFonts w:hint="eastAsia" w:ascii="Times New Roman" w:hAnsi="Times New Roman" w:eastAsia="宋体" w:cs="宋体"/>
          <w:color w:val="auto"/>
          <w:kern w:val="0"/>
          <w:szCs w:val="21"/>
          <w:u w:val="single"/>
        </w:rPr>
        <w:t>单位、设计单位、监理公司、政府有关部门、承包人参加竣工验收。</w:t>
      </w:r>
    </w:p>
    <w:p w14:paraId="12FB04E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（2） 竣工验收合格后，各方应签署建设工程质量验收意见书，共一式捌份，其中发包人留三份。如在竣工验收过程中发现问题需要整改，发包人在竣工验收后7天内提出整改意见，承包人按此意见在限定的时间内全部完成整改，因此而发生的整改或返修费用全部由承包人承担。否则按13.2.5条款执行。</w:t>
      </w:r>
    </w:p>
    <w:p w14:paraId="6381AF2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3）承包人应积极配合发包人办理基础工程、燃气、消防、电梯等专项验收合格证明、竣工验收报告、竣工验收备案表、三算书等手续，协助发包人及时取得《建设工程竣工验收备案证明书》，以上配合工作所需费用不另行计取。属于发包人应提供的资料由发包人负责及时提供给承包人，由承包人汇总整理后移交档案馆；专业分包的资料由承包人统一汇总后提交政府部门办理竣工验收及备案。因承包人原因导致工程竣工资料（按档案馆要求，含相应的电子磁盘资料、声像资料）延误移交的，每延误一天，发包人有权要求承包人支付人民币1万元的违约金。</w:t>
      </w:r>
    </w:p>
    <w:p w14:paraId="21B3DBF4">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4）工程在未移交发包人之前，承包人负责承包范围内工程的维修、维护和保管，期间发生的成品、半成品、材料等遗失、污染、破损等情况，承包人承担修复费用。如发包人提前使用造成损坏，所产生的修理费用由发包人承担。</w:t>
      </w:r>
    </w:p>
    <w:p w14:paraId="5B7AA439">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发包人不按照本项约定组织竣工验收、颁发工程接收证书的违约金的计算方法：</w:t>
      </w:r>
      <w:r>
        <w:rPr>
          <w:rFonts w:hint="eastAsia" w:ascii="Times New Roman" w:hAnsi="Times New Roman" w:eastAsia="宋体" w:cs="宋体"/>
          <w:color w:val="auto"/>
          <w:kern w:val="0"/>
          <w:szCs w:val="21"/>
          <w:u w:val="single"/>
        </w:rPr>
        <w:t xml:space="preserve"> 按通用条款执行  </w:t>
      </w:r>
      <w:r>
        <w:rPr>
          <w:rFonts w:hint="eastAsia" w:ascii="Times New Roman" w:hAnsi="Times New Roman" w:eastAsia="宋体" w:cs="宋体"/>
          <w:color w:val="auto"/>
          <w:kern w:val="0"/>
          <w:szCs w:val="21"/>
        </w:rPr>
        <w:t>。</w:t>
      </w:r>
    </w:p>
    <w:p w14:paraId="6E75515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13.2.5移交、接收全部与部分工程</w:t>
      </w:r>
    </w:p>
    <w:p w14:paraId="1AD94B1B">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承包人向发包人移交工程的期限：</w:t>
      </w:r>
      <w:r>
        <w:rPr>
          <w:rFonts w:hint="eastAsia" w:ascii="Times New Roman" w:hAnsi="Times New Roman" w:eastAsia="宋体" w:cs="宋体"/>
          <w:color w:val="auto"/>
          <w:kern w:val="0"/>
          <w:szCs w:val="21"/>
          <w:u w:val="single"/>
        </w:rPr>
        <w:t>工程竣工验收合格后，承包人应填写工程移交书，经发包人验收通过后，视为工程移交完毕。因承包人原因逾期未向发包人移交，造成发包人的损失均由承包人承担</w:t>
      </w:r>
      <w:r>
        <w:rPr>
          <w:rFonts w:hint="eastAsia" w:ascii="Times New Roman" w:hAnsi="Times New Roman" w:eastAsia="宋体" w:cs="宋体"/>
          <w:color w:val="auto"/>
          <w:kern w:val="0"/>
          <w:szCs w:val="21"/>
        </w:rPr>
        <w:t>。</w:t>
      </w:r>
    </w:p>
    <w:p w14:paraId="223966F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发包人未按本合同约定接收全部或部分工程的，违约金的计算方法为：</w:t>
      </w:r>
      <w:r>
        <w:rPr>
          <w:rFonts w:hint="eastAsia" w:ascii="Times New Roman" w:hAnsi="Times New Roman" w:eastAsia="宋体" w:cs="宋体"/>
          <w:color w:val="auto"/>
          <w:kern w:val="0"/>
          <w:szCs w:val="21"/>
          <w:u w:val="single"/>
        </w:rPr>
        <w:t xml:space="preserve">    /   </w:t>
      </w:r>
      <w:r>
        <w:rPr>
          <w:rFonts w:hint="eastAsia" w:ascii="Times New Roman" w:hAnsi="Times New Roman" w:eastAsia="宋体" w:cs="宋体"/>
          <w:color w:val="auto"/>
          <w:kern w:val="0"/>
          <w:szCs w:val="21"/>
        </w:rPr>
        <w:t>。</w:t>
      </w:r>
    </w:p>
    <w:p w14:paraId="5EA8896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承包人未按时移交工程的，违约金的计算方法为：</w:t>
      </w:r>
      <w:r>
        <w:rPr>
          <w:rFonts w:hint="eastAsia" w:ascii="Times New Roman" w:hAnsi="Times New Roman" w:eastAsia="宋体" w:cs="宋体"/>
          <w:color w:val="auto"/>
          <w:kern w:val="0"/>
          <w:szCs w:val="21"/>
          <w:u w:val="single"/>
        </w:rPr>
        <w:t>在办理本工程竣工移交前，承包人还应当按照监理人的指令，从现场撤除其经监理人批准的且不属于建设工程主体附件的所有的临时设施、机械、材料和工程设备、人员，经监理人同意的用于保修和办理移交目的(不得妨碍发包人使用已完工程)的除外。如果承包人拖延的，发包人有权另行委托第三方进行撤除清理，所发生的费用加20%管理费由承包人承担，并赔偿由此给发包人造成的损失</w:t>
      </w:r>
      <w:r>
        <w:rPr>
          <w:rFonts w:hint="eastAsia" w:ascii="Times New Roman" w:hAnsi="Times New Roman" w:eastAsia="宋体" w:cs="宋体"/>
          <w:color w:val="auto"/>
          <w:kern w:val="0"/>
          <w:szCs w:val="21"/>
        </w:rPr>
        <w:t>。</w:t>
      </w:r>
    </w:p>
    <w:p w14:paraId="456DF0A5">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13.3 工程试车</w:t>
      </w:r>
    </w:p>
    <w:p w14:paraId="3C518E8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13.3.1 试车程序</w:t>
      </w:r>
    </w:p>
    <w:p w14:paraId="293FF45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工程试车内容：</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6FD9A6E8">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（1）单机无负荷试车费用由</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承担；</w:t>
      </w:r>
    </w:p>
    <w:p w14:paraId="1CBA9ACE">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（2）无负荷联动试车费用由</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承担。</w:t>
      </w:r>
    </w:p>
    <w:p w14:paraId="0CA255A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13.3.3 投料试车</w:t>
      </w:r>
    </w:p>
    <w:p w14:paraId="7D73472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关于投料试车相关事项的约定：</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37F6B5C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13.6 竣工退场</w:t>
      </w:r>
    </w:p>
    <w:p w14:paraId="189E3A9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13.6.1 竣工退场</w:t>
      </w:r>
    </w:p>
    <w:p w14:paraId="3D89DEA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13.6.1 竣工退场</w:t>
      </w:r>
    </w:p>
    <w:p w14:paraId="45BA3E2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承包人完成竣工退场的期限：</w:t>
      </w:r>
      <w:r>
        <w:rPr>
          <w:rFonts w:hint="eastAsia" w:ascii="Times New Roman" w:hAnsi="Times New Roman" w:eastAsia="宋体" w:cs="宋体"/>
          <w:color w:val="auto"/>
          <w:kern w:val="0"/>
          <w:szCs w:val="21"/>
          <w:u w:val="single"/>
        </w:rPr>
        <w:t xml:space="preserve"> 按发包人书面通知时间  </w:t>
      </w:r>
      <w:r>
        <w:rPr>
          <w:rFonts w:hint="eastAsia" w:ascii="Times New Roman" w:hAnsi="Times New Roman" w:eastAsia="宋体" w:cs="宋体"/>
          <w:color w:val="auto"/>
          <w:kern w:val="0"/>
          <w:szCs w:val="21"/>
        </w:rPr>
        <w:t>。</w:t>
      </w:r>
    </w:p>
    <w:p w14:paraId="7112B71B">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承包人退场工作包含：</w:t>
      </w:r>
    </w:p>
    <w:p w14:paraId="131EA750">
      <w:pPr>
        <w:keepNext w:val="0"/>
        <w:keepLines w:val="0"/>
        <w:pageBreakBefore w:val="0"/>
        <w:widowControl/>
        <w:kinsoku/>
        <w:wordWrap/>
        <w:overflowPunct/>
        <w:topLinePunct w:val="0"/>
        <w:bidi w:val="0"/>
        <w:adjustRightInd/>
        <w:snapToGrid/>
        <w:spacing w:line="400" w:lineRule="exact"/>
        <w:ind w:firstLine="315"/>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1）进行全面的现场清理工作，包括清洁本工程的所有部位，除去一切无关标志、污斑、指印和其他的油污和污物，清洁和整理所有油漆及磨光工程，做到工完场清，属分包或发包人直接分包的范围和内容由分包单位自行清理。</w:t>
      </w:r>
    </w:p>
    <w:p w14:paraId="2424A729">
      <w:pPr>
        <w:keepNext w:val="0"/>
        <w:keepLines w:val="0"/>
        <w:pageBreakBefore w:val="0"/>
        <w:widowControl/>
        <w:kinsoku/>
        <w:wordWrap/>
        <w:overflowPunct/>
        <w:topLinePunct w:val="0"/>
        <w:bidi w:val="0"/>
        <w:adjustRightInd/>
        <w:snapToGrid/>
        <w:spacing w:line="400" w:lineRule="exact"/>
        <w:ind w:firstLine="315"/>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u w:val="single"/>
        </w:rPr>
        <w:t>（2）承包人应按发包人要求的时限撤出临建，逾期不撤出导致影响工期的，承包人按工期延误条款向发包人支付违约金。</w:t>
      </w:r>
    </w:p>
    <w:p w14:paraId="46235D13">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7" w:name="_Toc23438"/>
      <w:r>
        <w:rPr>
          <w:rFonts w:hint="eastAsia" w:ascii="Times New Roman" w:hAnsi="Times New Roman" w:eastAsia="宋体" w:cs="宋体"/>
          <w:b/>
          <w:bCs/>
          <w:color w:val="auto"/>
          <w:kern w:val="0"/>
          <w:szCs w:val="21"/>
        </w:rPr>
        <w:t>14. 竣工结算</w:t>
      </w:r>
      <w:bookmarkEnd w:id="237"/>
    </w:p>
    <w:p w14:paraId="4A785457">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14.1 竣工结算申请</w:t>
      </w:r>
    </w:p>
    <w:p w14:paraId="74268D40">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承包人提交竣工结算申请单的期限：</w:t>
      </w:r>
      <w:r>
        <w:rPr>
          <w:rFonts w:hint="eastAsia" w:ascii="Times New Roman" w:hAnsi="Times New Roman" w:eastAsia="宋体" w:cs="宋体"/>
          <w:color w:val="auto"/>
          <w:kern w:val="0"/>
          <w:szCs w:val="21"/>
          <w:u w:val="single"/>
        </w:rPr>
        <w:t>一式叁份</w:t>
      </w:r>
      <w:r>
        <w:rPr>
          <w:rFonts w:hint="eastAsia" w:ascii="Times New Roman" w:hAnsi="Times New Roman" w:eastAsia="宋体" w:cs="宋体"/>
          <w:color w:val="auto"/>
          <w:kern w:val="0"/>
          <w:szCs w:val="21"/>
        </w:rPr>
        <w:t>。</w:t>
      </w:r>
    </w:p>
    <w:p w14:paraId="19ED12D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竣工结算申请单应包括的内容：</w:t>
      </w:r>
      <w:r>
        <w:rPr>
          <w:rFonts w:hint="eastAsia" w:ascii="Times New Roman" w:hAnsi="Times New Roman" w:eastAsia="宋体" w:cs="宋体"/>
          <w:color w:val="auto"/>
          <w:kern w:val="0"/>
          <w:szCs w:val="21"/>
          <w:u w:val="single"/>
        </w:rPr>
        <w:t>按通用条款执行</w:t>
      </w:r>
      <w:r>
        <w:rPr>
          <w:rFonts w:hint="eastAsia" w:ascii="Times New Roman" w:hAnsi="Times New Roman" w:eastAsia="宋体" w:cs="宋体"/>
          <w:color w:val="auto"/>
          <w:kern w:val="0"/>
          <w:szCs w:val="21"/>
        </w:rPr>
        <w:t>。</w:t>
      </w:r>
    </w:p>
    <w:p w14:paraId="6437308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14.2 竣工结算</w:t>
      </w:r>
    </w:p>
    <w:p w14:paraId="4B91DF5C">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发包人审批竣工付款申请单的期限：</w:t>
      </w:r>
      <w:r>
        <w:rPr>
          <w:rFonts w:hint="eastAsia" w:ascii="Times New Roman" w:hAnsi="Times New Roman" w:eastAsia="宋体" w:cs="宋体"/>
          <w:color w:val="auto"/>
          <w:kern w:val="0"/>
          <w:szCs w:val="21"/>
          <w:u w:val="single"/>
        </w:rPr>
        <w:t>承包人在单栋竣工验收后三个月内提交完整的结算资料，完整的结算资料包括：合同、补充协议、竣工图、工程设计变更单、工程签证单原件、隐蔽工程验收单、房屋竣工验收合格证、工程结算书、工程量计算稿电子版、钢筋计算电子版、工程甲供料资料等。如该项目纳入财政投资评审范围，则按财政投资评审要求提供竣工结算资料。工程结算资料需经监理人和发包人工程、技术部门审核，确保资料完整、无错漏。发包人收到结算书后应在六个月内提出初审意见。如项目结算符合财政投资评审范围，承包人应按照</w:t>
      </w:r>
      <w:r>
        <w:rPr>
          <w:rFonts w:hint="eastAsia" w:ascii="Times New Roman" w:hAnsi="Times New Roman" w:cs="宋体"/>
          <w:color w:val="auto"/>
          <w:kern w:val="0"/>
          <w:szCs w:val="21"/>
          <w:u w:val="single"/>
          <w:lang w:eastAsia="zh-CN"/>
        </w:rPr>
        <w:t>桂林市</w:t>
      </w:r>
      <w:r>
        <w:rPr>
          <w:rFonts w:hint="eastAsia" w:cs="宋体"/>
          <w:color w:val="auto"/>
          <w:kern w:val="0"/>
          <w:szCs w:val="21"/>
          <w:u w:val="single"/>
          <w:lang w:eastAsia="zh-CN"/>
        </w:rPr>
        <w:t>灵川县</w:t>
      </w:r>
      <w:r>
        <w:rPr>
          <w:rFonts w:hint="eastAsia" w:ascii="Times New Roman" w:hAnsi="Times New Roman" w:cs="宋体"/>
          <w:color w:val="auto"/>
          <w:kern w:val="0"/>
          <w:szCs w:val="21"/>
          <w:u w:val="single"/>
          <w:lang w:eastAsia="zh-CN"/>
        </w:rPr>
        <w:t>财政局</w:t>
      </w:r>
      <w:r>
        <w:rPr>
          <w:rFonts w:hint="eastAsia" w:ascii="Times New Roman" w:hAnsi="Times New Roman" w:eastAsia="宋体" w:cs="宋体"/>
          <w:color w:val="auto"/>
          <w:kern w:val="0"/>
          <w:szCs w:val="21"/>
          <w:u w:val="single"/>
        </w:rPr>
        <w:t>财政投资评审中心要求提交结算评审资料，以财政部门评审要求为准。</w:t>
      </w:r>
    </w:p>
    <w:p w14:paraId="230BBBD5">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发包人完成竣工付款的期限：</w:t>
      </w:r>
      <w:r>
        <w:rPr>
          <w:rFonts w:hint="eastAsia" w:ascii="Times New Roman" w:hAnsi="Times New Roman" w:eastAsia="宋体" w:cs="宋体"/>
          <w:color w:val="auto"/>
          <w:kern w:val="0"/>
          <w:szCs w:val="21"/>
          <w:u w:val="single"/>
        </w:rPr>
        <w:t>审核完承包人的竣工付款申请单7天内</w:t>
      </w:r>
      <w:r>
        <w:rPr>
          <w:rFonts w:hint="eastAsia" w:ascii="Times New Roman" w:hAnsi="Times New Roman" w:eastAsia="宋体" w:cs="宋体"/>
          <w:color w:val="auto"/>
          <w:kern w:val="0"/>
          <w:szCs w:val="21"/>
        </w:rPr>
        <w:t>。</w:t>
      </w:r>
    </w:p>
    <w:p w14:paraId="21A75A97">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关于竣工付款证书异议部分复核的方式和程序：</w:t>
      </w:r>
      <w:r>
        <w:rPr>
          <w:rFonts w:hint="eastAsia" w:ascii="Times New Roman" w:hAnsi="Times New Roman" w:eastAsia="宋体" w:cs="宋体"/>
          <w:color w:val="auto"/>
          <w:kern w:val="0"/>
          <w:szCs w:val="21"/>
          <w:u w:val="single"/>
        </w:rPr>
        <w:t>如双方对结算有异议的，有异议部分双方向行政主管机构进行咨询和调解</w:t>
      </w:r>
      <w:r>
        <w:rPr>
          <w:rFonts w:hint="eastAsia" w:ascii="Times New Roman" w:hAnsi="Times New Roman" w:eastAsia="宋体" w:cs="宋体"/>
          <w:color w:val="auto"/>
          <w:kern w:val="0"/>
          <w:szCs w:val="21"/>
        </w:rPr>
        <w:t>。</w:t>
      </w:r>
    </w:p>
    <w:p w14:paraId="5370783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14.4 最终结清</w:t>
      </w:r>
    </w:p>
    <w:p w14:paraId="554D36A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14.4.1 最终结清申请单</w:t>
      </w:r>
    </w:p>
    <w:p w14:paraId="1CABDF9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承包人提交最终结清申请单的份数：</w:t>
      </w:r>
      <w:r>
        <w:rPr>
          <w:rFonts w:hint="eastAsia" w:ascii="Times New Roman" w:hAnsi="Times New Roman" w:eastAsia="宋体" w:cs="宋体"/>
          <w:color w:val="auto"/>
          <w:kern w:val="0"/>
          <w:szCs w:val="21"/>
          <w:u w:val="single"/>
        </w:rPr>
        <w:t>按通用条款执行</w:t>
      </w:r>
      <w:r>
        <w:rPr>
          <w:rFonts w:hint="eastAsia" w:ascii="Times New Roman" w:hAnsi="Times New Roman" w:eastAsia="宋体" w:cs="宋体"/>
          <w:color w:val="auto"/>
          <w:kern w:val="0"/>
          <w:szCs w:val="21"/>
        </w:rPr>
        <w:t>。</w:t>
      </w:r>
    </w:p>
    <w:p w14:paraId="2D1EF25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承包人提交最终结算申请单的期限：</w:t>
      </w:r>
      <w:r>
        <w:rPr>
          <w:rFonts w:hint="eastAsia" w:ascii="Times New Roman" w:hAnsi="Times New Roman" w:eastAsia="宋体" w:cs="宋体"/>
          <w:color w:val="auto"/>
          <w:kern w:val="0"/>
          <w:szCs w:val="21"/>
          <w:u w:val="single"/>
        </w:rPr>
        <w:t>按通用条款执行</w:t>
      </w:r>
      <w:r>
        <w:rPr>
          <w:rFonts w:hint="eastAsia" w:ascii="Times New Roman" w:hAnsi="Times New Roman" w:eastAsia="宋体" w:cs="宋体"/>
          <w:color w:val="auto"/>
          <w:kern w:val="0"/>
          <w:szCs w:val="21"/>
        </w:rPr>
        <w:t xml:space="preserve">。 </w:t>
      </w:r>
    </w:p>
    <w:p w14:paraId="103259F5">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14.4.2 最终结清证书和支付</w:t>
      </w:r>
    </w:p>
    <w:p w14:paraId="2C93BDD4">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（1）发包人完成最终结清申请单的审批并颁发最终结清证书的期限：</w:t>
      </w:r>
      <w:r>
        <w:rPr>
          <w:rFonts w:hint="eastAsia" w:ascii="Times New Roman" w:hAnsi="Times New Roman" w:eastAsia="宋体" w:cs="宋体"/>
          <w:color w:val="auto"/>
          <w:kern w:val="0"/>
          <w:szCs w:val="21"/>
          <w:u w:val="single"/>
        </w:rPr>
        <w:t>收到承包人申请后7日内</w:t>
      </w:r>
      <w:r>
        <w:rPr>
          <w:rFonts w:hint="eastAsia" w:ascii="Times New Roman" w:hAnsi="Times New Roman" w:eastAsia="宋体" w:cs="宋体"/>
          <w:color w:val="auto"/>
          <w:kern w:val="0"/>
          <w:szCs w:val="21"/>
        </w:rPr>
        <w:t>。</w:t>
      </w:r>
    </w:p>
    <w:p w14:paraId="5C8B503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（2）发包人完成支付的期限：</w:t>
      </w:r>
      <w:r>
        <w:rPr>
          <w:rFonts w:hint="eastAsia" w:ascii="Times New Roman" w:hAnsi="Times New Roman" w:eastAsia="宋体" w:cs="宋体"/>
          <w:color w:val="auto"/>
          <w:kern w:val="0"/>
          <w:szCs w:val="21"/>
          <w:u w:val="single"/>
        </w:rPr>
        <w:t>在颁发最终结清证书后的7天内</w:t>
      </w:r>
      <w:r>
        <w:rPr>
          <w:rFonts w:hint="eastAsia" w:ascii="Times New Roman" w:hAnsi="Times New Roman" w:eastAsia="宋体" w:cs="宋体"/>
          <w:color w:val="auto"/>
          <w:kern w:val="0"/>
          <w:szCs w:val="21"/>
        </w:rPr>
        <w:t>。</w:t>
      </w:r>
    </w:p>
    <w:p w14:paraId="567BE582">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8" w:name="_Toc10891"/>
      <w:r>
        <w:rPr>
          <w:rFonts w:hint="eastAsia" w:ascii="Times New Roman" w:hAnsi="Times New Roman" w:eastAsia="宋体" w:cs="宋体"/>
          <w:b/>
          <w:bCs/>
          <w:color w:val="auto"/>
          <w:kern w:val="0"/>
          <w:szCs w:val="21"/>
        </w:rPr>
        <w:t>15. 缺陷责任期与保修</w:t>
      </w:r>
      <w:bookmarkEnd w:id="238"/>
    </w:p>
    <w:p w14:paraId="0E207A5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15.2缺陷责任期</w:t>
      </w:r>
    </w:p>
    <w:p w14:paraId="6C4D30F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缺陷责任期的具体期限：</w:t>
      </w:r>
      <w:r>
        <w:rPr>
          <w:rFonts w:hint="eastAsia" w:ascii="Times New Roman" w:hAnsi="Times New Roman" w:eastAsia="宋体" w:cs="宋体"/>
          <w:color w:val="auto"/>
          <w:kern w:val="0"/>
          <w:szCs w:val="21"/>
          <w:u w:val="single"/>
        </w:rPr>
        <w:t>24个月</w:t>
      </w:r>
      <w:r>
        <w:rPr>
          <w:rFonts w:hint="eastAsia" w:ascii="Times New Roman" w:hAnsi="Times New Roman" w:eastAsia="宋体" w:cs="宋体"/>
          <w:color w:val="auto"/>
          <w:kern w:val="0"/>
          <w:szCs w:val="21"/>
        </w:rPr>
        <w:t>。</w:t>
      </w:r>
    </w:p>
    <w:p w14:paraId="12ADFDE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15.3 质量保证金</w:t>
      </w:r>
    </w:p>
    <w:p w14:paraId="1D213CE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关于是否扣留质量保证金的约定：</w:t>
      </w:r>
      <w:r>
        <w:rPr>
          <w:rFonts w:hint="eastAsia" w:ascii="Times New Roman" w:hAnsi="Times New Roman" w:eastAsia="宋体" w:cs="宋体"/>
          <w:color w:val="auto"/>
          <w:kern w:val="0"/>
          <w:szCs w:val="21"/>
          <w:u w:val="single"/>
        </w:rPr>
        <w:t>是</w:t>
      </w:r>
      <w:r>
        <w:rPr>
          <w:rFonts w:hint="eastAsia" w:ascii="Times New Roman" w:hAnsi="Times New Roman" w:eastAsia="宋体" w:cs="宋体"/>
          <w:color w:val="auto"/>
          <w:kern w:val="0"/>
          <w:szCs w:val="21"/>
        </w:rPr>
        <w:t>。</w:t>
      </w:r>
    </w:p>
    <w:p w14:paraId="0C557F69">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在工程项目竣工前，承包人按专用合同条款第3.7条提供履约担保的，发包人不得同时预留工程质量保证金。</w:t>
      </w:r>
    </w:p>
    <w:p w14:paraId="0AEB5523">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15.3.1 承包人提供质量保证金的方式</w:t>
      </w:r>
    </w:p>
    <w:p w14:paraId="2AEEE56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质量保证金采用以下第</w:t>
      </w:r>
      <w:r>
        <w:rPr>
          <w:rFonts w:hint="eastAsia" w:ascii="Times New Roman" w:hAnsi="Times New Roman" w:eastAsia="宋体" w:cs="宋体"/>
          <w:color w:val="auto"/>
          <w:kern w:val="0"/>
          <w:szCs w:val="21"/>
          <w:u w:val="single"/>
        </w:rPr>
        <w:t xml:space="preserve"> 2  </w:t>
      </w:r>
      <w:r>
        <w:rPr>
          <w:rFonts w:hint="eastAsia" w:ascii="Times New Roman" w:hAnsi="Times New Roman" w:eastAsia="宋体" w:cs="宋体"/>
          <w:color w:val="auto"/>
          <w:kern w:val="0"/>
          <w:szCs w:val="21"/>
        </w:rPr>
        <w:t>种方式：</w:t>
      </w:r>
    </w:p>
    <w:p w14:paraId="6A70E4F0">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（1）质量保证金保函，保证金额为：</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 xml:space="preserve">； </w:t>
      </w:r>
    </w:p>
    <w:p w14:paraId="3D49F85C">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ascii="Times New Roman" w:hAnsi="Times New Roman" w:eastAsia="宋体" w:cs="宋体"/>
          <w:color w:val="auto"/>
          <w:kern w:val="0"/>
          <w:szCs w:val="21"/>
        </w:rPr>
        <w:t>（2）</w:t>
      </w:r>
      <w:r>
        <w:rPr>
          <w:rFonts w:ascii="Times New Roman" w:hAnsi="Times New Roman" w:eastAsia="宋体" w:cs="宋体"/>
          <w:color w:val="auto"/>
          <w:kern w:val="0"/>
          <w:szCs w:val="21"/>
          <w:u w:val="single"/>
        </w:rPr>
        <w:t xml:space="preserve">  3  </w:t>
      </w:r>
      <w:r>
        <w:rPr>
          <w:rFonts w:ascii="Times New Roman" w:hAnsi="Times New Roman" w:eastAsia="宋体" w:cs="宋体"/>
          <w:color w:val="auto"/>
          <w:kern w:val="0"/>
          <w:szCs w:val="21"/>
        </w:rPr>
        <w:t>%的工程款；</w:t>
      </w:r>
    </w:p>
    <w:p w14:paraId="1A36C985">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（3）其他方式:</w:t>
      </w:r>
      <w:r>
        <w:rPr>
          <w:rFonts w:hint="eastAsia" w:ascii="Times New Roman" w:hAnsi="Times New Roman" w:eastAsia="宋体" w:cs="宋体"/>
          <w:color w:val="auto"/>
          <w:kern w:val="0"/>
          <w:szCs w:val="21"/>
          <w:u w:val="single"/>
        </w:rPr>
        <w:t xml:space="preserve"> / </w:t>
      </w:r>
      <w:r>
        <w:rPr>
          <w:rFonts w:hint="eastAsia" w:ascii="Times New Roman" w:hAnsi="Times New Roman" w:eastAsia="宋体" w:cs="宋体"/>
          <w:color w:val="auto"/>
          <w:kern w:val="0"/>
          <w:szCs w:val="21"/>
        </w:rPr>
        <w:t>。</w:t>
      </w:r>
    </w:p>
    <w:p w14:paraId="2BFF08C6">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15.3.2 质量保证金的扣留 </w:t>
      </w:r>
    </w:p>
    <w:p w14:paraId="19B5D36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质量保证金的扣留采取以下第</w:t>
      </w:r>
      <w:r>
        <w:rPr>
          <w:rFonts w:hint="eastAsia" w:ascii="Times New Roman" w:hAnsi="Times New Roman" w:eastAsia="宋体" w:cs="宋体"/>
          <w:color w:val="auto"/>
          <w:kern w:val="0"/>
          <w:szCs w:val="21"/>
          <w:u w:val="single"/>
        </w:rPr>
        <w:t xml:space="preserve"> 2  </w:t>
      </w:r>
      <w:r>
        <w:rPr>
          <w:rFonts w:hint="eastAsia" w:ascii="Times New Roman" w:hAnsi="Times New Roman" w:eastAsia="宋体" w:cs="宋体"/>
          <w:color w:val="auto"/>
          <w:kern w:val="0"/>
          <w:szCs w:val="21"/>
        </w:rPr>
        <w:t>种方式：</w:t>
      </w:r>
    </w:p>
    <w:p w14:paraId="1E22B27B">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（1）在支付工程进度款时逐次扣留，在此情形下，质量保证金的计算基数不包括预付款的支付、扣回以及价格调整的金额；</w:t>
      </w:r>
    </w:p>
    <w:p w14:paraId="135BEE2B">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（2）工程竣工结算时一次性扣留质量保证金；</w:t>
      </w:r>
    </w:p>
    <w:p w14:paraId="54930485">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（3）其他扣留方式:</w:t>
      </w:r>
      <w:r>
        <w:rPr>
          <w:rFonts w:hint="eastAsia" w:ascii="Times New Roman" w:hAnsi="Times New Roman" w:eastAsia="宋体" w:cs="宋体"/>
          <w:color w:val="auto"/>
          <w:kern w:val="0"/>
          <w:szCs w:val="21"/>
          <w:u w:val="single"/>
        </w:rPr>
        <w:t>/</w:t>
      </w:r>
      <w:r>
        <w:rPr>
          <w:rFonts w:hint="eastAsia" w:ascii="Times New Roman" w:hAnsi="Times New Roman" w:eastAsia="宋体" w:cs="宋体"/>
          <w:color w:val="auto"/>
          <w:kern w:val="0"/>
          <w:szCs w:val="21"/>
        </w:rPr>
        <w:t>。</w:t>
      </w:r>
    </w:p>
    <w:p w14:paraId="3D8DAA5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关于质量保证金的补充约定：</w:t>
      </w:r>
      <w:r>
        <w:rPr>
          <w:rFonts w:hint="eastAsia" w:ascii="Times New Roman" w:hAnsi="Times New Roman" w:eastAsia="宋体" w:cs="宋体"/>
          <w:color w:val="auto"/>
          <w:kern w:val="0"/>
          <w:szCs w:val="21"/>
          <w:u w:val="single"/>
        </w:rPr>
        <w:t>工程竣工结算时一次性扣留质量保证金，缺陷责任期间如无质量问题或其他违约扣款，待两年缺陷责任期期满后的14天内一次性支付给</w:t>
      </w:r>
      <w:r>
        <w:rPr>
          <w:rFonts w:ascii="Times New Roman" w:hAnsi="Times New Roman" w:eastAsia="宋体" w:cs="宋体"/>
          <w:color w:val="auto"/>
          <w:kern w:val="0"/>
          <w:szCs w:val="21"/>
          <w:u w:val="single"/>
        </w:rPr>
        <w:t>承包方</w:t>
      </w:r>
      <w:r>
        <w:rPr>
          <w:rFonts w:hint="eastAsia" w:ascii="Times New Roman" w:hAnsi="Times New Roman" w:eastAsia="宋体" w:cs="宋体"/>
          <w:color w:val="auto"/>
          <w:kern w:val="0"/>
          <w:szCs w:val="21"/>
          <w:u w:val="single"/>
        </w:rPr>
        <w:t>（不计息）。</w:t>
      </w:r>
    </w:p>
    <w:p w14:paraId="51503127">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15.4保修</w:t>
      </w:r>
    </w:p>
    <w:p w14:paraId="5D90B341">
      <w:pPr>
        <w:keepNext w:val="0"/>
        <w:keepLines w:val="0"/>
        <w:pageBreakBefore w:val="0"/>
        <w:widowControl/>
        <w:kinsoku/>
        <w:wordWrap/>
        <w:overflowPunct/>
        <w:topLinePunct w:val="0"/>
        <w:bidi w:val="0"/>
        <w:adjustRightInd/>
        <w:snapToGrid/>
        <w:spacing w:line="400" w:lineRule="exact"/>
        <w:ind w:firstLine="409"/>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15.4.1 保修责任</w:t>
      </w:r>
    </w:p>
    <w:p w14:paraId="66606994">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工程保修期为：</w:t>
      </w:r>
      <w:r>
        <w:rPr>
          <w:rFonts w:hint="eastAsia" w:ascii="Times New Roman" w:hAnsi="Times New Roman" w:eastAsia="宋体" w:cs="宋体"/>
          <w:color w:val="auto"/>
          <w:kern w:val="0"/>
          <w:szCs w:val="21"/>
          <w:u w:val="single"/>
        </w:rPr>
        <w:t>详见质量保修书</w:t>
      </w:r>
      <w:r>
        <w:rPr>
          <w:rFonts w:hint="eastAsia" w:ascii="Times New Roman" w:hAnsi="Times New Roman" w:eastAsia="宋体" w:cs="宋体"/>
          <w:color w:val="auto"/>
          <w:kern w:val="0"/>
          <w:szCs w:val="21"/>
        </w:rPr>
        <w:t>。</w:t>
      </w:r>
    </w:p>
    <w:p w14:paraId="5E1A9A6B">
      <w:pPr>
        <w:keepNext w:val="0"/>
        <w:keepLines w:val="0"/>
        <w:pageBreakBefore w:val="0"/>
        <w:widowControl/>
        <w:kinsoku/>
        <w:wordWrap/>
        <w:overflowPunct/>
        <w:topLinePunct w:val="0"/>
        <w:bidi w:val="0"/>
        <w:adjustRightInd/>
        <w:snapToGrid/>
        <w:spacing w:line="400" w:lineRule="exact"/>
        <w:ind w:firstLine="409"/>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15.4.3 修复通知</w:t>
      </w:r>
    </w:p>
    <w:p w14:paraId="05C859C9">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收到保修通知并到达工程现场的合理时间：1、承包人应当在接到保修通知之日起24小时内派人保修。发生紧急抢修事故的，承包人在接到事故通知后，应当立即到达事故现场抢修。承包人不在约定期限内派人维修的，发包人可以委托他人修理，所产生的费用由承包人承担，从工程质保金中扣除，不足部分发包人有权向承包人追索。2、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3、质量保修完成后，由发包人组织验收。4、保修费用由造成质量缺陷的责任方承担。</w:t>
      </w:r>
    </w:p>
    <w:p w14:paraId="5BD5BD9A">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rPr>
      </w:pPr>
      <w:bookmarkStart w:id="239" w:name="_Toc26918"/>
      <w:r>
        <w:rPr>
          <w:rFonts w:hint="eastAsia" w:ascii="Times New Roman" w:hAnsi="Times New Roman" w:eastAsia="宋体" w:cs="宋体"/>
          <w:b/>
          <w:bCs/>
          <w:color w:val="auto"/>
          <w:kern w:val="0"/>
          <w:szCs w:val="21"/>
        </w:rPr>
        <w:t>16. 违约</w:t>
      </w:r>
      <w:bookmarkEnd w:id="239"/>
    </w:p>
    <w:p w14:paraId="19297A3C">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16.1 发包人违约</w:t>
      </w:r>
    </w:p>
    <w:p w14:paraId="227D4316">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16.1.1发包人违约的情形</w:t>
      </w:r>
    </w:p>
    <w:p w14:paraId="42420E7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发包人违约的其他情形：</w:t>
      </w:r>
      <w:r>
        <w:rPr>
          <w:rFonts w:hint="eastAsia" w:ascii="Times New Roman" w:hAnsi="Times New Roman" w:eastAsia="宋体" w:cs="宋体"/>
          <w:color w:val="auto"/>
          <w:kern w:val="0"/>
          <w:szCs w:val="21"/>
          <w:u w:val="single"/>
        </w:rPr>
        <w:t>按通用条款执行，无特殊约定。</w:t>
      </w:r>
    </w:p>
    <w:p w14:paraId="6D6D5248">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16.1.2 发包人违约的责任</w:t>
      </w:r>
    </w:p>
    <w:p w14:paraId="6348BD51">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发包人违约责任的承担方式和计算方法：</w:t>
      </w:r>
    </w:p>
    <w:p w14:paraId="1A00C2C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（1）因发包人原因未能在计划开工日期前7天内下达开工通知的违约责任：</w:t>
      </w:r>
      <w:r>
        <w:rPr>
          <w:rFonts w:hint="eastAsia" w:ascii="Times New Roman" w:hAnsi="Times New Roman" w:eastAsia="宋体" w:cs="宋体"/>
          <w:color w:val="auto"/>
          <w:kern w:val="0"/>
          <w:szCs w:val="21"/>
          <w:u w:val="single"/>
        </w:rPr>
        <w:t xml:space="preserve">  工期顺延  </w:t>
      </w:r>
      <w:r>
        <w:rPr>
          <w:rFonts w:hint="eastAsia" w:ascii="Times New Roman" w:hAnsi="Times New Roman" w:eastAsia="宋体" w:cs="宋体"/>
          <w:color w:val="auto"/>
          <w:kern w:val="0"/>
          <w:szCs w:val="21"/>
        </w:rPr>
        <w:t>。</w:t>
      </w:r>
    </w:p>
    <w:p w14:paraId="48C6600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u w:val="single"/>
        </w:rPr>
      </w:pPr>
      <w:r>
        <w:rPr>
          <w:rFonts w:hint="eastAsia" w:ascii="Times New Roman" w:hAnsi="Times New Roman" w:eastAsia="宋体" w:cs="宋体"/>
          <w:color w:val="auto"/>
          <w:kern w:val="0"/>
          <w:szCs w:val="21"/>
        </w:rPr>
        <w:t>（2）因发包人原因未能按合同约定支付合同价款的违约责任：</w:t>
      </w:r>
      <w:r>
        <w:rPr>
          <w:rFonts w:hint="eastAsia" w:ascii="Times New Roman" w:hAnsi="Times New Roman" w:eastAsia="宋体" w:cs="宋体"/>
          <w:color w:val="auto"/>
          <w:kern w:val="0"/>
          <w:szCs w:val="21"/>
          <w:u w:val="single"/>
        </w:rPr>
        <w:t>按实际延误时间和应付未付工程款及合同价万分之四计算违约金支付给承包人，延期支付时间在两个月内，承包人不得再以此为理由停工或放慢施工进度拖延工期。延期支付时间超过两个月的，承包人可以停工。</w:t>
      </w:r>
    </w:p>
    <w:p w14:paraId="5D6763D5">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（3）发包人提供的材料、工程设备的规格、数量或质量不符合合同约定，或因发包人原因导致交货日期延误或交货地点变更等情况的违约责任：</w:t>
      </w:r>
      <w:r>
        <w:rPr>
          <w:rFonts w:hint="eastAsia" w:ascii="Times New Roman" w:hAnsi="Times New Roman" w:eastAsia="宋体" w:cs="宋体"/>
          <w:color w:val="auto"/>
          <w:kern w:val="0"/>
          <w:szCs w:val="21"/>
          <w:u w:val="single"/>
        </w:rPr>
        <w:t>工期顺延</w:t>
      </w:r>
      <w:r>
        <w:rPr>
          <w:rFonts w:hint="eastAsia" w:ascii="Times New Roman" w:hAnsi="Times New Roman" w:eastAsia="宋体" w:cs="宋体"/>
          <w:color w:val="auto"/>
          <w:kern w:val="0"/>
          <w:szCs w:val="21"/>
        </w:rPr>
        <w:t>。</w:t>
      </w:r>
    </w:p>
    <w:p w14:paraId="5C2488A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（6）因发包人违反合同约定造成暂停施工的违约责任：</w:t>
      </w:r>
      <w:r>
        <w:rPr>
          <w:rFonts w:hint="eastAsia" w:ascii="Times New Roman" w:hAnsi="Times New Roman" w:eastAsia="宋体" w:cs="宋体"/>
          <w:color w:val="auto"/>
          <w:kern w:val="0"/>
          <w:szCs w:val="21"/>
          <w:u w:val="single"/>
        </w:rPr>
        <w:t xml:space="preserve">工期顺延，造成损失的双方另行协商 </w:t>
      </w:r>
      <w:r>
        <w:rPr>
          <w:rFonts w:hint="eastAsia" w:ascii="Times New Roman" w:hAnsi="Times New Roman" w:eastAsia="宋体" w:cs="宋体"/>
          <w:color w:val="auto"/>
          <w:kern w:val="0"/>
          <w:szCs w:val="21"/>
        </w:rPr>
        <w:t>。</w:t>
      </w:r>
    </w:p>
    <w:p w14:paraId="2F6C29C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16.1.3 因发包人违约解除合同</w:t>
      </w:r>
    </w:p>
    <w:p w14:paraId="64FAF7A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承包人按16.1.1项〔发包人违约的情形〕约定暂停施工满</w:t>
      </w:r>
      <w:r>
        <w:rPr>
          <w:rFonts w:hint="eastAsia" w:ascii="Times New Roman" w:hAnsi="Times New Roman" w:eastAsia="宋体" w:cs="宋体"/>
          <w:color w:val="auto"/>
          <w:kern w:val="0"/>
          <w:szCs w:val="21"/>
          <w:u w:val="single"/>
        </w:rPr>
        <w:t xml:space="preserve"> 60 </w:t>
      </w:r>
      <w:r>
        <w:rPr>
          <w:rFonts w:hint="eastAsia" w:ascii="Times New Roman" w:hAnsi="Times New Roman" w:eastAsia="宋体" w:cs="宋体"/>
          <w:color w:val="auto"/>
          <w:kern w:val="0"/>
          <w:szCs w:val="21"/>
        </w:rPr>
        <w:t>天后发包人仍不纠正其违约行为并致使合同目的不能实现的，承包人有权解除合同。</w:t>
      </w:r>
    </w:p>
    <w:p w14:paraId="19A06FD0">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16.2 承包人违约</w:t>
      </w:r>
    </w:p>
    <w:p w14:paraId="3E52F83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16.2.1 承包人违约的情形</w:t>
      </w:r>
    </w:p>
    <w:p w14:paraId="4BDE5E4D">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承包人违约的其他情形：</w:t>
      </w:r>
    </w:p>
    <w:p w14:paraId="443D822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在合同履行过程中发生的下列情形，属于承包人违约：</w:t>
      </w:r>
    </w:p>
    <w:p w14:paraId="56461FC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（1）承包人违反合同约定进行转包或违法分包的；</w:t>
      </w:r>
    </w:p>
    <w:p w14:paraId="50F3426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（2）承包人违反合同约定采购和使用不合格的材料和工程设备的；</w:t>
      </w:r>
    </w:p>
    <w:p w14:paraId="5D2E961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 xml:space="preserve">（3）因承包人原因导致工程质量不符合合同要求的； </w:t>
      </w:r>
    </w:p>
    <w:p w14:paraId="65E5CAE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（4）承包人违反第8.9款〔材料与设备专用要求〕的约定，未经批准，私自将已按照合同约定进入施工现场的材料或设备撤离施工现场的；</w:t>
      </w:r>
    </w:p>
    <w:p w14:paraId="76C21A9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（5）承包人未能按施工进度计划及时完成合同约定的工作，造成工期延误的；</w:t>
      </w:r>
    </w:p>
    <w:p w14:paraId="0ECFD8E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（6）承包人在缺陷责任期及保修期内，未能在合理期限对工程缺陷进行修复，或拒绝按发包人要求进行修复的；</w:t>
      </w:r>
    </w:p>
    <w:p w14:paraId="3A262E1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（7）承包人明确表示或者以其行为表明不履行合同主要义务的；</w:t>
      </w:r>
    </w:p>
    <w:p w14:paraId="65CB12D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（8）承包人未能按照合同约定履行其他义务的。</w:t>
      </w:r>
    </w:p>
    <w:p w14:paraId="01A6CFC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承包人发生除本项第（7）目约定以外的其他违约情况时，监理人可向承包人发出整改通知，要求其在指定的期限内改正。</w:t>
      </w:r>
    </w:p>
    <w:p w14:paraId="28A89C32">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16.2.2承包人违约的责任</w:t>
      </w:r>
    </w:p>
    <w:p w14:paraId="44208DE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承包人违约责任的承担方式和计算方法：</w:t>
      </w:r>
    </w:p>
    <w:p w14:paraId="2DF763BD">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承包人未按本合同通用条款第16.2.1（2）、（3）条内容完成的，承包人必须在发包人规定的时间内无条件返工处理，修复至符合工程质量要求并承担相关费用，返工期间工期不予顺延。且每发生一次，承包人应按照违约涉案金额的5%向发包人支付违约金并承担由此给发包人或第三人造成的一切损失，并及时更换合格的材料和工程设备，如因此造成工期延误的，还需按照合同约定的因承包人原因导致工期延误的违约责任处理。此种违约行为如发生两次以上（含两次）的，发包人有权解除合同，</w:t>
      </w:r>
      <w:r>
        <w:rPr>
          <w:rFonts w:ascii="Times New Roman" w:hAnsi="Times New Roman" w:eastAsia="宋体" w:cs="宋体"/>
          <w:color w:val="auto"/>
          <w:kern w:val="0"/>
          <w:szCs w:val="21"/>
          <w:highlight w:val="none"/>
        </w:rPr>
        <w:t>并处承包人本合同签约价</w:t>
      </w:r>
      <w:r>
        <w:rPr>
          <w:rFonts w:hint="eastAsia" w:ascii="Times New Roman" w:hAnsi="Times New Roman" w:eastAsia="宋体" w:cs="宋体"/>
          <w:color w:val="auto"/>
          <w:kern w:val="0"/>
          <w:szCs w:val="21"/>
          <w:highlight w:val="none"/>
        </w:rPr>
        <w:t>5</w:t>
      </w:r>
      <w:r>
        <w:rPr>
          <w:rFonts w:ascii="Times New Roman" w:hAnsi="Times New Roman" w:eastAsia="宋体" w:cs="宋体"/>
          <w:color w:val="auto"/>
          <w:kern w:val="0"/>
          <w:szCs w:val="21"/>
          <w:highlight w:val="none"/>
        </w:rPr>
        <w:t>%的违约金</w:t>
      </w:r>
      <w:r>
        <w:rPr>
          <w:rFonts w:hint="eastAsia" w:ascii="Times New Roman" w:hAnsi="Times New Roman" w:eastAsia="宋体" w:cs="宋体"/>
          <w:color w:val="auto"/>
          <w:kern w:val="0"/>
          <w:szCs w:val="21"/>
          <w:highlight w:val="none"/>
        </w:rPr>
        <w:t>，承包人还需赔偿由此给发包人或第三人造成的全部损失。正常修补整改一次免责，第二次修补开始收违约金。</w:t>
      </w:r>
    </w:p>
    <w:p w14:paraId="3527472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承包人有本合同通用条款第16.2.1（6）条情形的，或经监理人检验修复质量不合格而承包人拒绝再进行修补的，发包人可另行派人维修，按维修金额的1.2倍从质量保修金扣除，不足部分发包人有权向承包人另行追偿。</w:t>
      </w:r>
    </w:p>
    <w:p w14:paraId="36CF8C9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3）承包人有本专用合同条款3.2、3.3条违约责任的，发包人有权扣除承包人的违约金。违约金金额均在承包人的工程支付款内扣除。监理人预先下发含有罚款意向的指令，如承包人不及时采取措施纠正，则在指令下达后十五天下发罚款通知书（不再陈述罚款理由），罚款金额发包人有权在工程进度款中扣除。</w:t>
      </w:r>
    </w:p>
    <w:p w14:paraId="19111A61">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4）因承包人原因逾期竣工的，每拖延一天工期按合同约定总价款的万分之四向发包人支付违约金。误期时间从合同规定竣工日期起直到全部合同工程或相应工程的全部移交竣工报告的批准日期之间的天数（不足一日的按一日计算），逾期超过28天的，发包人有权选择单方解除本合同，并要求承包人支付工程总造价的5%作为惩罚性违约金，同时承包人应全额赔偿发包人损失。</w:t>
      </w:r>
    </w:p>
    <w:p w14:paraId="3FE1FE85">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5）在发包人依约支付工程进度款的情况下，施工进度明显过慢（以双方签字认可的工程进度计划为标准），发包人或监理人要求整改达三次以上（含三次）的，发包人有权解除合同，并处承包人本合同价5%的违约金，承包人还需赔偿由此给发包人或第三人造成的全部损失。</w:t>
      </w:r>
    </w:p>
    <w:p w14:paraId="0456724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7）因承包人原因连续停工达7天以上（含7天）或累计停工达10天以上（含10天），或以停工方式对待合同履行纠纷的，发包人有权解除合同，并处承包人本合同签约价5%的违约金，承包人还需赔偿由此给发包人或第三人造成的全部损失。</w:t>
      </w:r>
    </w:p>
    <w:p w14:paraId="16300F6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rPr>
        <w:t>（8）承包人未能按本合同约定按时交付完整的竣工资料或结算资料，每逾期一天按照1000元的标准向发包方支付违约金，同时承包方还应承担由此给发包方造成的全部损失。</w:t>
      </w:r>
    </w:p>
    <w:p w14:paraId="3180CA1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16.2.3 因承包人违约解除合同</w:t>
      </w:r>
    </w:p>
    <w:p w14:paraId="37B9626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rPr>
        <w:t>关于承包人违约解除合同的特别约定：</w:t>
      </w:r>
      <w:r>
        <w:rPr>
          <w:rFonts w:hint="eastAsia" w:ascii="Times New Roman" w:hAnsi="Times New Roman" w:eastAsia="宋体" w:cs="宋体"/>
          <w:color w:val="auto"/>
          <w:kern w:val="0"/>
          <w:szCs w:val="21"/>
          <w:highlight w:val="none"/>
          <w:u w:val="single"/>
        </w:rPr>
        <w:t>发包人行使合同解除权无行使期限限制；合同解除后承包人应立即退场，退场标准参照13.6.1的规定执行，承包人逾期退场的按每天5000元的标准向发包人支付违约金；承包人有违反以下情况之一的，发包人有权解除合同，且处承包人本合同签约合同价5%的违约金。</w:t>
      </w:r>
    </w:p>
    <w:p w14:paraId="4A9C7B7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u w:val="single"/>
        </w:rPr>
        <w:t>(1)承包人无正当理由不按开工通知的要求及时进场组织施工和不按签订协议书时商定的进度计划有效地开展施工准备，造成工期延误的；</w:t>
      </w:r>
    </w:p>
    <w:p w14:paraId="72FECC0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u w:val="single"/>
        </w:rPr>
        <w:t>(2)承包人违反本合同通用条款第3.5条规定私自将合同或合同的任何部分或任何权利转让给其他人，或私自将工程或工程的一部分违法分包出去的；</w:t>
      </w:r>
    </w:p>
    <w:p w14:paraId="48F48A1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u w:val="single"/>
        </w:rPr>
        <w:t>(3)未经监理人批准，承包人私自将已按本合同及投标文件承诺进入工地的工程设备、施工设备、临时工程或材料撤离工地的；</w:t>
      </w:r>
    </w:p>
    <w:p w14:paraId="5D4C9E05">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u w:val="single"/>
        </w:rPr>
        <w:t>(4)由于承包人原因拒绝按合同进度计划及时完成合同规定的工程，而又未采取有效措施赶上进度，造成工期延误的；</w:t>
      </w:r>
    </w:p>
    <w:p w14:paraId="6F080E7E">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u w:val="single"/>
        </w:rPr>
        <w:t>(5)承包人否认合同有效或拒绝履行合同规定的承包人义务，或由于法律、财务等原因导致承包人无法继续履行或实质上已停止履行合同的义务的；</w:t>
      </w:r>
    </w:p>
    <w:p w14:paraId="7AB934F2">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strike/>
          <w:color w:val="auto"/>
          <w:kern w:val="0"/>
          <w:szCs w:val="21"/>
          <w:highlight w:val="none"/>
          <w:u w:val="single"/>
        </w:rPr>
      </w:pPr>
      <w:r>
        <w:rPr>
          <w:rFonts w:ascii="Times New Roman" w:hAnsi="Times New Roman" w:eastAsia="宋体" w:cs="宋体"/>
          <w:color w:val="auto"/>
          <w:kern w:val="0"/>
          <w:szCs w:val="21"/>
          <w:highlight w:val="none"/>
          <w:u w:val="single"/>
        </w:rPr>
        <w:t>(6)合同签订之日起30日内，承包人无法按合同规定及投标文件的承诺进场经监理工程师认可的全部人员和机械的；</w:t>
      </w:r>
    </w:p>
    <w:p w14:paraId="7F379FCB">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u w:val="single"/>
        </w:rPr>
        <w:t>（7）承包人转包工程给他人施工的；承包人明显无法完成工程任务的，经合理宽限期内仍无改善的；承包人破产导致无法继续完成剩余工作的。如因以上原因发包人提出解除合同的，承包人应在接到解除合同通知15天内无条件退场并清场，如不按时退场和清场，发包人有权按合同总额的5%向承包人收取违约金。解除合同后，双方按已完成工程量的80%办理结算</w:t>
      </w:r>
      <w:r>
        <w:rPr>
          <w:rFonts w:hint="eastAsia" w:ascii="Times New Roman" w:hAnsi="Times New Roman" w:eastAsia="宋体" w:cs="宋体"/>
          <w:color w:val="auto"/>
          <w:kern w:val="0"/>
          <w:szCs w:val="21"/>
          <w:highlight w:val="none"/>
        </w:rPr>
        <w:t>。</w:t>
      </w:r>
    </w:p>
    <w:p w14:paraId="1D55701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Times New Roman" w:hAnsi="Times New Roman" w:eastAsia="宋体" w:cs="宋体"/>
          <w:color w:val="auto"/>
          <w:kern w:val="0"/>
          <w:szCs w:val="21"/>
          <w:highlight w:val="none"/>
          <w:u w:val="single"/>
        </w:rPr>
        <w:t>发包人按实际发生费用承担</w:t>
      </w:r>
      <w:r>
        <w:rPr>
          <w:rFonts w:hint="eastAsia" w:ascii="Times New Roman" w:hAnsi="Times New Roman" w:eastAsia="宋体" w:cs="宋体"/>
          <w:color w:val="auto"/>
          <w:kern w:val="0"/>
          <w:szCs w:val="21"/>
          <w:highlight w:val="none"/>
        </w:rPr>
        <w:t>。</w:t>
      </w:r>
    </w:p>
    <w:p w14:paraId="36975216">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highlight w:val="none"/>
        </w:rPr>
      </w:pPr>
      <w:bookmarkStart w:id="240" w:name="_Toc3922"/>
      <w:r>
        <w:rPr>
          <w:rFonts w:hint="eastAsia" w:ascii="Times New Roman" w:hAnsi="Times New Roman" w:eastAsia="宋体" w:cs="宋体"/>
          <w:b/>
          <w:bCs/>
          <w:color w:val="auto"/>
          <w:kern w:val="0"/>
          <w:szCs w:val="21"/>
          <w:highlight w:val="none"/>
        </w:rPr>
        <w:t>17. 不可抗力</w:t>
      </w:r>
      <w:bookmarkEnd w:id="240"/>
      <w:r>
        <w:rPr>
          <w:rFonts w:hint="eastAsia" w:ascii="Times New Roman" w:hAnsi="Times New Roman" w:eastAsia="宋体" w:cs="宋体"/>
          <w:b/>
          <w:bCs/>
          <w:color w:val="auto"/>
          <w:kern w:val="0"/>
          <w:szCs w:val="21"/>
          <w:highlight w:val="none"/>
        </w:rPr>
        <w:t xml:space="preserve"> </w:t>
      </w:r>
    </w:p>
    <w:p w14:paraId="136BAD7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17.1 不可抗力的确认</w:t>
      </w:r>
    </w:p>
    <w:p w14:paraId="0B80FB0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rPr>
        <w:t>除通用合同条款约定的不可抗力事件之外，视为不可抗力的其他情形：</w:t>
      </w:r>
      <w:r>
        <w:rPr>
          <w:rFonts w:hint="eastAsia" w:ascii="Times New Roman" w:hAnsi="Times New Roman" w:eastAsia="宋体" w:cs="宋体"/>
          <w:color w:val="auto"/>
          <w:kern w:val="0"/>
          <w:szCs w:val="21"/>
          <w:highlight w:val="none"/>
          <w:u w:val="single"/>
        </w:rPr>
        <w:t>征地拆迁、无法预见的政府政策变动，依法承担。</w:t>
      </w:r>
    </w:p>
    <w:p w14:paraId="51290868">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17.4 因不可抗力解除合同</w:t>
      </w:r>
    </w:p>
    <w:p w14:paraId="21D29BCF">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合同解除后，发包人应在商定或确定发包人应支付款项后按通用条款，无特殊约定14天内完成款项的支付。</w:t>
      </w:r>
    </w:p>
    <w:p w14:paraId="028DF18D">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highlight w:val="none"/>
        </w:rPr>
      </w:pPr>
      <w:bookmarkStart w:id="241" w:name="_Toc2250"/>
      <w:r>
        <w:rPr>
          <w:rFonts w:hint="eastAsia" w:ascii="Times New Roman" w:hAnsi="Times New Roman" w:eastAsia="宋体" w:cs="宋体"/>
          <w:b/>
          <w:bCs/>
          <w:color w:val="auto"/>
          <w:kern w:val="0"/>
          <w:szCs w:val="21"/>
          <w:highlight w:val="none"/>
        </w:rPr>
        <w:t>18. 保险</w:t>
      </w:r>
      <w:bookmarkEnd w:id="241"/>
    </w:p>
    <w:p w14:paraId="26A39F17">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18.1 工程保险</w:t>
      </w:r>
    </w:p>
    <w:p w14:paraId="660FD1C4">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关于工程保险的特别约定：</w:t>
      </w:r>
      <w:r>
        <w:rPr>
          <w:rFonts w:hint="eastAsia" w:ascii="Times New Roman" w:hAnsi="Times New Roman" w:eastAsia="宋体" w:cs="宋体"/>
          <w:color w:val="auto"/>
          <w:kern w:val="0"/>
          <w:szCs w:val="21"/>
          <w:highlight w:val="none"/>
          <w:u w:val="single"/>
        </w:rPr>
        <w:t xml:space="preserve">同通用条款 </w:t>
      </w:r>
      <w:r>
        <w:rPr>
          <w:rFonts w:hint="eastAsia" w:ascii="Times New Roman" w:hAnsi="Times New Roman" w:eastAsia="宋体" w:cs="宋体"/>
          <w:color w:val="auto"/>
          <w:kern w:val="0"/>
          <w:szCs w:val="21"/>
          <w:highlight w:val="none"/>
        </w:rPr>
        <w:t>。</w:t>
      </w:r>
    </w:p>
    <w:p w14:paraId="45993559">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18.3 其他保险</w:t>
      </w:r>
    </w:p>
    <w:p w14:paraId="55ADC159">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关于其他保险的约定：承包人根据《广西壮族自治区房屋建筑和市政基础设施工程安全生产责任保险实施办法》（桂建发〔2023〕1号）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据实结算。）</w:t>
      </w:r>
      <w:r>
        <w:rPr>
          <w:rFonts w:hint="eastAsia"/>
          <w:b/>
          <w:color w:val="000000"/>
          <w:szCs w:val="21"/>
          <w:u w:val="single"/>
        </w:rPr>
        <w:t>。</w:t>
      </w:r>
    </w:p>
    <w:p w14:paraId="780E1A3B">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承包人是否应为其施工设备等办理财产保险：</w:t>
      </w:r>
      <w:r>
        <w:rPr>
          <w:rFonts w:hint="eastAsia" w:ascii="Times New Roman" w:hAnsi="Times New Roman" w:eastAsia="宋体" w:cs="宋体"/>
          <w:color w:val="auto"/>
          <w:kern w:val="0"/>
          <w:szCs w:val="21"/>
          <w:highlight w:val="none"/>
          <w:u w:val="single"/>
        </w:rPr>
        <w:t>按桂林市相关规定，由承包人办理建筑工程工伤保险、安装工程工伤保险，费用由承包人承担</w:t>
      </w:r>
      <w:r>
        <w:rPr>
          <w:rFonts w:hint="eastAsia" w:ascii="Times New Roman" w:hAnsi="Times New Roman" w:eastAsia="宋体" w:cs="宋体"/>
          <w:color w:val="auto"/>
          <w:kern w:val="0"/>
          <w:szCs w:val="21"/>
          <w:highlight w:val="none"/>
        </w:rPr>
        <w:t>。</w:t>
      </w:r>
    </w:p>
    <w:p w14:paraId="4C6B614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18.7 通知义务</w:t>
      </w:r>
    </w:p>
    <w:p w14:paraId="221AA44A">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关于变更保险合同时的通知义务的约定：</w:t>
      </w:r>
      <w:r>
        <w:rPr>
          <w:rFonts w:hint="eastAsia" w:cs="宋体"/>
          <w:color w:val="auto"/>
          <w:kern w:val="0"/>
          <w:szCs w:val="21"/>
          <w:highlight w:val="none"/>
          <w:u w:val="single"/>
          <w:lang w:val="en-US" w:eastAsia="zh-CN"/>
        </w:rPr>
        <w:t xml:space="preserve">  </w:t>
      </w:r>
      <w:r>
        <w:rPr>
          <w:rFonts w:hint="eastAsia" w:ascii="Times New Roman" w:hAnsi="Times New Roman" w:eastAsia="宋体" w:cs="宋体"/>
          <w:color w:val="auto"/>
          <w:kern w:val="0"/>
          <w:szCs w:val="21"/>
          <w:highlight w:val="none"/>
          <w:u w:val="single"/>
        </w:rPr>
        <w:t xml:space="preserve">/  </w:t>
      </w:r>
      <w:r>
        <w:rPr>
          <w:rFonts w:hint="eastAsia" w:ascii="Times New Roman" w:hAnsi="Times New Roman" w:eastAsia="宋体" w:cs="宋体"/>
          <w:color w:val="auto"/>
          <w:kern w:val="0"/>
          <w:szCs w:val="21"/>
          <w:highlight w:val="none"/>
        </w:rPr>
        <w:t>。</w:t>
      </w:r>
    </w:p>
    <w:p w14:paraId="7E85A755">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highlight w:val="none"/>
        </w:rPr>
      </w:pPr>
      <w:bookmarkStart w:id="242" w:name="_Toc25244"/>
      <w:r>
        <w:rPr>
          <w:rFonts w:hint="eastAsia" w:ascii="Times New Roman" w:hAnsi="Times New Roman" w:eastAsia="宋体" w:cs="宋体"/>
          <w:b/>
          <w:bCs/>
          <w:color w:val="auto"/>
          <w:kern w:val="0"/>
          <w:szCs w:val="21"/>
          <w:highlight w:val="none"/>
        </w:rPr>
        <w:t>19. 索赔</w:t>
      </w:r>
      <w:bookmarkEnd w:id="242"/>
    </w:p>
    <w:p w14:paraId="3BDC1179">
      <w:pPr>
        <w:keepNext w:val="0"/>
        <w:keepLines w:val="0"/>
        <w:pageBreakBefore w:val="0"/>
        <w:widowControl/>
        <w:kinsoku/>
        <w:wordWrap/>
        <w:overflowPunct/>
        <w:topLinePunct w:val="0"/>
        <w:bidi w:val="0"/>
        <w:adjustRightInd/>
        <w:snapToGrid/>
        <w:spacing w:line="400" w:lineRule="exact"/>
        <w:textAlignment w:val="auto"/>
        <w:rPr>
          <w:rFonts w:ascii="Times New Roman" w:hAnsi="Times New Roman" w:eastAsia="宋体" w:cs="宋体"/>
          <w:b/>
          <w:strike/>
          <w:color w:val="auto"/>
          <w:kern w:val="0"/>
          <w:szCs w:val="21"/>
          <w:highlight w:val="none"/>
        </w:rPr>
      </w:pPr>
      <w:r>
        <w:rPr>
          <w:rFonts w:ascii="Times New Roman" w:hAnsi="Times New Roman" w:eastAsia="宋体" w:cs="宋体"/>
          <w:color w:val="auto"/>
          <w:kern w:val="0"/>
          <w:szCs w:val="21"/>
          <w:highlight w:val="none"/>
        </w:rPr>
        <w:t>删除通用合同条款第19.1款、19.2款、19.3款当中的所有默示内容。</w:t>
      </w:r>
    </w:p>
    <w:p w14:paraId="7BE4AD13">
      <w:pPr>
        <w:keepNext w:val="0"/>
        <w:keepLines w:val="0"/>
        <w:pageBreakBefore w:val="0"/>
        <w:widowControl/>
        <w:kinsoku/>
        <w:wordWrap/>
        <w:overflowPunct/>
        <w:topLinePunct w:val="0"/>
        <w:bidi w:val="0"/>
        <w:adjustRightInd/>
        <w:snapToGrid/>
        <w:spacing w:line="400" w:lineRule="exact"/>
        <w:textAlignment w:val="auto"/>
        <w:outlineLvl w:val="2"/>
        <w:rPr>
          <w:rFonts w:hint="eastAsia" w:ascii="Times New Roman" w:hAnsi="Times New Roman" w:eastAsia="宋体" w:cs="宋体"/>
          <w:b/>
          <w:bCs/>
          <w:color w:val="auto"/>
          <w:kern w:val="0"/>
          <w:szCs w:val="21"/>
          <w:highlight w:val="none"/>
        </w:rPr>
      </w:pPr>
      <w:bookmarkStart w:id="243" w:name="_Toc9192"/>
      <w:r>
        <w:rPr>
          <w:rFonts w:hint="eastAsia" w:ascii="Times New Roman" w:hAnsi="Times New Roman" w:eastAsia="宋体" w:cs="宋体"/>
          <w:b/>
          <w:bCs/>
          <w:color w:val="auto"/>
          <w:kern w:val="0"/>
          <w:szCs w:val="21"/>
          <w:highlight w:val="none"/>
        </w:rPr>
        <w:t>20. 争议解决</w:t>
      </w:r>
      <w:bookmarkEnd w:id="243"/>
    </w:p>
    <w:p w14:paraId="09FB153D">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20.3 争议评审</w:t>
      </w:r>
    </w:p>
    <w:p w14:paraId="3E3C5387">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合同当事人是否同意将工程争议提交争议评审小组决定：</w:t>
      </w:r>
      <w:r>
        <w:rPr>
          <w:rFonts w:hint="eastAsia" w:ascii="Times New Roman" w:hAnsi="Times New Roman" w:eastAsia="宋体" w:cs="宋体"/>
          <w:color w:val="auto"/>
          <w:kern w:val="0"/>
          <w:szCs w:val="21"/>
          <w:highlight w:val="none"/>
          <w:u w:val="single"/>
        </w:rPr>
        <w:t>无</w:t>
      </w:r>
      <w:r>
        <w:rPr>
          <w:rFonts w:hint="eastAsia" w:ascii="Times New Roman" w:hAnsi="Times New Roman" w:eastAsia="宋体" w:cs="宋体"/>
          <w:color w:val="auto"/>
          <w:kern w:val="0"/>
          <w:szCs w:val="21"/>
          <w:highlight w:val="none"/>
        </w:rPr>
        <w:t xml:space="preserve">。  </w:t>
      </w:r>
    </w:p>
    <w:p w14:paraId="1EF5912F">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20.3.1 争议评审小组的确定</w:t>
      </w:r>
    </w:p>
    <w:p w14:paraId="1FEFD55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rPr>
        <w:t>争议评审小组成员的确定：</w:t>
      </w:r>
      <w:r>
        <w:rPr>
          <w:rFonts w:hint="eastAsia" w:ascii="Times New Roman" w:hAnsi="Times New Roman" w:eastAsia="宋体" w:cs="宋体"/>
          <w:color w:val="auto"/>
          <w:kern w:val="0"/>
          <w:szCs w:val="21"/>
          <w:highlight w:val="none"/>
          <w:u w:val="single"/>
        </w:rPr>
        <w:t>无</w:t>
      </w:r>
      <w:r>
        <w:rPr>
          <w:rFonts w:hint="eastAsia" w:ascii="Times New Roman" w:hAnsi="Times New Roman" w:eastAsia="宋体" w:cs="宋体"/>
          <w:color w:val="auto"/>
          <w:kern w:val="0"/>
          <w:szCs w:val="21"/>
          <w:highlight w:val="none"/>
        </w:rPr>
        <w:t>。</w:t>
      </w:r>
    </w:p>
    <w:p w14:paraId="55AED3D4">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选定争议评审员的期限：</w:t>
      </w:r>
      <w:r>
        <w:rPr>
          <w:rFonts w:hint="eastAsia" w:ascii="Times New Roman" w:hAnsi="Times New Roman" w:eastAsia="宋体" w:cs="宋体"/>
          <w:color w:val="auto"/>
          <w:kern w:val="0"/>
          <w:szCs w:val="21"/>
          <w:highlight w:val="none"/>
          <w:u w:val="single"/>
        </w:rPr>
        <w:t>无</w:t>
      </w:r>
      <w:r>
        <w:rPr>
          <w:rFonts w:hint="eastAsia" w:ascii="Times New Roman" w:hAnsi="Times New Roman" w:eastAsia="宋体" w:cs="宋体"/>
          <w:color w:val="auto"/>
          <w:kern w:val="0"/>
          <w:szCs w:val="21"/>
          <w:highlight w:val="none"/>
        </w:rPr>
        <w:t>。</w:t>
      </w:r>
    </w:p>
    <w:p w14:paraId="18A1BAF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争议评审小组成员的报酬承担方式：</w:t>
      </w:r>
      <w:r>
        <w:rPr>
          <w:rFonts w:hint="eastAsia" w:ascii="Times New Roman" w:hAnsi="Times New Roman" w:eastAsia="宋体" w:cs="宋体"/>
          <w:color w:val="auto"/>
          <w:kern w:val="0"/>
          <w:szCs w:val="21"/>
          <w:highlight w:val="none"/>
          <w:u w:val="single"/>
        </w:rPr>
        <w:t>无</w:t>
      </w:r>
      <w:r>
        <w:rPr>
          <w:rFonts w:hint="eastAsia" w:ascii="Times New Roman" w:hAnsi="Times New Roman" w:eastAsia="宋体" w:cs="宋体"/>
          <w:color w:val="auto"/>
          <w:kern w:val="0"/>
          <w:szCs w:val="21"/>
          <w:highlight w:val="none"/>
        </w:rPr>
        <w:t>。</w:t>
      </w:r>
    </w:p>
    <w:p w14:paraId="4E4076CB">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其他事项的约定：</w:t>
      </w:r>
      <w:r>
        <w:rPr>
          <w:rFonts w:hint="eastAsia" w:ascii="Times New Roman" w:hAnsi="Times New Roman" w:eastAsia="宋体" w:cs="宋体"/>
          <w:color w:val="auto"/>
          <w:kern w:val="0"/>
          <w:szCs w:val="21"/>
          <w:highlight w:val="none"/>
          <w:u w:val="single"/>
        </w:rPr>
        <w:t>无</w:t>
      </w:r>
      <w:r>
        <w:rPr>
          <w:rFonts w:hint="eastAsia" w:ascii="Times New Roman" w:hAnsi="Times New Roman" w:eastAsia="宋体" w:cs="宋体"/>
          <w:color w:val="auto"/>
          <w:kern w:val="0"/>
          <w:szCs w:val="21"/>
          <w:highlight w:val="none"/>
        </w:rPr>
        <w:t>。</w:t>
      </w:r>
    </w:p>
    <w:p w14:paraId="7EAF38D5">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20.3.2 争议评审小组的决定</w:t>
      </w:r>
    </w:p>
    <w:p w14:paraId="0ACAF182">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合同当事人关于本项的约定：</w:t>
      </w:r>
      <w:r>
        <w:rPr>
          <w:rFonts w:hint="eastAsia" w:ascii="Times New Roman" w:hAnsi="Times New Roman" w:eastAsia="宋体" w:cs="宋体"/>
          <w:color w:val="auto"/>
          <w:kern w:val="0"/>
          <w:szCs w:val="21"/>
          <w:highlight w:val="none"/>
          <w:u w:val="single"/>
        </w:rPr>
        <w:t xml:space="preserve">无 </w:t>
      </w:r>
      <w:r>
        <w:rPr>
          <w:rFonts w:hint="eastAsia" w:ascii="Times New Roman" w:hAnsi="Times New Roman" w:eastAsia="宋体" w:cs="宋体"/>
          <w:color w:val="auto"/>
          <w:kern w:val="0"/>
          <w:szCs w:val="21"/>
          <w:highlight w:val="none"/>
        </w:rPr>
        <w:t>。</w:t>
      </w:r>
    </w:p>
    <w:p w14:paraId="26EC20E9">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20.4仲裁或诉讼</w:t>
      </w:r>
    </w:p>
    <w:p w14:paraId="72A4FCC4">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因合同及合同有关事项发生的争议，按下列第</w:t>
      </w:r>
      <w:r>
        <w:rPr>
          <w:rFonts w:hint="eastAsia" w:ascii="Times New Roman" w:hAnsi="Times New Roman" w:eastAsia="宋体" w:cs="宋体"/>
          <w:color w:val="auto"/>
          <w:kern w:val="0"/>
          <w:szCs w:val="21"/>
          <w:highlight w:val="none"/>
          <w:u w:val="single"/>
        </w:rPr>
        <w:t xml:space="preserve"> 2  </w:t>
      </w:r>
      <w:r>
        <w:rPr>
          <w:rFonts w:hint="eastAsia" w:ascii="Times New Roman" w:hAnsi="Times New Roman" w:eastAsia="宋体" w:cs="宋体"/>
          <w:color w:val="auto"/>
          <w:kern w:val="0"/>
          <w:szCs w:val="21"/>
          <w:highlight w:val="none"/>
        </w:rPr>
        <w:t>种方式解决：</w:t>
      </w:r>
    </w:p>
    <w:p w14:paraId="7ACDE4FC">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（1）向</w:t>
      </w:r>
      <w:r>
        <w:rPr>
          <w:rFonts w:hint="eastAsia" w:ascii="Times New Roman" w:hAnsi="Times New Roman" w:eastAsia="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Times New Roman" w:hAnsi="Times New Roman" w:eastAsia="宋体" w:cs="宋体"/>
          <w:color w:val="auto"/>
          <w:kern w:val="0"/>
          <w:szCs w:val="21"/>
          <w:highlight w:val="none"/>
          <w:u w:val="single"/>
        </w:rPr>
        <w:t xml:space="preserve"> </w:t>
      </w:r>
      <w:r>
        <w:rPr>
          <w:rFonts w:hint="eastAsia" w:ascii="Times New Roman" w:hAnsi="Times New Roman" w:eastAsia="宋体" w:cs="宋体"/>
          <w:color w:val="auto"/>
          <w:kern w:val="0"/>
          <w:szCs w:val="21"/>
          <w:highlight w:val="none"/>
        </w:rPr>
        <w:t>仲裁委员会申请仲裁；</w:t>
      </w:r>
    </w:p>
    <w:p w14:paraId="1301B310">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（2）向</w:t>
      </w:r>
      <w:r>
        <w:rPr>
          <w:rFonts w:hint="eastAsia" w:ascii="Times New Roman" w:hAnsi="Times New Roman" w:eastAsia="宋体" w:cs="宋体"/>
          <w:color w:val="auto"/>
          <w:kern w:val="0"/>
          <w:szCs w:val="21"/>
          <w:highlight w:val="none"/>
          <w:u w:val="single"/>
        </w:rPr>
        <w:t xml:space="preserve">  项目所在地  </w:t>
      </w:r>
      <w:r>
        <w:rPr>
          <w:rFonts w:hint="eastAsia" w:ascii="Times New Roman" w:hAnsi="Times New Roman" w:eastAsia="宋体" w:cs="宋体"/>
          <w:color w:val="auto"/>
          <w:kern w:val="0"/>
          <w:szCs w:val="21"/>
          <w:highlight w:val="none"/>
        </w:rPr>
        <w:t>人民法院起诉。</w:t>
      </w:r>
    </w:p>
    <w:p w14:paraId="544A355C">
      <w:pPr>
        <w:keepNext w:val="0"/>
        <w:keepLines w:val="0"/>
        <w:pageBreakBefore w:val="0"/>
        <w:widowControl/>
        <w:kinsoku/>
        <w:wordWrap/>
        <w:overflowPunct/>
        <w:topLinePunct w:val="0"/>
        <w:bidi w:val="0"/>
        <w:adjustRightInd/>
        <w:snapToGrid/>
        <w:spacing w:line="400" w:lineRule="exact"/>
        <w:ind w:firstLine="420"/>
        <w:textAlignment w:val="auto"/>
        <w:outlineLvl w:val="2"/>
        <w:rPr>
          <w:rFonts w:ascii="Times New Roman" w:hAnsi="Times New Roman" w:eastAsia="宋体" w:cs="宋体"/>
          <w:b/>
          <w:bCs/>
          <w:color w:val="auto"/>
          <w:kern w:val="0"/>
          <w:szCs w:val="21"/>
          <w:highlight w:val="none"/>
        </w:rPr>
      </w:pPr>
      <w:bookmarkStart w:id="244" w:name="_Toc20332"/>
      <w:r>
        <w:rPr>
          <w:rFonts w:hint="eastAsia" w:ascii="Times New Roman" w:hAnsi="Times New Roman" w:eastAsia="宋体" w:cs="宋体"/>
          <w:b/>
          <w:bCs/>
          <w:color w:val="auto"/>
          <w:kern w:val="0"/>
          <w:szCs w:val="21"/>
          <w:highlight w:val="none"/>
        </w:rPr>
        <w:t>21. 补充条款</w:t>
      </w:r>
      <w:bookmarkEnd w:id="244"/>
    </w:p>
    <w:p w14:paraId="2890334C">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21.1进场后，承包人的项目经理和</w:t>
      </w:r>
      <w:bookmarkStart w:id="245" w:name="OLE_LINK12"/>
      <w:r>
        <w:rPr>
          <w:rFonts w:hint="eastAsia" w:ascii="Times New Roman" w:hAnsi="Times New Roman" w:eastAsia="宋体" w:cs="宋体"/>
          <w:color w:val="auto"/>
          <w:kern w:val="0"/>
          <w:szCs w:val="21"/>
          <w:highlight w:val="none"/>
        </w:rPr>
        <w:t>项目管理</w:t>
      </w:r>
      <w:bookmarkEnd w:id="245"/>
      <w:r>
        <w:rPr>
          <w:rFonts w:hint="eastAsia" w:cs="宋体"/>
          <w:color w:val="auto"/>
          <w:kern w:val="0"/>
          <w:szCs w:val="21"/>
          <w:highlight w:val="none"/>
          <w:lang w:val="en-US" w:eastAsia="zh-CN"/>
        </w:rPr>
        <w:t>机构</w:t>
      </w:r>
      <w:r>
        <w:rPr>
          <w:rFonts w:hint="eastAsia" w:ascii="Times New Roman" w:hAnsi="Times New Roman" w:eastAsia="宋体" w:cs="宋体"/>
          <w:color w:val="auto"/>
          <w:kern w:val="0"/>
          <w:szCs w:val="21"/>
          <w:highlight w:val="none"/>
        </w:rPr>
        <w:t xml:space="preserve">及施工现场人员必须与本合同及投标文件中项目经理简历表及相关人员一致，否则发包人有权终止合同，另行选择施工队伍。本工程必须是具有承包人独立自营完成，未经发包人同意不得转包和分包。如一经发现转包和分包，发包人有权终止合同，另行选择施工队伍，原施工队伍无条件退出现场，并承担由此引起的一切责任，其他违约责任按专用合同条款16.2.3（2）约定处理。 </w:t>
      </w:r>
    </w:p>
    <w:p w14:paraId="64291633">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21.2</w:t>
      </w:r>
      <w:r>
        <w:rPr>
          <w:rFonts w:hint="eastAsia" w:ascii="Times New Roman" w:hAnsi="Times New Roman" w:eastAsia="宋体" w:cs="宋体"/>
          <w:color w:val="auto"/>
          <w:kern w:val="0"/>
          <w:szCs w:val="21"/>
          <w:highlight w:val="none"/>
        </w:rPr>
        <w:t>双方</w:t>
      </w:r>
      <w:r>
        <w:rPr>
          <w:rFonts w:ascii="Times New Roman" w:hAnsi="Times New Roman" w:eastAsia="宋体" w:cs="宋体"/>
          <w:color w:val="auto"/>
          <w:kern w:val="0"/>
          <w:szCs w:val="21"/>
          <w:highlight w:val="none"/>
        </w:rPr>
        <w:t>同意工程款中农民工工资比例为20％，甲方支付工程进度款时，按照上述比例将农民</w:t>
      </w:r>
      <w:r>
        <w:rPr>
          <w:rFonts w:hint="eastAsia" w:cs="宋体"/>
          <w:color w:val="auto"/>
          <w:kern w:val="0"/>
          <w:szCs w:val="21"/>
          <w:highlight w:val="none"/>
          <w:lang w:eastAsia="zh-CN"/>
        </w:rPr>
        <w:t>工</w:t>
      </w:r>
      <w:r>
        <w:rPr>
          <w:rFonts w:ascii="Times New Roman" w:hAnsi="Times New Roman" w:eastAsia="宋体" w:cs="宋体"/>
          <w:color w:val="auto"/>
          <w:kern w:val="0"/>
          <w:szCs w:val="21"/>
          <w:highlight w:val="none"/>
        </w:rPr>
        <w:t>工资转至乙方农民工工资专用账户（账户信息详见本协议第三条）。乙方按月足额支付农民工工资，不得将农民工工资专用款挪做其它用途。</w:t>
      </w:r>
    </w:p>
    <w:p w14:paraId="3606E3AA">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乙方农民工工资专用账户信息如下：</w:t>
      </w:r>
    </w:p>
    <w:p w14:paraId="1266B337">
      <w:pPr>
        <w:keepNext w:val="0"/>
        <w:keepLines w:val="0"/>
        <w:pageBreakBefore w:val="0"/>
        <w:widowControl/>
        <w:kinsoku/>
        <w:wordWrap/>
        <w:overflowPunct/>
        <w:topLinePunct w:val="0"/>
        <w:bidi w:val="0"/>
        <w:adjustRightInd/>
        <w:snapToGrid/>
        <w:spacing w:line="400" w:lineRule="exact"/>
        <w:ind w:firstLine="420"/>
        <w:textAlignment w:val="auto"/>
        <w:rPr>
          <w:rFonts w:hint="default" w:ascii="Times New Roman" w:hAnsi="Times New Roman" w:eastAsia="宋体" w:cs="宋体"/>
          <w:color w:val="auto"/>
          <w:kern w:val="0"/>
          <w:szCs w:val="21"/>
          <w:highlight w:val="none"/>
          <w:lang w:val="en-US" w:eastAsia="zh-CN"/>
        </w:rPr>
      </w:pPr>
      <w:r>
        <w:rPr>
          <w:rFonts w:hint="eastAsia" w:ascii="Times New Roman" w:hAnsi="Times New Roman" w:eastAsia="宋体" w:cs="宋体"/>
          <w:color w:val="auto"/>
          <w:kern w:val="0"/>
          <w:szCs w:val="21"/>
          <w:highlight w:val="none"/>
        </w:rPr>
        <w:t>专用账户名称：</w:t>
      </w:r>
      <w:r>
        <w:rPr>
          <w:rFonts w:hint="eastAsia" w:ascii="Times New Roman" w:hAnsi="Times New Roman" w:eastAsia="宋体" w:cs="宋体"/>
          <w:color w:val="auto"/>
          <w:kern w:val="0"/>
          <w:szCs w:val="21"/>
          <w:highlight w:val="none"/>
          <w:u w:val="single"/>
          <w:lang w:eastAsia="zh-CN"/>
        </w:rPr>
        <w:t xml:space="preserve">          （</w:t>
      </w:r>
      <w:r>
        <w:rPr>
          <w:rFonts w:hint="eastAsia" w:ascii="Times New Roman" w:hAnsi="Times New Roman" w:eastAsia="宋体" w:cs="宋体"/>
          <w:color w:val="auto"/>
          <w:kern w:val="0"/>
          <w:szCs w:val="21"/>
          <w:highlight w:val="none"/>
          <w:u w:val="single"/>
          <w:lang w:val="en-US" w:eastAsia="zh-CN"/>
        </w:rPr>
        <w:t>合同签订时填写</w:t>
      </w:r>
      <w:r>
        <w:rPr>
          <w:rFonts w:hint="eastAsia" w:ascii="Times New Roman" w:hAnsi="Times New Roman" w:eastAsia="宋体" w:cs="宋体"/>
          <w:color w:val="auto"/>
          <w:kern w:val="0"/>
          <w:szCs w:val="21"/>
          <w:highlight w:val="none"/>
          <w:u w:val="single"/>
          <w:lang w:eastAsia="zh-CN"/>
        </w:rPr>
        <w:t>）</w:t>
      </w:r>
      <w:r>
        <w:rPr>
          <w:rFonts w:hint="eastAsia" w:ascii="Times New Roman" w:hAnsi="Times New Roman" w:eastAsia="宋体" w:cs="宋体"/>
          <w:color w:val="auto"/>
          <w:kern w:val="0"/>
          <w:szCs w:val="21"/>
          <w:highlight w:val="none"/>
          <w:u w:val="single"/>
          <w:lang w:val="en-US" w:eastAsia="zh-CN"/>
        </w:rPr>
        <w:t xml:space="preserve">     </w:t>
      </w:r>
    </w:p>
    <w:p w14:paraId="0F62BA9B">
      <w:pPr>
        <w:keepNext w:val="0"/>
        <w:keepLines w:val="0"/>
        <w:pageBreakBefore w:val="0"/>
        <w:widowControl/>
        <w:kinsoku/>
        <w:wordWrap/>
        <w:overflowPunct/>
        <w:topLinePunct w:val="0"/>
        <w:bidi w:val="0"/>
        <w:adjustRightInd/>
        <w:snapToGrid/>
        <w:spacing w:line="400" w:lineRule="exact"/>
        <w:ind w:firstLine="420"/>
        <w:jc w:val="left"/>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rPr>
        <w:t>专用账号：</w:t>
      </w:r>
      <w:r>
        <w:rPr>
          <w:rFonts w:hint="eastAsia" w:ascii="Times New Roman" w:hAnsi="Times New Roman" w:eastAsia="宋体" w:cs="宋体"/>
          <w:color w:val="auto"/>
          <w:kern w:val="0"/>
          <w:szCs w:val="21"/>
          <w:highlight w:val="none"/>
          <w:u w:val="single"/>
        </w:rPr>
        <w:t xml:space="preserve"> </w:t>
      </w:r>
      <w:r>
        <w:rPr>
          <w:rFonts w:ascii="Times New Roman" w:hAnsi="Times New Roman" w:eastAsia="宋体" w:cs="宋体"/>
          <w:color w:val="auto"/>
          <w:kern w:val="0"/>
          <w:szCs w:val="21"/>
          <w:highlight w:val="none"/>
          <w:u w:val="single"/>
        </w:rPr>
        <w:t xml:space="preserve"> </w:t>
      </w:r>
      <w:r>
        <w:rPr>
          <w:rFonts w:hint="eastAsia" w:ascii="Times New Roman" w:hAnsi="Times New Roman" w:eastAsia="宋体" w:cs="宋体"/>
          <w:color w:val="auto"/>
          <w:kern w:val="0"/>
          <w:szCs w:val="21"/>
          <w:highlight w:val="none"/>
          <w:u w:val="single"/>
        </w:rPr>
        <w:t xml:space="preserve">      </w:t>
      </w:r>
      <w:r>
        <w:rPr>
          <w:rFonts w:hint="eastAsia" w:ascii="Times New Roman" w:hAnsi="Times New Roman" w:eastAsia="宋体" w:cs="宋体"/>
          <w:color w:val="auto"/>
          <w:kern w:val="0"/>
          <w:szCs w:val="21"/>
          <w:highlight w:val="none"/>
          <w:u w:val="single"/>
          <w:lang w:val="en-US" w:eastAsia="zh-CN"/>
        </w:rPr>
        <w:t xml:space="preserve"> </w:t>
      </w:r>
      <w:r>
        <w:rPr>
          <w:rFonts w:hint="eastAsia" w:ascii="Times New Roman" w:hAnsi="Times New Roman" w:eastAsia="宋体" w:cs="宋体"/>
          <w:color w:val="auto"/>
          <w:kern w:val="0"/>
          <w:szCs w:val="21"/>
          <w:highlight w:val="none"/>
          <w:u w:val="single"/>
          <w:lang w:eastAsia="zh-CN"/>
        </w:rPr>
        <w:t>（</w:t>
      </w:r>
      <w:r>
        <w:rPr>
          <w:rFonts w:hint="eastAsia" w:ascii="Times New Roman" w:hAnsi="Times New Roman" w:eastAsia="宋体" w:cs="宋体"/>
          <w:color w:val="auto"/>
          <w:kern w:val="0"/>
          <w:szCs w:val="21"/>
          <w:highlight w:val="none"/>
          <w:u w:val="single"/>
          <w:lang w:val="en-US" w:eastAsia="zh-CN"/>
        </w:rPr>
        <w:t>合同签订时填写</w:t>
      </w:r>
      <w:r>
        <w:rPr>
          <w:rFonts w:hint="eastAsia" w:ascii="Times New Roman" w:hAnsi="Times New Roman" w:eastAsia="宋体" w:cs="宋体"/>
          <w:color w:val="auto"/>
          <w:kern w:val="0"/>
          <w:szCs w:val="21"/>
          <w:highlight w:val="none"/>
          <w:u w:val="single"/>
          <w:lang w:eastAsia="zh-CN"/>
        </w:rPr>
        <w:t>）</w:t>
      </w:r>
      <w:r>
        <w:rPr>
          <w:rFonts w:hint="eastAsia" w:ascii="Times New Roman" w:hAnsi="Times New Roman" w:eastAsia="宋体" w:cs="宋体"/>
          <w:color w:val="auto"/>
          <w:kern w:val="0"/>
          <w:szCs w:val="21"/>
          <w:highlight w:val="none"/>
          <w:u w:val="single"/>
        </w:rPr>
        <w:t xml:space="preserve">      </w:t>
      </w:r>
    </w:p>
    <w:p w14:paraId="7CCEC006">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u w:val="single"/>
        </w:rPr>
      </w:pPr>
      <w:r>
        <w:rPr>
          <w:rFonts w:hint="eastAsia" w:ascii="Times New Roman" w:hAnsi="Times New Roman" w:eastAsia="宋体" w:cs="宋体"/>
          <w:color w:val="auto"/>
          <w:kern w:val="0"/>
          <w:szCs w:val="21"/>
          <w:highlight w:val="none"/>
        </w:rPr>
        <w:t>专用账户开户银行名称：</w:t>
      </w:r>
      <w:r>
        <w:rPr>
          <w:rFonts w:hint="eastAsia" w:ascii="Times New Roman" w:hAnsi="Times New Roman" w:eastAsia="宋体" w:cs="宋体"/>
          <w:color w:val="auto"/>
          <w:kern w:val="0"/>
          <w:szCs w:val="21"/>
          <w:highlight w:val="none"/>
          <w:u w:val="single"/>
        </w:rPr>
        <w:t xml:space="preserve">  </w:t>
      </w:r>
      <w:r>
        <w:rPr>
          <w:rFonts w:hint="eastAsia" w:ascii="Times New Roman" w:hAnsi="Times New Roman" w:eastAsia="宋体" w:cs="宋体"/>
          <w:color w:val="auto"/>
          <w:kern w:val="0"/>
          <w:szCs w:val="21"/>
          <w:highlight w:val="none"/>
          <w:u w:val="single"/>
          <w:lang w:eastAsia="zh-CN"/>
        </w:rPr>
        <w:t>（</w:t>
      </w:r>
      <w:r>
        <w:rPr>
          <w:rFonts w:hint="eastAsia" w:ascii="Times New Roman" w:hAnsi="Times New Roman" w:eastAsia="宋体" w:cs="宋体"/>
          <w:color w:val="auto"/>
          <w:kern w:val="0"/>
          <w:szCs w:val="21"/>
          <w:highlight w:val="none"/>
          <w:u w:val="single"/>
          <w:lang w:val="en-US" w:eastAsia="zh-CN"/>
        </w:rPr>
        <w:t>合同签订时填写</w:t>
      </w:r>
      <w:r>
        <w:rPr>
          <w:rFonts w:hint="eastAsia" w:ascii="Times New Roman" w:hAnsi="Times New Roman" w:eastAsia="宋体" w:cs="宋体"/>
          <w:color w:val="auto"/>
          <w:kern w:val="0"/>
          <w:szCs w:val="21"/>
          <w:highlight w:val="none"/>
          <w:u w:val="single"/>
          <w:lang w:eastAsia="zh-CN"/>
        </w:rPr>
        <w:t>）</w:t>
      </w:r>
      <w:r>
        <w:rPr>
          <w:rFonts w:hint="eastAsia" w:ascii="Times New Roman" w:hAnsi="Times New Roman" w:eastAsia="宋体" w:cs="宋体"/>
          <w:color w:val="auto"/>
          <w:kern w:val="0"/>
          <w:szCs w:val="21"/>
          <w:highlight w:val="none"/>
          <w:u w:val="single"/>
        </w:rPr>
        <w:t xml:space="preserve">     </w:t>
      </w:r>
    </w:p>
    <w:p w14:paraId="4F20670C">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lang w:eastAsia="zh-CN"/>
        </w:rPr>
        <w:t>（</w:t>
      </w:r>
      <w:r>
        <w:rPr>
          <w:rFonts w:hint="eastAsia" w:ascii="Times New Roman" w:hAnsi="Times New Roman" w:eastAsia="宋体" w:cs="宋体"/>
          <w:color w:val="auto"/>
          <w:kern w:val="0"/>
          <w:szCs w:val="21"/>
          <w:highlight w:val="none"/>
          <w:lang w:val="en-US" w:eastAsia="zh-CN"/>
        </w:rPr>
        <w:t>1</w:t>
      </w:r>
      <w:r>
        <w:rPr>
          <w:rFonts w:hint="eastAsia" w:ascii="Times New Roman" w:hAnsi="Times New Roman" w:eastAsia="宋体" w:cs="宋体"/>
          <w:color w:val="auto"/>
          <w:kern w:val="0"/>
          <w:szCs w:val="21"/>
          <w:highlight w:val="none"/>
          <w:lang w:eastAsia="zh-CN"/>
        </w:rPr>
        <w:t>）</w:t>
      </w:r>
      <w:r>
        <w:rPr>
          <w:rFonts w:ascii="Times New Roman" w:hAnsi="Times New Roman" w:eastAsia="宋体" w:cs="宋体"/>
          <w:color w:val="auto"/>
          <w:kern w:val="0"/>
          <w:szCs w:val="21"/>
          <w:highlight w:val="none"/>
        </w:rPr>
        <w:t>乙方应通过农民工工资专用账户,按时足额拨付到劳务公司农民工工资专户，并负责监管劳务公司通过劳务公司开设的农民工工资专户将农民工工资支付到工人的工资个人账户，乙方应按月将其农民工工资专用账户至劳务公司农民工工资专户的转账凭证、劳务公司农民工工资专户至农民工工资个人账户的转账凭证以及农民工工资支付明细表提供给甲方，否则甲方有权拒绝支付本期进度款；（2）甲方按合同及时、足额支付工程进度款,乙方不得以拖欠农民工工资为由向甲方申请支付工程进度款；（3）乙方申请支付工程进度款时,应提供前期已完成农民工工资支付承诺书，并在本期进度款申请报告中注明其中农民工工资已支付和本期应支付金额；否则甲方有权拒绝支付本期进度款；（4）乙方应建立劳动用工管理台账，真实、准确记录工人名册、劳动合同(集体合同)、劳务合同、工程进度、工时、劳务承包款和工人工资支付情况等信息,并保存两年以上备查。</w:t>
      </w:r>
    </w:p>
    <w:p w14:paraId="1E08EFA0">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21.3承包人自行复制需增加的图纸，复制费用由承包人承担。</w:t>
      </w:r>
    </w:p>
    <w:p w14:paraId="56461CA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21.4图纸需要修改和补充的，应由监理人取得发包人同意后，在该工程或工程相应部位施工前的10天内签发图纸修改图给承包人。</w:t>
      </w:r>
    </w:p>
    <w:p w14:paraId="6F9C6F8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21.5承包人在承包工程期间因承包人原因所发生的一切责任事故，均由承包人承担经济责任和法律责任。</w:t>
      </w:r>
    </w:p>
    <w:p w14:paraId="2AEC8D15">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21.6施工过程中承包人应处理好与工程所在地及其周边群众的关系，避免造成施工干扰，由于承包人原因造成的经济损失与工期延误由承包人负责，发包人不予赔偿费用与顺延工期。</w:t>
      </w:r>
    </w:p>
    <w:p w14:paraId="2C5B4565">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21.7承包人须自行协调好本工程与村民的工作关系，避免产生不必要的纠纷，保证不耽误工期使工程能顺利开展。</w:t>
      </w:r>
    </w:p>
    <w:p w14:paraId="17D4BA0D">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 xml:space="preserve">21.8承包人违约有以下情形之一者，发包人有权采取合同规定的以下措施处理，并视情节轻重从应付款项中扣除违约金。  </w:t>
      </w:r>
    </w:p>
    <w:p w14:paraId="529C6F67">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 xml:space="preserve">21.8.1承包人如有违法或不经许可的分包现象（其中包括冒充承包人下属单位的挂靠单位，凭口头协议参与施工的分包人，及其他暗分包个体户），一经发现核实，发包人将采取驱逐该分包人措施，并扣除违约金，违约金金额为该项目分包总额的10%～20％（视情节严重而定）。 </w:t>
      </w:r>
    </w:p>
    <w:p w14:paraId="663293D0">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21.8.2未经发包人和监理工程师审查批准，施工期间内承包人调走主要施工技术人员（包括项目经理、技术负责人），经发现不及时调回的，或虽然批准调换项目经理而影响施工进度和质量的扣除违约金1000元。该项目经理、技术负责人有以下行为的：①未按施工图或经审批的施工方案施工，②有安全隐患，③检验批质量检测不合格，④现场打架斗殴、赌博等违法行为，发包人将罚款承包人3000元/次，情节严重的发包人有权解除合同。</w:t>
      </w:r>
    </w:p>
    <w:p w14:paraId="58479C12">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 xml:space="preserve">21.8.3所有以上扣除违约金金额均在承包人的计量支付款内扣除。   </w:t>
      </w:r>
    </w:p>
    <w:p w14:paraId="6D1E7DA9">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21.8.4 人员机械进场必须按照投标文件、合同书附件的人员和机械进场时间表进场，承包人不得任意调换和减少。</w:t>
      </w:r>
    </w:p>
    <w:p w14:paraId="48BE0B62">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21.8.5主要机械的数量、型号应与合同相符且必须配套，若监理工程师认为合同规定的进场机械不能满足进度要求，有权指令承包人增加机械投入，承包人不得拒绝。</w:t>
      </w:r>
    </w:p>
    <w:p w14:paraId="267B57F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21.9</w:t>
      </w:r>
      <w:r>
        <w:rPr>
          <w:rFonts w:hint="eastAsia" w:ascii="Times New Roman" w:hAnsi="Times New Roman" w:eastAsia="宋体" w:cs="宋体"/>
          <w:color w:val="auto"/>
          <w:kern w:val="0"/>
          <w:szCs w:val="21"/>
          <w:highlight w:val="none"/>
        </w:rPr>
        <w:t>承包人</w:t>
      </w:r>
      <w:r>
        <w:rPr>
          <w:rFonts w:ascii="Times New Roman" w:hAnsi="Times New Roman" w:eastAsia="宋体" w:cs="宋体"/>
          <w:color w:val="auto"/>
          <w:kern w:val="0"/>
          <w:szCs w:val="21"/>
          <w:highlight w:val="none"/>
        </w:rPr>
        <w:t>报送的工程结算经有资质的造价咨询机构审核或财政投资评审中心审核，最终发包人和承包人共同确认结算审定金额后，若审减金额大于送审金额的5%时，则超出送审金额5%部分的审减金额的审核服务费由承包人承担，即承包人应承担的审核费=（净审减额-送审额*5%）*5%，由发包人从承包人的工程价款中予以扣除。</w:t>
      </w:r>
    </w:p>
    <w:p w14:paraId="7B937D48">
      <w:pPr>
        <w:keepNext w:val="0"/>
        <w:keepLines w:val="0"/>
        <w:pageBreakBefore w:val="0"/>
        <w:widowControl/>
        <w:kinsoku/>
        <w:wordWrap/>
        <w:overflowPunct/>
        <w:topLinePunct w:val="0"/>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ascii="Times New Roman" w:hAnsi="Times New Roman" w:eastAsia="宋体" w:cs="宋体"/>
          <w:color w:val="auto"/>
          <w:kern w:val="0"/>
          <w:szCs w:val="21"/>
          <w:highlight w:val="none"/>
        </w:rPr>
        <w:t>缴纳的审核服务费按现行广西建设工程造价咨询服务收费标准，由发包人从承包人的工程价款中予以扣除后支付给造价咨询机构。</w:t>
      </w:r>
    </w:p>
    <w:p w14:paraId="7DA6090C">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21.10承包人自行解决工程在施工过程中所发生的民事、刑事纠纷，由此产生的相关法律法规问题，发包人不负责，但因承包人原因造成发包人、第三人损失的，承包人需全额赔偿损失。</w:t>
      </w:r>
    </w:p>
    <w:p w14:paraId="0802CA7F">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21.11 对于变更工程，如果双方协商不一致，发包人有权进行专业分包，发包人支付承包人总承包服务费，总承包服务费包括总分包管理费和总分包配合费，总分包管理费按专业分包工程造价的1.5%计算，总分包配合费按专业分包工程造价的3.5%计算，承包人必须无条件配合和提供施工现场设施及场地。</w:t>
      </w:r>
    </w:p>
    <w:p w14:paraId="7B8B872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21.12 对于新增项目，需要承包人提供总承包服务的，由发包人书面文件确认，承包人必须无条件配合和提供现场设施和场地，发包人支付承包人总承包服务费，总承包服务费包括总分包管理费和总分包配合费，总分包管理费按新增项目合同价的1.5%计算，总分包配合费按新增</w:t>
      </w:r>
      <w:bookmarkStart w:id="246" w:name="_Hlk21615865"/>
      <w:r>
        <w:rPr>
          <w:rFonts w:hint="eastAsia" w:ascii="Times New Roman" w:hAnsi="Times New Roman" w:eastAsia="宋体" w:cs="宋体"/>
          <w:color w:val="auto"/>
          <w:kern w:val="0"/>
          <w:szCs w:val="21"/>
          <w:highlight w:val="none"/>
        </w:rPr>
        <w:t>项目合同价的3.5%计算。</w:t>
      </w:r>
      <w:bookmarkEnd w:id="246"/>
    </w:p>
    <w:p w14:paraId="0C6854A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21.13 发包人所有付款为收到承包人开具的付款发票后15个工作日内完成支付。</w:t>
      </w:r>
    </w:p>
    <w:p w14:paraId="506F8520">
      <w:pPr>
        <w:keepNext w:val="0"/>
        <w:keepLines w:val="0"/>
        <w:pageBreakBefore w:val="0"/>
        <w:widowControl/>
        <w:kinsoku/>
        <w:wordWrap/>
        <w:overflowPunct/>
        <w:topLinePunct w:val="0"/>
        <w:autoSpaceDE/>
        <w:autoSpaceDN/>
        <w:bidi w:val="0"/>
        <w:adjustRightInd/>
        <w:snapToGrid/>
        <w:spacing w:line="400" w:lineRule="exact"/>
        <w:ind w:firstLine="420"/>
        <w:textAlignment w:val="auto"/>
        <w:outlineLvl w:val="3"/>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21.14承包人在竣工验收或者交付使用前，应做好对施工现场的安全管理及防范措施，加强对施工人员的安全教育，如在施工现场或者施工人员发生安全事故，所有法律责任由承包人承担，并赔偿一切损失。同时，承包人应根据事故大小和影响向甲方支付违约金：</w:t>
      </w:r>
    </w:p>
    <w:p w14:paraId="0B960B96">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imes New Roman" w:hAnsi="Times New Roman" w:eastAsia="宋体" w:cs="宋体"/>
          <w:color w:val="auto"/>
          <w:kern w:val="0"/>
          <w:szCs w:val="21"/>
          <w:highlight w:val="none"/>
        </w:rPr>
      </w:pPr>
      <w:r>
        <w:rPr>
          <w:rFonts w:hint="eastAsia" w:ascii="Times New Roman" w:hAnsi="Times New Roman" w:cs="宋体"/>
          <w:color w:val="auto"/>
          <w:kern w:val="0"/>
          <w:szCs w:val="21"/>
          <w:highlight w:val="none"/>
          <w:lang w:eastAsia="zh-CN"/>
        </w:rPr>
        <w:t>（</w:t>
      </w:r>
      <w:r>
        <w:rPr>
          <w:rFonts w:hint="eastAsia" w:ascii="Times New Roman" w:hAnsi="Times New Roman" w:cs="宋体"/>
          <w:color w:val="auto"/>
          <w:kern w:val="0"/>
          <w:szCs w:val="21"/>
          <w:highlight w:val="none"/>
          <w:lang w:val="en-US" w:eastAsia="zh-CN"/>
        </w:rPr>
        <w:t>1</w:t>
      </w:r>
      <w:r>
        <w:rPr>
          <w:rFonts w:hint="eastAsia" w:ascii="Times New Roman" w:hAnsi="Times New Roman" w:cs="宋体"/>
          <w:color w:val="auto"/>
          <w:kern w:val="0"/>
          <w:szCs w:val="21"/>
          <w:highlight w:val="none"/>
          <w:lang w:eastAsia="zh-CN"/>
        </w:rPr>
        <w:t>）</w:t>
      </w:r>
      <w:r>
        <w:rPr>
          <w:rFonts w:hint="eastAsia" w:ascii="Times New Roman" w:hAnsi="Times New Roman" w:eastAsia="宋体" w:cs="宋体"/>
          <w:color w:val="auto"/>
          <w:kern w:val="0"/>
          <w:szCs w:val="21"/>
          <w:highlight w:val="none"/>
        </w:rPr>
        <w:t>事故引起当地公安部门处警的，每次支付1万元违约金；</w:t>
      </w:r>
    </w:p>
    <w:p w14:paraId="2A1A8DE7">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imes New Roman" w:hAnsi="Times New Roman" w:eastAsia="宋体" w:cs="宋体"/>
          <w:color w:val="auto"/>
          <w:kern w:val="0"/>
          <w:szCs w:val="21"/>
          <w:highlight w:val="none"/>
        </w:rPr>
      </w:pPr>
      <w:r>
        <w:rPr>
          <w:rFonts w:hint="eastAsia" w:ascii="Times New Roman" w:hAnsi="Times New Roman" w:cs="宋体"/>
          <w:color w:val="auto"/>
          <w:kern w:val="0"/>
          <w:szCs w:val="21"/>
          <w:highlight w:val="none"/>
          <w:lang w:eastAsia="zh-CN"/>
        </w:rPr>
        <w:t>（</w:t>
      </w:r>
      <w:r>
        <w:rPr>
          <w:rFonts w:hint="eastAsia" w:ascii="Times New Roman" w:hAnsi="Times New Roman" w:cs="宋体"/>
          <w:color w:val="auto"/>
          <w:kern w:val="0"/>
          <w:szCs w:val="21"/>
          <w:highlight w:val="none"/>
          <w:lang w:val="en-US" w:eastAsia="zh-CN"/>
        </w:rPr>
        <w:t>2</w:t>
      </w:r>
      <w:r>
        <w:rPr>
          <w:rFonts w:hint="eastAsia" w:ascii="Times New Roman" w:hAnsi="Times New Roman" w:cs="宋体"/>
          <w:color w:val="auto"/>
          <w:kern w:val="0"/>
          <w:szCs w:val="21"/>
          <w:highlight w:val="none"/>
          <w:lang w:eastAsia="zh-CN"/>
        </w:rPr>
        <w:t>）</w:t>
      </w:r>
      <w:r>
        <w:rPr>
          <w:rFonts w:hint="eastAsia" w:ascii="Times New Roman" w:hAnsi="Times New Roman" w:eastAsia="宋体" w:cs="宋体"/>
          <w:color w:val="auto"/>
          <w:kern w:val="0"/>
          <w:szCs w:val="21"/>
          <w:highlight w:val="none"/>
        </w:rPr>
        <w:t>事故被</w:t>
      </w:r>
      <w:r>
        <w:rPr>
          <w:rFonts w:hint="eastAsia" w:cs="宋体"/>
          <w:color w:val="auto"/>
          <w:kern w:val="0"/>
          <w:szCs w:val="21"/>
          <w:highlight w:val="none"/>
          <w:lang w:eastAsia="zh-CN"/>
        </w:rPr>
        <w:t>灵川县</w:t>
      </w:r>
      <w:r>
        <w:rPr>
          <w:rFonts w:hint="eastAsia" w:ascii="Times New Roman" w:hAnsi="Times New Roman" w:eastAsia="宋体" w:cs="宋体"/>
          <w:color w:val="auto"/>
          <w:kern w:val="0"/>
          <w:szCs w:val="21"/>
          <w:highlight w:val="none"/>
        </w:rPr>
        <w:t>政府相关行政部门通报，每次支付1万元违约金；</w:t>
      </w:r>
    </w:p>
    <w:p w14:paraId="4F556DFB">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imes New Roman" w:hAnsi="Times New Roman" w:eastAsia="宋体" w:cs="宋体"/>
          <w:color w:val="auto"/>
          <w:kern w:val="0"/>
          <w:szCs w:val="21"/>
          <w:highlight w:val="none"/>
        </w:rPr>
      </w:pPr>
      <w:r>
        <w:rPr>
          <w:rFonts w:hint="eastAsia" w:ascii="Times New Roman" w:hAnsi="Times New Roman" w:cs="宋体"/>
          <w:color w:val="auto"/>
          <w:kern w:val="0"/>
          <w:szCs w:val="21"/>
          <w:highlight w:val="none"/>
          <w:lang w:eastAsia="zh-CN"/>
        </w:rPr>
        <w:t>（</w:t>
      </w:r>
      <w:r>
        <w:rPr>
          <w:rFonts w:hint="eastAsia" w:ascii="Times New Roman" w:hAnsi="Times New Roman" w:cs="宋体"/>
          <w:color w:val="auto"/>
          <w:kern w:val="0"/>
          <w:szCs w:val="21"/>
          <w:highlight w:val="none"/>
          <w:lang w:val="en-US" w:eastAsia="zh-CN"/>
        </w:rPr>
        <w:t>3</w:t>
      </w:r>
      <w:r>
        <w:rPr>
          <w:rFonts w:hint="eastAsia" w:ascii="Times New Roman" w:hAnsi="Times New Roman" w:cs="宋体"/>
          <w:color w:val="auto"/>
          <w:kern w:val="0"/>
          <w:szCs w:val="21"/>
          <w:highlight w:val="none"/>
          <w:lang w:eastAsia="zh-CN"/>
        </w:rPr>
        <w:t>）</w:t>
      </w:r>
      <w:r>
        <w:rPr>
          <w:rFonts w:hint="eastAsia" w:ascii="Times New Roman" w:hAnsi="Times New Roman" w:eastAsia="宋体" w:cs="宋体"/>
          <w:color w:val="auto"/>
          <w:kern w:val="0"/>
          <w:szCs w:val="21"/>
          <w:highlight w:val="none"/>
        </w:rPr>
        <w:t>事故被桂林市政府及其相关部门通报的，每次支付2万元违约金：</w:t>
      </w:r>
    </w:p>
    <w:p w14:paraId="0C1DE177">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imes New Roman" w:hAnsi="Times New Roman" w:eastAsia="宋体" w:cs="宋体"/>
          <w:color w:val="auto"/>
          <w:kern w:val="0"/>
          <w:szCs w:val="21"/>
          <w:highlight w:val="none"/>
        </w:rPr>
      </w:pPr>
      <w:r>
        <w:rPr>
          <w:rFonts w:hint="eastAsia" w:ascii="Times New Roman" w:hAnsi="Times New Roman" w:cs="宋体"/>
          <w:color w:val="auto"/>
          <w:kern w:val="0"/>
          <w:szCs w:val="21"/>
          <w:highlight w:val="none"/>
          <w:lang w:eastAsia="zh-CN"/>
        </w:rPr>
        <w:t>（</w:t>
      </w:r>
      <w:r>
        <w:rPr>
          <w:rFonts w:hint="eastAsia" w:ascii="Times New Roman" w:hAnsi="Times New Roman" w:cs="宋体"/>
          <w:color w:val="auto"/>
          <w:kern w:val="0"/>
          <w:szCs w:val="21"/>
          <w:highlight w:val="none"/>
          <w:lang w:val="en-US" w:eastAsia="zh-CN"/>
        </w:rPr>
        <w:t>4</w:t>
      </w:r>
      <w:r>
        <w:rPr>
          <w:rFonts w:hint="eastAsia" w:ascii="Times New Roman" w:hAnsi="Times New Roman" w:cs="宋体"/>
          <w:color w:val="auto"/>
          <w:kern w:val="0"/>
          <w:szCs w:val="21"/>
          <w:highlight w:val="none"/>
          <w:lang w:eastAsia="zh-CN"/>
        </w:rPr>
        <w:t>）</w:t>
      </w:r>
      <w:r>
        <w:rPr>
          <w:rFonts w:hint="eastAsia" w:ascii="Times New Roman" w:hAnsi="Times New Roman" w:eastAsia="宋体" w:cs="宋体"/>
          <w:color w:val="auto"/>
          <w:kern w:val="0"/>
          <w:szCs w:val="21"/>
          <w:highlight w:val="none"/>
        </w:rPr>
        <w:t>事故被广西壮族自治区政府及其相关部门通报的，每次支付10万元违约金。</w:t>
      </w:r>
    </w:p>
    <w:p w14:paraId="5D5D7717">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cs="宋体"/>
          <w:color w:val="auto"/>
          <w:kern w:val="0"/>
          <w:szCs w:val="21"/>
          <w:highlight w:val="none"/>
          <w:lang w:eastAsia="zh-CN"/>
        </w:rPr>
        <w:t>（</w:t>
      </w:r>
      <w:r>
        <w:rPr>
          <w:rFonts w:hint="eastAsia" w:ascii="Times New Roman" w:hAnsi="Times New Roman" w:cs="宋体"/>
          <w:color w:val="auto"/>
          <w:kern w:val="0"/>
          <w:szCs w:val="21"/>
          <w:highlight w:val="none"/>
          <w:lang w:val="en-US" w:eastAsia="zh-CN"/>
        </w:rPr>
        <w:t>5</w:t>
      </w:r>
      <w:r>
        <w:rPr>
          <w:rFonts w:hint="eastAsia" w:ascii="Times New Roman" w:hAnsi="Times New Roman" w:cs="宋体"/>
          <w:color w:val="auto"/>
          <w:kern w:val="0"/>
          <w:szCs w:val="21"/>
          <w:highlight w:val="none"/>
          <w:lang w:eastAsia="zh-CN"/>
        </w:rPr>
        <w:t>）</w:t>
      </w:r>
      <w:r>
        <w:rPr>
          <w:rFonts w:hint="eastAsia" w:ascii="Times New Roman" w:hAnsi="Times New Roman" w:eastAsia="宋体" w:cs="宋体"/>
          <w:color w:val="auto"/>
          <w:kern w:val="0"/>
          <w:szCs w:val="21"/>
          <w:highlight w:val="none"/>
        </w:rPr>
        <w:t>如因发生事故给发包人造成其他经济损失的，承包人应当予以赔偿。</w:t>
      </w:r>
    </w:p>
    <w:p w14:paraId="6460155B">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ascii="Times New Roman" w:hAnsi="Times New Roman" w:eastAsia="宋体" w:cs="宋体"/>
          <w:color w:val="auto"/>
          <w:kern w:val="0"/>
          <w:szCs w:val="21"/>
          <w:highlight w:val="none"/>
        </w:rPr>
      </w:pPr>
      <w:r>
        <w:rPr>
          <w:rFonts w:hint="eastAsia" w:ascii="Times New Roman" w:hAnsi="Times New Roman" w:cs="宋体"/>
          <w:color w:val="auto"/>
          <w:kern w:val="0"/>
          <w:szCs w:val="21"/>
          <w:highlight w:val="none"/>
          <w:lang w:eastAsia="zh-CN"/>
        </w:rPr>
        <w:t>（</w:t>
      </w:r>
      <w:r>
        <w:rPr>
          <w:rFonts w:hint="eastAsia" w:ascii="Times New Roman" w:hAnsi="Times New Roman" w:cs="宋体"/>
          <w:color w:val="auto"/>
          <w:kern w:val="0"/>
          <w:szCs w:val="21"/>
          <w:highlight w:val="none"/>
          <w:lang w:val="en-US" w:eastAsia="zh-CN"/>
        </w:rPr>
        <w:t>6</w:t>
      </w:r>
      <w:r>
        <w:rPr>
          <w:rFonts w:hint="eastAsia" w:ascii="Times New Roman" w:hAnsi="Times New Roman" w:cs="宋体"/>
          <w:color w:val="auto"/>
          <w:kern w:val="0"/>
          <w:szCs w:val="21"/>
          <w:highlight w:val="none"/>
          <w:lang w:eastAsia="zh-CN"/>
        </w:rPr>
        <w:t>）</w:t>
      </w:r>
      <w:r>
        <w:rPr>
          <w:rFonts w:hint="eastAsia" w:ascii="Times New Roman" w:hAnsi="Times New Roman" w:eastAsia="宋体" w:cs="宋体"/>
          <w:color w:val="auto"/>
          <w:kern w:val="0"/>
          <w:szCs w:val="21"/>
          <w:highlight w:val="none"/>
        </w:rPr>
        <w:t>事故造成人员伤亡的，承包人应根据伤亡后果及人数向发包人支付违约金，其中造成人员死亡的，按每人10万元计算违约金，造成人员受伤住院治疗7天以上的，按每人2万元支付违约金。</w:t>
      </w:r>
    </w:p>
    <w:p w14:paraId="63C32AC7">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Cs w:val="21"/>
          <w:highlight w:val="none"/>
        </w:rPr>
        <w:t>21.15 承包人要协助发包人完成农民工保证金、新型墙体材料和散装水泥的退费工作。</w:t>
      </w:r>
    </w:p>
    <w:p w14:paraId="62399B5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Times New Roman" w:hAnsi="Times New Roman" w:eastAsia="宋体" w:cs="宋体"/>
          <w:color w:val="auto"/>
          <w:sz w:val="21"/>
          <w:szCs w:val="21"/>
          <w:highlight w:val="none"/>
        </w:rPr>
      </w:pPr>
    </w:p>
    <w:p w14:paraId="099D3186">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附件</w:t>
      </w:r>
    </w:p>
    <w:p w14:paraId="50277BE9">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协议书附件：</w:t>
      </w:r>
    </w:p>
    <w:p w14:paraId="72800F5E">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附件1：承包人承揽工程项目一览表</w:t>
      </w:r>
    </w:p>
    <w:p w14:paraId="4484C086">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专用合同条款附件：</w:t>
      </w:r>
    </w:p>
    <w:p w14:paraId="5426578C">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附件2：发包人供应材料设备一览表</w:t>
      </w:r>
    </w:p>
    <w:p w14:paraId="4B46CF8D">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附件3：工程质量保修书</w:t>
      </w:r>
    </w:p>
    <w:p w14:paraId="6DDF50DA">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附件4：主要建设工程文件目录</w:t>
      </w:r>
    </w:p>
    <w:p w14:paraId="1D4A7F0E">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附件5：承包人用于本工程施工的机械设备表</w:t>
      </w:r>
    </w:p>
    <w:p w14:paraId="7D695042">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附件6：承包人主要施工管理人员表</w:t>
      </w:r>
    </w:p>
    <w:p w14:paraId="30942603">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附件7：分包人主要施工管理人员表</w:t>
      </w:r>
    </w:p>
    <w:p w14:paraId="794CB80C">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附件8：履约担保格式</w:t>
      </w:r>
    </w:p>
    <w:p w14:paraId="140D5491">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附件9：预付款担保格式</w:t>
      </w:r>
    </w:p>
    <w:p w14:paraId="3B7481D9">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附件10：支付担保格式</w:t>
      </w:r>
    </w:p>
    <w:p w14:paraId="416C9016">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附件11：暂估价一览表</w:t>
      </w:r>
    </w:p>
    <w:p w14:paraId="1B42A086">
      <w:pPr>
        <w:pStyle w:val="13"/>
        <w:rPr>
          <w:rFonts w:hint="eastAsia" w:ascii="Times New Roman" w:hAnsi="Times New Roman" w:eastAsia="宋体" w:cs="宋体"/>
          <w:color w:val="auto"/>
          <w:sz w:val="21"/>
          <w:szCs w:val="21"/>
          <w:highlight w:val="none"/>
          <w:lang w:val="en-US" w:eastAsia="zh-CN"/>
        </w:rPr>
      </w:pPr>
    </w:p>
    <w:p w14:paraId="44DE76A5">
      <w:pPr>
        <w:pStyle w:val="13"/>
        <w:rPr>
          <w:rFonts w:hint="default" w:ascii="Times New Roman" w:hAnsi="Times New Roman" w:eastAsia="宋体" w:cs="宋体"/>
          <w:color w:val="auto"/>
          <w:sz w:val="21"/>
          <w:szCs w:val="21"/>
          <w:highlight w:val="none"/>
          <w:lang w:val="en-US" w:eastAsia="zh-CN"/>
        </w:rPr>
        <w:sectPr>
          <w:footerReference r:id="rId17" w:type="first"/>
          <w:footerReference r:id="rId16" w:type="default"/>
          <w:pgSz w:w="11906" w:h="16838"/>
          <w:pgMar w:top="1440" w:right="1080" w:bottom="1440" w:left="1080" w:header="851" w:footer="992" w:gutter="0"/>
          <w:pgNumType w:fmt="decimal"/>
          <w:cols w:space="720" w:num="1"/>
          <w:titlePg/>
          <w:docGrid w:type="lines" w:linePitch="312" w:charSpace="0"/>
        </w:sectPr>
      </w:pPr>
    </w:p>
    <w:p w14:paraId="09C715DE">
      <w:pPr>
        <w:pageBreakBefore w:val="0"/>
        <w:widowControl w:val="0"/>
        <w:kinsoku/>
        <w:wordWrap/>
        <w:overflowPunct/>
        <w:topLinePunct w:val="0"/>
        <w:bidi w:val="0"/>
        <w:snapToGrid/>
        <w:spacing w:line="360" w:lineRule="exact"/>
        <w:ind w:left="0" w:leftChars="0" w:right="0" w:rightChars="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附件1：</w:t>
      </w:r>
    </w:p>
    <w:p w14:paraId="6CFCEBB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承包人承揽工程项目一览表</w:t>
      </w:r>
    </w:p>
    <w:tbl>
      <w:tblPr>
        <w:tblStyle w:val="28"/>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11"/>
        <w:gridCol w:w="1609"/>
        <w:gridCol w:w="1706"/>
        <w:gridCol w:w="1837"/>
        <w:gridCol w:w="850"/>
        <w:gridCol w:w="1560"/>
        <w:gridCol w:w="2126"/>
        <w:gridCol w:w="1417"/>
        <w:gridCol w:w="851"/>
        <w:gridCol w:w="850"/>
      </w:tblGrid>
      <w:tr w14:paraId="35702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511" w:type="dxa"/>
            <w:tcBorders>
              <w:top w:val="single" w:color="auto" w:sz="12" w:space="0"/>
              <w:bottom w:val="double" w:color="auto" w:sz="6" w:space="0"/>
            </w:tcBorders>
            <w:vAlign w:val="center"/>
          </w:tcPr>
          <w:p w14:paraId="123476AD">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单位工程名称</w:t>
            </w:r>
          </w:p>
        </w:tc>
        <w:tc>
          <w:tcPr>
            <w:tcW w:w="1609" w:type="dxa"/>
            <w:tcBorders>
              <w:top w:val="single" w:color="auto" w:sz="12" w:space="0"/>
              <w:bottom w:val="double" w:color="auto" w:sz="6" w:space="0"/>
            </w:tcBorders>
            <w:vAlign w:val="center"/>
          </w:tcPr>
          <w:p w14:paraId="0D9B5977">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建设规模</w:t>
            </w:r>
          </w:p>
        </w:tc>
        <w:tc>
          <w:tcPr>
            <w:tcW w:w="1706" w:type="dxa"/>
            <w:tcBorders>
              <w:top w:val="single" w:color="auto" w:sz="12" w:space="0"/>
              <w:bottom w:val="double" w:color="auto" w:sz="6" w:space="0"/>
            </w:tcBorders>
            <w:vAlign w:val="center"/>
          </w:tcPr>
          <w:p w14:paraId="71EF9BE4">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建筑面积(平方米)</w:t>
            </w:r>
          </w:p>
        </w:tc>
        <w:tc>
          <w:tcPr>
            <w:tcW w:w="1837" w:type="dxa"/>
            <w:tcBorders>
              <w:top w:val="single" w:color="auto" w:sz="12" w:space="0"/>
              <w:bottom w:val="double" w:color="auto" w:sz="6" w:space="0"/>
            </w:tcBorders>
            <w:vAlign w:val="center"/>
          </w:tcPr>
          <w:p w14:paraId="2904FDB7">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vAlign w:val="center"/>
          </w:tcPr>
          <w:p w14:paraId="5050FE93">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vAlign w:val="center"/>
          </w:tcPr>
          <w:p w14:paraId="30DCF661">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vAlign w:val="center"/>
          </w:tcPr>
          <w:p w14:paraId="26AF5A10">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vAlign w:val="center"/>
          </w:tcPr>
          <w:p w14:paraId="7370A5C2">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vAlign w:val="center"/>
          </w:tcPr>
          <w:p w14:paraId="3CFA350C">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vAlign w:val="center"/>
          </w:tcPr>
          <w:p w14:paraId="7E1461E8">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竣工日期</w:t>
            </w:r>
          </w:p>
        </w:tc>
      </w:tr>
      <w:tr w14:paraId="2E4EB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double" w:color="auto" w:sz="6" w:space="0"/>
              <w:bottom w:val="single" w:color="auto" w:sz="6" w:space="0"/>
            </w:tcBorders>
            <w:vAlign w:val="center"/>
          </w:tcPr>
          <w:p w14:paraId="159B66C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double" w:color="auto" w:sz="6" w:space="0"/>
              <w:bottom w:val="single" w:color="auto" w:sz="6" w:space="0"/>
            </w:tcBorders>
            <w:vAlign w:val="center"/>
          </w:tcPr>
          <w:p w14:paraId="594BD36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double" w:color="auto" w:sz="6" w:space="0"/>
              <w:bottom w:val="single" w:color="auto" w:sz="6" w:space="0"/>
            </w:tcBorders>
            <w:vAlign w:val="center"/>
          </w:tcPr>
          <w:p w14:paraId="192F205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double" w:color="auto" w:sz="6" w:space="0"/>
              <w:bottom w:val="single" w:color="auto" w:sz="6" w:space="0"/>
            </w:tcBorders>
            <w:vAlign w:val="center"/>
          </w:tcPr>
          <w:p w14:paraId="7E31B19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14:paraId="2E99567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vAlign w:val="center"/>
          </w:tcPr>
          <w:p w14:paraId="2D13DC4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vAlign w:val="center"/>
          </w:tcPr>
          <w:p w14:paraId="27AA76D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vAlign w:val="center"/>
          </w:tcPr>
          <w:p w14:paraId="333B1DB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center"/>
          </w:tcPr>
          <w:p w14:paraId="39B439A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14:paraId="0BA5ADD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7DA8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nil"/>
            </w:tcBorders>
            <w:vAlign w:val="center"/>
          </w:tcPr>
          <w:p w14:paraId="0AC1A03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nil"/>
            </w:tcBorders>
            <w:vAlign w:val="center"/>
          </w:tcPr>
          <w:p w14:paraId="53D186F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nil"/>
            </w:tcBorders>
            <w:vAlign w:val="center"/>
          </w:tcPr>
          <w:p w14:paraId="3FA1F58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nil"/>
            </w:tcBorders>
            <w:vAlign w:val="center"/>
          </w:tcPr>
          <w:p w14:paraId="5E3004D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765C63F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nil"/>
            </w:tcBorders>
            <w:vAlign w:val="center"/>
          </w:tcPr>
          <w:p w14:paraId="7EC7E9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nil"/>
            </w:tcBorders>
            <w:vAlign w:val="center"/>
          </w:tcPr>
          <w:p w14:paraId="754FE59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nil"/>
            </w:tcBorders>
            <w:vAlign w:val="center"/>
          </w:tcPr>
          <w:p w14:paraId="72C44C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nil"/>
            </w:tcBorders>
            <w:vAlign w:val="center"/>
          </w:tcPr>
          <w:p w14:paraId="03CF9DB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2F858E6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5812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nil"/>
            </w:tcBorders>
            <w:vAlign w:val="center"/>
          </w:tcPr>
          <w:p w14:paraId="449553E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nil"/>
            </w:tcBorders>
            <w:vAlign w:val="center"/>
          </w:tcPr>
          <w:p w14:paraId="560DCD3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nil"/>
            </w:tcBorders>
            <w:vAlign w:val="center"/>
          </w:tcPr>
          <w:p w14:paraId="2A09466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nil"/>
            </w:tcBorders>
            <w:vAlign w:val="center"/>
          </w:tcPr>
          <w:p w14:paraId="22675B8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6A722E3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nil"/>
            </w:tcBorders>
            <w:vAlign w:val="center"/>
          </w:tcPr>
          <w:p w14:paraId="024F084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nil"/>
            </w:tcBorders>
            <w:vAlign w:val="center"/>
          </w:tcPr>
          <w:p w14:paraId="31427D7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nil"/>
            </w:tcBorders>
            <w:vAlign w:val="center"/>
          </w:tcPr>
          <w:p w14:paraId="6DEBE53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nil"/>
            </w:tcBorders>
            <w:vAlign w:val="center"/>
          </w:tcPr>
          <w:p w14:paraId="440241A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4616841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F245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vAlign w:val="center"/>
          </w:tcPr>
          <w:p w14:paraId="789BDF6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vAlign w:val="center"/>
          </w:tcPr>
          <w:p w14:paraId="3A03FE8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vAlign w:val="center"/>
          </w:tcPr>
          <w:p w14:paraId="180DAD5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vAlign w:val="center"/>
          </w:tcPr>
          <w:p w14:paraId="3090DCC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41A9FE2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vAlign w:val="center"/>
          </w:tcPr>
          <w:p w14:paraId="05E305F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vAlign w:val="center"/>
          </w:tcPr>
          <w:p w14:paraId="4D73B60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vAlign w:val="center"/>
          </w:tcPr>
          <w:p w14:paraId="1AC4690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vAlign w:val="center"/>
          </w:tcPr>
          <w:p w14:paraId="780D80F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4972436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7EE6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nil"/>
            </w:tcBorders>
            <w:vAlign w:val="center"/>
          </w:tcPr>
          <w:p w14:paraId="3A486A3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nil"/>
            </w:tcBorders>
            <w:vAlign w:val="center"/>
          </w:tcPr>
          <w:p w14:paraId="21607D9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nil"/>
            </w:tcBorders>
            <w:vAlign w:val="center"/>
          </w:tcPr>
          <w:p w14:paraId="5D12ED3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nil"/>
            </w:tcBorders>
            <w:vAlign w:val="center"/>
          </w:tcPr>
          <w:p w14:paraId="3CB3537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21C75C9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nil"/>
            </w:tcBorders>
            <w:vAlign w:val="center"/>
          </w:tcPr>
          <w:p w14:paraId="7F792E0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nil"/>
            </w:tcBorders>
            <w:vAlign w:val="center"/>
          </w:tcPr>
          <w:p w14:paraId="18CD87D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nil"/>
            </w:tcBorders>
            <w:vAlign w:val="center"/>
          </w:tcPr>
          <w:p w14:paraId="3270684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nil"/>
            </w:tcBorders>
            <w:vAlign w:val="center"/>
          </w:tcPr>
          <w:p w14:paraId="2F8F9BE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13EFBA8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C90F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vAlign w:val="center"/>
          </w:tcPr>
          <w:p w14:paraId="6CCA0C9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vAlign w:val="center"/>
          </w:tcPr>
          <w:p w14:paraId="7B60AA2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vAlign w:val="center"/>
          </w:tcPr>
          <w:p w14:paraId="7B5A951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vAlign w:val="center"/>
          </w:tcPr>
          <w:p w14:paraId="7035995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2D07FA9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vAlign w:val="center"/>
          </w:tcPr>
          <w:p w14:paraId="0508C9D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vAlign w:val="center"/>
          </w:tcPr>
          <w:p w14:paraId="725B50B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vAlign w:val="center"/>
          </w:tcPr>
          <w:p w14:paraId="4C6650B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vAlign w:val="center"/>
          </w:tcPr>
          <w:p w14:paraId="37FBDAA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7A7E38C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9319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nil"/>
            </w:tcBorders>
            <w:vAlign w:val="center"/>
          </w:tcPr>
          <w:p w14:paraId="4F4F5E1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nil"/>
            </w:tcBorders>
            <w:vAlign w:val="center"/>
          </w:tcPr>
          <w:p w14:paraId="245BDC9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nil"/>
            </w:tcBorders>
            <w:vAlign w:val="center"/>
          </w:tcPr>
          <w:p w14:paraId="70D778E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nil"/>
            </w:tcBorders>
            <w:vAlign w:val="center"/>
          </w:tcPr>
          <w:p w14:paraId="07C3093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09023DA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nil"/>
            </w:tcBorders>
            <w:vAlign w:val="center"/>
          </w:tcPr>
          <w:p w14:paraId="28A2883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nil"/>
            </w:tcBorders>
            <w:vAlign w:val="center"/>
          </w:tcPr>
          <w:p w14:paraId="49E38A2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nil"/>
            </w:tcBorders>
            <w:vAlign w:val="center"/>
          </w:tcPr>
          <w:p w14:paraId="588041C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nil"/>
            </w:tcBorders>
            <w:vAlign w:val="center"/>
          </w:tcPr>
          <w:p w14:paraId="160A563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292B32D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4EF0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nil"/>
            </w:tcBorders>
            <w:vAlign w:val="center"/>
          </w:tcPr>
          <w:p w14:paraId="143DF2E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nil"/>
            </w:tcBorders>
            <w:vAlign w:val="center"/>
          </w:tcPr>
          <w:p w14:paraId="752B2FE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nil"/>
            </w:tcBorders>
            <w:vAlign w:val="center"/>
          </w:tcPr>
          <w:p w14:paraId="44BF9BB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nil"/>
            </w:tcBorders>
            <w:vAlign w:val="center"/>
          </w:tcPr>
          <w:p w14:paraId="0B1C2DC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7DDDB16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nil"/>
            </w:tcBorders>
            <w:vAlign w:val="center"/>
          </w:tcPr>
          <w:p w14:paraId="0988AB8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nil"/>
            </w:tcBorders>
            <w:vAlign w:val="center"/>
          </w:tcPr>
          <w:p w14:paraId="6B87F3F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nil"/>
            </w:tcBorders>
            <w:vAlign w:val="center"/>
          </w:tcPr>
          <w:p w14:paraId="2AA34E8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nil"/>
            </w:tcBorders>
            <w:vAlign w:val="center"/>
          </w:tcPr>
          <w:p w14:paraId="3DA8761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758D319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3F3B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vAlign w:val="center"/>
          </w:tcPr>
          <w:p w14:paraId="6D60878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vAlign w:val="center"/>
          </w:tcPr>
          <w:p w14:paraId="53F85D2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vAlign w:val="center"/>
          </w:tcPr>
          <w:p w14:paraId="06769D9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vAlign w:val="center"/>
          </w:tcPr>
          <w:p w14:paraId="0D82307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029F91D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vAlign w:val="center"/>
          </w:tcPr>
          <w:p w14:paraId="5FD2D4B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vAlign w:val="center"/>
          </w:tcPr>
          <w:p w14:paraId="4F405BE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vAlign w:val="center"/>
          </w:tcPr>
          <w:p w14:paraId="19150D9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vAlign w:val="center"/>
          </w:tcPr>
          <w:p w14:paraId="3594286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70C7D11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5DD6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tcBorders>
              <w:top w:val="nil"/>
            </w:tcBorders>
            <w:vAlign w:val="center"/>
          </w:tcPr>
          <w:p w14:paraId="28E2604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tcBorders>
              <w:top w:val="nil"/>
            </w:tcBorders>
            <w:vAlign w:val="center"/>
          </w:tcPr>
          <w:p w14:paraId="59D2241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tcBorders>
              <w:top w:val="nil"/>
            </w:tcBorders>
            <w:vAlign w:val="center"/>
          </w:tcPr>
          <w:p w14:paraId="226811C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tcBorders>
              <w:top w:val="nil"/>
            </w:tcBorders>
            <w:vAlign w:val="center"/>
          </w:tcPr>
          <w:p w14:paraId="6EE16DA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0860F80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tcBorders>
              <w:top w:val="nil"/>
            </w:tcBorders>
            <w:vAlign w:val="center"/>
          </w:tcPr>
          <w:p w14:paraId="5A99FED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tcBorders>
              <w:top w:val="nil"/>
            </w:tcBorders>
            <w:vAlign w:val="center"/>
          </w:tcPr>
          <w:p w14:paraId="5F2004A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tcBorders>
              <w:top w:val="nil"/>
            </w:tcBorders>
            <w:vAlign w:val="center"/>
          </w:tcPr>
          <w:p w14:paraId="4E6FF61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tcBorders>
              <w:top w:val="nil"/>
            </w:tcBorders>
            <w:vAlign w:val="center"/>
          </w:tcPr>
          <w:p w14:paraId="47C23A1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7A310BB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0D6A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11" w:type="dxa"/>
            <w:vAlign w:val="center"/>
          </w:tcPr>
          <w:p w14:paraId="6E78289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609" w:type="dxa"/>
            <w:vAlign w:val="center"/>
          </w:tcPr>
          <w:p w14:paraId="523A0FB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706" w:type="dxa"/>
            <w:vAlign w:val="center"/>
          </w:tcPr>
          <w:p w14:paraId="18A297C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837" w:type="dxa"/>
            <w:vAlign w:val="center"/>
          </w:tcPr>
          <w:p w14:paraId="320F320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56144EF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0" w:type="dxa"/>
            <w:vAlign w:val="center"/>
          </w:tcPr>
          <w:p w14:paraId="0613508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2126" w:type="dxa"/>
            <w:vAlign w:val="center"/>
          </w:tcPr>
          <w:p w14:paraId="508FE02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7" w:type="dxa"/>
            <w:vAlign w:val="center"/>
          </w:tcPr>
          <w:p w14:paraId="593FC08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1" w:type="dxa"/>
            <w:vAlign w:val="center"/>
          </w:tcPr>
          <w:p w14:paraId="12F44FD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2BEE1E5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bl>
    <w:p w14:paraId="2A3B1D0A">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236DBE8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附件2：</w:t>
      </w:r>
    </w:p>
    <w:p w14:paraId="4E764D1F">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发包人供应材料设备一览表</w:t>
      </w:r>
    </w:p>
    <w:tbl>
      <w:tblPr>
        <w:tblStyle w:val="28"/>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51B58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vAlign w:val="center"/>
          </w:tcPr>
          <w:p w14:paraId="7EE83238">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序号</w:t>
            </w:r>
          </w:p>
        </w:tc>
        <w:tc>
          <w:tcPr>
            <w:tcW w:w="1099" w:type="dxa"/>
            <w:tcBorders>
              <w:top w:val="single" w:color="auto" w:sz="12" w:space="0"/>
              <w:bottom w:val="double" w:color="auto" w:sz="6" w:space="0"/>
            </w:tcBorders>
            <w:vAlign w:val="center"/>
          </w:tcPr>
          <w:p w14:paraId="3E53B3CA">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材料、</w:t>
            </w:r>
          </w:p>
          <w:p w14:paraId="040FDD1C">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设备品种</w:t>
            </w:r>
          </w:p>
        </w:tc>
        <w:tc>
          <w:tcPr>
            <w:tcW w:w="1134" w:type="dxa"/>
            <w:tcBorders>
              <w:top w:val="single" w:color="auto" w:sz="12" w:space="0"/>
              <w:bottom w:val="double" w:color="auto" w:sz="6" w:space="0"/>
            </w:tcBorders>
            <w:vAlign w:val="center"/>
          </w:tcPr>
          <w:p w14:paraId="4E96434B">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规格型号</w:t>
            </w:r>
          </w:p>
        </w:tc>
        <w:tc>
          <w:tcPr>
            <w:tcW w:w="620" w:type="dxa"/>
            <w:tcBorders>
              <w:top w:val="single" w:color="auto" w:sz="12" w:space="0"/>
              <w:bottom w:val="double" w:color="auto" w:sz="6" w:space="0"/>
            </w:tcBorders>
            <w:vAlign w:val="center"/>
          </w:tcPr>
          <w:p w14:paraId="59F5A286">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单位</w:t>
            </w:r>
          </w:p>
        </w:tc>
        <w:tc>
          <w:tcPr>
            <w:tcW w:w="690" w:type="dxa"/>
            <w:tcBorders>
              <w:top w:val="single" w:color="auto" w:sz="12" w:space="0"/>
              <w:bottom w:val="double" w:color="auto" w:sz="6" w:space="0"/>
            </w:tcBorders>
            <w:vAlign w:val="center"/>
          </w:tcPr>
          <w:p w14:paraId="6FF63938">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vAlign w:val="center"/>
          </w:tcPr>
          <w:p w14:paraId="62F7BDE7">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单价（元）</w:t>
            </w:r>
          </w:p>
        </w:tc>
        <w:tc>
          <w:tcPr>
            <w:tcW w:w="719" w:type="dxa"/>
            <w:tcBorders>
              <w:top w:val="single" w:color="auto" w:sz="12" w:space="0"/>
              <w:bottom w:val="double" w:color="auto" w:sz="6" w:space="0"/>
            </w:tcBorders>
            <w:vAlign w:val="center"/>
          </w:tcPr>
          <w:p w14:paraId="265596DD">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质量等级</w:t>
            </w:r>
          </w:p>
        </w:tc>
        <w:tc>
          <w:tcPr>
            <w:tcW w:w="716" w:type="dxa"/>
            <w:tcBorders>
              <w:top w:val="single" w:color="auto" w:sz="12" w:space="0"/>
              <w:bottom w:val="double" w:color="auto" w:sz="6" w:space="0"/>
            </w:tcBorders>
            <w:vAlign w:val="center"/>
          </w:tcPr>
          <w:p w14:paraId="0C6175C2">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vAlign w:val="center"/>
          </w:tcPr>
          <w:p w14:paraId="6E73B84A">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送达地点</w:t>
            </w:r>
          </w:p>
        </w:tc>
        <w:tc>
          <w:tcPr>
            <w:tcW w:w="783" w:type="dxa"/>
            <w:tcBorders>
              <w:top w:val="single" w:color="auto" w:sz="12" w:space="0"/>
              <w:bottom w:val="double" w:color="auto" w:sz="6" w:space="0"/>
            </w:tcBorders>
            <w:vAlign w:val="center"/>
          </w:tcPr>
          <w:p w14:paraId="75B3EFAA">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备注</w:t>
            </w:r>
          </w:p>
        </w:tc>
      </w:tr>
      <w:tr w14:paraId="7A7EF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vAlign w:val="center"/>
          </w:tcPr>
          <w:p w14:paraId="3188D5F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tcBorders>
              <w:top w:val="double" w:color="auto" w:sz="6" w:space="0"/>
              <w:bottom w:val="single" w:color="auto" w:sz="6" w:space="0"/>
            </w:tcBorders>
            <w:vAlign w:val="center"/>
          </w:tcPr>
          <w:p w14:paraId="44664E8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tcBorders>
              <w:top w:val="double" w:color="auto" w:sz="6" w:space="0"/>
              <w:bottom w:val="single" w:color="auto" w:sz="6" w:space="0"/>
            </w:tcBorders>
            <w:vAlign w:val="center"/>
          </w:tcPr>
          <w:p w14:paraId="4EFE173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tcBorders>
              <w:top w:val="double" w:color="auto" w:sz="6" w:space="0"/>
              <w:bottom w:val="single" w:color="auto" w:sz="6" w:space="0"/>
            </w:tcBorders>
            <w:vAlign w:val="center"/>
          </w:tcPr>
          <w:p w14:paraId="078143E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tcBorders>
              <w:top w:val="double" w:color="auto" w:sz="6" w:space="0"/>
              <w:bottom w:val="single" w:color="auto" w:sz="6" w:space="0"/>
            </w:tcBorders>
            <w:vAlign w:val="center"/>
          </w:tcPr>
          <w:p w14:paraId="3DAA163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vAlign w:val="center"/>
          </w:tcPr>
          <w:p w14:paraId="254747D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tcBorders>
              <w:top w:val="double" w:color="auto" w:sz="6" w:space="0"/>
              <w:bottom w:val="single" w:color="auto" w:sz="6" w:space="0"/>
            </w:tcBorders>
            <w:vAlign w:val="center"/>
          </w:tcPr>
          <w:p w14:paraId="24B8512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tcBorders>
              <w:top w:val="double" w:color="auto" w:sz="6" w:space="0"/>
              <w:bottom w:val="single" w:color="auto" w:sz="6" w:space="0"/>
            </w:tcBorders>
            <w:vAlign w:val="center"/>
          </w:tcPr>
          <w:p w14:paraId="64B4BF8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vAlign w:val="center"/>
          </w:tcPr>
          <w:p w14:paraId="6DFB606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tcBorders>
              <w:top w:val="double" w:color="auto" w:sz="6" w:space="0"/>
              <w:bottom w:val="single" w:color="auto" w:sz="6" w:space="0"/>
            </w:tcBorders>
            <w:vAlign w:val="center"/>
          </w:tcPr>
          <w:p w14:paraId="38C8BBD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45A90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vAlign w:val="center"/>
          </w:tcPr>
          <w:p w14:paraId="059AC1F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tcBorders>
              <w:top w:val="nil"/>
            </w:tcBorders>
            <w:vAlign w:val="center"/>
          </w:tcPr>
          <w:p w14:paraId="49F8CAF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tcBorders>
              <w:top w:val="nil"/>
            </w:tcBorders>
            <w:vAlign w:val="center"/>
          </w:tcPr>
          <w:p w14:paraId="39BE6D3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tcBorders>
              <w:top w:val="nil"/>
            </w:tcBorders>
            <w:vAlign w:val="center"/>
          </w:tcPr>
          <w:p w14:paraId="3B6BBC2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tcBorders>
              <w:top w:val="nil"/>
            </w:tcBorders>
            <w:vAlign w:val="center"/>
          </w:tcPr>
          <w:p w14:paraId="180C308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tcBorders>
              <w:top w:val="nil"/>
            </w:tcBorders>
            <w:vAlign w:val="center"/>
          </w:tcPr>
          <w:p w14:paraId="2078E61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tcBorders>
              <w:top w:val="nil"/>
            </w:tcBorders>
            <w:vAlign w:val="center"/>
          </w:tcPr>
          <w:p w14:paraId="63978CA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tcBorders>
              <w:top w:val="nil"/>
            </w:tcBorders>
            <w:vAlign w:val="center"/>
          </w:tcPr>
          <w:p w14:paraId="5745E80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tcBorders>
              <w:top w:val="nil"/>
            </w:tcBorders>
            <w:vAlign w:val="center"/>
          </w:tcPr>
          <w:p w14:paraId="3EE0DF6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tcBorders>
              <w:top w:val="nil"/>
            </w:tcBorders>
            <w:vAlign w:val="center"/>
          </w:tcPr>
          <w:p w14:paraId="276C3C6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0A19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38E4595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5651399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7F56679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00E96CC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334D3E9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4F99ACB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0855E8D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4D819E0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3878616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28C9B1E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633E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4C0C86A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018CA91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16F7870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51D0E19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7571A62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3D2828D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4AD3DC3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6AB9DA6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332D44A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532133A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F182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7331448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31B4BE7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151FF99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20E4D81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12B4B3F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4FFEB23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51EAD7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4872E7D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1F9518D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139268D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5C5C8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3396491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3F9721F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0660A71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39BD53D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738D66B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50868F6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0B09857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3C7DEED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57634D2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3F6AE12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A512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32BAD0D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2068E9C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29CECF9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207094F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50AB136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3154510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77DC4EC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73839BA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125B48C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2A63F95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6309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57FAA3D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5934131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60DAC40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63E346D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0B8CAB9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41D0CB5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3C42E82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3DEEAD4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678F7ED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1D67BEE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ABB1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539EFF8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6DFD32A4">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097F176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6936C62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2E3099F3">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79130D8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2DEF71DB">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04673E65">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5EB8BF4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2310FD6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1F172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367E2A7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99" w:type="dxa"/>
            <w:vAlign w:val="center"/>
          </w:tcPr>
          <w:p w14:paraId="461D4D9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39A4FD7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20" w:type="dxa"/>
            <w:vAlign w:val="center"/>
          </w:tcPr>
          <w:p w14:paraId="6567835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90" w:type="dxa"/>
            <w:vAlign w:val="center"/>
          </w:tcPr>
          <w:p w14:paraId="3603585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44" w:type="dxa"/>
            <w:vAlign w:val="center"/>
          </w:tcPr>
          <w:p w14:paraId="2C1D19A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9" w:type="dxa"/>
            <w:vAlign w:val="center"/>
          </w:tcPr>
          <w:p w14:paraId="62BD42F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16" w:type="dxa"/>
            <w:vAlign w:val="center"/>
          </w:tcPr>
          <w:p w14:paraId="5EC5CDE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87" w:type="dxa"/>
            <w:vAlign w:val="center"/>
          </w:tcPr>
          <w:p w14:paraId="71E59FF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783" w:type="dxa"/>
            <w:vAlign w:val="center"/>
          </w:tcPr>
          <w:p w14:paraId="173DDD8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E948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55526C7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12EB0D4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468C09A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743C2C0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6F6F04C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41441AD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72E7399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13926D9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620EA29B">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6E67962E">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6F96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25BFE5C2">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0F759CC2">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1FA2892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4CB6BC7B">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44234FF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0A1802A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0C6C496B">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26E403D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09C1B21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1B88FBF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48F5B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0226AE9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33809F34">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71C86845">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21063E2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7FF446BF">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65424533">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4E7138E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60B7EE7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19494DE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734D2F0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78140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129A5753">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1C109F7F">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62488EB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1DB7994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4C38AB3E">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5365B0A5">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21027C41">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238F9BF1">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236CDA6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2362AA5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4A3FB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7C8856AE">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5E34D34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1656D4C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292325B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09BC180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4EE60AA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06DF3E2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0C37DB0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2FEF50D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6EAAA3C4">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179BD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6F1A937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4DC3611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3EA5EF7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767C3343">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074398BE">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0A301DF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3FAE3C9E">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62D3FF9F">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3A72634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45FD2D59">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20F76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14F59C75">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788DA39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023E917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0C8B682B">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4998B1A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5461174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2CAE784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53616315">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088380B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5710FBD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r w14:paraId="74CD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14:paraId="04590743">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99" w:type="dxa"/>
            <w:vAlign w:val="center"/>
          </w:tcPr>
          <w:p w14:paraId="030DA27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134" w:type="dxa"/>
            <w:vAlign w:val="center"/>
          </w:tcPr>
          <w:p w14:paraId="58B36386">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20" w:type="dxa"/>
            <w:vAlign w:val="center"/>
          </w:tcPr>
          <w:p w14:paraId="4A1143C4">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690" w:type="dxa"/>
            <w:vAlign w:val="center"/>
          </w:tcPr>
          <w:p w14:paraId="4C13602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044" w:type="dxa"/>
            <w:vAlign w:val="center"/>
          </w:tcPr>
          <w:p w14:paraId="375852A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9" w:type="dxa"/>
            <w:vAlign w:val="center"/>
          </w:tcPr>
          <w:p w14:paraId="03F5C0BC">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16" w:type="dxa"/>
            <w:vAlign w:val="center"/>
          </w:tcPr>
          <w:p w14:paraId="3CBDCC70">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1487" w:type="dxa"/>
            <w:vAlign w:val="center"/>
          </w:tcPr>
          <w:p w14:paraId="17674DB8">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c>
          <w:tcPr>
            <w:tcW w:w="783" w:type="dxa"/>
            <w:vAlign w:val="center"/>
          </w:tcPr>
          <w:p w14:paraId="5F4F1BC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tc>
      </w:tr>
    </w:tbl>
    <w:p w14:paraId="4548187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51A3F40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65ED7DE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2AB7EBA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6C9C99D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635C79D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附件3：    </w:t>
      </w:r>
    </w:p>
    <w:p w14:paraId="30CC30D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p>
    <w:p w14:paraId="096F5AF5">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工程质量保修书（</w:t>
      </w:r>
      <w:r>
        <w:rPr>
          <w:rFonts w:hint="eastAsia" w:ascii="Times New Roman" w:hAnsi="Times New Roman" w:eastAsia="宋体" w:cs="宋体"/>
          <w:b/>
          <w:bCs/>
          <w:color w:val="auto"/>
          <w:sz w:val="21"/>
          <w:szCs w:val="21"/>
          <w:highlight w:val="none"/>
          <w:lang w:eastAsia="zh-CN"/>
        </w:rPr>
        <w:t>建筑</w:t>
      </w:r>
      <w:r>
        <w:rPr>
          <w:rFonts w:hint="eastAsia" w:ascii="Times New Roman" w:hAnsi="Times New Roman" w:eastAsia="宋体" w:cs="宋体"/>
          <w:b/>
          <w:bCs/>
          <w:color w:val="auto"/>
          <w:sz w:val="21"/>
          <w:szCs w:val="21"/>
          <w:highlight w:val="none"/>
          <w:lang w:val="en-US" w:eastAsia="zh-CN"/>
        </w:rPr>
        <w:t>工程</w:t>
      </w:r>
      <w:r>
        <w:rPr>
          <w:rFonts w:hint="eastAsia" w:ascii="Times New Roman" w:hAnsi="Times New Roman" w:eastAsia="宋体" w:cs="宋体"/>
          <w:b/>
          <w:bCs/>
          <w:color w:val="auto"/>
          <w:sz w:val="21"/>
          <w:szCs w:val="21"/>
          <w:highlight w:val="none"/>
        </w:rPr>
        <w:t>）</w:t>
      </w:r>
    </w:p>
    <w:p w14:paraId="4AF26AE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发包人（全称）：</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 xml:space="preserve"> </w:t>
      </w:r>
    </w:p>
    <w:p w14:paraId="64120B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承包人（全称）：</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 xml:space="preserve"> </w:t>
      </w:r>
    </w:p>
    <w:p w14:paraId="07838A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宋体"/>
          <w:color w:val="auto"/>
          <w:sz w:val="21"/>
          <w:szCs w:val="21"/>
          <w:highlight w:val="none"/>
        </w:rPr>
      </w:pPr>
    </w:p>
    <w:p w14:paraId="08E6FD34">
      <w:p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发包人和承包人根据《中华人民共和国建筑法》和《建设工程质量管理条例》，经协商一致就</w:t>
      </w:r>
      <w:r>
        <w:rPr>
          <w:rFonts w:hint="eastAsia" w:ascii="Times New Roman" w:hAnsi="Times New Roman" w:eastAsia="宋体" w:cs="宋体"/>
          <w:color w:val="auto"/>
          <w:sz w:val="21"/>
          <w:szCs w:val="21"/>
          <w:highlight w:val="none"/>
          <w:u w:val="single"/>
        </w:rPr>
        <w:t xml:space="preserve">                                   （工程全称）</w:t>
      </w:r>
      <w:r>
        <w:rPr>
          <w:rFonts w:hint="eastAsia" w:ascii="Times New Roman" w:hAnsi="Times New Roman" w:eastAsia="宋体" w:cs="宋体"/>
          <w:color w:val="auto"/>
          <w:sz w:val="21"/>
          <w:szCs w:val="21"/>
          <w:highlight w:val="none"/>
        </w:rPr>
        <w:t>签订工程质量保修书。</w:t>
      </w:r>
    </w:p>
    <w:p w14:paraId="2F2DD59C">
      <w:p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一、工程质量保修范围和内容</w:t>
      </w:r>
    </w:p>
    <w:p w14:paraId="6F97B94C">
      <w:p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承包人在质量保修期内，按照有关法律规定和合同约定，承担工程质量保修责任。</w:t>
      </w:r>
    </w:p>
    <w:p w14:paraId="4F9D2BCB">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FA44F80">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w:t>
      </w:r>
    </w:p>
    <w:p w14:paraId="295A8C57">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二、质量保修期</w:t>
      </w:r>
    </w:p>
    <w:p w14:paraId="250CB52F">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根据《建设工程质量管理条例》及有关规定，工程的质量保修期如下：</w:t>
      </w:r>
    </w:p>
    <w:p w14:paraId="5FC457E3">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1．地基基础工程和主体结构工程为设计文件规定的工程合理使用年限；</w:t>
      </w:r>
    </w:p>
    <w:p w14:paraId="614B3999">
      <w:pPr>
        <w:spacing w:line="360" w:lineRule="auto"/>
        <w:ind w:firstLine="420"/>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cs="宋体"/>
          <w:b w:val="0"/>
          <w:bCs/>
          <w:color w:val="auto"/>
          <w:highlight w:val="none"/>
        </w:rPr>
        <w:t>土建工程为</w:t>
      </w:r>
      <w:r>
        <w:rPr>
          <w:rFonts w:hint="eastAsia" w:ascii="Times New Roman" w:hAnsi="Times New Roman" w:cs="宋体"/>
          <w:b w:val="0"/>
          <w:bCs/>
          <w:color w:val="auto"/>
          <w:highlight w:val="none"/>
          <w:u w:val="single"/>
          <w:lang w:val="en-US" w:eastAsia="zh-CN"/>
        </w:rPr>
        <w:t xml:space="preserve"> 两  </w:t>
      </w:r>
      <w:r>
        <w:rPr>
          <w:rFonts w:hint="eastAsia" w:ascii="Times New Roman" w:hAnsi="Times New Roman" w:cs="宋体"/>
          <w:b w:val="0"/>
          <w:bCs/>
          <w:color w:val="auto"/>
          <w:highlight w:val="none"/>
        </w:rPr>
        <w:t>年；</w:t>
      </w:r>
    </w:p>
    <w:p w14:paraId="6376567E">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eastAsia="zh-CN"/>
        </w:rPr>
        <w:t>绿化工程</w:t>
      </w:r>
      <w:r>
        <w:rPr>
          <w:rFonts w:hint="eastAsia" w:ascii="Times New Roman" w:hAnsi="Times New Roman" w:eastAsia="宋体" w:cs="宋体"/>
          <w:color w:val="auto"/>
          <w:sz w:val="21"/>
          <w:szCs w:val="21"/>
          <w:highlight w:val="none"/>
        </w:rPr>
        <w:t>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cs="宋体"/>
          <w:color w:val="auto"/>
          <w:sz w:val="21"/>
          <w:szCs w:val="21"/>
          <w:highlight w:val="none"/>
          <w:u w:val="single"/>
          <w:lang w:eastAsia="zh-CN"/>
        </w:rPr>
        <w:t>两</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p>
    <w:p w14:paraId="5E8CD23B">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．装修工程为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color w:val="auto"/>
          <w:highlight w:val="none"/>
          <w:u w:val="single"/>
        </w:rPr>
        <w:t>两</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p>
    <w:p w14:paraId="73E7C0B1">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．电气管线、给排水管道、设备安装工程为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color w:val="auto"/>
          <w:highlight w:val="none"/>
          <w:u w:val="single"/>
        </w:rPr>
        <w:t>两</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p>
    <w:p w14:paraId="3104BC6D">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6</w:t>
      </w:r>
      <w:r>
        <w:rPr>
          <w:rFonts w:hint="eastAsia" w:ascii="Times New Roman" w:hAnsi="Times New Roman" w:eastAsia="宋体" w:cs="宋体"/>
          <w:color w:val="auto"/>
          <w:sz w:val="21"/>
          <w:szCs w:val="21"/>
          <w:highlight w:val="none"/>
        </w:rPr>
        <w:t>．供热与供冷系统为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color w:val="auto"/>
          <w:highlight w:val="none"/>
          <w:u w:val="single"/>
        </w:rPr>
        <w:t>两</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个采暖期、供冷期；</w:t>
      </w:r>
    </w:p>
    <w:p w14:paraId="65F455CD">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．住宅小区内的给排水设施、道路等配套工程为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color w:val="auto"/>
          <w:highlight w:val="none"/>
          <w:u w:val="single"/>
        </w:rPr>
        <w:t>两</w:t>
      </w:r>
      <w:r>
        <w:rPr>
          <w:rFonts w:hint="eastAsia" w:ascii="Times New Roman" w:hAnsi="Times New Roman"/>
          <w:color w:val="auto"/>
          <w:highlight w:val="none"/>
          <w:u w:val="single"/>
          <w:lang w:val="en-US" w:eastAsia="zh-CN"/>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p>
    <w:p w14:paraId="39393F8A">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eastAsia="宋体" w:cs="宋体"/>
          <w:color w:val="auto"/>
          <w:sz w:val="21"/>
          <w:szCs w:val="21"/>
          <w:highlight w:val="none"/>
        </w:rPr>
        <w:t>．其他项目保修期限约定如下：</w:t>
      </w:r>
    </w:p>
    <w:p w14:paraId="15DB89E2">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w:t>
      </w:r>
    </w:p>
    <w:p w14:paraId="7219F179">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质量保修期自工程竣工验收合格之日起计算。</w:t>
      </w:r>
    </w:p>
    <w:p w14:paraId="346E24A6">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三、缺陷责任期</w:t>
      </w:r>
    </w:p>
    <w:p w14:paraId="5C4B8E7D">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工程缺陷责任期为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u w:val="single"/>
          <w:lang w:val="en-US" w:eastAsia="zh-CN"/>
        </w:rPr>
        <w:t>24</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14:paraId="79841EB1">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缺陷责任期终止后，发包人应退还剩余的质量保证金。</w:t>
      </w:r>
    </w:p>
    <w:p w14:paraId="0B982687">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四、质量保修责任</w:t>
      </w:r>
    </w:p>
    <w:p w14:paraId="4C355170">
      <w:pPr>
        <w:spacing w:line="360" w:lineRule="auto"/>
        <w:ind w:left="105" w:leftChars="50" w:firstLine="430" w:firstLineChars="205"/>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1．属于保修范围、内容的项目，承包人应当在接到保修通知之日起</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u w:val="single"/>
          <w:lang w:val="en-US" w:eastAsia="zh-CN"/>
        </w:rPr>
        <w:t>1</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天内派人保修。承包人不在约定期限内派人保修的，发包人可以委托他人修理，修理费用从质量保修金内扣除。</w:t>
      </w:r>
    </w:p>
    <w:p w14:paraId="7E9949E4">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2．发生紧急事故需抢修的，承包人在接到事故通知后，应当立即到达事故现场抢修。</w:t>
      </w:r>
    </w:p>
    <w:p w14:paraId="49C5D383">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E1B590">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4．质量保修完成后，由发包人组织验收。</w:t>
      </w:r>
    </w:p>
    <w:p w14:paraId="38A4EAE9">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五、保修费用</w:t>
      </w:r>
    </w:p>
    <w:p w14:paraId="5A2A35F8">
      <w:pPr>
        <w:tabs>
          <w:tab w:val="left" w:pos="7380"/>
        </w:tabs>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保修费用由造成质量缺陷的责任方承担。</w:t>
      </w:r>
    </w:p>
    <w:p w14:paraId="2CC0DC25">
      <w:pPr>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六、双方约定的其他工程质量保修事项： </w:t>
      </w:r>
    </w:p>
    <w:p w14:paraId="3CEBD0E5">
      <w:pPr>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w:t>
      </w:r>
    </w:p>
    <w:p w14:paraId="4FCB9234">
      <w:pPr>
        <w:spacing w:line="360" w:lineRule="auto"/>
        <w:ind w:firstLine="399" w:firstLineChars="19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工程质量保修书由发包人、承包人在工程竣工验收前共同签署，作为施工合同附件，其有效期限至保修期满。</w:t>
      </w:r>
    </w:p>
    <w:p w14:paraId="11793746">
      <w:pPr>
        <w:pageBreakBefore w:val="0"/>
        <w:widowControl w:val="0"/>
        <w:kinsoku/>
        <w:wordWrap/>
        <w:overflowPunct/>
        <w:topLinePunct w:val="0"/>
        <w:bidi w:val="0"/>
        <w:snapToGrid/>
        <w:spacing w:line="360" w:lineRule="exact"/>
        <w:ind w:left="0" w:leftChars="0" w:right="0" w:rightChars="0" w:firstLine="420"/>
        <w:rPr>
          <w:rFonts w:hint="eastAsia" w:ascii="Times New Roman" w:hAnsi="Times New Roman" w:eastAsia="宋体" w:cs="宋体"/>
          <w:color w:val="auto"/>
          <w:sz w:val="21"/>
          <w:szCs w:val="21"/>
          <w:highlight w:val="none"/>
        </w:rPr>
      </w:pPr>
    </w:p>
    <w:p w14:paraId="4530B8DC">
      <w:pPr>
        <w:pageBreakBefore w:val="0"/>
        <w:widowControl w:val="0"/>
        <w:kinsoku/>
        <w:wordWrap/>
        <w:overflowPunct/>
        <w:topLinePunct w:val="0"/>
        <w:bidi w:val="0"/>
        <w:snapToGrid/>
        <w:spacing w:line="360" w:lineRule="exact"/>
        <w:ind w:left="0" w:leftChars="0" w:right="0" w:rightChars="0" w:firstLine="420"/>
        <w:rPr>
          <w:rFonts w:hint="eastAsia" w:ascii="Times New Roman" w:hAnsi="Times New Roman" w:eastAsia="宋体" w:cs="宋体"/>
          <w:color w:val="auto"/>
          <w:sz w:val="21"/>
          <w:szCs w:val="21"/>
          <w:highlight w:val="none"/>
        </w:rPr>
      </w:pPr>
    </w:p>
    <w:p w14:paraId="47226E02">
      <w:pPr>
        <w:pStyle w:val="96"/>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发包人(公章)：</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rPr>
        <w:t xml:space="preserve"> 承包人(公章)：</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p>
    <w:p w14:paraId="628D00C3">
      <w:pPr>
        <w:pStyle w:val="96"/>
        <w:spacing w:line="360" w:lineRule="auto"/>
        <w:rPr>
          <w:rFonts w:hint="eastAsia" w:ascii="Times New Roman" w:hAnsi="Times New Roman" w:cs="宋体"/>
          <w:color w:val="auto"/>
          <w:highlight w:val="none"/>
        </w:rPr>
      </w:pPr>
    </w:p>
    <w:p w14:paraId="605B31C5">
      <w:pPr>
        <w:pStyle w:val="96"/>
        <w:spacing w:line="360" w:lineRule="auto"/>
        <w:rPr>
          <w:rFonts w:hint="eastAsia" w:ascii="Times New Roman" w:hAnsi="Times New Roman" w:cs="宋体"/>
          <w:color w:val="auto"/>
          <w:highlight w:val="none"/>
          <w:u w:val="single"/>
        </w:rPr>
      </w:pPr>
      <w:r>
        <w:rPr>
          <w:rFonts w:hint="eastAsia" w:ascii="Times New Roman" w:hAnsi="Times New Roman" w:cs="宋体"/>
          <w:color w:val="auto"/>
          <w:highlight w:val="none"/>
        </w:rPr>
        <w:t>法定代表人</w:t>
      </w:r>
      <w:r>
        <w:rPr>
          <w:rFonts w:hint="eastAsia" w:ascii="Times New Roman" w:hAnsi="Times New Roman" w:cs="宋体"/>
          <w:color w:val="auto"/>
          <w:highlight w:val="none"/>
          <w:lang w:val="en-US" w:eastAsia="zh-CN"/>
        </w:rPr>
        <w:t>或委托代理人</w:t>
      </w:r>
      <w:r>
        <w:rPr>
          <w:rFonts w:hint="eastAsia" w:ascii="Times New Roman" w:hAnsi="Times New Roman" w:cs="宋体"/>
          <w:color w:val="auto"/>
          <w:highlight w:val="none"/>
        </w:rPr>
        <w:t>(签字)：</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rPr>
        <w:t xml:space="preserve"> 法定代表人</w:t>
      </w:r>
      <w:r>
        <w:rPr>
          <w:rFonts w:hint="eastAsia" w:ascii="Times New Roman" w:hAnsi="Times New Roman" w:cs="宋体"/>
          <w:color w:val="auto"/>
          <w:highlight w:val="none"/>
          <w:lang w:val="en-US" w:eastAsia="zh-CN"/>
        </w:rPr>
        <w:t>或委托代理人</w:t>
      </w:r>
      <w:r>
        <w:rPr>
          <w:rFonts w:hint="eastAsia" w:ascii="Times New Roman" w:hAnsi="Times New Roman" w:cs="宋体"/>
          <w:color w:val="auto"/>
          <w:highlight w:val="none"/>
        </w:rPr>
        <w:t>(签字)：</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r>
        <w:rPr>
          <w:rFonts w:hint="eastAsia" w:ascii="Times New Roman" w:hAnsi="Times New Roman" w:cs="宋体"/>
          <w:color w:val="auto"/>
          <w:highlight w:val="none"/>
          <w:u w:val="single"/>
          <w:lang w:val="en-US" w:eastAsia="zh-CN"/>
        </w:rPr>
        <w:t xml:space="preserve"> </w:t>
      </w:r>
      <w:r>
        <w:rPr>
          <w:rFonts w:hint="eastAsia" w:ascii="Times New Roman" w:hAnsi="Times New Roman" w:cs="宋体"/>
          <w:color w:val="auto"/>
          <w:highlight w:val="none"/>
          <w:u w:val="single"/>
        </w:rPr>
        <w:t xml:space="preserve">   </w:t>
      </w:r>
    </w:p>
    <w:p w14:paraId="1DB57D6C">
      <w:pPr>
        <w:pStyle w:val="96"/>
        <w:spacing w:line="360" w:lineRule="auto"/>
        <w:ind w:firstLine="0" w:firstLineChars="0"/>
        <w:rPr>
          <w:rFonts w:hint="eastAsia" w:ascii="Times New Roman" w:hAnsi="Times New Roman" w:cs="宋体"/>
          <w:color w:val="auto"/>
          <w:highlight w:val="none"/>
          <w:u w:val="single"/>
        </w:rPr>
      </w:pPr>
    </w:p>
    <w:p w14:paraId="5184629F">
      <w:pPr>
        <w:pageBreakBefore w:val="0"/>
        <w:widowControl w:val="0"/>
        <w:kinsoku/>
        <w:wordWrap/>
        <w:overflowPunct/>
        <w:topLinePunct w:val="0"/>
        <w:bidi w:val="0"/>
        <w:snapToGrid/>
        <w:spacing w:line="360" w:lineRule="exact"/>
        <w:ind w:left="0" w:leftChars="0" w:right="0" w:rightChars="0"/>
        <w:jc w:val="right"/>
        <w:rPr>
          <w:rFonts w:hint="eastAsia" w:ascii="Times New Roman" w:hAnsi="Times New Roman" w:eastAsia="宋体" w:cs="宋体"/>
          <w:color w:val="auto"/>
          <w:sz w:val="21"/>
          <w:szCs w:val="21"/>
          <w:highlight w:val="none"/>
          <w:u w:val="single"/>
        </w:rPr>
      </w:pPr>
      <w:r>
        <w:rPr>
          <w:rFonts w:hint="eastAsia" w:ascii="Times New Roman" w:hAnsi="Times New Roman" w:cs="宋体"/>
          <w:color w:val="auto"/>
          <w:highlight w:val="none"/>
          <w:lang w:val="en-US" w:eastAsia="zh-CN"/>
        </w:rPr>
        <w:t>日期：     年    月    日</w:t>
      </w:r>
      <w:r>
        <w:rPr>
          <w:rFonts w:hint="eastAsia" w:ascii="Times New Roman" w:hAnsi="Times New Roman" w:eastAsia="宋体" w:cs="宋体"/>
          <w:color w:val="auto"/>
          <w:sz w:val="21"/>
          <w:szCs w:val="21"/>
          <w:highlight w:val="none"/>
          <w:u w:val="single"/>
        </w:rPr>
        <w:t xml:space="preserve"> </w:t>
      </w:r>
    </w:p>
    <w:p w14:paraId="60232BF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442A516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sz w:val="21"/>
          <w:szCs w:val="21"/>
          <w:highlight w:val="none"/>
        </w:rPr>
        <w:br w:type="page"/>
      </w:r>
      <w:r>
        <w:rPr>
          <w:rFonts w:hint="eastAsia" w:ascii="Times New Roman" w:hAnsi="Times New Roman" w:eastAsia="宋体" w:cs="宋体"/>
          <w:color w:val="auto"/>
          <w:sz w:val="21"/>
          <w:szCs w:val="21"/>
          <w:highlight w:val="none"/>
        </w:rPr>
        <w:t>附件4：</w:t>
      </w:r>
    </w:p>
    <w:p w14:paraId="285B6CBA">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主要建设工程文件目录</w:t>
      </w:r>
    </w:p>
    <w:tbl>
      <w:tblPr>
        <w:tblStyle w:val="28"/>
        <w:tblW w:w="87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47E14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816AA3E">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文件名称</w:t>
            </w:r>
          </w:p>
        </w:tc>
        <w:tc>
          <w:tcPr>
            <w:tcW w:w="1067" w:type="dxa"/>
            <w:tcBorders>
              <w:top w:val="single" w:color="auto" w:sz="12" w:space="0"/>
              <w:bottom w:val="double" w:color="auto" w:sz="6" w:space="0"/>
            </w:tcBorders>
            <w:vAlign w:val="center"/>
          </w:tcPr>
          <w:p w14:paraId="7C05DE40">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vAlign w:val="center"/>
          </w:tcPr>
          <w:p w14:paraId="3836A11B">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vAlign w:val="center"/>
          </w:tcPr>
          <w:p w14:paraId="20142306">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vAlign w:val="top"/>
          </w:tcPr>
          <w:p w14:paraId="064E5C92">
            <w:pPr>
              <w:pageBreakBefore w:val="0"/>
              <w:widowControl w:val="0"/>
              <w:kinsoku/>
              <w:wordWrap/>
              <w:overflowPunct/>
              <w:topLinePunct w:val="0"/>
              <w:bidi w:val="0"/>
              <w:snapToGrid/>
              <w:spacing w:line="360" w:lineRule="exact"/>
              <w:ind w:left="0" w:leftChars="0" w:right="0" w:rightChars="0" w:firstLine="0" w:firstLine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移交时间</w:t>
            </w:r>
          </w:p>
        </w:tc>
        <w:tc>
          <w:tcPr>
            <w:tcW w:w="1564" w:type="dxa"/>
            <w:tcBorders>
              <w:top w:val="single" w:color="auto" w:sz="12" w:space="0"/>
              <w:bottom w:val="double" w:color="auto" w:sz="6" w:space="0"/>
            </w:tcBorders>
            <w:vAlign w:val="top"/>
          </w:tcPr>
          <w:p w14:paraId="35E93329">
            <w:pPr>
              <w:pageBreakBefore w:val="0"/>
              <w:widowControl w:val="0"/>
              <w:kinsoku/>
              <w:wordWrap/>
              <w:overflowPunct/>
              <w:topLinePunct w:val="0"/>
              <w:bidi w:val="0"/>
              <w:snapToGrid/>
              <w:spacing w:line="360" w:lineRule="exact"/>
              <w:ind w:left="0" w:leftChars="0" w:right="0" w:rightChars="0" w:firstLine="0" w:firstLine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责任人</w:t>
            </w:r>
          </w:p>
        </w:tc>
      </w:tr>
      <w:tr w14:paraId="52C81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2ACF78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tcBorders>
              <w:top w:val="double" w:color="auto" w:sz="6" w:space="0"/>
              <w:bottom w:val="single" w:color="auto" w:sz="6" w:space="0"/>
            </w:tcBorders>
            <w:vAlign w:val="center"/>
          </w:tcPr>
          <w:p w14:paraId="2F10A3B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vAlign w:val="center"/>
          </w:tcPr>
          <w:p w14:paraId="37646E3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vAlign w:val="center"/>
          </w:tcPr>
          <w:p w14:paraId="70BC716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vAlign w:val="center"/>
          </w:tcPr>
          <w:p w14:paraId="2D62674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tcBorders>
              <w:top w:val="double" w:color="auto" w:sz="6" w:space="0"/>
              <w:bottom w:val="single" w:color="auto" w:sz="6" w:space="0"/>
            </w:tcBorders>
            <w:vAlign w:val="center"/>
          </w:tcPr>
          <w:p w14:paraId="649EF82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69357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454BD1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tcBorders>
              <w:top w:val="nil"/>
            </w:tcBorders>
            <w:vAlign w:val="center"/>
          </w:tcPr>
          <w:p w14:paraId="6852200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tcBorders>
              <w:top w:val="nil"/>
            </w:tcBorders>
            <w:vAlign w:val="center"/>
          </w:tcPr>
          <w:p w14:paraId="345853D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tcBorders>
              <w:top w:val="nil"/>
            </w:tcBorders>
            <w:vAlign w:val="center"/>
          </w:tcPr>
          <w:p w14:paraId="191AA9E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tcBorders>
              <w:top w:val="nil"/>
            </w:tcBorders>
            <w:vAlign w:val="center"/>
          </w:tcPr>
          <w:p w14:paraId="1C23978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tcBorders>
              <w:top w:val="nil"/>
            </w:tcBorders>
            <w:vAlign w:val="center"/>
          </w:tcPr>
          <w:p w14:paraId="332A724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C028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5E124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1602AAC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3E859C7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6C6D1A7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507BFAE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6592CA8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85F9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F7015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10D4761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255DDE5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2B52ACB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2D6708B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437E2D8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26D1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84D79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031F74A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0FC997B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5F6D54F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09EC011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7CABE26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6D245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3F83E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3C07AD0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1D247F6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103E4C6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1D70DB3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404664B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90F8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87A58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362E28E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45A4778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2F9F5B7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35C7CBA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31C8BEA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F37A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B0B5C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29BEDA6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4770791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5C6BC83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271103B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57C16BB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6202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78BA39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68A591C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60212CB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1377B7B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46EF0DF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040C6A3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50BF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57024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67" w:type="dxa"/>
            <w:vAlign w:val="center"/>
          </w:tcPr>
          <w:p w14:paraId="3E018D6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53BA2AB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243" w:type="dxa"/>
            <w:vAlign w:val="center"/>
          </w:tcPr>
          <w:p w14:paraId="5D54CDB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50" w:type="dxa"/>
            <w:vAlign w:val="center"/>
          </w:tcPr>
          <w:p w14:paraId="6ECB03B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564" w:type="dxa"/>
            <w:vAlign w:val="center"/>
          </w:tcPr>
          <w:p w14:paraId="32C8FF3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C6FF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169701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01B9367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39FE9BF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4DBD2EB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5204EF4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584C490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21B17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1E86D8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4E68D1E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0426697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1270957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34A21E3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645403E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36BF6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5D05EB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4222E7B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0E389D5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2EC749B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34C41B2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7530A9B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25203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92BA25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498DA71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08BF1FF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3468C63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336F9EF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44DC52D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6780A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87BD1B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7D3B40F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0712A9E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5994400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61549FB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496C229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4022E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41B5B5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2456E72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439921E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683F558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168635F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3D467E3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135AB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409A87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3D2E67D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1C1B520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1E48FFF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422A27E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04C4A94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35153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79C533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2A3ACCE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2E9757C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1AC1D06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490DDC6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07D0B2F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18204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4779CA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67" w:type="dxa"/>
            <w:vAlign w:val="top"/>
          </w:tcPr>
          <w:p w14:paraId="7D9EDD1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365B5925">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243" w:type="dxa"/>
            <w:vAlign w:val="top"/>
          </w:tcPr>
          <w:p w14:paraId="0FC31A8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50" w:type="dxa"/>
            <w:vAlign w:val="top"/>
          </w:tcPr>
          <w:p w14:paraId="1758524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564" w:type="dxa"/>
            <w:vAlign w:val="top"/>
          </w:tcPr>
          <w:p w14:paraId="0DDFE13A">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bl>
    <w:p w14:paraId="358C343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14A8330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br w:type="page"/>
      </w:r>
      <w:r>
        <w:rPr>
          <w:rFonts w:hint="eastAsia" w:ascii="Times New Roman" w:hAnsi="Times New Roman" w:eastAsia="宋体" w:cs="宋体"/>
          <w:color w:val="auto"/>
          <w:sz w:val="21"/>
          <w:szCs w:val="21"/>
          <w:highlight w:val="none"/>
        </w:rPr>
        <w:t>附</w:t>
      </w:r>
      <w:bookmarkStart w:id="247" w:name="_Toc267261698"/>
      <w:bookmarkStart w:id="248" w:name="_Toc296891267"/>
      <w:bookmarkStart w:id="249" w:name="_Toc296347226"/>
      <w:bookmarkStart w:id="250" w:name="_Toc296891055"/>
      <w:bookmarkStart w:id="251" w:name="_Toc296503227"/>
      <w:bookmarkStart w:id="252" w:name="_Toc296944566"/>
      <w:bookmarkStart w:id="253" w:name="_Toc296346728"/>
      <w:r>
        <w:rPr>
          <w:rFonts w:hint="eastAsia" w:ascii="Times New Roman" w:hAnsi="Times New Roman" w:eastAsia="宋体" w:cs="宋体"/>
          <w:color w:val="auto"/>
          <w:sz w:val="21"/>
          <w:szCs w:val="21"/>
          <w:highlight w:val="none"/>
        </w:rPr>
        <w:t>件5：</w:t>
      </w:r>
    </w:p>
    <w:bookmarkEnd w:id="247"/>
    <w:bookmarkEnd w:id="248"/>
    <w:bookmarkEnd w:id="249"/>
    <w:bookmarkEnd w:id="250"/>
    <w:bookmarkEnd w:id="251"/>
    <w:bookmarkEnd w:id="252"/>
    <w:bookmarkEnd w:id="253"/>
    <w:p w14:paraId="19E7CE3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承包人用于本工程施工的机械设备表</w:t>
      </w:r>
    </w:p>
    <w:tbl>
      <w:tblPr>
        <w:tblStyle w:val="28"/>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4B4E7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14:paraId="3D022BAD">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vAlign w:val="center"/>
          </w:tcPr>
          <w:p w14:paraId="1F7429CB">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vAlign w:val="center"/>
          </w:tcPr>
          <w:p w14:paraId="05A82B7D">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vAlign w:val="center"/>
          </w:tcPr>
          <w:p w14:paraId="3CD6D364">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vAlign w:val="center"/>
          </w:tcPr>
          <w:p w14:paraId="0DF6EFCA">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产地</w:t>
            </w:r>
          </w:p>
        </w:tc>
        <w:tc>
          <w:tcPr>
            <w:tcW w:w="806" w:type="dxa"/>
            <w:tcBorders>
              <w:top w:val="single" w:color="auto" w:sz="12" w:space="0"/>
              <w:bottom w:val="double" w:color="auto" w:sz="6" w:space="0"/>
            </w:tcBorders>
            <w:vAlign w:val="center"/>
          </w:tcPr>
          <w:p w14:paraId="13CB225D">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制造年份</w:t>
            </w:r>
          </w:p>
        </w:tc>
        <w:tc>
          <w:tcPr>
            <w:tcW w:w="1310" w:type="dxa"/>
            <w:tcBorders>
              <w:top w:val="single" w:color="auto" w:sz="12" w:space="0"/>
              <w:bottom w:val="double" w:color="auto" w:sz="6" w:space="0"/>
            </w:tcBorders>
            <w:vAlign w:val="center"/>
          </w:tcPr>
          <w:p w14:paraId="5D39FEB3">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额定功率(kW)</w:t>
            </w:r>
          </w:p>
        </w:tc>
        <w:tc>
          <w:tcPr>
            <w:tcW w:w="906" w:type="dxa"/>
            <w:tcBorders>
              <w:top w:val="single" w:color="auto" w:sz="12" w:space="0"/>
              <w:bottom w:val="double" w:color="auto" w:sz="6" w:space="0"/>
            </w:tcBorders>
            <w:vAlign w:val="center"/>
          </w:tcPr>
          <w:p w14:paraId="54C04A5F">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生产能力</w:t>
            </w:r>
          </w:p>
        </w:tc>
        <w:tc>
          <w:tcPr>
            <w:tcW w:w="652" w:type="dxa"/>
            <w:tcBorders>
              <w:top w:val="single" w:color="auto" w:sz="12" w:space="0"/>
              <w:bottom w:val="double" w:color="auto" w:sz="6" w:space="0"/>
            </w:tcBorders>
            <w:vAlign w:val="center"/>
          </w:tcPr>
          <w:p w14:paraId="51231B48">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备注</w:t>
            </w:r>
          </w:p>
        </w:tc>
      </w:tr>
      <w:tr w14:paraId="7B366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14:paraId="42BF0E4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center"/>
          </w:tcPr>
          <w:p w14:paraId="31B965D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14:paraId="273A73D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vAlign w:val="center"/>
          </w:tcPr>
          <w:p w14:paraId="24A502A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vAlign w:val="center"/>
          </w:tcPr>
          <w:p w14:paraId="2612C36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tcBorders>
              <w:top w:val="double" w:color="auto" w:sz="6" w:space="0"/>
              <w:bottom w:val="single" w:color="auto" w:sz="6" w:space="0"/>
            </w:tcBorders>
            <w:vAlign w:val="center"/>
          </w:tcPr>
          <w:p w14:paraId="487F772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tcBorders>
              <w:top w:val="double" w:color="auto" w:sz="6" w:space="0"/>
              <w:bottom w:val="single" w:color="auto" w:sz="6" w:space="0"/>
            </w:tcBorders>
            <w:vAlign w:val="center"/>
          </w:tcPr>
          <w:p w14:paraId="6D6DB72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tcBorders>
              <w:top w:val="double" w:color="auto" w:sz="6" w:space="0"/>
              <w:bottom w:val="single" w:color="auto" w:sz="6" w:space="0"/>
            </w:tcBorders>
            <w:vAlign w:val="center"/>
          </w:tcPr>
          <w:p w14:paraId="4FB305A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tcBorders>
              <w:top w:val="double" w:color="auto" w:sz="6" w:space="0"/>
              <w:bottom w:val="single" w:color="auto" w:sz="6" w:space="0"/>
            </w:tcBorders>
            <w:vAlign w:val="center"/>
          </w:tcPr>
          <w:p w14:paraId="0F547FB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64014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14:paraId="7FB0EF2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tcBorders>
              <w:top w:val="nil"/>
            </w:tcBorders>
            <w:vAlign w:val="center"/>
          </w:tcPr>
          <w:p w14:paraId="7DA0B91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tcBorders>
              <w:top w:val="nil"/>
            </w:tcBorders>
            <w:vAlign w:val="center"/>
          </w:tcPr>
          <w:p w14:paraId="4FE6CD2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tcBorders>
              <w:top w:val="nil"/>
            </w:tcBorders>
            <w:vAlign w:val="center"/>
          </w:tcPr>
          <w:p w14:paraId="7E26941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tcBorders>
              <w:top w:val="nil"/>
            </w:tcBorders>
            <w:vAlign w:val="center"/>
          </w:tcPr>
          <w:p w14:paraId="02B3356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tcBorders>
              <w:top w:val="nil"/>
            </w:tcBorders>
            <w:vAlign w:val="center"/>
          </w:tcPr>
          <w:p w14:paraId="70ED2FA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tcBorders>
              <w:top w:val="nil"/>
            </w:tcBorders>
            <w:vAlign w:val="center"/>
          </w:tcPr>
          <w:p w14:paraId="71CECD8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tcBorders>
              <w:top w:val="nil"/>
            </w:tcBorders>
            <w:vAlign w:val="center"/>
          </w:tcPr>
          <w:p w14:paraId="1D6899F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tcBorders>
              <w:top w:val="nil"/>
            </w:tcBorders>
            <w:vAlign w:val="center"/>
          </w:tcPr>
          <w:p w14:paraId="403753F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467F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5A409F0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0E9118C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7131B5D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5E91AEE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31FBE9E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1EA2AFE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671F03B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03E5BEC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08FC2E5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FB90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4D02DE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528D704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09FB9DA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61E5D3B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5794822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38981C1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7348985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23D6234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2466F75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557BC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13AAAF5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35968D8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032C7A1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125BFDE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3439F55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6558DDA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6601114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7200158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6265895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B0C2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3701154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267935E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16D04A4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622B5D6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77B48D5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6887678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62B2948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15C1A90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2C90C89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CC25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1D77848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1148D31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61217E9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5E71D47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55852C3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23881EB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22C26AD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3508298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5249F5D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B65D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50E8072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6DB79CB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3C65B11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15E2DE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016A977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3BB1C9E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0218CA6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784D8D5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1A3FEDF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74DD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70402CE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7EB95AD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74D32E0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0DA6A3E5">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187E53C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06E0B2A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254F117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095C77A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7EA9178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336C6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1D90627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567ADD8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50" w:type="dxa"/>
            <w:vAlign w:val="center"/>
          </w:tcPr>
          <w:p w14:paraId="2D8C14B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058" w:type="dxa"/>
            <w:vAlign w:val="center"/>
          </w:tcPr>
          <w:p w14:paraId="7D6FFF5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80" w:type="dxa"/>
            <w:vAlign w:val="center"/>
          </w:tcPr>
          <w:p w14:paraId="3AC894F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806" w:type="dxa"/>
            <w:vAlign w:val="center"/>
          </w:tcPr>
          <w:p w14:paraId="2D1A638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310" w:type="dxa"/>
            <w:vAlign w:val="center"/>
          </w:tcPr>
          <w:p w14:paraId="2A141B8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6" w:type="dxa"/>
            <w:vAlign w:val="center"/>
          </w:tcPr>
          <w:p w14:paraId="7986664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652" w:type="dxa"/>
            <w:vAlign w:val="center"/>
          </w:tcPr>
          <w:p w14:paraId="26B3E72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504D7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35F5FD0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6E46605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6C47EA5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1DFE378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4CD94A25">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050638B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675F121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5A8DA69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5716F07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516EE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05F9ECA5">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7F31347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5D79AEC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4742F17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35F1487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792179A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2C95DB3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13CE3BE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33CB115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06E8B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1D77E80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6AFBD37A">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43F1E8D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66FD7E3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26BD332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3ADB491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5ED36AC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1049D12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1C29246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5536F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3F0C9A1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21D9D8B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70AD3BA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2064125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12C622B5">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56071F2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655C5C3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6ED4D45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0879889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51685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6C52620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2C8A690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259D407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647CDF9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252C6BA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434ADAA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758AC2B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79FD3BE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61401A7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6DCF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56B32D5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16028732">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45083CA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57D5416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22D996FB">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6B00D04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30A0C25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3155A54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67CD545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6AB31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70D645B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2DCA1D6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4CBBC3A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706C7C2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08CD3D81">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2327D2C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35F7FBC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6EAB124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4A0F431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279C2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687B950C">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354B250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2405FA1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0D9707D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1E6C6720">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63D9DB5E">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15B3149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0A4BA0C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598686A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r w14:paraId="38E5D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14:paraId="2A238E95">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418" w:type="dxa"/>
            <w:vAlign w:val="top"/>
          </w:tcPr>
          <w:p w14:paraId="04645C4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50" w:type="dxa"/>
            <w:vAlign w:val="top"/>
          </w:tcPr>
          <w:p w14:paraId="0CBD02AA">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058" w:type="dxa"/>
            <w:vAlign w:val="top"/>
          </w:tcPr>
          <w:p w14:paraId="79C5F8E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80" w:type="dxa"/>
            <w:vAlign w:val="top"/>
          </w:tcPr>
          <w:p w14:paraId="0C282A3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806" w:type="dxa"/>
            <w:vAlign w:val="top"/>
          </w:tcPr>
          <w:p w14:paraId="131E9E29">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1310" w:type="dxa"/>
            <w:vAlign w:val="top"/>
          </w:tcPr>
          <w:p w14:paraId="0E01B6C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906" w:type="dxa"/>
            <w:vAlign w:val="top"/>
          </w:tcPr>
          <w:p w14:paraId="0759B058">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c>
          <w:tcPr>
            <w:tcW w:w="652" w:type="dxa"/>
            <w:vAlign w:val="top"/>
          </w:tcPr>
          <w:p w14:paraId="6653CBC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tc>
      </w:tr>
    </w:tbl>
    <w:p w14:paraId="1EE0B14D">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4899BAFF">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012D6176">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p>
    <w:p w14:paraId="0DC18567">
      <w:pPr>
        <w:pStyle w:val="13"/>
        <w:rPr>
          <w:rFonts w:hint="eastAsia" w:ascii="Times New Roman" w:hAnsi="Times New Roman" w:eastAsia="宋体" w:cs="宋体"/>
          <w:color w:val="auto"/>
          <w:sz w:val="21"/>
          <w:szCs w:val="21"/>
          <w:highlight w:val="none"/>
        </w:rPr>
      </w:pPr>
    </w:p>
    <w:p w14:paraId="050EE114">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附件6：</w:t>
      </w:r>
    </w:p>
    <w:p w14:paraId="4A8748AE">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承包人主要施工管理人员表</w:t>
      </w:r>
    </w:p>
    <w:tbl>
      <w:tblPr>
        <w:tblStyle w:val="28"/>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1E1AC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D30B037">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名    称</w:t>
            </w:r>
          </w:p>
        </w:tc>
        <w:tc>
          <w:tcPr>
            <w:tcW w:w="1148" w:type="dxa"/>
            <w:tcBorders>
              <w:top w:val="single" w:color="auto" w:sz="12" w:space="0"/>
              <w:bottom w:val="double" w:color="auto" w:sz="6" w:space="0"/>
            </w:tcBorders>
            <w:vAlign w:val="center"/>
          </w:tcPr>
          <w:p w14:paraId="5C80A119">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姓名</w:t>
            </w:r>
          </w:p>
        </w:tc>
        <w:tc>
          <w:tcPr>
            <w:tcW w:w="941" w:type="dxa"/>
            <w:tcBorders>
              <w:top w:val="single" w:color="auto" w:sz="12" w:space="0"/>
              <w:bottom w:val="double" w:color="auto" w:sz="6" w:space="0"/>
            </w:tcBorders>
            <w:vAlign w:val="center"/>
          </w:tcPr>
          <w:p w14:paraId="68FE568B">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vAlign w:val="center"/>
          </w:tcPr>
          <w:p w14:paraId="6A6C01D2">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职称</w:t>
            </w:r>
          </w:p>
        </w:tc>
        <w:tc>
          <w:tcPr>
            <w:tcW w:w="3660" w:type="dxa"/>
            <w:tcBorders>
              <w:top w:val="single" w:color="auto" w:sz="12" w:space="0"/>
              <w:bottom w:val="double" w:color="auto" w:sz="6" w:space="0"/>
            </w:tcBorders>
            <w:vAlign w:val="center"/>
          </w:tcPr>
          <w:p w14:paraId="59E3F163">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主要资历、经验及承担过的项目</w:t>
            </w:r>
          </w:p>
        </w:tc>
      </w:tr>
      <w:tr w14:paraId="32AC3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14:paraId="4F8A7F6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一、总部人员</w:t>
            </w:r>
          </w:p>
        </w:tc>
      </w:tr>
      <w:tr w14:paraId="63251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F34990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项目主管</w:t>
            </w:r>
          </w:p>
        </w:tc>
        <w:tc>
          <w:tcPr>
            <w:tcW w:w="1148" w:type="dxa"/>
            <w:tcBorders>
              <w:top w:val="nil"/>
            </w:tcBorders>
            <w:vAlign w:val="center"/>
          </w:tcPr>
          <w:p w14:paraId="7B31062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tcBorders>
              <w:top w:val="nil"/>
            </w:tcBorders>
            <w:vAlign w:val="center"/>
          </w:tcPr>
          <w:p w14:paraId="65F2204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tcBorders>
              <w:top w:val="nil"/>
            </w:tcBorders>
            <w:vAlign w:val="center"/>
          </w:tcPr>
          <w:p w14:paraId="4EBE1B2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tcBorders>
              <w:top w:val="nil"/>
            </w:tcBorders>
            <w:vAlign w:val="center"/>
          </w:tcPr>
          <w:p w14:paraId="28838E5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5E42E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B99CA2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vAlign w:val="center"/>
          </w:tcPr>
          <w:p w14:paraId="69E5A46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6081494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555E519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456D9B0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51D2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4D2CA7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其他人员</w:t>
            </w:r>
          </w:p>
        </w:tc>
        <w:tc>
          <w:tcPr>
            <w:tcW w:w="1148" w:type="dxa"/>
            <w:vAlign w:val="center"/>
          </w:tcPr>
          <w:p w14:paraId="7748CA1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2E1CE1D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703D235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3834F10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A6A3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F0F920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vAlign w:val="center"/>
          </w:tcPr>
          <w:p w14:paraId="7320430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081A5F8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0126B2F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72FFD43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DE3F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14:paraId="1FCE4FD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二、现场人员</w:t>
            </w:r>
          </w:p>
        </w:tc>
      </w:tr>
      <w:tr w14:paraId="75B61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5023E6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项目经理</w:t>
            </w:r>
          </w:p>
        </w:tc>
        <w:tc>
          <w:tcPr>
            <w:tcW w:w="1148" w:type="dxa"/>
            <w:vAlign w:val="center"/>
          </w:tcPr>
          <w:p w14:paraId="68220E9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69EEE37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50F0947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7B0E47B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45B93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4CFDEE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项目副经理</w:t>
            </w:r>
          </w:p>
        </w:tc>
        <w:tc>
          <w:tcPr>
            <w:tcW w:w="1148" w:type="dxa"/>
            <w:vAlign w:val="center"/>
          </w:tcPr>
          <w:p w14:paraId="311B227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34EA073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683A7B5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72E6B4B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63B8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C8C113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技术负责人</w:t>
            </w:r>
          </w:p>
        </w:tc>
        <w:tc>
          <w:tcPr>
            <w:tcW w:w="1148" w:type="dxa"/>
            <w:vAlign w:val="center"/>
          </w:tcPr>
          <w:p w14:paraId="62F5259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67CDF6A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7383936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542BAC7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6B8A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CCF67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造价管理</w:t>
            </w:r>
          </w:p>
        </w:tc>
        <w:tc>
          <w:tcPr>
            <w:tcW w:w="1148" w:type="dxa"/>
            <w:vAlign w:val="center"/>
          </w:tcPr>
          <w:p w14:paraId="6B8F827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1EE5AE3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4D2339F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5D7F8DF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39479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3D2E03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质量管理</w:t>
            </w:r>
          </w:p>
        </w:tc>
        <w:tc>
          <w:tcPr>
            <w:tcW w:w="1148" w:type="dxa"/>
            <w:vAlign w:val="center"/>
          </w:tcPr>
          <w:p w14:paraId="2841EF7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591AB85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7EE46A6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5D1661B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18E0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DE82B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材料管理</w:t>
            </w:r>
          </w:p>
        </w:tc>
        <w:tc>
          <w:tcPr>
            <w:tcW w:w="1148" w:type="dxa"/>
            <w:vAlign w:val="center"/>
          </w:tcPr>
          <w:p w14:paraId="32E2AD9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4BB70CB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546DDB0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45A33E5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AEAA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3DDB6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计划管理</w:t>
            </w:r>
          </w:p>
        </w:tc>
        <w:tc>
          <w:tcPr>
            <w:tcW w:w="1148" w:type="dxa"/>
            <w:vAlign w:val="center"/>
          </w:tcPr>
          <w:p w14:paraId="0B25283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026F01D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2094DB2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41ABBE8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4667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DE0F31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安全管理</w:t>
            </w:r>
          </w:p>
        </w:tc>
        <w:tc>
          <w:tcPr>
            <w:tcW w:w="1148" w:type="dxa"/>
            <w:vAlign w:val="center"/>
          </w:tcPr>
          <w:p w14:paraId="7C49EC2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2D379D7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19D01E9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08CF819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5A43F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181E6C7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其他人员</w:t>
            </w:r>
          </w:p>
        </w:tc>
        <w:tc>
          <w:tcPr>
            <w:tcW w:w="1148" w:type="dxa"/>
            <w:vAlign w:val="center"/>
          </w:tcPr>
          <w:p w14:paraId="606F175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08EB6A7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21E7602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58E521B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C0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DBD935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tcBorders>
              <w:bottom w:val="nil"/>
            </w:tcBorders>
            <w:vAlign w:val="center"/>
          </w:tcPr>
          <w:p w14:paraId="4E68094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tcBorders>
              <w:bottom w:val="nil"/>
            </w:tcBorders>
            <w:vAlign w:val="center"/>
          </w:tcPr>
          <w:p w14:paraId="65726E0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tcBorders>
              <w:bottom w:val="nil"/>
            </w:tcBorders>
            <w:vAlign w:val="center"/>
          </w:tcPr>
          <w:p w14:paraId="67458C6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tcBorders>
              <w:bottom w:val="nil"/>
            </w:tcBorders>
            <w:vAlign w:val="center"/>
          </w:tcPr>
          <w:p w14:paraId="76372AA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4DBC0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27DA7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vAlign w:val="center"/>
          </w:tcPr>
          <w:p w14:paraId="3ED98CA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5A8EFC1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2B6F9BE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79427AD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FCB1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73213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vAlign w:val="center"/>
          </w:tcPr>
          <w:p w14:paraId="1A4CD1B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13476F2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2E7E0EA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55E1E9C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4E0B0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E07AF1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vAlign w:val="center"/>
          </w:tcPr>
          <w:p w14:paraId="179D768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vAlign w:val="center"/>
          </w:tcPr>
          <w:p w14:paraId="66C5069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vAlign w:val="center"/>
          </w:tcPr>
          <w:p w14:paraId="298909F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vAlign w:val="center"/>
          </w:tcPr>
          <w:p w14:paraId="2198D3D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E0ED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96DF28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48" w:type="dxa"/>
            <w:tcBorders>
              <w:bottom w:val="single" w:color="auto" w:sz="12" w:space="0"/>
            </w:tcBorders>
            <w:vAlign w:val="center"/>
          </w:tcPr>
          <w:p w14:paraId="7DD4392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41" w:type="dxa"/>
            <w:tcBorders>
              <w:bottom w:val="single" w:color="auto" w:sz="12" w:space="0"/>
            </w:tcBorders>
            <w:vAlign w:val="center"/>
          </w:tcPr>
          <w:p w14:paraId="37CE67A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134" w:type="dxa"/>
            <w:tcBorders>
              <w:bottom w:val="single" w:color="auto" w:sz="12" w:space="0"/>
            </w:tcBorders>
            <w:vAlign w:val="center"/>
          </w:tcPr>
          <w:p w14:paraId="58D0769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660" w:type="dxa"/>
            <w:tcBorders>
              <w:bottom w:val="single" w:color="auto" w:sz="12" w:space="0"/>
            </w:tcBorders>
            <w:vAlign w:val="center"/>
          </w:tcPr>
          <w:p w14:paraId="0CCF862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bl>
    <w:p w14:paraId="586A87B7">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br w:type="page"/>
      </w:r>
      <w:r>
        <w:rPr>
          <w:rFonts w:hint="eastAsia" w:ascii="Times New Roman" w:hAnsi="Times New Roman" w:eastAsia="宋体" w:cs="宋体"/>
          <w:color w:val="auto"/>
          <w:sz w:val="21"/>
          <w:szCs w:val="21"/>
          <w:highlight w:val="none"/>
        </w:rPr>
        <w:t>附件7：</w:t>
      </w:r>
    </w:p>
    <w:p w14:paraId="7128C61D">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分包人主要施工管理人员表</w:t>
      </w:r>
    </w:p>
    <w:tbl>
      <w:tblPr>
        <w:tblStyle w:val="28"/>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3381D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14:paraId="1482CF86">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vAlign w:val="center"/>
          </w:tcPr>
          <w:p w14:paraId="56926904">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姓名</w:t>
            </w:r>
          </w:p>
        </w:tc>
        <w:tc>
          <w:tcPr>
            <w:tcW w:w="928" w:type="dxa"/>
            <w:tcBorders>
              <w:top w:val="single" w:color="auto" w:sz="12" w:space="0"/>
              <w:bottom w:val="double" w:color="auto" w:sz="6" w:space="0"/>
            </w:tcBorders>
            <w:vAlign w:val="center"/>
          </w:tcPr>
          <w:p w14:paraId="51E7E01C">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职务</w:t>
            </w:r>
          </w:p>
        </w:tc>
        <w:tc>
          <w:tcPr>
            <w:tcW w:w="902" w:type="dxa"/>
            <w:tcBorders>
              <w:top w:val="single" w:color="auto" w:sz="12" w:space="0"/>
              <w:bottom w:val="double" w:color="auto" w:sz="6" w:space="0"/>
            </w:tcBorders>
            <w:vAlign w:val="center"/>
          </w:tcPr>
          <w:p w14:paraId="17EF4D9E">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职称</w:t>
            </w:r>
          </w:p>
        </w:tc>
        <w:tc>
          <w:tcPr>
            <w:tcW w:w="3814" w:type="dxa"/>
            <w:tcBorders>
              <w:top w:val="single" w:color="auto" w:sz="12" w:space="0"/>
              <w:bottom w:val="double" w:color="auto" w:sz="6" w:space="0"/>
            </w:tcBorders>
            <w:vAlign w:val="center"/>
          </w:tcPr>
          <w:p w14:paraId="0A980403">
            <w:pPr>
              <w:pStyle w:val="13"/>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主要资历、经验及承担过的项目</w:t>
            </w:r>
          </w:p>
        </w:tc>
      </w:tr>
      <w:tr w14:paraId="1082A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14:paraId="5F10854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一、总部人员</w:t>
            </w:r>
          </w:p>
        </w:tc>
      </w:tr>
      <w:tr w14:paraId="62BE7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68480A0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项目主管</w:t>
            </w:r>
          </w:p>
        </w:tc>
        <w:tc>
          <w:tcPr>
            <w:tcW w:w="1418" w:type="dxa"/>
            <w:tcBorders>
              <w:top w:val="nil"/>
            </w:tcBorders>
            <w:vAlign w:val="center"/>
          </w:tcPr>
          <w:p w14:paraId="30B5FB7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tcBorders>
              <w:top w:val="nil"/>
            </w:tcBorders>
            <w:vAlign w:val="center"/>
          </w:tcPr>
          <w:p w14:paraId="72D0924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tcBorders>
              <w:top w:val="nil"/>
            </w:tcBorders>
            <w:vAlign w:val="center"/>
          </w:tcPr>
          <w:p w14:paraId="204358A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tcBorders>
              <w:top w:val="nil"/>
            </w:tcBorders>
            <w:vAlign w:val="center"/>
          </w:tcPr>
          <w:p w14:paraId="67694E1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BECB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14:paraId="3E3926D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0F1EA27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72FBA34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451129D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160A60A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89AF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36C3108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其他人员</w:t>
            </w:r>
          </w:p>
        </w:tc>
        <w:tc>
          <w:tcPr>
            <w:tcW w:w="1418" w:type="dxa"/>
            <w:vAlign w:val="center"/>
          </w:tcPr>
          <w:p w14:paraId="43C1864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59C7534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29E9F90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451CEAF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B857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10F3417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3964495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1CE5935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712665B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7E8D809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0F6A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14:paraId="4620CA4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二、现场人员</w:t>
            </w:r>
          </w:p>
        </w:tc>
      </w:tr>
      <w:tr w14:paraId="6BE5C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5FFC656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项目经理</w:t>
            </w:r>
          </w:p>
        </w:tc>
        <w:tc>
          <w:tcPr>
            <w:tcW w:w="1418" w:type="dxa"/>
            <w:vAlign w:val="center"/>
          </w:tcPr>
          <w:p w14:paraId="1521354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097EB01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6CE2616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5C7643D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BC82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162D049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项目副经理</w:t>
            </w:r>
          </w:p>
        </w:tc>
        <w:tc>
          <w:tcPr>
            <w:tcW w:w="1418" w:type="dxa"/>
            <w:vAlign w:val="center"/>
          </w:tcPr>
          <w:p w14:paraId="484581B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0CBD62E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57C22E4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0570749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69CC9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53388AE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技术负责人</w:t>
            </w:r>
          </w:p>
        </w:tc>
        <w:tc>
          <w:tcPr>
            <w:tcW w:w="1418" w:type="dxa"/>
            <w:vAlign w:val="center"/>
          </w:tcPr>
          <w:p w14:paraId="166C3F2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17126C3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37420D8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2AB8C9B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42009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2237748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造价管理</w:t>
            </w:r>
          </w:p>
        </w:tc>
        <w:tc>
          <w:tcPr>
            <w:tcW w:w="1418" w:type="dxa"/>
            <w:vAlign w:val="center"/>
          </w:tcPr>
          <w:p w14:paraId="54AED68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4E0F59C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399A57B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272BA2B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71F7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77169B6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质量管理</w:t>
            </w:r>
          </w:p>
        </w:tc>
        <w:tc>
          <w:tcPr>
            <w:tcW w:w="1418" w:type="dxa"/>
            <w:vAlign w:val="center"/>
          </w:tcPr>
          <w:p w14:paraId="6EB4829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67C9890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5D0AA69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24432A4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1A3F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0B714C8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材料管理</w:t>
            </w:r>
          </w:p>
        </w:tc>
        <w:tc>
          <w:tcPr>
            <w:tcW w:w="1418" w:type="dxa"/>
            <w:vAlign w:val="center"/>
          </w:tcPr>
          <w:p w14:paraId="373AC0D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680E892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257652C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4D991DD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6B43B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5102DF0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计划管理</w:t>
            </w:r>
          </w:p>
        </w:tc>
        <w:tc>
          <w:tcPr>
            <w:tcW w:w="1418" w:type="dxa"/>
            <w:vAlign w:val="center"/>
          </w:tcPr>
          <w:p w14:paraId="2DC0C92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66710E3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116B2E4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757E789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033A5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10F0098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安全管理</w:t>
            </w:r>
          </w:p>
        </w:tc>
        <w:tc>
          <w:tcPr>
            <w:tcW w:w="1418" w:type="dxa"/>
            <w:vAlign w:val="center"/>
          </w:tcPr>
          <w:p w14:paraId="46F92FC6">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43AD4138">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0B8ECD0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08B16DB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573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14:paraId="1A14F1C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其他人员</w:t>
            </w:r>
          </w:p>
        </w:tc>
        <w:tc>
          <w:tcPr>
            <w:tcW w:w="1418" w:type="dxa"/>
            <w:vAlign w:val="center"/>
          </w:tcPr>
          <w:p w14:paraId="5D48AB7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5A39C39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267CDE11">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1C812A4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C790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3A619CF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tcBorders>
              <w:bottom w:val="nil"/>
            </w:tcBorders>
            <w:vAlign w:val="center"/>
          </w:tcPr>
          <w:p w14:paraId="379A35E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tcBorders>
              <w:bottom w:val="nil"/>
            </w:tcBorders>
            <w:vAlign w:val="center"/>
          </w:tcPr>
          <w:p w14:paraId="0B69453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tcBorders>
              <w:bottom w:val="nil"/>
            </w:tcBorders>
            <w:vAlign w:val="center"/>
          </w:tcPr>
          <w:p w14:paraId="1059D61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tcBorders>
              <w:bottom w:val="nil"/>
            </w:tcBorders>
            <w:vAlign w:val="center"/>
          </w:tcPr>
          <w:p w14:paraId="12361CC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E4B2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2148F7F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12AB86D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5EC965C7">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0B14DE99">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3DED26D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24298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05BF19E5">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4AFC272B">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403C30A2">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0974879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6D6EDC3F">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11C23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53629F44">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vAlign w:val="center"/>
          </w:tcPr>
          <w:p w14:paraId="11FEBC4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vAlign w:val="center"/>
          </w:tcPr>
          <w:p w14:paraId="08DD449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vAlign w:val="center"/>
          </w:tcPr>
          <w:p w14:paraId="415915C0">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vAlign w:val="center"/>
          </w:tcPr>
          <w:p w14:paraId="5F74BBC3">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r w14:paraId="7198F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14:paraId="2891A0AE">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1418" w:type="dxa"/>
            <w:tcBorders>
              <w:bottom w:val="single" w:color="auto" w:sz="12" w:space="0"/>
            </w:tcBorders>
            <w:vAlign w:val="center"/>
          </w:tcPr>
          <w:p w14:paraId="4A09869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28" w:type="dxa"/>
            <w:tcBorders>
              <w:bottom w:val="single" w:color="auto" w:sz="12" w:space="0"/>
            </w:tcBorders>
            <w:vAlign w:val="center"/>
          </w:tcPr>
          <w:p w14:paraId="0786EC8D">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902" w:type="dxa"/>
            <w:tcBorders>
              <w:bottom w:val="single" w:color="auto" w:sz="12" w:space="0"/>
            </w:tcBorders>
            <w:vAlign w:val="center"/>
          </w:tcPr>
          <w:p w14:paraId="6E296D1A">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c>
          <w:tcPr>
            <w:tcW w:w="3814" w:type="dxa"/>
            <w:tcBorders>
              <w:bottom w:val="single" w:color="auto" w:sz="12" w:space="0"/>
            </w:tcBorders>
            <w:vAlign w:val="center"/>
          </w:tcPr>
          <w:p w14:paraId="06280C9C">
            <w:pPr>
              <w:pStyle w:val="13"/>
              <w:keepNext/>
              <w:pageBreakBefore w:val="0"/>
              <w:widowControl w:val="0"/>
              <w:kinsoku/>
              <w:wordWrap/>
              <w:overflowPunct/>
              <w:topLinePunct w:val="0"/>
              <w:bidi w:val="0"/>
              <w:snapToGrid/>
              <w:spacing w:after="0" w:line="360" w:lineRule="exact"/>
              <w:ind w:left="0" w:leftChars="0" w:right="0" w:rightChars="0"/>
              <w:rPr>
                <w:rFonts w:hint="eastAsia" w:ascii="Times New Roman" w:hAnsi="Times New Roman" w:eastAsia="宋体" w:cs="宋体"/>
                <w:color w:val="auto"/>
                <w:kern w:val="2"/>
                <w:sz w:val="21"/>
                <w:szCs w:val="21"/>
                <w:highlight w:val="none"/>
                <w:lang w:val="en-US" w:eastAsia="zh-CN"/>
              </w:rPr>
            </w:pPr>
          </w:p>
        </w:tc>
      </w:tr>
    </w:tbl>
    <w:p w14:paraId="1F6BFFA3">
      <w:pPr>
        <w:pageBreakBefore w:val="0"/>
        <w:widowControl w:val="0"/>
        <w:kinsoku/>
        <w:wordWrap/>
        <w:overflowPunct/>
        <w:topLinePunct w:val="0"/>
        <w:bidi w:val="0"/>
        <w:snapToGrid/>
        <w:spacing w:line="360" w:lineRule="exact"/>
        <w:ind w:left="0" w:leftChars="0" w:right="0" w:rightChars="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br w:type="page"/>
      </w:r>
      <w:r>
        <w:rPr>
          <w:rFonts w:hint="eastAsia" w:ascii="Times New Roman" w:hAnsi="Times New Roman" w:eastAsia="宋体" w:cs="宋体"/>
          <w:color w:val="auto"/>
          <w:sz w:val="21"/>
          <w:szCs w:val="21"/>
          <w:highlight w:val="none"/>
        </w:rPr>
        <w:t>附件8：</w:t>
      </w:r>
    </w:p>
    <w:p w14:paraId="3ED333D7">
      <w:pPr>
        <w:pageBreakBefore w:val="0"/>
        <w:widowControl w:val="0"/>
        <w:kinsoku/>
        <w:wordWrap/>
        <w:overflowPunct/>
        <w:topLinePunct w:val="0"/>
        <w:bidi w:val="0"/>
        <w:snapToGrid/>
        <w:spacing w:line="360" w:lineRule="exact"/>
        <w:ind w:left="0" w:leftChars="0" w:right="0" w:rightChar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履约担保</w:t>
      </w:r>
    </w:p>
    <w:p w14:paraId="7C6ED5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u w:val="single"/>
        </w:rPr>
        <w:tab/>
      </w:r>
      <w:r>
        <w:rPr>
          <w:rFonts w:hint="eastAsia" w:ascii="Times New Roman" w:hAnsi="Times New Roman" w:eastAsia="宋体" w:cs="宋体"/>
          <w:color w:val="auto"/>
          <w:sz w:val="21"/>
          <w:szCs w:val="21"/>
          <w:highlight w:val="none"/>
        </w:rPr>
        <w:t>（发包人名称）：</w:t>
      </w:r>
    </w:p>
    <w:p w14:paraId="2D767C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p>
    <w:p w14:paraId="6A090B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鉴于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 xml:space="preserve">（发包人名称，以下简称“发包人”）与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（承包人名称）（以下</w:t>
      </w:r>
      <w:r>
        <w:rPr>
          <w:rFonts w:hint="eastAsia"/>
          <w:lang w:eastAsia="zh-CN"/>
        </w:rPr>
        <w:t>简</w:t>
      </w:r>
      <w:r>
        <w:rPr>
          <w:rFonts w:hint="eastAsia" w:ascii="Times New Roman" w:hAnsi="Times New Roman" w:eastAsia="宋体" w:cs="宋体"/>
          <w:color w:val="auto"/>
          <w:sz w:val="21"/>
          <w:szCs w:val="21"/>
          <w:highlight w:val="none"/>
        </w:rPr>
        <w:t>称“承包人”）于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日就</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4C33C6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担保金额人民币（大写）</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元（¥</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w:t>
      </w:r>
    </w:p>
    <w:p w14:paraId="0096E8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担保有效期自你方与承包人签订的合同生效之日起至你方签发或应签发工程接收证书之日止。</w:t>
      </w:r>
    </w:p>
    <w:p w14:paraId="7431B7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52A098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 你方和承包人按合同约定变更合同时，我方承担本担保规定的义务不变。</w:t>
      </w:r>
    </w:p>
    <w:p w14:paraId="53F3A0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 因本保函发生的纠纷，可由双方协商解决，协商不成的，任何一方均可提请</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仲裁委员会仲裁。</w:t>
      </w:r>
    </w:p>
    <w:p w14:paraId="42C5BC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 本保函自我方法定代表人（或其授权代理人）签字并加盖公章之日起生效。</w:t>
      </w:r>
    </w:p>
    <w:p w14:paraId="71169A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p>
    <w:p w14:paraId="7FE583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担 保 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（盖单位章）</w:t>
      </w:r>
    </w:p>
    <w:p w14:paraId="208BD4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法定代表人或其委托代理人：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（签字）</w:t>
      </w:r>
    </w:p>
    <w:p w14:paraId="76F96E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    址：</w:t>
      </w:r>
      <w:r>
        <w:rPr>
          <w:rFonts w:hint="eastAsia" w:ascii="Times New Roman" w:hAnsi="Times New Roman" w:eastAsia="宋体" w:cs="宋体"/>
          <w:color w:val="auto"/>
          <w:sz w:val="21"/>
          <w:szCs w:val="21"/>
          <w:highlight w:val="none"/>
          <w:u w:val="single"/>
        </w:rPr>
        <w:t xml:space="preserve">                                      </w:t>
      </w:r>
    </w:p>
    <w:p w14:paraId="603249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邮政编码：</w:t>
      </w:r>
      <w:r>
        <w:rPr>
          <w:rFonts w:hint="eastAsia" w:ascii="Times New Roman" w:hAnsi="Times New Roman" w:eastAsia="宋体" w:cs="宋体"/>
          <w:color w:val="auto"/>
          <w:sz w:val="21"/>
          <w:szCs w:val="21"/>
          <w:highlight w:val="none"/>
          <w:u w:val="single"/>
        </w:rPr>
        <w:t xml:space="preserve">                                      </w:t>
      </w:r>
    </w:p>
    <w:p w14:paraId="1D9FE1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电    话：</w:t>
      </w:r>
      <w:r>
        <w:rPr>
          <w:rFonts w:hint="eastAsia" w:ascii="Times New Roman" w:hAnsi="Times New Roman" w:eastAsia="宋体" w:cs="宋体"/>
          <w:color w:val="auto"/>
          <w:sz w:val="21"/>
          <w:szCs w:val="21"/>
          <w:highlight w:val="none"/>
          <w:u w:val="single"/>
        </w:rPr>
        <w:t xml:space="preserve">                                      </w:t>
      </w:r>
    </w:p>
    <w:p w14:paraId="7CAAB5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传    真：</w:t>
      </w:r>
      <w:r>
        <w:rPr>
          <w:rFonts w:hint="eastAsia" w:ascii="Times New Roman" w:hAnsi="Times New Roman" w:eastAsia="宋体" w:cs="宋体"/>
          <w:color w:val="auto"/>
          <w:sz w:val="21"/>
          <w:szCs w:val="21"/>
          <w:highlight w:val="none"/>
          <w:u w:val="single"/>
        </w:rPr>
        <w:t xml:space="preserve">                                      </w:t>
      </w:r>
    </w:p>
    <w:p w14:paraId="6C295A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imes New Roman" w:hAnsi="Times New Roman" w:eastAsia="宋体" w:cs="宋体"/>
          <w:color w:val="auto"/>
          <w:sz w:val="21"/>
          <w:szCs w:val="21"/>
          <w:highlight w:val="none"/>
          <w:u w:val="single"/>
        </w:rPr>
      </w:pPr>
    </w:p>
    <w:p w14:paraId="24F7A48A">
      <w:pPr>
        <w:pageBreakBefore w:val="0"/>
        <w:widowControl w:val="0"/>
        <w:kinsoku/>
        <w:wordWrap/>
        <w:overflowPunct/>
        <w:topLinePunct w:val="0"/>
        <w:bidi w:val="0"/>
        <w:snapToGrid/>
        <w:spacing w:line="360" w:lineRule="exact"/>
        <w:ind w:left="1329" w:leftChars="0" w:right="0" w:rightChars="0" w:hanging="1329" w:hangingChars="633"/>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w:t>
      </w:r>
    </w:p>
    <w:p w14:paraId="4062DEE7">
      <w:pPr>
        <w:pageBreakBefore w:val="0"/>
        <w:widowControl w:val="0"/>
        <w:kinsoku/>
        <w:wordWrap/>
        <w:overflowPunct/>
        <w:topLinePunct w:val="0"/>
        <w:bidi w:val="0"/>
        <w:snapToGrid/>
        <w:spacing w:line="360" w:lineRule="exact"/>
        <w:ind w:left="1329" w:leftChars="0" w:right="0" w:rightChars="0" w:hanging="1329" w:hangingChars="633"/>
        <w:rPr>
          <w:rFonts w:hint="eastAsia" w:ascii="Times New Roman" w:hAnsi="Times New Roman" w:eastAsia="宋体" w:cs="宋体"/>
          <w:color w:val="auto"/>
          <w:sz w:val="21"/>
          <w:szCs w:val="21"/>
          <w:highlight w:val="none"/>
        </w:rPr>
      </w:pPr>
    </w:p>
    <w:p w14:paraId="59AA8D46">
      <w:pPr>
        <w:pageBreakBefore w:val="0"/>
        <w:widowControl w:val="0"/>
        <w:kinsoku/>
        <w:wordWrap/>
        <w:overflowPunct/>
        <w:topLinePunct w:val="0"/>
        <w:bidi w:val="0"/>
        <w:snapToGrid/>
        <w:spacing w:line="360" w:lineRule="exact"/>
        <w:ind w:left="1329" w:leftChars="0" w:right="0" w:rightChars="0" w:hanging="1329" w:hangingChars="633"/>
        <w:rPr>
          <w:rFonts w:hint="eastAsia" w:ascii="Times New Roman" w:hAnsi="Times New Roman" w:eastAsia="宋体" w:cs="宋体"/>
          <w:color w:val="auto"/>
          <w:sz w:val="21"/>
          <w:szCs w:val="21"/>
          <w:highlight w:val="none"/>
        </w:rPr>
      </w:pPr>
    </w:p>
    <w:p w14:paraId="21F25B3A">
      <w:pPr>
        <w:pStyle w:val="13"/>
        <w:rPr>
          <w:rFonts w:hint="eastAsia" w:ascii="Times New Roman" w:hAnsi="Times New Roman" w:eastAsia="宋体" w:cs="宋体"/>
          <w:color w:val="auto"/>
          <w:sz w:val="21"/>
          <w:szCs w:val="21"/>
          <w:highlight w:val="none"/>
        </w:rPr>
      </w:pPr>
    </w:p>
    <w:p w14:paraId="1E6FABB0">
      <w:pPr>
        <w:pStyle w:val="13"/>
        <w:rPr>
          <w:rFonts w:hint="eastAsia" w:ascii="Times New Roman" w:hAnsi="Times New Roman" w:eastAsia="宋体" w:cs="宋体"/>
          <w:color w:val="auto"/>
          <w:sz w:val="21"/>
          <w:szCs w:val="21"/>
          <w:highlight w:val="none"/>
        </w:rPr>
      </w:pPr>
    </w:p>
    <w:p w14:paraId="57591E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br w:type="page"/>
      </w:r>
      <w:r>
        <w:rPr>
          <w:rFonts w:hint="eastAsia" w:ascii="Times New Roman" w:hAnsi="Times New Roman" w:eastAsia="宋体" w:cs="宋体"/>
          <w:color w:val="auto"/>
          <w:sz w:val="21"/>
          <w:szCs w:val="21"/>
          <w:highlight w:val="none"/>
        </w:rPr>
        <w:t>附</w:t>
      </w:r>
      <w:bookmarkStart w:id="254" w:name="_Toc296347231"/>
      <w:bookmarkStart w:id="255" w:name="_Toc267261702"/>
      <w:bookmarkStart w:id="256" w:name="_Toc296503232"/>
      <w:bookmarkStart w:id="257" w:name="_Toc296346733"/>
      <w:bookmarkStart w:id="258" w:name="_Toc296944571"/>
      <w:bookmarkStart w:id="259" w:name="_Toc296891060"/>
      <w:bookmarkStart w:id="260" w:name="_Toc296891272"/>
      <w:r>
        <w:rPr>
          <w:rFonts w:hint="eastAsia" w:ascii="Times New Roman" w:hAnsi="Times New Roman" w:eastAsia="宋体" w:cs="宋体"/>
          <w:color w:val="auto"/>
          <w:sz w:val="21"/>
          <w:szCs w:val="21"/>
          <w:highlight w:val="none"/>
        </w:rPr>
        <w:t>件9 ：</w:t>
      </w:r>
    </w:p>
    <w:bookmarkEnd w:id="254"/>
    <w:bookmarkEnd w:id="255"/>
    <w:bookmarkEnd w:id="256"/>
    <w:bookmarkEnd w:id="257"/>
    <w:bookmarkEnd w:id="258"/>
    <w:bookmarkEnd w:id="259"/>
    <w:bookmarkEnd w:id="260"/>
    <w:p w14:paraId="7FBEFE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预付款担保</w:t>
      </w:r>
    </w:p>
    <w:p w14:paraId="0EA0C3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 xml:space="preserve"> （发包人名称）：</w:t>
      </w:r>
    </w:p>
    <w:p w14:paraId="2A2F4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p>
    <w:p w14:paraId="536B7E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根据</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（承包人名称）（以下</w:t>
      </w:r>
      <w:r>
        <w:rPr>
          <w:rFonts w:hint="eastAsia" w:cs="宋体"/>
          <w:color w:val="auto"/>
          <w:sz w:val="21"/>
          <w:szCs w:val="21"/>
          <w:highlight w:val="none"/>
          <w:lang w:eastAsia="zh-CN"/>
        </w:rPr>
        <w:t>简</w:t>
      </w:r>
      <w:r>
        <w:rPr>
          <w:rFonts w:hint="eastAsia" w:ascii="Times New Roman" w:hAnsi="Times New Roman" w:eastAsia="宋体" w:cs="宋体"/>
          <w:color w:val="auto"/>
          <w:sz w:val="21"/>
          <w:szCs w:val="21"/>
          <w:highlight w:val="none"/>
        </w:rPr>
        <w:t>称“承包人”）与</w:t>
      </w:r>
      <w:r>
        <w:rPr>
          <w:rFonts w:hint="eastAsia" w:ascii="Times New Roman" w:hAnsi="Times New Roman" w:eastAsia="宋体" w:cs="宋体"/>
          <w:color w:val="auto"/>
          <w:sz w:val="21"/>
          <w:szCs w:val="21"/>
          <w:highlight w:val="none"/>
          <w:u w:val="single"/>
        </w:rPr>
        <w:t xml:space="preserve">                        </w:t>
      </w:r>
      <w:bookmarkStart w:id="261" w:name="_Toc19561"/>
      <w:bookmarkStart w:id="262" w:name="_Toc29110"/>
      <w:bookmarkStart w:id="263" w:name="_Toc23079"/>
      <w:r>
        <w:rPr>
          <w:rFonts w:hint="eastAsia" w:ascii="Times New Roman" w:hAnsi="Times New Roman" w:eastAsia="宋体" w:cs="宋体"/>
          <w:color w:val="auto"/>
          <w:sz w:val="21"/>
          <w:szCs w:val="21"/>
          <w:highlight w:val="none"/>
        </w:rPr>
        <w:t>（发包人名称）（以下简称“发包人”）</w:t>
      </w:r>
      <w:bookmarkEnd w:id="261"/>
      <w:bookmarkEnd w:id="262"/>
      <w:bookmarkEnd w:id="263"/>
      <w:r>
        <w:rPr>
          <w:rFonts w:hint="eastAsia" w:ascii="Times New Roman" w:hAnsi="Times New Roman" w:eastAsia="宋体" w:cs="宋体"/>
          <w:color w:val="auto"/>
          <w:sz w:val="21"/>
          <w:szCs w:val="21"/>
          <w:highlight w:val="none"/>
        </w:rPr>
        <w:t>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日签订的</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6B5A95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担保金额人民币（大写）</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元（¥</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w:t>
      </w:r>
    </w:p>
    <w:p w14:paraId="0E7376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担保有效期自预付款支付给承包人起生效，至你方签发的进度款支付证书说明已完全扣清止。</w:t>
      </w:r>
    </w:p>
    <w:p w14:paraId="06F8F4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6E996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 你方和承包人按合同约定变更合同时，我方承担本保函规定的义务不变。</w:t>
      </w:r>
    </w:p>
    <w:p w14:paraId="4D62B2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 因本保函发生的纠纷，可由双方协商解决，协商不成的，任何一方均可提请</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仲裁委员会仲裁。</w:t>
      </w:r>
    </w:p>
    <w:p w14:paraId="6F26DF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 本保函自我方法定代表人（或其授权代理人）签字并加盖公章之日起生效。</w:t>
      </w:r>
    </w:p>
    <w:p w14:paraId="3C0EA6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p>
    <w:p w14:paraId="0C8D7C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p>
    <w:p w14:paraId="08D7DC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担保人：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（盖单位章）</w:t>
      </w:r>
    </w:p>
    <w:p w14:paraId="375720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法定代表人或其委托代理人：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（签字）</w:t>
      </w:r>
    </w:p>
    <w:p w14:paraId="4361B8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    址：</w:t>
      </w:r>
      <w:r>
        <w:rPr>
          <w:rFonts w:hint="eastAsia" w:ascii="Times New Roman" w:hAnsi="Times New Roman" w:eastAsia="宋体" w:cs="宋体"/>
          <w:color w:val="auto"/>
          <w:sz w:val="21"/>
          <w:szCs w:val="21"/>
          <w:highlight w:val="none"/>
          <w:u w:val="single"/>
        </w:rPr>
        <w:t xml:space="preserve">                          </w:t>
      </w:r>
    </w:p>
    <w:p w14:paraId="0309D2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邮政编码：</w:t>
      </w:r>
      <w:r>
        <w:rPr>
          <w:rFonts w:hint="eastAsia" w:ascii="Times New Roman" w:hAnsi="Times New Roman" w:eastAsia="宋体" w:cs="宋体"/>
          <w:color w:val="auto"/>
          <w:sz w:val="21"/>
          <w:szCs w:val="21"/>
          <w:highlight w:val="none"/>
          <w:u w:val="single"/>
        </w:rPr>
        <w:t xml:space="preserve">                          </w:t>
      </w:r>
    </w:p>
    <w:p w14:paraId="4CC837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电    话：</w:t>
      </w:r>
      <w:r>
        <w:rPr>
          <w:rFonts w:hint="eastAsia" w:ascii="Times New Roman" w:hAnsi="Times New Roman" w:eastAsia="宋体" w:cs="宋体"/>
          <w:color w:val="auto"/>
          <w:sz w:val="21"/>
          <w:szCs w:val="21"/>
          <w:highlight w:val="none"/>
          <w:u w:val="single"/>
        </w:rPr>
        <w:t xml:space="preserve">                          </w:t>
      </w:r>
    </w:p>
    <w:p w14:paraId="2502E9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传    真：</w:t>
      </w:r>
      <w:r>
        <w:rPr>
          <w:rFonts w:hint="eastAsia" w:ascii="Times New Roman" w:hAnsi="Times New Roman" w:eastAsia="宋体" w:cs="宋体"/>
          <w:color w:val="auto"/>
          <w:sz w:val="21"/>
          <w:szCs w:val="21"/>
          <w:highlight w:val="none"/>
          <w:u w:val="single"/>
        </w:rPr>
        <w:t xml:space="preserve">                          </w:t>
      </w:r>
    </w:p>
    <w:p w14:paraId="40E476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  </w:t>
      </w:r>
    </w:p>
    <w:p w14:paraId="6B82EB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u w:val="single"/>
        </w:rPr>
      </w:pPr>
    </w:p>
    <w:p w14:paraId="7F91E3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w:t>
      </w:r>
    </w:p>
    <w:p w14:paraId="70C898D6">
      <w:pPr>
        <w:spacing w:line="440" w:lineRule="exact"/>
        <w:rPr>
          <w:rFonts w:hint="eastAsia" w:ascii="Times New Roman" w:hAnsi="Times New Roman" w:eastAsia="宋体" w:cs="宋体"/>
          <w:color w:val="auto"/>
          <w:sz w:val="21"/>
          <w:szCs w:val="21"/>
          <w:highlight w:val="none"/>
        </w:rPr>
      </w:pPr>
      <w:r>
        <w:rPr>
          <w:rFonts w:ascii="Times New Roman" w:hAnsi="Times New Roman" w:eastAsia="仿宋_GB2312"/>
          <w:b/>
          <w:color w:val="auto"/>
          <w:sz w:val="30"/>
          <w:szCs w:val="30"/>
          <w:highlight w:val="none"/>
        </w:rPr>
        <w:br w:type="page"/>
      </w:r>
      <w:r>
        <w:rPr>
          <w:rFonts w:hint="eastAsia" w:ascii="Times New Roman" w:hAnsi="Times New Roman" w:eastAsia="宋体" w:cs="宋体"/>
          <w:color w:val="auto"/>
          <w:sz w:val="21"/>
          <w:szCs w:val="21"/>
          <w:highlight w:val="none"/>
        </w:rPr>
        <w:t>附件10:</w:t>
      </w:r>
    </w:p>
    <w:p w14:paraId="12F4630B">
      <w:pPr>
        <w:spacing w:before="120" w:beforeLines="50" w:after="120" w:afterLines="50" w:line="44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支付担保</w:t>
      </w:r>
    </w:p>
    <w:p w14:paraId="504DD1AD">
      <w:pPr>
        <w:spacing w:line="440" w:lineRule="exact"/>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（承包人）：</w:t>
      </w:r>
    </w:p>
    <w:p w14:paraId="61085BD6">
      <w:pPr>
        <w:spacing w:line="440" w:lineRule="exact"/>
        <w:jc w:val="left"/>
        <w:rPr>
          <w:rFonts w:hint="eastAsia" w:ascii="Times New Roman" w:hAnsi="Times New Roman" w:eastAsia="宋体" w:cs="宋体"/>
          <w:color w:val="auto"/>
          <w:sz w:val="21"/>
          <w:szCs w:val="21"/>
          <w:highlight w:val="none"/>
        </w:rPr>
      </w:pPr>
    </w:p>
    <w:p w14:paraId="1D12A264">
      <w:pPr>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鉴于你方作为承包人已经与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（发包人名称）（以下称“发包人”）于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日签订了</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5BE5A8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64" w:name="_Toc25964"/>
      <w:bookmarkStart w:id="265" w:name="_Toc20380"/>
      <w:bookmarkStart w:id="266" w:name="_Toc31131"/>
      <w:r>
        <w:rPr>
          <w:rFonts w:hint="eastAsia" w:ascii="Times New Roman" w:hAnsi="Times New Roman" w:eastAsia="宋体" w:cs="宋体"/>
          <w:color w:val="auto"/>
          <w:sz w:val="21"/>
          <w:szCs w:val="21"/>
          <w:highlight w:val="none"/>
        </w:rPr>
        <w:t>一、保证的范围及保证金额</w:t>
      </w:r>
      <w:bookmarkEnd w:id="264"/>
      <w:bookmarkEnd w:id="265"/>
      <w:bookmarkEnd w:id="266"/>
    </w:p>
    <w:p w14:paraId="331C1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我方的保证范围是主合同约定的工程款。</w:t>
      </w:r>
    </w:p>
    <w:p w14:paraId="1D829B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本保函所称主合同约定的工程款是指主合同约定的除工程质量保证金以外的合同价款。</w:t>
      </w:r>
    </w:p>
    <w:p w14:paraId="1C073B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我方保证的金额是主合同约定的工程款的</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%，数额最高不超过人民币元（大写：</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w:t>
      </w:r>
    </w:p>
    <w:p w14:paraId="420FAB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67" w:name="_Toc10162"/>
      <w:bookmarkStart w:id="268" w:name="_Toc16286"/>
      <w:bookmarkStart w:id="269" w:name="_Toc31793"/>
      <w:r>
        <w:rPr>
          <w:rFonts w:hint="eastAsia" w:ascii="Times New Roman" w:hAnsi="Times New Roman" w:eastAsia="宋体" w:cs="宋体"/>
          <w:color w:val="auto"/>
          <w:sz w:val="21"/>
          <w:szCs w:val="21"/>
          <w:highlight w:val="none"/>
        </w:rPr>
        <w:t>二、保证的方式及保证期间</w:t>
      </w:r>
      <w:bookmarkEnd w:id="267"/>
      <w:bookmarkEnd w:id="268"/>
      <w:bookmarkEnd w:id="269"/>
    </w:p>
    <w:p w14:paraId="5062B0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我方保证的方式为：连带责任保证。</w:t>
      </w:r>
    </w:p>
    <w:p w14:paraId="1013FC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我方保证的期间为：自本合同生效之日起至主合同约定的工程款支付完毕之日后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日内。</w:t>
      </w:r>
    </w:p>
    <w:p w14:paraId="351946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你方与发包人协议变更工程款支付日期的，经我方书面同意后，保证期间按照变更后的支付日期做相应调整。</w:t>
      </w:r>
    </w:p>
    <w:p w14:paraId="2C88D6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70" w:name="_Toc30478"/>
      <w:bookmarkStart w:id="271" w:name="_Toc3217"/>
      <w:bookmarkStart w:id="272" w:name="_Toc30010"/>
      <w:r>
        <w:rPr>
          <w:rFonts w:hint="eastAsia" w:ascii="Times New Roman" w:hAnsi="Times New Roman" w:eastAsia="宋体" w:cs="宋体"/>
          <w:color w:val="auto"/>
          <w:sz w:val="21"/>
          <w:szCs w:val="21"/>
          <w:highlight w:val="none"/>
        </w:rPr>
        <w:t>三、承担保证责任的形式</w:t>
      </w:r>
      <w:bookmarkEnd w:id="270"/>
      <w:bookmarkEnd w:id="271"/>
      <w:bookmarkEnd w:id="272"/>
    </w:p>
    <w:p w14:paraId="356199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我方承担保证责任的形式是代为支付。发包人未按主合同约定向你方支付工程款的，由我方在保证金额内代为支付。</w:t>
      </w:r>
    </w:p>
    <w:p w14:paraId="3E145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73" w:name="_Toc11312"/>
      <w:bookmarkStart w:id="274" w:name="_Toc4883"/>
      <w:bookmarkStart w:id="275" w:name="_Toc19016"/>
      <w:r>
        <w:rPr>
          <w:rFonts w:hint="eastAsia" w:ascii="Times New Roman" w:hAnsi="Times New Roman" w:eastAsia="宋体" w:cs="宋体"/>
          <w:color w:val="auto"/>
          <w:sz w:val="21"/>
          <w:szCs w:val="21"/>
          <w:highlight w:val="none"/>
        </w:rPr>
        <w:t>四、代偿的安排</w:t>
      </w:r>
      <w:bookmarkEnd w:id="273"/>
      <w:bookmarkEnd w:id="274"/>
      <w:bookmarkEnd w:id="275"/>
    </w:p>
    <w:p w14:paraId="690CB1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302BD6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38500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我方收到你方的书面索赔通知及相应的证明材料后７天内无条件支付。</w:t>
      </w:r>
    </w:p>
    <w:p w14:paraId="6E3857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76" w:name="_Toc1507"/>
      <w:bookmarkStart w:id="277" w:name="_Toc25107"/>
      <w:bookmarkStart w:id="278" w:name="_Toc30624"/>
      <w:r>
        <w:rPr>
          <w:rFonts w:hint="eastAsia" w:ascii="Times New Roman" w:hAnsi="Times New Roman" w:eastAsia="宋体" w:cs="宋体"/>
          <w:color w:val="auto"/>
          <w:sz w:val="21"/>
          <w:szCs w:val="21"/>
          <w:highlight w:val="none"/>
        </w:rPr>
        <w:t>五、保证责任的解除</w:t>
      </w:r>
      <w:bookmarkEnd w:id="276"/>
      <w:bookmarkEnd w:id="277"/>
      <w:bookmarkEnd w:id="278"/>
    </w:p>
    <w:p w14:paraId="1109CB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在本保函承诺的保证期间内，你方未书面向我方主张保证责任的，自保证期间届满次日起，我方保证责任解除。</w:t>
      </w:r>
    </w:p>
    <w:p w14:paraId="6AE8CF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发包人按主合同约定履行了工程款的全部支付义务的，自本保函承诺的保证期间届满次日起，我方保证责任解除。</w:t>
      </w:r>
    </w:p>
    <w:p w14:paraId="5421CE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1C4D95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 按照法律法规的规定或出现应解除我方保证责任的其他情形的，我方在本保函项下的保证责任亦解除。</w:t>
      </w:r>
    </w:p>
    <w:p w14:paraId="22C56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 我方解除保证责任后，你方应自我方保证责任解除之日起</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个工作日内，将本保函原件返还我方。</w:t>
      </w:r>
    </w:p>
    <w:p w14:paraId="42C1C1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79" w:name="_Toc23407"/>
      <w:bookmarkStart w:id="280" w:name="_Toc3962"/>
      <w:bookmarkStart w:id="281" w:name="_Toc11064"/>
      <w:r>
        <w:rPr>
          <w:rFonts w:hint="eastAsia" w:ascii="Times New Roman" w:hAnsi="Times New Roman" w:eastAsia="宋体" w:cs="宋体"/>
          <w:color w:val="auto"/>
          <w:sz w:val="21"/>
          <w:szCs w:val="21"/>
          <w:highlight w:val="none"/>
        </w:rPr>
        <w:t>六、免责条款</w:t>
      </w:r>
      <w:bookmarkEnd w:id="279"/>
      <w:bookmarkEnd w:id="280"/>
      <w:bookmarkEnd w:id="281"/>
    </w:p>
    <w:p w14:paraId="7D3654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因你方违约致使发包人不能履行义务的，我方不承担保证责任。</w:t>
      </w:r>
    </w:p>
    <w:p w14:paraId="488472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 依照法律法规的规定或你方与发包人的另行约定，免除发包人部分或全部义务的，我方亦免除其相应的保证责任。</w:t>
      </w:r>
    </w:p>
    <w:p w14:paraId="5B3C10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0BCD6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 因不可抗力造成发包人不能履行义务的，我方不承担保证责任。</w:t>
      </w:r>
    </w:p>
    <w:p w14:paraId="1CF608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82" w:name="_Toc20106"/>
      <w:bookmarkStart w:id="283" w:name="_Toc28001"/>
      <w:bookmarkStart w:id="284" w:name="_Toc5169"/>
      <w:r>
        <w:rPr>
          <w:rFonts w:hint="eastAsia" w:ascii="Times New Roman" w:hAnsi="Times New Roman" w:eastAsia="宋体" w:cs="宋体"/>
          <w:color w:val="auto"/>
          <w:sz w:val="21"/>
          <w:szCs w:val="21"/>
          <w:highlight w:val="none"/>
        </w:rPr>
        <w:t>七、争议解决</w:t>
      </w:r>
      <w:bookmarkEnd w:id="282"/>
      <w:bookmarkEnd w:id="283"/>
      <w:bookmarkEnd w:id="284"/>
    </w:p>
    <w:p w14:paraId="00D60C48">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因本保函或本保函相关事项发生的纠纷，可由双方协商解决，协商不成的，按下列第</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种方式解决：</w:t>
      </w:r>
    </w:p>
    <w:p w14:paraId="3A9E80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（1）向</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仲裁委员会申请仲裁；</w:t>
      </w:r>
    </w:p>
    <w:p w14:paraId="2330EC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（2）向</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人民法院起诉。</w:t>
      </w:r>
    </w:p>
    <w:p w14:paraId="5058EB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bookmarkStart w:id="285" w:name="_Toc5124"/>
      <w:bookmarkStart w:id="286" w:name="_Toc29914"/>
      <w:bookmarkStart w:id="287" w:name="_Toc24785"/>
      <w:r>
        <w:rPr>
          <w:rFonts w:hint="eastAsia" w:ascii="Times New Roman" w:hAnsi="Times New Roman" w:eastAsia="宋体" w:cs="宋体"/>
          <w:color w:val="auto"/>
          <w:sz w:val="21"/>
          <w:szCs w:val="21"/>
          <w:highlight w:val="none"/>
        </w:rPr>
        <w:t>八、保函的生效</w:t>
      </w:r>
      <w:bookmarkEnd w:id="285"/>
      <w:bookmarkEnd w:id="286"/>
      <w:bookmarkEnd w:id="287"/>
    </w:p>
    <w:p w14:paraId="2EF49D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本保函自我方法定代表人（或其授权代理人）签字并加盖公章之日起生效。</w:t>
      </w:r>
    </w:p>
    <w:p w14:paraId="695CA0A7">
      <w:pPr>
        <w:spacing w:line="360" w:lineRule="auto"/>
        <w:ind w:firstLine="420" w:firstLineChars="200"/>
        <w:jc w:val="left"/>
        <w:rPr>
          <w:rFonts w:hint="eastAsia" w:ascii="Times New Roman" w:hAnsi="Times New Roman" w:eastAsia="宋体" w:cs="宋体"/>
          <w:color w:val="auto"/>
          <w:sz w:val="21"/>
          <w:szCs w:val="21"/>
          <w:highlight w:val="none"/>
        </w:rPr>
      </w:pPr>
    </w:p>
    <w:p w14:paraId="22A9AA9C">
      <w:pPr>
        <w:spacing w:line="360" w:lineRule="auto"/>
        <w:ind w:right="600"/>
        <w:jc w:val="left"/>
        <w:rPr>
          <w:rFonts w:hint="eastAsia" w:ascii="Times New Roman" w:hAnsi="Times New Roman" w:eastAsia="宋体" w:cs="宋体"/>
          <w:color w:val="auto"/>
          <w:sz w:val="21"/>
          <w:szCs w:val="21"/>
          <w:highlight w:val="none"/>
        </w:rPr>
      </w:pPr>
    </w:p>
    <w:p w14:paraId="06616C98">
      <w:pPr>
        <w:spacing w:line="360" w:lineRule="auto"/>
        <w:ind w:right="6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担保人：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（盖章）</w:t>
      </w:r>
    </w:p>
    <w:p w14:paraId="550F9027">
      <w:pPr>
        <w:spacing w:line="360" w:lineRule="auto"/>
        <w:ind w:right="1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法定代表人或委托代理人：</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（签字）</w:t>
      </w:r>
    </w:p>
    <w:p w14:paraId="6B92480A">
      <w:pPr>
        <w:spacing w:line="360" w:lineRule="auto"/>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    址：</w:t>
      </w:r>
      <w:r>
        <w:rPr>
          <w:rFonts w:hint="eastAsia" w:ascii="Times New Roman" w:hAnsi="Times New Roman" w:eastAsia="宋体" w:cs="宋体"/>
          <w:color w:val="auto"/>
          <w:sz w:val="21"/>
          <w:szCs w:val="21"/>
          <w:highlight w:val="none"/>
          <w:u w:val="single"/>
        </w:rPr>
        <w:t xml:space="preserve">                                        </w:t>
      </w:r>
    </w:p>
    <w:p w14:paraId="70593DC2">
      <w:pPr>
        <w:spacing w:line="360" w:lineRule="auto"/>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邮政编码：</w:t>
      </w:r>
      <w:r>
        <w:rPr>
          <w:rFonts w:hint="eastAsia" w:ascii="Times New Roman" w:hAnsi="Times New Roman" w:eastAsia="宋体" w:cs="宋体"/>
          <w:color w:val="auto"/>
          <w:sz w:val="21"/>
          <w:szCs w:val="21"/>
          <w:highlight w:val="none"/>
          <w:u w:val="single"/>
        </w:rPr>
        <w:t xml:space="preserve">                                        </w:t>
      </w:r>
    </w:p>
    <w:p w14:paraId="5B2DB2AB">
      <w:pPr>
        <w:spacing w:line="360" w:lineRule="auto"/>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传    真：</w:t>
      </w:r>
      <w:r>
        <w:rPr>
          <w:rFonts w:hint="eastAsia" w:ascii="Times New Roman" w:hAnsi="Times New Roman" w:eastAsia="宋体" w:cs="宋体"/>
          <w:color w:val="auto"/>
          <w:sz w:val="21"/>
          <w:szCs w:val="21"/>
          <w:highlight w:val="none"/>
          <w:u w:val="single"/>
        </w:rPr>
        <w:t xml:space="preserve">                                        </w:t>
      </w:r>
    </w:p>
    <w:p w14:paraId="4AC14902">
      <w:pPr>
        <w:spacing w:line="360" w:lineRule="auto"/>
        <w:ind w:right="150" w:firstLine="420" w:firstLineChars="200"/>
        <w:jc w:val="left"/>
        <w:rPr>
          <w:rFonts w:hint="eastAsia" w:ascii="Times New Roman" w:hAnsi="Times New Roman" w:eastAsia="宋体" w:cs="宋体"/>
          <w:color w:val="auto"/>
          <w:sz w:val="21"/>
          <w:szCs w:val="21"/>
          <w:highlight w:val="none"/>
          <w:u w:val="single"/>
        </w:rPr>
      </w:pPr>
    </w:p>
    <w:p w14:paraId="31FCC0CF">
      <w:pPr>
        <w:spacing w:line="360" w:lineRule="auto"/>
        <w:ind w:right="150"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日</w:t>
      </w:r>
    </w:p>
    <w:p w14:paraId="40F1DAAF">
      <w:pPr>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宋体" w:cs="宋体"/>
          <w:color w:val="auto"/>
          <w:sz w:val="21"/>
          <w:szCs w:val="21"/>
          <w:highlight w:val="none"/>
        </w:rPr>
        <w:t>附件11：</w:t>
      </w:r>
    </w:p>
    <w:p w14:paraId="6620E41C">
      <w:pPr>
        <w:spacing w:before="120" w:beforeLines="50" w:after="120" w:afterLines="50" w:line="440" w:lineRule="exact"/>
        <w:jc w:val="center"/>
        <w:outlineLvl w:val="9"/>
        <w:rPr>
          <w:rFonts w:hint="eastAsia" w:ascii="Times New Roman" w:hAnsi="Times New Roman" w:eastAsia="宋体" w:cs="宋体"/>
          <w:color w:val="auto"/>
          <w:sz w:val="21"/>
          <w:szCs w:val="21"/>
          <w:highlight w:val="none"/>
        </w:rPr>
      </w:pPr>
      <w:bookmarkStart w:id="288" w:name="_Toc18176"/>
      <w:bookmarkStart w:id="289" w:name="_Toc10622"/>
      <w:bookmarkStart w:id="290" w:name="_Toc15518"/>
      <w:bookmarkStart w:id="291" w:name="_Toc20900"/>
      <w:r>
        <w:rPr>
          <w:rFonts w:hint="eastAsia" w:ascii="Times New Roman" w:hAnsi="Times New Roman" w:eastAsia="宋体" w:cs="宋体"/>
          <w:color w:val="auto"/>
          <w:sz w:val="21"/>
          <w:szCs w:val="21"/>
          <w:highlight w:val="none"/>
        </w:rPr>
        <w:t>11-1：材料暂估价表</w:t>
      </w:r>
      <w:bookmarkEnd w:id="288"/>
      <w:bookmarkEnd w:id="289"/>
      <w:bookmarkEnd w:id="290"/>
      <w:bookmarkEnd w:id="291"/>
    </w:p>
    <w:tbl>
      <w:tblPr>
        <w:tblStyle w:val="28"/>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59689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top"/>
          </w:tcPr>
          <w:p w14:paraId="018FC193">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14:paraId="32F724F7">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vAlign w:val="top"/>
          </w:tcPr>
          <w:p w14:paraId="624B5366">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vAlign w:val="top"/>
          </w:tcPr>
          <w:p w14:paraId="661D1A3F">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vAlign w:val="top"/>
          </w:tcPr>
          <w:p w14:paraId="55D349CF">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单价</w:t>
            </w:r>
            <w:r>
              <w:rPr>
                <w:rFonts w:hint="eastAsia" w:ascii="Times New Roman" w:hAnsi="Times New Roman"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vAlign w:val="top"/>
          </w:tcPr>
          <w:p w14:paraId="7B0357B0">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合价</w:t>
            </w:r>
            <w:r>
              <w:rPr>
                <w:rFonts w:hint="eastAsia" w:ascii="Times New Roman" w:hAnsi="Times New Roman"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vAlign w:val="top"/>
          </w:tcPr>
          <w:p w14:paraId="4F08893B">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备注</w:t>
            </w:r>
          </w:p>
        </w:tc>
      </w:tr>
      <w:tr w14:paraId="5EDD6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vAlign w:val="top"/>
          </w:tcPr>
          <w:p w14:paraId="24A8CC7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14:paraId="51C3745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tcBorders>
              <w:top w:val="double" w:color="auto" w:sz="6" w:space="0"/>
              <w:bottom w:val="single" w:color="auto" w:sz="6" w:space="0"/>
            </w:tcBorders>
            <w:vAlign w:val="top"/>
          </w:tcPr>
          <w:p w14:paraId="1BA27DF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tcBorders>
              <w:top w:val="double" w:color="auto" w:sz="6" w:space="0"/>
              <w:bottom w:val="single" w:color="auto" w:sz="6" w:space="0"/>
            </w:tcBorders>
            <w:vAlign w:val="top"/>
          </w:tcPr>
          <w:p w14:paraId="1E706DD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tcBorders>
              <w:top w:val="double" w:color="auto" w:sz="6" w:space="0"/>
              <w:bottom w:val="single" w:color="auto" w:sz="6" w:space="0"/>
            </w:tcBorders>
            <w:vAlign w:val="top"/>
          </w:tcPr>
          <w:p w14:paraId="1128C86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tcBorders>
              <w:top w:val="double" w:color="auto" w:sz="6" w:space="0"/>
              <w:bottom w:val="single" w:color="auto" w:sz="6" w:space="0"/>
            </w:tcBorders>
            <w:vAlign w:val="top"/>
          </w:tcPr>
          <w:p w14:paraId="389A55B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tcBorders>
              <w:top w:val="double" w:color="auto" w:sz="6" w:space="0"/>
              <w:bottom w:val="single" w:color="auto" w:sz="6" w:space="0"/>
            </w:tcBorders>
            <w:vAlign w:val="top"/>
          </w:tcPr>
          <w:p w14:paraId="56C3935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61B42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vAlign w:val="top"/>
          </w:tcPr>
          <w:p w14:paraId="0229BD7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tcBorders>
              <w:top w:val="nil"/>
            </w:tcBorders>
            <w:vAlign w:val="top"/>
          </w:tcPr>
          <w:p w14:paraId="772BAA8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tcBorders>
              <w:top w:val="nil"/>
            </w:tcBorders>
            <w:vAlign w:val="top"/>
          </w:tcPr>
          <w:p w14:paraId="19D2E11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tcBorders>
              <w:top w:val="nil"/>
            </w:tcBorders>
            <w:vAlign w:val="top"/>
          </w:tcPr>
          <w:p w14:paraId="3519D18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tcBorders>
              <w:top w:val="nil"/>
            </w:tcBorders>
            <w:vAlign w:val="top"/>
          </w:tcPr>
          <w:p w14:paraId="6BF63A0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tcBorders>
              <w:top w:val="nil"/>
            </w:tcBorders>
            <w:vAlign w:val="top"/>
          </w:tcPr>
          <w:p w14:paraId="2B9ABBE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tcBorders>
              <w:top w:val="nil"/>
            </w:tcBorders>
            <w:vAlign w:val="top"/>
          </w:tcPr>
          <w:p w14:paraId="33405F3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4DC8E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37662C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7453CE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148F96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2B42174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30ADC4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DDB5AC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8A0AFD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441E0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93D4B7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C45677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2DC78B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805DDB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3DDEF7E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7D6637B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3C71605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0C9E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C459E5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A7FBA8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CE3144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DC9931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3240BEB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2EA436E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41A29CD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33B80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09DF20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61C6EC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07B17A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0CB1630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618364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7075499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844957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7A2CC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C36A60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14700D4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2F876AB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CF3968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221A203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712C229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9F19B8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C376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443382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4A9987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416295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3B9DC4A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7D83760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65B366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96B501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3E33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2E8871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5BA822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2F54DBA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F0DE2C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718982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087C3F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7B9581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62537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FEB2AB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EFF5C5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AADF11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A2BD3E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559B9D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80F74A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AF0FC7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408A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FABA3B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A41A1D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1FF980E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E9537F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E10F02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73BCB7B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3E4668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01055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F1756A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677B4D5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56102B8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42F0109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10D3D39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2C1901A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5FA04AB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10600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1C5A3D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D9D0B4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302861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1395317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F569B9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5B35118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37A2A0D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C36A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64E55E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8985C1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21DCCB5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3941EF9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2B2D20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66597A2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10B635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68A8B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35FFCE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1B56E0A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E5875B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D6123B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7287C80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DA1B7E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8D11EE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3955C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2A7FD3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1970159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329ED72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7F445A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934655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5CA0A15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2E63FDA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0D3F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A88424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6ACBDBA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6607A76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23AC82E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E596DB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CF6464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115552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19C78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A182CE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18D6DA3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B4147C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11CE4A4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2C024F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34F857C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C54914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4590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FFBBF9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1415EB9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2369BFE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4D45A7E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C6E086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0776241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342E40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72992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42DD92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B1975C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4CC0D2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6716ED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41D14A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2AD743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AE03E2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61FB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4CBEE5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0CD9550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D88D0C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19021E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272CE68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66946A4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5386F78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751A9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2EC0AD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E42AA3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120492A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30CF89E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9255E9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AB3482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DE42F9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65142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29604A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166E50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0F8E35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0410F3C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1477962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06EF8C6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3609BF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0309D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A4F6D7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F15AB3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33C67B7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5360B0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80A917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2F96A49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A06C19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71354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AA831D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C9F7D4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650E21A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E18747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49681A1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082D70F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6DE787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bl>
    <w:p w14:paraId="4B2B647F">
      <w:pPr>
        <w:spacing w:before="120" w:beforeLines="50" w:after="120" w:afterLines="50" w:line="440" w:lineRule="exact"/>
        <w:rPr>
          <w:rFonts w:hint="eastAsia" w:ascii="Times New Roman" w:hAnsi="Times New Roman" w:eastAsia="黑体"/>
          <w:color w:val="auto"/>
          <w:sz w:val="30"/>
          <w:szCs w:val="30"/>
          <w:highlight w:val="none"/>
        </w:rPr>
      </w:pPr>
    </w:p>
    <w:p w14:paraId="309596CD">
      <w:pPr>
        <w:spacing w:before="120" w:beforeLines="50" w:after="120" w:afterLines="50" w:line="44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11-2：工程设备暂估价表</w:t>
      </w:r>
    </w:p>
    <w:tbl>
      <w:tblPr>
        <w:tblStyle w:val="28"/>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759A5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top"/>
          </w:tcPr>
          <w:p w14:paraId="35B4E10D">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14:paraId="4848FE3E">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vAlign w:val="top"/>
          </w:tcPr>
          <w:p w14:paraId="4D27BB24">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vAlign w:val="top"/>
          </w:tcPr>
          <w:p w14:paraId="5FA1DD63">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vAlign w:val="top"/>
          </w:tcPr>
          <w:p w14:paraId="4F7DFC8F">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单价</w:t>
            </w:r>
            <w:r>
              <w:rPr>
                <w:rFonts w:hint="eastAsia" w:ascii="Times New Roman" w:hAnsi="Times New Roman"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vAlign w:val="top"/>
          </w:tcPr>
          <w:p w14:paraId="3B1DAF1E">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合价</w:t>
            </w:r>
            <w:r>
              <w:rPr>
                <w:rFonts w:hint="eastAsia" w:ascii="Times New Roman" w:hAnsi="Times New Roman"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vAlign w:val="top"/>
          </w:tcPr>
          <w:p w14:paraId="31A5A79A">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备注</w:t>
            </w:r>
          </w:p>
        </w:tc>
      </w:tr>
      <w:tr w14:paraId="64DD1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vAlign w:val="top"/>
          </w:tcPr>
          <w:p w14:paraId="6DCD936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14:paraId="08A5C37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tcBorders>
              <w:top w:val="double" w:color="auto" w:sz="6" w:space="0"/>
              <w:bottom w:val="single" w:color="auto" w:sz="6" w:space="0"/>
            </w:tcBorders>
            <w:vAlign w:val="top"/>
          </w:tcPr>
          <w:p w14:paraId="258C595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tcBorders>
              <w:top w:val="double" w:color="auto" w:sz="6" w:space="0"/>
              <w:bottom w:val="single" w:color="auto" w:sz="6" w:space="0"/>
            </w:tcBorders>
            <w:vAlign w:val="top"/>
          </w:tcPr>
          <w:p w14:paraId="0C4BF46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tcBorders>
              <w:top w:val="double" w:color="auto" w:sz="6" w:space="0"/>
              <w:bottom w:val="single" w:color="auto" w:sz="6" w:space="0"/>
            </w:tcBorders>
            <w:vAlign w:val="top"/>
          </w:tcPr>
          <w:p w14:paraId="7B7DDAB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tcBorders>
              <w:top w:val="double" w:color="auto" w:sz="6" w:space="0"/>
              <w:bottom w:val="single" w:color="auto" w:sz="6" w:space="0"/>
            </w:tcBorders>
            <w:vAlign w:val="top"/>
          </w:tcPr>
          <w:p w14:paraId="6522DE0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tcBorders>
              <w:top w:val="double" w:color="auto" w:sz="6" w:space="0"/>
              <w:bottom w:val="single" w:color="auto" w:sz="6" w:space="0"/>
            </w:tcBorders>
            <w:vAlign w:val="top"/>
          </w:tcPr>
          <w:p w14:paraId="237A619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02DCC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vAlign w:val="top"/>
          </w:tcPr>
          <w:p w14:paraId="4A91F38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tcBorders>
              <w:top w:val="nil"/>
            </w:tcBorders>
            <w:vAlign w:val="top"/>
          </w:tcPr>
          <w:p w14:paraId="45E72B8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tcBorders>
              <w:top w:val="nil"/>
            </w:tcBorders>
            <w:vAlign w:val="top"/>
          </w:tcPr>
          <w:p w14:paraId="14396AD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tcBorders>
              <w:top w:val="nil"/>
            </w:tcBorders>
            <w:vAlign w:val="top"/>
          </w:tcPr>
          <w:p w14:paraId="102649F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tcBorders>
              <w:top w:val="nil"/>
            </w:tcBorders>
            <w:vAlign w:val="top"/>
          </w:tcPr>
          <w:p w14:paraId="7661BF9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tcBorders>
              <w:top w:val="nil"/>
            </w:tcBorders>
            <w:vAlign w:val="top"/>
          </w:tcPr>
          <w:p w14:paraId="6FF4347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tcBorders>
              <w:top w:val="nil"/>
            </w:tcBorders>
            <w:vAlign w:val="top"/>
          </w:tcPr>
          <w:p w14:paraId="42A31D9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35D2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BC043E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CAF466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2F7DA07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C338CB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4ECE1A7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2242116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D1F34D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009B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7EA3DA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8AF6B7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C22220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435452D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32FAE66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E477E6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38D73DA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798E9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6BFDF7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FCEE3D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1285A9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5EEA47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32C83D9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01B25E7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3606FD3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64259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14EA3E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692485A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CDC5D8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1E9D8F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5CB759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7929CF4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335C0A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42664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C3243E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37C1ABF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BB61D3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2B93506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82FEBF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84303D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47D8677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C804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AD2024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0DEECED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114484E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06FA982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4BD4B6D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52C6943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4083746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6991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51B99C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D4DBD6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7CA55E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003EDAB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960DB0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386D34C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5046FA9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1661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770695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778B7F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825E6E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4242AD9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78E9020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5CD7645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E395E3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A999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7B1070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4B916B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7216647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38251A9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17D2B5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3F32D1B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16239E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360F2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D4E965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0B0DFEA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445D1F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28D7873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E02E56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0F4B5A9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54FE954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470D8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57F398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745D14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6AF5D1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481F2B2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87324A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0BA5FD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3EB9BB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74FF3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7F79D0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6D37B9B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5485A94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FCBB5B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3EBF52F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2F7EA7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25E3014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E6A1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B8B683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E8B08C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5F785E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1BE4D5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17F9C76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748BFF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59BD0D9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348F5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F26ECD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731B97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3E6D2B5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FF4C2C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7A6FB68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3CED0B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47F8431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0B9C9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5EDC8E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735421B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3E97526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1B0C428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0C3523B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5BF6F34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0B558C4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0F398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93F1BC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4F4551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3C5523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65496C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42D100D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34D2FC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54C0309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3E61A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9E36D7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68FF324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325E89E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0EF2BFD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9EFF20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07B6AF4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2F1054B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2CEC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B4227A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307B94A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58E7D7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19D9960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FF4C65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48FA731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6A074E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5904D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87DDA6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1AABA5E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23AC20EE">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155D98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0DD1AB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2B03375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214BA9F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06FFB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FCCCB1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3057C2D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333E1A3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5C52963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52A71B9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2769AE00">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1F3D449B">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214CA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4449F3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46A321C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605122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5D0FA4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10F2A86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676FBB9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4450366F">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4B02E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834AA2D">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23BC2D21">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4105C69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6C3FFE44">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06A1419">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2282122">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6056DD85">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r w14:paraId="36A19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A002AD8">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984" w:type="dxa"/>
            <w:vAlign w:val="top"/>
          </w:tcPr>
          <w:p w14:paraId="5B1FFAA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851" w:type="dxa"/>
            <w:vAlign w:val="top"/>
          </w:tcPr>
          <w:p w14:paraId="07D728DC">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774" w:type="dxa"/>
            <w:vAlign w:val="top"/>
          </w:tcPr>
          <w:p w14:paraId="7EB92EEA">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52" w:type="dxa"/>
            <w:vAlign w:val="top"/>
          </w:tcPr>
          <w:p w14:paraId="6E7BB626">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418" w:type="dxa"/>
            <w:vAlign w:val="top"/>
          </w:tcPr>
          <w:p w14:paraId="1C0C2293">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c>
          <w:tcPr>
            <w:tcW w:w="1303" w:type="dxa"/>
            <w:vAlign w:val="top"/>
          </w:tcPr>
          <w:p w14:paraId="7B3CA5C7">
            <w:pPr>
              <w:pStyle w:val="13"/>
              <w:keepNext/>
              <w:spacing w:after="0" w:line="440" w:lineRule="exact"/>
              <w:ind w:left="63" w:right="63"/>
              <w:rPr>
                <w:rFonts w:ascii="Times New Roman" w:hAnsi="Times New Roman" w:eastAsia="仿宋_GB2312"/>
                <w:color w:val="auto"/>
                <w:kern w:val="2"/>
                <w:sz w:val="24"/>
                <w:szCs w:val="24"/>
                <w:highlight w:val="none"/>
                <w:lang w:val="en-US" w:eastAsia="zh-CN"/>
              </w:rPr>
            </w:pPr>
          </w:p>
        </w:tc>
      </w:tr>
    </w:tbl>
    <w:p w14:paraId="4E2A607C">
      <w:pPr>
        <w:spacing w:line="440" w:lineRule="exact"/>
        <w:rPr>
          <w:rFonts w:ascii="Times New Roman" w:hAnsi="Times New Roman" w:eastAsia="仿宋_GB2312"/>
          <w:color w:val="auto"/>
          <w:sz w:val="30"/>
          <w:szCs w:val="30"/>
          <w:highlight w:val="none"/>
        </w:rPr>
      </w:pPr>
    </w:p>
    <w:p w14:paraId="398F1F30">
      <w:pPr>
        <w:spacing w:before="120" w:beforeLines="50" w:after="120" w:afterLines="50" w:line="440" w:lineRule="exact"/>
        <w:jc w:val="center"/>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宋体" w:cs="宋体"/>
          <w:color w:val="auto"/>
          <w:sz w:val="21"/>
          <w:szCs w:val="21"/>
          <w:highlight w:val="none"/>
        </w:rPr>
        <w:t>11-3：专业工程暂估价表</w:t>
      </w:r>
    </w:p>
    <w:tbl>
      <w:tblPr>
        <w:tblStyle w:val="28"/>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4AB39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vAlign w:val="top"/>
          </w:tcPr>
          <w:p w14:paraId="0C4E8E1E">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14:paraId="15EBA334">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vAlign w:val="top"/>
          </w:tcPr>
          <w:p w14:paraId="61D9F410">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vAlign w:val="top"/>
          </w:tcPr>
          <w:p w14:paraId="68A845ED">
            <w:pPr>
              <w:pStyle w:val="13"/>
              <w:keepNext/>
              <w:spacing w:after="0" w:line="440" w:lineRule="exact"/>
              <w:ind w:left="0" w:leftChars="0" w:right="0" w:rightChars="0" w:firstLine="0" w:firstLineChars="0"/>
              <w:jc w:val="center"/>
              <w:rPr>
                <w:rFonts w:ascii="Times New Roman" w:hAnsi="Times New Roman" w:eastAsia="仿宋_GB2312"/>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金额</w:t>
            </w:r>
          </w:p>
        </w:tc>
      </w:tr>
      <w:tr w14:paraId="05D5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vAlign w:val="top"/>
          </w:tcPr>
          <w:p w14:paraId="1624A98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14:paraId="32532204">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tcBorders>
              <w:top w:val="double" w:color="auto" w:sz="6" w:space="0"/>
              <w:bottom w:val="single" w:color="auto" w:sz="6" w:space="0"/>
            </w:tcBorders>
            <w:vAlign w:val="top"/>
          </w:tcPr>
          <w:p w14:paraId="2A52AE61">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tcBorders>
              <w:top w:val="double" w:color="auto" w:sz="6" w:space="0"/>
              <w:bottom w:val="single" w:color="auto" w:sz="6" w:space="0"/>
            </w:tcBorders>
            <w:vAlign w:val="top"/>
          </w:tcPr>
          <w:p w14:paraId="5BB332AE">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28A12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vAlign w:val="top"/>
          </w:tcPr>
          <w:p w14:paraId="3F534C50">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tcBorders>
              <w:top w:val="nil"/>
            </w:tcBorders>
            <w:vAlign w:val="top"/>
          </w:tcPr>
          <w:p w14:paraId="77276EA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tcBorders>
              <w:top w:val="nil"/>
            </w:tcBorders>
            <w:vAlign w:val="top"/>
          </w:tcPr>
          <w:p w14:paraId="2374831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tcBorders>
              <w:top w:val="nil"/>
            </w:tcBorders>
            <w:vAlign w:val="top"/>
          </w:tcPr>
          <w:p w14:paraId="42B43F44">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6DBD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vAlign w:val="top"/>
          </w:tcPr>
          <w:p w14:paraId="51255D10">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tcBorders>
              <w:top w:val="nil"/>
            </w:tcBorders>
            <w:vAlign w:val="top"/>
          </w:tcPr>
          <w:p w14:paraId="50D9CA7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tcBorders>
              <w:top w:val="nil"/>
            </w:tcBorders>
            <w:vAlign w:val="top"/>
          </w:tcPr>
          <w:p w14:paraId="3955EC53">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tcBorders>
              <w:top w:val="nil"/>
            </w:tcBorders>
            <w:vAlign w:val="top"/>
          </w:tcPr>
          <w:p w14:paraId="35927677">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FB9C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51D7C99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71E13C7A">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5B98BD55">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65E11B1F">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75069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19D3951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547A0CB0">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65DDC0C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6FC04ACD">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B07D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DF02C7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28BDE5D1">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1414B64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659F3FE4">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5AE9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0B725C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5E496CA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2CDCCD9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5920A839">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6D7F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61FDF5C">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4A8836C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34DB4B45">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79728292">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04365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84FD70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62AA5E6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5D1DC5B1">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7243A25A">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43A9C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244612EC">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05EB293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3B70BEB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2900A42A">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293DF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AEF249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58842FCD">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12295A15">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478E53F8">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01A82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112DA22">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1BFA92CA">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0B063817">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6B6FDE1E">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0D0E4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4F0CC5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5DB8F90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5A7ED7C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670A27BF">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2B1CA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F195222">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21AD12E0">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0924D25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3308E2D5">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701B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005732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23E20872">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3875529D">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103B2AF2">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1B350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507E1D8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15A22E7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7CACA0A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6C946381">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7E16D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857074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715C09B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01DD0170">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7470994D">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5D72F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1E99353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368190E8">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39B6516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741E1A76">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6466D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5FAB646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195A7CA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586F679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23589733">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46199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273D024D">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3EDFCD01">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145FAB25">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28A79F61">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68E2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EEC0B6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198C6CED">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217DDB9D">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5DABC2FD">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08E88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002504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2A7D5C1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3808A1E1">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378511DF">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00F30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6FFB614A">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63933137">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6A3ABC13">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196DDA0B">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41C70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3682AA7C">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4CBDA7BB">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68A4324F">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06BA7F8F">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39475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12991799">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52037A56">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56F94FCE">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34FEA7EB">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0E1A6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607E7628">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984" w:type="dxa"/>
            <w:vAlign w:val="top"/>
          </w:tcPr>
          <w:p w14:paraId="531B2F11">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4395" w:type="dxa"/>
            <w:vAlign w:val="top"/>
          </w:tcPr>
          <w:p w14:paraId="01090B65">
            <w:pPr>
              <w:pStyle w:val="13"/>
              <w:keepNext/>
              <w:spacing w:after="0" w:line="440" w:lineRule="exact"/>
              <w:ind w:left="63" w:right="63"/>
              <w:rPr>
                <w:rFonts w:ascii="Times New Roman" w:hAnsi="Times New Roman"/>
                <w:color w:val="auto"/>
                <w:kern w:val="2"/>
                <w:sz w:val="24"/>
                <w:szCs w:val="24"/>
                <w:highlight w:val="none"/>
                <w:lang w:val="en-US" w:eastAsia="zh-CN"/>
              </w:rPr>
            </w:pPr>
          </w:p>
        </w:tc>
        <w:tc>
          <w:tcPr>
            <w:tcW w:w="1417" w:type="dxa"/>
            <w:vAlign w:val="top"/>
          </w:tcPr>
          <w:p w14:paraId="44D23E98">
            <w:pPr>
              <w:pStyle w:val="13"/>
              <w:keepNext/>
              <w:spacing w:after="0" w:line="440" w:lineRule="exact"/>
              <w:ind w:left="63" w:right="63"/>
              <w:rPr>
                <w:rFonts w:ascii="Times New Roman" w:hAnsi="Times New Roman"/>
                <w:color w:val="auto"/>
                <w:kern w:val="2"/>
                <w:sz w:val="24"/>
                <w:szCs w:val="24"/>
                <w:highlight w:val="none"/>
                <w:lang w:val="en-US" w:eastAsia="zh-CN"/>
              </w:rPr>
            </w:pPr>
          </w:p>
        </w:tc>
      </w:tr>
      <w:tr w14:paraId="5CA3F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75" w:type="dxa"/>
            <w:gridSpan w:val="4"/>
            <w:vAlign w:val="top"/>
          </w:tcPr>
          <w:p w14:paraId="72B621C8">
            <w:pPr>
              <w:pStyle w:val="13"/>
              <w:keepNext/>
              <w:spacing w:after="0" w:line="440" w:lineRule="exact"/>
              <w:ind w:left="63" w:right="63"/>
              <w:rPr>
                <w:rFonts w:ascii="Times New Roman" w:hAnsi="Times New Roman"/>
                <w:color w:val="auto"/>
                <w:kern w:val="2"/>
                <w:sz w:val="24"/>
                <w:szCs w:val="24"/>
                <w:highlight w:val="none"/>
                <w:lang w:val="en-US" w:eastAsia="zh-CN"/>
              </w:rPr>
            </w:pPr>
            <w:r>
              <w:rPr>
                <w:rFonts w:ascii="Times New Roman" w:hAnsi="Times New Roman" w:eastAsia="仿宋_GB2312"/>
                <w:color w:val="auto"/>
                <w:kern w:val="2"/>
                <w:sz w:val="24"/>
                <w:szCs w:val="24"/>
                <w:highlight w:val="none"/>
                <w:lang w:val="en-US" w:eastAsia="zh-CN"/>
              </w:rPr>
              <w:t>小计：</w:t>
            </w:r>
          </w:p>
        </w:tc>
      </w:tr>
    </w:tbl>
    <w:p w14:paraId="5F0778F1">
      <w:pPr>
        <w:spacing w:line="480" w:lineRule="auto"/>
        <w:rPr>
          <w:rFonts w:ascii="Times New Roman" w:hAnsi="Times New Roman"/>
          <w:color w:val="auto"/>
          <w:highlight w:val="none"/>
        </w:rPr>
      </w:pPr>
    </w:p>
    <w:bookmarkEnd w:id="207"/>
    <w:bookmarkEnd w:id="208"/>
    <w:bookmarkEnd w:id="209"/>
    <w:bookmarkEnd w:id="210"/>
    <w:bookmarkEnd w:id="211"/>
    <w:p w14:paraId="51439D03">
      <w:pPr>
        <w:pStyle w:val="2"/>
        <w:spacing w:before="0" w:after="0" w:line="240" w:lineRule="auto"/>
        <w:jc w:val="center"/>
        <w:rPr>
          <w:rFonts w:hint="eastAsia" w:cs="仿宋_GB2312"/>
          <w:b w:val="0"/>
          <w:bCs w:val="0"/>
          <w:color w:val="auto"/>
          <w:highlight w:val="none"/>
        </w:rPr>
      </w:pPr>
      <w:bookmarkStart w:id="292" w:name="_Toc21822"/>
    </w:p>
    <w:p w14:paraId="244742D9">
      <w:pPr>
        <w:pStyle w:val="2"/>
        <w:spacing w:before="0" w:after="0" w:line="240" w:lineRule="auto"/>
        <w:jc w:val="center"/>
        <w:rPr>
          <w:rFonts w:hint="eastAsia" w:cs="仿宋_GB2312"/>
          <w:b w:val="0"/>
          <w:bCs w:val="0"/>
          <w:color w:val="auto"/>
          <w:highlight w:val="none"/>
          <w:lang w:eastAsia="zh-CN"/>
        </w:rPr>
      </w:pPr>
      <w:r>
        <w:rPr>
          <w:rFonts w:hint="eastAsia" w:cs="仿宋_GB2312"/>
          <w:b w:val="0"/>
          <w:bCs w:val="0"/>
          <w:color w:val="auto"/>
          <w:highlight w:val="none"/>
        </w:rPr>
        <w:t>第</w:t>
      </w:r>
      <w:r>
        <w:rPr>
          <w:rFonts w:hint="eastAsia" w:cs="仿宋_GB2312"/>
          <w:b w:val="0"/>
          <w:bCs w:val="0"/>
          <w:color w:val="auto"/>
          <w:highlight w:val="none"/>
          <w:lang w:eastAsia="zh-CN"/>
        </w:rPr>
        <w:t>七</w:t>
      </w:r>
      <w:r>
        <w:rPr>
          <w:rFonts w:hint="eastAsia" w:cs="仿宋_GB2312"/>
          <w:b w:val="0"/>
          <w:bCs w:val="0"/>
          <w:color w:val="auto"/>
          <w:highlight w:val="none"/>
        </w:rPr>
        <w:t>章 工程量清单</w:t>
      </w:r>
      <w:bookmarkEnd w:id="166"/>
      <w:bookmarkEnd w:id="167"/>
      <w:r>
        <w:rPr>
          <w:rFonts w:hint="eastAsia" w:cs="仿宋_GB2312"/>
          <w:b w:val="0"/>
          <w:bCs w:val="0"/>
          <w:color w:val="auto"/>
          <w:highlight w:val="none"/>
          <w:lang w:eastAsia="zh-CN"/>
        </w:rPr>
        <w:t>、图纸</w:t>
      </w:r>
      <w:bookmarkEnd w:id="168"/>
      <w:bookmarkEnd w:id="292"/>
    </w:p>
    <w:p w14:paraId="3E59407B">
      <w:pPr>
        <w:jc w:val="center"/>
        <w:rPr>
          <w:b/>
          <w:bCs/>
          <w:color w:val="auto"/>
          <w:kern w:val="44"/>
          <w:sz w:val="32"/>
          <w:szCs w:val="32"/>
          <w:highlight w:val="none"/>
        </w:rPr>
      </w:pPr>
    </w:p>
    <w:p w14:paraId="5CB5B343">
      <w:pPr>
        <w:pStyle w:val="3"/>
        <w:rPr>
          <w:color w:val="auto"/>
          <w:kern w:val="44"/>
          <w:sz w:val="21"/>
          <w:szCs w:val="21"/>
          <w:highlight w:val="none"/>
        </w:rPr>
      </w:pPr>
      <w:bookmarkStart w:id="293" w:name="_Toc27256"/>
      <w:bookmarkStart w:id="294" w:name="_Toc407135284"/>
      <w:r>
        <w:rPr>
          <w:color w:val="auto"/>
          <w:sz w:val="21"/>
          <w:szCs w:val="21"/>
          <w:highlight w:val="none"/>
        </w:rPr>
        <w:t xml:space="preserve">1 </w:t>
      </w:r>
      <w:r>
        <w:rPr>
          <w:rFonts w:hint="eastAsia" w:cs="黑体"/>
          <w:color w:val="auto"/>
          <w:sz w:val="21"/>
          <w:szCs w:val="21"/>
          <w:highlight w:val="none"/>
        </w:rPr>
        <w:t>工程量清单编制说明</w:t>
      </w:r>
      <w:bookmarkEnd w:id="293"/>
      <w:bookmarkEnd w:id="294"/>
    </w:p>
    <w:p w14:paraId="36BA6055">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本工程量清单依据GB50500-2013《建设工程工程量清单计价规范》</w:t>
      </w:r>
      <w:r>
        <w:rPr>
          <w:rFonts w:hint="eastAsia" w:hAnsi="宋体" w:cs="宋体"/>
          <w:color w:val="auto"/>
          <w:highlight w:val="none"/>
          <w:lang w:eastAsia="zh-CN"/>
        </w:rPr>
        <w:t>、</w:t>
      </w:r>
      <w:r>
        <w:rPr>
          <w:rFonts w:hint="eastAsia" w:hAnsi="宋体" w:cs="宋体"/>
          <w:color w:val="auto"/>
          <w:highlight w:val="none"/>
        </w:rPr>
        <w:t>GB50500-2013《建设工程工程量清单计价规范》广西壮族自治区实施细则（修订版）</w:t>
      </w:r>
      <w:r>
        <w:rPr>
          <w:rFonts w:hint="eastAsia" w:hAnsi="宋体" w:cs="宋体"/>
          <w:color w:val="auto"/>
          <w:highlight w:val="none"/>
          <w:lang w:eastAsia="zh-CN"/>
        </w:rPr>
        <w:t>、</w:t>
      </w:r>
      <w:r>
        <w:rPr>
          <w:rFonts w:hint="eastAsia" w:hAnsi="宋体" w:cs="宋体"/>
          <w:color w:val="auto"/>
          <w:highlight w:val="none"/>
        </w:rPr>
        <w:t>2024年《广西壮族自治区建筑装饰装修工程消耗量定额》及费用定额</w:t>
      </w:r>
      <w:r>
        <w:rPr>
          <w:rFonts w:hint="eastAsia" w:hAnsi="宋体" w:cs="宋体"/>
          <w:color w:val="auto"/>
          <w:highlight w:val="none"/>
          <w:lang w:eastAsia="zh-CN"/>
        </w:rPr>
        <w:t>、</w:t>
      </w:r>
      <w:r>
        <w:rPr>
          <w:rFonts w:hint="eastAsia" w:hAnsi="宋体" w:cs="宋体"/>
          <w:color w:val="auto"/>
          <w:highlight w:val="none"/>
        </w:rPr>
        <w:t>2024年《广西壮族自治区建筑工程拆除消耗量定额》及费用定额</w:t>
      </w:r>
      <w:r>
        <w:rPr>
          <w:rFonts w:hint="eastAsia" w:hAnsi="宋体" w:cs="宋体"/>
          <w:color w:val="auto"/>
          <w:highlight w:val="none"/>
          <w:lang w:eastAsia="zh-CN"/>
        </w:rPr>
        <w:t>、</w:t>
      </w:r>
      <w:r>
        <w:rPr>
          <w:rFonts w:hint="eastAsia" w:hAnsi="宋体" w:cs="宋体"/>
          <w:color w:val="auto"/>
          <w:highlight w:val="none"/>
        </w:rPr>
        <w:t>2023年《广西壮族自治区安装工程消耗量定额》及费用定额</w:t>
      </w:r>
      <w:r>
        <w:rPr>
          <w:rFonts w:hint="eastAsia" w:hAnsi="宋体" w:cs="宋体"/>
          <w:color w:val="auto"/>
          <w:highlight w:val="none"/>
          <w:lang w:eastAsia="zh-CN"/>
        </w:rPr>
        <w:t>、</w:t>
      </w:r>
      <w:r>
        <w:rPr>
          <w:rFonts w:hint="eastAsia" w:hAnsi="宋体" w:cs="宋体"/>
          <w:color w:val="auto"/>
          <w:highlight w:val="none"/>
        </w:rPr>
        <w:t>2022年《广西壮族自治区市政工程消耗量定额》及费用定额、《自治区住房城乡建设厅关于建筑业营业税改增值税广西壮族自治区建设工程计价依据调整的通知》（桂建标[2016]17号）</w:t>
      </w:r>
      <w:r>
        <w:rPr>
          <w:rFonts w:hint="eastAsia" w:hAnsi="宋体" w:cs="宋体"/>
          <w:color w:val="auto"/>
          <w:highlight w:val="none"/>
          <w:lang w:eastAsia="zh-CN"/>
        </w:rPr>
        <w:t>、</w:t>
      </w:r>
      <w:r>
        <w:rPr>
          <w:rFonts w:hint="eastAsia" w:hAnsi="宋体" w:cs="宋体"/>
          <w:color w:val="auto"/>
          <w:highlight w:val="none"/>
        </w:rPr>
        <w:t>《关于调整除税价计算适用增值税税率的通知》（桂造价[2019]10号）</w:t>
      </w:r>
      <w:r>
        <w:rPr>
          <w:rFonts w:hint="eastAsia" w:hAnsi="宋体" w:cs="宋体"/>
          <w:color w:val="auto"/>
          <w:highlight w:val="none"/>
          <w:lang w:eastAsia="zh-CN"/>
        </w:rPr>
        <w:t>、</w:t>
      </w:r>
      <w:r>
        <w:rPr>
          <w:rFonts w:hint="eastAsia" w:hAnsi="宋体" w:cs="宋体"/>
          <w:color w:val="auto"/>
          <w:highlight w:val="none"/>
        </w:rPr>
        <w:t>材料价格套用2025年第3期《桂林市市建设工程造价信息（灵川县）》中的信息价（除税价格），信息价内没有的材料价按市场询价</w:t>
      </w:r>
      <w:r>
        <w:rPr>
          <w:rFonts w:hint="eastAsia" w:hAnsi="宋体" w:cs="宋体"/>
          <w:color w:val="auto"/>
          <w:kern w:val="0"/>
          <w:highlight w:val="none"/>
        </w:rPr>
        <w:t>、</w:t>
      </w:r>
      <w:r>
        <w:rPr>
          <w:rFonts w:hint="eastAsia" w:hAnsi="宋体" w:cs="宋体"/>
          <w:color w:val="auto"/>
          <w:szCs w:val="21"/>
          <w:highlight w:val="none"/>
        </w:rPr>
        <w:t>竞争性磋商采购</w:t>
      </w:r>
      <w:r>
        <w:rPr>
          <w:rFonts w:hint="eastAsia" w:hAnsi="宋体" w:cs="宋体"/>
          <w:color w:val="auto"/>
          <w:highlight w:val="none"/>
        </w:rPr>
        <w:t>文件、施工图等编制。计算规范中没有的清单项目，应在本章第</w:t>
      </w:r>
      <w:r>
        <w:rPr>
          <w:color w:val="auto"/>
          <w:highlight w:val="none"/>
        </w:rPr>
        <w:t>1.4</w:t>
      </w:r>
      <w:r>
        <w:rPr>
          <w:rFonts w:hint="eastAsia" w:hAnsi="宋体" w:cs="宋体"/>
          <w:color w:val="auto"/>
          <w:highlight w:val="none"/>
        </w:rPr>
        <w:t>款约定。</w:t>
      </w:r>
    </w:p>
    <w:p w14:paraId="60E86CDC">
      <w:pPr>
        <w:spacing w:line="360" w:lineRule="auto"/>
        <w:ind w:firstLine="420" w:firstLineChars="200"/>
        <w:outlineLvl w:val="0"/>
        <w:rPr>
          <w:color w:val="auto"/>
          <w:highlight w:val="none"/>
        </w:rPr>
      </w:pPr>
      <w:bookmarkStart w:id="295" w:name="_Toc29224"/>
      <w:bookmarkStart w:id="296" w:name="_Toc13733"/>
      <w:bookmarkStart w:id="297" w:name="_Toc1041"/>
      <w:r>
        <w:rPr>
          <w:color w:val="auto"/>
          <w:highlight w:val="none"/>
        </w:rPr>
        <w:t xml:space="preserve">1.2 </w:t>
      </w:r>
      <w:r>
        <w:rPr>
          <w:rFonts w:hint="eastAsia" w:cs="宋体"/>
          <w:color w:val="auto"/>
          <w:highlight w:val="none"/>
        </w:rPr>
        <w:t>工程量清单应与磋商须知、合同协议条款、合同的通用条款、合同专用条款、技术规范及图纸等文件一起结合使用。</w:t>
      </w:r>
      <w:bookmarkEnd w:id="295"/>
      <w:bookmarkEnd w:id="296"/>
      <w:bookmarkEnd w:id="297"/>
    </w:p>
    <w:p w14:paraId="641F2610">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w:t>
      </w:r>
      <w:r>
        <w:rPr>
          <w:rFonts w:hint="eastAsia" w:hAnsi="宋体" w:cs="宋体"/>
          <w:color w:val="auto"/>
          <w:szCs w:val="21"/>
          <w:highlight w:val="none"/>
        </w:rPr>
        <w:t>竞争性磋商采购</w:t>
      </w:r>
      <w:r>
        <w:rPr>
          <w:rFonts w:hint="eastAsia" w:cs="宋体"/>
          <w:color w:val="auto"/>
          <w:highlight w:val="none"/>
        </w:rPr>
        <w:t>文件的组成部分，是工程量清单计价的基础，作为编制招标控制价、</w:t>
      </w:r>
      <w:r>
        <w:rPr>
          <w:rFonts w:hint="eastAsia" w:hAnsi="宋体" w:cs="宋体"/>
          <w:color w:val="auto"/>
          <w:kern w:val="0"/>
          <w:szCs w:val="21"/>
          <w:highlight w:val="none"/>
          <w:lang w:eastAsia="zh-CN"/>
        </w:rPr>
        <w:t>响应</w:t>
      </w:r>
      <w:r>
        <w:rPr>
          <w:rFonts w:hint="eastAsia" w:cs="宋体"/>
          <w:color w:val="auto"/>
          <w:highlight w:val="none"/>
        </w:rPr>
        <w:t>报价、计算或调整工程量、索赔等的依据之一。</w:t>
      </w:r>
    </w:p>
    <w:p w14:paraId="0075827F">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14:paraId="0D5113F1">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410FB63D">
      <w:pPr>
        <w:pStyle w:val="17"/>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 </w:t>
      </w:r>
      <w:r>
        <w:rPr>
          <w:rFonts w:hint="eastAsia" w:ascii="Times New Roman" w:hAnsi="Times New Roman"/>
          <w:color w:val="auto"/>
          <w:sz w:val="21"/>
          <w:highlight w:val="none"/>
        </w:rPr>
        <w:t>《承包人提供的主要材料和设备一览表》（表</w:t>
      </w:r>
      <w:r>
        <w:rPr>
          <w:rFonts w:ascii="Times New Roman" w:hAnsi="Times New Roman"/>
          <w:color w:val="auto"/>
          <w:sz w:val="21"/>
          <w:highlight w:val="none"/>
        </w:rPr>
        <w:t>-22</w:t>
      </w:r>
      <w:r>
        <w:rPr>
          <w:rFonts w:hint="eastAsia" w:ascii="Times New Roman" w:hAnsi="Times New Roman"/>
          <w:color w:val="auto"/>
          <w:sz w:val="21"/>
          <w:highlight w:val="none"/>
        </w:rPr>
        <w:t>，表格编号为计价规范相应表格编号，下同）作为项目实施过程中材料和设备价格风险调整依据。</w:t>
      </w:r>
    </w:p>
    <w:p w14:paraId="4FC42DCC">
      <w:pPr>
        <w:pStyle w:val="17"/>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1.6 </w:t>
      </w:r>
      <w:r>
        <w:rPr>
          <w:rFonts w:hint="eastAsia" w:ascii="Times New Roman" w:hAnsi="Times New Roman"/>
          <w:color w:val="auto"/>
          <w:sz w:val="21"/>
          <w:highlight w:val="none"/>
        </w:rPr>
        <w:t>本工程暂列金额，共</w:t>
      </w:r>
      <w:r>
        <w:rPr>
          <w:rFonts w:hint="eastAsia"/>
          <w:color w:val="auto"/>
          <w:highlight w:val="none"/>
          <w:lang w:val="en-US" w:eastAsia="zh-CN"/>
        </w:rPr>
        <w:t xml:space="preserve">         </w:t>
      </w:r>
      <w:r>
        <w:rPr>
          <w:rFonts w:hint="eastAsia" w:ascii="Times New Roman" w:hAnsi="Times New Roman"/>
          <w:color w:val="auto"/>
          <w:sz w:val="21"/>
          <w:highlight w:val="none"/>
        </w:rPr>
        <w:t>元，作为合同签订时尚未确定或者不可预见但施工中可能发生的费用。</w:t>
      </w:r>
    </w:p>
    <w:p w14:paraId="1FF403D5">
      <w:pPr>
        <w:pStyle w:val="17"/>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1.7 </w:t>
      </w:r>
      <w:r>
        <w:rPr>
          <w:rFonts w:hint="eastAsia" w:ascii="Times New Roman" w:hAnsi="Times New Roman"/>
          <w:color w:val="auto"/>
          <w:sz w:val="21"/>
          <w:highlight w:val="none"/>
        </w:rPr>
        <w:t>本工程发包人提供的材料和设备详见《发包人提供的主要材料和工程设备一览表》（表</w:t>
      </w:r>
      <w:r>
        <w:rPr>
          <w:rFonts w:ascii="Times New Roman" w:hAnsi="Times New Roman"/>
          <w:color w:val="auto"/>
          <w:sz w:val="21"/>
          <w:highlight w:val="none"/>
        </w:rPr>
        <w:t>-21</w:t>
      </w:r>
      <w:r>
        <w:rPr>
          <w:rFonts w:hint="eastAsia" w:ascii="Times New Roman" w:hAnsi="Times New Roman"/>
          <w:color w:val="auto"/>
          <w:sz w:val="21"/>
          <w:highlight w:val="none"/>
        </w:rPr>
        <w:t>）。</w:t>
      </w:r>
    </w:p>
    <w:p w14:paraId="357B3465">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3B521DF9">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0CAB0F46">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rFonts w:hint="eastAsia"/>
          <w:color w:val="auto"/>
          <w:highlight w:val="none"/>
          <w:lang w:eastAsia="zh-CN"/>
        </w:rPr>
        <w:t>“</w:t>
      </w:r>
      <w:r>
        <w:rPr>
          <w:color w:val="auto"/>
          <w:highlight w:val="none"/>
        </w:rPr>
        <w:t>*</w:t>
      </w:r>
      <w:r>
        <w:rPr>
          <w:rFonts w:hint="eastAsia"/>
          <w:color w:val="auto"/>
          <w:highlight w:val="none"/>
          <w:lang w:eastAsia="zh-CN"/>
        </w:rPr>
        <w:t>”</w:t>
      </w:r>
      <w:r>
        <w:rPr>
          <w:rFonts w:hint="eastAsia" w:cs="宋体"/>
          <w:color w:val="auto"/>
          <w:highlight w:val="none"/>
        </w:rPr>
        <w:t>号的清单项目作为主要清单项目，需要供应商提供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0DBACA11">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s="宋体"/>
          <w:color w:val="auto"/>
          <w:highlight w:val="none"/>
        </w:rPr>
        <w:t>。</w:t>
      </w:r>
    </w:p>
    <w:p w14:paraId="7FEA6866">
      <w:pPr>
        <w:spacing w:line="360" w:lineRule="auto"/>
        <w:ind w:firstLine="420" w:firstLineChars="200"/>
        <w:jc w:val="left"/>
        <w:rPr>
          <w:color w:val="auto"/>
          <w:highlight w:val="none"/>
        </w:rPr>
      </w:pPr>
      <w:r>
        <w:rPr>
          <w:color w:val="auto"/>
          <w:highlight w:val="none"/>
        </w:rPr>
        <w:t xml:space="preserve">1.12 </w:t>
      </w:r>
      <w:r>
        <w:rPr>
          <w:color w:val="auto"/>
          <w:szCs w:val="21"/>
          <w:highlight w:val="none"/>
        </w:rPr>
        <w:t>工程量清单另册发放。</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w:t>
      </w:r>
      <w:r>
        <w:rPr>
          <w:rFonts w:hint="eastAsia" w:ascii="宋体" w:hAnsi="宋体" w:cs="宋体"/>
          <w:color w:val="auto"/>
          <w:highlight w:val="none"/>
          <w:lang w:eastAsia="zh-CN"/>
        </w:rPr>
        <w:t>“</w:t>
      </w:r>
      <w:r>
        <w:rPr>
          <w:rFonts w:hint="eastAsia" w:ascii="宋体" w:hAnsi="宋体" w:cs="宋体"/>
          <w:color w:val="auto"/>
          <w:highlight w:val="none"/>
        </w:rPr>
        <w:t>增值税一般计税方法工程计价表</w:t>
      </w:r>
      <w:r>
        <w:rPr>
          <w:rFonts w:hint="eastAsia" w:ascii="宋体" w:hAnsi="宋体" w:cs="宋体"/>
          <w:color w:val="auto"/>
          <w:highlight w:val="none"/>
          <w:lang w:eastAsia="zh-CN"/>
        </w:rPr>
        <w:t>”</w:t>
      </w:r>
      <w:r>
        <w:rPr>
          <w:rFonts w:hint="eastAsia" w:ascii="宋体" w:hAnsi="宋体" w:cs="宋体"/>
          <w:color w:val="auto"/>
          <w:highlight w:val="none"/>
        </w:rPr>
        <w:t>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45DFDA55">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2A2E498D">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054B1DAF">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2BE2BB7C">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170F3B18">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32623378">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1B79C725">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7B99E9DC">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08A36431">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564CEC07">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02B5B929">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837778A">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4A6EFEE8">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3EBCA35C">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5F2700F4">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151B8456">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1195D7B0">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0AFCC197">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14:paraId="70431F5C">
      <w:pPr>
        <w:spacing w:line="360" w:lineRule="auto"/>
        <w:ind w:firstLine="630" w:firstLineChars="300"/>
        <w:jc w:val="left"/>
        <w:rPr>
          <w:color w:val="auto"/>
          <w:highlight w:val="none"/>
        </w:rPr>
      </w:pPr>
      <w:r>
        <w:rPr>
          <w:color w:val="auto"/>
          <w:highlight w:val="none"/>
        </w:rPr>
        <w:t>1.19</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6AE00819">
      <w:pPr>
        <w:spacing w:line="360" w:lineRule="auto"/>
        <w:ind w:firstLine="630" w:firstLineChars="300"/>
        <w:jc w:val="left"/>
        <w:rPr>
          <w:rFonts w:hint="eastAsia"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）载明的主要材料和设备为本工程允许调整的材料和设备，工程量清单必须提供该表格，且不能提供空白表。（根据项目实际情况调整）</w:t>
      </w:r>
    </w:p>
    <w:p w14:paraId="0213CE2C">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以下表格视工程实际需要选用，如该工程不发生如下表格相关项目和费用，所编制工程量清单则不需列入相应表格：</w:t>
      </w:r>
    </w:p>
    <w:p w14:paraId="37BE7B03">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6A300B3E">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6EDE0E58">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3C24D04B">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79FEE257">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012D7C33">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2E389E45">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482AF103">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1EF3D7BE">
      <w:pPr>
        <w:pStyle w:val="3"/>
        <w:rPr>
          <w:color w:val="auto"/>
          <w:sz w:val="21"/>
          <w:szCs w:val="21"/>
          <w:highlight w:val="none"/>
        </w:rPr>
      </w:pPr>
      <w:bookmarkStart w:id="298" w:name="_Toc407135285"/>
      <w:bookmarkStart w:id="299" w:name="_Toc13127"/>
      <w:r>
        <w:rPr>
          <w:color w:val="auto"/>
          <w:sz w:val="21"/>
          <w:szCs w:val="21"/>
          <w:highlight w:val="none"/>
        </w:rPr>
        <w:t xml:space="preserve">2 </w:t>
      </w:r>
      <w:r>
        <w:rPr>
          <w:rFonts w:hint="eastAsia" w:cs="黑体"/>
          <w:color w:val="auto"/>
          <w:sz w:val="21"/>
          <w:szCs w:val="21"/>
          <w:highlight w:val="none"/>
        </w:rPr>
        <w:t>招标控制价编制说明</w:t>
      </w:r>
      <w:bookmarkEnd w:id="298"/>
      <w:bookmarkEnd w:id="299"/>
    </w:p>
    <w:p w14:paraId="283A2D0D">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2A06C323">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5915FE66">
      <w:pPr>
        <w:spacing w:line="360" w:lineRule="auto"/>
        <w:ind w:firstLine="420" w:firstLineChars="200"/>
        <w:jc w:val="left"/>
        <w:rPr>
          <w:rFonts w:hint="eastAsia"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2013《广西壮族自治区建筑装饰装修工程消耗量定额》、2015年《广西壮族自治区安装工程消耗量定额》、《广西自治区住房城乡建设厅关于调整建设工程定额人工费及有关费率的通知》桂建标[2023]7号文</w:t>
      </w:r>
      <w:r>
        <w:rPr>
          <w:rFonts w:hint="eastAsia" w:cs="宋体"/>
          <w:color w:val="auto"/>
          <w:highlight w:val="none"/>
          <w:lang w:eastAsia="zh-CN"/>
        </w:rPr>
        <w:t>、</w:t>
      </w:r>
      <w:r>
        <w:rPr>
          <w:rFonts w:hint="eastAsia" w:cs="宋体"/>
          <w:color w:val="auto"/>
          <w:highlight w:val="none"/>
        </w:rPr>
        <w:t>桂建发【2023】6号</w:t>
      </w:r>
      <w:r>
        <w:rPr>
          <w:rFonts w:hint="eastAsia" w:cs="宋体"/>
          <w:color w:val="auto"/>
          <w:highlight w:val="none"/>
          <w:lang w:eastAsia="zh-CN"/>
        </w:rPr>
        <w:t>《</w:t>
      </w:r>
      <w:r>
        <w:rPr>
          <w:rFonts w:hint="eastAsia" w:cs="宋体"/>
          <w:color w:val="auto"/>
          <w:highlight w:val="none"/>
        </w:rPr>
        <w:t>关于工程安全生产责任保险计价规定的通知</w:t>
      </w:r>
      <w:r>
        <w:rPr>
          <w:rFonts w:hint="eastAsia" w:cs="宋体"/>
          <w:color w:val="auto"/>
          <w:highlight w:val="none"/>
          <w:lang w:eastAsia="zh-CN"/>
        </w:rPr>
        <w:t>》（具体</w:t>
      </w:r>
      <w:r>
        <w:rPr>
          <w:rFonts w:hint="eastAsia" w:cs="宋体"/>
          <w:color w:val="auto"/>
          <w:highlight w:val="none"/>
        </w:rPr>
        <w:t>内容以</w:t>
      </w:r>
      <w:r>
        <w:rPr>
          <w:rFonts w:hint="eastAsia" w:cs="宋体"/>
          <w:color w:val="auto"/>
          <w:highlight w:val="none"/>
          <w:lang w:eastAsia="zh-CN"/>
        </w:rPr>
        <w:t>工程量清单及</w:t>
      </w:r>
      <w:r>
        <w:rPr>
          <w:rFonts w:hint="eastAsia" w:cs="宋体"/>
          <w:color w:val="auto"/>
          <w:highlight w:val="none"/>
        </w:rPr>
        <w:t>招标控制价总说明为准</w:t>
      </w:r>
      <w:r>
        <w:rPr>
          <w:rFonts w:hint="eastAsia" w:cs="宋体"/>
          <w:color w:val="auto"/>
          <w:highlight w:val="none"/>
          <w:lang w:eastAsia="zh-CN"/>
        </w:rPr>
        <w:t>）</w:t>
      </w:r>
      <w:r>
        <w:rPr>
          <w:rFonts w:hint="eastAsia" w:cs="宋体"/>
          <w:color w:val="auto"/>
          <w:highlight w:val="none"/>
        </w:rPr>
        <w:t>。</w:t>
      </w:r>
    </w:p>
    <w:p w14:paraId="17AD829F">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s="宋体"/>
          <w:color w:val="auto"/>
          <w:highlight w:val="none"/>
        </w:rPr>
        <w:t>。</w:t>
      </w:r>
      <w:r>
        <w:rPr>
          <w:color w:val="auto"/>
          <w:highlight w:val="none"/>
        </w:rPr>
        <w:t xml:space="preserve"> </w:t>
      </w:r>
    </w:p>
    <w:p w14:paraId="72C9893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w:t>
      </w:r>
      <w:r>
        <w:rPr>
          <w:rFonts w:hint="eastAsia" w:hAnsi="宋体" w:cs="宋体"/>
          <w:color w:val="auto"/>
          <w:szCs w:val="21"/>
          <w:highlight w:val="none"/>
        </w:rPr>
        <w:t>竞争性磋商采购</w:t>
      </w:r>
      <w:r>
        <w:rPr>
          <w:rFonts w:hint="eastAsia" w:cs="宋体"/>
          <w:color w:val="auto"/>
          <w:highlight w:val="none"/>
        </w:rPr>
        <w:t>文件及工程量清单；</w:t>
      </w:r>
    </w:p>
    <w:p w14:paraId="2A510D7C">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6C941EDB">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68049FE5">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eastAsia="zh-CN"/>
        </w:rPr>
        <w:t>桂林</w:t>
      </w:r>
      <w:r>
        <w:rPr>
          <w:rFonts w:hint="eastAsia" w:cs="宋体"/>
          <w:color w:val="auto"/>
          <w:highlight w:val="none"/>
        </w:rPr>
        <w:t>市建设工程造价管理机构发布的工程造价信息</w:t>
      </w:r>
      <w:r>
        <w:rPr>
          <w:rFonts w:hint="eastAsia" w:cs="宋体"/>
          <w:color w:val="auto"/>
          <w:highlight w:val="none"/>
          <w:u w:val="single"/>
          <w:lang w:eastAsia="zh-CN"/>
        </w:rPr>
        <w:t>2025</w:t>
      </w:r>
      <w:r>
        <w:rPr>
          <w:rFonts w:hint="eastAsia" w:cs="宋体"/>
          <w:color w:val="auto"/>
          <w:highlight w:val="none"/>
          <w:u w:val="single"/>
        </w:rPr>
        <w:t>年</w:t>
      </w:r>
      <w:r>
        <w:rPr>
          <w:rFonts w:hint="eastAsia" w:cs="宋体"/>
          <w:color w:val="auto"/>
          <w:highlight w:val="none"/>
        </w:rPr>
        <w:t>第</w:t>
      </w:r>
      <w:r>
        <w:rPr>
          <w:rFonts w:hint="eastAsia" w:cs="宋体"/>
          <w:color w:val="auto"/>
          <w:highlight w:val="none"/>
          <w:lang w:eastAsia="zh-CN"/>
        </w:rPr>
        <w:t>（</w:t>
      </w:r>
      <w:r>
        <w:rPr>
          <w:rFonts w:hint="eastAsia" w:cs="宋体"/>
          <w:color w:val="auto"/>
          <w:highlight w:val="none"/>
        </w:rPr>
        <w:t>具体详见工程量清单及控制价）期，不足部分参考市场定价</w:t>
      </w:r>
      <w:r>
        <w:rPr>
          <w:rFonts w:hint="eastAsia" w:hAnsi="宋体" w:cs="宋体"/>
          <w:color w:val="auto"/>
          <w:highlight w:val="none"/>
        </w:rPr>
        <w:t>。</w:t>
      </w:r>
    </w:p>
    <w:p w14:paraId="1004B8ED">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分部分项及单价措施项目综合单价应包括竞争性磋商文件中采购人要求供应商所承担的风险内容及其范围（幅度）产生的风险费用。</w:t>
      </w:r>
    </w:p>
    <w:p w14:paraId="2C8D11BA">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总价措施项目应根据拟定的竞争性磋商文件和常规施工方案按《计价规范》和《计算规范》规定编制。</w:t>
      </w:r>
    </w:p>
    <w:p w14:paraId="64B09EE4">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64DB16A0">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5DBA2BD3">
      <w:pPr>
        <w:pStyle w:val="87"/>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1B017F50">
      <w:pPr>
        <w:spacing w:line="360" w:lineRule="auto"/>
        <w:ind w:firstLine="422" w:firstLineChars="200"/>
        <w:rPr>
          <w:rFonts w:hint="eastAsia" w:ascii="Times New Roman" w:hAnsi="Times New Roman" w:eastAsia="宋体" w:cs="宋体"/>
          <w:color w:val="auto"/>
          <w:kern w:val="2"/>
          <w:sz w:val="21"/>
          <w:szCs w:val="21"/>
          <w:highlight w:val="none"/>
          <w:lang w:val="en-US" w:eastAsia="zh-CN" w:bidi="ar-SA"/>
        </w:rPr>
      </w:pPr>
      <w:r>
        <w:rPr>
          <w:rFonts w:hint="eastAsia" w:cs="宋体"/>
          <w:b/>
          <w:bCs/>
          <w:color w:val="auto"/>
          <w:highlight w:val="none"/>
        </w:rPr>
        <w:t>（</w:t>
      </w:r>
      <w:r>
        <w:rPr>
          <w:b/>
          <w:bCs/>
          <w:color w:val="auto"/>
          <w:highlight w:val="none"/>
        </w:rPr>
        <w:t>3</w:t>
      </w:r>
      <w:r>
        <w:rPr>
          <w:rFonts w:hint="eastAsia" w:cs="宋体"/>
          <w:b/>
          <w:bCs/>
          <w:color w:val="auto"/>
          <w:highlight w:val="none"/>
        </w:rPr>
        <w:t>）</w:t>
      </w:r>
      <w:r>
        <w:rPr>
          <w:rFonts w:hint="eastAsia" w:ascii="Times New Roman" w:hAnsi="Times New Roman" w:eastAsia="宋体" w:cs="宋体"/>
          <w:color w:val="auto"/>
          <w:kern w:val="2"/>
          <w:sz w:val="21"/>
          <w:szCs w:val="21"/>
          <w:highlight w:val="none"/>
          <w:lang w:val="en-US" w:eastAsia="zh-CN" w:bidi="ar-SA"/>
        </w:rPr>
        <w:t>专业工程暂估价应按工程量清单中列出的金额填写，安全生产责任保险费暂估价应按工程量清单中列出的金额填写；</w:t>
      </w:r>
    </w:p>
    <w:p w14:paraId="2AF98E2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14:paraId="551B1EFB">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48804DA2">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0575029D">
      <w:pPr>
        <w:spacing w:line="360" w:lineRule="auto"/>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hAnsi="宋体" w:cs="宋体"/>
          <w:color w:val="auto"/>
          <w:highlight w:val="none"/>
        </w:rPr>
        <w:t>。</w:t>
      </w:r>
    </w:p>
    <w:p w14:paraId="07282DCF">
      <w:pPr>
        <w:pStyle w:val="3"/>
        <w:rPr>
          <w:rFonts w:ascii="Times New Roman" w:hAnsi="Times New Roman"/>
          <w:color w:val="auto"/>
          <w:sz w:val="21"/>
          <w:szCs w:val="21"/>
          <w:highlight w:val="none"/>
        </w:rPr>
      </w:pPr>
      <w:bookmarkStart w:id="300" w:name="_Toc407135286"/>
      <w:bookmarkStart w:id="301" w:name="_Toc27130"/>
      <w:r>
        <w:rPr>
          <w:rFonts w:ascii="Times New Roman" w:hAnsi="Times New Roman"/>
          <w:color w:val="auto"/>
          <w:sz w:val="21"/>
          <w:szCs w:val="21"/>
          <w:highlight w:val="none"/>
        </w:rPr>
        <w:t xml:space="preserve">3 </w:t>
      </w:r>
      <w:r>
        <w:rPr>
          <w:rFonts w:hint="eastAsia" w:ascii="Times New Roman" w:hAnsi="Times New Roman"/>
          <w:color w:val="auto"/>
          <w:sz w:val="21"/>
          <w:szCs w:val="21"/>
          <w:highlight w:val="none"/>
          <w:lang w:eastAsia="zh-CN"/>
        </w:rPr>
        <w:t>响应</w:t>
      </w:r>
      <w:r>
        <w:rPr>
          <w:rFonts w:ascii="Times New Roman" w:hAnsi="Times New Roman"/>
          <w:color w:val="auto"/>
          <w:sz w:val="21"/>
          <w:szCs w:val="21"/>
          <w:highlight w:val="none"/>
        </w:rPr>
        <w:t>报价（已标价工程量清单）编制说明</w:t>
      </w:r>
      <w:bookmarkEnd w:id="300"/>
      <w:bookmarkEnd w:id="301"/>
    </w:p>
    <w:p w14:paraId="1F4C1FB1">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w:t>
      </w:r>
      <w:r>
        <w:rPr>
          <w:rFonts w:hint="eastAsia" w:hAnsi="宋体" w:cs="宋体"/>
          <w:color w:val="auto"/>
          <w:szCs w:val="21"/>
          <w:highlight w:val="none"/>
        </w:rPr>
        <w:t>竞争性磋商采购</w:t>
      </w:r>
      <w:r>
        <w:rPr>
          <w:rFonts w:hint="eastAsia" w:cs="宋体"/>
          <w:color w:val="auto"/>
          <w:highlight w:val="none"/>
        </w:rPr>
        <w:t>文件、采购人提供的工程量清单（以下简称“工程量清单”）以及《计价规范》、《计算规范》自主报价，自主报价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2F04ADD2">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供应商应按工程量清单填报价格。项目编码、项目名称、项目特征、计量单位、工程量必须与工程量清单一致，</w:t>
      </w:r>
      <w:r>
        <w:rPr>
          <w:rFonts w:hint="eastAsia" w:hAnsi="宋体" w:cs="宋体"/>
          <w:color w:val="auto"/>
          <w:highlight w:val="none"/>
        </w:rPr>
        <w:t>供应商不得对工程量清单项目进行增减调整。</w:t>
      </w:r>
    </w:p>
    <w:p w14:paraId="275B3061">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w:t>
      </w:r>
      <w:r>
        <w:rPr>
          <w:rFonts w:hint="eastAsia" w:hAnsi="宋体" w:cs="宋体"/>
          <w:color w:val="auto"/>
          <w:szCs w:val="21"/>
          <w:highlight w:val="none"/>
        </w:rPr>
        <w:t>竞争性磋商采购</w:t>
      </w:r>
      <w:r>
        <w:rPr>
          <w:rFonts w:hint="eastAsia" w:cs="宋体"/>
          <w:color w:val="auto"/>
          <w:highlight w:val="none"/>
        </w:rPr>
        <w:t>文件中划分的应由供应商承担的风险范围及其费用。</w:t>
      </w:r>
    </w:p>
    <w:p w14:paraId="62EF4341">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w:t>
      </w:r>
      <w:r>
        <w:rPr>
          <w:rFonts w:hint="eastAsia" w:hAnsi="宋体" w:cs="宋体"/>
          <w:color w:val="auto"/>
          <w:szCs w:val="21"/>
          <w:highlight w:val="none"/>
        </w:rPr>
        <w:t>竞争性磋商采购</w:t>
      </w:r>
      <w:r>
        <w:rPr>
          <w:rFonts w:hint="eastAsia" w:hAnsi="宋体" w:cs="宋体"/>
          <w:color w:val="auto"/>
          <w:highlight w:val="none"/>
        </w:rPr>
        <w:t>文件和工程量清单项目中的特征描述确定综合单价计算。如出现工程量清单特征描述与设计图纸不符时，供应商应以工程量清单的项目特征描述为准，确定</w:t>
      </w:r>
      <w:r>
        <w:rPr>
          <w:rFonts w:hint="eastAsia" w:hAnsi="宋体" w:cs="宋体"/>
          <w:color w:val="auto"/>
          <w:kern w:val="0"/>
          <w:szCs w:val="21"/>
          <w:highlight w:val="none"/>
          <w:lang w:eastAsia="zh-CN"/>
        </w:rPr>
        <w:t>响应</w:t>
      </w:r>
      <w:r>
        <w:rPr>
          <w:rFonts w:hint="eastAsia" w:hAnsi="宋体" w:cs="宋体"/>
          <w:color w:val="auto"/>
          <w:highlight w:val="none"/>
        </w:rPr>
        <w:t>报价的综合单价。</w:t>
      </w:r>
    </w:p>
    <w:p w14:paraId="7674FDE0">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w:t>
      </w:r>
      <w:r>
        <w:rPr>
          <w:rFonts w:hint="eastAsia" w:hAnsi="宋体" w:cs="宋体"/>
          <w:color w:val="auto"/>
          <w:szCs w:val="21"/>
          <w:highlight w:val="none"/>
        </w:rPr>
        <w:t>竞争性磋商采购</w:t>
      </w:r>
      <w:r>
        <w:rPr>
          <w:rFonts w:hint="eastAsia" w:hAnsi="宋体" w:cs="宋体"/>
          <w:color w:val="auto"/>
          <w:highlight w:val="none"/>
        </w:rPr>
        <w:t>文件及</w:t>
      </w:r>
      <w:r>
        <w:rPr>
          <w:rFonts w:hint="eastAsia" w:hAnsi="宋体" w:cs="宋体"/>
          <w:color w:val="auto"/>
          <w:kern w:val="0"/>
          <w:szCs w:val="21"/>
          <w:highlight w:val="none"/>
          <w:lang w:eastAsia="zh-CN"/>
        </w:rPr>
        <w:t>响应</w:t>
      </w:r>
      <w:r>
        <w:rPr>
          <w:rFonts w:hint="eastAsia" w:hAnsi="宋体" w:cs="宋体"/>
          <w:color w:val="auto"/>
          <w:highlight w:val="none"/>
        </w:rPr>
        <w:t>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04599FA0">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0A2B7569">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34864F42">
      <w:pPr>
        <w:pStyle w:val="87"/>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0D1A7781">
      <w:pPr>
        <w:spacing w:line="360" w:lineRule="auto"/>
        <w:ind w:firstLine="422" w:firstLineChars="200"/>
        <w:rPr>
          <w:b/>
          <w:bCs/>
          <w:color w:val="auto"/>
          <w:highlight w:val="none"/>
        </w:rPr>
      </w:pPr>
      <w:r>
        <w:rPr>
          <w:rFonts w:hint="eastAsia" w:cs="宋体"/>
          <w:b/>
          <w:bCs/>
          <w:color w:val="auto"/>
          <w:highlight w:val="none"/>
        </w:rPr>
        <w:t>（</w:t>
      </w:r>
      <w:r>
        <w:rPr>
          <w:b/>
          <w:bCs/>
          <w:color w:val="auto"/>
          <w:highlight w:val="none"/>
        </w:rPr>
        <w:t>3</w:t>
      </w:r>
      <w:r>
        <w:rPr>
          <w:rFonts w:hint="eastAsia" w:cs="宋体"/>
          <w:b/>
          <w:bCs/>
          <w:color w:val="auto"/>
          <w:highlight w:val="none"/>
        </w:rPr>
        <w:t>）专业工程暂估价应按工程量清单中列出的金额填写</w:t>
      </w:r>
      <w:r>
        <w:rPr>
          <w:rFonts w:hint="eastAsia" w:cs="宋体"/>
          <w:b/>
          <w:bCs/>
          <w:color w:val="auto"/>
          <w:highlight w:val="none"/>
          <w:lang w:eastAsia="zh-CN"/>
        </w:rPr>
        <w:t>，安全生产责任保险费暂估价</w:t>
      </w:r>
      <w:r>
        <w:rPr>
          <w:rFonts w:hint="eastAsia" w:cs="宋体"/>
          <w:b/>
          <w:bCs/>
          <w:color w:val="auto"/>
          <w:highlight w:val="none"/>
        </w:rPr>
        <w:t>应按工程量清单中列出的金额填写；</w:t>
      </w:r>
    </w:p>
    <w:p w14:paraId="51DA5EFD">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）计日工应按工程量清单中列出的项目和估算数量，自主确定综合单价并计算计日工总额；计日工单价均不含规费和税金；</w:t>
      </w:r>
    </w:p>
    <w:p w14:paraId="66A4C72B">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14:paraId="36A873CC">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27FF1960">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667FAAD5">
      <w:pPr>
        <w:spacing w:line="360" w:lineRule="auto"/>
        <w:ind w:firstLine="420" w:firstLineChars="200"/>
        <w:rPr>
          <w:color w:val="auto"/>
          <w:highlight w:val="none"/>
        </w:rPr>
      </w:pPr>
      <w:r>
        <w:rPr>
          <w:color w:val="auto"/>
          <w:highlight w:val="none"/>
        </w:rPr>
        <w:t xml:space="preserve">3.9 </w:t>
      </w:r>
      <w:r>
        <w:rPr>
          <w:rFonts w:hint="eastAsia" w:hAnsi="宋体" w:cs="宋体"/>
          <w:color w:val="auto"/>
          <w:kern w:val="0"/>
          <w:szCs w:val="21"/>
          <w:highlight w:val="none"/>
          <w:lang w:eastAsia="zh-CN"/>
        </w:rPr>
        <w:t>响应</w:t>
      </w:r>
      <w:r>
        <w:rPr>
          <w:rFonts w:hint="eastAsia" w:cs="宋体"/>
          <w:color w:val="auto"/>
          <w:highlight w:val="none"/>
        </w:rPr>
        <w:t>总价应当与分部分项工程费、措施项目费、其他项目费和规费、增值税的合计金额一致。</w:t>
      </w:r>
    </w:p>
    <w:p w14:paraId="0E61B772">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供应商应按《承包人提供的主要材料和设备一览表》的内容填报，不得擅自调整材料和设备名称型号规格、单位、风险系数、基准单价。</w:t>
      </w:r>
    </w:p>
    <w:p w14:paraId="760168E3">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kern w:val="0"/>
          <w:szCs w:val="21"/>
          <w:highlight w:val="none"/>
          <w:lang w:eastAsia="zh-CN"/>
        </w:rPr>
        <w:t>响应</w:t>
      </w:r>
      <w:r>
        <w:rPr>
          <w:rFonts w:hint="eastAsia" w:hAnsi="宋体" w:cs="宋体"/>
          <w:color w:val="auto"/>
          <w:highlight w:val="none"/>
        </w:rPr>
        <w:t>报价</w:t>
      </w:r>
      <w:r>
        <w:rPr>
          <w:rFonts w:hint="eastAsia" w:cs="宋体"/>
          <w:color w:val="auto"/>
          <w:highlight w:val="none"/>
        </w:rPr>
        <w:t>表格按本工程工程量清单表格要求填写，并</w:t>
      </w:r>
      <w:r>
        <w:rPr>
          <w:rFonts w:hint="eastAsia" w:hAnsi="宋体" w:cs="宋体"/>
          <w:color w:val="auto"/>
          <w:highlight w:val="none"/>
        </w:rPr>
        <w:t>应按</w:t>
      </w:r>
      <w:r>
        <w:rPr>
          <w:rFonts w:hint="eastAsia" w:hAnsi="宋体" w:cs="宋体"/>
          <w:color w:val="auto"/>
          <w:szCs w:val="21"/>
          <w:highlight w:val="none"/>
        </w:rPr>
        <w:t>竞争性磋商采购</w:t>
      </w:r>
      <w:r>
        <w:rPr>
          <w:rFonts w:hint="eastAsia" w:hAnsi="宋体" w:cs="宋体"/>
          <w:color w:val="auto"/>
          <w:highlight w:val="none"/>
        </w:rPr>
        <w:t>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4F11F79A">
      <w:pPr>
        <w:spacing w:line="360" w:lineRule="auto"/>
        <w:ind w:firstLine="420" w:firstLineChars="200"/>
        <w:rPr>
          <w:rFonts w:hint="eastAsia"/>
          <w:b/>
          <w:bCs/>
          <w:color w:val="auto"/>
          <w:szCs w:val="21"/>
          <w:highlight w:val="none"/>
        </w:rPr>
      </w:pPr>
      <w:r>
        <w:rPr>
          <w:rFonts w:hint="eastAsia" w:cs="宋体"/>
          <w:color w:val="auto"/>
          <w:highlight w:val="none"/>
        </w:rPr>
        <w:t>未尽事宜详见本项目工程量清单、招标控制价编制说明以及现行《计价规范》等有关规定执行。</w:t>
      </w:r>
    </w:p>
    <w:p w14:paraId="211F9F5C">
      <w:pPr>
        <w:pStyle w:val="3"/>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4工程量清单、图纸获取</w:t>
      </w:r>
    </w:p>
    <w:p w14:paraId="3743A4FA">
      <w:pPr>
        <w:spacing w:line="360" w:lineRule="auto"/>
        <w:ind w:firstLine="420" w:firstLineChars="200"/>
        <w:rPr>
          <w:rFonts w:hint="eastAsia" w:cs="宋体"/>
          <w:color w:val="auto"/>
          <w:highlight w:val="none"/>
        </w:rPr>
      </w:pPr>
      <w:r>
        <w:rPr>
          <w:rFonts w:hint="eastAsia" w:cs="宋体"/>
          <w:color w:val="auto"/>
          <w:highlight w:val="none"/>
        </w:rPr>
        <w:t>4.1获取方式：</w:t>
      </w:r>
      <w:r>
        <w:rPr>
          <w:rFonts w:cs="宋体"/>
          <w:color w:val="auto"/>
          <w:highlight w:val="none"/>
        </w:rPr>
        <w:t>网上下载。本项目不发放</w:t>
      </w:r>
      <w:r>
        <w:rPr>
          <w:rFonts w:hint="eastAsia" w:cs="宋体"/>
          <w:color w:val="auto"/>
          <w:highlight w:val="none"/>
        </w:rPr>
        <w:t>工程量清单及图纸</w:t>
      </w:r>
      <w:r>
        <w:rPr>
          <w:rFonts w:cs="宋体"/>
          <w:color w:val="auto"/>
          <w:highlight w:val="none"/>
        </w:rPr>
        <w:t>，</w:t>
      </w:r>
      <w:r>
        <w:rPr>
          <w:rFonts w:hint="eastAsia" w:cs="宋体"/>
          <w:color w:val="auto"/>
          <w:highlight w:val="none"/>
        </w:rPr>
        <w:t>由</w:t>
      </w:r>
      <w:r>
        <w:rPr>
          <w:rFonts w:cs="宋体"/>
          <w:color w:val="auto"/>
          <w:highlight w:val="none"/>
        </w:rPr>
        <w:t>潜在供应商自行在</w:t>
      </w:r>
      <w:r>
        <w:rPr>
          <w:rFonts w:hint="eastAsia" w:ascii="宋体" w:hAnsi="宋体" w:cs="宋体"/>
          <w:b w:val="0"/>
          <w:bCs w:val="0"/>
          <w:color w:val="auto"/>
          <w:sz w:val="21"/>
          <w:szCs w:val="21"/>
          <w:highlight w:val="none"/>
          <w:lang w:val="en-US" w:eastAsia="zh-CN"/>
        </w:rPr>
        <w:t>广西政府采购云平台（https://www.gcy.zfcg.gxzf.gov.cn/）</w:t>
      </w:r>
      <w:r>
        <w:rPr>
          <w:rFonts w:hint="eastAsia" w:cs="宋体"/>
          <w:color w:val="auto"/>
          <w:highlight w:val="none"/>
        </w:rPr>
        <w:t>下载。</w:t>
      </w:r>
    </w:p>
    <w:p w14:paraId="47C0DB1A">
      <w:pPr>
        <w:pStyle w:val="7"/>
        <w:rPr>
          <w:color w:val="auto"/>
          <w:highlight w:val="none"/>
        </w:rPr>
      </w:pPr>
    </w:p>
    <w:p w14:paraId="750DA406">
      <w:pPr>
        <w:tabs>
          <w:tab w:val="left" w:pos="3261"/>
        </w:tabs>
        <w:spacing w:line="360" w:lineRule="auto"/>
        <w:contextualSpacing/>
        <w:jc w:val="center"/>
        <w:rPr>
          <w:rFonts w:cs="仿宋_GB2312"/>
          <w:b/>
          <w:color w:val="auto"/>
          <w:sz w:val="44"/>
          <w:szCs w:val="44"/>
          <w:highlight w:val="none"/>
        </w:rPr>
      </w:pPr>
    </w:p>
    <w:p w14:paraId="7355511C">
      <w:pPr>
        <w:tabs>
          <w:tab w:val="left" w:pos="3261"/>
        </w:tabs>
        <w:spacing w:line="360" w:lineRule="auto"/>
        <w:contextualSpacing/>
        <w:jc w:val="center"/>
        <w:rPr>
          <w:rFonts w:cs="仿宋_GB2312"/>
          <w:b/>
          <w:color w:val="auto"/>
          <w:sz w:val="44"/>
          <w:szCs w:val="44"/>
          <w:highlight w:val="none"/>
        </w:rPr>
      </w:pPr>
    </w:p>
    <w:p w14:paraId="54F477BD">
      <w:pPr>
        <w:tabs>
          <w:tab w:val="left" w:pos="3261"/>
        </w:tabs>
        <w:spacing w:line="360" w:lineRule="auto"/>
        <w:contextualSpacing/>
        <w:jc w:val="center"/>
        <w:rPr>
          <w:rFonts w:cs="仿宋_GB2312"/>
          <w:b/>
          <w:color w:val="auto"/>
          <w:sz w:val="44"/>
          <w:szCs w:val="44"/>
          <w:highlight w:val="none"/>
        </w:rPr>
      </w:pPr>
    </w:p>
    <w:p w14:paraId="5D167184">
      <w:pPr>
        <w:pStyle w:val="2"/>
        <w:jc w:val="center"/>
        <w:rPr>
          <w:rFonts w:hint="eastAsia" w:cs="仿宋_GB2312"/>
          <w:color w:val="auto"/>
          <w:highlight w:val="none"/>
        </w:rPr>
        <w:sectPr>
          <w:pgSz w:w="11911" w:h="16838"/>
          <w:pgMar w:top="1134" w:right="1134" w:bottom="1134" w:left="1134" w:header="720" w:footer="720" w:gutter="0"/>
          <w:cols w:space="720" w:num="1"/>
        </w:sectPr>
      </w:pPr>
      <w:bookmarkStart w:id="302" w:name="_Toc8963"/>
      <w:bookmarkStart w:id="303" w:name="_Toc80886951"/>
      <w:bookmarkStart w:id="304" w:name="_Toc29624"/>
      <w:bookmarkStart w:id="305" w:name="_Toc28283"/>
      <w:bookmarkStart w:id="306" w:name="_Toc15423"/>
      <w:bookmarkStart w:id="307" w:name="_Toc18783"/>
      <w:bookmarkStart w:id="308" w:name="_Toc178"/>
      <w:bookmarkStart w:id="309" w:name="_Toc20915"/>
      <w:r>
        <w:rPr>
          <w:rFonts w:hint="eastAsia" w:cs="仿宋_GB2312"/>
          <w:b w:val="0"/>
          <w:color w:val="auto"/>
          <w:highlight w:val="none"/>
        </w:rPr>
        <w:t>第</w:t>
      </w:r>
      <w:r>
        <w:rPr>
          <w:rFonts w:hint="eastAsia" w:cs="仿宋_GB2312"/>
          <w:b w:val="0"/>
          <w:color w:val="auto"/>
          <w:highlight w:val="none"/>
          <w:lang w:eastAsia="zh-CN"/>
        </w:rPr>
        <w:t>八</w:t>
      </w:r>
      <w:r>
        <w:rPr>
          <w:rFonts w:hint="eastAsia" w:cs="仿宋_GB2312"/>
          <w:b w:val="0"/>
          <w:color w:val="auto"/>
          <w:highlight w:val="none"/>
        </w:rPr>
        <w:t>章 质疑、投诉材料格式</w:t>
      </w:r>
      <w:bookmarkEnd w:id="302"/>
      <w:bookmarkEnd w:id="303"/>
      <w:bookmarkEnd w:id="304"/>
      <w:bookmarkEnd w:id="305"/>
      <w:bookmarkEnd w:id="306"/>
      <w:bookmarkEnd w:id="307"/>
      <w:bookmarkEnd w:id="308"/>
      <w:bookmarkEnd w:id="309"/>
    </w:p>
    <w:p w14:paraId="776E9821">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14:paraId="448EE60D">
      <w:pPr>
        <w:spacing w:line="360" w:lineRule="auto"/>
        <w:ind w:firstLine="482" w:firstLineChars="200"/>
        <w:contextualSpacing/>
        <w:rPr>
          <w:rFonts w:hint="eastAsia" w:ascii="宋体" w:hAnsi="宋体" w:cs="宋体"/>
          <w:b/>
          <w:bCs/>
          <w:color w:val="auto"/>
          <w:kern w:val="0"/>
          <w:szCs w:val="21"/>
          <w:highlight w:val="none"/>
        </w:rPr>
      </w:pPr>
      <w:r>
        <w:rPr>
          <w:rFonts w:hint="eastAsia" w:ascii="宋体" w:hAnsi="宋体" w:cs="宋体"/>
          <w:b/>
          <w:bCs/>
          <w:color w:val="auto"/>
          <w:kern w:val="0"/>
          <w:sz w:val="24"/>
          <w:highlight w:val="none"/>
        </w:rPr>
        <w:t>一</w:t>
      </w:r>
      <w:r>
        <w:rPr>
          <w:rFonts w:hint="eastAsia" w:ascii="宋体" w:hAnsi="宋体" w:cs="宋体"/>
          <w:b/>
          <w:bCs/>
          <w:color w:val="auto"/>
          <w:kern w:val="0"/>
          <w:szCs w:val="21"/>
          <w:highlight w:val="none"/>
        </w:rPr>
        <w:t>、质疑供应商基本信息：</w:t>
      </w:r>
    </w:p>
    <w:p w14:paraId="2B6799FE">
      <w:pPr>
        <w:spacing w:line="360" w:lineRule="auto"/>
        <w:ind w:firstLine="420" w:firstLineChars="200"/>
        <w:contextualSpacing/>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rPr>
        <w:t>质疑供应商：</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14:paraId="1795CB78">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邮编：</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14:paraId="4A252827">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联系人：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u w:val="single"/>
        </w:rPr>
        <w:t xml:space="preserve">                 </w:t>
      </w:r>
    </w:p>
    <w:p w14:paraId="1ACFCAA5">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授权代表：</w:t>
      </w:r>
      <w:r>
        <w:rPr>
          <w:rFonts w:hint="eastAsia" w:ascii="宋体" w:hAnsi="宋体" w:cs="宋体"/>
          <w:bCs/>
          <w:color w:val="auto"/>
          <w:kern w:val="0"/>
          <w:szCs w:val="21"/>
          <w:highlight w:val="none"/>
          <w:u w:val="single"/>
        </w:rPr>
        <w:t xml:space="preserve">                      </w:t>
      </w:r>
    </w:p>
    <w:p w14:paraId="205AAB8E">
      <w:pPr>
        <w:spacing w:line="360" w:lineRule="auto"/>
        <w:ind w:firstLine="420" w:firstLineChars="200"/>
        <w:contextualSpacing/>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u w:val="single"/>
        </w:rPr>
        <w:t xml:space="preserve">                      </w:t>
      </w:r>
    </w:p>
    <w:p w14:paraId="59F8E48E">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邮编：</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14:paraId="08FAD9A8">
      <w:pPr>
        <w:spacing w:line="360" w:lineRule="auto"/>
        <w:ind w:firstLine="422" w:firstLineChars="200"/>
        <w:contextualSpacing/>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二、质疑项目基本情况：</w:t>
      </w:r>
    </w:p>
    <w:p w14:paraId="25075805">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bCs/>
          <w:color w:val="auto"/>
          <w:kern w:val="0"/>
          <w:szCs w:val="21"/>
          <w:highlight w:val="none"/>
        </w:rPr>
        <w:t>质疑</w:t>
      </w:r>
      <w:r>
        <w:rPr>
          <w:rFonts w:hint="eastAsia" w:ascii="宋体" w:hAnsi="宋体" w:cs="宋体"/>
          <w:color w:val="auto"/>
          <w:kern w:val="0"/>
          <w:szCs w:val="21"/>
          <w:highlight w:val="none"/>
        </w:rPr>
        <w:t>项目的名称：</w:t>
      </w:r>
      <w:r>
        <w:rPr>
          <w:rFonts w:hint="eastAsia" w:ascii="宋体" w:hAnsi="宋体" w:cs="宋体"/>
          <w:bCs/>
          <w:color w:val="auto"/>
          <w:kern w:val="0"/>
          <w:szCs w:val="21"/>
          <w:highlight w:val="none"/>
          <w:u w:val="single"/>
        </w:rPr>
        <w:t xml:space="preserve">                                     </w:t>
      </w:r>
    </w:p>
    <w:p w14:paraId="06A31732">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bCs/>
          <w:color w:val="auto"/>
          <w:kern w:val="0"/>
          <w:szCs w:val="21"/>
          <w:highlight w:val="none"/>
        </w:rPr>
        <w:t>质疑</w:t>
      </w:r>
      <w:r>
        <w:rPr>
          <w:rFonts w:hint="eastAsia" w:ascii="宋体" w:hAnsi="宋体" w:cs="宋体"/>
          <w:color w:val="auto"/>
          <w:kern w:val="0"/>
          <w:szCs w:val="21"/>
          <w:highlight w:val="none"/>
        </w:rPr>
        <w:t>项目的编号：</w:t>
      </w:r>
      <w:r>
        <w:rPr>
          <w:rFonts w:hint="eastAsia" w:ascii="宋体" w:hAnsi="宋体" w:cs="宋体"/>
          <w:bCs/>
          <w:color w:val="auto"/>
          <w:kern w:val="0"/>
          <w:szCs w:val="21"/>
          <w:highlight w:val="none"/>
          <w:u w:val="single"/>
        </w:rPr>
        <w:t xml:space="preserve">                                     </w:t>
      </w:r>
    </w:p>
    <w:p w14:paraId="4193A86A">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采购人名称：</w:t>
      </w:r>
      <w:r>
        <w:rPr>
          <w:rFonts w:hint="eastAsia" w:ascii="宋体" w:hAnsi="宋体" w:cs="宋体"/>
          <w:bCs/>
          <w:color w:val="auto"/>
          <w:kern w:val="0"/>
          <w:szCs w:val="21"/>
          <w:highlight w:val="none"/>
          <w:u w:val="single"/>
        </w:rPr>
        <w:t xml:space="preserve">                                         </w:t>
      </w:r>
    </w:p>
    <w:p w14:paraId="2DCB2600">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w:t>
      </w:r>
    </w:p>
    <w:p w14:paraId="44882EFA">
      <w:pPr>
        <w:spacing w:line="360" w:lineRule="auto"/>
        <w:ind w:left="25" w:leftChars="12" w:firstLine="308" w:firstLineChars="14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□采购文件   采购文件获取日期：</w:t>
      </w:r>
      <w:r>
        <w:rPr>
          <w:rFonts w:hint="eastAsia" w:ascii="宋体" w:hAnsi="宋体" w:cs="宋体"/>
          <w:bCs/>
          <w:color w:val="auto"/>
          <w:kern w:val="0"/>
          <w:szCs w:val="21"/>
          <w:highlight w:val="none"/>
          <w:u w:val="single"/>
        </w:rPr>
        <w:t xml:space="preserve">                                   </w:t>
      </w:r>
    </w:p>
    <w:p w14:paraId="4C273E32">
      <w:pPr>
        <w:spacing w:line="360" w:lineRule="auto"/>
        <w:ind w:left="25" w:leftChars="12" w:firstLine="308" w:firstLineChars="14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□采购过程   </w:t>
      </w:r>
    </w:p>
    <w:p w14:paraId="5BDFA71D">
      <w:pPr>
        <w:spacing w:line="360" w:lineRule="auto"/>
        <w:ind w:left="25" w:leftChars="12" w:firstLine="308" w:firstLineChars="147"/>
        <w:contextualSpacing/>
        <w:rPr>
          <w:rFonts w:hint="eastAsia" w:ascii="宋体" w:hAnsi="宋体" w:cs="宋体"/>
          <w:bCs/>
          <w:color w:val="auto"/>
          <w:kern w:val="0"/>
          <w:szCs w:val="21"/>
          <w:highlight w:val="none"/>
          <w:u w:val="single"/>
        </w:rPr>
      </w:pPr>
      <w:r>
        <w:rPr>
          <w:rFonts w:hint="eastAsia" w:ascii="宋体" w:hAnsi="宋体" w:cs="宋体"/>
          <w:color w:val="auto"/>
          <w:kern w:val="0"/>
          <w:szCs w:val="21"/>
          <w:highlight w:val="none"/>
        </w:rPr>
        <w:t xml:space="preserve">□成交结果   </w:t>
      </w:r>
    </w:p>
    <w:p w14:paraId="690AD23E">
      <w:pPr>
        <w:spacing w:line="360" w:lineRule="auto"/>
        <w:ind w:left="25" w:leftChars="12" w:firstLine="413" w:firstLineChars="196"/>
        <w:contextualSpacing/>
        <w:rPr>
          <w:b/>
          <w:color w:val="auto"/>
          <w:kern w:val="0"/>
          <w:szCs w:val="21"/>
          <w:highlight w:val="none"/>
        </w:rPr>
      </w:pPr>
      <w:r>
        <w:rPr>
          <w:b/>
          <w:color w:val="auto"/>
          <w:kern w:val="0"/>
          <w:szCs w:val="21"/>
          <w:highlight w:val="none"/>
        </w:rPr>
        <w:t>三、质疑事项具体内容</w:t>
      </w:r>
    </w:p>
    <w:p w14:paraId="57119996">
      <w:pPr>
        <w:spacing w:line="360" w:lineRule="auto"/>
        <w:ind w:left="25" w:leftChars="12" w:firstLine="413" w:firstLineChars="197"/>
        <w:contextualSpacing/>
        <w:rPr>
          <w:color w:val="auto"/>
          <w:kern w:val="0"/>
          <w:szCs w:val="21"/>
          <w:highlight w:val="none"/>
        </w:rPr>
      </w:pPr>
      <w:r>
        <w:rPr>
          <w:color w:val="auto"/>
          <w:kern w:val="0"/>
          <w:szCs w:val="21"/>
          <w:highlight w:val="none"/>
        </w:rPr>
        <w:t>质疑事项1：</w:t>
      </w:r>
      <w:r>
        <w:rPr>
          <w:bCs/>
          <w:color w:val="auto"/>
          <w:kern w:val="0"/>
          <w:szCs w:val="21"/>
          <w:highlight w:val="none"/>
          <w:u w:val="single"/>
        </w:rPr>
        <w:t xml:space="preserve">                                                                    </w:t>
      </w:r>
    </w:p>
    <w:p w14:paraId="037F019A">
      <w:pPr>
        <w:spacing w:line="360" w:lineRule="auto"/>
        <w:ind w:left="25" w:leftChars="12" w:firstLine="413" w:firstLineChars="197"/>
        <w:contextualSpacing/>
        <w:rPr>
          <w:color w:val="auto"/>
          <w:kern w:val="0"/>
          <w:szCs w:val="21"/>
          <w:highlight w:val="none"/>
        </w:rPr>
      </w:pPr>
      <w:r>
        <w:rPr>
          <w:color w:val="auto"/>
          <w:kern w:val="0"/>
          <w:szCs w:val="21"/>
          <w:highlight w:val="none"/>
        </w:rPr>
        <w:t>事实依据：</w:t>
      </w:r>
      <w:r>
        <w:rPr>
          <w:bCs/>
          <w:color w:val="auto"/>
          <w:kern w:val="0"/>
          <w:szCs w:val="21"/>
          <w:highlight w:val="none"/>
          <w:u w:val="single"/>
        </w:rPr>
        <w:t xml:space="preserve">                                                                      </w:t>
      </w:r>
    </w:p>
    <w:p w14:paraId="2EE3819A">
      <w:pPr>
        <w:spacing w:line="360" w:lineRule="auto"/>
        <w:ind w:left="25" w:leftChars="12" w:firstLine="413" w:firstLineChars="197"/>
        <w:contextualSpacing/>
        <w:rPr>
          <w:color w:val="auto"/>
          <w:kern w:val="0"/>
          <w:szCs w:val="21"/>
          <w:highlight w:val="none"/>
        </w:rPr>
      </w:pPr>
      <w:r>
        <w:rPr>
          <w:color w:val="auto"/>
          <w:kern w:val="0"/>
          <w:szCs w:val="21"/>
          <w:highlight w:val="none"/>
        </w:rPr>
        <w:t>法律依据：</w:t>
      </w:r>
      <w:r>
        <w:rPr>
          <w:color w:val="auto"/>
          <w:kern w:val="0"/>
          <w:szCs w:val="21"/>
          <w:highlight w:val="none"/>
          <w:u w:val="single"/>
        </w:rPr>
        <w:t xml:space="preserve">                                                        </w:t>
      </w:r>
      <w:r>
        <w:rPr>
          <w:bCs/>
          <w:color w:val="auto"/>
          <w:kern w:val="0"/>
          <w:szCs w:val="21"/>
          <w:highlight w:val="none"/>
          <w:u w:val="single"/>
        </w:rPr>
        <w:t xml:space="preserve">               </w:t>
      </w:r>
    </w:p>
    <w:p w14:paraId="4C49FD36">
      <w:pPr>
        <w:spacing w:line="360" w:lineRule="auto"/>
        <w:ind w:left="25" w:leftChars="12" w:firstLine="413" w:firstLineChars="197"/>
        <w:contextualSpacing/>
        <w:rPr>
          <w:color w:val="auto"/>
          <w:kern w:val="0"/>
          <w:szCs w:val="21"/>
          <w:highlight w:val="none"/>
        </w:rPr>
      </w:pPr>
      <w:r>
        <w:rPr>
          <w:color w:val="auto"/>
          <w:kern w:val="0"/>
          <w:szCs w:val="21"/>
          <w:highlight w:val="none"/>
        </w:rPr>
        <w:t>质疑事项2</w:t>
      </w:r>
    </w:p>
    <w:p w14:paraId="26F3B935">
      <w:pPr>
        <w:spacing w:line="360" w:lineRule="auto"/>
        <w:ind w:left="25" w:leftChars="12" w:firstLine="413" w:firstLineChars="197"/>
        <w:contextualSpacing/>
        <w:rPr>
          <w:color w:val="auto"/>
          <w:kern w:val="0"/>
          <w:szCs w:val="21"/>
          <w:highlight w:val="none"/>
        </w:rPr>
      </w:pPr>
      <w:r>
        <w:rPr>
          <w:color w:val="auto"/>
          <w:kern w:val="0"/>
          <w:szCs w:val="21"/>
          <w:highlight w:val="none"/>
        </w:rPr>
        <w:t>……</w:t>
      </w:r>
    </w:p>
    <w:p w14:paraId="19D0F774">
      <w:pPr>
        <w:spacing w:line="360" w:lineRule="auto"/>
        <w:ind w:left="25" w:leftChars="12" w:firstLine="413" w:firstLineChars="197"/>
        <w:contextualSpacing/>
        <w:rPr>
          <w:color w:val="auto"/>
          <w:kern w:val="0"/>
          <w:szCs w:val="21"/>
          <w:highlight w:val="none"/>
        </w:rPr>
      </w:pPr>
      <w:r>
        <w:rPr>
          <w:color w:val="auto"/>
          <w:kern w:val="0"/>
          <w:szCs w:val="21"/>
          <w:highlight w:val="none"/>
        </w:rPr>
        <w:t>四、与质疑事项相关的质疑请求：</w:t>
      </w:r>
    </w:p>
    <w:p w14:paraId="4D88B997">
      <w:pPr>
        <w:spacing w:line="360" w:lineRule="auto"/>
        <w:ind w:left="25" w:leftChars="12" w:firstLine="413" w:firstLineChars="197"/>
        <w:contextualSpacing/>
        <w:rPr>
          <w:color w:val="auto"/>
          <w:kern w:val="0"/>
          <w:szCs w:val="21"/>
          <w:highlight w:val="none"/>
        </w:rPr>
      </w:pPr>
      <w:r>
        <w:rPr>
          <w:color w:val="auto"/>
          <w:kern w:val="0"/>
          <w:szCs w:val="21"/>
          <w:highlight w:val="none"/>
        </w:rPr>
        <w:t>请求：</w:t>
      </w:r>
      <w:r>
        <w:rPr>
          <w:bCs/>
          <w:color w:val="auto"/>
          <w:kern w:val="0"/>
          <w:szCs w:val="21"/>
          <w:highlight w:val="none"/>
          <w:u w:val="single"/>
        </w:rPr>
        <w:t xml:space="preserve">                                                                </w:t>
      </w:r>
    </w:p>
    <w:p w14:paraId="24AC45F7">
      <w:pPr>
        <w:spacing w:line="360" w:lineRule="auto"/>
        <w:ind w:left="25" w:leftChars="12" w:firstLine="308" w:firstLineChars="147"/>
        <w:contextualSpacing/>
        <w:rPr>
          <w:color w:val="auto"/>
          <w:kern w:val="0"/>
          <w:szCs w:val="21"/>
          <w:highlight w:val="none"/>
        </w:rPr>
      </w:pPr>
    </w:p>
    <w:p w14:paraId="6C04DD59">
      <w:pPr>
        <w:spacing w:line="360" w:lineRule="auto"/>
        <w:ind w:left="25" w:leftChars="12" w:firstLine="413" w:firstLineChars="197"/>
        <w:contextualSpacing/>
        <w:rPr>
          <w:color w:val="auto"/>
          <w:kern w:val="0"/>
          <w:szCs w:val="21"/>
          <w:highlight w:val="none"/>
        </w:rPr>
      </w:pPr>
      <w:r>
        <w:rPr>
          <w:color w:val="auto"/>
          <w:kern w:val="0"/>
          <w:szCs w:val="21"/>
          <w:highlight w:val="none"/>
        </w:rPr>
        <w:t>签字（签章）：                                       公章：</w:t>
      </w:r>
    </w:p>
    <w:p w14:paraId="6FBE33B2">
      <w:pPr>
        <w:spacing w:line="360" w:lineRule="auto"/>
        <w:ind w:left="25" w:leftChars="12" w:firstLine="308" w:firstLineChars="147"/>
        <w:contextualSpacing/>
        <w:rPr>
          <w:color w:val="auto"/>
          <w:kern w:val="0"/>
          <w:szCs w:val="21"/>
          <w:highlight w:val="none"/>
        </w:rPr>
      </w:pPr>
    </w:p>
    <w:p w14:paraId="7837727D">
      <w:pPr>
        <w:spacing w:line="360" w:lineRule="auto"/>
        <w:ind w:left="25" w:leftChars="12" w:firstLine="413" w:firstLineChars="197"/>
        <w:contextualSpacing/>
        <w:rPr>
          <w:color w:val="auto"/>
          <w:kern w:val="0"/>
          <w:szCs w:val="21"/>
          <w:highlight w:val="none"/>
        </w:rPr>
      </w:pPr>
      <w:r>
        <w:rPr>
          <w:color w:val="auto"/>
          <w:kern w:val="0"/>
          <w:szCs w:val="21"/>
          <w:highlight w:val="none"/>
        </w:rPr>
        <w:t>日期：</w:t>
      </w:r>
    </w:p>
    <w:p w14:paraId="0039CD24">
      <w:pPr>
        <w:spacing w:line="360" w:lineRule="auto"/>
        <w:contextualSpacing/>
        <w:rPr>
          <w:b/>
          <w:color w:val="auto"/>
          <w:kern w:val="0"/>
          <w:szCs w:val="21"/>
          <w:highlight w:val="none"/>
        </w:rPr>
      </w:pPr>
    </w:p>
    <w:p w14:paraId="7873228E">
      <w:pPr>
        <w:spacing w:line="360" w:lineRule="auto"/>
        <w:contextualSpacing/>
        <w:rPr>
          <w:b/>
          <w:color w:val="auto"/>
          <w:kern w:val="0"/>
          <w:szCs w:val="21"/>
          <w:highlight w:val="none"/>
        </w:rPr>
      </w:pPr>
    </w:p>
    <w:p w14:paraId="379FDF4B">
      <w:pPr>
        <w:spacing w:line="360" w:lineRule="auto"/>
        <w:contextualSpacing/>
        <w:rPr>
          <w:b/>
          <w:color w:val="auto"/>
          <w:kern w:val="0"/>
          <w:szCs w:val="21"/>
          <w:highlight w:val="none"/>
        </w:rPr>
      </w:pPr>
      <w:r>
        <w:rPr>
          <w:b/>
          <w:color w:val="auto"/>
          <w:kern w:val="0"/>
          <w:szCs w:val="21"/>
          <w:highlight w:val="none"/>
        </w:rPr>
        <w:t>说明：</w:t>
      </w:r>
    </w:p>
    <w:p w14:paraId="3C60ACE9">
      <w:pPr>
        <w:spacing w:line="360" w:lineRule="auto"/>
        <w:ind w:left="25" w:leftChars="12" w:firstLine="310" w:firstLineChars="147"/>
        <w:contextualSpacing/>
        <w:rPr>
          <w:b/>
          <w:bCs/>
          <w:color w:val="auto"/>
          <w:kern w:val="0"/>
          <w:szCs w:val="21"/>
          <w:highlight w:val="none"/>
        </w:rPr>
      </w:pPr>
      <w:r>
        <w:rPr>
          <w:b/>
          <w:color w:val="auto"/>
          <w:kern w:val="0"/>
          <w:szCs w:val="21"/>
          <w:highlight w:val="none"/>
        </w:rPr>
        <w:t>1.供应商提出质疑时，应提交质疑函和必要的证明材料</w:t>
      </w:r>
      <w:r>
        <w:rPr>
          <w:b/>
          <w:bCs/>
          <w:color w:val="auto"/>
          <w:kern w:val="0"/>
          <w:szCs w:val="21"/>
          <w:highlight w:val="none"/>
        </w:rPr>
        <w:t>。</w:t>
      </w:r>
    </w:p>
    <w:p w14:paraId="05918817">
      <w:pPr>
        <w:spacing w:line="360" w:lineRule="auto"/>
        <w:ind w:left="25" w:leftChars="12" w:firstLine="310" w:firstLineChars="147"/>
        <w:contextualSpacing/>
        <w:rPr>
          <w:b/>
          <w:color w:val="auto"/>
          <w:kern w:val="0"/>
          <w:szCs w:val="21"/>
          <w:highlight w:val="none"/>
        </w:rPr>
      </w:pPr>
      <w:r>
        <w:rPr>
          <w:b/>
          <w:color w:val="auto"/>
          <w:kern w:val="0"/>
          <w:szCs w:val="21"/>
          <w:highlight w:val="none"/>
        </w:rPr>
        <w:t>2.质疑供应商若委托代理人进行质疑的，质疑函应按要求列明</w:t>
      </w:r>
      <w:r>
        <w:rPr>
          <w:rFonts w:hint="eastAsia"/>
          <w:b/>
          <w:color w:val="auto"/>
          <w:kern w:val="0"/>
          <w:szCs w:val="21"/>
          <w:highlight w:val="none"/>
          <w:lang w:eastAsia="zh-CN"/>
        </w:rPr>
        <w:t>“</w:t>
      </w:r>
      <w:r>
        <w:rPr>
          <w:b/>
          <w:color w:val="auto"/>
          <w:kern w:val="0"/>
          <w:szCs w:val="21"/>
          <w:highlight w:val="none"/>
        </w:rPr>
        <w:t>授权代表</w:t>
      </w:r>
      <w:r>
        <w:rPr>
          <w:rFonts w:hint="eastAsia"/>
          <w:b/>
          <w:color w:val="auto"/>
          <w:kern w:val="0"/>
          <w:szCs w:val="21"/>
          <w:highlight w:val="none"/>
          <w:lang w:eastAsia="zh-CN"/>
        </w:rPr>
        <w:t>”</w:t>
      </w:r>
      <w:r>
        <w:rPr>
          <w:b/>
          <w:color w:val="auto"/>
          <w:kern w:val="0"/>
          <w:szCs w:val="21"/>
          <w:highlight w:val="none"/>
        </w:rPr>
        <w:t>的有关内容，并在附件中提交由质疑供应商签署的授权委托书。授权委托书应载明代理人的姓名或者名称、代理事项、具体权限、期限和相关事项。</w:t>
      </w:r>
    </w:p>
    <w:p w14:paraId="36E960B4">
      <w:pPr>
        <w:spacing w:line="360" w:lineRule="auto"/>
        <w:ind w:left="25" w:leftChars="12" w:firstLine="310" w:firstLineChars="147"/>
        <w:contextualSpacing/>
        <w:rPr>
          <w:b/>
          <w:color w:val="auto"/>
          <w:kern w:val="0"/>
          <w:szCs w:val="21"/>
          <w:highlight w:val="none"/>
        </w:rPr>
      </w:pPr>
      <w:r>
        <w:rPr>
          <w:b/>
          <w:color w:val="auto"/>
          <w:kern w:val="0"/>
          <w:szCs w:val="21"/>
          <w:highlight w:val="none"/>
        </w:rPr>
        <w:t>3.质疑函的质疑事项应具体、明确，并有必要的事实依据和法律依据。</w:t>
      </w:r>
    </w:p>
    <w:p w14:paraId="7026770C">
      <w:pPr>
        <w:spacing w:line="360" w:lineRule="auto"/>
        <w:ind w:left="25" w:leftChars="12" w:firstLine="310" w:firstLineChars="147"/>
        <w:contextualSpacing/>
        <w:rPr>
          <w:b/>
          <w:color w:val="auto"/>
          <w:kern w:val="0"/>
          <w:szCs w:val="21"/>
          <w:highlight w:val="none"/>
        </w:rPr>
      </w:pPr>
      <w:r>
        <w:rPr>
          <w:b/>
          <w:color w:val="auto"/>
          <w:kern w:val="0"/>
          <w:szCs w:val="21"/>
          <w:highlight w:val="none"/>
        </w:rPr>
        <w:t>4.质疑函的质疑请求应与质疑事项相关。</w:t>
      </w:r>
    </w:p>
    <w:p w14:paraId="47E12B29">
      <w:pPr>
        <w:spacing w:line="360" w:lineRule="auto"/>
        <w:ind w:left="25" w:leftChars="12" w:firstLine="310" w:firstLineChars="147"/>
        <w:contextualSpacing/>
        <w:rPr>
          <w:b/>
          <w:color w:val="auto"/>
          <w:kern w:val="0"/>
          <w:szCs w:val="21"/>
          <w:highlight w:val="none"/>
        </w:rPr>
      </w:pPr>
      <w:r>
        <w:rPr>
          <w:b/>
          <w:color w:val="auto"/>
          <w:kern w:val="0"/>
          <w:szCs w:val="21"/>
          <w:highlight w:val="none"/>
        </w:rPr>
        <w:t>5.质疑供应商为法人或者其他组织的，质疑函应由法定代表人、主要负责人，或者其授权代表签字或者盖章，并加盖公章。</w:t>
      </w:r>
    </w:p>
    <w:p w14:paraId="35A272F0">
      <w:pPr>
        <w:snapToGrid w:val="0"/>
        <w:rPr>
          <w:b/>
          <w:color w:val="auto"/>
          <w:kern w:val="0"/>
          <w:sz w:val="24"/>
          <w:highlight w:val="none"/>
        </w:rPr>
      </w:pPr>
    </w:p>
    <w:p w14:paraId="78992D67">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01356EC6">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14:paraId="2500A3D8">
      <w:pPr>
        <w:snapToGrid w:val="0"/>
        <w:spacing w:line="360" w:lineRule="auto"/>
        <w:ind w:firstLine="422" w:firstLineChars="200"/>
        <w:rPr>
          <w:b/>
          <w:bCs/>
          <w:color w:val="auto"/>
          <w:kern w:val="0"/>
          <w:szCs w:val="21"/>
          <w:highlight w:val="none"/>
        </w:rPr>
      </w:pPr>
      <w:r>
        <w:rPr>
          <w:b/>
          <w:bCs/>
          <w:color w:val="auto"/>
          <w:kern w:val="0"/>
          <w:szCs w:val="21"/>
          <w:highlight w:val="none"/>
        </w:rPr>
        <w:t>一、投诉相关主体基本情况：</w:t>
      </w:r>
    </w:p>
    <w:p w14:paraId="5F1D31E8">
      <w:pPr>
        <w:snapToGrid w:val="0"/>
        <w:spacing w:line="360" w:lineRule="auto"/>
        <w:ind w:firstLine="420" w:firstLineChars="200"/>
        <w:rPr>
          <w:bCs/>
          <w:color w:val="auto"/>
          <w:kern w:val="0"/>
          <w:szCs w:val="21"/>
          <w:highlight w:val="none"/>
          <w:u w:val="single"/>
        </w:rPr>
      </w:pPr>
      <w:r>
        <w:rPr>
          <w:bCs/>
          <w:color w:val="auto"/>
          <w:kern w:val="0"/>
          <w:szCs w:val="21"/>
          <w:highlight w:val="none"/>
        </w:rPr>
        <w:t>供应商：</w:t>
      </w:r>
      <w:r>
        <w:rPr>
          <w:bCs/>
          <w:color w:val="auto"/>
          <w:kern w:val="0"/>
          <w:szCs w:val="21"/>
          <w:highlight w:val="none"/>
          <w:u w:val="single"/>
        </w:rPr>
        <w:t xml:space="preserve">                                                                        </w:t>
      </w:r>
      <w:r>
        <w:rPr>
          <w:bCs/>
          <w:color w:val="auto"/>
          <w:kern w:val="0"/>
          <w:szCs w:val="21"/>
          <w:highlight w:val="none"/>
        </w:rPr>
        <w:t xml:space="preserve">                 </w:t>
      </w:r>
    </w:p>
    <w:p w14:paraId="4D4D64AC">
      <w:pPr>
        <w:snapToGrid w:val="0"/>
        <w:spacing w:line="360" w:lineRule="auto"/>
        <w:ind w:firstLine="420" w:firstLineChars="200"/>
        <w:rPr>
          <w:bCs/>
          <w:color w:val="auto"/>
          <w:kern w:val="0"/>
          <w:szCs w:val="21"/>
          <w:highlight w:val="none"/>
        </w:rPr>
      </w:pPr>
      <w:r>
        <w:rPr>
          <w:bCs/>
          <w:color w:val="auto"/>
          <w:kern w:val="0"/>
          <w:szCs w:val="21"/>
          <w:highlight w:val="none"/>
        </w:rPr>
        <w:t>地址：</w:t>
      </w:r>
      <w:r>
        <w:rPr>
          <w:bCs/>
          <w:color w:val="auto"/>
          <w:kern w:val="0"/>
          <w:szCs w:val="21"/>
          <w:highlight w:val="none"/>
          <w:u w:val="single"/>
        </w:rPr>
        <w:t xml:space="preserve">                                         </w:t>
      </w: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14:paraId="1A8FF2C4">
      <w:pPr>
        <w:snapToGrid w:val="0"/>
        <w:spacing w:line="360" w:lineRule="auto"/>
        <w:ind w:firstLine="420" w:firstLineChars="200"/>
        <w:rPr>
          <w:bCs/>
          <w:color w:val="auto"/>
          <w:kern w:val="0"/>
          <w:szCs w:val="21"/>
          <w:highlight w:val="none"/>
          <w:u w:val="single"/>
        </w:rPr>
      </w:pPr>
      <w:r>
        <w:rPr>
          <w:bCs/>
          <w:color w:val="auto"/>
          <w:kern w:val="0"/>
          <w:szCs w:val="21"/>
          <w:highlight w:val="none"/>
        </w:rPr>
        <w:t>法定代表人/主要负责人：</w:t>
      </w:r>
      <w:r>
        <w:rPr>
          <w:bCs/>
          <w:color w:val="auto"/>
          <w:kern w:val="0"/>
          <w:szCs w:val="21"/>
          <w:highlight w:val="none"/>
          <w:u w:val="single"/>
        </w:rPr>
        <w:t xml:space="preserve">                                                         </w:t>
      </w:r>
    </w:p>
    <w:p w14:paraId="76C4071E">
      <w:pPr>
        <w:snapToGrid w:val="0"/>
        <w:spacing w:line="360" w:lineRule="auto"/>
        <w:ind w:firstLine="420" w:firstLineChars="200"/>
        <w:rPr>
          <w:bCs/>
          <w:color w:val="auto"/>
          <w:kern w:val="0"/>
          <w:szCs w:val="21"/>
          <w:highlight w:val="none"/>
        </w:rPr>
      </w:pPr>
      <w:r>
        <w:rPr>
          <w:bCs/>
          <w:color w:val="auto"/>
          <w:kern w:val="0"/>
          <w:szCs w:val="21"/>
          <w:highlight w:val="none"/>
        </w:rPr>
        <w:t>联系电话：</w:t>
      </w:r>
      <w:r>
        <w:rPr>
          <w:bCs/>
          <w:color w:val="auto"/>
          <w:kern w:val="0"/>
          <w:szCs w:val="21"/>
          <w:highlight w:val="none"/>
          <w:u w:val="single"/>
        </w:rPr>
        <w:t xml:space="preserve">                                         </w:t>
      </w:r>
    </w:p>
    <w:p w14:paraId="458FC659">
      <w:pPr>
        <w:snapToGrid w:val="0"/>
        <w:spacing w:line="360" w:lineRule="auto"/>
        <w:ind w:firstLine="420" w:firstLineChars="200"/>
        <w:rPr>
          <w:bCs/>
          <w:color w:val="auto"/>
          <w:kern w:val="0"/>
          <w:szCs w:val="21"/>
          <w:highlight w:val="none"/>
          <w:u w:val="single"/>
        </w:rPr>
      </w:pPr>
      <w:r>
        <w:rPr>
          <w:bCs/>
          <w:color w:val="auto"/>
          <w:kern w:val="0"/>
          <w:szCs w:val="21"/>
          <w:highlight w:val="none"/>
        </w:rPr>
        <w:t>授权代表：</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p>
    <w:p w14:paraId="42EE4A81">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p>
    <w:p w14:paraId="76CD0211">
      <w:pPr>
        <w:snapToGrid w:val="0"/>
        <w:spacing w:line="360" w:lineRule="auto"/>
        <w:ind w:firstLine="420" w:firstLineChars="200"/>
        <w:rPr>
          <w:bCs/>
          <w:color w:val="auto"/>
          <w:kern w:val="0"/>
          <w:szCs w:val="21"/>
          <w:highlight w:val="none"/>
        </w:rPr>
      </w:pP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14:paraId="5B209AFB">
      <w:pPr>
        <w:snapToGrid w:val="0"/>
        <w:spacing w:line="360" w:lineRule="auto"/>
        <w:ind w:firstLine="420" w:firstLineChars="200"/>
        <w:rPr>
          <w:bCs/>
          <w:color w:val="auto"/>
          <w:kern w:val="0"/>
          <w:szCs w:val="21"/>
          <w:highlight w:val="none"/>
        </w:rPr>
      </w:pPr>
      <w:r>
        <w:rPr>
          <w:bCs/>
          <w:color w:val="auto"/>
          <w:kern w:val="0"/>
          <w:szCs w:val="21"/>
          <w:highlight w:val="none"/>
        </w:rPr>
        <w:t>被投诉人1：</w:t>
      </w:r>
    </w:p>
    <w:p w14:paraId="33BC41E7">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p>
    <w:p w14:paraId="36C8AD37">
      <w:pPr>
        <w:snapToGrid w:val="0"/>
        <w:spacing w:line="360" w:lineRule="auto"/>
        <w:ind w:firstLine="420" w:firstLineChars="200"/>
        <w:rPr>
          <w:bCs/>
          <w:color w:val="auto"/>
          <w:kern w:val="0"/>
          <w:szCs w:val="21"/>
          <w:highlight w:val="none"/>
        </w:rPr>
      </w:pP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14:paraId="4EF29CCD">
      <w:pPr>
        <w:snapToGrid w:val="0"/>
        <w:spacing w:line="360" w:lineRule="auto"/>
        <w:ind w:firstLine="420" w:firstLineChars="200"/>
        <w:rPr>
          <w:bCs/>
          <w:color w:val="auto"/>
          <w:kern w:val="0"/>
          <w:szCs w:val="21"/>
          <w:highlight w:val="none"/>
          <w:u w:val="single"/>
        </w:rPr>
      </w:pPr>
      <w:r>
        <w:rPr>
          <w:bCs/>
          <w:color w:val="auto"/>
          <w:kern w:val="0"/>
          <w:szCs w:val="21"/>
          <w:highlight w:val="none"/>
        </w:rPr>
        <w:t>联系人：</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p>
    <w:p w14:paraId="0EE6F56D">
      <w:pPr>
        <w:snapToGrid w:val="0"/>
        <w:spacing w:line="360" w:lineRule="auto"/>
        <w:ind w:firstLine="420" w:firstLineChars="200"/>
        <w:rPr>
          <w:bCs/>
          <w:color w:val="auto"/>
          <w:kern w:val="0"/>
          <w:szCs w:val="21"/>
          <w:highlight w:val="none"/>
        </w:rPr>
      </w:pPr>
      <w:r>
        <w:rPr>
          <w:bCs/>
          <w:color w:val="auto"/>
          <w:kern w:val="0"/>
          <w:szCs w:val="21"/>
          <w:highlight w:val="none"/>
        </w:rPr>
        <w:t>被投诉人2：</w:t>
      </w:r>
    </w:p>
    <w:p w14:paraId="7D1C59A3">
      <w:pPr>
        <w:snapToGrid w:val="0"/>
        <w:spacing w:line="360" w:lineRule="auto"/>
        <w:ind w:firstLine="420" w:firstLineChars="200"/>
        <w:rPr>
          <w:bCs/>
          <w:color w:val="auto"/>
          <w:kern w:val="0"/>
          <w:szCs w:val="21"/>
          <w:highlight w:val="none"/>
        </w:rPr>
      </w:pPr>
      <w:r>
        <w:rPr>
          <w:bCs/>
          <w:color w:val="auto"/>
          <w:kern w:val="0"/>
          <w:szCs w:val="21"/>
          <w:highlight w:val="none"/>
        </w:rPr>
        <w:t>……</w:t>
      </w:r>
    </w:p>
    <w:p w14:paraId="5EA4868E">
      <w:pPr>
        <w:snapToGrid w:val="0"/>
        <w:spacing w:line="360" w:lineRule="auto"/>
        <w:ind w:firstLine="420" w:firstLineChars="200"/>
        <w:rPr>
          <w:bCs/>
          <w:color w:val="auto"/>
          <w:kern w:val="0"/>
          <w:szCs w:val="21"/>
          <w:highlight w:val="none"/>
          <w:u w:val="single"/>
        </w:rPr>
      </w:pPr>
      <w:r>
        <w:rPr>
          <w:bCs/>
          <w:color w:val="auto"/>
          <w:kern w:val="0"/>
          <w:szCs w:val="21"/>
          <w:highlight w:val="none"/>
        </w:rPr>
        <w:t>相关供应商：</w:t>
      </w:r>
      <w:r>
        <w:rPr>
          <w:bCs/>
          <w:color w:val="auto"/>
          <w:kern w:val="0"/>
          <w:szCs w:val="21"/>
          <w:highlight w:val="none"/>
          <w:u w:val="single"/>
        </w:rPr>
        <w:t xml:space="preserve">                                                                       </w:t>
      </w:r>
    </w:p>
    <w:p w14:paraId="3EC9CFD1">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r>
        <w:rPr>
          <w:bCs/>
          <w:color w:val="auto"/>
          <w:kern w:val="0"/>
          <w:szCs w:val="21"/>
          <w:highlight w:val="none"/>
        </w:rPr>
        <w:t>邮编：</w:t>
      </w:r>
      <w:r>
        <w:rPr>
          <w:bCs/>
          <w:color w:val="auto"/>
          <w:kern w:val="0"/>
          <w:szCs w:val="21"/>
          <w:highlight w:val="none"/>
          <w:u w:val="single"/>
        </w:rPr>
        <w:t xml:space="preserve">                         </w:t>
      </w:r>
    </w:p>
    <w:p w14:paraId="0898592E">
      <w:pPr>
        <w:snapToGrid w:val="0"/>
        <w:spacing w:line="360" w:lineRule="auto"/>
        <w:ind w:firstLine="420" w:firstLineChars="200"/>
        <w:rPr>
          <w:bCs/>
          <w:color w:val="auto"/>
          <w:kern w:val="0"/>
          <w:szCs w:val="21"/>
          <w:highlight w:val="none"/>
        </w:rPr>
      </w:pPr>
      <w:r>
        <w:rPr>
          <w:bCs/>
          <w:color w:val="auto"/>
          <w:kern w:val="0"/>
          <w:szCs w:val="21"/>
          <w:highlight w:val="none"/>
        </w:rPr>
        <w:t>联系人：</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r>
        <w:rPr>
          <w:bCs/>
          <w:color w:val="auto"/>
          <w:kern w:val="0"/>
          <w:szCs w:val="21"/>
          <w:highlight w:val="none"/>
        </w:rPr>
        <w:t xml:space="preserve">                </w:t>
      </w:r>
    </w:p>
    <w:p w14:paraId="56485B47">
      <w:pPr>
        <w:snapToGrid w:val="0"/>
        <w:spacing w:line="360" w:lineRule="auto"/>
        <w:ind w:firstLine="422" w:firstLineChars="200"/>
        <w:rPr>
          <w:b/>
          <w:bCs/>
          <w:color w:val="auto"/>
          <w:kern w:val="0"/>
          <w:szCs w:val="21"/>
          <w:highlight w:val="none"/>
        </w:rPr>
      </w:pPr>
      <w:r>
        <w:rPr>
          <w:b/>
          <w:bCs/>
          <w:color w:val="auto"/>
          <w:kern w:val="0"/>
          <w:szCs w:val="21"/>
          <w:highlight w:val="none"/>
        </w:rPr>
        <w:t>二、投诉项目基本情况：</w:t>
      </w:r>
    </w:p>
    <w:p w14:paraId="60961288">
      <w:pPr>
        <w:spacing w:line="360" w:lineRule="auto"/>
        <w:ind w:left="25" w:leftChars="12" w:firstLine="413" w:firstLineChars="197"/>
        <w:rPr>
          <w:color w:val="auto"/>
          <w:kern w:val="0"/>
          <w:szCs w:val="21"/>
          <w:highlight w:val="none"/>
        </w:rPr>
      </w:pPr>
      <w:r>
        <w:rPr>
          <w:bCs/>
          <w:color w:val="auto"/>
          <w:kern w:val="0"/>
          <w:szCs w:val="21"/>
          <w:highlight w:val="none"/>
        </w:rPr>
        <w:t>采购</w:t>
      </w:r>
      <w:r>
        <w:rPr>
          <w:color w:val="auto"/>
          <w:kern w:val="0"/>
          <w:szCs w:val="21"/>
          <w:highlight w:val="none"/>
        </w:rPr>
        <w:t>项目的名称：</w:t>
      </w:r>
      <w:r>
        <w:rPr>
          <w:bCs/>
          <w:color w:val="auto"/>
          <w:kern w:val="0"/>
          <w:szCs w:val="21"/>
          <w:highlight w:val="none"/>
          <w:u w:val="single"/>
        </w:rPr>
        <w:t xml:space="preserve">                                                                   </w:t>
      </w:r>
    </w:p>
    <w:p w14:paraId="5924E0C1">
      <w:pPr>
        <w:spacing w:line="360" w:lineRule="auto"/>
        <w:ind w:left="25" w:leftChars="12" w:firstLine="413" w:firstLineChars="197"/>
        <w:rPr>
          <w:color w:val="auto"/>
          <w:kern w:val="0"/>
          <w:szCs w:val="21"/>
          <w:highlight w:val="none"/>
        </w:rPr>
      </w:pPr>
      <w:r>
        <w:rPr>
          <w:bCs/>
          <w:color w:val="auto"/>
          <w:kern w:val="0"/>
          <w:szCs w:val="21"/>
          <w:highlight w:val="none"/>
        </w:rPr>
        <w:t>采购</w:t>
      </w:r>
      <w:r>
        <w:rPr>
          <w:color w:val="auto"/>
          <w:kern w:val="0"/>
          <w:szCs w:val="21"/>
          <w:highlight w:val="none"/>
        </w:rPr>
        <w:t>项目的编号：</w:t>
      </w:r>
      <w:r>
        <w:rPr>
          <w:bCs/>
          <w:color w:val="auto"/>
          <w:kern w:val="0"/>
          <w:szCs w:val="21"/>
          <w:highlight w:val="none"/>
          <w:u w:val="single"/>
        </w:rPr>
        <w:t xml:space="preserve">                                          </w:t>
      </w:r>
    </w:p>
    <w:p w14:paraId="6089AF26">
      <w:pPr>
        <w:spacing w:line="360" w:lineRule="auto"/>
        <w:ind w:left="25" w:leftChars="12" w:firstLine="413" w:firstLineChars="197"/>
        <w:rPr>
          <w:bCs/>
          <w:color w:val="auto"/>
          <w:kern w:val="0"/>
          <w:szCs w:val="21"/>
          <w:highlight w:val="none"/>
          <w:u w:val="single"/>
        </w:rPr>
      </w:pPr>
      <w:r>
        <w:rPr>
          <w:color w:val="auto"/>
          <w:kern w:val="0"/>
          <w:szCs w:val="21"/>
          <w:highlight w:val="none"/>
        </w:rPr>
        <w:t>采购人名称：</w:t>
      </w:r>
      <w:r>
        <w:rPr>
          <w:bCs/>
          <w:color w:val="auto"/>
          <w:kern w:val="0"/>
          <w:szCs w:val="21"/>
          <w:highlight w:val="none"/>
          <w:u w:val="single"/>
        </w:rPr>
        <w:t xml:space="preserve">                                                                        </w:t>
      </w:r>
    </w:p>
    <w:p w14:paraId="7178FAA6">
      <w:pPr>
        <w:spacing w:line="360" w:lineRule="auto"/>
        <w:ind w:left="25" w:leftChars="12" w:firstLine="413" w:firstLineChars="197"/>
        <w:rPr>
          <w:bCs/>
          <w:color w:val="auto"/>
          <w:kern w:val="0"/>
          <w:szCs w:val="21"/>
          <w:highlight w:val="none"/>
          <w:u w:val="single"/>
        </w:rPr>
      </w:pPr>
      <w:r>
        <w:rPr>
          <w:color w:val="auto"/>
          <w:kern w:val="0"/>
          <w:szCs w:val="21"/>
          <w:highlight w:val="none"/>
        </w:rPr>
        <w:t>代理机构名称：</w:t>
      </w:r>
      <w:r>
        <w:rPr>
          <w:bCs/>
          <w:color w:val="auto"/>
          <w:kern w:val="0"/>
          <w:szCs w:val="21"/>
          <w:highlight w:val="none"/>
          <w:u w:val="single"/>
        </w:rPr>
        <w:t xml:space="preserve">                                                                      </w:t>
      </w:r>
    </w:p>
    <w:p w14:paraId="6B4C2729">
      <w:pPr>
        <w:spacing w:line="360" w:lineRule="auto"/>
        <w:ind w:left="25" w:leftChars="12" w:firstLine="413" w:firstLineChars="197"/>
        <w:rPr>
          <w:bCs/>
          <w:color w:val="auto"/>
          <w:kern w:val="0"/>
          <w:szCs w:val="21"/>
          <w:highlight w:val="none"/>
          <w:u w:val="single"/>
        </w:rPr>
      </w:pPr>
      <w:r>
        <w:rPr>
          <w:bCs/>
          <w:color w:val="auto"/>
          <w:kern w:val="0"/>
          <w:szCs w:val="21"/>
          <w:highlight w:val="none"/>
        </w:rPr>
        <w:t>采购文件公告：</w:t>
      </w:r>
      <w:r>
        <w:rPr>
          <w:bCs/>
          <w:color w:val="auto"/>
          <w:kern w:val="0"/>
          <w:szCs w:val="21"/>
          <w:highlight w:val="none"/>
          <w:u w:val="single"/>
        </w:rPr>
        <w:t>是/否</w:t>
      </w:r>
      <w:r>
        <w:rPr>
          <w:bCs/>
          <w:color w:val="auto"/>
          <w:kern w:val="0"/>
          <w:szCs w:val="21"/>
          <w:highlight w:val="none"/>
        </w:rPr>
        <w:t>公告期限：</w:t>
      </w:r>
      <w:r>
        <w:rPr>
          <w:bCs/>
          <w:color w:val="auto"/>
          <w:kern w:val="0"/>
          <w:szCs w:val="21"/>
          <w:highlight w:val="none"/>
          <w:u w:val="single"/>
        </w:rPr>
        <w:t xml:space="preserve">                                                       </w:t>
      </w:r>
    </w:p>
    <w:p w14:paraId="377713D2">
      <w:pPr>
        <w:spacing w:line="360" w:lineRule="auto"/>
        <w:ind w:left="25" w:leftChars="12" w:firstLine="413" w:firstLineChars="197"/>
        <w:rPr>
          <w:b/>
          <w:color w:val="auto"/>
          <w:kern w:val="0"/>
          <w:szCs w:val="21"/>
          <w:highlight w:val="none"/>
        </w:rPr>
      </w:pPr>
      <w:r>
        <w:rPr>
          <w:bCs/>
          <w:color w:val="auto"/>
          <w:kern w:val="0"/>
          <w:szCs w:val="21"/>
          <w:highlight w:val="none"/>
        </w:rPr>
        <w:t>采购结果公告：</w:t>
      </w:r>
      <w:r>
        <w:rPr>
          <w:bCs/>
          <w:color w:val="auto"/>
          <w:kern w:val="0"/>
          <w:szCs w:val="21"/>
          <w:highlight w:val="none"/>
          <w:u w:val="single"/>
        </w:rPr>
        <w:t>是/否</w:t>
      </w:r>
      <w:r>
        <w:rPr>
          <w:bCs/>
          <w:color w:val="auto"/>
          <w:kern w:val="0"/>
          <w:szCs w:val="21"/>
          <w:highlight w:val="none"/>
        </w:rPr>
        <w:t>公告期限：</w:t>
      </w:r>
      <w:r>
        <w:rPr>
          <w:bCs/>
          <w:color w:val="auto"/>
          <w:kern w:val="0"/>
          <w:szCs w:val="21"/>
          <w:highlight w:val="none"/>
          <w:u w:val="single"/>
        </w:rPr>
        <w:t xml:space="preserve">                                                       </w:t>
      </w:r>
    </w:p>
    <w:p w14:paraId="2DC01E1A">
      <w:pPr>
        <w:spacing w:line="360" w:lineRule="auto"/>
        <w:ind w:left="25" w:leftChars="12" w:firstLine="413" w:firstLineChars="196"/>
        <w:rPr>
          <w:b/>
          <w:color w:val="auto"/>
          <w:kern w:val="0"/>
          <w:szCs w:val="21"/>
          <w:highlight w:val="none"/>
        </w:rPr>
      </w:pPr>
      <w:r>
        <w:rPr>
          <w:b/>
          <w:color w:val="auto"/>
          <w:kern w:val="0"/>
          <w:szCs w:val="21"/>
          <w:highlight w:val="none"/>
        </w:rPr>
        <w:t>三、质疑基本情况</w:t>
      </w:r>
    </w:p>
    <w:p w14:paraId="2E3F432B">
      <w:pPr>
        <w:spacing w:line="360" w:lineRule="auto"/>
        <w:ind w:firstLine="420" w:firstLineChars="200"/>
        <w:rPr>
          <w:color w:val="auto"/>
          <w:kern w:val="0"/>
          <w:szCs w:val="21"/>
          <w:highlight w:val="none"/>
        </w:rPr>
      </w:pPr>
      <w:r>
        <w:rPr>
          <w:color w:val="auto"/>
          <w:kern w:val="0"/>
          <w:szCs w:val="21"/>
          <w:highlight w:val="none"/>
        </w:rPr>
        <w:t>投诉人于</w:t>
      </w:r>
      <w:r>
        <w:rPr>
          <w:color w:val="auto"/>
          <w:kern w:val="0"/>
          <w:szCs w:val="21"/>
          <w:highlight w:val="none"/>
          <w:u w:val="single"/>
        </w:rPr>
        <w:t xml:space="preserve">      </w:t>
      </w:r>
      <w:r>
        <w:rPr>
          <w:color w:val="auto"/>
          <w:kern w:val="0"/>
          <w:szCs w:val="21"/>
          <w:highlight w:val="none"/>
        </w:rPr>
        <w:t>年</w:t>
      </w:r>
      <w:r>
        <w:rPr>
          <w:color w:val="auto"/>
          <w:kern w:val="0"/>
          <w:szCs w:val="21"/>
          <w:highlight w:val="none"/>
          <w:u w:val="single"/>
        </w:rPr>
        <w:t xml:space="preserve">   </w:t>
      </w:r>
      <w:r>
        <w:rPr>
          <w:color w:val="auto"/>
          <w:kern w:val="0"/>
          <w:szCs w:val="21"/>
          <w:highlight w:val="none"/>
        </w:rPr>
        <w:t>月</w:t>
      </w:r>
      <w:r>
        <w:rPr>
          <w:color w:val="auto"/>
          <w:kern w:val="0"/>
          <w:szCs w:val="21"/>
          <w:highlight w:val="none"/>
          <w:u w:val="single"/>
        </w:rPr>
        <w:t xml:space="preserve">   </w:t>
      </w:r>
      <w:r>
        <w:rPr>
          <w:color w:val="auto"/>
          <w:kern w:val="0"/>
          <w:szCs w:val="21"/>
          <w:highlight w:val="none"/>
        </w:rPr>
        <w:t>日，向</w:t>
      </w:r>
      <w:r>
        <w:rPr>
          <w:color w:val="auto"/>
          <w:kern w:val="0"/>
          <w:szCs w:val="21"/>
          <w:highlight w:val="none"/>
          <w:u w:val="single"/>
        </w:rPr>
        <w:t xml:space="preserve">                                </w:t>
      </w:r>
      <w:r>
        <w:rPr>
          <w:color w:val="auto"/>
          <w:kern w:val="0"/>
          <w:szCs w:val="21"/>
          <w:highlight w:val="none"/>
        </w:rPr>
        <w:t>提出质疑，质疑事项为：</w:t>
      </w:r>
    </w:p>
    <w:p w14:paraId="40F06DB0">
      <w:pPr>
        <w:spacing w:line="360" w:lineRule="auto"/>
        <w:ind w:firstLine="241"/>
        <w:rPr>
          <w:bCs/>
          <w:color w:val="auto"/>
          <w:kern w:val="0"/>
          <w:szCs w:val="21"/>
          <w:highlight w:val="none"/>
          <w:u w:val="single"/>
        </w:rPr>
      </w:pPr>
      <w:r>
        <w:rPr>
          <w:color w:val="auto"/>
          <w:kern w:val="0"/>
          <w:szCs w:val="21"/>
          <w:highlight w:val="none"/>
        </w:rPr>
        <w:t xml:space="preserve">    </w:t>
      </w:r>
      <w:r>
        <w:rPr>
          <w:bCs/>
          <w:color w:val="auto"/>
          <w:kern w:val="0"/>
          <w:szCs w:val="21"/>
          <w:highlight w:val="none"/>
          <w:u w:val="single"/>
        </w:rPr>
        <w:t xml:space="preserve">                                                                                      </w:t>
      </w:r>
    </w:p>
    <w:p w14:paraId="6CD04BD7">
      <w:pPr>
        <w:spacing w:line="360" w:lineRule="auto"/>
        <w:ind w:firstLine="241"/>
        <w:rPr>
          <w:bCs/>
          <w:color w:val="auto"/>
          <w:kern w:val="0"/>
          <w:szCs w:val="21"/>
          <w:highlight w:val="none"/>
          <w:u w:val="single"/>
        </w:rPr>
      </w:pPr>
      <w:r>
        <w:rPr>
          <w:bCs/>
          <w:color w:val="auto"/>
          <w:kern w:val="0"/>
          <w:szCs w:val="21"/>
          <w:highlight w:val="none"/>
        </w:rPr>
        <w:t xml:space="preserve">    </w:t>
      </w:r>
      <w:r>
        <w:rPr>
          <w:bCs/>
          <w:color w:val="auto"/>
          <w:kern w:val="0"/>
          <w:szCs w:val="21"/>
          <w:highlight w:val="none"/>
          <w:u w:val="single"/>
        </w:rPr>
        <w:t xml:space="preserve">                                                                                      </w:t>
      </w:r>
    </w:p>
    <w:p w14:paraId="6A88E322">
      <w:pPr>
        <w:spacing w:line="360" w:lineRule="auto"/>
        <w:ind w:firstLine="420" w:firstLineChars="200"/>
        <w:rPr>
          <w:color w:val="auto"/>
          <w:kern w:val="0"/>
          <w:szCs w:val="21"/>
          <w:highlight w:val="none"/>
        </w:rPr>
      </w:pPr>
      <w:r>
        <w:rPr>
          <w:bCs/>
          <w:color w:val="auto"/>
          <w:kern w:val="0"/>
          <w:szCs w:val="21"/>
          <w:highlight w:val="none"/>
          <w:u w:val="single"/>
        </w:rPr>
        <w:t>采购人/采购代理机构</w:t>
      </w:r>
      <w:r>
        <w:rPr>
          <w:bCs/>
          <w:color w:val="auto"/>
          <w:kern w:val="0"/>
          <w:szCs w:val="21"/>
          <w:highlight w:val="none"/>
        </w:rPr>
        <w:t>于</w:t>
      </w:r>
      <w:r>
        <w:rPr>
          <w:color w:val="auto"/>
          <w:kern w:val="0"/>
          <w:szCs w:val="21"/>
          <w:highlight w:val="none"/>
          <w:u w:val="single"/>
        </w:rPr>
        <w:t xml:space="preserve">      </w:t>
      </w:r>
      <w:r>
        <w:rPr>
          <w:color w:val="auto"/>
          <w:kern w:val="0"/>
          <w:szCs w:val="21"/>
          <w:highlight w:val="none"/>
        </w:rPr>
        <w:t>年</w:t>
      </w:r>
      <w:r>
        <w:rPr>
          <w:color w:val="auto"/>
          <w:kern w:val="0"/>
          <w:szCs w:val="21"/>
          <w:highlight w:val="none"/>
          <w:u w:val="single"/>
        </w:rPr>
        <w:t xml:space="preserve">   </w:t>
      </w:r>
      <w:r>
        <w:rPr>
          <w:color w:val="auto"/>
          <w:kern w:val="0"/>
          <w:szCs w:val="21"/>
          <w:highlight w:val="none"/>
        </w:rPr>
        <w:t>月</w:t>
      </w:r>
      <w:r>
        <w:rPr>
          <w:color w:val="auto"/>
          <w:kern w:val="0"/>
          <w:szCs w:val="21"/>
          <w:highlight w:val="none"/>
          <w:u w:val="single"/>
        </w:rPr>
        <w:t xml:space="preserve">   </w:t>
      </w:r>
      <w:r>
        <w:rPr>
          <w:color w:val="auto"/>
          <w:kern w:val="0"/>
          <w:szCs w:val="21"/>
          <w:highlight w:val="none"/>
        </w:rPr>
        <w:t>日，</w:t>
      </w:r>
      <w:r>
        <w:rPr>
          <w:bCs/>
          <w:color w:val="auto"/>
          <w:kern w:val="0"/>
          <w:szCs w:val="21"/>
          <w:highlight w:val="none"/>
        </w:rPr>
        <w:t xml:space="preserve">就质疑事项作出了答复/没有在法定期限内作出答复。                                                                                             </w:t>
      </w:r>
    </w:p>
    <w:p w14:paraId="1D0D0DDB">
      <w:pPr>
        <w:spacing w:line="360" w:lineRule="auto"/>
        <w:ind w:left="25" w:leftChars="12" w:firstLine="413" w:firstLineChars="196"/>
        <w:rPr>
          <w:b/>
          <w:color w:val="auto"/>
          <w:kern w:val="0"/>
          <w:szCs w:val="21"/>
          <w:highlight w:val="none"/>
        </w:rPr>
      </w:pPr>
      <w:r>
        <w:rPr>
          <w:b/>
          <w:color w:val="auto"/>
          <w:kern w:val="0"/>
          <w:szCs w:val="21"/>
          <w:highlight w:val="none"/>
        </w:rPr>
        <w:t>四、投诉事项具体内容</w:t>
      </w:r>
    </w:p>
    <w:p w14:paraId="757ABB9D">
      <w:pPr>
        <w:spacing w:line="360" w:lineRule="auto"/>
        <w:ind w:left="25" w:leftChars="12" w:firstLine="413" w:firstLineChars="197"/>
        <w:rPr>
          <w:bCs/>
          <w:color w:val="auto"/>
          <w:kern w:val="0"/>
          <w:szCs w:val="21"/>
          <w:highlight w:val="none"/>
          <w:u w:val="single"/>
        </w:rPr>
      </w:pPr>
      <w:r>
        <w:rPr>
          <w:color w:val="auto"/>
          <w:kern w:val="0"/>
          <w:szCs w:val="21"/>
          <w:highlight w:val="none"/>
        </w:rPr>
        <w:t>投诉事项1：</w:t>
      </w:r>
      <w:r>
        <w:rPr>
          <w:bCs/>
          <w:color w:val="auto"/>
          <w:kern w:val="0"/>
          <w:szCs w:val="21"/>
          <w:highlight w:val="none"/>
          <w:u w:val="single"/>
        </w:rPr>
        <w:t xml:space="preserve">                                                                           </w:t>
      </w:r>
    </w:p>
    <w:p w14:paraId="347FBCAC">
      <w:pPr>
        <w:spacing w:line="360" w:lineRule="auto"/>
        <w:ind w:firstLine="420" w:firstLineChars="200"/>
        <w:rPr>
          <w:bCs/>
          <w:color w:val="auto"/>
          <w:kern w:val="0"/>
          <w:szCs w:val="21"/>
          <w:highlight w:val="none"/>
          <w:u w:val="single"/>
        </w:rPr>
      </w:pPr>
      <w:r>
        <w:rPr>
          <w:bCs/>
          <w:color w:val="auto"/>
          <w:kern w:val="0"/>
          <w:szCs w:val="21"/>
          <w:highlight w:val="none"/>
        </w:rPr>
        <w:t>事实依据：</w:t>
      </w:r>
      <w:r>
        <w:rPr>
          <w:color w:val="auto"/>
          <w:kern w:val="0"/>
          <w:szCs w:val="21"/>
          <w:highlight w:val="none"/>
        </w:rPr>
        <w:t xml:space="preserve"> </w:t>
      </w:r>
      <w:r>
        <w:rPr>
          <w:bCs/>
          <w:color w:val="auto"/>
          <w:kern w:val="0"/>
          <w:szCs w:val="21"/>
          <w:highlight w:val="none"/>
          <w:u w:val="single"/>
        </w:rPr>
        <w:t xml:space="preserve">                                                                                      </w:t>
      </w:r>
    </w:p>
    <w:p w14:paraId="27C0CE2C">
      <w:pPr>
        <w:spacing w:line="360" w:lineRule="auto"/>
        <w:ind w:left="25" w:leftChars="12" w:firstLine="413" w:firstLineChars="197"/>
        <w:rPr>
          <w:color w:val="auto"/>
          <w:kern w:val="0"/>
          <w:szCs w:val="21"/>
          <w:highlight w:val="none"/>
        </w:rPr>
      </w:pPr>
      <w:r>
        <w:rPr>
          <w:bCs/>
          <w:color w:val="auto"/>
          <w:kern w:val="0"/>
          <w:szCs w:val="21"/>
          <w:highlight w:val="none"/>
          <w:u w:val="single"/>
        </w:rPr>
        <w:t xml:space="preserve">                                                                                        </w:t>
      </w:r>
    </w:p>
    <w:p w14:paraId="1F9D7126">
      <w:pPr>
        <w:spacing w:line="360" w:lineRule="auto"/>
        <w:ind w:firstLine="420" w:firstLineChars="200"/>
        <w:rPr>
          <w:bCs/>
          <w:color w:val="auto"/>
          <w:kern w:val="0"/>
          <w:szCs w:val="21"/>
          <w:highlight w:val="none"/>
          <w:u w:val="single"/>
        </w:rPr>
      </w:pPr>
      <w:r>
        <w:rPr>
          <w:bCs/>
          <w:color w:val="auto"/>
          <w:kern w:val="0"/>
          <w:szCs w:val="21"/>
          <w:highlight w:val="none"/>
        </w:rPr>
        <w:t>法律依据：</w:t>
      </w:r>
      <w:r>
        <w:rPr>
          <w:color w:val="auto"/>
          <w:kern w:val="0"/>
          <w:szCs w:val="21"/>
          <w:highlight w:val="none"/>
        </w:rPr>
        <w:t xml:space="preserve"> </w:t>
      </w:r>
      <w:r>
        <w:rPr>
          <w:bCs/>
          <w:color w:val="auto"/>
          <w:kern w:val="0"/>
          <w:szCs w:val="21"/>
          <w:highlight w:val="none"/>
          <w:u w:val="single"/>
        </w:rPr>
        <w:t xml:space="preserve">                                                                                      </w:t>
      </w:r>
    </w:p>
    <w:p w14:paraId="27950D3E">
      <w:pPr>
        <w:spacing w:line="360" w:lineRule="auto"/>
        <w:ind w:left="25" w:leftChars="12" w:firstLine="308" w:firstLineChars="147"/>
        <w:rPr>
          <w:bCs/>
          <w:color w:val="auto"/>
          <w:kern w:val="0"/>
          <w:szCs w:val="21"/>
          <w:highlight w:val="none"/>
          <w:u w:val="single"/>
        </w:rPr>
      </w:pPr>
      <w:r>
        <w:rPr>
          <w:bCs/>
          <w:color w:val="auto"/>
          <w:kern w:val="0"/>
          <w:szCs w:val="21"/>
          <w:highlight w:val="none"/>
        </w:rPr>
        <w:t xml:space="preserve"> </w:t>
      </w:r>
      <w:r>
        <w:rPr>
          <w:bCs/>
          <w:color w:val="auto"/>
          <w:kern w:val="0"/>
          <w:szCs w:val="21"/>
          <w:highlight w:val="none"/>
          <w:u w:val="single"/>
        </w:rPr>
        <w:t xml:space="preserve">                                                                                        </w:t>
      </w:r>
    </w:p>
    <w:p w14:paraId="225AC4B0">
      <w:pPr>
        <w:spacing w:line="360" w:lineRule="auto"/>
        <w:ind w:left="25" w:leftChars="12" w:firstLine="413" w:firstLineChars="197"/>
        <w:rPr>
          <w:bCs/>
          <w:color w:val="auto"/>
          <w:kern w:val="0"/>
          <w:szCs w:val="21"/>
          <w:highlight w:val="none"/>
        </w:rPr>
      </w:pPr>
      <w:r>
        <w:rPr>
          <w:color w:val="auto"/>
          <w:kern w:val="0"/>
          <w:szCs w:val="21"/>
          <w:highlight w:val="none"/>
        </w:rPr>
        <w:t xml:space="preserve">投诉事项2  </w:t>
      </w:r>
      <w:r>
        <w:rPr>
          <w:bCs/>
          <w:color w:val="auto"/>
          <w:kern w:val="0"/>
          <w:szCs w:val="21"/>
          <w:highlight w:val="none"/>
        </w:rPr>
        <w:t xml:space="preserve">   </w:t>
      </w:r>
    </w:p>
    <w:p w14:paraId="3405DB20">
      <w:pPr>
        <w:spacing w:line="360" w:lineRule="auto"/>
        <w:ind w:left="25" w:leftChars="12" w:firstLine="413" w:firstLineChars="197"/>
        <w:rPr>
          <w:bCs/>
          <w:color w:val="auto"/>
          <w:kern w:val="0"/>
          <w:szCs w:val="21"/>
          <w:highlight w:val="none"/>
        </w:rPr>
      </w:pPr>
      <w:r>
        <w:rPr>
          <w:bCs/>
          <w:color w:val="auto"/>
          <w:kern w:val="0"/>
          <w:szCs w:val="21"/>
          <w:highlight w:val="none"/>
        </w:rPr>
        <w:t>……</w:t>
      </w:r>
    </w:p>
    <w:p w14:paraId="7BC56158">
      <w:pPr>
        <w:spacing w:line="360" w:lineRule="auto"/>
        <w:ind w:left="25" w:leftChars="12" w:firstLine="413" w:firstLineChars="196"/>
        <w:rPr>
          <w:b/>
          <w:color w:val="auto"/>
          <w:kern w:val="0"/>
          <w:szCs w:val="21"/>
          <w:highlight w:val="none"/>
        </w:rPr>
      </w:pPr>
      <w:r>
        <w:rPr>
          <w:b/>
          <w:color w:val="auto"/>
          <w:kern w:val="0"/>
          <w:szCs w:val="21"/>
          <w:highlight w:val="none"/>
        </w:rPr>
        <w:t>五、与投诉事项相关的投诉请求：</w:t>
      </w:r>
    </w:p>
    <w:p w14:paraId="50B0F2C3">
      <w:pPr>
        <w:spacing w:line="360" w:lineRule="auto"/>
        <w:ind w:left="25" w:leftChars="12" w:firstLine="413" w:firstLineChars="197"/>
        <w:rPr>
          <w:color w:val="auto"/>
          <w:kern w:val="0"/>
          <w:szCs w:val="21"/>
          <w:highlight w:val="none"/>
        </w:rPr>
      </w:pPr>
      <w:r>
        <w:rPr>
          <w:color w:val="auto"/>
          <w:kern w:val="0"/>
          <w:szCs w:val="21"/>
          <w:highlight w:val="none"/>
        </w:rPr>
        <w:t>请求：</w:t>
      </w:r>
      <w:r>
        <w:rPr>
          <w:bCs/>
          <w:color w:val="auto"/>
          <w:kern w:val="0"/>
          <w:szCs w:val="21"/>
          <w:highlight w:val="none"/>
          <w:u w:val="single"/>
        </w:rPr>
        <w:t xml:space="preserve">                                                                                 </w:t>
      </w:r>
    </w:p>
    <w:p w14:paraId="484A3A71">
      <w:pPr>
        <w:spacing w:line="360" w:lineRule="auto"/>
        <w:ind w:left="25" w:leftChars="12" w:firstLine="308" w:firstLineChars="147"/>
        <w:rPr>
          <w:color w:val="auto"/>
          <w:kern w:val="0"/>
          <w:szCs w:val="21"/>
          <w:highlight w:val="none"/>
        </w:rPr>
      </w:pPr>
    </w:p>
    <w:p w14:paraId="3FFF44C4">
      <w:pPr>
        <w:spacing w:line="360" w:lineRule="auto"/>
        <w:ind w:left="25" w:leftChars="12" w:firstLine="413" w:firstLineChars="197"/>
        <w:rPr>
          <w:color w:val="auto"/>
          <w:kern w:val="0"/>
          <w:szCs w:val="21"/>
          <w:highlight w:val="none"/>
        </w:rPr>
      </w:pPr>
      <w:r>
        <w:rPr>
          <w:color w:val="auto"/>
          <w:kern w:val="0"/>
          <w:szCs w:val="21"/>
          <w:highlight w:val="none"/>
        </w:rPr>
        <w:t>签字（签章）：                                       公章：</w:t>
      </w:r>
    </w:p>
    <w:p w14:paraId="1DF61983">
      <w:pPr>
        <w:spacing w:line="360" w:lineRule="auto"/>
        <w:ind w:left="25" w:leftChars="12" w:firstLine="308" w:firstLineChars="147"/>
        <w:rPr>
          <w:color w:val="auto"/>
          <w:kern w:val="0"/>
          <w:szCs w:val="21"/>
          <w:highlight w:val="none"/>
        </w:rPr>
      </w:pPr>
    </w:p>
    <w:p w14:paraId="6BA8709A">
      <w:pPr>
        <w:spacing w:line="360" w:lineRule="auto"/>
        <w:ind w:left="25" w:leftChars="12" w:firstLine="413" w:firstLineChars="197"/>
        <w:rPr>
          <w:color w:val="auto"/>
          <w:kern w:val="0"/>
          <w:szCs w:val="21"/>
          <w:highlight w:val="none"/>
        </w:rPr>
      </w:pPr>
      <w:r>
        <w:rPr>
          <w:color w:val="auto"/>
          <w:kern w:val="0"/>
          <w:szCs w:val="21"/>
          <w:highlight w:val="none"/>
        </w:rPr>
        <w:t>日期：</w:t>
      </w:r>
    </w:p>
    <w:p w14:paraId="4FA1CC56">
      <w:pPr>
        <w:spacing w:line="360" w:lineRule="auto"/>
        <w:ind w:left="25" w:leftChars="12" w:firstLine="413" w:firstLineChars="197"/>
        <w:rPr>
          <w:color w:val="auto"/>
          <w:kern w:val="0"/>
          <w:szCs w:val="21"/>
          <w:highlight w:val="none"/>
        </w:rPr>
      </w:pPr>
      <w:r>
        <w:rPr>
          <w:bCs/>
          <w:color w:val="auto"/>
          <w:kern w:val="0"/>
          <w:szCs w:val="21"/>
          <w:highlight w:val="none"/>
        </w:rPr>
        <w:t xml:space="preserve">                                                                                 </w:t>
      </w:r>
    </w:p>
    <w:p w14:paraId="78580862">
      <w:pPr>
        <w:snapToGrid w:val="0"/>
        <w:spacing w:line="360" w:lineRule="auto"/>
        <w:rPr>
          <w:b/>
          <w:color w:val="auto"/>
          <w:kern w:val="0"/>
          <w:szCs w:val="21"/>
          <w:highlight w:val="none"/>
        </w:rPr>
      </w:pPr>
    </w:p>
    <w:p w14:paraId="47F15DAE">
      <w:pPr>
        <w:snapToGrid w:val="0"/>
        <w:spacing w:line="360" w:lineRule="auto"/>
        <w:rPr>
          <w:b/>
          <w:color w:val="auto"/>
          <w:kern w:val="0"/>
          <w:szCs w:val="21"/>
          <w:highlight w:val="none"/>
        </w:rPr>
      </w:pPr>
      <w:r>
        <w:rPr>
          <w:b/>
          <w:color w:val="auto"/>
          <w:kern w:val="0"/>
          <w:szCs w:val="21"/>
          <w:highlight w:val="none"/>
        </w:rPr>
        <w:t>说明：</w:t>
      </w:r>
    </w:p>
    <w:p w14:paraId="7B4FF618">
      <w:pPr>
        <w:spacing w:line="360" w:lineRule="auto"/>
        <w:ind w:left="25" w:leftChars="12" w:firstLine="310" w:firstLineChars="147"/>
        <w:rPr>
          <w:b/>
          <w:bCs/>
          <w:color w:val="auto"/>
          <w:kern w:val="0"/>
          <w:szCs w:val="21"/>
          <w:highlight w:val="none"/>
        </w:rPr>
      </w:pPr>
      <w:r>
        <w:rPr>
          <w:b/>
          <w:color w:val="auto"/>
          <w:kern w:val="0"/>
          <w:szCs w:val="21"/>
          <w:highlight w:val="none"/>
        </w:rPr>
        <w:t>1.投诉人提起投诉时，应当提交投诉书和必要的证明材料，并按照被投诉人和与投诉事项有关的供应商数量提供投诉书副本</w:t>
      </w:r>
      <w:r>
        <w:rPr>
          <w:b/>
          <w:bCs/>
          <w:color w:val="auto"/>
          <w:kern w:val="0"/>
          <w:szCs w:val="21"/>
          <w:highlight w:val="none"/>
        </w:rPr>
        <w:t>。</w:t>
      </w:r>
    </w:p>
    <w:p w14:paraId="7E6F4085">
      <w:pPr>
        <w:spacing w:line="360" w:lineRule="auto"/>
        <w:ind w:left="25" w:leftChars="12" w:firstLine="310" w:firstLineChars="147"/>
        <w:rPr>
          <w:b/>
          <w:color w:val="auto"/>
          <w:kern w:val="0"/>
          <w:szCs w:val="21"/>
          <w:highlight w:val="none"/>
        </w:rPr>
      </w:pPr>
      <w:r>
        <w:rPr>
          <w:b/>
          <w:color w:val="auto"/>
          <w:kern w:val="0"/>
          <w:szCs w:val="21"/>
          <w:highlight w:val="none"/>
        </w:rPr>
        <w:t>2.投诉人若委托代理人进行投诉的，投诉书应按要求列明</w:t>
      </w:r>
      <w:r>
        <w:rPr>
          <w:rFonts w:hint="eastAsia"/>
          <w:b/>
          <w:color w:val="auto"/>
          <w:kern w:val="0"/>
          <w:szCs w:val="21"/>
          <w:highlight w:val="none"/>
          <w:lang w:eastAsia="zh-CN"/>
        </w:rPr>
        <w:t>“</w:t>
      </w:r>
      <w:r>
        <w:rPr>
          <w:b/>
          <w:color w:val="auto"/>
          <w:kern w:val="0"/>
          <w:szCs w:val="21"/>
          <w:highlight w:val="none"/>
        </w:rPr>
        <w:t>授权代表</w:t>
      </w:r>
      <w:r>
        <w:rPr>
          <w:rFonts w:hint="eastAsia"/>
          <w:b/>
          <w:color w:val="auto"/>
          <w:kern w:val="0"/>
          <w:szCs w:val="21"/>
          <w:highlight w:val="none"/>
          <w:lang w:eastAsia="zh-CN"/>
        </w:rPr>
        <w:t>”</w:t>
      </w:r>
      <w:r>
        <w:rPr>
          <w:b/>
          <w:color w:val="auto"/>
          <w:kern w:val="0"/>
          <w:szCs w:val="21"/>
          <w:highlight w:val="none"/>
        </w:rPr>
        <w:t>的有关内容，并在附件中提交由投诉人签署的授权委托书。授权委托书应当载明代理人的姓名或者名称、代理事项、具体权限、期限和相关事项。</w:t>
      </w:r>
    </w:p>
    <w:p w14:paraId="250D9B28">
      <w:pPr>
        <w:spacing w:line="360" w:lineRule="auto"/>
        <w:ind w:left="25" w:leftChars="12" w:firstLine="310" w:firstLineChars="147"/>
        <w:rPr>
          <w:b/>
          <w:color w:val="auto"/>
          <w:kern w:val="0"/>
          <w:szCs w:val="21"/>
          <w:highlight w:val="none"/>
        </w:rPr>
      </w:pPr>
      <w:r>
        <w:rPr>
          <w:b/>
          <w:color w:val="auto"/>
          <w:kern w:val="0"/>
          <w:szCs w:val="21"/>
          <w:highlight w:val="none"/>
        </w:rPr>
        <w:t>3.投诉书应简要列明质疑事项，质疑函、质疑答复等作为附件材料提供。</w:t>
      </w:r>
    </w:p>
    <w:p w14:paraId="3A0059BB">
      <w:pPr>
        <w:spacing w:line="360" w:lineRule="auto"/>
        <w:ind w:left="25" w:leftChars="12" w:firstLine="310" w:firstLineChars="147"/>
        <w:rPr>
          <w:b/>
          <w:color w:val="auto"/>
          <w:kern w:val="0"/>
          <w:szCs w:val="21"/>
          <w:highlight w:val="none"/>
        </w:rPr>
      </w:pPr>
      <w:r>
        <w:rPr>
          <w:b/>
          <w:color w:val="auto"/>
          <w:kern w:val="0"/>
          <w:szCs w:val="21"/>
          <w:highlight w:val="none"/>
        </w:rPr>
        <w:t>4.投诉书的投诉事项应具体、明确，并有必要的事实依据和法律依据。</w:t>
      </w:r>
    </w:p>
    <w:p w14:paraId="791ACCCD">
      <w:pPr>
        <w:spacing w:line="360" w:lineRule="auto"/>
        <w:ind w:left="25" w:leftChars="12" w:firstLine="310" w:firstLineChars="147"/>
        <w:rPr>
          <w:b/>
          <w:color w:val="auto"/>
          <w:kern w:val="0"/>
          <w:szCs w:val="21"/>
          <w:highlight w:val="none"/>
        </w:rPr>
      </w:pPr>
      <w:r>
        <w:rPr>
          <w:b/>
          <w:color w:val="auto"/>
          <w:kern w:val="0"/>
          <w:szCs w:val="21"/>
          <w:highlight w:val="none"/>
        </w:rPr>
        <w:t>5.投诉书的投诉请求应与投诉事项相关。</w:t>
      </w:r>
    </w:p>
    <w:p w14:paraId="52C09676">
      <w:pPr>
        <w:spacing w:line="360" w:lineRule="auto"/>
        <w:ind w:left="25" w:leftChars="12" w:firstLine="310" w:firstLineChars="147"/>
        <w:rPr>
          <w:color w:val="auto"/>
          <w:szCs w:val="21"/>
          <w:highlight w:val="none"/>
        </w:rPr>
      </w:pPr>
      <w:r>
        <w:rPr>
          <w:b/>
          <w:color w:val="auto"/>
          <w:kern w:val="0"/>
          <w:szCs w:val="21"/>
          <w:highlight w:val="none"/>
        </w:rPr>
        <w:t>6.投诉人为法人或者其他组织的，投诉书应由法定代表人、主要负责人，或者其授权代表签字或者盖章，并加盖公章。</w:t>
      </w:r>
    </w:p>
    <w:p w14:paraId="21DACCCC">
      <w:pPr>
        <w:rPr>
          <w:rFonts w:hint="eastAsia"/>
          <w:color w:val="auto"/>
          <w:highlight w:val="none"/>
        </w:rPr>
      </w:pPr>
    </w:p>
    <w:sectPr>
      <w:headerReference r:id="rId18" w:type="default"/>
      <w:footerReference r:id="rId1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BEDC">
    <w:pPr>
      <w:pStyle w:val="20"/>
      <w:jc w:val="center"/>
      <w:rPr>
        <w:rFonts w:hint="eastAsia" w:ascii="Calibri" w:hAnsi="Calibri"/>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632F">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2825D">
                          <w:pPr>
                            <w:pStyle w:val="20"/>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Ehjc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s3HwQe27vEepHvjbQ8Qmcm+pwgg7FcahZXbTgqWt+POes5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BIY3LAQAAnAMAAA4AAAAAAAAAAQAgAAAAHgEAAGRycy9lMm9E&#10;b2MueG1sUEsFBgAAAAAGAAYAWQEAAFsFAAAAAA==&#10;">
              <v:fill on="f" focussize="0,0"/>
              <v:stroke on="f"/>
              <v:imagedata o:title=""/>
              <o:lock v:ext="edit" aspectratio="f"/>
              <v:textbox inset="0mm,0mm,0mm,0mm" style="mso-fit-shape-to-text:t;">
                <w:txbxContent>
                  <w:p w14:paraId="33B2825D">
                    <w:pPr>
                      <w:pStyle w:val="20"/>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114</w:t>
                    </w:r>
                    <w:r>
                      <w:rPr>
                        <w:rFonts w:hint="eastAsia"/>
                        <w:lang w:eastAsia="zh-CN"/>
                      </w:rPr>
                      <w:fldChar w:fldCharType="end"/>
                    </w:r>
                  </w:p>
                </w:txbxContent>
              </v:textbox>
            </v:shape>
          </w:pict>
        </mc:Fallback>
      </mc:AlternateContent>
    </w:r>
  </w:p>
  <w:p w14:paraId="46331A5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019F">
    <w:pPr>
      <w:pStyle w:val="20"/>
      <w:framePr w:wrap="around" w:vAnchor="text" w:hAnchor="margin" w:xAlign="center" w:y="1"/>
      <w:rPr>
        <w:rStyle w:val="33"/>
        <w:rFonts w:ascii="Calibri" w:hAnsi="Calibri"/>
        <w:sz w:val="21"/>
      </w:rPr>
    </w:pPr>
    <w:r>
      <w:rPr>
        <w:rFonts w:ascii="Calibri" w:hAnsi="Calibri"/>
        <w:sz w:val="21"/>
      </w:rPr>
      <w:fldChar w:fldCharType="begin"/>
    </w:r>
    <w:r>
      <w:rPr>
        <w:rStyle w:val="33"/>
        <w:rFonts w:ascii="Calibri" w:hAnsi="Calibri"/>
        <w:sz w:val="21"/>
      </w:rPr>
      <w:instrText xml:space="preserve">PAGE  </w:instrText>
    </w:r>
    <w:r>
      <w:rPr>
        <w:rFonts w:ascii="Calibri" w:hAnsi="Calibri"/>
        <w:sz w:val="21"/>
      </w:rPr>
      <w:fldChar w:fldCharType="separate"/>
    </w:r>
    <w:r>
      <w:rPr>
        <w:rStyle w:val="33"/>
        <w:rFonts w:ascii="Calibri" w:hAnsi="Calibri"/>
        <w:sz w:val="21"/>
      </w:rPr>
      <w:t>0</w:t>
    </w:r>
    <w:r>
      <w:rPr>
        <w:rFonts w:ascii="Calibri" w:hAnsi="Calibri"/>
        <w:sz w:val="21"/>
      </w:rPr>
      <w:fldChar w:fldCharType="end"/>
    </w:r>
  </w:p>
  <w:p w14:paraId="7499A90E">
    <w:pPr>
      <w:pStyle w:val="20"/>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624B">
    <w:pPr>
      <w:pStyle w:val="20"/>
      <w:tabs>
        <w:tab w:val="center" w:pos="4439"/>
        <w:tab w:val="clear" w:pos="4153"/>
      </w:tabs>
      <w:jc w:val="both"/>
      <w:rPr>
        <w:rFonts w:ascii="Calibri" w:hAnsi="Calibr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1A7B41">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fW4MwBAACcAwAADgAAAGRycy9lMm9Eb2MueG1srVNLbtswEN0XyB0I&#10;7mPJbhoY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VJZYZHPjp54/Trz+n39/J&#10;u/nb6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6h9bgzAEAAJwDAAAOAAAAAAAAAAEAIAAAAB4BAABkcnMvZTJv&#10;RG9jLnhtbFBLBQYAAAAABgAGAFkBAABcBQAAAAA=&#10;">
              <v:fill on="f" focussize="0,0"/>
              <v:stroke on="f"/>
              <v:imagedata o:title=""/>
              <o:lock v:ext="edit" aspectratio="f"/>
              <v:textbox inset="0mm,0mm,0mm,0mm" style="mso-fit-shape-to-text:t;">
                <w:txbxContent>
                  <w:p w14:paraId="7A1A7B41">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4F24">
    <w:pPr>
      <w:pStyle w:val="20"/>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90026">
                          <w:pPr>
                            <w:rPr>
                              <w:rFonts w:ascii="Calibri" w:hAnsi="Calibri"/>
                            </w:rPr>
                          </w:pPr>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JRYM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oSUWDLAQAAnAMAAA4AAAAAAAAAAQAgAAAAHgEAAGRycy9lMm9E&#10;b2MueG1sUEsFBgAAAAAGAAYAWQEAAFsFAAAAAA==&#10;">
              <v:fill on="f" focussize="0,0"/>
              <v:stroke on="f"/>
              <v:imagedata o:title=""/>
              <o:lock v:ext="edit" aspectratio="f"/>
              <v:textbox inset="0mm,0mm,0mm,0mm" style="mso-fit-shape-to-text:t;">
                <w:txbxContent>
                  <w:p w14:paraId="42690026">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9713">
    <w:pPr>
      <w:pStyle w:val="20"/>
      <w:jc w:val="center"/>
      <w:rPr>
        <w:rFonts w:ascii="Calibri" w:hAnsi="Calibr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68B72">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pNVswBAACcAwAADgAAAGRycy9lMm9Eb2MueG1srVNLbtswEN0XyB0I&#10;7mPJLtIaguWghZEgQNEWSHoAmiItAvyBQ1vyBdobdNVN9z2Xz9EhJTlNssmiG2o4M3wz781odd0b&#10;TQ4igHK2pvNZSYmw3DXK7mr67eHmckkJRGYbpp0VNT0KoNfrizerzldi4VqnGxEIglioOl/TNkZf&#10;FQXwVhgGM+eFxaB0wbCI17ArmsA6RDe6WJTlu6JzofHBcQGA3s0QpCNieA2gk1JxsXF8b4SNA2oQ&#10;mkWkBK3yQNe5WykFj1+kBBGJrikyjfnEImhv01msV6zaBeZbxccW2GtaeMbJMGWx6BlqwyIj+6Be&#10;QBnFgwMn44w7UwxEsiLIYl4+0+a+ZV5kLig1+LPo8P9g+efD10BUU9MrSiwzOPDTzx+nX39Ov7+T&#10;q/nb90mhzkOFifceU2P/0fW4N5Mf0JmI9zKY9EVKBOOo7/Gsr+gj4enRcrFclhjiGJsuiF88PvcB&#10;4q1whiSjpgEHmHVlh08Qh9QpJVWz7kZpnYeo7RMHYiZPkXofekxW7Lf9SGjrmiPy6XD2NbW46pTo&#10;O4vSpjWZjDAZ28nY+6B2bd6jVA/8h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wik1WzAEAAJwDAAAOAAAAAAAAAAEAIAAAAB4BAABkcnMvZTJv&#10;RG9jLnhtbFBLBQYAAAAABgAGAFkBAABcBQAAAAA=&#10;">
              <v:fill on="f" focussize="0,0"/>
              <v:stroke on="f"/>
              <v:imagedata o:title=""/>
              <o:lock v:ext="edit" aspectratio="f"/>
              <v:textbox inset="0mm,0mm,0mm,0mm" style="mso-fit-shape-to-text:t;">
                <w:txbxContent>
                  <w:p w14:paraId="7FF68B72">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14:paraId="2C1EBA3D">
    <w:pPr>
      <w:pStyle w:val="20"/>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BE02">
    <w:pPr>
      <w:pStyle w:val="20"/>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732A5">
                          <w:pPr>
                            <w:pStyle w:val="20"/>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PBYcw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4CJZYbHPj5+7fzj1/nn1/J&#10;2+WqTAr1HipMfPKYGoc7N6TsyQ/oTMSHNpj0RUoE46jv6aKvHCIR6VG5Ks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M8FhzAEAAJwDAAAOAAAAAAAAAAEAIAAAAB4BAABkcnMvZTJv&#10;RG9jLnhtbFBLBQYAAAAABgAGAFkBAABcBQAAAAA=&#10;">
              <v:fill on="f" focussize="0,0"/>
              <v:stroke on="f"/>
              <v:imagedata o:title=""/>
              <o:lock v:ext="edit" aspectratio="f"/>
              <v:textbox inset="0mm,0mm,0mm,0mm" style="mso-fit-shape-to-text:t;">
                <w:txbxContent>
                  <w:p w14:paraId="233732A5">
                    <w:pPr>
                      <w:pStyle w:val="20"/>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6EC9">
    <w:pPr>
      <w:pStyle w:val="20"/>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A3818">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Vke8wBAACc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1JZYZHPjp54/Trz+n39/J&#10;1fztu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VWR7zAEAAJwDAAAOAAAAAAAAAAEAIAAAAB4BAABkcnMvZTJv&#10;RG9jLnhtbFBLBQYAAAAABgAGAFkBAABcBQAAAAA=&#10;">
              <v:fill on="f" focussize="0,0"/>
              <v:stroke on="f"/>
              <v:imagedata o:title=""/>
              <o:lock v:ext="edit" aspectratio="f"/>
              <v:textbox inset="0mm,0mm,0mm,0mm" style="mso-fit-shape-to-text:t;">
                <w:txbxContent>
                  <w:p w14:paraId="364A3818">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14:paraId="66F1713E">
    <w:pPr>
      <w:pStyle w:val="20"/>
      <w:rPr>
        <w:rFonts w:ascii="Calibri" w:hAnsi="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B83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F26D4">
                          <w:pPr>
                            <w:pStyle w:val="20"/>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H7t0BAAC+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MlTpN7HHpOFw26YCO18cyI+9AyoTufhG2c9LUHN&#10;He08Z+a9I43TvswGzMZuNoSTdLHmyNlovsVxrw4B9L7Lm5aaiuHmgNRpJpDaGGtP3dFYswTTCqa9&#10;eXjOWffPb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Rfx+7dAQAAvgMAAA4AAAAAAAAA&#10;AQAgAAAAHgEAAGRycy9lMm9Eb2MueG1sUEsFBgAAAAAGAAYAWQEAAG0FAAAAAA==&#10;">
              <v:fill on="f" focussize="0,0"/>
              <v:stroke on="f"/>
              <v:imagedata o:title=""/>
              <o:lock v:ext="edit" aspectratio="f"/>
              <v:textbox inset="0mm,0mm,0mm,0mm" style="mso-fit-shape-to-text:t;">
                <w:txbxContent>
                  <w:p w14:paraId="489F26D4">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FCB2">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10068">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XVd0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BmROWBn7+8f388/f51zf2&#10;MsnT+1BR1q2nvDi8hoGWZvYHcibWQ4s2/YkPoziJe7qIq4bIZLq0Wq5WJYUkxeYD4Rf31z2G+FaB&#10;ZcmoOdL0sqji+D7EMXVOSdUc3Ghj8gSN+8tBmMlTpN7HHpMVh90wEdpBcyI+9AyoTgf4lbOelqDm&#10;jnaeM/POkcZpX2YDZ2M3G8JJuljzyNlovonjXh086n2XNy01FfyrQ6ROM4HUxlh76o7GmiWYVjDt&#10;zZ/nnHX/7D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IRj11XdAQAAvgMAAA4AAAAAAAAA&#10;AQAgAAAAHgEAAGRycy9lMm9Eb2MueG1sUEsFBgAAAAAGAAYAWQEAAG0FAAAAAA==&#10;">
              <v:fill on="f" focussize="0,0"/>
              <v:stroke on="f"/>
              <v:imagedata o:title=""/>
              <o:lock v:ext="edit" aspectratio="f"/>
              <v:textbox inset="0mm,0mm,0mm,0mm" style="mso-fit-shape-to-text:t;">
                <w:txbxContent>
                  <w:p w14:paraId="39610068">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B723">
    <w:pPr>
      <w:pStyle w:val="21"/>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8651">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D3C1">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3688">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76AC">
    <w:pPr>
      <w:pStyle w:val="21"/>
      <w:tabs>
        <w:tab w:val="center" w:pos="0"/>
        <w:tab w:val="clear" w:pos="4153"/>
      </w:tabs>
      <w:rPr>
        <w:rFonts w:ascii="Calibri" w:hAnsi="Calibri"/>
      </w:rPr>
    </w:pPr>
    <w:r>
      <w:rPr>
        <w:rFonts w:hint="eastAsia" w:ascii="Calibri" w:hAnsi="Calibri"/>
      </w:rPr>
      <w:t>南宁市政府采购竞争性磋商采购文件（项目编号：NNZC2021-C3--KLZB）</w:t>
    </w:r>
  </w:p>
  <w:p w14:paraId="0F99B6B8">
    <w:pPr>
      <w:pStyle w:val="21"/>
      <w:pBdr>
        <w:bottom w:val="none" w:color="auto" w:sz="0" w:space="1"/>
      </w:pBdr>
      <w:rPr>
        <w:rFonts w:ascii="Calibri" w:hAnsi="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B181">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8660">
    <w:pPr>
      <w:pStyle w:val="21"/>
      <w:tabs>
        <w:tab w:val="center" w:pos="0"/>
        <w:tab w:val="clear" w:pos="4153"/>
      </w:tabs>
    </w:pPr>
    <w:r>
      <w:rPr>
        <w:vanish/>
        <w:highlight w:val="yellow"/>
      </w:rPr>
      <w:t>&gt;</w:t>
    </w:r>
  </w:p>
  <w:p w14:paraId="505AEC87">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151CE"/>
    <w:multiLevelType w:val="singleLevel"/>
    <w:tmpl w:val="F6A151CE"/>
    <w:lvl w:ilvl="0" w:tentative="0">
      <w:start w:val="5"/>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F000005"/>
    <w:multiLevelType w:val="multilevel"/>
    <w:tmpl w:val="2F000005"/>
    <w:lvl w:ilvl="0" w:tentative="0">
      <w:start w:val="1"/>
      <w:numFmt w:val="decimal"/>
      <w:suff w:val="space"/>
      <w:lvlText w:val="（%1）"/>
      <w:lvlJc w:val="left"/>
    </w:lvl>
    <w:lvl w:ilvl="1" w:tentative="0">
      <w:start w:val="1"/>
      <w:numFmt w:val="decimal"/>
      <w:suff w:val="space"/>
      <w:lvlText w:val="（%1）"/>
      <w:lvlJc w:val="left"/>
    </w:lvl>
    <w:lvl w:ilvl="2" w:tentative="0">
      <w:start w:val="1"/>
      <w:numFmt w:val="decimal"/>
      <w:suff w:val="space"/>
      <w:lvlText w:val="（%1）"/>
      <w:lvlJc w:val="left"/>
    </w:lvl>
    <w:lvl w:ilvl="3" w:tentative="0">
      <w:start w:val="1"/>
      <w:numFmt w:val="decimal"/>
      <w:suff w:val="space"/>
      <w:lvlText w:val="（%1）"/>
      <w:lvlJc w:val="left"/>
    </w:lvl>
    <w:lvl w:ilvl="4" w:tentative="0">
      <w:start w:val="1"/>
      <w:numFmt w:val="decimal"/>
      <w:suff w:val="space"/>
      <w:lvlText w:val="（%1）"/>
      <w:lvlJc w:val="left"/>
    </w:lvl>
    <w:lvl w:ilvl="5" w:tentative="0">
      <w:start w:val="1"/>
      <w:numFmt w:val="decimal"/>
      <w:suff w:val="space"/>
      <w:lvlText w:val="（%1）"/>
      <w:lvlJc w:val="left"/>
    </w:lvl>
    <w:lvl w:ilvl="6" w:tentative="0">
      <w:start w:val="1"/>
      <w:numFmt w:val="decimal"/>
      <w:suff w:val="space"/>
      <w:lvlText w:val="（%1）"/>
      <w:lvlJc w:val="left"/>
    </w:lvl>
    <w:lvl w:ilvl="7" w:tentative="0">
      <w:start w:val="1"/>
      <w:numFmt w:val="decimal"/>
      <w:suff w:val="space"/>
      <w:lvlText w:val="（%1）"/>
      <w:lvlJc w:val="left"/>
    </w:lvl>
    <w:lvl w:ilvl="8" w:tentative="0">
      <w:start w:val="1"/>
      <w:numFmt w:val="decimal"/>
      <w:suff w:val="space"/>
      <w:lvlText w:val="（%1）"/>
      <w:lvlJc w:val="left"/>
    </w:lvl>
  </w:abstractNum>
  <w:abstractNum w:abstractNumId="3">
    <w:nsid w:val="409838F7"/>
    <w:multiLevelType w:val="multilevel"/>
    <w:tmpl w:val="409838F7"/>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B3C3E"/>
    <w:multiLevelType w:val="multilevel"/>
    <w:tmpl w:val="77AB3C3E"/>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1579"/>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A51"/>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D0F"/>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4D1C"/>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41E"/>
    <w:rsid w:val="00A647B1"/>
    <w:rsid w:val="00A64DEF"/>
    <w:rsid w:val="00A654D2"/>
    <w:rsid w:val="00A665DF"/>
    <w:rsid w:val="00A67223"/>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B7A64"/>
    <w:rsid w:val="00AC17A2"/>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759"/>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1861"/>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64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8B"/>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03398B"/>
    <w:rsid w:val="01237662"/>
    <w:rsid w:val="014C1D05"/>
    <w:rsid w:val="015C7AD5"/>
    <w:rsid w:val="016C2D4F"/>
    <w:rsid w:val="01865418"/>
    <w:rsid w:val="01907316"/>
    <w:rsid w:val="019904DB"/>
    <w:rsid w:val="01A433EB"/>
    <w:rsid w:val="01AF3D99"/>
    <w:rsid w:val="01B90B97"/>
    <w:rsid w:val="01DB7ED5"/>
    <w:rsid w:val="01E3453D"/>
    <w:rsid w:val="01FF4BEC"/>
    <w:rsid w:val="021741B2"/>
    <w:rsid w:val="02204683"/>
    <w:rsid w:val="023E0CE4"/>
    <w:rsid w:val="02511F9D"/>
    <w:rsid w:val="025F06CD"/>
    <w:rsid w:val="026F7A2F"/>
    <w:rsid w:val="02827C52"/>
    <w:rsid w:val="02C76111"/>
    <w:rsid w:val="02D6235F"/>
    <w:rsid w:val="02E80AFB"/>
    <w:rsid w:val="030532A9"/>
    <w:rsid w:val="03286A1E"/>
    <w:rsid w:val="032B79A4"/>
    <w:rsid w:val="03305A68"/>
    <w:rsid w:val="033F12EC"/>
    <w:rsid w:val="03407951"/>
    <w:rsid w:val="03535D6B"/>
    <w:rsid w:val="03701670"/>
    <w:rsid w:val="039A08B0"/>
    <w:rsid w:val="03A314B8"/>
    <w:rsid w:val="03AD6CA1"/>
    <w:rsid w:val="03B22EB7"/>
    <w:rsid w:val="03B67959"/>
    <w:rsid w:val="03D82B98"/>
    <w:rsid w:val="03D964F4"/>
    <w:rsid w:val="03F83E8B"/>
    <w:rsid w:val="04173F21"/>
    <w:rsid w:val="049570A7"/>
    <w:rsid w:val="04993972"/>
    <w:rsid w:val="04A222ED"/>
    <w:rsid w:val="04A30D4A"/>
    <w:rsid w:val="04BA414C"/>
    <w:rsid w:val="04CD2CEE"/>
    <w:rsid w:val="04FA60EF"/>
    <w:rsid w:val="04FC24D4"/>
    <w:rsid w:val="05023BEB"/>
    <w:rsid w:val="05064643"/>
    <w:rsid w:val="050E5E84"/>
    <w:rsid w:val="05102192"/>
    <w:rsid w:val="05557587"/>
    <w:rsid w:val="05645B44"/>
    <w:rsid w:val="057F4E2B"/>
    <w:rsid w:val="058F6224"/>
    <w:rsid w:val="059303F8"/>
    <w:rsid w:val="05C56868"/>
    <w:rsid w:val="06037902"/>
    <w:rsid w:val="06040198"/>
    <w:rsid w:val="06083B9D"/>
    <w:rsid w:val="06211C5A"/>
    <w:rsid w:val="063A030C"/>
    <w:rsid w:val="06516B57"/>
    <w:rsid w:val="066A40D2"/>
    <w:rsid w:val="068A098C"/>
    <w:rsid w:val="06B25549"/>
    <w:rsid w:val="06B96E5F"/>
    <w:rsid w:val="06C242E4"/>
    <w:rsid w:val="06C91C0B"/>
    <w:rsid w:val="06D86BC4"/>
    <w:rsid w:val="06F95FEB"/>
    <w:rsid w:val="072940AD"/>
    <w:rsid w:val="072E4C95"/>
    <w:rsid w:val="07633118"/>
    <w:rsid w:val="076846F9"/>
    <w:rsid w:val="076C63C4"/>
    <w:rsid w:val="078627A3"/>
    <w:rsid w:val="07A5201F"/>
    <w:rsid w:val="07B72767"/>
    <w:rsid w:val="07C23DE6"/>
    <w:rsid w:val="08013FF2"/>
    <w:rsid w:val="08077E72"/>
    <w:rsid w:val="08203C28"/>
    <w:rsid w:val="083F4472"/>
    <w:rsid w:val="084C5E23"/>
    <w:rsid w:val="086F2D4B"/>
    <w:rsid w:val="08824CDD"/>
    <w:rsid w:val="0886663C"/>
    <w:rsid w:val="08882DD0"/>
    <w:rsid w:val="088B34A7"/>
    <w:rsid w:val="08BE34E2"/>
    <w:rsid w:val="08C63638"/>
    <w:rsid w:val="08EC11F7"/>
    <w:rsid w:val="08F3765F"/>
    <w:rsid w:val="08F821C8"/>
    <w:rsid w:val="09537B61"/>
    <w:rsid w:val="09561829"/>
    <w:rsid w:val="09783845"/>
    <w:rsid w:val="097E3F67"/>
    <w:rsid w:val="09860032"/>
    <w:rsid w:val="09921955"/>
    <w:rsid w:val="09A46335"/>
    <w:rsid w:val="09B30D07"/>
    <w:rsid w:val="09CC2AAC"/>
    <w:rsid w:val="09D26E76"/>
    <w:rsid w:val="09DD7DDF"/>
    <w:rsid w:val="09DE2A8F"/>
    <w:rsid w:val="09F43D3A"/>
    <w:rsid w:val="09F7289C"/>
    <w:rsid w:val="0A020732"/>
    <w:rsid w:val="0A090982"/>
    <w:rsid w:val="0A171D19"/>
    <w:rsid w:val="0A2564A7"/>
    <w:rsid w:val="0A331AD7"/>
    <w:rsid w:val="0A493872"/>
    <w:rsid w:val="0A5C3ECC"/>
    <w:rsid w:val="0A652D3E"/>
    <w:rsid w:val="0A6A1AA6"/>
    <w:rsid w:val="0A767E3E"/>
    <w:rsid w:val="0A9D4A5C"/>
    <w:rsid w:val="0AA9774E"/>
    <w:rsid w:val="0AAB5F5D"/>
    <w:rsid w:val="0AB6063D"/>
    <w:rsid w:val="0ADA366D"/>
    <w:rsid w:val="0AFA5A05"/>
    <w:rsid w:val="0B193B77"/>
    <w:rsid w:val="0B253B57"/>
    <w:rsid w:val="0B325243"/>
    <w:rsid w:val="0B326F2A"/>
    <w:rsid w:val="0B3D510B"/>
    <w:rsid w:val="0B623221"/>
    <w:rsid w:val="0B6969D8"/>
    <w:rsid w:val="0BD8078C"/>
    <w:rsid w:val="0BE1433A"/>
    <w:rsid w:val="0BE93715"/>
    <w:rsid w:val="0BEA3C78"/>
    <w:rsid w:val="0BF43FB9"/>
    <w:rsid w:val="0C041ADD"/>
    <w:rsid w:val="0C11238F"/>
    <w:rsid w:val="0C1E2888"/>
    <w:rsid w:val="0C2E225D"/>
    <w:rsid w:val="0C3B6140"/>
    <w:rsid w:val="0C4502C0"/>
    <w:rsid w:val="0C530F2E"/>
    <w:rsid w:val="0C6F29D6"/>
    <w:rsid w:val="0C87560F"/>
    <w:rsid w:val="0C92213C"/>
    <w:rsid w:val="0C9F5D63"/>
    <w:rsid w:val="0CA20746"/>
    <w:rsid w:val="0CAB5D64"/>
    <w:rsid w:val="0CD304AC"/>
    <w:rsid w:val="0D0114AE"/>
    <w:rsid w:val="0D29001E"/>
    <w:rsid w:val="0D325EDF"/>
    <w:rsid w:val="0D445D4C"/>
    <w:rsid w:val="0D5860A0"/>
    <w:rsid w:val="0D6D5644"/>
    <w:rsid w:val="0D7A2203"/>
    <w:rsid w:val="0D84032B"/>
    <w:rsid w:val="0D953396"/>
    <w:rsid w:val="0D994191"/>
    <w:rsid w:val="0DA2594C"/>
    <w:rsid w:val="0DC06676"/>
    <w:rsid w:val="0DE53B38"/>
    <w:rsid w:val="0DF715F7"/>
    <w:rsid w:val="0E26697C"/>
    <w:rsid w:val="0E2B3D03"/>
    <w:rsid w:val="0E5F47DD"/>
    <w:rsid w:val="0E6B66E8"/>
    <w:rsid w:val="0E79225F"/>
    <w:rsid w:val="0E8F2DCE"/>
    <w:rsid w:val="0EA56944"/>
    <w:rsid w:val="0EB36C82"/>
    <w:rsid w:val="0EBA6255"/>
    <w:rsid w:val="0ED24096"/>
    <w:rsid w:val="0ED55DA1"/>
    <w:rsid w:val="0EE04BDF"/>
    <w:rsid w:val="0EE44AEB"/>
    <w:rsid w:val="0F150F54"/>
    <w:rsid w:val="0F167895"/>
    <w:rsid w:val="0F2A74C4"/>
    <w:rsid w:val="0F4E618A"/>
    <w:rsid w:val="0F553015"/>
    <w:rsid w:val="0F814841"/>
    <w:rsid w:val="0FC06194"/>
    <w:rsid w:val="0FC4692B"/>
    <w:rsid w:val="0FD0094D"/>
    <w:rsid w:val="0FE030CE"/>
    <w:rsid w:val="10202CC1"/>
    <w:rsid w:val="10A27F31"/>
    <w:rsid w:val="10A753AB"/>
    <w:rsid w:val="10AA5CB1"/>
    <w:rsid w:val="10BD332C"/>
    <w:rsid w:val="10BF682C"/>
    <w:rsid w:val="10CB29C5"/>
    <w:rsid w:val="10CC3A02"/>
    <w:rsid w:val="10CC6281"/>
    <w:rsid w:val="10D87300"/>
    <w:rsid w:val="10E33AF2"/>
    <w:rsid w:val="110B438A"/>
    <w:rsid w:val="11186A50"/>
    <w:rsid w:val="112F6632"/>
    <w:rsid w:val="113E66C0"/>
    <w:rsid w:val="114B493D"/>
    <w:rsid w:val="11582DA6"/>
    <w:rsid w:val="1167339E"/>
    <w:rsid w:val="1167648F"/>
    <w:rsid w:val="11927058"/>
    <w:rsid w:val="1193257A"/>
    <w:rsid w:val="119A0FD6"/>
    <w:rsid w:val="11A02DC7"/>
    <w:rsid w:val="11AB0C22"/>
    <w:rsid w:val="11EE4343"/>
    <w:rsid w:val="11F60067"/>
    <w:rsid w:val="120F3D85"/>
    <w:rsid w:val="12171B57"/>
    <w:rsid w:val="123C2D26"/>
    <w:rsid w:val="123E24E6"/>
    <w:rsid w:val="12573688"/>
    <w:rsid w:val="126A32DB"/>
    <w:rsid w:val="12AA40AD"/>
    <w:rsid w:val="12DA4310"/>
    <w:rsid w:val="12EF08E6"/>
    <w:rsid w:val="133E327C"/>
    <w:rsid w:val="138A0076"/>
    <w:rsid w:val="138C43DE"/>
    <w:rsid w:val="139665A6"/>
    <w:rsid w:val="139C5DE4"/>
    <w:rsid w:val="139D71F2"/>
    <w:rsid w:val="13AC3968"/>
    <w:rsid w:val="13AF4F03"/>
    <w:rsid w:val="13EA2B11"/>
    <w:rsid w:val="140A4F68"/>
    <w:rsid w:val="14352795"/>
    <w:rsid w:val="14670F31"/>
    <w:rsid w:val="14736E66"/>
    <w:rsid w:val="147F458F"/>
    <w:rsid w:val="148954D3"/>
    <w:rsid w:val="14911257"/>
    <w:rsid w:val="14B93551"/>
    <w:rsid w:val="14BB2734"/>
    <w:rsid w:val="14D958EC"/>
    <w:rsid w:val="14F20D93"/>
    <w:rsid w:val="14FA3E00"/>
    <w:rsid w:val="1531036E"/>
    <w:rsid w:val="1534169A"/>
    <w:rsid w:val="1549175F"/>
    <w:rsid w:val="156D25A1"/>
    <w:rsid w:val="15812F88"/>
    <w:rsid w:val="15911585"/>
    <w:rsid w:val="159513FB"/>
    <w:rsid w:val="159C0EE7"/>
    <w:rsid w:val="15A27358"/>
    <w:rsid w:val="15B14FA7"/>
    <w:rsid w:val="15C03E03"/>
    <w:rsid w:val="15E67E14"/>
    <w:rsid w:val="15EE508B"/>
    <w:rsid w:val="160F4148"/>
    <w:rsid w:val="162A25EB"/>
    <w:rsid w:val="16553CA3"/>
    <w:rsid w:val="165F50CD"/>
    <w:rsid w:val="169F56FE"/>
    <w:rsid w:val="16BD6398"/>
    <w:rsid w:val="16D31DF9"/>
    <w:rsid w:val="16FD2A55"/>
    <w:rsid w:val="17047252"/>
    <w:rsid w:val="17067C1A"/>
    <w:rsid w:val="170A4150"/>
    <w:rsid w:val="172036D3"/>
    <w:rsid w:val="172045B4"/>
    <w:rsid w:val="172F08F7"/>
    <w:rsid w:val="17366761"/>
    <w:rsid w:val="17393F58"/>
    <w:rsid w:val="173A76F6"/>
    <w:rsid w:val="177C01F0"/>
    <w:rsid w:val="17AB183B"/>
    <w:rsid w:val="17CE6630"/>
    <w:rsid w:val="17D32A08"/>
    <w:rsid w:val="17EB3722"/>
    <w:rsid w:val="17EF65A5"/>
    <w:rsid w:val="180E6351"/>
    <w:rsid w:val="18353413"/>
    <w:rsid w:val="185D25ED"/>
    <w:rsid w:val="18750DB1"/>
    <w:rsid w:val="187B48A5"/>
    <w:rsid w:val="18A419CD"/>
    <w:rsid w:val="18B15806"/>
    <w:rsid w:val="18BC23B6"/>
    <w:rsid w:val="18EE2472"/>
    <w:rsid w:val="18F2402A"/>
    <w:rsid w:val="190979FD"/>
    <w:rsid w:val="19124B13"/>
    <w:rsid w:val="193F68F3"/>
    <w:rsid w:val="19434380"/>
    <w:rsid w:val="19472899"/>
    <w:rsid w:val="19491239"/>
    <w:rsid w:val="19621891"/>
    <w:rsid w:val="196B4CE2"/>
    <w:rsid w:val="197A7D49"/>
    <w:rsid w:val="199B55FC"/>
    <w:rsid w:val="19AD5CB2"/>
    <w:rsid w:val="19C607E7"/>
    <w:rsid w:val="19EF71FF"/>
    <w:rsid w:val="19F444FF"/>
    <w:rsid w:val="19F6165F"/>
    <w:rsid w:val="1A0B68A8"/>
    <w:rsid w:val="1A151F47"/>
    <w:rsid w:val="1A1B0F5C"/>
    <w:rsid w:val="1A232551"/>
    <w:rsid w:val="1A5C2B7F"/>
    <w:rsid w:val="1A614813"/>
    <w:rsid w:val="1A782658"/>
    <w:rsid w:val="1A797E1E"/>
    <w:rsid w:val="1A7E108F"/>
    <w:rsid w:val="1A8573D4"/>
    <w:rsid w:val="1A9548EB"/>
    <w:rsid w:val="1A9B64D2"/>
    <w:rsid w:val="1AC81803"/>
    <w:rsid w:val="1ACC27B4"/>
    <w:rsid w:val="1AF57BE1"/>
    <w:rsid w:val="1AF65A4C"/>
    <w:rsid w:val="1AFF0AFE"/>
    <w:rsid w:val="1B34103B"/>
    <w:rsid w:val="1B39650C"/>
    <w:rsid w:val="1B4F19F8"/>
    <w:rsid w:val="1B5B76F4"/>
    <w:rsid w:val="1B5C2F75"/>
    <w:rsid w:val="1B6A154A"/>
    <w:rsid w:val="1B6B7470"/>
    <w:rsid w:val="1B8D2CBF"/>
    <w:rsid w:val="1BA33A2D"/>
    <w:rsid w:val="1BAD706E"/>
    <w:rsid w:val="1BAE3D4C"/>
    <w:rsid w:val="1BD10936"/>
    <w:rsid w:val="1BEE7729"/>
    <w:rsid w:val="1BF4700E"/>
    <w:rsid w:val="1C041C70"/>
    <w:rsid w:val="1C1A42E7"/>
    <w:rsid w:val="1C226F03"/>
    <w:rsid w:val="1C3F670D"/>
    <w:rsid w:val="1C9A50D4"/>
    <w:rsid w:val="1CA823CD"/>
    <w:rsid w:val="1CA970EB"/>
    <w:rsid w:val="1CDE1F2F"/>
    <w:rsid w:val="1CE61E5F"/>
    <w:rsid w:val="1CF93E51"/>
    <w:rsid w:val="1D0F556C"/>
    <w:rsid w:val="1D1C46B8"/>
    <w:rsid w:val="1D3943AC"/>
    <w:rsid w:val="1D3A7D4E"/>
    <w:rsid w:val="1D7F59C3"/>
    <w:rsid w:val="1D805CF0"/>
    <w:rsid w:val="1D8F637F"/>
    <w:rsid w:val="1D9335FC"/>
    <w:rsid w:val="1D996796"/>
    <w:rsid w:val="1DA07F2F"/>
    <w:rsid w:val="1DD106A3"/>
    <w:rsid w:val="1E0450B5"/>
    <w:rsid w:val="1E286EEF"/>
    <w:rsid w:val="1E2B1AE2"/>
    <w:rsid w:val="1E375346"/>
    <w:rsid w:val="1E657FE9"/>
    <w:rsid w:val="1E662BFA"/>
    <w:rsid w:val="1E72152A"/>
    <w:rsid w:val="1E751FB1"/>
    <w:rsid w:val="1E842C7C"/>
    <w:rsid w:val="1E8C24F9"/>
    <w:rsid w:val="1EBC2FC3"/>
    <w:rsid w:val="1ECC44FA"/>
    <w:rsid w:val="1ECE7147"/>
    <w:rsid w:val="1F063325"/>
    <w:rsid w:val="1F206483"/>
    <w:rsid w:val="1F444EB4"/>
    <w:rsid w:val="1F4D240C"/>
    <w:rsid w:val="1F50678E"/>
    <w:rsid w:val="1F6A3BA7"/>
    <w:rsid w:val="1F80168B"/>
    <w:rsid w:val="1F843156"/>
    <w:rsid w:val="1F91158B"/>
    <w:rsid w:val="1FA05F68"/>
    <w:rsid w:val="1FAF0501"/>
    <w:rsid w:val="1FBC5DF5"/>
    <w:rsid w:val="1FC16863"/>
    <w:rsid w:val="1FC72265"/>
    <w:rsid w:val="1FE13B31"/>
    <w:rsid w:val="1FE50445"/>
    <w:rsid w:val="1FEA075F"/>
    <w:rsid w:val="1FF90588"/>
    <w:rsid w:val="201167D2"/>
    <w:rsid w:val="20213923"/>
    <w:rsid w:val="20245062"/>
    <w:rsid w:val="203F6A91"/>
    <w:rsid w:val="204D2ACD"/>
    <w:rsid w:val="20562624"/>
    <w:rsid w:val="20BB6724"/>
    <w:rsid w:val="20C3623F"/>
    <w:rsid w:val="20D84C09"/>
    <w:rsid w:val="20E533F4"/>
    <w:rsid w:val="20ED7F55"/>
    <w:rsid w:val="211041C1"/>
    <w:rsid w:val="21194989"/>
    <w:rsid w:val="212635D9"/>
    <w:rsid w:val="21781212"/>
    <w:rsid w:val="219C2D85"/>
    <w:rsid w:val="21B83F86"/>
    <w:rsid w:val="21E069CE"/>
    <w:rsid w:val="21E75551"/>
    <w:rsid w:val="220B7F0B"/>
    <w:rsid w:val="22106464"/>
    <w:rsid w:val="22106A4D"/>
    <w:rsid w:val="221178A8"/>
    <w:rsid w:val="221213CF"/>
    <w:rsid w:val="22327A92"/>
    <w:rsid w:val="22465B1F"/>
    <w:rsid w:val="225C0635"/>
    <w:rsid w:val="22BB3EC7"/>
    <w:rsid w:val="22CE3412"/>
    <w:rsid w:val="22DB129D"/>
    <w:rsid w:val="22FA4C94"/>
    <w:rsid w:val="22FC4FC4"/>
    <w:rsid w:val="230436F8"/>
    <w:rsid w:val="230D61C2"/>
    <w:rsid w:val="231C0980"/>
    <w:rsid w:val="231D53A2"/>
    <w:rsid w:val="232C1B4B"/>
    <w:rsid w:val="233B7225"/>
    <w:rsid w:val="23435214"/>
    <w:rsid w:val="235477BA"/>
    <w:rsid w:val="236D5383"/>
    <w:rsid w:val="23A41B75"/>
    <w:rsid w:val="23B7504C"/>
    <w:rsid w:val="23BA654A"/>
    <w:rsid w:val="24205BC8"/>
    <w:rsid w:val="24345FDB"/>
    <w:rsid w:val="24354590"/>
    <w:rsid w:val="24571307"/>
    <w:rsid w:val="247C7D19"/>
    <w:rsid w:val="24B13D98"/>
    <w:rsid w:val="24B34021"/>
    <w:rsid w:val="24CB4B0D"/>
    <w:rsid w:val="24D171E9"/>
    <w:rsid w:val="24E05505"/>
    <w:rsid w:val="25110A2A"/>
    <w:rsid w:val="251513DA"/>
    <w:rsid w:val="252F3220"/>
    <w:rsid w:val="25647DF0"/>
    <w:rsid w:val="256C0944"/>
    <w:rsid w:val="25773D5F"/>
    <w:rsid w:val="257E73F2"/>
    <w:rsid w:val="25895F27"/>
    <w:rsid w:val="25984DAE"/>
    <w:rsid w:val="25AE451C"/>
    <w:rsid w:val="25BE7679"/>
    <w:rsid w:val="25C00F8A"/>
    <w:rsid w:val="25D53DA4"/>
    <w:rsid w:val="25EC2CF7"/>
    <w:rsid w:val="260929B3"/>
    <w:rsid w:val="261F4447"/>
    <w:rsid w:val="262B2AC4"/>
    <w:rsid w:val="262E6ED2"/>
    <w:rsid w:val="26446DE3"/>
    <w:rsid w:val="269669E7"/>
    <w:rsid w:val="26A744DB"/>
    <w:rsid w:val="26D4005A"/>
    <w:rsid w:val="26D46B1D"/>
    <w:rsid w:val="26D7699F"/>
    <w:rsid w:val="26E26183"/>
    <w:rsid w:val="26E36ACC"/>
    <w:rsid w:val="26F30F15"/>
    <w:rsid w:val="26F35AF2"/>
    <w:rsid w:val="26F73A2A"/>
    <w:rsid w:val="26F947D6"/>
    <w:rsid w:val="27102C21"/>
    <w:rsid w:val="27227C57"/>
    <w:rsid w:val="2750171F"/>
    <w:rsid w:val="2769156F"/>
    <w:rsid w:val="27793F5D"/>
    <w:rsid w:val="277A7636"/>
    <w:rsid w:val="27A2622E"/>
    <w:rsid w:val="27A60F83"/>
    <w:rsid w:val="27D24FCB"/>
    <w:rsid w:val="280621A9"/>
    <w:rsid w:val="280F682E"/>
    <w:rsid w:val="28115370"/>
    <w:rsid w:val="28124EAE"/>
    <w:rsid w:val="287815CC"/>
    <w:rsid w:val="28785F5E"/>
    <w:rsid w:val="28BE38E2"/>
    <w:rsid w:val="28E167AB"/>
    <w:rsid w:val="28F14595"/>
    <w:rsid w:val="29063629"/>
    <w:rsid w:val="290851A4"/>
    <w:rsid w:val="291137B2"/>
    <w:rsid w:val="29344AD4"/>
    <w:rsid w:val="293D6B2E"/>
    <w:rsid w:val="29581C87"/>
    <w:rsid w:val="295E2317"/>
    <w:rsid w:val="295F2107"/>
    <w:rsid w:val="296102BC"/>
    <w:rsid w:val="296B020D"/>
    <w:rsid w:val="2973495F"/>
    <w:rsid w:val="297D3FFE"/>
    <w:rsid w:val="298B57C8"/>
    <w:rsid w:val="29AD0C8B"/>
    <w:rsid w:val="29BB39AC"/>
    <w:rsid w:val="29C5574F"/>
    <w:rsid w:val="29C67FA0"/>
    <w:rsid w:val="29E509C9"/>
    <w:rsid w:val="2A4D3396"/>
    <w:rsid w:val="2A4D6EDB"/>
    <w:rsid w:val="2A541720"/>
    <w:rsid w:val="2AAC54E3"/>
    <w:rsid w:val="2AB22903"/>
    <w:rsid w:val="2ACD4A32"/>
    <w:rsid w:val="2AD830F7"/>
    <w:rsid w:val="2AE241C5"/>
    <w:rsid w:val="2AE80DE9"/>
    <w:rsid w:val="2AF310EC"/>
    <w:rsid w:val="2B5862D1"/>
    <w:rsid w:val="2B6A0459"/>
    <w:rsid w:val="2B6E42DA"/>
    <w:rsid w:val="2B774624"/>
    <w:rsid w:val="2B8A5BDD"/>
    <w:rsid w:val="2B8A7A19"/>
    <w:rsid w:val="2B8C3FB1"/>
    <w:rsid w:val="2BAE120E"/>
    <w:rsid w:val="2BB00992"/>
    <w:rsid w:val="2BC83AB9"/>
    <w:rsid w:val="2BF5056F"/>
    <w:rsid w:val="2C1B56AB"/>
    <w:rsid w:val="2C266CCE"/>
    <w:rsid w:val="2C2C73FB"/>
    <w:rsid w:val="2C4A0FE2"/>
    <w:rsid w:val="2C5C3CEE"/>
    <w:rsid w:val="2C7A72BE"/>
    <w:rsid w:val="2C8A7A52"/>
    <w:rsid w:val="2C98410A"/>
    <w:rsid w:val="2C9A7D75"/>
    <w:rsid w:val="2CBC587B"/>
    <w:rsid w:val="2CC17412"/>
    <w:rsid w:val="2CC36AF2"/>
    <w:rsid w:val="2CD40732"/>
    <w:rsid w:val="2CF350E3"/>
    <w:rsid w:val="2CFF7BB9"/>
    <w:rsid w:val="2D04594C"/>
    <w:rsid w:val="2D0C5851"/>
    <w:rsid w:val="2D1C1975"/>
    <w:rsid w:val="2D2A7829"/>
    <w:rsid w:val="2D446A9B"/>
    <w:rsid w:val="2D687FE2"/>
    <w:rsid w:val="2D7B4196"/>
    <w:rsid w:val="2DA120C4"/>
    <w:rsid w:val="2DAC6336"/>
    <w:rsid w:val="2DD85E2E"/>
    <w:rsid w:val="2DFE0923"/>
    <w:rsid w:val="2E3D1FF3"/>
    <w:rsid w:val="2E3F6BB4"/>
    <w:rsid w:val="2E41718B"/>
    <w:rsid w:val="2E5F03A4"/>
    <w:rsid w:val="2E717F8B"/>
    <w:rsid w:val="2E7B6010"/>
    <w:rsid w:val="2E8E1E30"/>
    <w:rsid w:val="2E941A5C"/>
    <w:rsid w:val="2E9976CE"/>
    <w:rsid w:val="2EE5697A"/>
    <w:rsid w:val="2EF52678"/>
    <w:rsid w:val="2F134027"/>
    <w:rsid w:val="2F401D3C"/>
    <w:rsid w:val="2F462266"/>
    <w:rsid w:val="2F5B24E1"/>
    <w:rsid w:val="2F704EEA"/>
    <w:rsid w:val="2F8026D7"/>
    <w:rsid w:val="2F885E0A"/>
    <w:rsid w:val="2F8F65C7"/>
    <w:rsid w:val="2FA95C88"/>
    <w:rsid w:val="2FC97926"/>
    <w:rsid w:val="2FD471C0"/>
    <w:rsid w:val="2FDD6FD5"/>
    <w:rsid w:val="2FED55D5"/>
    <w:rsid w:val="2FF9770A"/>
    <w:rsid w:val="2FFB5A03"/>
    <w:rsid w:val="30242658"/>
    <w:rsid w:val="302F4907"/>
    <w:rsid w:val="303B3107"/>
    <w:rsid w:val="3041370F"/>
    <w:rsid w:val="30506D05"/>
    <w:rsid w:val="30665265"/>
    <w:rsid w:val="306D5836"/>
    <w:rsid w:val="3097349C"/>
    <w:rsid w:val="3097429D"/>
    <w:rsid w:val="30A00106"/>
    <w:rsid w:val="30A3019D"/>
    <w:rsid w:val="30D32298"/>
    <w:rsid w:val="30EC5E2A"/>
    <w:rsid w:val="30ED1946"/>
    <w:rsid w:val="3113466B"/>
    <w:rsid w:val="311B0A1E"/>
    <w:rsid w:val="31216B3F"/>
    <w:rsid w:val="312B50A3"/>
    <w:rsid w:val="317172BB"/>
    <w:rsid w:val="318E6873"/>
    <w:rsid w:val="319C52FC"/>
    <w:rsid w:val="31B46ACE"/>
    <w:rsid w:val="31D9410F"/>
    <w:rsid w:val="31F32870"/>
    <w:rsid w:val="31F51115"/>
    <w:rsid w:val="32003808"/>
    <w:rsid w:val="320B582E"/>
    <w:rsid w:val="32120DF0"/>
    <w:rsid w:val="321A6930"/>
    <w:rsid w:val="322F3820"/>
    <w:rsid w:val="32453A27"/>
    <w:rsid w:val="3263064A"/>
    <w:rsid w:val="3265766A"/>
    <w:rsid w:val="32A43132"/>
    <w:rsid w:val="32AC0C06"/>
    <w:rsid w:val="32AD0CCA"/>
    <w:rsid w:val="32C33CD3"/>
    <w:rsid w:val="33027836"/>
    <w:rsid w:val="33344EF5"/>
    <w:rsid w:val="333659B6"/>
    <w:rsid w:val="33430CF3"/>
    <w:rsid w:val="33557238"/>
    <w:rsid w:val="33631548"/>
    <w:rsid w:val="3378161D"/>
    <w:rsid w:val="33A36C73"/>
    <w:rsid w:val="33B22505"/>
    <w:rsid w:val="33DB3B8B"/>
    <w:rsid w:val="33E85CE2"/>
    <w:rsid w:val="341D0201"/>
    <w:rsid w:val="34273F04"/>
    <w:rsid w:val="342B0F4F"/>
    <w:rsid w:val="345A2720"/>
    <w:rsid w:val="347B2D6D"/>
    <w:rsid w:val="347F56D3"/>
    <w:rsid w:val="34A4664B"/>
    <w:rsid w:val="34B52163"/>
    <w:rsid w:val="34BF0E0C"/>
    <w:rsid w:val="34C35A6B"/>
    <w:rsid w:val="34D72013"/>
    <w:rsid w:val="34EB7D5F"/>
    <w:rsid w:val="34EE1C44"/>
    <w:rsid w:val="34F2382C"/>
    <w:rsid w:val="35122B62"/>
    <w:rsid w:val="352C24DC"/>
    <w:rsid w:val="3537750C"/>
    <w:rsid w:val="3537798C"/>
    <w:rsid w:val="357005A7"/>
    <w:rsid w:val="357A579A"/>
    <w:rsid w:val="358E312C"/>
    <w:rsid w:val="35C13FC9"/>
    <w:rsid w:val="35E5632B"/>
    <w:rsid w:val="35E91989"/>
    <w:rsid w:val="35EF4FE4"/>
    <w:rsid w:val="36085EA6"/>
    <w:rsid w:val="36266D8A"/>
    <w:rsid w:val="36293A22"/>
    <w:rsid w:val="364257B6"/>
    <w:rsid w:val="36543163"/>
    <w:rsid w:val="368456EC"/>
    <w:rsid w:val="36912212"/>
    <w:rsid w:val="369E4AB8"/>
    <w:rsid w:val="36EE4695"/>
    <w:rsid w:val="3705788F"/>
    <w:rsid w:val="3722747D"/>
    <w:rsid w:val="3724059E"/>
    <w:rsid w:val="374E4FB2"/>
    <w:rsid w:val="37725F65"/>
    <w:rsid w:val="37734E19"/>
    <w:rsid w:val="379C5D4E"/>
    <w:rsid w:val="37D25817"/>
    <w:rsid w:val="37DE378C"/>
    <w:rsid w:val="37EA5922"/>
    <w:rsid w:val="380C2E7F"/>
    <w:rsid w:val="38134D6C"/>
    <w:rsid w:val="38276B93"/>
    <w:rsid w:val="384D3BF2"/>
    <w:rsid w:val="386A2AA2"/>
    <w:rsid w:val="386E11A3"/>
    <w:rsid w:val="389430F0"/>
    <w:rsid w:val="389B749B"/>
    <w:rsid w:val="38AC3431"/>
    <w:rsid w:val="38B20617"/>
    <w:rsid w:val="38C26745"/>
    <w:rsid w:val="38CD0AA7"/>
    <w:rsid w:val="38E67108"/>
    <w:rsid w:val="38F06097"/>
    <w:rsid w:val="38FE35D2"/>
    <w:rsid w:val="391A244B"/>
    <w:rsid w:val="39226DE8"/>
    <w:rsid w:val="392B5731"/>
    <w:rsid w:val="392F2E16"/>
    <w:rsid w:val="393D508F"/>
    <w:rsid w:val="39406F09"/>
    <w:rsid w:val="39791C92"/>
    <w:rsid w:val="398D343A"/>
    <w:rsid w:val="399F26CE"/>
    <w:rsid w:val="39B40ED3"/>
    <w:rsid w:val="39B503F5"/>
    <w:rsid w:val="39B614C9"/>
    <w:rsid w:val="39D94185"/>
    <w:rsid w:val="39E00529"/>
    <w:rsid w:val="39E359C2"/>
    <w:rsid w:val="39E9733C"/>
    <w:rsid w:val="3A0B6254"/>
    <w:rsid w:val="3A0B64A7"/>
    <w:rsid w:val="3A205374"/>
    <w:rsid w:val="3A2F182B"/>
    <w:rsid w:val="3A36312B"/>
    <w:rsid w:val="3A3B5CDC"/>
    <w:rsid w:val="3A520B7E"/>
    <w:rsid w:val="3A574DDA"/>
    <w:rsid w:val="3AAE0666"/>
    <w:rsid w:val="3ABA15C8"/>
    <w:rsid w:val="3AD3075A"/>
    <w:rsid w:val="3AD5142D"/>
    <w:rsid w:val="3AD71232"/>
    <w:rsid w:val="3AF74C02"/>
    <w:rsid w:val="3B631610"/>
    <w:rsid w:val="3B954BE0"/>
    <w:rsid w:val="3B9F1620"/>
    <w:rsid w:val="3BB84161"/>
    <w:rsid w:val="3C0059A5"/>
    <w:rsid w:val="3C134E78"/>
    <w:rsid w:val="3C1478ED"/>
    <w:rsid w:val="3C15518D"/>
    <w:rsid w:val="3C33057E"/>
    <w:rsid w:val="3C334EAF"/>
    <w:rsid w:val="3C3C0CD2"/>
    <w:rsid w:val="3C3D49BD"/>
    <w:rsid w:val="3C6D16C6"/>
    <w:rsid w:val="3C921FB2"/>
    <w:rsid w:val="3C9E1EBC"/>
    <w:rsid w:val="3CF52957"/>
    <w:rsid w:val="3CFB4EF6"/>
    <w:rsid w:val="3D041A5E"/>
    <w:rsid w:val="3D112570"/>
    <w:rsid w:val="3D147205"/>
    <w:rsid w:val="3D2E6923"/>
    <w:rsid w:val="3D331671"/>
    <w:rsid w:val="3D506996"/>
    <w:rsid w:val="3D5750A4"/>
    <w:rsid w:val="3D67163F"/>
    <w:rsid w:val="3D6871A7"/>
    <w:rsid w:val="3D733A5E"/>
    <w:rsid w:val="3D817764"/>
    <w:rsid w:val="3D873FCE"/>
    <w:rsid w:val="3D973D09"/>
    <w:rsid w:val="3D983056"/>
    <w:rsid w:val="3DAA2E5B"/>
    <w:rsid w:val="3DCF09F5"/>
    <w:rsid w:val="3DEC7285"/>
    <w:rsid w:val="3DF6345D"/>
    <w:rsid w:val="3E154007"/>
    <w:rsid w:val="3E1B3CD2"/>
    <w:rsid w:val="3E2B5515"/>
    <w:rsid w:val="3E3E5EF1"/>
    <w:rsid w:val="3E4D4F28"/>
    <w:rsid w:val="3E807162"/>
    <w:rsid w:val="3EB11AC7"/>
    <w:rsid w:val="3EC9706E"/>
    <w:rsid w:val="3ED818CD"/>
    <w:rsid w:val="3EE13701"/>
    <w:rsid w:val="3EE25742"/>
    <w:rsid w:val="3EF36906"/>
    <w:rsid w:val="3EF45B57"/>
    <w:rsid w:val="3F143EEF"/>
    <w:rsid w:val="3F144FB4"/>
    <w:rsid w:val="3F1461F9"/>
    <w:rsid w:val="3F1A4BB3"/>
    <w:rsid w:val="3F445833"/>
    <w:rsid w:val="3F4A64D9"/>
    <w:rsid w:val="3F60225A"/>
    <w:rsid w:val="3F6C7FEC"/>
    <w:rsid w:val="3F6E1561"/>
    <w:rsid w:val="3F714C59"/>
    <w:rsid w:val="3F934E86"/>
    <w:rsid w:val="3FAB4D77"/>
    <w:rsid w:val="3FC719DE"/>
    <w:rsid w:val="3FCD3624"/>
    <w:rsid w:val="3FE32ECE"/>
    <w:rsid w:val="3FF317AE"/>
    <w:rsid w:val="3FFA2455"/>
    <w:rsid w:val="3FFA32B3"/>
    <w:rsid w:val="400032BE"/>
    <w:rsid w:val="4003034F"/>
    <w:rsid w:val="40192BA6"/>
    <w:rsid w:val="401F2287"/>
    <w:rsid w:val="402C58F5"/>
    <w:rsid w:val="40484D68"/>
    <w:rsid w:val="404E1296"/>
    <w:rsid w:val="40565775"/>
    <w:rsid w:val="40741400"/>
    <w:rsid w:val="40760923"/>
    <w:rsid w:val="40761BDC"/>
    <w:rsid w:val="40963BF6"/>
    <w:rsid w:val="40991CAB"/>
    <w:rsid w:val="40B15F11"/>
    <w:rsid w:val="40BE68D5"/>
    <w:rsid w:val="40D43427"/>
    <w:rsid w:val="41071387"/>
    <w:rsid w:val="410A1661"/>
    <w:rsid w:val="41184017"/>
    <w:rsid w:val="41301D39"/>
    <w:rsid w:val="4134271F"/>
    <w:rsid w:val="413D6CFA"/>
    <w:rsid w:val="4151394D"/>
    <w:rsid w:val="415560AD"/>
    <w:rsid w:val="41766EA9"/>
    <w:rsid w:val="41775EB3"/>
    <w:rsid w:val="41B07F5B"/>
    <w:rsid w:val="41D723FB"/>
    <w:rsid w:val="42145CCA"/>
    <w:rsid w:val="423035D9"/>
    <w:rsid w:val="42384DC8"/>
    <w:rsid w:val="42550A18"/>
    <w:rsid w:val="427B1BBB"/>
    <w:rsid w:val="42834F1E"/>
    <w:rsid w:val="428E0F52"/>
    <w:rsid w:val="429D496A"/>
    <w:rsid w:val="42CC751E"/>
    <w:rsid w:val="42E0276A"/>
    <w:rsid w:val="42EB6093"/>
    <w:rsid w:val="42F4215A"/>
    <w:rsid w:val="42F473A1"/>
    <w:rsid w:val="42F80FA5"/>
    <w:rsid w:val="42FD62EC"/>
    <w:rsid w:val="4305361D"/>
    <w:rsid w:val="430C6978"/>
    <w:rsid w:val="431816E6"/>
    <w:rsid w:val="431C26D3"/>
    <w:rsid w:val="431F637C"/>
    <w:rsid w:val="4344562F"/>
    <w:rsid w:val="434E3AB8"/>
    <w:rsid w:val="43537F8A"/>
    <w:rsid w:val="43DA64B8"/>
    <w:rsid w:val="43E109A5"/>
    <w:rsid w:val="44107EE3"/>
    <w:rsid w:val="441129BA"/>
    <w:rsid w:val="441E62C0"/>
    <w:rsid w:val="44406167"/>
    <w:rsid w:val="445615DF"/>
    <w:rsid w:val="445A6C46"/>
    <w:rsid w:val="44967985"/>
    <w:rsid w:val="44974521"/>
    <w:rsid w:val="44AE4395"/>
    <w:rsid w:val="44AF3BAD"/>
    <w:rsid w:val="44C03DC7"/>
    <w:rsid w:val="44EB1ADD"/>
    <w:rsid w:val="44F066C6"/>
    <w:rsid w:val="44FB65C3"/>
    <w:rsid w:val="4504286C"/>
    <w:rsid w:val="45192471"/>
    <w:rsid w:val="451F438B"/>
    <w:rsid w:val="452F1A92"/>
    <w:rsid w:val="45303661"/>
    <w:rsid w:val="45325D14"/>
    <w:rsid w:val="454A2208"/>
    <w:rsid w:val="454F4D0B"/>
    <w:rsid w:val="455449DD"/>
    <w:rsid w:val="456A5852"/>
    <w:rsid w:val="456A6B72"/>
    <w:rsid w:val="45732385"/>
    <w:rsid w:val="45811C7C"/>
    <w:rsid w:val="45906116"/>
    <w:rsid w:val="45A0305D"/>
    <w:rsid w:val="45A03571"/>
    <w:rsid w:val="45F51AEF"/>
    <w:rsid w:val="45FB36B1"/>
    <w:rsid w:val="460B016C"/>
    <w:rsid w:val="4629258A"/>
    <w:rsid w:val="46345C9D"/>
    <w:rsid w:val="46830E83"/>
    <w:rsid w:val="468B220E"/>
    <w:rsid w:val="468B3EFB"/>
    <w:rsid w:val="46C54123"/>
    <w:rsid w:val="46D22C21"/>
    <w:rsid w:val="46D5130D"/>
    <w:rsid w:val="46E15B1B"/>
    <w:rsid w:val="47061EB6"/>
    <w:rsid w:val="470A6193"/>
    <w:rsid w:val="471909B6"/>
    <w:rsid w:val="471B4E2C"/>
    <w:rsid w:val="47385210"/>
    <w:rsid w:val="474D5830"/>
    <w:rsid w:val="475C3001"/>
    <w:rsid w:val="47690E29"/>
    <w:rsid w:val="47900AB5"/>
    <w:rsid w:val="479A5F27"/>
    <w:rsid w:val="47A837E0"/>
    <w:rsid w:val="47CA6E64"/>
    <w:rsid w:val="47D31E5D"/>
    <w:rsid w:val="47DC4F5C"/>
    <w:rsid w:val="47DD36B3"/>
    <w:rsid w:val="48192084"/>
    <w:rsid w:val="481C7304"/>
    <w:rsid w:val="482C6A5C"/>
    <w:rsid w:val="484C5484"/>
    <w:rsid w:val="485B79F5"/>
    <w:rsid w:val="48976008"/>
    <w:rsid w:val="48A40158"/>
    <w:rsid w:val="48B40671"/>
    <w:rsid w:val="48F73DFC"/>
    <w:rsid w:val="48F8514C"/>
    <w:rsid w:val="490D112E"/>
    <w:rsid w:val="490E4D0A"/>
    <w:rsid w:val="49385E92"/>
    <w:rsid w:val="493C2711"/>
    <w:rsid w:val="495664BB"/>
    <w:rsid w:val="499B5738"/>
    <w:rsid w:val="499F244D"/>
    <w:rsid w:val="49CC7372"/>
    <w:rsid w:val="4A02626B"/>
    <w:rsid w:val="4A0B3470"/>
    <w:rsid w:val="4A105051"/>
    <w:rsid w:val="4A251DC3"/>
    <w:rsid w:val="4A254E81"/>
    <w:rsid w:val="4A2D0198"/>
    <w:rsid w:val="4A420EE7"/>
    <w:rsid w:val="4A973F3F"/>
    <w:rsid w:val="4A9F387C"/>
    <w:rsid w:val="4AA20B5D"/>
    <w:rsid w:val="4AE6282E"/>
    <w:rsid w:val="4AF4108E"/>
    <w:rsid w:val="4AF50338"/>
    <w:rsid w:val="4AF96BC7"/>
    <w:rsid w:val="4B074F1C"/>
    <w:rsid w:val="4B196F78"/>
    <w:rsid w:val="4B203103"/>
    <w:rsid w:val="4B32607A"/>
    <w:rsid w:val="4B453FC7"/>
    <w:rsid w:val="4B464533"/>
    <w:rsid w:val="4B496045"/>
    <w:rsid w:val="4B545C08"/>
    <w:rsid w:val="4B5A416B"/>
    <w:rsid w:val="4B667F55"/>
    <w:rsid w:val="4B726781"/>
    <w:rsid w:val="4B7A557E"/>
    <w:rsid w:val="4B7C6990"/>
    <w:rsid w:val="4B862A85"/>
    <w:rsid w:val="4B8B200B"/>
    <w:rsid w:val="4B8B3459"/>
    <w:rsid w:val="4B98008D"/>
    <w:rsid w:val="4B9C6BB6"/>
    <w:rsid w:val="4BAC4867"/>
    <w:rsid w:val="4BAC6A7C"/>
    <w:rsid w:val="4BF417D4"/>
    <w:rsid w:val="4BF92147"/>
    <w:rsid w:val="4C0253BF"/>
    <w:rsid w:val="4C166B58"/>
    <w:rsid w:val="4C3A28DD"/>
    <w:rsid w:val="4C4130B0"/>
    <w:rsid w:val="4C7A1151"/>
    <w:rsid w:val="4C8018E7"/>
    <w:rsid w:val="4C8624FC"/>
    <w:rsid w:val="4C8A38D4"/>
    <w:rsid w:val="4C96021E"/>
    <w:rsid w:val="4C9C27CC"/>
    <w:rsid w:val="4CA20A24"/>
    <w:rsid w:val="4CB755B1"/>
    <w:rsid w:val="4CE74F4D"/>
    <w:rsid w:val="4CEF36E2"/>
    <w:rsid w:val="4CEF4DC5"/>
    <w:rsid w:val="4CF25996"/>
    <w:rsid w:val="4D134BC7"/>
    <w:rsid w:val="4D171C3B"/>
    <w:rsid w:val="4D196F3B"/>
    <w:rsid w:val="4D482BAA"/>
    <w:rsid w:val="4D4873F2"/>
    <w:rsid w:val="4D54264D"/>
    <w:rsid w:val="4D564B5A"/>
    <w:rsid w:val="4D6A5813"/>
    <w:rsid w:val="4D7F4452"/>
    <w:rsid w:val="4D8307EA"/>
    <w:rsid w:val="4D922FBD"/>
    <w:rsid w:val="4D9A766C"/>
    <w:rsid w:val="4DA62246"/>
    <w:rsid w:val="4DC17B81"/>
    <w:rsid w:val="4DC26B79"/>
    <w:rsid w:val="4DD71014"/>
    <w:rsid w:val="4DEE41E3"/>
    <w:rsid w:val="4DF2192A"/>
    <w:rsid w:val="4DF71805"/>
    <w:rsid w:val="4E083C5D"/>
    <w:rsid w:val="4E0A0EF3"/>
    <w:rsid w:val="4E17231F"/>
    <w:rsid w:val="4E257655"/>
    <w:rsid w:val="4E505C66"/>
    <w:rsid w:val="4E651B46"/>
    <w:rsid w:val="4E785AA0"/>
    <w:rsid w:val="4E8812BF"/>
    <w:rsid w:val="4E8B4332"/>
    <w:rsid w:val="4E8E7871"/>
    <w:rsid w:val="4EB3133C"/>
    <w:rsid w:val="4EC4406A"/>
    <w:rsid w:val="4EF86E3C"/>
    <w:rsid w:val="4F06089E"/>
    <w:rsid w:val="4F06496B"/>
    <w:rsid w:val="4F0C1AC6"/>
    <w:rsid w:val="4F0F551A"/>
    <w:rsid w:val="4F127C58"/>
    <w:rsid w:val="4F372380"/>
    <w:rsid w:val="4F372FFB"/>
    <w:rsid w:val="4F71142E"/>
    <w:rsid w:val="4F7A6CA5"/>
    <w:rsid w:val="4FA7341A"/>
    <w:rsid w:val="4FE34F88"/>
    <w:rsid w:val="4FEF4AC6"/>
    <w:rsid w:val="5025116D"/>
    <w:rsid w:val="503A3A57"/>
    <w:rsid w:val="503D7DBA"/>
    <w:rsid w:val="504B134F"/>
    <w:rsid w:val="505B6CA9"/>
    <w:rsid w:val="506F403E"/>
    <w:rsid w:val="508F56DF"/>
    <w:rsid w:val="50BF67C9"/>
    <w:rsid w:val="50C56222"/>
    <w:rsid w:val="50EA306B"/>
    <w:rsid w:val="50ED7CC8"/>
    <w:rsid w:val="50FB62A0"/>
    <w:rsid w:val="51140890"/>
    <w:rsid w:val="511E0283"/>
    <w:rsid w:val="51293B5F"/>
    <w:rsid w:val="513E6AA2"/>
    <w:rsid w:val="513F0EBB"/>
    <w:rsid w:val="516623C4"/>
    <w:rsid w:val="516B2253"/>
    <w:rsid w:val="5196363A"/>
    <w:rsid w:val="51984A67"/>
    <w:rsid w:val="51B05107"/>
    <w:rsid w:val="51DA39DC"/>
    <w:rsid w:val="51E0241A"/>
    <w:rsid w:val="51F1394A"/>
    <w:rsid w:val="521E1832"/>
    <w:rsid w:val="522024E6"/>
    <w:rsid w:val="52314419"/>
    <w:rsid w:val="52395ECD"/>
    <w:rsid w:val="524E0708"/>
    <w:rsid w:val="52682095"/>
    <w:rsid w:val="526D4E29"/>
    <w:rsid w:val="52735E8B"/>
    <w:rsid w:val="52820969"/>
    <w:rsid w:val="52B44696"/>
    <w:rsid w:val="52BD3C89"/>
    <w:rsid w:val="52C10D75"/>
    <w:rsid w:val="52CA1D4B"/>
    <w:rsid w:val="52D55821"/>
    <w:rsid w:val="52EB2FB5"/>
    <w:rsid w:val="53655BA8"/>
    <w:rsid w:val="536F7A4A"/>
    <w:rsid w:val="53C27FF8"/>
    <w:rsid w:val="53C979DA"/>
    <w:rsid w:val="53D83BB4"/>
    <w:rsid w:val="53E977FC"/>
    <w:rsid w:val="53EC03B2"/>
    <w:rsid w:val="54162C20"/>
    <w:rsid w:val="541D7C39"/>
    <w:rsid w:val="544E00F4"/>
    <w:rsid w:val="546348CC"/>
    <w:rsid w:val="546D0EBC"/>
    <w:rsid w:val="5475679C"/>
    <w:rsid w:val="548E485C"/>
    <w:rsid w:val="549E1A80"/>
    <w:rsid w:val="54AB108A"/>
    <w:rsid w:val="54B51E36"/>
    <w:rsid w:val="54C658F4"/>
    <w:rsid w:val="54CB45B1"/>
    <w:rsid w:val="54E0494C"/>
    <w:rsid w:val="54E171CD"/>
    <w:rsid w:val="54EB51B1"/>
    <w:rsid w:val="54ED7789"/>
    <w:rsid w:val="550C4BD7"/>
    <w:rsid w:val="552E2F95"/>
    <w:rsid w:val="55322669"/>
    <w:rsid w:val="5539470A"/>
    <w:rsid w:val="554C1D56"/>
    <w:rsid w:val="55572986"/>
    <w:rsid w:val="555761AA"/>
    <w:rsid w:val="555E236D"/>
    <w:rsid w:val="559F3252"/>
    <w:rsid w:val="55A1129D"/>
    <w:rsid w:val="55A82C22"/>
    <w:rsid w:val="55B2588A"/>
    <w:rsid w:val="55C062DD"/>
    <w:rsid w:val="55E301A5"/>
    <w:rsid w:val="5607446A"/>
    <w:rsid w:val="56081243"/>
    <w:rsid w:val="561C2CD2"/>
    <w:rsid w:val="56222B52"/>
    <w:rsid w:val="56330E85"/>
    <w:rsid w:val="563A7FF0"/>
    <w:rsid w:val="56507B64"/>
    <w:rsid w:val="565340FA"/>
    <w:rsid w:val="565965B7"/>
    <w:rsid w:val="565A053D"/>
    <w:rsid w:val="565C3ECA"/>
    <w:rsid w:val="56636EEC"/>
    <w:rsid w:val="56790914"/>
    <w:rsid w:val="569A7860"/>
    <w:rsid w:val="56B25952"/>
    <w:rsid w:val="56E11A6F"/>
    <w:rsid w:val="56EA79B4"/>
    <w:rsid w:val="56FC3910"/>
    <w:rsid w:val="56FC519F"/>
    <w:rsid w:val="571B3688"/>
    <w:rsid w:val="571F4860"/>
    <w:rsid w:val="57224417"/>
    <w:rsid w:val="5723343E"/>
    <w:rsid w:val="57244C4C"/>
    <w:rsid w:val="57376AD1"/>
    <w:rsid w:val="573D7EAB"/>
    <w:rsid w:val="57407411"/>
    <w:rsid w:val="57577C96"/>
    <w:rsid w:val="576E72F2"/>
    <w:rsid w:val="578057C8"/>
    <w:rsid w:val="578231ED"/>
    <w:rsid w:val="57856002"/>
    <w:rsid w:val="57AA18F7"/>
    <w:rsid w:val="57C26BEF"/>
    <w:rsid w:val="57D91936"/>
    <w:rsid w:val="57DD34B9"/>
    <w:rsid w:val="57E6392C"/>
    <w:rsid w:val="57F706C9"/>
    <w:rsid w:val="58017793"/>
    <w:rsid w:val="581E6DC2"/>
    <w:rsid w:val="58496ABB"/>
    <w:rsid w:val="58685C59"/>
    <w:rsid w:val="58697500"/>
    <w:rsid w:val="58803566"/>
    <w:rsid w:val="58843841"/>
    <w:rsid w:val="5888777F"/>
    <w:rsid w:val="5891308F"/>
    <w:rsid w:val="589236B1"/>
    <w:rsid w:val="58C86B99"/>
    <w:rsid w:val="58CE0DF1"/>
    <w:rsid w:val="5904102E"/>
    <w:rsid w:val="59062048"/>
    <w:rsid w:val="590A564B"/>
    <w:rsid w:val="59157DD8"/>
    <w:rsid w:val="593504AF"/>
    <w:rsid w:val="59415D84"/>
    <w:rsid w:val="59465828"/>
    <w:rsid w:val="594D2B53"/>
    <w:rsid w:val="595B377D"/>
    <w:rsid w:val="59607768"/>
    <w:rsid w:val="59655BB7"/>
    <w:rsid w:val="596C209A"/>
    <w:rsid w:val="598813E0"/>
    <w:rsid w:val="5999679A"/>
    <w:rsid w:val="599C38F2"/>
    <w:rsid w:val="59A03BB4"/>
    <w:rsid w:val="59AA0FB1"/>
    <w:rsid w:val="59B91F8C"/>
    <w:rsid w:val="59EF6A42"/>
    <w:rsid w:val="59F20EF7"/>
    <w:rsid w:val="5A2F2CC8"/>
    <w:rsid w:val="5A487F66"/>
    <w:rsid w:val="5A666011"/>
    <w:rsid w:val="5A673F93"/>
    <w:rsid w:val="5A682917"/>
    <w:rsid w:val="5A723722"/>
    <w:rsid w:val="5AAA4EE2"/>
    <w:rsid w:val="5AC95C92"/>
    <w:rsid w:val="5AD00FA7"/>
    <w:rsid w:val="5B436D5A"/>
    <w:rsid w:val="5B487697"/>
    <w:rsid w:val="5B570637"/>
    <w:rsid w:val="5B66032A"/>
    <w:rsid w:val="5B79092D"/>
    <w:rsid w:val="5B7F28A2"/>
    <w:rsid w:val="5B9C3F03"/>
    <w:rsid w:val="5BA26962"/>
    <w:rsid w:val="5BA85879"/>
    <w:rsid w:val="5BB7337B"/>
    <w:rsid w:val="5BC1259B"/>
    <w:rsid w:val="5BD06608"/>
    <w:rsid w:val="5BED2739"/>
    <w:rsid w:val="5C10702D"/>
    <w:rsid w:val="5C14136F"/>
    <w:rsid w:val="5C152601"/>
    <w:rsid w:val="5C20614F"/>
    <w:rsid w:val="5C33467C"/>
    <w:rsid w:val="5C447CC6"/>
    <w:rsid w:val="5C591F03"/>
    <w:rsid w:val="5C723E18"/>
    <w:rsid w:val="5C8A1B2F"/>
    <w:rsid w:val="5C96399E"/>
    <w:rsid w:val="5CAF3DCD"/>
    <w:rsid w:val="5CB551AD"/>
    <w:rsid w:val="5CE40F22"/>
    <w:rsid w:val="5D011B9D"/>
    <w:rsid w:val="5D2C1215"/>
    <w:rsid w:val="5D857790"/>
    <w:rsid w:val="5D861815"/>
    <w:rsid w:val="5D8936D2"/>
    <w:rsid w:val="5D914004"/>
    <w:rsid w:val="5DA210CD"/>
    <w:rsid w:val="5DD655DD"/>
    <w:rsid w:val="5DD70790"/>
    <w:rsid w:val="5DD80331"/>
    <w:rsid w:val="5DD9032B"/>
    <w:rsid w:val="5DD95E29"/>
    <w:rsid w:val="5DDD16DD"/>
    <w:rsid w:val="5DF41766"/>
    <w:rsid w:val="5E015F08"/>
    <w:rsid w:val="5E1A78F0"/>
    <w:rsid w:val="5E4151A2"/>
    <w:rsid w:val="5E436E75"/>
    <w:rsid w:val="5E61017B"/>
    <w:rsid w:val="5E615889"/>
    <w:rsid w:val="5E727AB0"/>
    <w:rsid w:val="5E847BF7"/>
    <w:rsid w:val="5EA310DE"/>
    <w:rsid w:val="5EC8520A"/>
    <w:rsid w:val="5ECB3906"/>
    <w:rsid w:val="5F0341A4"/>
    <w:rsid w:val="5F174D94"/>
    <w:rsid w:val="5F4F5E24"/>
    <w:rsid w:val="5F561B72"/>
    <w:rsid w:val="5F6B08B1"/>
    <w:rsid w:val="5F6F4489"/>
    <w:rsid w:val="5F724A0B"/>
    <w:rsid w:val="5F811AD3"/>
    <w:rsid w:val="5F8E3288"/>
    <w:rsid w:val="5F92448C"/>
    <w:rsid w:val="5FA13309"/>
    <w:rsid w:val="5FA71D36"/>
    <w:rsid w:val="5FC81A20"/>
    <w:rsid w:val="5FE00927"/>
    <w:rsid w:val="5FE24EDD"/>
    <w:rsid w:val="5FE437FC"/>
    <w:rsid w:val="5FED0446"/>
    <w:rsid w:val="5FF87C07"/>
    <w:rsid w:val="60014470"/>
    <w:rsid w:val="600D4872"/>
    <w:rsid w:val="603E60FC"/>
    <w:rsid w:val="60504C82"/>
    <w:rsid w:val="606007BB"/>
    <w:rsid w:val="606163EC"/>
    <w:rsid w:val="606F2C4E"/>
    <w:rsid w:val="60782176"/>
    <w:rsid w:val="608529D9"/>
    <w:rsid w:val="608E10F9"/>
    <w:rsid w:val="60AC7F66"/>
    <w:rsid w:val="60C13070"/>
    <w:rsid w:val="60F5025F"/>
    <w:rsid w:val="611E12A8"/>
    <w:rsid w:val="61226064"/>
    <w:rsid w:val="61377155"/>
    <w:rsid w:val="6138643E"/>
    <w:rsid w:val="6142054C"/>
    <w:rsid w:val="61497909"/>
    <w:rsid w:val="614F0CAD"/>
    <w:rsid w:val="6189448A"/>
    <w:rsid w:val="61A66546"/>
    <w:rsid w:val="61AF107F"/>
    <w:rsid w:val="61BD42A4"/>
    <w:rsid w:val="61BF10D9"/>
    <w:rsid w:val="61DA3D4C"/>
    <w:rsid w:val="61E04A03"/>
    <w:rsid w:val="61F215C9"/>
    <w:rsid w:val="621F3F49"/>
    <w:rsid w:val="62513057"/>
    <w:rsid w:val="625A457B"/>
    <w:rsid w:val="6265481D"/>
    <w:rsid w:val="626A5412"/>
    <w:rsid w:val="62786A0E"/>
    <w:rsid w:val="62AC22DC"/>
    <w:rsid w:val="62BF2D76"/>
    <w:rsid w:val="62D51E7D"/>
    <w:rsid w:val="62F964B2"/>
    <w:rsid w:val="62FA4283"/>
    <w:rsid w:val="630871F9"/>
    <w:rsid w:val="630A6917"/>
    <w:rsid w:val="63177FBC"/>
    <w:rsid w:val="63312626"/>
    <w:rsid w:val="633E67A6"/>
    <w:rsid w:val="635251C8"/>
    <w:rsid w:val="635A3E88"/>
    <w:rsid w:val="635C1FFD"/>
    <w:rsid w:val="635C7DE5"/>
    <w:rsid w:val="63606311"/>
    <w:rsid w:val="63607FA4"/>
    <w:rsid w:val="63724593"/>
    <w:rsid w:val="637833E8"/>
    <w:rsid w:val="63790487"/>
    <w:rsid w:val="63DE0947"/>
    <w:rsid w:val="63F14628"/>
    <w:rsid w:val="63F30799"/>
    <w:rsid w:val="63FB0133"/>
    <w:rsid w:val="64461A82"/>
    <w:rsid w:val="64481274"/>
    <w:rsid w:val="648743E5"/>
    <w:rsid w:val="649E018F"/>
    <w:rsid w:val="64B10E28"/>
    <w:rsid w:val="64BB10E5"/>
    <w:rsid w:val="64C210FC"/>
    <w:rsid w:val="64D8014C"/>
    <w:rsid w:val="64E45EF7"/>
    <w:rsid w:val="650B71C5"/>
    <w:rsid w:val="651240A3"/>
    <w:rsid w:val="6528541A"/>
    <w:rsid w:val="6529779B"/>
    <w:rsid w:val="65403AFE"/>
    <w:rsid w:val="6544472C"/>
    <w:rsid w:val="65465871"/>
    <w:rsid w:val="654866C3"/>
    <w:rsid w:val="654E2D83"/>
    <w:rsid w:val="65525C85"/>
    <w:rsid w:val="6555098E"/>
    <w:rsid w:val="65D90229"/>
    <w:rsid w:val="65EF440F"/>
    <w:rsid w:val="66027F94"/>
    <w:rsid w:val="66061B48"/>
    <w:rsid w:val="661F70AE"/>
    <w:rsid w:val="6630196A"/>
    <w:rsid w:val="665253D0"/>
    <w:rsid w:val="66873275"/>
    <w:rsid w:val="6691014E"/>
    <w:rsid w:val="66B41BEA"/>
    <w:rsid w:val="66C87CCE"/>
    <w:rsid w:val="66E73D86"/>
    <w:rsid w:val="66FB490A"/>
    <w:rsid w:val="67592253"/>
    <w:rsid w:val="6771342A"/>
    <w:rsid w:val="677435B2"/>
    <w:rsid w:val="6779688C"/>
    <w:rsid w:val="677D408C"/>
    <w:rsid w:val="67814D8C"/>
    <w:rsid w:val="678801E7"/>
    <w:rsid w:val="67890C82"/>
    <w:rsid w:val="678D2EAE"/>
    <w:rsid w:val="67934E04"/>
    <w:rsid w:val="679C4B21"/>
    <w:rsid w:val="67C16C14"/>
    <w:rsid w:val="67DF4560"/>
    <w:rsid w:val="67E35B9E"/>
    <w:rsid w:val="67EF75F1"/>
    <w:rsid w:val="67F323FA"/>
    <w:rsid w:val="682062DD"/>
    <w:rsid w:val="68327BBE"/>
    <w:rsid w:val="683F1534"/>
    <w:rsid w:val="687D273A"/>
    <w:rsid w:val="689736F8"/>
    <w:rsid w:val="68B35F15"/>
    <w:rsid w:val="68C31D34"/>
    <w:rsid w:val="69124F16"/>
    <w:rsid w:val="69280117"/>
    <w:rsid w:val="693022D8"/>
    <w:rsid w:val="694A5205"/>
    <w:rsid w:val="69511EBD"/>
    <w:rsid w:val="697F24B1"/>
    <w:rsid w:val="699616A8"/>
    <w:rsid w:val="69AD518D"/>
    <w:rsid w:val="69C811F4"/>
    <w:rsid w:val="69CD5C14"/>
    <w:rsid w:val="69CF0D33"/>
    <w:rsid w:val="69D8686C"/>
    <w:rsid w:val="69D96AC3"/>
    <w:rsid w:val="69F567A0"/>
    <w:rsid w:val="6A0717FD"/>
    <w:rsid w:val="6A1A7186"/>
    <w:rsid w:val="6A36068B"/>
    <w:rsid w:val="6A434A35"/>
    <w:rsid w:val="6A4B2209"/>
    <w:rsid w:val="6A4B7770"/>
    <w:rsid w:val="6A5066CB"/>
    <w:rsid w:val="6A512713"/>
    <w:rsid w:val="6A542D51"/>
    <w:rsid w:val="6A6030C4"/>
    <w:rsid w:val="6A7F05D0"/>
    <w:rsid w:val="6AB235AF"/>
    <w:rsid w:val="6ABD719F"/>
    <w:rsid w:val="6AE644C3"/>
    <w:rsid w:val="6AF34D3B"/>
    <w:rsid w:val="6AFD4928"/>
    <w:rsid w:val="6B125A78"/>
    <w:rsid w:val="6B175FBC"/>
    <w:rsid w:val="6B20072C"/>
    <w:rsid w:val="6B280C46"/>
    <w:rsid w:val="6B297797"/>
    <w:rsid w:val="6B2F4D3E"/>
    <w:rsid w:val="6B303F71"/>
    <w:rsid w:val="6B374E7A"/>
    <w:rsid w:val="6B4317B4"/>
    <w:rsid w:val="6B4A10E4"/>
    <w:rsid w:val="6B5C4B71"/>
    <w:rsid w:val="6B631DB7"/>
    <w:rsid w:val="6B700404"/>
    <w:rsid w:val="6B9946B3"/>
    <w:rsid w:val="6BF5106A"/>
    <w:rsid w:val="6BF5595A"/>
    <w:rsid w:val="6BF7378F"/>
    <w:rsid w:val="6BFD6920"/>
    <w:rsid w:val="6C06033D"/>
    <w:rsid w:val="6C241930"/>
    <w:rsid w:val="6C2D0A9C"/>
    <w:rsid w:val="6C377F31"/>
    <w:rsid w:val="6C3B0A4D"/>
    <w:rsid w:val="6C4052D5"/>
    <w:rsid w:val="6C411352"/>
    <w:rsid w:val="6C431EF3"/>
    <w:rsid w:val="6C4E6902"/>
    <w:rsid w:val="6C662189"/>
    <w:rsid w:val="6C6B22D7"/>
    <w:rsid w:val="6C6C2F38"/>
    <w:rsid w:val="6C7007C7"/>
    <w:rsid w:val="6C821F0F"/>
    <w:rsid w:val="6C8C2B67"/>
    <w:rsid w:val="6C8D38AF"/>
    <w:rsid w:val="6C8D7684"/>
    <w:rsid w:val="6CB04275"/>
    <w:rsid w:val="6CD622D5"/>
    <w:rsid w:val="6CDC07DA"/>
    <w:rsid w:val="6CE10D46"/>
    <w:rsid w:val="6CF92C55"/>
    <w:rsid w:val="6D4C7D54"/>
    <w:rsid w:val="6D5C2995"/>
    <w:rsid w:val="6D60703C"/>
    <w:rsid w:val="6D68310A"/>
    <w:rsid w:val="6D684B1D"/>
    <w:rsid w:val="6D6D0174"/>
    <w:rsid w:val="6D915D95"/>
    <w:rsid w:val="6D94625C"/>
    <w:rsid w:val="6D9B53CB"/>
    <w:rsid w:val="6DB63374"/>
    <w:rsid w:val="6DD733CF"/>
    <w:rsid w:val="6DE76850"/>
    <w:rsid w:val="6DF8337B"/>
    <w:rsid w:val="6E054261"/>
    <w:rsid w:val="6E1A3980"/>
    <w:rsid w:val="6E2B50E3"/>
    <w:rsid w:val="6E417708"/>
    <w:rsid w:val="6E506EFF"/>
    <w:rsid w:val="6E8059E4"/>
    <w:rsid w:val="6E8C6DCB"/>
    <w:rsid w:val="6E9E45BF"/>
    <w:rsid w:val="6EA34CC4"/>
    <w:rsid w:val="6EC00BE3"/>
    <w:rsid w:val="6EE54F57"/>
    <w:rsid w:val="6F055DD7"/>
    <w:rsid w:val="6F2561E5"/>
    <w:rsid w:val="6F270EB1"/>
    <w:rsid w:val="6F34372B"/>
    <w:rsid w:val="6F665BF4"/>
    <w:rsid w:val="6F6B76CB"/>
    <w:rsid w:val="6F6E0ACF"/>
    <w:rsid w:val="6F753C1F"/>
    <w:rsid w:val="6FA163D2"/>
    <w:rsid w:val="6FB20BD4"/>
    <w:rsid w:val="6FB650F7"/>
    <w:rsid w:val="6FB75277"/>
    <w:rsid w:val="6FBA59BE"/>
    <w:rsid w:val="6FC42AF1"/>
    <w:rsid w:val="6FCA2112"/>
    <w:rsid w:val="6FDD641D"/>
    <w:rsid w:val="6FF16C9A"/>
    <w:rsid w:val="6FF2418B"/>
    <w:rsid w:val="70001CFE"/>
    <w:rsid w:val="701E2184"/>
    <w:rsid w:val="702726F0"/>
    <w:rsid w:val="70296B3E"/>
    <w:rsid w:val="70332D18"/>
    <w:rsid w:val="704255C1"/>
    <w:rsid w:val="704442BC"/>
    <w:rsid w:val="704542AE"/>
    <w:rsid w:val="704751B9"/>
    <w:rsid w:val="70497291"/>
    <w:rsid w:val="705B05DF"/>
    <w:rsid w:val="705B357E"/>
    <w:rsid w:val="70611204"/>
    <w:rsid w:val="70BF0EE0"/>
    <w:rsid w:val="70C20C9C"/>
    <w:rsid w:val="70CB3E02"/>
    <w:rsid w:val="70D01410"/>
    <w:rsid w:val="70D32204"/>
    <w:rsid w:val="70F15847"/>
    <w:rsid w:val="7114413E"/>
    <w:rsid w:val="713116FD"/>
    <w:rsid w:val="71364BFB"/>
    <w:rsid w:val="71370AC8"/>
    <w:rsid w:val="71434E47"/>
    <w:rsid w:val="71486F7F"/>
    <w:rsid w:val="71584DD9"/>
    <w:rsid w:val="71662A10"/>
    <w:rsid w:val="716D5171"/>
    <w:rsid w:val="71963F08"/>
    <w:rsid w:val="71982A8B"/>
    <w:rsid w:val="71E8147F"/>
    <w:rsid w:val="72181A20"/>
    <w:rsid w:val="72204649"/>
    <w:rsid w:val="722C5869"/>
    <w:rsid w:val="727315B1"/>
    <w:rsid w:val="727D6954"/>
    <w:rsid w:val="72844D41"/>
    <w:rsid w:val="72862C7E"/>
    <w:rsid w:val="728976DF"/>
    <w:rsid w:val="72A72905"/>
    <w:rsid w:val="72BA63CA"/>
    <w:rsid w:val="72CF4F19"/>
    <w:rsid w:val="72DA633C"/>
    <w:rsid w:val="72EC79FB"/>
    <w:rsid w:val="730F4A67"/>
    <w:rsid w:val="733D16A9"/>
    <w:rsid w:val="73425548"/>
    <w:rsid w:val="73445350"/>
    <w:rsid w:val="73514DB1"/>
    <w:rsid w:val="736A73D7"/>
    <w:rsid w:val="7378402A"/>
    <w:rsid w:val="737C5261"/>
    <w:rsid w:val="738210B6"/>
    <w:rsid w:val="738467A2"/>
    <w:rsid w:val="738A77D2"/>
    <w:rsid w:val="73AC15DC"/>
    <w:rsid w:val="73F27930"/>
    <w:rsid w:val="73F40CCA"/>
    <w:rsid w:val="74121260"/>
    <w:rsid w:val="743462D3"/>
    <w:rsid w:val="743E7D5E"/>
    <w:rsid w:val="7441374C"/>
    <w:rsid w:val="744149C3"/>
    <w:rsid w:val="74514D98"/>
    <w:rsid w:val="74625519"/>
    <w:rsid w:val="749B549C"/>
    <w:rsid w:val="74A93E5A"/>
    <w:rsid w:val="74C21C86"/>
    <w:rsid w:val="74C633BB"/>
    <w:rsid w:val="74F00593"/>
    <w:rsid w:val="74FA2C30"/>
    <w:rsid w:val="750140D3"/>
    <w:rsid w:val="751D1A0B"/>
    <w:rsid w:val="75383F8E"/>
    <w:rsid w:val="754D5C4B"/>
    <w:rsid w:val="7559734B"/>
    <w:rsid w:val="756C78B0"/>
    <w:rsid w:val="757E50F6"/>
    <w:rsid w:val="75855224"/>
    <w:rsid w:val="75892266"/>
    <w:rsid w:val="75894543"/>
    <w:rsid w:val="758B206A"/>
    <w:rsid w:val="75932CCC"/>
    <w:rsid w:val="75A05064"/>
    <w:rsid w:val="75CB60C0"/>
    <w:rsid w:val="75E76F6F"/>
    <w:rsid w:val="75EC127C"/>
    <w:rsid w:val="75F142DB"/>
    <w:rsid w:val="760B3F34"/>
    <w:rsid w:val="76334397"/>
    <w:rsid w:val="763B0200"/>
    <w:rsid w:val="765B4F30"/>
    <w:rsid w:val="766C4E79"/>
    <w:rsid w:val="767420B5"/>
    <w:rsid w:val="767C1353"/>
    <w:rsid w:val="767D07C6"/>
    <w:rsid w:val="768E73B4"/>
    <w:rsid w:val="76A143E8"/>
    <w:rsid w:val="76AD2366"/>
    <w:rsid w:val="76B41DED"/>
    <w:rsid w:val="76C240A7"/>
    <w:rsid w:val="76C8773D"/>
    <w:rsid w:val="76DA5057"/>
    <w:rsid w:val="770961C3"/>
    <w:rsid w:val="770D0BE0"/>
    <w:rsid w:val="770F3331"/>
    <w:rsid w:val="772B5A09"/>
    <w:rsid w:val="77315AC4"/>
    <w:rsid w:val="77453EF4"/>
    <w:rsid w:val="775246B7"/>
    <w:rsid w:val="77583C37"/>
    <w:rsid w:val="775974AF"/>
    <w:rsid w:val="77977DAD"/>
    <w:rsid w:val="77CA234A"/>
    <w:rsid w:val="78014865"/>
    <w:rsid w:val="781E69D1"/>
    <w:rsid w:val="782A2DF7"/>
    <w:rsid w:val="783B4D78"/>
    <w:rsid w:val="789A4D68"/>
    <w:rsid w:val="789C1370"/>
    <w:rsid w:val="78A87E00"/>
    <w:rsid w:val="78DE4305"/>
    <w:rsid w:val="797C3622"/>
    <w:rsid w:val="797E507B"/>
    <w:rsid w:val="797F0359"/>
    <w:rsid w:val="79863274"/>
    <w:rsid w:val="79962040"/>
    <w:rsid w:val="799A2861"/>
    <w:rsid w:val="79BC014A"/>
    <w:rsid w:val="79BC34FC"/>
    <w:rsid w:val="79C95D86"/>
    <w:rsid w:val="79D042C8"/>
    <w:rsid w:val="79FF7DF6"/>
    <w:rsid w:val="7A263B6B"/>
    <w:rsid w:val="7A2C7CE6"/>
    <w:rsid w:val="7A2D01BD"/>
    <w:rsid w:val="7A573C85"/>
    <w:rsid w:val="7A7106D0"/>
    <w:rsid w:val="7A835A05"/>
    <w:rsid w:val="7A8E7E6B"/>
    <w:rsid w:val="7A9F3904"/>
    <w:rsid w:val="7AAE336E"/>
    <w:rsid w:val="7ABF6947"/>
    <w:rsid w:val="7AEE572F"/>
    <w:rsid w:val="7AF46346"/>
    <w:rsid w:val="7AF753E6"/>
    <w:rsid w:val="7AF84436"/>
    <w:rsid w:val="7B0703E4"/>
    <w:rsid w:val="7B0F5EBF"/>
    <w:rsid w:val="7B130FB9"/>
    <w:rsid w:val="7B14483E"/>
    <w:rsid w:val="7B1C0A25"/>
    <w:rsid w:val="7B2611AB"/>
    <w:rsid w:val="7B31720F"/>
    <w:rsid w:val="7B4C355F"/>
    <w:rsid w:val="7B4E5FBE"/>
    <w:rsid w:val="7B4E6A0D"/>
    <w:rsid w:val="7B641BCE"/>
    <w:rsid w:val="7B770612"/>
    <w:rsid w:val="7B771268"/>
    <w:rsid w:val="7B875F34"/>
    <w:rsid w:val="7BDD6F19"/>
    <w:rsid w:val="7BF64EDE"/>
    <w:rsid w:val="7C221C6B"/>
    <w:rsid w:val="7C400C1E"/>
    <w:rsid w:val="7C99714C"/>
    <w:rsid w:val="7CA07DE8"/>
    <w:rsid w:val="7CA53FD5"/>
    <w:rsid w:val="7CB50883"/>
    <w:rsid w:val="7CBE6D5D"/>
    <w:rsid w:val="7CDD1808"/>
    <w:rsid w:val="7CF57CC1"/>
    <w:rsid w:val="7CFF4F73"/>
    <w:rsid w:val="7D0B5456"/>
    <w:rsid w:val="7D172435"/>
    <w:rsid w:val="7D352792"/>
    <w:rsid w:val="7D442B1E"/>
    <w:rsid w:val="7D563551"/>
    <w:rsid w:val="7D6F6791"/>
    <w:rsid w:val="7D7243AD"/>
    <w:rsid w:val="7D830B9D"/>
    <w:rsid w:val="7DA37E53"/>
    <w:rsid w:val="7DB23C3E"/>
    <w:rsid w:val="7DD11708"/>
    <w:rsid w:val="7DF813B2"/>
    <w:rsid w:val="7E0763E6"/>
    <w:rsid w:val="7E1202A7"/>
    <w:rsid w:val="7E180B4F"/>
    <w:rsid w:val="7E2D7872"/>
    <w:rsid w:val="7E3306C9"/>
    <w:rsid w:val="7E522C19"/>
    <w:rsid w:val="7E5C0F61"/>
    <w:rsid w:val="7E8E6EBF"/>
    <w:rsid w:val="7EA07FAE"/>
    <w:rsid w:val="7EBD34F5"/>
    <w:rsid w:val="7EBD579E"/>
    <w:rsid w:val="7EC167BD"/>
    <w:rsid w:val="7ECC0BFF"/>
    <w:rsid w:val="7ED33DE1"/>
    <w:rsid w:val="7ED56D33"/>
    <w:rsid w:val="7EF2733C"/>
    <w:rsid w:val="7EFC345C"/>
    <w:rsid w:val="7F1A6960"/>
    <w:rsid w:val="7F272D9E"/>
    <w:rsid w:val="7F324DF6"/>
    <w:rsid w:val="7F507488"/>
    <w:rsid w:val="7F687D9B"/>
    <w:rsid w:val="7F7848F6"/>
    <w:rsid w:val="7FB10AB8"/>
    <w:rsid w:val="7FB858F7"/>
    <w:rsid w:val="7FDA60C7"/>
    <w:rsid w:val="7FE83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1"/>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42"/>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3"/>
    <w:autoRedefine/>
    <w:qFormat/>
    <w:uiPriority w:val="0"/>
    <w:pPr>
      <w:jc w:val="left"/>
    </w:pPr>
  </w:style>
  <w:style w:type="paragraph" w:styleId="12">
    <w:name w:val="Body Text 3"/>
    <w:basedOn w:val="1"/>
    <w:link w:val="44"/>
    <w:autoRedefine/>
    <w:unhideWhenUsed/>
    <w:qFormat/>
    <w:uiPriority w:val="99"/>
    <w:pPr>
      <w:spacing w:after="120"/>
    </w:pPr>
    <w:rPr>
      <w:sz w:val="16"/>
      <w:szCs w:val="16"/>
    </w:rPr>
  </w:style>
  <w:style w:type="paragraph" w:styleId="13">
    <w:name w:val="Body Text"/>
    <w:basedOn w:val="1"/>
    <w:next w:val="1"/>
    <w:link w:val="45"/>
    <w:autoRedefine/>
    <w:unhideWhenUsed/>
    <w:qFormat/>
    <w:uiPriority w:val="0"/>
    <w:pPr>
      <w:spacing w:after="120"/>
    </w:pPr>
  </w:style>
  <w:style w:type="paragraph" w:styleId="14">
    <w:name w:val="Body Text Indent"/>
    <w:basedOn w:val="1"/>
    <w:link w:val="46"/>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autoRedefine/>
    <w:unhideWhenUsed/>
    <w:qFormat/>
    <w:uiPriority w:val="39"/>
    <w:pPr>
      <w:ind w:left="840" w:leftChars="400"/>
    </w:pPr>
  </w:style>
  <w:style w:type="paragraph" w:styleId="17">
    <w:name w:val="Plain Text"/>
    <w:basedOn w:val="1"/>
    <w:next w:val="5"/>
    <w:link w:val="47"/>
    <w:autoRedefine/>
    <w:qFormat/>
    <w:uiPriority w:val="0"/>
    <w:rPr>
      <w:rFonts w:ascii="宋体" w:hAnsi="Courier New"/>
      <w:kern w:val="0"/>
      <w:sz w:val="20"/>
      <w:szCs w:val="21"/>
    </w:rPr>
  </w:style>
  <w:style w:type="paragraph" w:styleId="18">
    <w:name w:val="Date"/>
    <w:basedOn w:val="1"/>
    <w:next w:val="1"/>
    <w:link w:val="48"/>
    <w:autoRedefine/>
    <w:unhideWhenUsed/>
    <w:qFormat/>
    <w:uiPriority w:val="99"/>
    <w:pPr>
      <w:ind w:left="100" w:leftChars="2500"/>
    </w:pPr>
  </w:style>
  <w:style w:type="paragraph" w:styleId="19">
    <w:name w:val="Balloon Text"/>
    <w:basedOn w:val="1"/>
    <w:autoRedefine/>
    <w:semiHidden/>
    <w:qFormat/>
    <w:uiPriority w:val="0"/>
    <w:rPr>
      <w:sz w:val="18"/>
      <w:szCs w:val="18"/>
    </w:rPr>
  </w:style>
  <w:style w:type="paragraph" w:styleId="20">
    <w:name w:val="footer"/>
    <w:basedOn w:val="1"/>
    <w:next w:val="1"/>
    <w:link w:val="49"/>
    <w:autoRedefine/>
    <w:unhideWhenUsed/>
    <w:qFormat/>
    <w:uiPriority w:val="99"/>
    <w:pPr>
      <w:tabs>
        <w:tab w:val="center" w:pos="4153"/>
        <w:tab w:val="right" w:pos="8306"/>
      </w:tabs>
      <w:snapToGrid w:val="0"/>
      <w:jc w:val="left"/>
    </w:pPr>
    <w:rPr>
      <w:kern w:val="0"/>
      <w:sz w:val="18"/>
      <w:szCs w:val="18"/>
    </w:rPr>
  </w:style>
  <w:style w:type="paragraph" w:styleId="21">
    <w:name w:val="header"/>
    <w:basedOn w:val="1"/>
    <w:link w:val="5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style>
  <w:style w:type="paragraph" w:styleId="23">
    <w:name w:val="List"/>
    <w:basedOn w:val="1"/>
    <w:autoRedefine/>
    <w:unhideWhenUsed/>
    <w:qFormat/>
    <w:uiPriority w:val="99"/>
    <w:pPr>
      <w:ind w:left="200" w:hanging="200" w:hangingChars="200"/>
      <w:contextualSpacing/>
    </w:pPr>
  </w:style>
  <w:style w:type="paragraph" w:styleId="24">
    <w:name w:val="toc 2"/>
    <w:basedOn w:val="1"/>
    <w:next w:val="1"/>
    <w:autoRedefine/>
    <w:unhideWhenUsed/>
    <w:qFormat/>
    <w:uiPriority w:val="39"/>
    <w:pPr>
      <w:tabs>
        <w:tab w:val="right" w:leader="dot" w:pos="8296"/>
      </w:tabs>
      <w:ind w:left="420" w:leftChars="200"/>
    </w:pPr>
  </w:style>
  <w:style w:type="paragraph" w:styleId="25">
    <w:name w:val="Normal (Web)"/>
    <w:basedOn w:val="1"/>
    <w:autoRedefine/>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annotation subject"/>
    <w:basedOn w:val="11"/>
    <w:next w:val="11"/>
    <w:link w:val="51"/>
    <w:autoRedefine/>
    <w:qFormat/>
    <w:uiPriority w:val="99"/>
    <w:rPr>
      <w:b/>
      <w:bCs/>
    </w:rPr>
  </w:style>
  <w:style w:type="paragraph" w:styleId="27">
    <w:name w:val="Body Text First Indent 2"/>
    <w:basedOn w:val="14"/>
    <w:autoRedefine/>
    <w:qFormat/>
    <w:uiPriority w:val="0"/>
    <w:pPr>
      <w:autoSpaceDE w:val="0"/>
      <w:autoSpaceDN w:val="0"/>
      <w:spacing w:after="120" w:afterLines="0" w:line="360" w:lineRule="auto"/>
      <w:ind w:left="420" w:leftChars="200" w:firstLine="420" w:firstLineChars="200"/>
    </w:pPr>
    <w:rPr>
      <w:sz w:val="21"/>
      <w:szCs w:val="24"/>
    </w:rPr>
  </w:style>
  <w:style w:type="table" w:styleId="29">
    <w:name w:val="Table Grid"/>
    <w:basedOn w:val="2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uiPriority w:val="22"/>
    <w:rPr>
      <w:b/>
    </w:rPr>
  </w:style>
  <w:style w:type="character" w:styleId="32">
    <w:name w:val="endnote reference"/>
    <w:autoRedefine/>
    <w:unhideWhenUsed/>
    <w:qFormat/>
    <w:uiPriority w:val="99"/>
    <w:rPr>
      <w:vertAlign w:val="superscript"/>
    </w:rPr>
  </w:style>
  <w:style w:type="character" w:styleId="33">
    <w:name w:val="page number"/>
    <w:basedOn w:val="30"/>
    <w:autoRedefine/>
    <w:qFormat/>
    <w:uiPriority w:val="0"/>
  </w:style>
  <w:style w:type="character" w:styleId="34">
    <w:name w:val="FollowedHyperlink"/>
    <w:basedOn w:val="30"/>
    <w:autoRedefine/>
    <w:unhideWhenUsed/>
    <w:qFormat/>
    <w:uiPriority w:val="99"/>
    <w:rPr>
      <w:color w:val="800080"/>
      <w:u w:val="single"/>
    </w:rPr>
  </w:style>
  <w:style w:type="character" w:styleId="35">
    <w:name w:val="Hyperlink"/>
    <w:autoRedefine/>
    <w:unhideWhenUsed/>
    <w:qFormat/>
    <w:uiPriority w:val="99"/>
    <w:rPr>
      <w:color w:val="0000FF"/>
      <w:u w:val="single"/>
    </w:rPr>
  </w:style>
  <w:style w:type="character" w:styleId="36">
    <w:name w:val="annotation reference"/>
    <w:autoRedefine/>
    <w:qFormat/>
    <w:uiPriority w:val="99"/>
    <w:rPr>
      <w:sz w:val="21"/>
      <w:szCs w:val="21"/>
    </w:rPr>
  </w:style>
  <w:style w:type="paragraph" w:customStyle="1" w:styleId="37">
    <w:name w:val="表格文字"/>
    <w:basedOn w:val="1"/>
    <w:autoRedefine/>
    <w:qFormat/>
    <w:uiPriority w:val="0"/>
    <w:pPr>
      <w:jc w:val="left"/>
    </w:pPr>
    <w:rPr>
      <w:rFonts w:ascii="Calibri" w:hAnsi="Calibri" w:eastAsia="宋体" w:cs="Times New Roman"/>
      <w:bCs/>
      <w:spacing w:val="10"/>
      <w:kern w:val="0"/>
      <w:sz w:val="24"/>
    </w:rPr>
  </w:style>
  <w:style w:type="character" w:customStyle="1" w:styleId="38">
    <w:name w:val="标题 1 Char"/>
    <w:link w:val="2"/>
    <w:autoRedefine/>
    <w:qFormat/>
    <w:uiPriority w:val="9"/>
    <w:rPr>
      <w:b/>
      <w:bCs/>
      <w:kern w:val="44"/>
      <w:sz w:val="44"/>
      <w:szCs w:val="44"/>
    </w:rPr>
  </w:style>
  <w:style w:type="character" w:customStyle="1" w:styleId="39">
    <w:name w:val="标题 2 Char1"/>
    <w:link w:val="3"/>
    <w:autoRedefine/>
    <w:qFormat/>
    <w:uiPriority w:val="9"/>
    <w:rPr>
      <w:rFonts w:ascii="Cambria" w:hAnsi="Cambria" w:eastAsia="宋体" w:cs="Times New Roman"/>
      <w:b/>
      <w:bCs/>
      <w:kern w:val="2"/>
      <w:sz w:val="32"/>
      <w:szCs w:val="32"/>
    </w:rPr>
  </w:style>
  <w:style w:type="character" w:customStyle="1" w:styleId="40">
    <w:name w:val="标题 3 Char"/>
    <w:link w:val="4"/>
    <w:autoRedefine/>
    <w:semiHidden/>
    <w:qFormat/>
    <w:uiPriority w:val="9"/>
    <w:rPr>
      <w:b/>
      <w:bCs/>
      <w:kern w:val="2"/>
      <w:sz w:val="32"/>
      <w:szCs w:val="32"/>
    </w:rPr>
  </w:style>
  <w:style w:type="character" w:customStyle="1" w:styleId="41">
    <w:name w:val="标题 5 Char"/>
    <w:link w:val="6"/>
    <w:autoRedefine/>
    <w:qFormat/>
    <w:uiPriority w:val="9"/>
    <w:rPr>
      <w:rFonts w:ascii="Times New Roman" w:hAnsi="Times New Roman"/>
      <w:b/>
      <w:bCs/>
      <w:kern w:val="2"/>
      <w:sz w:val="28"/>
      <w:szCs w:val="28"/>
    </w:rPr>
  </w:style>
  <w:style w:type="character" w:customStyle="1" w:styleId="42">
    <w:name w:val="标题 8 Char1"/>
    <w:link w:val="8"/>
    <w:autoRedefine/>
    <w:semiHidden/>
    <w:qFormat/>
    <w:uiPriority w:val="9"/>
    <w:rPr>
      <w:rFonts w:ascii="等线 Light" w:hAnsi="等线 Light" w:eastAsia="等线 Light" w:cs="Times New Roman"/>
      <w:kern w:val="2"/>
      <w:sz w:val="24"/>
      <w:szCs w:val="24"/>
    </w:rPr>
  </w:style>
  <w:style w:type="character" w:customStyle="1" w:styleId="43">
    <w:name w:val="批注文字 Char1"/>
    <w:link w:val="11"/>
    <w:autoRedefine/>
    <w:qFormat/>
    <w:uiPriority w:val="0"/>
    <w:rPr>
      <w:rFonts w:ascii="Times New Roman" w:hAnsi="Times New Roman"/>
      <w:kern w:val="2"/>
      <w:sz w:val="21"/>
      <w:szCs w:val="24"/>
    </w:rPr>
  </w:style>
  <w:style w:type="character" w:customStyle="1" w:styleId="44">
    <w:name w:val="正文文本 3 Char"/>
    <w:link w:val="12"/>
    <w:autoRedefine/>
    <w:semiHidden/>
    <w:qFormat/>
    <w:uiPriority w:val="99"/>
    <w:rPr>
      <w:kern w:val="2"/>
      <w:sz w:val="16"/>
      <w:szCs w:val="16"/>
    </w:rPr>
  </w:style>
  <w:style w:type="character" w:customStyle="1" w:styleId="45">
    <w:name w:val="正文文本 Char1"/>
    <w:link w:val="13"/>
    <w:autoRedefine/>
    <w:qFormat/>
    <w:uiPriority w:val="0"/>
    <w:rPr>
      <w:rFonts w:ascii="Times New Roman" w:hAnsi="Times New Roman"/>
      <w:kern w:val="2"/>
      <w:sz w:val="21"/>
      <w:szCs w:val="24"/>
    </w:rPr>
  </w:style>
  <w:style w:type="character" w:customStyle="1" w:styleId="46">
    <w:name w:val="正文文本缩进 Char"/>
    <w:link w:val="14"/>
    <w:autoRedefine/>
    <w:qFormat/>
    <w:uiPriority w:val="0"/>
    <w:rPr>
      <w:rFonts w:ascii="仿宋_GB2312" w:hAnsi="Times New Roman" w:eastAsia="仿宋_GB2312" w:cs="Times New Roman"/>
      <w:sz w:val="32"/>
      <w:szCs w:val="20"/>
    </w:rPr>
  </w:style>
  <w:style w:type="character" w:customStyle="1" w:styleId="47">
    <w:name w:val="纯文本 Char1"/>
    <w:link w:val="17"/>
    <w:autoRedefine/>
    <w:qFormat/>
    <w:uiPriority w:val="0"/>
    <w:rPr>
      <w:rFonts w:ascii="宋体" w:hAnsi="Courier New" w:eastAsia="宋体" w:cs="Courier New"/>
      <w:szCs w:val="21"/>
    </w:rPr>
  </w:style>
  <w:style w:type="character" w:customStyle="1" w:styleId="48">
    <w:name w:val="日期 Char"/>
    <w:link w:val="18"/>
    <w:autoRedefine/>
    <w:semiHidden/>
    <w:qFormat/>
    <w:uiPriority w:val="99"/>
    <w:rPr>
      <w:rFonts w:ascii="Times New Roman" w:hAnsi="Times New Roman"/>
      <w:kern w:val="2"/>
      <w:sz w:val="21"/>
      <w:szCs w:val="24"/>
    </w:rPr>
  </w:style>
  <w:style w:type="character" w:customStyle="1" w:styleId="49">
    <w:name w:val="页脚 Char"/>
    <w:link w:val="20"/>
    <w:autoRedefine/>
    <w:qFormat/>
    <w:uiPriority w:val="99"/>
    <w:rPr>
      <w:sz w:val="18"/>
      <w:szCs w:val="18"/>
    </w:rPr>
  </w:style>
  <w:style w:type="character" w:customStyle="1" w:styleId="50">
    <w:name w:val="页眉 Char"/>
    <w:link w:val="21"/>
    <w:autoRedefine/>
    <w:qFormat/>
    <w:uiPriority w:val="99"/>
    <w:rPr>
      <w:sz w:val="18"/>
      <w:szCs w:val="18"/>
    </w:rPr>
  </w:style>
  <w:style w:type="character" w:customStyle="1" w:styleId="51">
    <w:name w:val="批注主题 Char"/>
    <w:link w:val="26"/>
    <w:autoRedefine/>
    <w:qFormat/>
    <w:uiPriority w:val="99"/>
    <w:rPr>
      <w:rFonts w:ascii="Times New Roman" w:hAnsi="Times New Roman"/>
      <w:b/>
      <w:bCs/>
      <w:kern w:val="2"/>
      <w:sz w:val="21"/>
      <w:szCs w:val="24"/>
    </w:rPr>
  </w:style>
  <w:style w:type="character" w:customStyle="1" w:styleId="52">
    <w:name w:val="批注文字 字符"/>
    <w:autoRedefine/>
    <w:qFormat/>
    <w:uiPriority w:val="0"/>
    <w:rPr>
      <w:rFonts w:ascii="Times New Roman" w:hAnsi="Times New Roman"/>
      <w:kern w:val="2"/>
      <w:sz w:val="21"/>
      <w:szCs w:val="24"/>
    </w:rPr>
  </w:style>
  <w:style w:type="character" w:customStyle="1" w:styleId="53">
    <w:name w:val="10"/>
    <w:autoRedefine/>
    <w:qFormat/>
    <w:uiPriority w:val="0"/>
  </w:style>
  <w:style w:type="character" w:customStyle="1" w:styleId="5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5">
    <w:name w:val="未处理的提及"/>
    <w:autoRedefine/>
    <w:unhideWhenUsed/>
    <w:qFormat/>
    <w:uiPriority w:val="99"/>
    <w:rPr>
      <w:color w:val="605E5C"/>
      <w:shd w:val="clear" w:color="auto" w:fill="E1DFDD"/>
    </w:rPr>
  </w:style>
  <w:style w:type="character" w:customStyle="1" w:styleId="56">
    <w:name w:val="批注文字 字符1"/>
    <w:autoRedefine/>
    <w:qFormat/>
    <w:uiPriority w:val="0"/>
    <w:rPr>
      <w:rFonts w:ascii="Times New Roman" w:hAnsi="Times New Roman"/>
      <w:kern w:val="2"/>
      <w:sz w:val="21"/>
      <w:szCs w:val="24"/>
    </w:rPr>
  </w:style>
  <w:style w:type="character" w:customStyle="1" w:styleId="57">
    <w:name w:val="正文文本 Char"/>
    <w:autoRedefine/>
    <w:qFormat/>
    <w:uiPriority w:val="0"/>
    <w:rPr>
      <w:rFonts w:ascii="Times New Roman" w:hAnsi="Times New Roman"/>
      <w:kern w:val="2"/>
      <w:sz w:val="21"/>
      <w:szCs w:val="24"/>
    </w:rPr>
  </w:style>
  <w:style w:type="character" w:customStyle="1" w:styleId="58">
    <w:name w:val="正文文本 (2) + 间距 0 pt"/>
    <w:autoRedefine/>
    <w:qFormat/>
    <w:uiPriority w:val="0"/>
    <w:rPr>
      <w:rFonts w:ascii="微软雅黑 Light" w:hAnsi="微软雅黑 Light" w:eastAsia="微软雅黑 Light" w:cs="微软雅黑 Light"/>
      <w:color w:val="000000"/>
      <w:spacing w:val="0"/>
      <w:w w:val="100"/>
      <w:position w:val="0"/>
      <w:sz w:val="22"/>
      <w:szCs w:val="22"/>
      <w:shd w:val="clear" w:color="auto" w:fill="FFFFFF"/>
      <w:lang w:val="zh-CN" w:eastAsia="zh-CN" w:bidi="zh-CN"/>
    </w:rPr>
  </w:style>
  <w:style w:type="character" w:customStyle="1" w:styleId="59">
    <w:name w:val="textcontents"/>
    <w:autoRedefine/>
    <w:qFormat/>
    <w:uiPriority w:val="0"/>
  </w:style>
  <w:style w:type="character" w:customStyle="1" w:styleId="60">
    <w:name w:val="纯文本 Char"/>
    <w:autoRedefine/>
    <w:qFormat/>
    <w:uiPriority w:val="0"/>
    <w:rPr>
      <w:rFonts w:ascii="宋体" w:hAnsi="Courier New" w:eastAsia="宋体" w:cs="Courier New"/>
      <w:szCs w:val="21"/>
    </w:rPr>
  </w:style>
  <w:style w:type="character" w:customStyle="1" w:styleId="61">
    <w:name w:val="标题 1 字符1"/>
    <w:autoRedefine/>
    <w:qFormat/>
    <w:uiPriority w:val="0"/>
    <w:rPr>
      <w:b/>
      <w:bCs/>
      <w:kern w:val="44"/>
      <w:sz w:val="44"/>
      <w:szCs w:val="44"/>
    </w:rPr>
  </w:style>
  <w:style w:type="character" w:customStyle="1" w:styleId="62">
    <w:name w:val="标题 2 Char"/>
    <w:autoRedefine/>
    <w:qFormat/>
    <w:uiPriority w:val="9"/>
    <w:rPr>
      <w:rFonts w:ascii="Cambria" w:hAnsi="Cambria" w:eastAsia="宋体" w:cs="Times New Roman"/>
      <w:b/>
      <w:bCs/>
      <w:kern w:val="2"/>
      <w:sz w:val="32"/>
      <w:szCs w:val="32"/>
    </w:rPr>
  </w:style>
  <w:style w:type="character" w:customStyle="1" w:styleId="63">
    <w:name w:val="纯文本 字符1"/>
    <w:autoRedefine/>
    <w:qFormat/>
    <w:uiPriority w:val="0"/>
    <w:rPr>
      <w:rFonts w:ascii="宋体" w:hAnsi="Courier New"/>
    </w:rPr>
  </w:style>
  <w:style w:type="character" w:customStyle="1" w:styleId="64">
    <w:name w:val="批注文字 Char"/>
    <w:autoRedefine/>
    <w:qFormat/>
    <w:uiPriority w:val="0"/>
    <w:rPr>
      <w:rFonts w:ascii="Times New Roman" w:hAnsi="Times New Roman"/>
      <w:kern w:val="2"/>
      <w:sz w:val="21"/>
      <w:szCs w:val="24"/>
    </w:rPr>
  </w:style>
  <w:style w:type="character" w:customStyle="1" w:styleId="65">
    <w:name w:val="标题 8 Char"/>
    <w:autoRedefine/>
    <w:qFormat/>
    <w:uiPriority w:val="0"/>
    <w:rPr>
      <w:rFonts w:ascii="Arial" w:hAnsi="Arial" w:eastAsia="黑体"/>
      <w:kern w:val="2"/>
      <w:sz w:val="24"/>
      <w:szCs w:val="24"/>
    </w:rPr>
  </w:style>
  <w:style w:type="character" w:customStyle="1" w:styleId="66">
    <w:name w:val="正文文本 字符"/>
    <w:autoRedefine/>
    <w:qFormat/>
    <w:uiPriority w:val="0"/>
    <w:rPr>
      <w:rFonts w:ascii="Times New Roman" w:hAnsi="Times New Roman"/>
      <w:kern w:val="2"/>
      <w:sz w:val="21"/>
      <w:szCs w:val="24"/>
    </w:rPr>
  </w:style>
  <w:style w:type="character" w:customStyle="1" w:styleId="67">
    <w:name w:val="纯文本 字符2"/>
    <w:autoRedefine/>
    <w:qFormat/>
    <w:uiPriority w:val="0"/>
    <w:rPr>
      <w:rFonts w:ascii="宋体" w:hAnsi="Courier New" w:eastAsia="宋体" w:cs="Courier New"/>
      <w:szCs w:val="21"/>
    </w:rPr>
  </w:style>
  <w:style w:type="character" w:customStyle="1" w:styleId="68">
    <w:name w:val="纯文本 字符"/>
    <w:autoRedefine/>
    <w:qFormat/>
    <w:uiPriority w:val="0"/>
    <w:rPr>
      <w:rFonts w:ascii="宋体" w:hAnsi="Courier New" w:eastAsia="宋体" w:cs="Courier New"/>
      <w:szCs w:val="21"/>
    </w:rPr>
  </w:style>
  <w:style w:type="character" w:customStyle="1" w:styleId="69">
    <w:name w:val="apple-style-span"/>
    <w:autoRedefine/>
    <w:qFormat/>
    <w:uiPriority w:val="0"/>
  </w:style>
  <w:style w:type="character" w:customStyle="1" w:styleId="70">
    <w:name w:val="正文2 Char Char"/>
    <w:link w:val="71"/>
    <w:autoRedefine/>
    <w:qFormat/>
    <w:uiPriority w:val="0"/>
    <w:rPr>
      <w:sz w:val="24"/>
    </w:rPr>
  </w:style>
  <w:style w:type="paragraph" w:customStyle="1" w:styleId="71">
    <w:name w:val="正文2"/>
    <w:basedOn w:val="1"/>
    <w:link w:val="70"/>
    <w:autoRedefine/>
    <w:qFormat/>
    <w:uiPriority w:val="0"/>
    <w:pPr>
      <w:adjustRightInd w:val="0"/>
      <w:spacing w:before="156" w:line="360" w:lineRule="auto"/>
      <w:ind w:firstLine="510" w:firstLineChars="200"/>
    </w:pPr>
    <w:rPr>
      <w:kern w:val="0"/>
      <w:sz w:val="24"/>
      <w:szCs w:val="20"/>
    </w:rPr>
  </w:style>
  <w:style w:type="paragraph" w:customStyle="1" w:styleId="72">
    <w:name w:val="_Style 70"/>
    <w:basedOn w:val="2"/>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3">
    <w:name w:val="Char Char Char Char"/>
    <w:basedOn w:val="1"/>
    <w:autoRedefine/>
    <w:qFormat/>
    <w:uiPriority w:val="0"/>
    <w:pPr>
      <w:widowControl/>
      <w:spacing w:after="160" w:line="240" w:lineRule="exact"/>
      <w:jc w:val="left"/>
    </w:pPr>
  </w:style>
  <w:style w:type="paragraph" w:customStyle="1" w:styleId="74">
    <w:name w:val="正文文本_0"/>
    <w:basedOn w:val="75"/>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7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7">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列出段落2"/>
    <w:basedOn w:val="1"/>
    <w:autoRedefine/>
    <w:unhideWhenUsed/>
    <w:qFormat/>
    <w:uiPriority w:val="99"/>
    <w:pPr>
      <w:spacing w:line="360" w:lineRule="auto"/>
      <w:ind w:firstLine="420" w:firstLineChars="200"/>
    </w:pPr>
    <w:rPr>
      <w:rFonts w:ascii="Calibri" w:hAnsi="Calibri" w:eastAsia="仿宋" w:cs="Times New Roman"/>
      <w:sz w:val="28"/>
      <w:szCs w:val="22"/>
    </w:rPr>
  </w:style>
  <w:style w:type="paragraph" w:customStyle="1" w:styleId="7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0">
    <w:name w:val="正文-2字符首行缩进"/>
    <w:basedOn w:val="1"/>
    <w:autoRedefine/>
    <w:qFormat/>
    <w:uiPriority w:val="0"/>
    <w:pPr>
      <w:spacing w:line="360" w:lineRule="auto"/>
      <w:ind w:firstLine="200" w:firstLineChars="200"/>
    </w:pPr>
    <w:rPr>
      <w:rFonts w:ascii="仿宋_GB2312" w:hAnsi="宋体" w:eastAsia="仿宋_GB2312" w:cs="Times New Roman"/>
      <w:sz w:val="28"/>
      <w:szCs w:val="22"/>
    </w:rPr>
  </w:style>
  <w:style w:type="paragraph" w:styleId="81">
    <w:name w:val="List Paragraph"/>
    <w:basedOn w:val="1"/>
    <w:autoRedefine/>
    <w:qFormat/>
    <w:uiPriority w:val="34"/>
    <w:pPr>
      <w:ind w:firstLine="420" w:firstLineChars="200"/>
    </w:pPr>
  </w:style>
  <w:style w:type="paragraph" w:customStyle="1" w:styleId="82">
    <w:name w:val="Table Paragraph"/>
    <w:basedOn w:val="1"/>
    <w:autoRedefine/>
    <w:qFormat/>
    <w:uiPriority w:val="1"/>
    <w:pPr>
      <w:jc w:val="left"/>
    </w:pPr>
    <w:rPr>
      <w:rFonts w:ascii="Calibri" w:hAnsi="Calibri"/>
      <w:kern w:val="0"/>
      <w:sz w:val="22"/>
      <w:szCs w:val="22"/>
      <w:lang w:eastAsia="en-US"/>
    </w:rPr>
  </w:style>
  <w:style w:type="paragraph" w:customStyle="1" w:styleId="8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4">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默认段落字体 Para Char Char Char Char Char Char Char Char Char1 Char Char Char Char"/>
    <w:basedOn w:val="1"/>
    <w:autoRedefine/>
    <w:qFormat/>
    <w:uiPriority w:val="0"/>
    <w:rPr>
      <w:rFonts w:ascii="Tahoma" w:hAnsi="Tahoma"/>
      <w:sz w:val="24"/>
      <w:szCs w:val="20"/>
    </w:rPr>
  </w:style>
  <w:style w:type="paragraph" w:customStyle="1" w:styleId="8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reader-word-layer_0"/>
    <w:basedOn w:val="88"/>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标题 1_2"/>
    <w:basedOn w:val="88"/>
    <w:next w:val="88"/>
    <w:autoRedefine/>
    <w:qFormat/>
    <w:uiPriority w:val="0"/>
    <w:pPr>
      <w:keepNext/>
      <w:keepLines/>
      <w:spacing w:line="360" w:lineRule="auto"/>
      <w:outlineLvl w:val="0"/>
    </w:pPr>
    <w:rPr>
      <w:rFonts w:ascii="Times New Roman" w:hAnsi="Times New Roman"/>
      <w:b/>
      <w:bCs/>
      <w:kern w:val="44"/>
      <w:sz w:val="32"/>
      <w:szCs w:val="44"/>
    </w:rPr>
  </w:style>
  <w:style w:type="paragraph" w:customStyle="1" w:styleId="9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4">
    <w:name w:val="NormalCharacter"/>
    <w:autoRedefine/>
    <w:semiHidden/>
    <w:qFormat/>
    <w:uiPriority w:val="0"/>
  </w:style>
  <w:style w:type="paragraph" w:customStyle="1" w:styleId="95">
    <w:name w:val="正文1"/>
    <w:basedOn w:val="1"/>
    <w:autoRedefine/>
    <w:qFormat/>
    <w:uiPriority w:val="0"/>
    <w:pPr>
      <w:tabs>
        <w:tab w:val="left" w:pos="1800"/>
      </w:tabs>
      <w:spacing w:line="360" w:lineRule="auto"/>
      <w:jc w:val="left"/>
    </w:pPr>
    <w:rPr>
      <w:rFonts w:ascii="宋体" w:hAnsi="宋体" w:eastAsia="宋体" w:cs="Arial"/>
      <w:sz w:val="24"/>
    </w:rPr>
  </w:style>
  <w:style w:type="paragraph" w:customStyle="1" w:styleId="96">
    <w:name w:val="正文呀2"/>
    <w:basedOn w:val="97"/>
    <w:autoRedefine/>
    <w:qFormat/>
    <w:uiPriority w:val="0"/>
    <w:rPr>
      <w:rFonts w:ascii="Times New Roman" w:hAnsi="Times New Roman"/>
    </w:rPr>
  </w:style>
  <w:style w:type="paragraph" w:customStyle="1" w:styleId="97">
    <w:name w:val="正文呀"/>
    <w:basedOn w:val="1"/>
    <w:autoRedefine/>
    <w:qFormat/>
    <w:uiPriority w:val="0"/>
    <w:pPr>
      <w:spacing w:line="42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132</Pages>
  <Words>4815</Words>
  <Characters>5750</Characters>
  <Lines>638</Lines>
  <Paragraphs>179</Paragraphs>
  <TotalTime>14</TotalTime>
  <ScaleCrop>false</ScaleCrop>
  <LinksUpToDate>false</LinksUpToDate>
  <CharactersWithSpaces>5831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影子</cp:lastModifiedBy>
  <cp:lastPrinted>2023-03-22T02:36:00Z</cp:lastPrinted>
  <dcterms:modified xsi:type="dcterms:W3CDTF">2025-06-13T07:46:17Z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C01601A9AF0A49FC818AACB819D28968_13</vt:lpwstr>
  </property>
  <property fmtid="{D5CDD505-2E9C-101B-9397-08002B2CF9AE}" pid="4" name="KSOTemplateDocerSaveRecord">
    <vt:lpwstr>eyJoZGlkIjoiMDcxMWQyN2JjMmI2MDY1NjhlZTM2YTVmNzk3ZTI2YWQiLCJ1c2VySWQiOiIxMDg2ODgxNTM5In0=</vt:lpwstr>
  </property>
</Properties>
</file>