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6FF3B">
      <w:pPr>
        <w:pStyle w:val="19"/>
        <w:ind w:firstLine="0" w:firstLineChars="0"/>
        <w:jc w:val="center"/>
        <w:rPr>
          <w:rFonts w:asciiTheme="majorEastAsia" w:hAnsiTheme="majorEastAsia" w:eastAsiaTheme="majorEastAsia" w:cstheme="majorEastAsia"/>
          <w:b/>
          <w:bCs/>
          <w:color w:val="auto"/>
          <w:sz w:val="56"/>
          <w:szCs w:val="36"/>
          <w:highlight w:val="none"/>
        </w:rPr>
      </w:pPr>
    </w:p>
    <w:p w14:paraId="5A14FF53">
      <w:pPr>
        <w:pStyle w:val="19"/>
        <w:ind w:firstLine="0" w:firstLineChars="0"/>
        <w:jc w:val="center"/>
        <w:rPr>
          <w:rFonts w:asciiTheme="majorEastAsia" w:hAnsiTheme="majorEastAsia" w:eastAsiaTheme="majorEastAsia" w:cstheme="majorEastAsia"/>
          <w:b/>
          <w:bCs/>
          <w:color w:val="auto"/>
          <w:sz w:val="56"/>
          <w:szCs w:val="36"/>
          <w:highlight w:val="none"/>
        </w:rPr>
      </w:pPr>
      <w:r>
        <w:rPr>
          <w:rFonts w:hint="eastAsia" w:asciiTheme="majorEastAsia" w:hAnsiTheme="majorEastAsia" w:eastAsiaTheme="majorEastAsia" w:cstheme="majorEastAsia"/>
          <w:b/>
          <w:bCs/>
          <w:color w:val="auto"/>
          <w:sz w:val="56"/>
          <w:szCs w:val="36"/>
          <w:highlight w:val="none"/>
        </w:rPr>
        <w:t>广西建隆工程咨询有限公司</w:t>
      </w:r>
    </w:p>
    <w:p w14:paraId="59CC7B3A">
      <w:pPr>
        <w:jc w:val="center"/>
        <w:rPr>
          <w:rFonts w:ascii="宋体" w:hAnsi="宋体" w:cs="宋体"/>
          <w:color w:val="auto"/>
          <w:kern w:val="1"/>
          <w:highlight w:val="none"/>
        </w:rPr>
      </w:pPr>
    </w:p>
    <w:p w14:paraId="2588474C">
      <w:pPr>
        <w:jc w:val="center"/>
        <w:rPr>
          <w:rFonts w:ascii="宋体" w:hAnsi="宋体" w:cs="宋体"/>
          <w:color w:val="auto"/>
          <w:kern w:val="1"/>
          <w:highlight w:val="none"/>
        </w:rPr>
      </w:pPr>
    </w:p>
    <w:p w14:paraId="0B3DC894">
      <w:pPr>
        <w:jc w:val="center"/>
        <w:rPr>
          <w:rFonts w:ascii="宋体" w:hAnsi="宋体" w:cs="宋体"/>
          <w:color w:val="auto"/>
          <w:kern w:val="1"/>
          <w:highlight w:val="none"/>
        </w:rPr>
      </w:pPr>
    </w:p>
    <w:p w14:paraId="42BEC478">
      <w:pPr>
        <w:jc w:val="center"/>
        <w:rPr>
          <w:rFonts w:ascii="华文新魏" w:hAnsi="宋体" w:eastAsia="华文新魏"/>
          <w:color w:val="auto"/>
          <w:sz w:val="120"/>
          <w:szCs w:val="120"/>
          <w:highlight w:val="none"/>
        </w:rPr>
      </w:pPr>
      <w:r>
        <w:rPr>
          <w:rFonts w:ascii="宋体" w:hAnsi="宋体" w:cs="宋体"/>
          <w:color w:val="auto"/>
          <w:kern w:val="1"/>
          <w:highlight w:val="none"/>
        </w:rPr>
        <w:drawing>
          <wp:inline distT="0" distB="0" distL="114300" distR="114300">
            <wp:extent cx="2468245" cy="1844040"/>
            <wp:effectExtent l="0" t="0" r="8255" b="3810"/>
            <wp:docPr id="1" name="图片 1" descr="wps_clip_image-22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_clip_image-22531"/>
                    <pic:cNvPicPr>
                      <a:picLocks noChangeAspect="1"/>
                    </pic:cNvPicPr>
                  </pic:nvPicPr>
                  <pic:blipFill>
                    <a:blip r:embed="rId10"/>
                    <a:stretch>
                      <a:fillRect/>
                    </a:stretch>
                  </pic:blipFill>
                  <pic:spPr>
                    <a:xfrm>
                      <a:off x="0" y="0"/>
                      <a:ext cx="2468245" cy="1844040"/>
                    </a:xfrm>
                    <a:prstGeom prst="rect">
                      <a:avLst/>
                    </a:prstGeom>
                    <a:noFill/>
                    <a:ln>
                      <a:noFill/>
                    </a:ln>
                  </pic:spPr>
                </pic:pic>
              </a:graphicData>
            </a:graphic>
          </wp:inline>
        </w:drawing>
      </w:r>
    </w:p>
    <w:p w14:paraId="0835427C">
      <w:pPr>
        <w:snapToGrid w:val="0"/>
        <w:spacing w:before="156" w:beforeLines="50" w:line="360" w:lineRule="auto"/>
        <w:jc w:val="center"/>
        <w:rPr>
          <w:rFonts w:ascii="华文新魏" w:hAnsi="宋体" w:eastAsia="华文新魏"/>
          <w:color w:val="auto"/>
          <w:sz w:val="36"/>
          <w:szCs w:val="36"/>
          <w:highlight w:val="none"/>
        </w:rPr>
      </w:pPr>
    </w:p>
    <w:p w14:paraId="557D361A">
      <w:pPr>
        <w:snapToGrid w:val="0"/>
        <w:spacing w:before="156" w:beforeLines="50"/>
        <w:jc w:val="center"/>
        <w:rPr>
          <w:rFonts w:ascii="华文新魏" w:hAnsi="宋体" w:eastAsia="华文新魏"/>
          <w:color w:val="auto"/>
          <w:sz w:val="72"/>
          <w:szCs w:val="72"/>
          <w:highlight w:val="none"/>
        </w:rPr>
      </w:pPr>
      <w:r>
        <w:rPr>
          <w:rFonts w:hint="eastAsia" w:ascii="华文新魏" w:hAnsi="宋体" w:eastAsia="华文新魏"/>
          <w:color w:val="auto"/>
          <w:sz w:val="72"/>
          <w:szCs w:val="72"/>
          <w:highlight w:val="none"/>
        </w:rPr>
        <w:t>竞争性磋商文件</w:t>
      </w:r>
    </w:p>
    <w:p w14:paraId="32E9C471">
      <w:pPr>
        <w:snapToGrid w:val="0"/>
        <w:spacing w:before="156" w:beforeLines="50" w:line="360" w:lineRule="auto"/>
        <w:jc w:val="center"/>
        <w:rPr>
          <w:rFonts w:ascii="仿宋_GB2312" w:hAnsi="宋体" w:eastAsia="仿宋_GB2312"/>
          <w:b/>
          <w:color w:val="auto"/>
          <w:sz w:val="20"/>
          <w:szCs w:val="44"/>
          <w:highlight w:val="none"/>
        </w:rPr>
      </w:pPr>
      <w:r>
        <w:rPr>
          <w:rFonts w:hint="eastAsia" w:ascii="仿宋_GB2312" w:hAnsi="宋体" w:eastAsia="仿宋_GB2312"/>
          <w:b/>
          <w:color w:val="auto"/>
          <w:sz w:val="28"/>
          <w:szCs w:val="28"/>
          <w:highlight w:val="none"/>
        </w:rPr>
        <w:t>（</w:t>
      </w:r>
      <w:r>
        <w:rPr>
          <w:rFonts w:hint="eastAsia" w:ascii="宋体" w:hAnsi="宋体"/>
          <w:b/>
          <w:color w:val="auto"/>
          <w:sz w:val="28"/>
          <w:szCs w:val="28"/>
          <w:highlight w:val="none"/>
        </w:rPr>
        <w:t>全流程电子化采购</w:t>
      </w:r>
      <w:r>
        <w:rPr>
          <w:rFonts w:hint="eastAsia" w:ascii="仿宋_GB2312" w:hAnsi="宋体" w:eastAsia="仿宋_GB2312"/>
          <w:b/>
          <w:color w:val="auto"/>
          <w:sz w:val="28"/>
          <w:szCs w:val="28"/>
          <w:highlight w:val="none"/>
        </w:rPr>
        <w:t>）</w:t>
      </w:r>
    </w:p>
    <w:p w14:paraId="1DD68973">
      <w:pPr>
        <w:snapToGrid w:val="0"/>
        <w:spacing w:line="360" w:lineRule="auto"/>
        <w:rPr>
          <w:rFonts w:ascii="仿宋_GB2312" w:hAnsi="宋体" w:eastAsia="仿宋_GB2312"/>
          <w:color w:val="auto"/>
          <w:sz w:val="30"/>
          <w:szCs w:val="72"/>
          <w:highlight w:val="none"/>
        </w:rPr>
      </w:pPr>
    </w:p>
    <w:p w14:paraId="0018C9B5">
      <w:pPr>
        <w:pStyle w:val="23"/>
        <w:snapToGrid w:val="0"/>
        <w:spacing w:line="360" w:lineRule="auto"/>
        <w:ind w:firstLine="1193" w:firstLineChars="396"/>
        <w:rPr>
          <w:rFonts w:hint="eastAsia" w:asciiTheme="minorEastAsia" w:hAnsiTheme="minorEastAsia" w:eastAsiaTheme="minorEastAsia"/>
          <w:b/>
          <w:bCs/>
          <w:color w:val="auto"/>
          <w:sz w:val="30"/>
          <w:szCs w:val="30"/>
          <w:highlight w:val="none"/>
          <w:lang w:eastAsia="zh-CN"/>
        </w:rPr>
      </w:pPr>
      <w:r>
        <w:rPr>
          <w:rFonts w:hint="eastAsia" w:asciiTheme="minorEastAsia" w:hAnsiTheme="minorEastAsia" w:eastAsiaTheme="minorEastAsia"/>
          <w:b/>
          <w:bCs/>
          <w:color w:val="auto"/>
          <w:sz w:val="30"/>
          <w:szCs w:val="30"/>
          <w:highlight w:val="none"/>
        </w:rPr>
        <w:t>项目</w:t>
      </w:r>
      <w:r>
        <w:rPr>
          <w:rFonts w:hint="eastAsia" w:cs="Courier New" w:asciiTheme="minorEastAsia" w:hAnsiTheme="minorEastAsia" w:eastAsiaTheme="minorEastAsia"/>
          <w:b/>
          <w:bCs/>
          <w:color w:val="auto"/>
          <w:w w:val="95"/>
          <w:sz w:val="30"/>
          <w:szCs w:val="30"/>
          <w:highlight w:val="none"/>
        </w:rPr>
        <w:t>名称：</w:t>
      </w:r>
      <w:r>
        <w:rPr>
          <w:rFonts w:hint="eastAsia" w:asciiTheme="minorEastAsia" w:hAnsiTheme="minorEastAsia" w:eastAsiaTheme="minorEastAsia"/>
          <w:b/>
          <w:bCs/>
          <w:color w:val="auto"/>
          <w:sz w:val="30"/>
          <w:szCs w:val="30"/>
          <w:highlight w:val="none"/>
          <w:lang w:eastAsia="zh-CN"/>
        </w:rPr>
        <w:t>2025年广西艺术作品展览服务项目</w:t>
      </w:r>
    </w:p>
    <w:p w14:paraId="5CACBC76">
      <w:pPr>
        <w:pStyle w:val="23"/>
        <w:snapToGrid w:val="0"/>
        <w:spacing w:line="360" w:lineRule="auto"/>
        <w:ind w:firstLine="1133" w:firstLineChars="396"/>
        <w:jc w:val="left"/>
        <w:rPr>
          <w:rFonts w:hint="eastAsia" w:asciiTheme="minorEastAsia" w:hAnsiTheme="minorEastAsia" w:eastAsiaTheme="minorEastAsia"/>
          <w:color w:val="auto"/>
          <w:sz w:val="30"/>
          <w:szCs w:val="72"/>
          <w:highlight w:val="none"/>
          <w:lang w:eastAsia="zh-CN"/>
        </w:rPr>
      </w:pPr>
      <w:r>
        <w:rPr>
          <w:rFonts w:hint="eastAsia" w:cs="Courier New" w:asciiTheme="minorEastAsia" w:hAnsiTheme="minorEastAsia" w:eastAsiaTheme="minorEastAsia"/>
          <w:b/>
          <w:bCs/>
          <w:color w:val="auto"/>
          <w:w w:val="95"/>
          <w:sz w:val="30"/>
          <w:szCs w:val="30"/>
          <w:highlight w:val="none"/>
        </w:rPr>
        <w:t>项目</w:t>
      </w:r>
      <w:r>
        <w:rPr>
          <w:rFonts w:hint="eastAsia" w:asciiTheme="minorEastAsia" w:hAnsiTheme="minorEastAsia" w:eastAsiaTheme="minorEastAsia"/>
          <w:b/>
          <w:bCs/>
          <w:color w:val="auto"/>
          <w:sz w:val="30"/>
          <w:szCs w:val="30"/>
          <w:highlight w:val="none"/>
        </w:rPr>
        <w:t>编号</w:t>
      </w:r>
      <w:r>
        <w:rPr>
          <w:rFonts w:hint="eastAsia" w:cs="Courier New" w:asciiTheme="minorEastAsia" w:hAnsiTheme="minorEastAsia" w:eastAsiaTheme="minorEastAsia"/>
          <w:b/>
          <w:bCs/>
          <w:color w:val="auto"/>
          <w:w w:val="95"/>
          <w:sz w:val="30"/>
          <w:szCs w:val="30"/>
          <w:highlight w:val="none"/>
        </w:rPr>
        <w:t>：</w:t>
      </w:r>
      <w:r>
        <w:rPr>
          <w:rFonts w:hint="eastAsia" w:cs="Courier New" w:asciiTheme="minorEastAsia" w:hAnsiTheme="minorEastAsia" w:eastAsiaTheme="minorEastAsia"/>
          <w:b/>
          <w:bCs/>
          <w:color w:val="auto"/>
          <w:w w:val="95"/>
          <w:sz w:val="30"/>
          <w:szCs w:val="30"/>
          <w:highlight w:val="none"/>
          <w:lang w:eastAsia="zh-CN"/>
        </w:rPr>
        <w:t>GXZC2025-C3-002401-GXJL</w:t>
      </w:r>
    </w:p>
    <w:p w14:paraId="10193630">
      <w:pPr>
        <w:pStyle w:val="23"/>
        <w:snapToGrid w:val="0"/>
        <w:spacing w:line="360" w:lineRule="auto"/>
        <w:ind w:firstLine="1125" w:firstLineChars="393"/>
        <w:rPr>
          <w:rFonts w:asciiTheme="minorEastAsia" w:hAnsiTheme="minorEastAsia" w:eastAsiaTheme="minorEastAsia"/>
          <w:b/>
          <w:bCs/>
          <w:color w:val="auto"/>
          <w:w w:val="95"/>
          <w:sz w:val="30"/>
          <w:szCs w:val="30"/>
          <w:highlight w:val="none"/>
        </w:rPr>
      </w:pPr>
    </w:p>
    <w:p w14:paraId="7FAA5900">
      <w:pPr>
        <w:pStyle w:val="23"/>
        <w:snapToGrid w:val="0"/>
        <w:spacing w:line="360" w:lineRule="auto"/>
        <w:ind w:firstLine="1125" w:firstLineChars="393"/>
        <w:rPr>
          <w:rFonts w:asciiTheme="minorEastAsia" w:hAnsiTheme="minorEastAsia" w:eastAsiaTheme="minorEastAsia"/>
          <w:b/>
          <w:bCs/>
          <w:color w:val="auto"/>
          <w:w w:val="95"/>
          <w:sz w:val="30"/>
          <w:szCs w:val="30"/>
          <w:highlight w:val="none"/>
        </w:rPr>
      </w:pPr>
      <w:r>
        <w:rPr>
          <w:rFonts w:hint="eastAsia" w:asciiTheme="minorEastAsia" w:hAnsiTheme="minorEastAsia" w:eastAsiaTheme="minorEastAsia"/>
          <w:b/>
          <w:bCs/>
          <w:color w:val="auto"/>
          <w:w w:val="95"/>
          <w:sz w:val="30"/>
          <w:szCs w:val="30"/>
          <w:highlight w:val="none"/>
        </w:rPr>
        <w:t>采购人：</w:t>
      </w:r>
      <w:r>
        <w:rPr>
          <w:rFonts w:hint="eastAsia" w:asciiTheme="minorEastAsia" w:hAnsiTheme="minorEastAsia" w:eastAsiaTheme="minorEastAsia"/>
          <w:b/>
          <w:bCs/>
          <w:color w:val="auto"/>
          <w:w w:val="95"/>
          <w:sz w:val="30"/>
          <w:szCs w:val="30"/>
          <w:highlight w:val="none"/>
          <w:lang w:eastAsia="zh-CN"/>
        </w:rPr>
        <w:t>广西壮族自治区文学艺术界联合会</w:t>
      </w:r>
      <w:r>
        <w:rPr>
          <w:rFonts w:hint="eastAsia" w:asciiTheme="minorEastAsia" w:hAnsiTheme="minorEastAsia" w:eastAsiaTheme="minorEastAsia"/>
          <w:b/>
          <w:bCs/>
          <w:color w:val="auto"/>
          <w:w w:val="95"/>
          <w:sz w:val="30"/>
          <w:szCs w:val="30"/>
          <w:highlight w:val="none"/>
        </w:rPr>
        <w:t> </w:t>
      </w:r>
    </w:p>
    <w:p w14:paraId="050DE1B3">
      <w:pPr>
        <w:pStyle w:val="23"/>
        <w:snapToGrid w:val="0"/>
        <w:spacing w:line="360" w:lineRule="auto"/>
        <w:ind w:firstLine="1125" w:firstLineChars="393"/>
        <w:rPr>
          <w:rFonts w:asciiTheme="minorEastAsia" w:hAnsiTheme="minorEastAsia" w:eastAsiaTheme="minorEastAsia"/>
          <w:b/>
          <w:bCs/>
          <w:color w:val="auto"/>
          <w:w w:val="95"/>
          <w:sz w:val="30"/>
          <w:szCs w:val="30"/>
          <w:highlight w:val="none"/>
        </w:rPr>
      </w:pPr>
      <w:r>
        <w:rPr>
          <w:rFonts w:hint="eastAsia" w:asciiTheme="minorEastAsia" w:hAnsiTheme="minorEastAsia" w:eastAsiaTheme="minorEastAsia"/>
          <w:b/>
          <w:bCs/>
          <w:color w:val="auto"/>
          <w:w w:val="95"/>
          <w:sz w:val="30"/>
          <w:szCs w:val="30"/>
          <w:highlight w:val="none"/>
        </w:rPr>
        <w:t>采购代理机构：广西建隆工程咨询有限公司</w:t>
      </w:r>
    </w:p>
    <w:p w14:paraId="43FF50AC">
      <w:pPr>
        <w:pStyle w:val="23"/>
        <w:snapToGrid w:val="0"/>
        <w:spacing w:line="360" w:lineRule="auto"/>
        <w:rPr>
          <w:rFonts w:asciiTheme="minorEastAsia" w:hAnsiTheme="minorEastAsia" w:eastAsiaTheme="minorEastAsia"/>
          <w:b/>
          <w:bCs/>
          <w:color w:val="auto"/>
          <w:w w:val="95"/>
          <w:sz w:val="30"/>
          <w:szCs w:val="30"/>
          <w:highlight w:val="none"/>
        </w:rPr>
      </w:pPr>
    </w:p>
    <w:p w14:paraId="082FD04C">
      <w:pPr>
        <w:pStyle w:val="23"/>
        <w:snapToGrid w:val="0"/>
        <w:spacing w:line="360" w:lineRule="auto"/>
        <w:jc w:val="center"/>
        <w:rPr>
          <w:rFonts w:hAnsi="宋体"/>
          <w:b/>
          <w:color w:val="auto"/>
          <w:sz w:val="44"/>
          <w:szCs w:val="44"/>
          <w:highlight w:val="none"/>
        </w:rPr>
      </w:pPr>
      <w:r>
        <w:rPr>
          <w:rFonts w:asciiTheme="minorEastAsia" w:hAnsiTheme="minorEastAsia" w:eastAsiaTheme="minorEastAsia"/>
          <w:b/>
          <w:bCs/>
          <w:color w:val="auto"/>
          <w:w w:val="95"/>
          <w:sz w:val="30"/>
          <w:szCs w:val="30"/>
          <w:highlight w:val="none"/>
        </w:rPr>
        <w:t>202</w:t>
      </w:r>
      <w:r>
        <w:rPr>
          <w:rFonts w:hint="eastAsia" w:asciiTheme="minorEastAsia" w:hAnsiTheme="minorEastAsia" w:eastAsiaTheme="minorEastAsia"/>
          <w:b/>
          <w:bCs/>
          <w:color w:val="auto"/>
          <w:w w:val="95"/>
          <w:sz w:val="30"/>
          <w:szCs w:val="30"/>
          <w:highlight w:val="none"/>
          <w:lang w:val="en-US" w:eastAsia="zh-CN"/>
        </w:rPr>
        <w:t>5</w:t>
      </w:r>
      <w:r>
        <w:rPr>
          <w:rFonts w:hint="eastAsia" w:asciiTheme="minorEastAsia" w:hAnsiTheme="minorEastAsia" w:eastAsiaTheme="minorEastAsia"/>
          <w:b/>
          <w:bCs/>
          <w:color w:val="auto"/>
          <w:w w:val="95"/>
          <w:sz w:val="30"/>
          <w:szCs w:val="30"/>
          <w:highlight w:val="none"/>
        </w:rPr>
        <w:t>年</w:t>
      </w:r>
      <w:r>
        <w:rPr>
          <w:rFonts w:hint="eastAsia" w:asciiTheme="minorEastAsia" w:hAnsiTheme="minorEastAsia" w:eastAsiaTheme="minorEastAsia"/>
          <w:b/>
          <w:bCs/>
          <w:color w:val="auto"/>
          <w:w w:val="95"/>
          <w:sz w:val="30"/>
          <w:szCs w:val="30"/>
          <w:highlight w:val="none"/>
          <w:lang w:val="en-US" w:eastAsia="zh-CN"/>
        </w:rPr>
        <w:t>8</w:t>
      </w:r>
      <w:r>
        <w:rPr>
          <w:rFonts w:hint="eastAsia" w:asciiTheme="minorEastAsia" w:hAnsiTheme="minorEastAsia" w:eastAsiaTheme="minorEastAsia"/>
          <w:b/>
          <w:bCs/>
          <w:color w:val="auto"/>
          <w:w w:val="95"/>
          <w:sz w:val="30"/>
          <w:szCs w:val="30"/>
          <w:highlight w:val="none"/>
        </w:rPr>
        <w:t>月</w:t>
      </w:r>
    </w:p>
    <w:p w14:paraId="7C7DB62B">
      <w:pPr>
        <w:rPr>
          <w:rFonts w:ascii="宋体" w:hAnsi="宋体"/>
          <w:b/>
          <w:color w:val="auto"/>
          <w:sz w:val="44"/>
          <w:szCs w:val="44"/>
          <w:highlight w:val="none"/>
        </w:rPr>
      </w:pPr>
      <w:r>
        <w:rPr>
          <w:rFonts w:hint="eastAsia" w:ascii="宋体" w:hAnsi="宋体"/>
          <w:b/>
          <w:color w:val="auto"/>
          <w:sz w:val="44"/>
          <w:szCs w:val="44"/>
          <w:highlight w:val="none"/>
        </w:rPr>
        <w:br w:type="page"/>
      </w:r>
    </w:p>
    <w:p w14:paraId="16F0A924">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14:paraId="0A6CD624">
      <w:pPr>
        <w:spacing w:line="400" w:lineRule="exact"/>
        <w:jc w:val="center"/>
        <w:rPr>
          <w:rFonts w:ascii="宋体" w:hAnsi="宋体"/>
          <w:b/>
          <w:color w:val="auto"/>
          <w:sz w:val="44"/>
          <w:szCs w:val="44"/>
          <w:highlight w:val="none"/>
        </w:rPr>
      </w:pPr>
    </w:p>
    <w:p w14:paraId="550D64BD">
      <w:pPr>
        <w:pStyle w:val="27"/>
        <w:tabs>
          <w:tab w:val="right" w:leader="dot" w:pos="8869"/>
        </w:tabs>
        <w:rPr>
          <w:rFonts w:asciiTheme="minorEastAsia" w:hAnsiTheme="minorEastAsia" w:eastAsiaTheme="minorEastAsia" w:cstheme="minorBidi"/>
          <w:color w:val="auto"/>
          <w:sz w:val="28"/>
          <w:szCs w:val="32"/>
          <w:highlight w:val="none"/>
        </w:rPr>
      </w:pPr>
      <w:r>
        <w:rPr>
          <w:rFonts w:ascii="宋体" w:hAnsi="宋体"/>
          <w:b/>
          <w:color w:val="auto"/>
          <w:sz w:val="24"/>
          <w:highlight w:val="none"/>
        </w:rPr>
        <w:fldChar w:fldCharType="begin"/>
      </w:r>
      <w:r>
        <w:rPr>
          <w:rFonts w:hint="eastAsia" w:ascii="宋体" w:hAnsi="宋体"/>
          <w:b/>
          <w:color w:val="auto"/>
          <w:sz w:val="24"/>
          <w:highlight w:val="none"/>
        </w:rPr>
        <w:instrText xml:space="preserve">TOC \o "1-3" \h \z \u</w:instrText>
      </w:r>
      <w:r>
        <w:rPr>
          <w:rFonts w:ascii="宋体" w:hAnsi="宋体"/>
          <w:b/>
          <w:color w:val="auto"/>
          <w:sz w:val="24"/>
          <w:highlight w:val="none"/>
        </w:rPr>
        <w:fldChar w:fldCharType="separate"/>
      </w:r>
      <w:r>
        <w:rPr>
          <w:color w:val="auto"/>
          <w:highlight w:val="none"/>
        </w:rPr>
        <w:fldChar w:fldCharType="begin"/>
      </w:r>
      <w:r>
        <w:rPr>
          <w:color w:val="auto"/>
          <w:highlight w:val="none"/>
        </w:rPr>
        <w:instrText xml:space="preserve"> HYPERLINK \l "_Toc151675536" </w:instrText>
      </w:r>
      <w:r>
        <w:rPr>
          <w:color w:val="auto"/>
          <w:highlight w:val="none"/>
        </w:rPr>
        <w:fldChar w:fldCharType="separate"/>
      </w:r>
      <w:r>
        <w:rPr>
          <w:rStyle w:val="43"/>
          <w:rFonts w:asciiTheme="minorEastAsia" w:hAnsiTheme="minorEastAsia" w:eastAsiaTheme="minorEastAsia"/>
          <w:color w:val="auto"/>
          <w:sz w:val="28"/>
          <w:szCs w:val="36"/>
          <w:highlight w:val="none"/>
        </w:rPr>
        <w:t>第一章  竞争性磋商公告</w:t>
      </w:r>
      <w:r>
        <w:rPr>
          <w:rFonts w:asciiTheme="minorEastAsia" w:hAnsiTheme="minorEastAsia" w:eastAsiaTheme="minorEastAsia"/>
          <w:color w:val="auto"/>
          <w:sz w:val="28"/>
          <w:szCs w:val="36"/>
          <w:highlight w:val="none"/>
        </w:rPr>
        <w:tab/>
      </w:r>
      <w:r>
        <w:rPr>
          <w:rFonts w:asciiTheme="minorEastAsia" w:hAnsiTheme="minorEastAsia" w:eastAsiaTheme="minorEastAsia"/>
          <w:color w:val="auto"/>
          <w:sz w:val="28"/>
          <w:szCs w:val="36"/>
          <w:highlight w:val="none"/>
        </w:rPr>
        <w:fldChar w:fldCharType="begin"/>
      </w:r>
      <w:r>
        <w:rPr>
          <w:rFonts w:asciiTheme="minorEastAsia" w:hAnsiTheme="minorEastAsia" w:eastAsiaTheme="minorEastAsia"/>
          <w:color w:val="auto"/>
          <w:sz w:val="28"/>
          <w:szCs w:val="36"/>
          <w:highlight w:val="none"/>
        </w:rPr>
        <w:instrText xml:space="preserve"> PAGEREF _Toc151675536 \h </w:instrText>
      </w:r>
      <w:r>
        <w:rPr>
          <w:rFonts w:asciiTheme="minorEastAsia" w:hAnsiTheme="minorEastAsia" w:eastAsiaTheme="minorEastAsia"/>
          <w:color w:val="auto"/>
          <w:sz w:val="28"/>
          <w:szCs w:val="36"/>
          <w:highlight w:val="none"/>
        </w:rPr>
        <w:fldChar w:fldCharType="separate"/>
      </w:r>
      <w:r>
        <w:rPr>
          <w:rFonts w:asciiTheme="minorEastAsia" w:hAnsiTheme="minorEastAsia" w:eastAsiaTheme="minorEastAsia"/>
          <w:color w:val="auto"/>
          <w:sz w:val="28"/>
          <w:szCs w:val="36"/>
          <w:highlight w:val="none"/>
        </w:rPr>
        <w:t>1</w:t>
      </w:r>
      <w:r>
        <w:rPr>
          <w:rFonts w:asciiTheme="minorEastAsia" w:hAnsiTheme="minorEastAsia" w:eastAsiaTheme="minorEastAsia"/>
          <w:color w:val="auto"/>
          <w:sz w:val="28"/>
          <w:szCs w:val="36"/>
          <w:highlight w:val="none"/>
        </w:rPr>
        <w:fldChar w:fldCharType="end"/>
      </w:r>
      <w:r>
        <w:rPr>
          <w:rFonts w:asciiTheme="minorEastAsia" w:hAnsiTheme="minorEastAsia" w:eastAsiaTheme="minorEastAsia"/>
          <w:color w:val="auto"/>
          <w:sz w:val="28"/>
          <w:szCs w:val="36"/>
          <w:highlight w:val="none"/>
        </w:rPr>
        <w:fldChar w:fldCharType="end"/>
      </w:r>
    </w:p>
    <w:p w14:paraId="3F1CDFC4">
      <w:pPr>
        <w:pStyle w:val="27"/>
        <w:tabs>
          <w:tab w:val="right" w:leader="dot" w:pos="8869"/>
        </w:tabs>
        <w:rPr>
          <w:rFonts w:asciiTheme="minorEastAsia" w:hAnsiTheme="minorEastAsia" w:eastAsiaTheme="minorEastAsia" w:cstheme="minorBidi"/>
          <w:color w:val="auto"/>
          <w:sz w:val="28"/>
          <w:szCs w:val="32"/>
          <w:highlight w:val="none"/>
        </w:rPr>
      </w:pPr>
      <w:r>
        <w:rPr>
          <w:color w:val="auto"/>
          <w:highlight w:val="none"/>
        </w:rPr>
        <w:fldChar w:fldCharType="begin"/>
      </w:r>
      <w:r>
        <w:rPr>
          <w:color w:val="auto"/>
          <w:highlight w:val="none"/>
        </w:rPr>
        <w:instrText xml:space="preserve"> HYPERLINK \l "_Toc151675537" </w:instrText>
      </w:r>
      <w:r>
        <w:rPr>
          <w:color w:val="auto"/>
          <w:highlight w:val="none"/>
        </w:rPr>
        <w:fldChar w:fldCharType="separate"/>
      </w:r>
      <w:r>
        <w:rPr>
          <w:rStyle w:val="43"/>
          <w:rFonts w:asciiTheme="minorEastAsia" w:hAnsiTheme="minorEastAsia" w:eastAsiaTheme="minorEastAsia"/>
          <w:color w:val="auto"/>
          <w:sz w:val="28"/>
          <w:szCs w:val="36"/>
          <w:highlight w:val="none"/>
        </w:rPr>
        <w:t>第二章  供应商须知</w:t>
      </w:r>
      <w:r>
        <w:rPr>
          <w:rFonts w:asciiTheme="minorEastAsia" w:hAnsiTheme="minorEastAsia" w:eastAsiaTheme="minorEastAsia"/>
          <w:color w:val="auto"/>
          <w:sz w:val="28"/>
          <w:szCs w:val="36"/>
          <w:highlight w:val="none"/>
        </w:rPr>
        <w:tab/>
      </w:r>
      <w:r>
        <w:rPr>
          <w:rFonts w:asciiTheme="minorEastAsia" w:hAnsiTheme="minorEastAsia" w:eastAsiaTheme="minorEastAsia"/>
          <w:color w:val="auto"/>
          <w:sz w:val="28"/>
          <w:szCs w:val="36"/>
          <w:highlight w:val="none"/>
        </w:rPr>
        <w:fldChar w:fldCharType="begin"/>
      </w:r>
      <w:r>
        <w:rPr>
          <w:rFonts w:asciiTheme="minorEastAsia" w:hAnsiTheme="minorEastAsia" w:eastAsiaTheme="minorEastAsia"/>
          <w:color w:val="auto"/>
          <w:sz w:val="28"/>
          <w:szCs w:val="36"/>
          <w:highlight w:val="none"/>
        </w:rPr>
        <w:instrText xml:space="preserve"> PAGEREF _Toc151675537 \h </w:instrText>
      </w:r>
      <w:r>
        <w:rPr>
          <w:rFonts w:asciiTheme="minorEastAsia" w:hAnsiTheme="minorEastAsia" w:eastAsiaTheme="minorEastAsia"/>
          <w:color w:val="auto"/>
          <w:sz w:val="28"/>
          <w:szCs w:val="36"/>
          <w:highlight w:val="none"/>
        </w:rPr>
        <w:fldChar w:fldCharType="separate"/>
      </w:r>
      <w:r>
        <w:rPr>
          <w:rFonts w:asciiTheme="minorEastAsia" w:hAnsiTheme="minorEastAsia" w:eastAsiaTheme="minorEastAsia"/>
          <w:color w:val="auto"/>
          <w:sz w:val="28"/>
          <w:szCs w:val="36"/>
          <w:highlight w:val="none"/>
        </w:rPr>
        <w:t>5</w:t>
      </w:r>
      <w:r>
        <w:rPr>
          <w:rFonts w:asciiTheme="minorEastAsia" w:hAnsiTheme="minorEastAsia" w:eastAsiaTheme="minorEastAsia"/>
          <w:color w:val="auto"/>
          <w:sz w:val="28"/>
          <w:szCs w:val="36"/>
          <w:highlight w:val="none"/>
        </w:rPr>
        <w:fldChar w:fldCharType="end"/>
      </w:r>
      <w:r>
        <w:rPr>
          <w:rFonts w:asciiTheme="minorEastAsia" w:hAnsiTheme="minorEastAsia" w:eastAsiaTheme="minorEastAsia"/>
          <w:color w:val="auto"/>
          <w:sz w:val="28"/>
          <w:szCs w:val="36"/>
          <w:highlight w:val="none"/>
        </w:rPr>
        <w:fldChar w:fldCharType="end"/>
      </w:r>
    </w:p>
    <w:p w14:paraId="6B77D034">
      <w:pPr>
        <w:pStyle w:val="27"/>
        <w:tabs>
          <w:tab w:val="right" w:leader="dot" w:pos="8869"/>
        </w:tabs>
        <w:rPr>
          <w:rFonts w:asciiTheme="minorEastAsia" w:hAnsiTheme="minorEastAsia" w:eastAsiaTheme="minorEastAsia" w:cstheme="minorBidi"/>
          <w:color w:val="auto"/>
          <w:sz w:val="28"/>
          <w:szCs w:val="32"/>
          <w:highlight w:val="none"/>
        </w:rPr>
      </w:pPr>
      <w:r>
        <w:rPr>
          <w:color w:val="auto"/>
          <w:highlight w:val="none"/>
        </w:rPr>
        <w:fldChar w:fldCharType="begin"/>
      </w:r>
      <w:r>
        <w:rPr>
          <w:color w:val="auto"/>
          <w:highlight w:val="none"/>
        </w:rPr>
        <w:instrText xml:space="preserve"> HYPERLINK \l "_Toc151675538" </w:instrText>
      </w:r>
      <w:r>
        <w:rPr>
          <w:color w:val="auto"/>
          <w:highlight w:val="none"/>
        </w:rPr>
        <w:fldChar w:fldCharType="separate"/>
      </w:r>
      <w:r>
        <w:rPr>
          <w:rStyle w:val="43"/>
          <w:rFonts w:asciiTheme="minorEastAsia" w:hAnsiTheme="minorEastAsia" w:eastAsiaTheme="minorEastAsia"/>
          <w:color w:val="auto"/>
          <w:sz w:val="28"/>
          <w:szCs w:val="36"/>
          <w:highlight w:val="none"/>
        </w:rPr>
        <w:t>第三章  采购需求</w:t>
      </w:r>
      <w:r>
        <w:rPr>
          <w:rFonts w:asciiTheme="minorEastAsia" w:hAnsiTheme="minorEastAsia" w:eastAsiaTheme="minorEastAsia"/>
          <w:color w:val="auto"/>
          <w:sz w:val="28"/>
          <w:szCs w:val="36"/>
          <w:highlight w:val="none"/>
        </w:rPr>
        <w:tab/>
      </w:r>
      <w:r>
        <w:rPr>
          <w:rFonts w:asciiTheme="minorEastAsia" w:hAnsiTheme="minorEastAsia" w:eastAsiaTheme="minorEastAsia"/>
          <w:color w:val="auto"/>
          <w:sz w:val="28"/>
          <w:szCs w:val="36"/>
          <w:highlight w:val="none"/>
        </w:rPr>
        <w:fldChar w:fldCharType="begin"/>
      </w:r>
      <w:r>
        <w:rPr>
          <w:rFonts w:asciiTheme="minorEastAsia" w:hAnsiTheme="minorEastAsia" w:eastAsiaTheme="minorEastAsia"/>
          <w:color w:val="auto"/>
          <w:sz w:val="28"/>
          <w:szCs w:val="36"/>
          <w:highlight w:val="none"/>
        </w:rPr>
        <w:instrText xml:space="preserve"> PAGEREF _Toc151675538 \h </w:instrText>
      </w:r>
      <w:r>
        <w:rPr>
          <w:rFonts w:asciiTheme="minorEastAsia" w:hAnsiTheme="minorEastAsia" w:eastAsiaTheme="minorEastAsia"/>
          <w:color w:val="auto"/>
          <w:sz w:val="28"/>
          <w:szCs w:val="36"/>
          <w:highlight w:val="none"/>
        </w:rPr>
        <w:fldChar w:fldCharType="separate"/>
      </w:r>
      <w:r>
        <w:rPr>
          <w:rFonts w:asciiTheme="minorEastAsia" w:hAnsiTheme="minorEastAsia" w:eastAsiaTheme="minorEastAsia"/>
          <w:color w:val="auto"/>
          <w:sz w:val="28"/>
          <w:szCs w:val="36"/>
          <w:highlight w:val="none"/>
        </w:rPr>
        <w:t>24</w:t>
      </w:r>
      <w:r>
        <w:rPr>
          <w:rFonts w:asciiTheme="minorEastAsia" w:hAnsiTheme="minorEastAsia" w:eastAsiaTheme="minorEastAsia"/>
          <w:color w:val="auto"/>
          <w:sz w:val="28"/>
          <w:szCs w:val="36"/>
          <w:highlight w:val="none"/>
        </w:rPr>
        <w:fldChar w:fldCharType="end"/>
      </w:r>
      <w:r>
        <w:rPr>
          <w:rFonts w:asciiTheme="minorEastAsia" w:hAnsiTheme="minorEastAsia" w:eastAsiaTheme="minorEastAsia"/>
          <w:color w:val="auto"/>
          <w:sz w:val="28"/>
          <w:szCs w:val="36"/>
          <w:highlight w:val="none"/>
        </w:rPr>
        <w:fldChar w:fldCharType="end"/>
      </w:r>
    </w:p>
    <w:p w14:paraId="3288123E">
      <w:pPr>
        <w:pStyle w:val="27"/>
        <w:tabs>
          <w:tab w:val="right" w:leader="dot" w:pos="8869"/>
        </w:tabs>
        <w:rPr>
          <w:rFonts w:asciiTheme="minorEastAsia" w:hAnsiTheme="minorEastAsia" w:eastAsiaTheme="minorEastAsia" w:cstheme="minorBidi"/>
          <w:color w:val="auto"/>
          <w:sz w:val="28"/>
          <w:szCs w:val="32"/>
          <w:highlight w:val="none"/>
        </w:rPr>
      </w:pPr>
      <w:r>
        <w:rPr>
          <w:color w:val="auto"/>
          <w:highlight w:val="none"/>
        </w:rPr>
        <w:fldChar w:fldCharType="begin"/>
      </w:r>
      <w:r>
        <w:rPr>
          <w:color w:val="auto"/>
          <w:highlight w:val="none"/>
        </w:rPr>
        <w:instrText xml:space="preserve"> HYPERLINK \l "_Toc151675539" </w:instrText>
      </w:r>
      <w:r>
        <w:rPr>
          <w:color w:val="auto"/>
          <w:highlight w:val="none"/>
        </w:rPr>
        <w:fldChar w:fldCharType="separate"/>
      </w:r>
      <w:r>
        <w:rPr>
          <w:rStyle w:val="43"/>
          <w:rFonts w:asciiTheme="minorEastAsia" w:hAnsiTheme="minorEastAsia" w:eastAsiaTheme="minorEastAsia"/>
          <w:color w:val="auto"/>
          <w:sz w:val="28"/>
          <w:szCs w:val="36"/>
          <w:highlight w:val="none"/>
        </w:rPr>
        <w:t>第四章  评审程序、评审方法和评审标准</w:t>
      </w:r>
      <w:r>
        <w:rPr>
          <w:rFonts w:asciiTheme="minorEastAsia" w:hAnsiTheme="minorEastAsia" w:eastAsiaTheme="minorEastAsia"/>
          <w:color w:val="auto"/>
          <w:sz w:val="28"/>
          <w:szCs w:val="36"/>
          <w:highlight w:val="none"/>
        </w:rPr>
        <w:tab/>
      </w:r>
      <w:r>
        <w:rPr>
          <w:rFonts w:asciiTheme="minorEastAsia" w:hAnsiTheme="minorEastAsia" w:eastAsiaTheme="minorEastAsia"/>
          <w:color w:val="auto"/>
          <w:sz w:val="28"/>
          <w:szCs w:val="36"/>
          <w:highlight w:val="none"/>
        </w:rPr>
        <w:fldChar w:fldCharType="begin"/>
      </w:r>
      <w:r>
        <w:rPr>
          <w:rFonts w:asciiTheme="minorEastAsia" w:hAnsiTheme="minorEastAsia" w:eastAsiaTheme="minorEastAsia"/>
          <w:color w:val="auto"/>
          <w:sz w:val="28"/>
          <w:szCs w:val="36"/>
          <w:highlight w:val="none"/>
        </w:rPr>
        <w:instrText xml:space="preserve"> PAGEREF _Toc151675539 \h </w:instrText>
      </w:r>
      <w:r>
        <w:rPr>
          <w:rFonts w:asciiTheme="minorEastAsia" w:hAnsiTheme="minorEastAsia" w:eastAsiaTheme="minorEastAsia"/>
          <w:color w:val="auto"/>
          <w:sz w:val="28"/>
          <w:szCs w:val="36"/>
          <w:highlight w:val="none"/>
        </w:rPr>
        <w:fldChar w:fldCharType="separate"/>
      </w:r>
      <w:r>
        <w:rPr>
          <w:rFonts w:asciiTheme="minorEastAsia" w:hAnsiTheme="minorEastAsia" w:eastAsiaTheme="minorEastAsia"/>
          <w:color w:val="auto"/>
          <w:sz w:val="28"/>
          <w:szCs w:val="36"/>
          <w:highlight w:val="none"/>
        </w:rPr>
        <w:t>37</w:t>
      </w:r>
      <w:r>
        <w:rPr>
          <w:rFonts w:asciiTheme="minorEastAsia" w:hAnsiTheme="minorEastAsia" w:eastAsiaTheme="minorEastAsia"/>
          <w:color w:val="auto"/>
          <w:sz w:val="28"/>
          <w:szCs w:val="36"/>
          <w:highlight w:val="none"/>
        </w:rPr>
        <w:fldChar w:fldCharType="end"/>
      </w:r>
      <w:r>
        <w:rPr>
          <w:rFonts w:asciiTheme="minorEastAsia" w:hAnsiTheme="minorEastAsia" w:eastAsiaTheme="minorEastAsia"/>
          <w:color w:val="auto"/>
          <w:sz w:val="28"/>
          <w:szCs w:val="36"/>
          <w:highlight w:val="none"/>
        </w:rPr>
        <w:fldChar w:fldCharType="end"/>
      </w:r>
    </w:p>
    <w:p w14:paraId="0C042587">
      <w:pPr>
        <w:pStyle w:val="27"/>
        <w:tabs>
          <w:tab w:val="right" w:leader="dot" w:pos="8869"/>
        </w:tabs>
        <w:rPr>
          <w:rFonts w:asciiTheme="minorEastAsia" w:hAnsiTheme="minorEastAsia" w:eastAsiaTheme="minorEastAsia" w:cstheme="minorBidi"/>
          <w:color w:val="auto"/>
          <w:sz w:val="28"/>
          <w:szCs w:val="32"/>
          <w:highlight w:val="none"/>
        </w:rPr>
      </w:pPr>
      <w:r>
        <w:rPr>
          <w:color w:val="auto"/>
          <w:highlight w:val="none"/>
        </w:rPr>
        <w:fldChar w:fldCharType="begin"/>
      </w:r>
      <w:r>
        <w:rPr>
          <w:color w:val="auto"/>
          <w:highlight w:val="none"/>
        </w:rPr>
        <w:instrText xml:space="preserve"> HYPERLINK \l "_Toc151675540" </w:instrText>
      </w:r>
      <w:r>
        <w:rPr>
          <w:color w:val="auto"/>
          <w:highlight w:val="none"/>
        </w:rPr>
        <w:fldChar w:fldCharType="separate"/>
      </w:r>
      <w:r>
        <w:rPr>
          <w:rStyle w:val="43"/>
          <w:rFonts w:asciiTheme="minorEastAsia" w:hAnsiTheme="minorEastAsia" w:eastAsiaTheme="minorEastAsia"/>
          <w:color w:val="auto"/>
          <w:sz w:val="28"/>
          <w:szCs w:val="36"/>
          <w:highlight w:val="none"/>
        </w:rPr>
        <w:t>第五章  响应文件格式</w:t>
      </w:r>
      <w:r>
        <w:rPr>
          <w:rFonts w:asciiTheme="minorEastAsia" w:hAnsiTheme="minorEastAsia" w:eastAsiaTheme="minorEastAsia"/>
          <w:color w:val="auto"/>
          <w:sz w:val="28"/>
          <w:szCs w:val="36"/>
          <w:highlight w:val="none"/>
        </w:rPr>
        <w:tab/>
      </w:r>
      <w:r>
        <w:rPr>
          <w:rFonts w:asciiTheme="minorEastAsia" w:hAnsiTheme="minorEastAsia" w:eastAsiaTheme="minorEastAsia"/>
          <w:color w:val="auto"/>
          <w:sz w:val="28"/>
          <w:szCs w:val="36"/>
          <w:highlight w:val="none"/>
        </w:rPr>
        <w:fldChar w:fldCharType="begin"/>
      </w:r>
      <w:r>
        <w:rPr>
          <w:rFonts w:asciiTheme="minorEastAsia" w:hAnsiTheme="minorEastAsia" w:eastAsiaTheme="minorEastAsia"/>
          <w:color w:val="auto"/>
          <w:sz w:val="28"/>
          <w:szCs w:val="36"/>
          <w:highlight w:val="none"/>
        </w:rPr>
        <w:instrText xml:space="preserve"> PAGEREF _Toc151675540 \h </w:instrText>
      </w:r>
      <w:r>
        <w:rPr>
          <w:rFonts w:asciiTheme="minorEastAsia" w:hAnsiTheme="minorEastAsia" w:eastAsiaTheme="minorEastAsia"/>
          <w:color w:val="auto"/>
          <w:sz w:val="28"/>
          <w:szCs w:val="36"/>
          <w:highlight w:val="none"/>
        </w:rPr>
        <w:fldChar w:fldCharType="separate"/>
      </w:r>
      <w:r>
        <w:rPr>
          <w:rFonts w:asciiTheme="minorEastAsia" w:hAnsiTheme="minorEastAsia" w:eastAsiaTheme="minorEastAsia"/>
          <w:color w:val="auto"/>
          <w:sz w:val="28"/>
          <w:szCs w:val="36"/>
          <w:highlight w:val="none"/>
        </w:rPr>
        <w:t>53</w:t>
      </w:r>
      <w:r>
        <w:rPr>
          <w:rFonts w:asciiTheme="minorEastAsia" w:hAnsiTheme="minorEastAsia" w:eastAsiaTheme="minorEastAsia"/>
          <w:color w:val="auto"/>
          <w:sz w:val="28"/>
          <w:szCs w:val="36"/>
          <w:highlight w:val="none"/>
        </w:rPr>
        <w:fldChar w:fldCharType="end"/>
      </w:r>
      <w:r>
        <w:rPr>
          <w:rFonts w:asciiTheme="minorEastAsia" w:hAnsiTheme="minorEastAsia" w:eastAsiaTheme="minorEastAsia"/>
          <w:color w:val="auto"/>
          <w:sz w:val="28"/>
          <w:szCs w:val="36"/>
          <w:highlight w:val="none"/>
        </w:rPr>
        <w:fldChar w:fldCharType="end"/>
      </w:r>
    </w:p>
    <w:p w14:paraId="293F5F86">
      <w:pPr>
        <w:pStyle w:val="27"/>
        <w:tabs>
          <w:tab w:val="right" w:leader="dot" w:pos="8869"/>
        </w:tabs>
        <w:rPr>
          <w:rFonts w:asciiTheme="minorEastAsia" w:hAnsiTheme="minorEastAsia" w:eastAsiaTheme="minorEastAsia" w:cstheme="minorBidi"/>
          <w:color w:val="auto"/>
          <w:sz w:val="28"/>
          <w:szCs w:val="32"/>
          <w:highlight w:val="none"/>
        </w:rPr>
      </w:pPr>
      <w:r>
        <w:rPr>
          <w:color w:val="auto"/>
          <w:highlight w:val="none"/>
        </w:rPr>
        <w:fldChar w:fldCharType="begin"/>
      </w:r>
      <w:r>
        <w:rPr>
          <w:color w:val="auto"/>
          <w:highlight w:val="none"/>
        </w:rPr>
        <w:instrText xml:space="preserve"> HYPERLINK \l "_Toc151675541" </w:instrText>
      </w:r>
      <w:r>
        <w:rPr>
          <w:color w:val="auto"/>
          <w:highlight w:val="none"/>
        </w:rPr>
        <w:fldChar w:fldCharType="separate"/>
      </w:r>
      <w:r>
        <w:rPr>
          <w:rStyle w:val="43"/>
          <w:rFonts w:asciiTheme="minorEastAsia" w:hAnsiTheme="minorEastAsia" w:eastAsiaTheme="minorEastAsia"/>
          <w:color w:val="auto"/>
          <w:sz w:val="28"/>
          <w:szCs w:val="36"/>
          <w:highlight w:val="none"/>
        </w:rPr>
        <w:t>第六章  合同文本</w:t>
      </w:r>
      <w:r>
        <w:rPr>
          <w:rFonts w:asciiTheme="minorEastAsia" w:hAnsiTheme="minorEastAsia" w:eastAsiaTheme="minorEastAsia"/>
          <w:color w:val="auto"/>
          <w:sz w:val="28"/>
          <w:szCs w:val="36"/>
          <w:highlight w:val="none"/>
        </w:rPr>
        <w:tab/>
      </w:r>
      <w:r>
        <w:rPr>
          <w:rFonts w:asciiTheme="minorEastAsia" w:hAnsiTheme="minorEastAsia" w:eastAsiaTheme="minorEastAsia"/>
          <w:color w:val="auto"/>
          <w:sz w:val="28"/>
          <w:szCs w:val="36"/>
          <w:highlight w:val="none"/>
        </w:rPr>
        <w:fldChar w:fldCharType="begin"/>
      </w:r>
      <w:r>
        <w:rPr>
          <w:rFonts w:asciiTheme="minorEastAsia" w:hAnsiTheme="minorEastAsia" w:eastAsiaTheme="minorEastAsia"/>
          <w:color w:val="auto"/>
          <w:sz w:val="28"/>
          <w:szCs w:val="36"/>
          <w:highlight w:val="none"/>
        </w:rPr>
        <w:instrText xml:space="preserve"> PAGEREF _Toc151675541 \h </w:instrText>
      </w:r>
      <w:r>
        <w:rPr>
          <w:rFonts w:asciiTheme="minorEastAsia" w:hAnsiTheme="minorEastAsia" w:eastAsiaTheme="minorEastAsia"/>
          <w:color w:val="auto"/>
          <w:sz w:val="28"/>
          <w:szCs w:val="36"/>
          <w:highlight w:val="none"/>
        </w:rPr>
        <w:fldChar w:fldCharType="separate"/>
      </w:r>
      <w:r>
        <w:rPr>
          <w:rFonts w:asciiTheme="minorEastAsia" w:hAnsiTheme="minorEastAsia" w:eastAsiaTheme="minorEastAsia"/>
          <w:color w:val="auto"/>
          <w:sz w:val="28"/>
          <w:szCs w:val="36"/>
          <w:highlight w:val="none"/>
        </w:rPr>
        <w:t>82</w:t>
      </w:r>
      <w:r>
        <w:rPr>
          <w:rFonts w:asciiTheme="minorEastAsia" w:hAnsiTheme="minorEastAsia" w:eastAsiaTheme="minorEastAsia"/>
          <w:color w:val="auto"/>
          <w:sz w:val="28"/>
          <w:szCs w:val="36"/>
          <w:highlight w:val="none"/>
        </w:rPr>
        <w:fldChar w:fldCharType="end"/>
      </w:r>
      <w:r>
        <w:rPr>
          <w:rFonts w:asciiTheme="minorEastAsia" w:hAnsiTheme="minorEastAsia" w:eastAsiaTheme="minorEastAsia"/>
          <w:color w:val="auto"/>
          <w:sz w:val="28"/>
          <w:szCs w:val="36"/>
          <w:highlight w:val="none"/>
        </w:rPr>
        <w:fldChar w:fldCharType="end"/>
      </w:r>
    </w:p>
    <w:p w14:paraId="35FDBE8B">
      <w:pPr>
        <w:pStyle w:val="29"/>
        <w:tabs>
          <w:tab w:val="right" w:leader="dot" w:pos="8931"/>
          <w:tab w:val="clear" w:pos="8296"/>
        </w:tabs>
        <w:snapToGrid w:val="0"/>
        <w:spacing w:line="500" w:lineRule="atLeast"/>
        <w:ind w:left="0" w:leftChars="0"/>
        <w:rPr>
          <w:rFonts w:ascii="宋体" w:hAnsi="宋体"/>
          <w:b/>
          <w:color w:val="auto"/>
          <w:sz w:val="24"/>
          <w:highlight w:val="none"/>
        </w:rPr>
      </w:pPr>
      <w:r>
        <w:rPr>
          <w:rFonts w:ascii="宋体" w:hAnsi="宋体"/>
          <w:b/>
          <w:color w:val="auto"/>
          <w:sz w:val="24"/>
          <w:highlight w:val="none"/>
        </w:rPr>
        <w:fldChar w:fldCharType="end"/>
      </w:r>
    </w:p>
    <w:p w14:paraId="582AE5FC">
      <w:pPr>
        <w:spacing w:line="400" w:lineRule="exact"/>
        <w:jc w:val="left"/>
        <w:rPr>
          <w:rFonts w:ascii="宋体" w:hAnsi="宋体"/>
          <w:b/>
          <w:color w:val="auto"/>
          <w:sz w:val="32"/>
          <w:szCs w:val="32"/>
          <w:highlight w:val="none"/>
        </w:rPr>
      </w:pPr>
    </w:p>
    <w:p w14:paraId="6F6EB43F">
      <w:pPr>
        <w:spacing w:line="400" w:lineRule="exact"/>
        <w:jc w:val="center"/>
        <w:rPr>
          <w:rFonts w:ascii="宋体" w:hAnsi="宋体"/>
          <w:b/>
          <w:color w:val="auto"/>
          <w:sz w:val="32"/>
          <w:szCs w:val="32"/>
          <w:highlight w:val="none"/>
        </w:rPr>
      </w:pPr>
    </w:p>
    <w:p w14:paraId="40FEC848">
      <w:pPr>
        <w:spacing w:line="400" w:lineRule="exact"/>
        <w:jc w:val="center"/>
        <w:rPr>
          <w:rFonts w:ascii="宋体" w:hAnsi="宋体"/>
          <w:b/>
          <w:color w:val="auto"/>
          <w:sz w:val="32"/>
          <w:szCs w:val="32"/>
          <w:highlight w:val="none"/>
        </w:rPr>
      </w:pPr>
    </w:p>
    <w:p w14:paraId="433EEA00">
      <w:pPr>
        <w:spacing w:line="400" w:lineRule="exact"/>
        <w:jc w:val="center"/>
        <w:rPr>
          <w:rFonts w:ascii="宋体" w:hAnsi="宋体"/>
          <w:b/>
          <w:color w:val="auto"/>
          <w:sz w:val="32"/>
          <w:szCs w:val="32"/>
          <w:highlight w:val="none"/>
        </w:rPr>
      </w:pPr>
    </w:p>
    <w:p w14:paraId="182FC910">
      <w:pPr>
        <w:spacing w:line="400" w:lineRule="exact"/>
        <w:jc w:val="center"/>
        <w:rPr>
          <w:rFonts w:ascii="宋体" w:hAnsi="宋体"/>
          <w:b/>
          <w:color w:val="auto"/>
          <w:sz w:val="32"/>
          <w:szCs w:val="32"/>
          <w:highlight w:val="none"/>
        </w:rPr>
      </w:pPr>
    </w:p>
    <w:p w14:paraId="481E558B">
      <w:pPr>
        <w:spacing w:line="400" w:lineRule="exact"/>
        <w:rPr>
          <w:rFonts w:ascii="宋体" w:hAnsi="宋体"/>
          <w:b/>
          <w:color w:val="auto"/>
          <w:sz w:val="32"/>
          <w:szCs w:val="32"/>
          <w:highlight w:val="none"/>
        </w:rPr>
        <w:sectPr>
          <w:headerReference r:id="rId4" w:type="first"/>
          <w:footerReference r:id="rId6" w:type="first"/>
          <w:headerReference r:id="rId3" w:type="default"/>
          <w:footerReference r:id="rId5" w:type="default"/>
          <w:pgSz w:w="11906" w:h="16838"/>
          <w:pgMar w:top="1440" w:right="1080" w:bottom="1440" w:left="1080" w:header="851" w:footer="992" w:gutter="0"/>
          <w:pgNumType w:start="0"/>
          <w:cols w:space="720" w:num="1"/>
          <w:titlePg/>
          <w:docGrid w:type="lines" w:linePitch="312" w:charSpace="0"/>
        </w:sectPr>
      </w:pPr>
    </w:p>
    <w:p w14:paraId="4AE70AEC">
      <w:pPr>
        <w:pStyle w:val="3"/>
        <w:jc w:val="center"/>
        <w:rPr>
          <w:rFonts w:ascii="宋体" w:hAnsi="宋体"/>
          <w:color w:val="auto"/>
          <w:szCs w:val="21"/>
          <w:highlight w:val="none"/>
        </w:rPr>
      </w:pPr>
      <w:bookmarkStart w:id="0" w:name="_Toc151675536"/>
      <w:r>
        <w:rPr>
          <w:rFonts w:hint="eastAsia"/>
          <w:color w:val="auto"/>
          <w:highlight w:val="none"/>
        </w:rPr>
        <w:t xml:space="preserve">第一章 </w:t>
      </w:r>
      <w:r>
        <w:rPr>
          <w:color w:val="auto"/>
          <w:highlight w:val="none"/>
        </w:rPr>
        <w:t xml:space="preserve"> </w:t>
      </w:r>
      <w:r>
        <w:rPr>
          <w:rFonts w:hint="eastAsia"/>
          <w:color w:val="auto"/>
          <w:highlight w:val="none"/>
        </w:rPr>
        <w:t>竞争性磋商公告</w:t>
      </w:r>
      <w:bookmarkEnd w:id="0"/>
    </w:p>
    <w:p w14:paraId="25B7E560">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bookmarkStart w:id="1" w:name="_Hlk37430271"/>
      <w:r>
        <w:rPr>
          <w:rFonts w:hint="eastAsia" w:ascii="宋体" w:hAnsi="宋体"/>
          <w:color w:val="auto"/>
          <w:szCs w:val="21"/>
          <w:highlight w:val="none"/>
        </w:rPr>
        <w:t>项目概况</w:t>
      </w:r>
    </w:p>
    <w:p w14:paraId="5FD07135">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lang w:eastAsia="zh-CN"/>
        </w:rPr>
        <w:t>2025年广西艺术作品展览服务项目</w:t>
      </w:r>
      <w:r>
        <w:rPr>
          <w:rFonts w:hint="eastAsia" w:ascii="宋体" w:hAnsi="宋体"/>
          <w:color w:val="auto"/>
          <w:szCs w:val="21"/>
          <w:highlight w:val="none"/>
        </w:rPr>
        <w:t>的潜在供应商应在广西政府采购云平台（https://www.gcy.zfcg.gxzf.gov.cn/）获取（下载）竞争性磋商文件，并于</w:t>
      </w:r>
      <w:r>
        <w:rPr>
          <w:rFonts w:hint="eastAsia" w:ascii="宋体" w:hAnsi="宋体"/>
          <w:color w:val="auto"/>
          <w:szCs w:val="21"/>
          <w:highlight w:val="none"/>
          <w:lang w:eastAsia="zh-CN"/>
        </w:rPr>
        <w:t>2025年</w:t>
      </w:r>
      <w:r>
        <w:rPr>
          <w:rFonts w:hint="eastAsia" w:ascii="宋体" w:hAnsi="宋体"/>
          <w:color w:val="auto"/>
          <w:szCs w:val="21"/>
          <w:highlight w:val="none"/>
          <w:lang w:val="en-US" w:eastAsia="zh-CN"/>
        </w:rPr>
        <w:t>8</w:t>
      </w:r>
      <w:r>
        <w:rPr>
          <w:rFonts w:hint="eastAsia" w:ascii="宋体" w:hAnsi="宋体"/>
          <w:color w:val="auto"/>
          <w:szCs w:val="21"/>
          <w:highlight w:val="none"/>
          <w:lang w:eastAsia="zh-CN"/>
        </w:rPr>
        <w:t>月</w:t>
      </w:r>
      <w:r>
        <w:rPr>
          <w:rFonts w:hint="eastAsia" w:ascii="宋体" w:hAnsi="宋体"/>
          <w:color w:val="auto"/>
          <w:szCs w:val="21"/>
          <w:highlight w:val="none"/>
          <w:lang w:val="en-US" w:eastAsia="zh-CN"/>
        </w:rPr>
        <w:t>27</w:t>
      </w:r>
      <w:r>
        <w:rPr>
          <w:rFonts w:hint="eastAsia" w:ascii="宋体" w:hAnsi="宋体"/>
          <w:color w:val="auto"/>
          <w:szCs w:val="21"/>
          <w:highlight w:val="none"/>
          <w:lang w:eastAsia="zh-CN"/>
        </w:rPr>
        <w:t>日</w:t>
      </w:r>
      <w:r>
        <w:rPr>
          <w:rFonts w:hint="eastAsia" w:ascii="宋体" w:hAnsi="宋体"/>
          <w:color w:val="auto"/>
          <w:szCs w:val="21"/>
          <w:highlight w:val="none"/>
          <w:lang w:val="en-US" w:eastAsia="zh-CN"/>
        </w:rPr>
        <w:t>09</w:t>
      </w:r>
      <w:r>
        <w:rPr>
          <w:rFonts w:hint="eastAsia" w:ascii="宋体" w:hAnsi="宋体"/>
          <w:color w:val="auto"/>
          <w:szCs w:val="21"/>
          <w:highlight w:val="none"/>
          <w:lang w:eastAsia="zh-CN"/>
        </w:rPr>
        <w:t>时</w:t>
      </w:r>
      <w:r>
        <w:rPr>
          <w:rFonts w:hint="eastAsia" w:ascii="宋体" w:hAnsi="宋体"/>
          <w:color w:val="auto"/>
          <w:szCs w:val="21"/>
          <w:highlight w:val="none"/>
          <w:lang w:val="en-US" w:eastAsia="zh-CN"/>
        </w:rPr>
        <w:t>30</w:t>
      </w:r>
      <w:r>
        <w:rPr>
          <w:rFonts w:hint="eastAsia" w:ascii="宋体" w:hAnsi="宋体"/>
          <w:color w:val="auto"/>
          <w:szCs w:val="21"/>
          <w:highlight w:val="none"/>
          <w:lang w:eastAsia="zh-CN"/>
        </w:rPr>
        <w:t>分</w:t>
      </w:r>
      <w:r>
        <w:rPr>
          <w:rFonts w:hint="eastAsia" w:ascii="宋体" w:hAnsi="宋体"/>
          <w:bCs/>
          <w:color w:val="auto"/>
          <w:szCs w:val="21"/>
          <w:highlight w:val="none"/>
        </w:rPr>
        <w:t>（北京时间）前提交（上传）</w:t>
      </w:r>
      <w:r>
        <w:rPr>
          <w:rFonts w:hint="eastAsia" w:ascii="宋体" w:hAnsi="宋体"/>
          <w:color w:val="auto"/>
          <w:szCs w:val="21"/>
          <w:highlight w:val="none"/>
        </w:rPr>
        <w:t>响应</w:t>
      </w:r>
      <w:r>
        <w:rPr>
          <w:rFonts w:hint="eastAsia" w:ascii="宋体" w:hAnsi="宋体"/>
          <w:bCs/>
          <w:color w:val="auto"/>
          <w:szCs w:val="21"/>
          <w:highlight w:val="none"/>
        </w:rPr>
        <w:t>文件</w:t>
      </w:r>
      <w:r>
        <w:rPr>
          <w:rFonts w:hint="eastAsia" w:ascii="宋体" w:hAnsi="宋体"/>
          <w:color w:val="auto"/>
          <w:szCs w:val="21"/>
          <w:highlight w:val="none"/>
        </w:rPr>
        <w:t>。</w:t>
      </w:r>
    </w:p>
    <w:p w14:paraId="41EDB5E1">
      <w:pPr>
        <w:ind w:firstLine="354" w:firstLineChars="147"/>
        <w:rPr>
          <w:rFonts w:ascii="黑体" w:hAnsi="黑体" w:eastAsia="黑体"/>
          <w:b/>
          <w:color w:val="auto"/>
          <w:sz w:val="24"/>
          <w:highlight w:val="none"/>
        </w:rPr>
      </w:pPr>
      <w:bookmarkStart w:id="2" w:name="_Toc71365905"/>
      <w:bookmarkStart w:id="3" w:name="_Toc28359089"/>
      <w:bookmarkStart w:id="4" w:name="_Toc35393798"/>
      <w:bookmarkStart w:id="5" w:name="_Toc44229878"/>
      <w:bookmarkStart w:id="6" w:name="_Toc28359012"/>
      <w:bookmarkStart w:id="7" w:name="_Toc35393629"/>
      <w:r>
        <w:rPr>
          <w:rFonts w:hint="eastAsia" w:ascii="黑体" w:hAnsi="黑体" w:eastAsia="黑体"/>
          <w:b/>
          <w:color w:val="auto"/>
          <w:sz w:val="24"/>
          <w:highlight w:val="none"/>
        </w:rPr>
        <w:t>一、项目基本情况</w:t>
      </w:r>
      <w:bookmarkEnd w:id="2"/>
      <w:bookmarkEnd w:id="3"/>
      <w:bookmarkEnd w:id="4"/>
      <w:bookmarkEnd w:id="5"/>
      <w:bookmarkEnd w:id="6"/>
      <w:bookmarkEnd w:id="7"/>
    </w:p>
    <w:p w14:paraId="62C10F53">
      <w:pPr>
        <w:spacing w:line="360" w:lineRule="auto"/>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GXZC2025-C3-002401-GXJL</w:t>
      </w:r>
    </w:p>
    <w:p w14:paraId="34A6564E">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政府采购计划编号：</w:t>
      </w:r>
      <w:r>
        <w:rPr>
          <w:rFonts w:hint="eastAsia" w:ascii="宋体" w:hAnsi="宋体"/>
          <w:color w:val="auto"/>
          <w:szCs w:val="21"/>
          <w:highlight w:val="none"/>
          <w:lang w:eastAsia="zh-CN"/>
        </w:rPr>
        <w:t>广西政采[2025]14800号</w:t>
      </w:r>
    </w:p>
    <w:p w14:paraId="59094568">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2025年广西艺术作品展览服务项目</w:t>
      </w:r>
    </w:p>
    <w:p w14:paraId="3640738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采购方式：竞争性磋商</w:t>
      </w:r>
    </w:p>
    <w:p w14:paraId="70111460">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预算总金额（元）：</w:t>
      </w:r>
      <w:r>
        <w:rPr>
          <w:rFonts w:hint="eastAsia" w:ascii="宋体" w:hAnsi="宋体"/>
          <w:color w:val="auto"/>
          <w:szCs w:val="21"/>
          <w:highlight w:val="none"/>
          <w:lang w:val="en-US" w:eastAsia="zh-CN"/>
        </w:rPr>
        <w:t>1049670.00</w:t>
      </w:r>
    </w:p>
    <w:p w14:paraId="3A8B9BB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采购需求：</w:t>
      </w:r>
    </w:p>
    <w:p w14:paraId="6BD4FE1A">
      <w:pPr>
        <w:spacing w:line="360" w:lineRule="exact"/>
        <w:ind w:left="420" w:leftChars="200"/>
        <w:rPr>
          <w:rFonts w:ascii="宋体" w:hAnsi="宋体"/>
          <w:color w:val="auto"/>
          <w:szCs w:val="21"/>
          <w:highlight w:val="none"/>
        </w:rPr>
      </w:pPr>
    </w:p>
    <w:p w14:paraId="13E72F3F">
      <w:pPr>
        <w:spacing w:line="360" w:lineRule="exact"/>
        <w:ind w:left="420" w:leftChars="200"/>
        <w:rPr>
          <w:rFonts w:ascii="宋体" w:hAnsi="宋体"/>
          <w:color w:val="auto"/>
          <w:szCs w:val="21"/>
          <w:highlight w:val="none"/>
        </w:rPr>
      </w:pPr>
      <w:r>
        <w:rPr>
          <w:rFonts w:hint="eastAsia" w:ascii="宋体" w:hAnsi="宋体"/>
          <w:color w:val="auto"/>
          <w:szCs w:val="21"/>
          <w:highlight w:val="none"/>
        </w:rPr>
        <w:t>标项一</w:t>
      </w:r>
      <w:r>
        <w:rPr>
          <w:rFonts w:hint="eastAsia" w:ascii="宋体" w:hAnsi="宋体"/>
          <w:color w:val="auto"/>
          <w:szCs w:val="21"/>
          <w:highlight w:val="none"/>
        </w:rPr>
        <w:br w:type="textWrapping"/>
      </w:r>
      <w:r>
        <w:rPr>
          <w:rFonts w:hint="eastAsia" w:ascii="宋体" w:hAnsi="宋体"/>
          <w:color w:val="auto"/>
          <w:szCs w:val="21"/>
          <w:highlight w:val="none"/>
        </w:rPr>
        <w:t>标项名称:</w:t>
      </w:r>
      <w:r>
        <w:rPr>
          <w:rFonts w:hint="eastAsia" w:ascii="宋体" w:hAnsi="宋体"/>
          <w:color w:val="auto"/>
          <w:szCs w:val="21"/>
          <w:highlight w:val="none"/>
          <w:lang w:eastAsia="zh-CN"/>
        </w:rPr>
        <w:t>2025广西艺术作品展览——第十三届美术作品展览</w:t>
      </w:r>
      <w:r>
        <w:rPr>
          <w:rFonts w:hint="eastAsia" w:ascii="宋体" w:hAnsi="宋体"/>
          <w:color w:val="auto"/>
          <w:szCs w:val="21"/>
          <w:highlight w:val="none"/>
        </w:rPr>
        <w:br w:type="textWrapping"/>
      </w:r>
      <w:r>
        <w:rPr>
          <w:rFonts w:hint="eastAsia" w:ascii="宋体" w:hAnsi="宋体"/>
          <w:color w:val="auto"/>
          <w:szCs w:val="21"/>
          <w:highlight w:val="none"/>
        </w:rPr>
        <w:t>数量:1</w:t>
      </w:r>
      <w:r>
        <w:rPr>
          <w:rFonts w:hint="eastAsia" w:ascii="宋体" w:hAnsi="宋体"/>
          <w:color w:val="auto"/>
          <w:szCs w:val="21"/>
          <w:highlight w:val="none"/>
        </w:rPr>
        <w:br w:type="textWrapping"/>
      </w:r>
      <w:r>
        <w:rPr>
          <w:rFonts w:hint="eastAsia" w:ascii="宋体" w:hAnsi="宋体"/>
          <w:color w:val="auto"/>
          <w:szCs w:val="21"/>
          <w:highlight w:val="none"/>
        </w:rPr>
        <w:t>预算金额（元）：</w:t>
      </w:r>
      <w:r>
        <w:rPr>
          <w:rFonts w:hint="eastAsia" w:ascii="宋体" w:hAnsi="宋体"/>
          <w:color w:val="auto"/>
          <w:szCs w:val="21"/>
          <w:highlight w:val="none"/>
          <w:lang w:val="en-US" w:eastAsia="zh-CN"/>
        </w:rPr>
        <w:t>332770.00</w:t>
      </w:r>
      <w:r>
        <w:rPr>
          <w:rFonts w:hint="eastAsia" w:ascii="宋体" w:hAnsi="宋体"/>
          <w:color w:val="auto"/>
          <w:szCs w:val="21"/>
          <w:highlight w:val="none"/>
        </w:rPr>
        <w:br w:type="textWrapping"/>
      </w:r>
      <w:r>
        <w:rPr>
          <w:rFonts w:hint="eastAsia" w:ascii="宋体" w:hAnsi="宋体"/>
          <w:color w:val="auto"/>
          <w:szCs w:val="21"/>
          <w:highlight w:val="none"/>
        </w:rPr>
        <w:t>简要规格描述或项目基本概况介绍、用途：</w:t>
      </w:r>
      <w:r>
        <w:rPr>
          <w:rFonts w:hint="eastAsia" w:ascii="宋体" w:hAnsi="宋体"/>
          <w:color w:val="auto"/>
          <w:szCs w:val="21"/>
          <w:highlight w:val="none"/>
          <w:lang w:val="en-US" w:eastAsia="zh-CN"/>
        </w:rPr>
        <w:t>2025广西艺术作品展览——第十三届美术作品展览</w:t>
      </w:r>
      <w:r>
        <w:rPr>
          <w:rFonts w:hint="eastAsia" w:ascii="宋体" w:hAnsi="宋体"/>
          <w:color w:val="auto"/>
          <w:szCs w:val="21"/>
          <w:highlight w:val="none"/>
        </w:rPr>
        <w:t>。具体详见采购文件。</w:t>
      </w:r>
    </w:p>
    <w:p w14:paraId="7E95AB95">
      <w:pPr>
        <w:spacing w:line="360" w:lineRule="exact"/>
        <w:ind w:firstLine="420" w:firstLineChars="200"/>
        <w:rPr>
          <w:rFonts w:hint="default" w:ascii="宋体" w:hAnsi="宋体"/>
          <w:color w:val="auto"/>
          <w:szCs w:val="21"/>
          <w:highlight w:val="none"/>
          <w:lang w:val="en-US"/>
        </w:rPr>
      </w:pPr>
      <w:r>
        <w:rPr>
          <w:rFonts w:hint="eastAsia" w:ascii="宋体" w:hAnsi="宋体"/>
          <w:color w:val="auto"/>
          <w:szCs w:val="21"/>
          <w:highlight w:val="none"/>
        </w:rPr>
        <w:t>最高限价（如有）：</w:t>
      </w:r>
      <w:r>
        <w:rPr>
          <w:rFonts w:hint="eastAsia" w:ascii="宋体" w:hAnsi="宋体"/>
          <w:color w:val="auto"/>
          <w:szCs w:val="21"/>
          <w:highlight w:val="none"/>
          <w:lang w:val="en-US" w:eastAsia="zh-CN"/>
        </w:rPr>
        <w:t>332770.00元</w:t>
      </w:r>
    </w:p>
    <w:p w14:paraId="5CA58B2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合同履约期限：签订合同之日起至202</w:t>
      </w:r>
      <w:r>
        <w:rPr>
          <w:rFonts w:hint="eastAsia" w:ascii="宋体" w:hAnsi="宋体"/>
          <w:color w:val="auto"/>
          <w:szCs w:val="21"/>
          <w:highlight w:val="none"/>
          <w:lang w:val="en-US" w:eastAsia="zh-CN"/>
        </w:rPr>
        <w:t>5</w:t>
      </w:r>
      <w:r>
        <w:rPr>
          <w:rFonts w:hint="eastAsia" w:ascii="宋体" w:hAnsi="宋体"/>
          <w:color w:val="auto"/>
          <w:szCs w:val="21"/>
          <w:highlight w:val="none"/>
        </w:rPr>
        <w:t>广西艺术作品展——第十</w:t>
      </w:r>
      <w:r>
        <w:rPr>
          <w:rFonts w:hint="eastAsia" w:ascii="宋体" w:hAnsi="宋体"/>
          <w:color w:val="auto"/>
          <w:szCs w:val="21"/>
          <w:highlight w:val="none"/>
          <w:lang w:eastAsia="zh-CN"/>
        </w:rPr>
        <w:t>三</w:t>
      </w:r>
      <w:r>
        <w:rPr>
          <w:rFonts w:hint="eastAsia" w:ascii="宋体" w:hAnsi="宋体"/>
          <w:color w:val="auto"/>
          <w:szCs w:val="21"/>
          <w:highlight w:val="none"/>
        </w:rPr>
        <w:t>届广西</w:t>
      </w:r>
      <w:r>
        <w:rPr>
          <w:rFonts w:hint="eastAsia" w:ascii="宋体" w:hAnsi="宋体"/>
          <w:color w:val="auto"/>
          <w:szCs w:val="21"/>
          <w:highlight w:val="none"/>
          <w:lang w:eastAsia="zh-CN"/>
        </w:rPr>
        <w:t>美术</w:t>
      </w:r>
      <w:r>
        <w:rPr>
          <w:rFonts w:hint="eastAsia" w:ascii="宋体" w:hAnsi="宋体"/>
          <w:color w:val="auto"/>
          <w:szCs w:val="21"/>
          <w:highlight w:val="none"/>
        </w:rPr>
        <w:t>作品展</w:t>
      </w:r>
      <w:r>
        <w:rPr>
          <w:rFonts w:hint="eastAsia" w:ascii="宋体" w:hAnsi="宋体"/>
          <w:color w:val="auto"/>
          <w:szCs w:val="21"/>
          <w:highlight w:val="none"/>
          <w:lang w:eastAsia="zh-CN"/>
        </w:rPr>
        <w:t>项目</w:t>
      </w:r>
      <w:r>
        <w:rPr>
          <w:rFonts w:hint="eastAsia" w:ascii="宋体" w:hAnsi="宋体"/>
          <w:color w:val="auto"/>
          <w:szCs w:val="21"/>
          <w:highlight w:val="none"/>
        </w:rPr>
        <w:t>结束并完成“服务内容及要求”载明的各项服务止。</w:t>
      </w:r>
    </w:p>
    <w:p w14:paraId="10A728FC">
      <w:pPr>
        <w:spacing w:line="360" w:lineRule="exact"/>
        <w:ind w:left="420" w:leftChars="200"/>
        <w:rPr>
          <w:rFonts w:ascii="宋体" w:hAnsi="宋体"/>
          <w:color w:val="auto"/>
          <w:szCs w:val="21"/>
          <w:highlight w:val="none"/>
        </w:rPr>
      </w:pPr>
      <w:r>
        <w:rPr>
          <w:rFonts w:hint="eastAsia" w:ascii="宋体" w:hAnsi="宋体"/>
          <w:color w:val="auto"/>
          <w:szCs w:val="21"/>
          <w:highlight w:val="none"/>
        </w:rPr>
        <w:t>本标项（否）接受联合体投标</w:t>
      </w:r>
      <w:r>
        <w:rPr>
          <w:rFonts w:hint="eastAsia" w:ascii="宋体" w:hAnsi="宋体"/>
          <w:color w:val="auto"/>
          <w:szCs w:val="21"/>
          <w:highlight w:val="none"/>
        </w:rPr>
        <w:br w:type="textWrapping"/>
      </w:r>
      <w:r>
        <w:rPr>
          <w:rFonts w:hint="eastAsia" w:ascii="宋体" w:hAnsi="宋体"/>
          <w:color w:val="auto"/>
          <w:szCs w:val="21"/>
          <w:highlight w:val="none"/>
        </w:rPr>
        <w:t>备注：/</w:t>
      </w:r>
    </w:p>
    <w:p w14:paraId="33967C60">
      <w:pPr>
        <w:spacing w:line="360" w:lineRule="exact"/>
        <w:ind w:firstLine="420" w:firstLineChars="200"/>
        <w:rPr>
          <w:rFonts w:ascii="宋体" w:hAnsi="宋体"/>
          <w:color w:val="auto"/>
          <w:szCs w:val="21"/>
          <w:highlight w:val="none"/>
        </w:rPr>
      </w:pPr>
    </w:p>
    <w:p w14:paraId="6BFE496D">
      <w:pPr>
        <w:spacing w:line="360" w:lineRule="exact"/>
        <w:ind w:left="420" w:leftChars="200"/>
        <w:rPr>
          <w:rFonts w:ascii="宋体" w:hAnsi="宋体"/>
          <w:color w:val="auto"/>
          <w:szCs w:val="21"/>
          <w:highlight w:val="none"/>
        </w:rPr>
      </w:pPr>
      <w:r>
        <w:rPr>
          <w:rFonts w:hint="eastAsia" w:ascii="宋体" w:hAnsi="宋体"/>
          <w:color w:val="auto"/>
          <w:szCs w:val="21"/>
          <w:highlight w:val="none"/>
        </w:rPr>
        <w:t>标项二</w:t>
      </w:r>
      <w:r>
        <w:rPr>
          <w:rFonts w:hint="eastAsia" w:ascii="宋体" w:hAnsi="宋体"/>
          <w:color w:val="auto"/>
          <w:szCs w:val="21"/>
          <w:highlight w:val="none"/>
        </w:rPr>
        <w:br w:type="textWrapping"/>
      </w:r>
      <w:r>
        <w:rPr>
          <w:rFonts w:hint="eastAsia" w:ascii="宋体" w:hAnsi="宋体"/>
          <w:color w:val="auto"/>
          <w:szCs w:val="21"/>
          <w:highlight w:val="none"/>
        </w:rPr>
        <w:t>标项名称:</w:t>
      </w:r>
      <w:r>
        <w:rPr>
          <w:rFonts w:hint="eastAsia" w:ascii="宋体" w:hAnsi="宋体"/>
          <w:color w:val="auto"/>
          <w:szCs w:val="21"/>
          <w:highlight w:val="none"/>
          <w:lang w:eastAsia="zh-CN"/>
        </w:rPr>
        <w:t>2025年广西艺术作品展览图书出版服务</w:t>
      </w:r>
      <w:r>
        <w:rPr>
          <w:rFonts w:hint="eastAsia" w:ascii="宋体" w:hAnsi="宋体"/>
          <w:color w:val="auto"/>
          <w:szCs w:val="21"/>
          <w:highlight w:val="none"/>
        </w:rPr>
        <w:br w:type="textWrapping"/>
      </w:r>
      <w:r>
        <w:rPr>
          <w:rFonts w:hint="eastAsia" w:ascii="宋体" w:hAnsi="宋体"/>
          <w:color w:val="auto"/>
          <w:szCs w:val="21"/>
          <w:highlight w:val="none"/>
        </w:rPr>
        <w:t>数量:1</w:t>
      </w:r>
      <w:r>
        <w:rPr>
          <w:rFonts w:hint="eastAsia" w:ascii="宋体" w:hAnsi="宋体"/>
          <w:color w:val="auto"/>
          <w:szCs w:val="21"/>
          <w:highlight w:val="none"/>
        </w:rPr>
        <w:br w:type="textWrapping"/>
      </w:r>
      <w:r>
        <w:rPr>
          <w:rFonts w:hint="eastAsia" w:ascii="宋体" w:hAnsi="宋体"/>
          <w:color w:val="auto"/>
          <w:szCs w:val="21"/>
          <w:highlight w:val="none"/>
        </w:rPr>
        <w:t>预算金额（元）：</w:t>
      </w:r>
      <w:r>
        <w:rPr>
          <w:rFonts w:hint="eastAsia" w:ascii="宋体" w:hAnsi="宋体"/>
          <w:color w:val="auto"/>
          <w:szCs w:val="21"/>
          <w:highlight w:val="none"/>
          <w:lang w:val="en-US" w:eastAsia="zh-CN"/>
        </w:rPr>
        <w:t>300000.00</w:t>
      </w:r>
      <w:r>
        <w:rPr>
          <w:rFonts w:hint="eastAsia" w:ascii="宋体" w:hAnsi="宋体"/>
          <w:color w:val="auto"/>
          <w:szCs w:val="21"/>
          <w:highlight w:val="none"/>
        </w:rPr>
        <w:br w:type="textWrapping"/>
      </w:r>
      <w:r>
        <w:rPr>
          <w:rFonts w:hint="eastAsia" w:ascii="宋体" w:hAnsi="宋体"/>
          <w:color w:val="auto"/>
          <w:szCs w:val="21"/>
          <w:highlight w:val="none"/>
        </w:rPr>
        <w:t>简要规格描述或项目基本概况介绍、用途：2025年广西艺术作品展览图书出版服务</w:t>
      </w:r>
      <w:r>
        <w:rPr>
          <w:rFonts w:hint="eastAsia" w:ascii="宋体" w:hAnsi="宋体"/>
          <w:color w:val="auto"/>
          <w:szCs w:val="21"/>
          <w:highlight w:val="none"/>
          <w:lang w:eastAsia="zh-CN"/>
        </w:rPr>
        <w:t>，</w:t>
      </w:r>
      <w:r>
        <w:rPr>
          <w:rFonts w:hint="eastAsia" w:ascii="宋体" w:hAnsi="宋体"/>
          <w:color w:val="auto"/>
          <w:szCs w:val="21"/>
          <w:highlight w:val="none"/>
        </w:rPr>
        <w:t>具体详见采购文件。</w:t>
      </w:r>
    </w:p>
    <w:p w14:paraId="2A7BA2BC">
      <w:pPr>
        <w:spacing w:line="360" w:lineRule="exact"/>
        <w:ind w:firstLine="420" w:firstLineChars="200"/>
        <w:rPr>
          <w:rFonts w:hint="default" w:ascii="宋体" w:hAnsi="宋体"/>
          <w:color w:val="auto"/>
          <w:szCs w:val="21"/>
          <w:highlight w:val="none"/>
          <w:lang w:val="en-US"/>
        </w:rPr>
      </w:pPr>
      <w:r>
        <w:rPr>
          <w:rFonts w:hint="eastAsia" w:ascii="宋体" w:hAnsi="宋体"/>
          <w:color w:val="auto"/>
          <w:szCs w:val="21"/>
          <w:highlight w:val="none"/>
        </w:rPr>
        <w:t>最高限价（如有）：</w:t>
      </w:r>
      <w:r>
        <w:rPr>
          <w:rFonts w:hint="eastAsia" w:ascii="宋体" w:hAnsi="宋体"/>
          <w:color w:val="auto"/>
          <w:szCs w:val="21"/>
          <w:highlight w:val="none"/>
          <w:lang w:val="en-US" w:eastAsia="zh-CN"/>
        </w:rPr>
        <w:t>300000.00元</w:t>
      </w:r>
    </w:p>
    <w:p w14:paraId="69706B7C">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合同履约期限：自合同签订之日起开始实施服务，截至本项目所有图书均出版发行并完成所有寄送服务为止。</w:t>
      </w:r>
    </w:p>
    <w:p w14:paraId="1221EB39">
      <w:pPr>
        <w:spacing w:line="360" w:lineRule="exact"/>
        <w:ind w:left="420" w:leftChars="200"/>
        <w:rPr>
          <w:rFonts w:ascii="宋体" w:hAnsi="宋体"/>
          <w:color w:val="auto"/>
          <w:szCs w:val="21"/>
          <w:highlight w:val="none"/>
        </w:rPr>
      </w:pPr>
      <w:r>
        <w:rPr>
          <w:rFonts w:hint="eastAsia" w:ascii="宋体" w:hAnsi="宋体"/>
          <w:color w:val="auto"/>
          <w:szCs w:val="21"/>
          <w:highlight w:val="none"/>
        </w:rPr>
        <w:t>本标项（否）接受联合体投标</w:t>
      </w:r>
      <w:r>
        <w:rPr>
          <w:rFonts w:hint="eastAsia" w:ascii="宋体" w:hAnsi="宋体"/>
          <w:color w:val="auto"/>
          <w:szCs w:val="21"/>
          <w:highlight w:val="none"/>
        </w:rPr>
        <w:br w:type="textWrapping"/>
      </w:r>
      <w:r>
        <w:rPr>
          <w:rFonts w:hint="eastAsia" w:ascii="宋体" w:hAnsi="宋体"/>
          <w:color w:val="auto"/>
          <w:szCs w:val="21"/>
          <w:highlight w:val="none"/>
        </w:rPr>
        <w:t>备注：/</w:t>
      </w:r>
    </w:p>
    <w:p w14:paraId="0D7A7691">
      <w:pPr>
        <w:spacing w:line="360" w:lineRule="exact"/>
        <w:ind w:left="420" w:leftChars="200"/>
        <w:rPr>
          <w:rFonts w:ascii="宋体" w:hAnsi="宋体"/>
          <w:color w:val="auto"/>
          <w:szCs w:val="21"/>
          <w:highlight w:val="none"/>
        </w:rPr>
      </w:pPr>
    </w:p>
    <w:p w14:paraId="1072CE08">
      <w:pPr>
        <w:spacing w:line="360" w:lineRule="exact"/>
        <w:ind w:left="420" w:leftChars="200"/>
        <w:rPr>
          <w:rFonts w:ascii="宋体" w:hAnsi="宋体"/>
          <w:color w:val="auto"/>
          <w:szCs w:val="21"/>
          <w:highlight w:val="none"/>
        </w:rPr>
      </w:pPr>
      <w:r>
        <w:rPr>
          <w:rFonts w:hint="eastAsia" w:ascii="宋体" w:hAnsi="宋体"/>
          <w:color w:val="auto"/>
          <w:szCs w:val="21"/>
          <w:highlight w:val="none"/>
        </w:rPr>
        <w:t>标项三</w:t>
      </w:r>
      <w:r>
        <w:rPr>
          <w:rFonts w:hint="eastAsia" w:ascii="宋体" w:hAnsi="宋体"/>
          <w:color w:val="auto"/>
          <w:szCs w:val="21"/>
          <w:highlight w:val="none"/>
        </w:rPr>
        <w:br w:type="textWrapping"/>
      </w:r>
      <w:r>
        <w:rPr>
          <w:rFonts w:hint="eastAsia" w:ascii="宋体" w:hAnsi="宋体"/>
          <w:color w:val="auto"/>
          <w:szCs w:val="21"/>
          <w:highlight w:val="none"/>
        </w:rPr>
        <w:t>标项名称:202</w:t>
      </w:r>
      <w:r>
        <w:rPr>
          <w:rFonts w:hint="eastAsia" w:ascii="宋体" w:hAnsi="宋体"/>
          <w:color w:val="auto"/>
          <w:szCs w:val="21"/>
          <w:highlight w:val="none"/>
          <w:lang w:val="en-US" w:eastAsia="zh-CN"/>
        </w:rPr>
        <w:t>5</w:t>
      </w:r>
      <w:r>
        <w:rPr>
          <w:rFonts w:hint="eastAsia" w:ascii="宋体" w:hAnsi="宋体"/>
          <w:color w:val="auto"/>
          <w:szCs w:val="21"/>
          <w:highlight w:val="none"/>
        </w:rPr>
        <w:t>广西艺术作品</w:t>
      </w:r>
      <w:r>
        <w:rPr>
          <w:rFonts w:hint="eastAsia" w:ascii="宋体" w:hAnsi="宋体"/>
          <w:color w:val="auto"/>
          <w:szCs w:val="21"/>
          <w:highlight w:val="none"/>
          <w:lang w:val="en-US" w:eastAsia="zh-CN"/>
        </w:rPr>
        <w:t>展览</w:t>
      </w:r>
      <w:r>
        <w:rPr>
          <w:rFonts w:hint="eastAsia" w:ascii="宋体" w:hAnsi="宋体"/>
          <w:color w:val="auto"/>
          <w:szCs w:val="21"/>
          <w:highlight w:val="none"/>
        </w:rPr>
        <w:t>——第十</w:t>
      </w:r>
      <w:r>
        <w:rPr>
          <w:rFonts w:hint="eastAsia" w:ascii="宋体" w:hAnsi="宋体"/>
          <w:color w:val="auto"/>
          <w:szCs w:val="21"/>
          <w:highlight w:val="none"/>
          <w:lang w:eastAsia="zh-CN"/>
        </w:rPr>
        <w:t>三</w:t>
      </w:r>
      <w:r>
        <w:rPr>
          <w:rFonts w:hint="eastAsia" w:ascii="宋体" w:hAnsi="宋体"/>
          <w:color w:val="auto"/>
          <w:szCs w:val="21"/>
          <w:highlight w:val="none"/>
        </w:rPr>
        <w:t>届广西书法篆刻作品展</w:t>
      </w:r>
      <w:r>
        <w:rPr>
          <w:rFonts w:hint="eastAsia" w:ascii="宋体" w:hAnsi="宋体"/>
          <w:color w:val="auto"/>
          <w:szCs w:val="21"/>
          <w:highlight w:val="none"/>
          <w:lang w:eastAsia="zh-CN"/>
        </w:rPr>
        <w:t>项目</w:t>
      </w:r>
      <w:r>
        <w:rPr>
          <w:rFonts w:hint="eastAsia" w:ascii="宋体" w:hAnsi="宋体"/>
          <w:color w:val="auto"/>
          <w:szCs w:val="21"/>
          <w:highlight w:val="none"/>
        </w:rPr>
        <w:t>运营服务</w:t>
      </w:r>
      <w:r>
        <w:rPr>
          <w:rFonts w:hint="eastAsia" w:ascii="宋体" w:hAnsi="宋体"/>
          <w:color w:val="auto"/>
          <w:szCs w:val="21"/>
          <w:highlight w:val="none"/>
        </w:rPr>
        <w:br w:type="textWrapping"/>
      </w:r>
      <w:r>
        <w:rPr>
          <w:rFonts w:hint="eastAsia" w:ascii="宋体" w:hAnsi="宋体"/>
          <w:color w:val="auto"/>
          <w:szCs w:val="21"/>
          <w:highlight w:val="none"/>
        </w:rPr>
        <w:t>数量:1</w:t>
      </w:r>
      <w:r>
        <w:rPr>
          <w:rFonts w:hint="eastAsia" w:ascii="宋体" w:hAnsi="宋体"/>
          <w:color w:val="auto"/>
          <w:szCs w:val="21"/>
          <w:highlight w:val="none"/>
        </w:rPr>
        <w:br w:type="textWrapping"/>
      </w:r>
      <w:r>
        <w:rPr>
          <w:rFonts w:hint="eastAsia" w:ascii="宋体" w:hAnsi="宋体"/>
          <w:color w:val="auto"/>
          <w:szCs w:val="21"/>
          <w:highlight w:val="none"/>
        </w:rPr>
        <w:t>预算金额（元）:</w:t>
      </w:r>
      <w:r>
        <w:rPr>
          <w:rFonts w:hint="eastAsia" w:ascii="宋体" w:hAnsi="宋体"/>
          <w:color w:val="auto"/>
          <w:szCs w:val="21"/>
          <w:highlight w:val="none"/>
          <w:lang w:val="en-US" w:eastAsia="zh-CN"/>
        </w:rPr>
        <w:t>265000.00</w:t>
      </w:r>
      <w:r>
        <w:rPr>
          <w:rFonts w:hint="eastAsia" w:ascii="宋体" w:hAnsi="宋体"/>
          <w:color w:val="auto"/>
          <w:szCs w:val="21"/>
          <w:highlight w:val="none"/>
        </w:rPr>
        <w:br w:type="textWrapping"/>
      </w:r>
      <w:r>
        <w:rPr>
          <w:rFonts w:hint="eastAsia" w:ascii="宋体" w:hAnsi="宋体"/>
          <w:color w:val="auto"/>
          <w:szCs w:val="21"/>
          <w:highlight w:val="none"/>
        </w:rPr>
        <w:t>简要规格描述或项目基本概况介绍、用途：202</w:t>
      </w:r>
      <w:r>
        <w:rPr>
          <w:rFonts w:hint="eastAsia" w:ascii="宋体" w:hAnsi="宋体"/>
          <w:color w:val="auto"/>
          <w:szCs w:val="21"/>
          <w:highlight w:val="none"/>
          <w:lang w:val="en-US" w:eastAsia="zh-CN"/>
        </w:rPr>
        <w:t>5</w:t>
      </w:r>
      <w:r>
        <w:rPr>
          <w:rFonts w:hint="eastAsia" w:ascii="宋体" w:hAnsi="宋体"/>
          <w:color w:val="auto"/>
          <w:szCs w:val="21"/>
          <w:highlight w:val="none"/>
        </w:rPr>
        <w:t>广西艺术作品</w:t>
      </w:r>
      <w:r>
        <w:rPr>
          <w:rFonts w:hint="eastAsia" w:ascii="宋体" w:hAnsi="宋体"/>
          <w:color w:val="auto"/>
          <w:szCs w:val="21"/>
          <w:highlight w:val="none"/>
          <w:lang w:val="en-US" w:eastAsia="zh-CN"/>
        </w:rPr>
        <w:t>展览</w:t>
      </w:r>
      <w:r>
        <w:rPr>
          <w:rFonts w:hint="eastAsia" w:ascii="宋体" w:hAnsi="宋体"/>
          <w:color w:val="auto"/>
          <w:szCs w:val="21"/>
          <w:highlight w:val="none"/>
        </w:rPr>
        <w:t>——第十</w:t>
      </w:r>
      <w:r>
        <w:rPr>
          <w:rFonts w:hint="eastAsia" w:ascii="宋体" w:hAnsi="宋体"/>
          <w:color w:val="auto"/>
          <w:szCs w:val="21"/>
          <w:highlight w:val="none"/>
          <w:lang w:eastAsia="zh-CN"/>
        </w:rPr>
        <w:t>三</w:t>
      </w:r>
      <w:r>
        <w:rPr>
          <w:rFonts w:hint="eastAsia" w:ascii="宋体" w:hAnsi="宋体"/>
          <w:color w:val="auto"/>
          <w:szCs w:val="21"/>
          <w:highlight w:val="none"/>
        </w:rPr>
        <w:t>届广西书法篆刻作品展</w:t>
      </w:r>
      <w:r>
        <w:rPr>
          <w:rFonts w:hint="eastAsia" w:ascii="宋体" w:hAnsi="宋体"/>
          <w:color w:val="auto"/>
          <w:szCs w:val="21"/>
          <w:highlight w:val="none"/>
          <w:lang w:eastAsia="zh-CN"/>
        </w:rPr>
        <w:t>项目</w:t>
      </w:r>
      <w:r>
        <w:rPr>
          <w:rFonts w:hint="eastAsia" w:ascii="宋体" w:hAnsi="宋体"/>
          <w:color w:val="auto"/>
          <w:szCs w:val="21"/>
          <w:highlight w:val="none"/>
        </w:rPr>
        <w:t>运营服务。具体详见采购文件。</w:t>
      </w:r>
    </w:p>
    <w:p w14:paraId="345CF23A">
      <w:pPr>
        <w:spacing w:line="360" w:lineRule="exact"/>
        <w:ind w:firstLine="420" w:firstLineChars="200"/>
        <w:rPr>
          <w:rFonts w:hint="default" w:ascii="宋体" w:hAnsi="宋体"/>
          <w:color w:val="auto"/>
          <w:szCs w:val="21"/>
          <w:highlight w:val="none"/>
          <w:lang w:val="en-US"/>
        </w:rPr>
      </w:pPr>
      <w:r>
        <w:rPr>
          <w:rFonts w:hint="eastAsia" w:ascii="宋体" w:hAnsi="宋体"/>
          <w:color w:val="auto"/>
          <w:szCs w:val="21"/>
          <w:highlight w:val="none"/>
        </w:rPr>
        <w:t>最高限价（如有）：</w:t>
      </w:r>
      <w:r>
        <w:rPr>
          <w:rFonts w:hint="eastAsia" w:ascii="宋体" w:hAnsi="宋体"/>
          <w:color w:val="auto"/>
          <w:szCs w:val="21"/>
          <w:highlight w:val="none"/>
          <w:lang w:val="en-US" w:eastAsia="zh-CN"/>
        </w:rPr>
        <w:t>265000.00元</w:t>
      </w:r>
    </w:p>
    <w:p w14:paraId="5577472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合同履约期限：签订合同之日起至202</w:t>
      </w:r>
      <w:r>
        <w:rPr>
          <w:rFonts w:hint="eastAsia" w:ascii="宋体" w:hAnsi="宋体"/>
          <w:color w:val="auto"/>
          <w:szCs w:val="21"/>
          <w:highlight w:val="none"/>
          <w:lang w:val="en-US" w:eastAsia="zh-CN"/>
        </w:rPr>
        <w:t>5</w:t>
      </w:r>
      <w:r>
        <w:rPr>
          <w:rFonts w:hint="eastAsia" w:ascii="宋体" w:hAnsi="宋体"/>
          <w:color w:val="auto"/>
          <w:szCs w:val="21"/>
          <w:highlight w:val="none"/>
        </w:rPr>
        <w:t>广西艺术作品展——第十</w:t>
      </w:r>
      <w:r>
        <w:rPr>
          <w:rFonts w:hint="eastAsia" w:ascii="宋体" w:hAnsi="宋体"/>
          <w:color w:val="auto"/>
          <w:szCs w:val="21"/>
          <w:highlight w:val="none"/>
          <w:lang w:eastAsia="zh-CN"/>
        </w:rPr>
        <w:t>三</w:t>
      </w:r>
      <w:r>
        <w:rPr>
          <w:rFonts w:hint="eastAsia" w:ascii="宋体" w:hAnsi="宋体"/>
          <w:color w:val="auto"/>
          <w:szCs w:val="21"/>
          <w:highlight w:val="none"/>
        </w:rPr>
        <w:t>届广西书法篆刻作品展</w:t>
      </w:r>
      <w:r>
        <w:rPr>
          <w:rFonts w:hint="eastAsia" w:ascii="宋体" w:hAnsi="宋体"/>
          <w:color w:val="auto"/>
          <w:szCs w:val="21"/>
          <w:highlight w:val="none"/>
          <w:lang w:eastAsia="zh-CN"/>
        </w:rPr>
        <w:t>项目</w:t>
      </w:r>
      <w:r>
        <w:rPr>
          <w:rFonts w:hint="eastAsia" w:ascii="宋体" w:hAnsi="宋体"/>
          <w:color w:val="auto"/>
          <w:szCs w:val="21"/>
          <w:highlight w:val="none"/>
        </w:rPr>
        <w:t>结束并完成“服务内容及要求”载明的各项服务止。</w:t>
      </w:r>
    </w:p>
    <w:p w14:paraId="2145C8E7">
      <w:pPr>
        <w:spacing w:line="360" w:lineRule="exact"/>
        <w:ind w:left="420" w:leftChars="200"/>
        <w:rPr>
          <w:rFonts w:ascii="宋体" w:hAnsi="宋体"/>
          <w:color w:val="auto"/>
          <w:szCs w:val="21"/>
          <w:highlight w:val="none"/>
        </w:rPr>
      </w:pPr>
      <w:r>
        <w:rPr>
          <w:rFonts w:hint="eastAsia" w:ascii="宋体" w:hAnsi="宋体"/>
          <w:color w:val="auto"/>
          <w:szCs w:val="21"/>
          <w:highlight w:val="none"/>
        </w:rPr>
        <w:t>本标项（否）接受联合体投标</w:t>
      </w:r>
      <w:r>
        <w:rPr>
          <w:rFonts w:hint="eastAsia" w:ascii="宋体" w:hAnsi="宋体"/>
          <w:color w:val="auto"/>
          <w:szCs w:val="21"/>
          <w:highlight w:val="none"/>
        </w:rPr>
        <w:br w:type="textWrapping"/>
      </w:r>
      <w:r>
        <w:rPr>
          <w:rFonts w:hint="eastAsia" w:ascii="宋体" w:hAnsi="宋体"/>
          <w:color w:val="auto"/>
          <w:szCs w:val="21"/>
          <w:highlight w:val="none"/>
        </w:rPr>
        <w:t>备注：/</w:t>
      </w:r>
    </w:p>
    <w:p w14:paraId="6BC2C0C2">
      <w:pPr>
        <w:spacing w:line="360" w:lineRule="exact"/>
        <w:ind w:left="420" w:leftChars="200"/>
        <w:rPr>
          <w:rFonts w:ascii="宋体" w:hAnsi="宋体"/>
          <w:color w:val="auto"/>
          <w:szCs w:val="21"/>
          <w:highlight w:val="none"/>
        </w:rPr>
      </w:pPr>
    </w:p>
    <w:p w14:paraId="2AF92B66">
      <w:pPr>
        <w:spacing w:line="360" w:lineRule="exact"/>
        <w:ind w:left="420" w:leftChars="200"/>
        <w:rPr>
          <w:rFonts w:ascii="宋体" w:hAnsi="宋体"/>
          <w:color w:val="auto"/>
          <w:szCs w:val="21"/>
          <w:highlight w:val="none"/>
        </w:rPr>
      </w:pPr>
      <w:r>
        <w:rPr>
          <w:rFonts w:hint="eastAsia" w:ascii="宋体" w:hAnsi="宋体"/>
          <w:color w:val="auto"/>
          <w:szCs w:val="21"/>
          <w:highlight w:val="none"/>
        </w:rPr>
        <w:t>标项</w:t>
      </w:r>
      <w:r>
        <w:rPr>
          <w:rFonts w:hint="eastAsia" w:ascii="宋体" w:hAnsi="宋体"/>
          <w:color w:val="auto"/>
          <w:szCs w:val="21"/>
          <w:highlight w:val="none"/>
          <w:lang w:val="en-US" w:eastAsia="zh-CN"/>
        </w:rPr>
        <w:t>四</w:t>
      </w:r>
      <w:r>
        <w:rPr>
          <w:rFonts w:hint="eastAsia" w:ascii="宋体" w:hAnsi="宋体"/>
          <w:color w:val="auto"/>
          <w:szCs w:val="21"/>
          <w:highlight w:val="none"/>
        </w:rPr>
        <w:br w:type="textWrapping"/>
      </w:r>
      <w:r>
        <w:rPr>
          <w:rFonts w:hint="eastAsia" w:ascii="宋体" w:hAnsi="宋体"/>
          <w:color w:val="auto"/>
          <w:szCs w:val="21"/>
          <w:highlight w:val="none"/>
        </w:rPr>
        <w:t>标项名称:202</w:t>
      </w:r>
      <w:r>
        <w:rPr>
          <w:rFonts w:hint="eastAsia" w:ascii="宋体" w:hAnsi="宋体"/>
          <w:color w:val="auto"/>
          <w:szCs w:val="21"/>
          <w:highlight w:val="none"/>
          <w:lang w:val="en-US" w:eastAsia="zh-CN"/>
        </w:rPr>
        <w:t>5</w:t>
      </w:r>
      <w:r>
        <w:rPr>
          <w:rFonts w:hint="eastAsia" w:ascii="宋体" w:hAnsi="宋体"/>
          <w:color w:val="auto"/>
          <w:szCs w:val="21"/>
          <w:highlight w:val="none"/>
        </w:rPr>
        <w:t>广西艺术作品展览——第</w:t>
      </w:r>
      <w:r>
        <w:rPr>
          <w:rFonts w:hint="eastAsia" w:ascii="宋体" w:hAnsi="宋体"/>
          <w:color w:val="auto"/>
          <w:szCs w:val="21"/>
          <w:highlight w:val="none"/>
          <w:lang w:val="en-US" w:eastAsia="zh-CN"/>
        </w:rPr>
        <w:t>八</w:t>
      </w:r>
      <w:r>
        <w:rPr>
          <w:rFonts w:hint="eastAsia" w:ascii="宋体" w:hAnsi="宋体"/>
          <w:color w:val="auto"/>
          <w:szCs w:val="21"/>
          <w:highlight w:val="none"/>
        </w:rPr>
        <w:t>届摄影作品展览</w:t>
      </w:r>
      <w:r>
        <w:rPr>
          <w:rFonts w:hint="eastAsia" w:ascii="宋体" w:hAnsi="宋体"/>
          <w:color w:val="auto"/>
          <w:szCs w:val="21"/>
          <w:highlight w:val="none"/>
        </w:rPr>
        <w:br w:type="textWrapping"/>
      </w:r>
      <w:r>
        <w:rPr>
          <w:rFonts w:hint="eastAsia" w:ascii="宋体" w:hAnsi="宋体"/>
          <w:color w:val="auto"/>
          <w:szCs w:val="21"/>
          <w:highlight w:val="none"/>
        </w:rPr>
        <w:t>数量:1</w:t>
      </w:r>
      <w:r>
        <w:rPr>
          <w:rFonts w:hint="eastAsia" w:ascii="宋体" w:hAnsi="宋体"/>
          <w:color w:val="auto"/>
          <w:szCs w:val="21"/>
          <w:highlight w:val="none"/>
        </w:rPr>
        <w:br w:type="textWrapping"/>
      </w:r>
      <w:r>
        <w:rPr>
          <w:rFonts w:hint="eastAsia" w:ascii="宋体" w:hAnsi="宋体"/>
          <w:color w:val="auto"/>
          <w:szCs w:val="21"/>
          <w:highlight w:val="none"/>
        </w:rPr>
        <w:t>预算金额（元）</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151900.00</w:t>
      </w:r>
      <w:r>
        <w:rPr>
          <w:rFonts w:hint="eastAsia" w:ascii="宋体" w:hAnsi="宋体"/>
          <w:color w:val="auto"/>
          <w:szCs w:val="21"/>
          <w:highlight w:val="none"/>
        </w:rPr>
        <w:br w:type="textWrapping"/>
      </w:r>
      <w:r>
        <w:rPr>
          <w:rFonts w:hint="eastAsia" w:ascii="宋体" w:hAnsi="宋体"/>
          <w:color w:val="auto"/>
          <w:szCs w:val="21"/>
          <w:highlight w:val="none"/>
        </w:rPr>
        <w:t>简要规格描述或项目基本概况介绍、用途：202</w:t>
      </w:r>
      <w:r>
        <w:rPr>
          <w:rFonts w:hint="eastAsia" w:ascii="宋体" w:hAnsi="宋体"/>
          <w:color w:val="auto"/>
          <w:szCs w:val="21"/>
          <w:highlight w:val="none"/>
          <w:lang w:val="en-US" w:eastAsia="zh-CN"/>
        </w:rPr>
        <w:t>5</w:t>
      </w:r>
      <w:r>
        <w:rPr>
          <w:rFonts w:hint="eastAsia" w:ascii="宋体" w:hAnsi="宋体"/>
          <w:color w:val="auto"/>
          <w:szCs w:val="21"/>
          <w:highlight w:val="none"/>
        </w:rPr>
        <w:t>广西艺术作品展览——第</w:t>
      </w:r>
      <w:r>
        <w:rPr>
          <w:rFonts w:hint="eastAsia" w:ascii="宋体" w:hAnsi="宋体"/>
          <w:color w:val="auto"/>
          <w:szCs w:val="21"/>
          <w:highlight w:val="none"/>
          <w:lang w:val="en-US" w:eastAsia="zh-CN"/>
        </w:rPr>
        <w:t>八</w:t>
      </w:r>
      <w:r>
        <w:rPr>
          <w:rFonts w:hint="eastAsia" w:ascii="宋体" w:hAnsi="宋体"/>
          <w:color w:val="auto"/>
          <w:szCs w:val="21"/>
          <w:highlight w:val="none"/>
        </w:rPr>
        <w:t>届摄影作品展览</w:t>
      </w:r>
      <w:r>
        <w:rPr>
          <w:rFonts w:hint="eastAsia" w:ascii="宋体" w:hAnsi="宋体"/>
          <w:color w:val="auto"/>
          <w:szCs w:val="21"/>
          <w:highlight w:val="none"/>
          <w:lang w:eastAsia="zh-CN"/>
        </w:rPr>
        <w:t>。</w:t>
      </w:r>
      <w:r>
        <w:rPr>
          <w:rFonts w:hint="eastAsia" w:ascii="宋体" w:hAnsi="宋体"/>
          <w:color w:val="auto"/>
          <w:szCs w:val="21"/>
          <w:highlight w:val="none"/>
        </w:rPr>
        <w:t>具体详见采购文件。</w:t>
      </w:r>
    </w:p>
    <w:p w14:paraId="3EE9DC68">
      <w:pPr>
        <w:spacing w:line="360" w:lineRule="exact"/>
        <w:ind w:firstLine="420" w:firstLineChars="200"/>
        <w:rPr>
          <w:rFonts w:hint="default" w:ascii="宋体" w:hAnsi="宋体"/>
          <w:color w:val="auto"/>
          <w:szCs w:val="21"/>
          <w:highlight w:val="none"/>
          <w:lang w:val="en-US"/>
        </w:rPr>
      </w:pPr>
      <w:r>
        <w:rPr>
          <w:rFonts w:hint="eastAsia" w:ascii="宋体" w:hAnsi="宋体"/>
          <w:color w:val="auto"/>
          <w:szCs w:val="21"/>
          <w:highlight w:val="none"/>
        </w:rPr>
        <w:t>最高限价（如有）：</w:t>
      </w:r>
      <w:r>
        <w:rPr>
          <w:rFonts w:hint="eastAsia" w:ascii="宋体" w:hAnsi="宋体"/>
          <w:color w:val="auto"/>
          <w:szCs w:val="21"/>
          <w:highlight w:val="none"/>
          <w:lang w:val="en-US" w:eastAsia="zh-CN"/>
        </w:rPr>
        <w:t>151900.00元</w:t>
      </w:r>
    </w:p>
    <w:p w14:paraId="207D5713">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合同履约期限：</w:t>
      </w:r>
      <w:r>
        <w:rPr>
          <w:rFonts w:hint="eastAsia" w:ascii="宋体" w:hAnsi="宋体"/>
          <w:color w:val="auto"/>
          <w:szCs w:val="21"/>
          <w:highlight w:val="none"/>
          <w:lang w:val="en-US" w:eastAsia="zh-CN"/>
        </w:rPr>
        <w:t>签订合同之日起至</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广西艺术作品展览——第</w:t>
      </w:r>
      <w:r>
        <w:rPr>
          <w:rFonts w:hint="eastAsia" w:ascii="宋体" w:hAnsi="宋体"/>
          <w:color w:val="auto"/>
          <w:szCs w:val="21"/>
          <w:highlight w:val="none"/>
          <w:lang w:val="en-US" w:eastAsia="zh-CN"/>
        </w:rPr>
        <w:t>八</w:t>
      </w:r>
      <w:r>
        <w:rPr>
          <w:rFonts w:hint="eastAsia" w:ascii="宋体" w:hAnsi="宋体"/>
          <w:color w:val="auto"/>
          <w:szCs w:val="21"/>
          <w:highlight w:val="none"/>
        </w:rPr>
        <w:t>届摄影作品展览</w:t>
      </w:r>
      <w:r>
        <w:rPr>
          <w:rFonts w:hint="eastAsia" w:ascii="宋体" w:hAnsi="宋体"/>
          <w:color w:val="auto"/>
          <w:szCs w:val="21"/>
          <w:highlight w:val="none"/>
          <w:lang w:val="en-US" w:eastAsia="zh-CN"/>
        </w:rPr>
        <w:t>结束并完成“服务内容及要求”载明的各项服务止。</w:t>
      </w:r>
    </w:p>
    <w:p w14:paraId="5D82C9FD">
      <w:pPr>
        <w:spacing w:line="360" w:lineRule="exact"/>
        <w:ind w:left="420" w:leftChars="200"/>
        <w:rPr>
          <w:rFonts w:ascii="宋体" w:hAnsi="宋体"/>
          <w:color w:val="auto"/>
          <w:szCs w:val="21"/>
          <w:highlight w:val="none"/>
        </w:rPr>
      </w:pPr>
      <w:r>
        <w:rPr>
          <w:rFonts w:hint="eastAsia" w:ascii="宋体" w:hAnsi="宋体"/>
          <w:color w:val="auto"/>
          <w:szCs w:val="21"/>
          <w:highlight w:val="none"/>
        </w:rPr>
        <w:t>本标项（否）接受联合体投标</w:t>
      </w:r>
      <w:r>
        <w:rPr>
          <w:rFonts w:hint="eastAsia" w:ascii="宋体" w:hAnsi="宋体"/>
          <w:color w:val="auto"/>
          <w:szCs w:val="21"/>
          <w:highlight w:val="none"/>
        </w:rPr>
        <w:br w:type="textWrapping"/>
      </w:r>
      <w:r>
        <w:rPr>
          <w:rFonts w:hint="eastAsia" w:ascii="宋体" w:hAnsi="宋体"/>
          <w:color w:val="auto"/>
          <w:szCs w:val="21"/>
          <w:highlight w:val="none"/>
        </w:rPr>
        <w:t>备注：/</w:t>
      </w:r>
    </w:p>
    <w:p w14:paraId="477B88F5">
      <w:pPr>
        <w:spacing w:line="360" w:lineRule="exact"/>
        <w:ind w:firstLine="420" w:firstLineChars="200"/>
        <w:rPr>
          <w:rFonts w:ascii="宋体" w:hAnsi="宋体"/>
          <w:color w:val="auto"/>
          <w:szCs w:val="21"/>
          <w:highlight w:val="none"/>
        </w:rPr>
      </w:pPr>
    </w:p>
    <w:p w14:paraId="30E34443">
      <w:pPr>
        <w:spacing w:line="360" w:lineRule="exact"/>
        <w:ind w:firstLine="354" w:firstLineChars="147"/>
        <w:rPr>
          <w:rFonts w:ascii="黑体" w:hAnsi="黑体" w:eastAsia="黑体"/>
          <w:b/>
          <w:color w:val="auto"/>
          <w:sz w:val="24"/>
          <w:highlight w:val="none"/>
        </w:rPr>
      </w:pPr>
      <w:bookmarkStart w:id="8" w:name="_Toc35393799"/>
      <w:bookmarkStart w:id="9" w:name="_Toc71365906"/>
      <w:bookmarkStart w:id="10" w:name="_Toc28359013"/>
      <w:bookmarkStart w:id="11" w:name="_Toc44229879"/>
      <w:bookmarkStart w:id="12" w:name="_Toc35393630"/>
      <w:bookmarkStart w:id="13" w:name="_Toc28359090"/>
      <w:r>
        <w:rPr>
          <w:rFonts w:hint="eastAsia" w:ascii="黑体" w:hAnsi="黑体" w:eastAsia="黑体"/>
          <w:b/>
          <w:color w:val="auto"/>
          <w:sz w:val="24"/>
          <w:highlight w:val="none"/>
        </w:rPr>
        <w:t>二、申请人的资格条件：</w:t>
      </w:r>
      <w:bookmarkEnd w:id="8"/>
      <w:bookmarkEnd w:id="9"/>
      <w:bookmarkEnd w:id="10"/>
      <w:bookmarkEnd w:id="11"/>
      <w:bookmarkEnd w:id="12"/>
      <w:bookmarkEnd w:id="13"/>
    </w:p>
    <w:p w14:paraId="6D1C1BA6">
      <w:pPr>
        <w:spacing w:line="360" w:lineRule="exact"/>
        <w:ind w:firstLine="420" w:firstLineChars="200"/>
        <w:rPr>
          <w:rFonts w:ascii="宋体" w:hAnsi="宋体"/>
          <w:color w:val="auto"/>
          <w:szCs w:val="21"/>
          <w:highlight w:val="none"/>
        </w:rPr>
      </w:pPr>
      <w:bookmarkStart w:id="14" w:name="_Toc44229880"/>
      <w:bookmarkStart w:id="15" w:name="_Toc35393631"/>
      <w:bookmarkStart w:id="16" w:name="_Toc28359014"/>
      <w:bookmarkStart w:id="17" w:name="_Toc28359091"/>
      <w:bookmarkStart w:id="18" w:name="_Toc35393800"/>
      <w:r>
        <w:rPr>
          <w:rFonts w:hint="eastAsia" w:ascii="宋体" w:hAnsi="宋体"/>
          <w:color w:val="auto"/>
          <w:szCs w:val="21"/>
          <w:highlight w:val="none"/>
        </w:rPr>
        <w:t>1.满足《中华人民共和国政府采购法》第二十二条规定；</w:t>
      </w:r>
    </w:p>
    <w:p w14:paraId="4DEB7B24">
      <w:pPr>
        <w:spacing w:line="36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.落实政府采购政策需满足的资格要求：分标1、2、3</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w:t>
      </w:r>
      <w:r>
        <w:rPr>
          <w:rFonts w:hint="eastAsia" w:ascii="宋体" w:hAnsi="宋体"/>
          <w:color w:val="auto"/>
          <w:szCs w:val="21"/>
          <w:highlight w:val="none"/>
        </w:rPr>
        <w:t>：本标项属于专门面向中小企业采购的项目（供应商应为中小微企业或监狱企业或残疾人福利性单位)；</w:t>
      </w:r>
    </w:p>
    <w:p w14:paraId="1F091272">
      <w:pPr>
        <w:spacing w:line="36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3.本项目的特定资格要求：</w:t>
      </w:r>
      <w:bookmarkStart w:id="19" w:name="_Toc71365907"/>
      <w:r>
        <w:rPr>
          <w:rFonts w:hint="eastAsia" w:ascii="宋体" w:hAnsi="宋体"/>
          <w:color w:val="auto"/>
          <w:szCs w:val="21"/>
          <w:highlight w:val="none"/>
        </w:rPr>
        <w:t>分标1、</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无；</w:t>
      </w:r>
      <w:r>
        <w:rPr>
          <w:rFonts w:hint="eastAsia" w:ascii="宋体" w:hAnsi="宋体"/>
          <w:color w:val="auto"/>
          <w:szCs w:val="21"/>
          <w:highlight w:val="none"/>
        </w:rPr>
        <w:t>分标</w:t>
      </w:r>
      <w:r>
        <w:rPr>
          <w:rFonts w:hint="eastAsia" w:ascii="宋体" w:hAnsi="宋体"/>
          <w:color w:val="auto"/>
          <w:szCs w:val="21"/>
          <w:highlight w:val="none"/>
          <w:lang w:val="en-US" w:eastAsia="zh-CN"/>
        </w:rPr>
        <w:t>2：供应商须具备有效的新闻出版管理部门颁发的《中华人民共和国图书出版许可证》及《中华人民共和国出版物经营许可证》。</w:t>
      </w:r>
    </w:p>
    <w:p w14:paraId="0634009D">
      <w:pPr>
        <w:spacing w:line="360" w:lineRule="exact"/>
        <w:ind w:firstLine="482" w:firstLineChars="200"/>
        <w:rPr>
          <w:rFonts w:ascii="黑体" w:hAnsi="黑体" w:eastAsia="黑体"/>
          <w:b/>
          <w:color w:val="auto"/>
          <w:sz w:val="24"/>
          <w:highlight w:val="none"/>
        </w:rPr>
      </w:pPr>
      <w:r>
        <w:rPr>
          <w:rFonts w:hint="eastAsia" w:ascii="黑体" w:hAnsi="黑体" w:eastAsia="黑体"/>
          <w:b/>
          <w:color w:val="auto"/>
          <w:sz w:val="24"/>
          <w:highlight w:val="none"/>
        </w:rPr>
        <w:t>三、获取竞争性磋商文件</w:t>
      </w:r>
      <w:bookmarkEnd w:id="14"/>
      <w:bookmarkEnd w:id="15"/>
      <w:bookmarkEnd w:id="16"/>
      <w:bookmarkEnd w:id="17"/>
      <w:bookmarkEnd w:id="18"/>
      <w:bookmarkEnd w:id="19"/>
    </w:p>
    <w:p w14:paraId="2E9A0C15">
      <w:pPr>
        <w:spacing w:line="360" w:lineRule="exact"/>
        <w:ind w:firstLine="420" w:firstLineChars="200"/>
        <w:rPr>
          <w:rFonts w:ascii="宋体" w:hAnsi="宋体" w:cs="宋体"/>
          <w:bCs/>
          <w:color w:val="auto"/>
          <w:kern w:val="0"/>
          <w:szCs w:val="21"/>
          <w:highlight w:val="none"/>
        </w:rPr>
      </w:pPr>
      <w:bookmarkStart w:id="20" w:name="_Toc44229881"/>
      <w:bookmarkStart w:id="21" w:name="_Toc28359015"/>
      <w:bookmarkStart w:id="22" w:name="_Toc35393632"/>
      <w:bookmarkStart w:id="23" w:name="_Toc28359092"/>
      <w:bookmarkStart w:id="24" w:name="_Toc35393801"/>
      <w:r>
        <w:rPr>
          <w:rFonts w:hint="eastAsia" w:ascii="宋体" w:hAnsi="宋体" w:cs="宋体"/>
          <w:bCs/>
          <w:color w:val="auto"/>
          <w:kern w:val="0"/>
          <w:szCs w:val="21"/>
          <w:highlight w:val="none"/>
        </w:rPr>
        <w:t>时间：</w:t>
      </w:r>
      <w:r>
        <w:rPr>
          <w:rFonts w:ascii="宋体" w:hAnsi="宋体"/>
          <w:bCs/>
          <w:color w:val="auto"/>
          <w:szCs w:val="21"/>
          <w:highlight w:val="none"/>
          <w:u w:val="single"/>
        </w:rPr>
        <w:t>202</w:t>
      </w:r>
      <w:r>
        <w:rPr>
          <w:rFonts w:hint="eastAsia" w:ascii="宋体" w:hAnsi="宋体"/>
          <w:bCs/>
          <w:color w:val="auto"/>
          <w:szCs w:val="21"/>
          <w:highlight w:val="none"/>
          <w:u w:val="single"/>
          <w:lang w:val="en-US" w:eastAsia="zh-CN"/>
        </w:rPr>
        <w:t>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8</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15</w:t>
      </w:r>
      <w:r>
        <w:rPr>
          <w:rFonts w:hint="eastAsia" w:ascii="宋体" w:hAnsi="宋体"/>
          <w:bCs/>
          <w:color w:val="auto"/>
          <w:szCs w:val="21"/>
          <w:highlight w:val="none"/>
          <w:u w:val="single"/>
        </w:rPr>
        <w:t>日</w:t>
      </w:r>
      <w:r>
        <w:rPr>
          <w:rFonts w:hint="eastAsia" w:ascii="宋体" w:hAnsi="宋体" w:cs="宋体"/>
          <w:bCs/>
          <w:color w:val="auto"/>
          <w:kern w:val="0"/>
          <w:szCs w:val="21"/>
          <w:highlight w:val="none"/>
        </w:rPr>
        <w:t>至</w:t>
      </w:r>
      <w:r>
        <w:rPr>
          <w:rFonts w:ascii="宋体" w:hAnsi="宋体"/>
          <w:bCs/>
          <w:color w:val="auto"/>
          <w:szCs w:val="21"/>
          <w:highlight w:val="none"/>
          <w:u w:val="single"/>
        </w:rPr>
        <w:t>202</w:t>
      </w:r>
      <w:r>
        <w:rPr>
          <w:rFonts w:hint="eastAsia" w:ascii="宋体" w:hAnsi="宋体"/>
          <w:bCs/>
          <w:color w:val="auto"/>
          <w:szCs w:val="21"/>
          <w:highlight w:val="none"/>
          <w:u w:val="single"/>
          <w:lang w:val="en-US" w:eastAsia="zh-CN"/>
        </w:rPr>
        <w:t>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8</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22</w:t>
      </w:r>
      <w:r>
        <w:rPr>
          <w:rFonts w:hint="eastAsia" w:ascii="宋体" w:hAnsi="宋体"/>
          <w:bCs/>
          <w:color w:val="auto"/>
          <w:szCs w:val="21"/>
          <w:highlight w:val="none"/>
          <w:u w:val="single"/>
        </w:rPr>
        <w:t>日</w:t>
      </w:r>
      <w:r>
        <w:rPr>
          <w:rFonts w:hint="eastAsia" w:ascii="宋体" w:hAnsi="宋体" w:cs="宋体"/>
          <w:bCs/>
          <w:color w:val="auto"/>
          <w:kern w:val="0"/>
          <w:szCs w:val="21"/>
          <w:highlight w:val="none"/>
        </w:rPr>
        <w:t>，每天上午</w:t>
      </w:r>
      <w:r>
        <w:rPr>
          <w:rFonts w:ascii="宋体" w:hAnsi="宋体" w:cs="宋体"/>
          <w:bCs/>
          <w:color w:val="auto"/>
          <w:kern w:val="0"/>
          <w:szCs w:val="21"/>
          <w:highlight w:val="none"/>
        </w:rPr>
        <w:t>0</w:t>
      </w:r>
      <w:r>
        <w:rPr>
          <w:rFonts w:hint="eastAsia" w:ascii="宋体" w:hAnsi="宋体" w:cs="宋体"/>
          <w:bCs/>
          <w:color w:val="auto"/>
          <w:kern w:val="0"/>
          <w:szCs w:val="21"/>
          <w:highlight w:val="none"/>
        </w:rPr>
        <w:t>：</w:t>
      </w:r>
      <w:r>
        <w:rPr>
          <w:rFonts w:ascii="宋体" w:hAnsi="宋体" w:cs="宋体"/>
          <w:bCs/>
          <w:color w:val="auto"/>
          <w:kern w:val="0"/>
          <w:szCs w:val="21"/>
          <w:highlight w:val="none"/>
        </w:rPr>
        <w:t>00</w:t>
      </w:r>
      <w:r>
        <w:rPr>
          <w:rFonts w:hint="eastAsia" w:ascii="宋体" w:hAnsi="宋体" w:cs="宋体"/>
          <w:bCs/>
          <w:color w:val="auto"/>
          <w:kern w:val="0"/>
          <w:szCs w:val="21"/>
          <w:highlight w:val="none"/>
        </w:rPr>
        <w:t>至12:0</w:t>
      </w:r>
      <w:r>
        <w:rPr>
          <w:rFonts w:ascii="宋体" w:hAnsi="宋体" w:cs="宋体"/>
          <w:bCs/>
          <w:color w:val="auto"/>
          <w:kern w:val="0"/>
          <w:szCs w:val="21"/>
          <w:highlight w:val="none"/>
        </w:rPr>
        <w:t>0</w:t>
      </w:r>
      <w:r>
        <w:rPr>
          <w:rFonts w:hint="eastAsia" w:ascii="宋体" w:hAnsi="宋体" w:cs="宋体"/>
          <w:bCs/>
          <w:color w:val="auto"/>
          <w:kern w:val="0"/>
          <w:szCs w:val="21"/>
          <w:highlight w:val="none"/>
        </w:rPr>
        <w:t>，下午</w:t>
      </w:r>
      <w:r>
        <w:rPr>
          <w:rFonts w:ascii="宋体" w:hAnsi="宋体" w:cs="宋体"/>
          <w:bCs/>
          <w:color w:val="auto"/>
          <w:kern w:val="0"/>
          <w:szCs w:val="21"/>
          <w:highlight w:val="none"/>
        </w:rPr>
        <w:t>12</w:t>
      </w:r>
      <w:r>
        <w:rPr>
          <w:rFonts w:hint="eastAsia" w:ascii="宋体" w:hAnsi="宋体" w:cs="宋体"/>
          <w:bCs/>
          <w:color w:val="auto"/>
          <w:kern w:val="0"/>
          <w:szCs w:val="21"/>
          <w:highlight w:val="none"/>
        </w:rPr>
        <w:t>:0</w:t>
      </w:r>
      <w:r>
        <w:rPr>
          <w:rFonts w:ascii="宋体" w:hAnsi="宋体" w:cs="宋体"/>
          <w:bCs/>
          <w:color w:val="auto"/>
          <w:kern w:val="0"/>
          <w:szCs w:val="21"/>
          <w:highlight w:val="none"/>
        </w:rPr>
        <w:t>0</w:t>
      </w:r>
      <w:r>
        <w:rPr>
          <w:rFonts w:hint="eastAsia" w:ascii="宋体" w:hAnsi="宋体" w:cs="宋体"/>
          <w:bCs/>
          <w:color w:val="auto"/>
          <w:kern w:val="0"/>
          <w:szCs w:val="21"/>
          <w:highlight w:val="none"/>
        </w:rPr>
        <w:t>至</w:t>
      </w:r>
      <w:r>
        <w:rPr>
          <w:rFonts w:ascii="宋体" w:hAnsi="宋体" w:cs="宋体"/>
          <w:bCs/>
          <w:color w:val="auto"/>
          <w:kern w:val="0"/>
          <w:szCs w:val="21"/>
          <w:highlight w:val="none"/>
        </w:rPr>
        <w:t>23</w:t>
      </w:r>
      <w:r>
        <w:rPr>
          <w:rFonts w:hint="eastAsia" w:ascii="宋体" w:hAnsi="宋体" w:cs="宋体"/>
          <w:bCs/>
          <w:color w:val="auto"/>
          <w:kern w:val="0"/>
          <w:szCs w:val="21"/>
          <w:highlight w:val="none"/>
        </w:rPr>
        <w:t>:</w:t>
      </w:r>
      <w:r>
        <w:rPr>
          <w:rFonts w:ascii="宋体" w:hAnsi="宋体" w:cs="宋体"/>
          <w:bCs/>
          <w:color w:val="auto"/>
          <w:kern w:val="0"/>
          <w:szCs w:val="21"/>
          <w:highlight w:val="none"/>
        </w:rPr>
        <w:t>59</w:t>
      </w:r>
      <w:r>
        <w:rPr>
          <w:rFonts w:hint="eastAsia" w:ascii="宋体" w:hAnsi="宋体" w:cs="宋体"/>
          <w:bCs/>
          <w:color w:val="auto"/>
          <w:kern w:val="0"/>
          <w:szCs w:val="21"/>
          <w:highlight w:val="none"/>
        </w:rPr>
        <w:t>（北京时间）</w:t>
      </w:r>
    </w:p>
    <w:p w14:paraId="23B6C43B">
      <w:pPr>
        <w:spacing w:line="36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地点：广西政府采购云平台（https://www.gcy.zfcg.gxzf.gov.cn/）</w:t>
      </w:r>
    </w:p>
    <w:p w14:paraId="3180AE8C">
      <w:pPr>
        <w:spacing w:line="360" w:lineRule="exact"/>
        <w:ind w:firstLine="420" w:firstLineChars="200"/>
        <w:rPr>
          <w:rFonts w:ascii="Arial" w:hAnsi="Arial" w:cs="Arial"/>
          <w:color w:val="auto"/>
          <w:kern w:val="0"/>
          <w:szCs w:val="21"/>
          <w:highlight w:val="none"/>
        </w:rPr>
      </w:pPr>
      <w:bookmarkStart w:id="25" w:name="_Toc71365908"/>
      <w:r>
        <w:rPr>
          <w:rFonts w:hint="eastAsia" w:ascii="宋体" w:hAnsi="宋体"/>
          <w:color w:val="auto"/>
          <w:szCs w:val="21"/>
          <w:highlight w:val="none"/>
        </w:rPr>
        <w:t>获取方式:网上下载。本项目不发放纸质采购文件，供应商登录广西政府采购云平台https://www.gcy.zfcg.gxzf.gov.cn/在线申请获取采购文件（进入“项目采购”应用，在获取采购文件菜单中选择项目，申请获取采购文件）。</w:t>
      </w:r>
    </w:p>
    <w:p w14:paraId="38B2A181">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采购文件售价：</w:t>
      </w:r>
      <w:r>
        <w:rPr>
          <w:rFonts w:ascii="宋体" w:hAnsi="宋体"/>
          <w:color w:val="auto"/>
          <w:szCs w:val="21"/>
          <w:highlight w:val="none"/>
        </w:rPr>
        <w:t>0</w:t>
      </w:r>
      <w:r>
        <w:rPr>
          <w:rFonts w:hint="eastAsia" w:ascii="宋体" w:hAnsi="宋体"/>
          <w:color w:val="auto"/>
          <w:szCs w:val="21"/>
          <w:highlight w:val="none"/>
        </w:rPr>
        <w:t>元。</w:t>
      </w:r>
    </w:p>
    <w:p w14:paraId="7E4D361D">
      <w:pPr>
        <w:spacing w:line="360" w:lineRule="exact"/>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四、响应文件提交</w:t>
      </w:r>
      <w:bookmarkEnd w:id="20"/>
      <w:bookmarkEnd w:id="21"/>
      <w:bookmarkEnd w:id="22"/>
      <w:bookmarkEnd w:id="23"/>
      <w:bookmarkEnd w:id="24"/>
      <w:bookmarkEnd w:id="25"/>
    </w:p>
    <w:p w14:paraId="465B2A9B">
      <w:pPr>
        <w:spacing w:line="360" w:lineRule="exact"/>
        <w:ind w:firstLine="420" w:firstLineChars="200"/>
        <w:rPr>
          <w:rFonts w:ascii="宋体" w:hAnsi="宋体"/>
          <w:bCs/>
          <w:color w:val="auto"/>
          <w:szCs w:val="21"/>
          <w:highlight w:val="none"/>
        </w:rPr>
      </w:pPr>
      <w:bookmarkStart w:id="26" w:name="_Toc35393633"/>
      <w:bookmarkStart w:id="27" w:name="_Toc28359016"/>
      <w:bookmarkStart w:id="28" w:name="_Toc35393802"/>
      <w:bookmarkStart w:id="29" w:name="_Toc44229882"/>
      <w:bookmarkStart w:id="30" w:name="_Toc28359093"/>
      <w:r>
        <w:rPr>
          <w:rFonts w:hint="eastAsia" w:ascii="宋体" w:hAnsi="宋体"/>
          <w:color w:val="auto"/>
          <w:szCs w:val="21"/>
          <w:highlight w:val="none"/>
        </w:rPr>
        <w:t>截止时间：</w:t>
      </w:r>
      <w:r>
        <w:rPr>
          <w:rFonts w:hint="eastAsia" w:ascii="宋体" w:hAnsi="宋体"/>
          <w:color w:val="auto"/>
          <w:szCs w:val="21"/>
          <w:highlight w:val="none"/>
          <w:lang w:eastAsia="zh-CN"/>
        </w:rPr>
        <w:t>2025年</w:t>
      </w:r>
      <w:r>
        <w:rPr>
          <w:rFonts w:hint="eastAsia" w:ascii="宋体" w:hAnsi="宋体"/>
          <w:color w:val="auto"/>
          <w:szCs w:val="21"/>
          <w:highlight w:val="none"/>
          <w:lang w:val="en-US" w:eastAsia="zh-CN"/>
        </w:rPr>
        <w:t>8</w:t>
      </w:r>
      <w:r>
        <w:rPr>
          <w:rFonts w:hint="eastAsia" w:ascii="宋体" w:hAnsi="宋体"/>
          <w:color w:val="auto"/>
          <w:szCs w:val="21"/>
          <w:highlight w:val="none"/>
          <w:lang w:eastAsia="zh-CN"/>
        </w:rPr>
        <w:t>月</w:t>
      </w:r>
      <w:r>
        <w:rPr>
          <w:rFonts w:hint="eastAsia" w:ascii="宋体" w:hAnsi="宋体"/>
          <w:color w:val="auto"/>
          <w:szCs w:val="21"/>
          <w:highlight w:val="none"/>
          <w:lang w:val="en-US" w:eastAsia="zh-CN"/>
        </w:rPr>
        <w:t>27</w:t>
      </w:r>
      <w:r>
        <w:rPr>
          <w:rFonts w:hint="eastAsia" w:ascii="宋体" w:hAnsi="宋体"/>
          <w:color w:val="auto"/>
          <w:szCs w:val="21"/>
          <w:highlight w:val="none"/>
          <w:lang w:eastAsia="zh-CN"/>
        </w:rPr>
        <w:t>日</w:t>
      </w:r>
      <w:r>
        <w:rPr>
          <w:rFonts w:hint="eastAsia" w:ascii="宋体" w:hAnsi="宋体"/>
          <w:color w:val="auto"/>
          <w:szCs w:val="21"/>
          <w:highlight w:val="none"/>
          <w:lang w:val="en-US" w:eastAsia="zh-CN"/>
        </w:rPr>
        <w:t>09</w:t>
      </w:r>
      <w:r>
        <w:rPr>
          <w:rFonts w:hint="eastAsia" w:ascii="宋体" w:hAnsi="宋体"/>
          <w:color w:val="auto"/>
          <w:szCs w:val="21"/>
          <w:highlight w:val="none"/>
          <w:lang w:eastAsia="zh-CN"/>
        </w:rPr>
        <w:t>时</w:t>
      </w:r>
      <w:r>
        <w:rPr>
          <w:rFonts w:hint="eastAsia" w:ascii="宋体" w:hAnsi="宋体"/>
          <w:color w:val="auto"/>
          <w:szCs w:val="21"/>
          <w:highlight w:val="none"/>
          <w:lang w:val="en-US" w:eastAsia="zh-CN"/>
        </w:rPr>
        <w:t>30</w:t>
      </w:r>
      <w:r>
        <w:rPr>
          <w:rFonts w:hint="eastAsia" w:ascii="宋体" w:hAnsi="宋体"/>
          <w:color w:val="auto"/>
          <w:szCs w:val="21"/>
          <w:highlight w:val="none"/>
          <w:lang w:eastAsia="zh-CN"/>
        </w:rPr>
        <w:t>分</w:t>
      </w:r>
      <w:r>
        <w:rPr>
          <w:rFonts w:hint="eastAsia" w:ascii="宋体" w:hAnsi="宋体"/>
          <w:bCs/>
          <w:color w:val="auto"/>
          <w:szCs w:val="21"/>
          <w:highlight w:val="none"/>
        </w:rPr>
        <w:t>（北京时间）</w:t>
      </w:r>
    </w:p>
    <w:p w14:paraId="5215C01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地点：广西政府采购云平台</w:t>
      </w:r>
      <w:r>
        <w:rPr>
          <w:rFonts w:hint="eastAsia" w:ascii="宋体" w:hAnsi="宋体" w:cs="宋体"/>
          <w:bCs/>
          <w:color w:val="auto"/>
          <w:kern w:val="0"/>
          <w:szCs w:val="21"/>
          <w:highlight w:val="none"/>
        </w:rPr>
        <w:t>（https://www.gcy.zfcg.gxzf.gov.cn/）</w:t>
      </w:r>
    </w:p>
    <w:p w14:paraId="7427EB36">
      <w:pPr>
        <w:spacing w:line="360" w:lineRule="exact"/>
        <w:ind w:firstLine="354" w:firstLineChars="147"/>
        <w:rPr>
          <w:rFonts w:ascii="黑体" w:hAnsi="黑体" w:eastAsia="黑体"/>
          <w:b/>
          <w:color w:val="auto"/>
          <w:sz w:val="24"/>
          <w:highlight w:val="none"/>
        </w:rPr>
      </w:pPr>
      <w:bookmarkStart w:id="31" w:name="_Toc71365909"/>
      <w:r>
        <w:rPr>
          <w:rFonts w:hint="eastAsia" w:ascii="黑体" w:hAnsi="黑体" w:eastAsia="黑体"/>
          <w:b/>
          <w:color w:val="auto"/>
          <w:sz w:val="24"/>
          <w:highlight w:val="none"/>
        </w:rPr>
        <w:t>五、开启</w:t>
      </w:r>
      <w:bookmarkEnd w:id="26"/>
      <w:bookmarkEnd w:id="27"/>
      <w:bookmarkEnd w:id="28"/>
      <w:bookmarkEnd w:id="29"/>
      <w:bookmarkEnd w:id="30"/>
      <w:bookmarkEnd w:id="31"/>
    </w:p>
    <w:p w14:paraId="1CFB92C0">
      <w:pPr>
        <w:spacing w:line="360" w:lineRule="exact"/>
        <w:ind w:firstLine="420" w:firstLineChars="200"/>
        <w:rPr>
          <w:rFonts w:ascii="宋体" w:hAnsi="宋体"/>
          <w:bCs/>
          <w:color w:val="auto"/>
          <w:szCs w:val="21"/>
          <w:highlight w:val="none"/>
          <w:u w:val="singl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时间：</w:t>
      </w:r>
      <w:r>
        <w:rPr>
          <w:rFonts w:hint="eastAsia" w:ascii="宋体" w:hAnsi="宋体"/>
          <w:color w:val="auto"/>
          <w:szCs w:val="21"/>
          <w:highlight w:val="none"/>
          <w:lang w:eastAsia="zh-CN"/>
        </w:rPr>
        <w:t>2025年</w:t>
      </w:r>
      <w:r>
        <w:rPr>
          <w:rFonts w:hint="eastAsia" w:ascii="宋体" w:hAnsi="宋体"/>
          <w:color w:val="auto"/>
          <w:szCs w:val="21"/>
          <w:highlight w:val="none"/>
          <w:lang w:val="en-US" w:eastAsia="zh-CN"/>
        </w:rPr>
        <w:t>8</w:t>
      </w:r>
      <w:r>
        <w:rPr>
          <w:rFonts w:hint="eastAsia" w:ascii="宋体" w:hAnsi="宋体"/>
          <w:color w:val="auto"/>
          <w:szCs w:val="21"/>
          <w:highlight w:val="none"/>
          <w:lang w:eastAsia="zh-CN"/>
        </w:rPr>
        <w:t>月</w:t>
      </w:r>
      <w:r>
        <w:rPr>
          <w:rFonts w:hint="eastAsia" w:ascii="宋体" w:hAnsi="宋体"/>
          <w:color w:val="auto"/>
          <w:szCs w:val="21"/>
          <w:highlight w:val="none"/>
          <w:lang w:val="en-US" w:eastAsia="zh-CN"/>
        </w:rPr>
        <w:t>27</w:t>
      </w:r>
      <w:r>
        <w:rPr>
          <w:rFonts w:hint="eastAsia" w:ascii="宋体" w:hAnsi="宋体"/>
          <w:color w:val="auto"/>
          <w:szCs w:val="21"/>
          <w:highlight w:val="none"/>
          <w:lang w:eastAsia="zh-CN"/>
        </w:rPr>
        <w:t>日</w:t>
      </w:r>
      <w:r>
        <w:rPr>
          <w:rFonts w:hint="eastAsia" w:ascii="宋体" w:hAnsi="宋体"/>
          <w:color w:val="auto"/>
          <w:szCs w:val="21"/>
          <w:highlight w:val="none"/>
          <w:lang w:val="en-US" w:eastAsia="zh-CN"/>
        </w:rPr>
        <w:t>09</w:t>
      </w:r>
      <w:r>
        <w:rPr>
          <w:rFonts w:hint="eastAsia" w:ascii="宋体" w:hAnsi="宋体"/>
          <w:color w:val="auto"/>
          <w:szCs w:val="21"/>
          <w:highlight w:val="none"/>
          <w:lang w:eastAsia="zh-CN"/>
        </w:rPr>
        <w:t>时</w:t>
      </w:r>
      <w:r>
        <w:rPr>
          <w:rFonts w:hint="eastAsia" w:ascii="宋体" w:hAnsi="宋体"/>
          <w:color w:val="auto"/>
          <w:szCs w:val="21"/>
          <w:highlight w:val="none"/>
          <w:lang w:val="en-US" w:eastAsia="zh-CN"/>
        </w:rPr>
        <w:t>30</w:t>
      </w:r>
      <w:r>
        <w:rPr>
          <w:rFonts w:hint="eastAsia" w:ascii="宋体" w:hAnsi="宋体"/>
          <w:color w:val="auto"/>
          <w:szCs w:val="21"/>
          <w:highlight w:val="none"/>
          <w:lang w:eastAsia="zh-CN"/>
        </w:rPr>
        <w:t>分</w:t>
      </w:r>
      <w:r>
        <w:rPr>
          <w:rFonts w:hint="eastAsia" w:ascii="宋体" w:hAnsi="宋体"/>
          <w:bCs/>
          <w:color w:val="auto"/>
          <w:szCs w:val="21"/>
          <w:highlight w:val="none"/>
        </w:rPr>
        <w:t>（北京时间）</w:t>
      </w:r>
    </w:p>
    <w:p w14:paraId="24BB1B0C">
      <w:pPr>
        <w:spacing w:line="360" w:lineRule="exact"/>
        <w:ind w:firstLine="420" w:firstLineChars="200"/>
        <w:rPr>
          <w:rFonts w:ascii="宋体" w:hAnsi="宋体"/>
          <w:bCs/>
          <w:color w:val="auto"/>
          <w:szCs w:val="21"/>
          <w:highlight w:val="none"/>
          <w:u w:val="singl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地点：广西政府采购云平台</w:t>
      </w:r>
      <w:r>
        <w:rPr>
          <w:rFonts w:hint="eastAsia" w:ascii="宋体" w:hAnsi="宋体" w:cs="宋体"/>
          <w:bCs/>
          <w:color w:val="auto"/>
          <w:kern w:val="0"/>
          <w:szCs w:val="21"/>
          <w:highlight w:val="none"/>
        </w:rPr>
        <w:t>（https://www.gcy.zfcg.gxzf.gov.cn/）</w:t>
      </w:r>
    </w:p>
    <w:p w14:paraId="6A789C8F">
      <w:pPr>
        <w:spacing w:line="360" w:lineRule="exact"/>
        <w:ind w:firstLine="354" w:firstLineChars="147"/>
        <w:rPr>
          <w:rFonts w:ascii="黑体" w:hAnsi="黑体" w:eastAsia="黑体"/>
          <w:b/>
          <w:color w:val="auto"/>
          <w:sz w:val="24"/>
          <w:highlight w:val="none"/>
        </w:rPr>
      </w:pPr>
      <w:bookmarkStart w:id="32" w:name="_Toc71365910"/>
      <w:bookmarkStart w:id="33" w:name="_Toc28359017"/>
      <w:bookmarkStart w:id="34" w:name="_Toc44229883"/>
      <w:bookmarkStart w:id="35" w:name="_Toc35393803"/>
      <w:bookmarkStart w:id="36" w:name="_Toc35393634"/>
      <w:bookmarkStart w:id="37" w:name="_Toc28359094"/>
      <w:r>
        <w:rPr>
          <w:rFonts w:hint="eastAsia" w:ascii="黑体" w:hAnsi="黑体" w:eastAsia="黑体"/>
          <w:b/>
          <w:color w:val="auto"/>
          <w:sz w:val="24"/>
          <w:highlight w:val="none"/>
        </w:rPr>
        <w:t>六、公告期限</w:t>
      </w:r>
      <w:bookmarkEnd w:id="32"/>
      <w:bookmarkEnd w:id="33"/>
      <w:bookmarkEnd w:id="34"/>
      <w:bookmarkEnd w:id="35"/>
      <w:bookmarkEnd w:id="36"/>
      <w:bookmarkEnd w:id="37"/>
    </w:p>
    <w:p w14:paraId="517E9111">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0E6C6EFE">
      <w:pPr>
        <w:spacing w:line="360" w:lineRule="exact"/>
        <w:ind w:firstLine="354" w:firstLineChars="147"/>
        <w:rPr>
          <w:rFonts w:ascii="黑体" w:hAnsi="黑体" w:eastAsia="黑体"/>
          <w:b/>
          <w:color w:val="auto"/>
          <w:sz w:val="24"/>
          <w:highlight w:val="none"/>
        </w:rPr>
      </w:pPr>
      <w:bookmarkStart w:id="38" w:name="_Toc71365911"/>
      <w:bookmarkStart w:id="39" w:name="_Toc44229884"/>
      <w:bookmarkStart w:id="40" w:name="_Toc35393804"/>
      <w:bookmarkStart w:id="41" w:name="_Toc35393635"/>
      <w:r>
        <w:rPr>
          <w:rFonts w:hint="eastAsia" w:ascii="黑体" w:hAnsi="黑体" w:eastAsia="黑体"/>
          <w:b/>
          <w:color w:val="auto"/>
          <w:sz w:val="24"/>
          <w:highlight w:val="none"/>
        </w:rPr>
        <w:t>七、其他补充事宜</w:t>
      </w:r>
      <w:bookmarkEnd w:id="38"/>
      <w:bookmarkEnd w:id="39"/>
      <w:bookmarkEnd w:id="40"/>
      <w:bookmarkEnd w:id="41"/>
    </w:p>
    <w:p w14:paraId="7B675450">
      <w:pPr>
        <w:spacing w:line="360" w:lineRule="exact"/>
        <w:ind w:firstLine="420" w:firstLineChars="200"/>
        <w:rPr>
          <w:rFonts w:ascii="宋体" w:hAnsi="宋体"/>
          <w:color w:val="auto"/>
          <w:szCs w:val="21"/>
          <w:highlight w:val="none"/>
        </w:rPr>
      </w:pPr>
      <w:bookmarkStart w:id="42" w:name="_Toc28359095"/>
      <w:bookmarkStart w:id="43" w:name="_Toc44229885"/>
      <w:bookmarkStart w:id="44" w:name="_Toc35393805"/>
      <w:bookmarkStart w:id="45" w:name="_Toc35393636"/>
      <w:bookmarkStart w:id="46" w:name="_Toc28359018"/>
      <w:r>
        <w:rPr>
          <w:rFonts w:hint="eastAsia" w:ascii="宋体" w:hAnsi="宋体"/>
          <w:color w:val="auto"/>
          <w:szCs w:val="21"/>
          <w:highlight w:val="none"/>
        </w:rPr>
        <w:t>1、磋商保证金（人民币）：分标1：</w:t>
      </w:r>
      <w:r>
        <w:rPr>
          <w:rFonts w:hint="eastAsia" w:ascii="宋体" w:hAnsi="宋体"/>
          <w:color w:val="auto"/>
          <w:szCs w:val="21"/>
          <w:highlight w:val="none"/>
          <w:lang w:val="en-US" w:eastAsia="zh-CN"/>
        </w:rPr>
        <w:t>3</w:t>
      </w:r>
      <w:r>
        <w:rPr>
          <w:rFonts w:hint="eastAsia" w:ascii="宋体" w:hAnsi="宋体"/>
          <w:color w:val="auto"/>
          <w:szCs w:val="21"/>
          <w:highlight w:val="none"/>
        </w:rPr>
        <w:t>000元；分标2：</w:t>
      </w:r>
      <w:r>
        <w:rPr>
          <w:rFonts w:hint="eastAsia" w:ascii="宋体" w:hAnsi="宋体"/>
          <w:color w:val="auto"/>
          <w:szCs w:val="21"/>
          <w:highlight w:val="none"/>
          <w:lang w:val="en-US" w:eastAsia="zh-CN"/>
        </w:rPr>
        <w:t>2</w:t>
      </w:r>
      <w:r>
        <w:rPr>
          <w:rFonts w:hint="eastAsia" w:ascii="宋体" w:hAnsi="宋体"/>
          <w:color w:val="auto"/>
          <w:szCs w:val="21"/>
          <w:highlight w:val="none"/>
        </w:rPr>
        <w:t>500元；分标3:</w:t>
      </w:r>
      <w:r>
        <w:rPr>
          <w:rFonts w:hint="eastAsia" w:ascii="宋体" w:hAnsi="宋体"/>
          <w:color w:val="auto"/>
          <w:szCs w:val="21"/>
          <w:highlight w:val="none"/>
          <w:lang w:val="en-US" w:eastAsia="zh-CN"/>
        </w:rPr>
        <w:t>20</w:t>
      </w:r>
      <w:r>
        <w:rPr>
          <w:rFonts w:hint="eastAsia" w:ascii="宋体" w:hAnsi="宋体"/>
          <w:color w:val="auto"/>
          <w:szCs w:val="21"/>
          <w:highlight w:val="none"/>
        </w:rPr>
        <w:t>00元；分标</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10</w:t>
      </w:r>
      <w:r>
        <w:rPr>
          <w:rFonts w:hint="eastAsia" w:ascii="宋体" w:hAnsi="宋体"/>
          <w:color w:val="auto"/>
          <w:szCs w:val="21"/>
          <w:highlight w:val="none"/>
        </w:rPr>
        <w:t>00元。</w:t>
      </w:r>
    </w:p>
    <w:p w14:paraId="5F1DEBC9">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磋商保证金的交纳方式：银行转账、支票、汇票、本票或者银行、保险机构出具的保函等非现金形式。采用银行转账方式的，在响应文件递交截止时间前交至采购代理机构指定账户并且到账（开户银行：民生银行南宁金湖支行，开户名称：广西建隆工程咨询有限公司，银行账号：172617222）。采用支票、汇票、本票或者保函等方式的，在首次响应文件提交截止时间前，供应商必须提交单独密封的支票、汇票、本票或者保函等原件给采购代理机构。</w:t>
      </w:r>
    </w:p>
    <w:p w14:paraId="09FBB8F2">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2、发布公告的媒介：中国政府采购网、广西壮族自治区政府采购网。</w:t>
      </w:r>
    </w:p>
    <w:p w14:paraId="4893C552">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3、本项目需要落实的政府采购政策：</w:t>
      </w:r>
    </w:p>
    <w:p w14:paraId="6F05A1EB">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（1）政府采购促进中小企业发展；</w:t>
      </w:r>
    </w:p>
    <w:p w14:paraId="4DA7F76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（2）政府采购支持监狱企业发展；</w:t>
      </w:r>
    </w:p>
    <w:p w14:paraId="1FD9AB3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（3）政府采购促进残疾人就业政策；</w:t>
      </w:r>
    </w:p>
    <w:p w14:paraId="30D1113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（4）本项目为服务项目，不涉及强制采购节能产品；</w:t>
      </w:r>
    </w:p>
    <w:p w14:paraId="523F25A8">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（5）政府采购支持采用本国产品的政策；</w:t>
      </w:r>
    </w:p>
    <w:p w14:paraId="5207F86B">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（6）优先采购节能产品、环境标志产品。</w:t>
      </w:r>
    </w:p>
    <w:p w14:paraId="032FBA81">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4、资格条件特别说明：</w:t>
      </w:r>
    </w:p>
    <w:p w14:paraId="2126718D">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7F9DCC7">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0533EDA7">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(3)已获取磋商文件的供应商不等于符合本项目的供应商资格条件。</w:t>
      </w:r>
    </w:p>
    <w:p w14:paraId="0C88C19C">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5、广西政府采购云平台电子竞标相关事宜：</w:t>
      </w:r>
    </w:p>
    <w:p w14:paraId="2D124E9D">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本项目为全流程电子化采购项目，通过广西政府采购云平台实行在线电子竞标，供应商应先安装“广西政府采购云平台新版客户端”（请自行前往广西政府采购云平台进行下载），并按照本项目采购文件和广西政府采购云平台的要求编制、加密后在响应截止时间前通过网络上传至广西政府采购云平台。</w:t>
      </w:r>
    </w:p>
    <w:p w14:paraId="1DB62A5B">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供应商应当在响应截止时间前，完成电子交易平台上的CA数字证书办理及响应文件的提交（供应商可登录“广西政府采购网”，依次进入“办事服务-下载专区”或者登陆广西政府采购云平台，查看CA数字证书办理操作流程。如在操作过程中遇到问题或者需要技术支持，可拨打广西政府采购云平台服务热线获取热线服务帮助）。</w:t>
      </w:r>
    </w:p>
    <w:p w14:paraId="2EC97D1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（3）CA证书在线解密：供应商竞标时，需凭制作响应文件时用来加密的有效数字证书（CA认证）登录广西政府采购云平台电子开标大厅现场按规定时间对加密的响应文件进行解密，否则后果自负。</w:t>
      </w:r>
    </w:p>
    <w:p w14:paraId="2E43D32C">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注：1）为确保网上操作合法、有效和安全，请供应商确保在电子竞标过程中能够对相关数据电文进行加密和使用电子签章，妥善保管CA数字证书并使用有效的CA数字证书参与整个采购活动。2）供应商应当在响应截止时间前完成电子响应文件的上传、提交，响应截止时间前可以补充、修改或者撤回响应文件。补充或者修改响应文件的，应当先行撤回原响应文件，补充、修改后重新上传、提交，响应截止时间前未完成上传、提交的，视为撤回响应文件。响应截止时间以后上传递交的响应文件，广西政府采购云平台将予以拒收。</w:t>
      </w:r>
    </w:p>
    <w:p w14:paraId="6F74B20B">
      <w:pPr>
        <w:spacing w:line="360" w:lineRule="exact"/>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八、凡对本次采购提出询问，请按</w:t>
      </w:r>
      <w:r>
        <w:rPr>
          <w:rFonts w:ascii="黑体" w:hAnsi="黑体" w:eastAsia="黑体"/>
          <w:b/>
          <w:color w:val="auto"/>
          <w:sz w:val="24"/>
          <w:highlight w:val="none"/>
        </w:rPr>
        <w:t>以下方式</w:t>
      </w:r>
      <w:r>
        <w:rPr>
          <w:rFonts w:hint="eastAsia" w:ascii="黑体" w:hAnsi="黑体" w:eastAsia="黑体"/>
          <w:b/>
          <w:color w:val="auto"/>
          <w:sz w:val="24"/>
          <w:highlight w:val="none"/>
        </w:rPr>
        <w:t>联系。</w:t>
      </w:r>
      <w:bookmarkEnd w:id="42"/>
      <w:bookmarkEnd w:id="43"/>
      <w:bookmarkEnd w:id="44"/>
      <w:bookmarkEnd w:id="45"/>
      <w:bookmarkEnd w:id="46"/>
    </w:p>
    <w:bookmarkEnd w:id="1"/>
    <w:p w14:paraId="48C88DDA">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1.采购人信息</w:t>
      </w:r>
    </w:p>
    <w:p w14:paraId="63C3C206">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名    称：</w:t>
      </w:r>
      <w:r>
        <w:rPr>
          <w:rFonts w:hint="eastAsia" w:ascii="宋体" w:hAnsi="宋体" w:cs="宋体"/>
          <w:color w:val="auto"/>
          <w:kern w:val="0"/>
          <w:szCs w:val="21"/>
          <w:highlight w:val="none"/>
          <w:lang w:eastAsia="zh-CN"/>
        </w:rPr>
        <w:t>广西壮族自治区文学艺术界联合会</w:t>
      </w:r>
      <w:r>
        <w:rPr>
          <w:rFonts w:hint="eastAsia" w:ascii="宋体" w:hAnsi="宋体" w:cs="宋体"/>
          <w:color w:val="auto"/>
          <w:kern w:val="0"/>
          <w:szCs w:val="21"/>
          <w:highlight w:val="none"/>
        </w:rPr>
        <w:t> </w:t>
      </w:r>
    </w:p>
    <w:p w14:paraId="3BE5040A">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地    址：</w:t>
      </w:r>
      <w:r>
        <w:rPr>
          <w:rFonts w:hint="eastAsia" w:ascii="宋体" w:hAnsi="宋体" w:cs="宋体"/>
          <w:color w:val="auto"/>
          <w:kern w:val="0"/>
          <w:szCs w:val="21"/>
          <w:highlight w:val="none"/>
          <w:lang w:eastAsia="zh-CN"/>
        </w:rPr>
        <w:t>南宁市建政路28号</w:t>
      </w:r>
      <w:r>
        <w:rPr>
          <w:rFonts w:hint="eastAsia" w:ascii="宋体" w:hAnsi="宋体" w:cs="宋体"/>
          <w:color w:val="auto"/>
          <w:kern w:val="0"/>
          <w:szCs w:val="21"/>
          <w:highlight w:val="none"/>
        </w:rPr>
        <w:t xml:space="preserve">  </w:t>
      </w:r>
    </w:p>
    <w:p w14:paraId="01AF5FD1">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联系方式：庞凌宇</w:t>
      </w:r>
      <w:r>
        <w:rPr>
          <w:rFonts w:hint="eastAsia" w:ascii="宋体" w:hAnsi="宋体" w:cs="宋体"/>
          <w:color w:val="auto"/>
          <w:kern w:val="0"/>
          <w:szCs w:val="21"/>
          <w:highlight w:val="none"/>
          <w:lang w:eastAsia="zh-CN"/>
        </w:rPr>
        <w:t>；0771</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lang w:eastAsia="zh-CN"/>
        </w:rPr>
        <w:t>5659652</w:t>
      </w:r>
    </w:p>
    <w:p w14:paraId="5B0350D9">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2.采购代理机构信息</w:t>
      </w:r>
    </w:p>
    <w:p w14:paraId="167C2AC0">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名    称：广西建隆工程咨询有限公司</w:t>
      </w:r>
    </w:p>
    <w:p w14:paraId="4BEBFCC3">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地　　址：广西南宁市竹溪大道36号青湖中心1301号</w:t>
      </w:r>
    </w:p>
    <w:p w14:paraId="3D6176E2">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联系方式：</w:t>
      </w:r>
      <w:r>
        <w:rPr>
          <w:rFonts w:hint="eastAsia" w:ascii="宋体" w:hAnsi="宋体" w:cs="宋体"/>
          <w:color w:val="auto"/>
          <w:kern w:val="0"/>
          <w:szCs w:val="21"/>
          <w:highlight w:val="none"/>
          <w:lang w:eastAsia="zh-CN"/>
        </w:rPr>
        <w:t>邓玉琼  冯娟娟</w:t>
      </w:r>
      <w:r>
        <w:rPr>
          <w:rFonts w:hint="eastAsia" w:ascii="宋体" w:hAnsi="宋体" w:cs="宋体"/>
          <w:color w:val="auto"/>
          <w:kern w:val="0"/>
          <w:szCs w:val="21"/>
          <w:highlight w:val="none"/>
        </w:rPr>
        <w:t xml:space="preserve">；0771-5345232  </w:t>
      </w:r>
    </w:p>
    <w:p w14:paraId="7CC055F4">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3.项目联系方式</w:t>
      </w:r>
    </w:p>
    <w:p w14:paraId="514AD2D5">
      <w:pPr>
        <w:spacing w:line="36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项目联系人：</w:t>
      </w:r>
      <w:r>
        <w:rPr>
          <w:rFonts w:hint="eastAsia" w:ascii="宋体" w:hAnsi="宋体" w:cs="宋体"/>
          <w:color w:val="auto"/>
          <w:kern w:val="0"/>
          <w:szCs w:val="21"/>
          <w:highlight w:val="none"/>
          <w:lang w:eastAsia="zh-CN"/>
        </w:rPr>
        <w:t>邓玉琼  冯娟娟</w:t>
      </w:r>
    </w:p>
    <w:p w14:paraId="511FF569">
      <w:pPr>
        <w:spacing w:line="360" w:lineRule="exact"/>
        <w:ind w:firstLine="420" w:firstLineChars="200"/>
        <w:rPr>
          <w:rFonts w:ascii="宋体" w:hAnsi="宋体" w:cs="仿宋"/>
          <w:color w:val="auto"/>
          <w:kern w:val="0"/>
          <w:szCs w:val="21"/>
          <w:highlight w:val="none"/>
        </w:rPr>
      </w:pPr>
      <w:r>
        <w:rPr>
          <w:rFonts w:hint="eastAsia" w:ascii="宋体" w:hAnsi="宋体" w:cs="宋体"/>
          <w:color w:val="auto"/>
          <w:kern w:val="0"/>
          <w:szCs w:val="21"/>
          <w:highlight w:val="none"/>
        </w:rPr>
        <w:t xml:space="preserve">电　　话：0771-5345232  </w:t>
      </w:r>
    </w:p>
    <w:p w14:paraId="7A4FED16">
      <w:pPr>
        <w:pStyle w:val="3"/>
        <w:rPr>
          <w:color w:val="auto"/>
          <w:highlight w:val="none"/>
        </w:rPr>
        <w:sectPr>
          <w:footerReference r:id="rId8" w:type="first"/>
          <w:footerReference r:id="rId7" w:type="default"/>
          <w:pgSz w:w="11906" w:h="16838"/>
          <w:pgMar w:top="1440" w:right="1080" w:bottom="1440" w:left="1080" w:header="851" w:footer="992" w:gutter="0"/>
          <w:pgNumType w:start="1"/>
          <w:cols w:space="720" w:num="1"/>
          <w:titlePg/>
          <w:docGrid w:type="lines" w:linePitch="312" w:charSpace="0"/>
        </w:sectPr>
      </w:pPr>
      <w:bookmarkStart w:id="47" w:name="_Toc151675537"/>
    </w:p>
    <w:p w14:paraId="0EAB2C29">
      <w:pPr>
        <w:pStyle w:val="3"/>
        <w:jc w:val="center"/>
        <w:rPr>
          <w:color w:val="auto"/>
          <w:highlight w:val="none"/>
        </w:rPr>
      </w:pPr>
      <w:r>
        <w:rPr>
          <w:rFonts w:hint="eastAsia"/>
          <w:color w:val="auto"/>
          <w:highlight w:val="none"/>
        </w:rPr>
        <w:t xml:space="preserve">第二章 </w:t>
      </w:r>
      <w:r>
        <w:rPr>
          <w:color w:val="auto"/>
          <w:highlight w:val="none"/>
        </w:rPr>
        <w:t xml:space="preserve"> </w:t>
      </w:r>
      <w:r>
        <w:rPr>
          <w:rFonts w:hint="eastAsia"/>
          <w:color w:val="auto"/>
          <w:highlight w:val="none"/>
        </w:rPr>
        <w:t>供应商须知</w:t>
      </w:r>
      <w:bookmarkEnd w:id="47"/>
    </w:p>
    <w:p w14:paraId="2D586156">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供应商须知前附表</w:t>
      </w:r>
    </w:p>
    <w:p w14:paraId="1D2374D3">
      <w:pPr>
        <w:spacing w:line="400" w:lineRule="exact"/>
        <w:jc w:val="center"/>
        <w:rPr>
          <w:rFonts w:ascii="宋体" w:hAnsi="宋体"/>
          <w:b/>
          <w:color w:val="auto"/>
          <w:sz w:val="32"/>
          <w:szCs w:val="32"/>
          <w:highlight w:val="none"/>
        </w:rPr>
      </w:pPr>
    </w:p>
    <w:tbl>
      <w:tblPr>
        <w:tblStyle w:val="36"/>
        <w:tblW w:w="94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9"/>
        <w:gridCol w:w="8359"/>
      </w:tblGrid>
      <w:tr w14:paraId="408CA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tcPr>
          <w:p w14:paraId="1B155A76">
            <w:pPr>
              <w:spacing w:line="430" w:lineRule="exact"/>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条款号</w:t>
            </w:r>
          </w:p>
        </w:tc>
        <w:tc>
          <w:tcPr>
            <w:tcW w:w="8359" w:type="dxa"/>
          </w:tcPr>
          <w:p w14:paraId="058E8CCE">
            <w:pPr>
              <w:spacing w:line="430" w:lineRule="exact"/>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内容</w:t>
            </w:r>
          </w:p>
        </w:tc>
      </w:tr>
      <w:tr w14:paraId="4E1CB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05956AB6">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p>
        </w:tc>
        <w:tc>
          <w:tcPr>
            <w:tcW w:w="8359" w:type="dxa"/>
            <w:vAlign w:val="center"/>
          </w:tcPr>
          <w:p w14:paraId="488BA4C4">
            <w:pPr>
              <w:spacing w:line="430" w:lineRule="exact"/>
              <w:rPr>
                <w:rFonts w:asciiTheme="minorEastAsia" w:hAnsiTheme="minorEastAsia" w:eastAsiaTheme="minorEastAsia"/>
                <w:color w:val="auto"/>
                <w:szCs w:val="21"/>
                <w:highlight w:val="none"/>
              </w:rPr>
            </w:pPr>
            <w:r>
              <w:rPr>
                <w:rFonts w:hint="eastAsia" w:cs="宋体" w:asciiTheme="minorEastAsia" w:hAnsiTheme="minorEastAsia" w:eastAsiaTheme="minorEastAsia"/>
                <w:bCs/>
                <w:color w:val="auto"/>
                <w:szCs w:val="21"/>
                <w:highlight w:val="none"/>
              </w:rPr>
              <w:t>1.供应商的资格条件</w:t>
            </w:r>
            <w:r>
              <w:rPr>
                <w:rFonts w:hint="eastAsia" w:cs="宋体" w:asciiTheme="minorEastAsia" w:hAnsiTheme="minorEastAsia" w:eastAsiaTheme="minorEastAsia"/>
                <w:color w:val="auto"/>
                <w:szCs w:val="21"/>
                <w:highlight w:val="none"/>
              </w:rPr>
              <w:t>：详见竞争性磋商公告</w:t>
            </w:r>
          </w:p>
          <w:p w14:paraId="0D741F6A">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hint="eastAsia" w:cs="宋体" w:asciiTheme="minorEastAsia" w:hAnsiTheme="minorEastAsia" w:eastAsiaTheme="minorEastAsia"/>
                <w:bCs/>
                <w:color w:val="auto"/>
                <w:szCs w:val="21"/>
                <w:highlight w:val="none"/>
              </w:rPr>
              <w:t>供应商</w:t>
            </w:r>
            <w:r>
              <w:rPr>
                <w:rFonts w:hint="eastAsia" w:cs="宋体" w:asciiTheme="minorEastAsia" w:hAnsiTheme="minorEastAsia" w:eastAsiaTheme="minorEastAsia"/>
                <w:color w:val="auto"/>
                <w:szCs w:val="21"/>
                <w:highlight w:val="none"/>
              </w:rPr>
              <w:t>出现下列情形之一的，不得参加政府采购活动：</w:t>
            </w:r>
          </w:p>
          <w:p w14:paraId="240525AD">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D8A9E35">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1BB25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37DBB375">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5.1</w:t>
            </w:r>
          </w:p>
        </w:tc>
        <w:tc>
          <w:tcPr>
            <w:tcW w:w="8359" w:type="dxa"/>
            <w:vAlign w:val="center"/>
          </w:tcPr>
          <w:p w14:paraId="279CCA1A">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是否接受联合体竞标: 详见竞争性磋商公告</w:t>
            </w:r>
          </w:p>
        </w:tc>
      </w:tr>
      <w:tr w14:paraId="03904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178E75A0">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r>
              <w:rPr>
                <w:rFonts w:cs="宋体" w:asciiTheme="minorEastAsia" w:hAnsiTheme="minorEastAsia" w:eastAsiaTheme="minorEastAsia"/>
                <w:color w:val="auto"/>
                <w:szCs w:val="21"/>
                <w:highlight w:val="none"/>
              </w:rPr>
              <w:t>.2</w:t>
            </w:r>
          </w:p>
        </w:tc>
        <w:tc>
          <w:tcPr>
            <w:tcW w:w="8359" w:type="dxa"/>
            <w:vAlign w:val="center"/>
          </w:tcPr>
          <w:p w14:paraId="4098E8A2">
            <w:pPr>
              <w:spacing w:line="430" w:lineRule="exact"/>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如接受联合体磋商，联合体磋商要求如下：</w:t>
            </w:r>
          </w:p>
          <w:p w14:paraId="60CDF2C7">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两个以上供应商可以组成一个磋商联合体，以一个供应商的身份共同参加磋商。联合体磋商的，须提供《联合体竞标协议书》（格式后附）。</w:t>
            </w:r>
          </w:p>
          <w:p w14:paraId="45592480">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以联合体形式参加磋商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14:paraId="4862C23F">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联合体各方之间必须签订联合磋商协议，协议书必须明确主体方（或者牵头方）并明确约定联合体各方承担的工作和相应的责任（</w:t>
            </w:r>
            <w:r>
              <w:rPr>
                <w:rFonts w:hint="eastAsia" w:cs="宋体" w:asciiTheme="minorEastAsia" w:hAnsiTheme="minorEastAsia" w:eastAsiaTheme="minorEastAsia"/>
                <w:b/>
                <w:color w:val="auto"/>
                <w:szCs w:val="21"/>
                <w:highlight w:val="none"/>
              </w:rPr>
              <w:t>各方承担责任与义务的分工必须符合采购需求，否则，联合体竞标无效</w:t>
            </w:r>
            <w:r>
              <w:rPr>
                <w:rFonts w:hint="eastAsia" w:cs="宋体" w:asciiTheme="minorEastAsia" w:hAnsiTheme="minorEastAsia" w:eastAsiaTheme="minorEastAsia"/>
                <w:color w:val="auto"/>
                <w:szCs w:val="21"/>
                <w:highlight w:val="none"/>
              </w:rPr>
              <w:t>），并将联合竞标协议放入响应文件。联合体各方必须共同与采购人签订采购合同，就采购合同约定的事项对采购人承担连带责任。</w:t>
            </w:r>
          </w:p>
          <w:p w14:paraId="775E0902">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以联合体形式参加政府采购活动的，联合体各方不得再单独参加或者与其他供应商另外组成联合体参加同一合同项下的政府采购活动。</w:t>
            </w:r>
          </w:p>
          <w:p w14:paraId="2A1C73E2">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联合体中有同类资质的供应商按照联合体分工承担相同工作的，应当按照资质等级较低的供应商确定资质等级。</w:t>
            </w:r>
          </w:p>
          <w:p w14:paraId="0CA86BBD">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联合体磋商业绩、履约能力按照联合体各方中较高的一方认定并计算（磋商文件另有规定的除外）。</w:t>
            </w:r>
          </w:p>
          <w:p w14:paraId="6CAEBFFD">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7</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供应商为联合体的，可以由联合体中的一方或者多方共同交纳磋商保证金，其交纳的保证金对联合体各方均具有约束力。</w:t>
            </w:r>
          </w:p>
          <w:p w14:paraId="4D41A91E">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8</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联合体各方均应按照磋商文件的规定提交资格证明文件。</w:t>
            </w:r>
          </w:p>
        </w:tc>
      </w:tr>
      <w:tr w14:paraId="0F157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63299856">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6.2</w:t>
            </w:r>
          </w:p>
        </w:tc>
        <w:tc>
          <w:tcPr>
            <w:tcW w:w="8359" w:type="dxa"/>
            <w:vAlign w:val="center"/>
          </w:tcPr>
          <w:p w14:paraId="7DA48F7A">
            <w:pPr>
              <w:pStyle w:val="15"/>
              <w:spacing w:line="430" w:lineRule="exac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√不允许分包</w:t>
            </w:r>
          </w:p>
          <w:p w14:paraId="4EA7EAB6">
            <w:pPr>
              <w:pStyle w:val="15"/>
              <w:spacing w:line="43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□允许分包</w:t>
            </w:r>
          </w:p>
          <w:p w14:paraId="23131AB1">
            <w:pPr>
              <w:pStyle w:val="15"/>
              <w:spacing w:line="430" w:lineRule="exact"/>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分包内容：</w:t>
            </w:r>
            <w:r>
              <w:rPr>
                <w:rFonts w:hint="eastAsia" w:asciiTheme="minorEastAsia" w:hAnsiTheme="minorEastAsia" w:eastAsiaTheme="minorEastAsia"/>
                <w:color w:val="auto"/>
                <w:szCs w:val="21"/>
                <w:highlight w:val="none"/>
                <w:u w:val="single"/>
              </w:rPr>
              <w:t>/。</w:t>
            </w:r>
          </w:p>
          <w:p w14:paraId="5839FFBB">
            <w:pPr>
              <w:pStyle w:val="15"/>
              <w:spacing w:line="430" w:lineRule="exact"/>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分包金额或者比例：</w:t>
            </w:r>
            <w:r>
              <w:rPr>
                <w:rFonts w:hint="eastAsia" w:asciiTheme="minorEastAsia" w:hAnsiTheme="minorEastAsia" w:eastAsiaTheme="minorEastAsia"/>
                <w:color w:val="auto"/>
                <w:szCs w:val="21"/>
                <w:highlight w:val="none"/>
                <w:u w:val="single"/>
              </w:rPr>
              <w:t>。</w:t>
            </w:r>
          </w:p>
        </w:tc>
      </w:tr>
      <w:tr w14:paraId="7F596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0FA1894F">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12.1.</w:t>
            </w:r>
            <w:r>
              <w:rPr>
                <w:rFonts w:cs="宋体" w:asciiTheme="minorEastAsia" w:hAnsiTheme="minorEastAsia" w:eastAsiaTheme="minorEastAsia"/>
                <w:color w:val="auto"/>
                <w:szCs w:val="21"/>
                <w:highlight w:val="none"/>
              </w:rPr>
              <w:t>1</w:t>
            </w:r>
          </w:p>
        </w:tc>
        <w:tc>
          <w:tcPr>
            <w:tcW w:w="8359" w:type="dxa"/>
            <w:vAlign w:val="center"/>
          </w:tcPr>
          <w:p w14:paraId="177A7199">
            <w:pPr>
              <w:snapToGrid w:val="0"/>
              <w:spacing w:line="430" w:lineRule="exact"/>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资格证明文件</w:t>
            </w:r>
          </w:p>
          <w:p w14:paraId="5D8032D7">
            <w:pPr>
              <w:pStyle w:val="15"/>
              <w:spacing w:line="430" w:lineRule="exac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1.供应商为法人或者其他组织的提供其营业执照等证明文件（如营业执照或者事业单位法人证书或者执业许可证或者登记证书等），供应商为自然人的提供其身份证复印件；（</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60B26601">
            <w:pPr>
              <w:spacing w:line="430" w:lineRule="exact"/>
              <w:contextualSpacing/>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 供应商依法缴纳税收的相关材料（</w:t>
            </w:r>
            <w:r>
              <w:rPr>
                <w:rFonts w:hint="eastAsia" w:ascii="宋体" w:hAnsi="宋体" w:cs="宋体"/>
                <w:color w:val="auto"/>
                <w:szCs w:val="21"/>
                <w:highlight w:val="none"/>
              </w:rPr>
              <w:t>提交响应文件截止时间前半年内任意1个月的</w:t>
            </w:r>
            <w:r>
              <w:rPr>
                <w:rFonts w:hint="eastAsia" w:cs="宋体" w:asciiTheme="minorEastAsia" w:hAnsiTheme="minorEastAsia" w:eastAsiaTheme="minorEastAsia"/>
                <w:color w:val="auto"/>
                <w:szCs w:val="21"/>
                <w:highlight w:val="none"/>
              </w:rPr>
              <w:t>依法缴纳税收的凭据复印件；</w:t>
            </w:r>
            <w:r>
              <w:rPr>
                <w:rFonts w:hint="eastAsia" w:asciiTheme="minorEastAsia" w:hAnsiTheme="minorEastAsia" w:eastAsiaTheme="minorEastAsia"/>
                <w:color w:val="auto"/>
                <w:szCs w:val="21"/>
                <w:highlight w:val="none"/>
              </w:rPr>
              <w:t>依法免税的，必须提供相应文件证明其依法免税。</w:t>
            </w:r>
            <w:r>
              <w:rPr>
                <w:rFonts w:hint="eastAsia" w:cs="宋体" w:asciiTheme="minorEastAsia" w:hAnsiTheme="minorEastAsia" w:eastAsiaTheme="minorEastAsia"/>
                <w:color w:val="auto"/>
                <w:szCs w:val="21"/>
                <w:highlight w:val="none"/>
              </w:rPr>
              <w:t>从</w:t>
            </w:r>
            <w:r>
              <w:rPr>
                <w:rFonts w:asciiTheme="minorEastAsia" w:hAnsiTheme="minorEastAsia" w:eastAsiaTheme="minorEastAsia"/>
                <w:color w:val="auto"/>
                <w:szCs w:val="21"/>
                <w:highlight w:val="none"/>
              </w:rPr>
              <w:t>成立</w:t>
            </w:r>
            <w:r>
              <w:rPr>
                <w:rFonts w:hint="eastAsia" w:asciiTheme="minorEastAsia" w:hAnsiTheme="minorEastAsia" w:eastAsiaTheme="minorEastAsia"/>
                <w:color w:val="auto"/>
                <w:szCs w:val="21"/>
                <w:highlight w:val="none"/>
              </w:rPr>
              <w:t>之日起</w:t>
            </w:r>
            <w:r>
              <w:rPr>
                <w:rFonts w:hint="eastAsia" w:cs="宋体" w:asciiTheme="minorEastAsia" w:hAnsiTheme="minorEastAsia" w:eastAsiaTheme="minorEastAsia"/>
                <w:color w:val="auto"/>
                <w:szCs w:val="21"/>
                <w:highlight w:val="none"/>
              </w:rPr>
              <w:t>到响应文件提交截止时间止不足要求月数的，只需提供从</w:t>
            </w:r>
            <w:r>
              <w:rPr>
                <w:rFonts w:asciiTheme="minorEastAsia" w:hAnsiTheme="minorEastAsia" w:eastAsiaTheme="minorEastAsia"/>
                <w:color w:val="auto"/>
                <w:szCs w:val="21"/>
                <w:highlight w:val="none"/>
              </w:rPr>
              <w:t>成立</w:t>
            </w:r>
            <w:r>
              <w:rPr>
                <w:rFonts w:hint="eastAsia" w:asciiTheme="minorEastAsia" w:hAnsiTheme="minorEastAsia" w:eastAsiaTheme="minorEastAsia"/>
                <w:color w:val="auto"/>
                <w:szCs w:val="21"/>
                <w:highlight w:val="none"/>
              </w:rPr>
              <w:t>之日起</w:t>
            </w:r>
            <w:r>
              <w:rPr>
                <w:rFonts w:hint="eastAsia" w:cs="宋体" w:asciiTheme="minorEastAsia" w:hAnsiTheme="minorEastAsia" w:eastAsiaTheme="minorEastAsia"/>
                <w:color w:val="auto"/>
                <w:szCs w:val="21"/>
                <w:highlight w:val="none"/>
              </w:rPr>
              <w:t>的依法缴纳税收</w:t>
            </w:r>
            <w:r>
              <w:rPr>
                <w:rFonts w:hint="eastAsia" w:asciiTheme="minorEastAsia" w:hAnsiTheme="minorEastAsia" w:eastAsiaTheme="minorEastAsia"/>
                <w:color w:val="auto"/>
                <w:szCs w:val="21"/>
                <w:highlight w:val="none"/>
              </w:rPr>
              <w:t>相应证明文件</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454F8DD9">
            <w:pPr>
              <w:spacing w:line="430" w:lineRule="exact"/>
              <w:contextualSpacing/>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 供应商依法缴纳社会保障资金的相关材料</w:t>
            </w:r>
            <w:r>
              <w:rPr>
                <w:rFonts w:hint="eastAsia" w:ascii="宋体" w:hAnsi="宋体" w:cs="宋体"/>
                <w:color w:val="auto"/>
                <w:szCs w:val="21"/>
                <w:highlight w:val="none"/>
              </w:rPr>
              <w:t>[提交响应文件</w:t>
            </w:r>
            <w:r>
              <w:rPr>
                <w:rFonts w:hint="eastAsia" w:ascii="宋体" w:hAnsi="宋体" w:cs="宋体"/>
                <w:color w:val="auto"/>
                <w:szCs w:val="21"/>
                <w:highlight w:val="none"/>
                <w:lang w:eastAsia="zh-CN"/>
              </w:rPr>
              <w:t>截止时间前半年内任意1个月</w:t>
            </w:r>
            <w:r>
              <w:rPr>
                <w:rFonts w:hint="eastAsia" w:ascii="宋体" w:hAnsi="宋体" w:cs="宋体"/>
                <w:color w:val="auto"/>
                <w:szCs w:val="21"/>
                <w:highlight w:val="none"/>
              </w:rPr>
              <w:t>的</w:t>
            </w:r>
            <w:r>
              <w:rPr>
                <w:rFonts w:hint="eastAsia" w:cs="宋体" w:asciiTheme="minorEastAsia" w:hAnsiTheme="minorEastAsia" w:eastAsiaTheme="minorEastAsia"/>
                <w:color w:val="auto"/>
                <w:szCs w:val="21"/>
                <w:highlight w:val="none"/>
              </w:rPr>
              <w:t>依法缴纳社会保障资金的缴费凭证（专用收据或者社会保险缴纳清单）复印件；</w:t>
            </w:r>
            <w:r>
              <w:rPr>
                <w:rFonts w:hint="eastAsia" w:asciiTheme="minorEastAsia" w:hAnsiTheme="minorEastAsia" w:eastAsiaTheme="minorEastAsia"/>
                <w:color w:val="auto"/>
                <w:szCs w:val="21"/>
                <w:highlight w:val="none"/>
              </w:rPr>
              <w:t>依法不需要缴纳社会保障资金的，必须提供相应文件证明不需要缴纳社会保障资金。</w:t>
            </w:r>
            <w:r>
              <w:rPr>
                <w:rFonts w:hint="eastAsia" w:cs="宋体" w:asciiTheme="minorEastAsia" w:hAnsiTheme="minorEastAsia" w:eastAsiaTheme="minorEastAsia"/>
                <w:color w:val="auto"/>
                <w:szCs w:val="21"/>
                <w:highlight w:val="none"/>
              </w:rPr>
              <w:t>从</w:t>
            </w:r>
            <w:r>
              <w:rPr>
                <w:rFonts w:asciiTheme="minorEastAsia" w:hAnsiTheme="minorEastAsia" w:eastAsiaTheme="minorEastAsia"/>
                <w:color w:val="auto"/>
                <w:szCs w:val="21"/>
                <w:highlight w:val="none"/>
              </w:rPr>
              <w:t>成立</w:t>
            </w:r>
            <w:r>
              <w:rPr>
                <w:rFonts w:hint="eastAsia" w:asciiTheme="minorEastAsia" w:hAnsiTheme="minorEastAsia" w:eastAsiaTheme="minorEastAsia"/>
                <w:color w:val="auto"/>
                <w:szCs w:val="21"/>
                <w:highlight w:val="none"/>
              </w:rPr>
              <w:t>之日起</w:t>
            </w:r>
            <w:r>
              <w:rPr>
                <w:rFonts w:hint="eastAsia" w:cs="宋体" w:asciiTheme="minorEastAsia" w:hAnsiTheme="minorEastAsia" w:eastAsiaTheme="minorEastAsia"/>
                <w:color w:val="auto"/>
                <w:szCs w:val="21"/>
                <w:highlight w:val="none"/>
              </w:rPr>
              <w:t>到响应文件提交截止时间止不足要求月数的只需提供从</w:t>
            </w:r>
            <w:r>
              <w:rPr>
                <w:rFonts w:asciiTheme="minorEastAsia" w:hAnsiTheme="minorEastAsia" w:eastAsiaTheme="minorEastAsia"/>
                <w:color w:val="auto"/>
                <w:szCs w:val="21"/>
                <w:highlight w:val="none"/>
              </w:rPr>
              <w:t>成立</w:t>
            </w:r>
            <w:r>
              <w:rPr>
                <w:rFonts w:hint="eastAsia" w:asciiTheme="minorEastAsia" w:hAnsiTheme="minorEastAsia" w:eastAsiaTheme="minorEastAsia"/>
                <w:color w:val="auto"/>
                <w:szCs w:val="21"/>
                <w:highlight w:val="none"/>
              </w:rPr>
              <w:t>之日起</w:t>
            </w:r>
            <w:r>
              <w:rPr>
                <w:rFonts w:hint="eastAsia" w:cs="宋体" w:asciiTheme="minorEastAsia" w:hAnsiTheme="minorEastAsia" w:eastAsiaTheme="minorEastAsia"/>
                <w:color w:val="auto"/>
                <w:szCs w:val="21"/>
                <w:highlight w:val="none"/>
              </w:rPr>
              <w:t>的依法缴纳社会保障资金的</w:t>
            </w:r>
            <w:r>
              <w:rPr>
                <w:rFonts w:hint="eastAsia" w:asciiTheme="minorEastAsia" w:hAnsiTheme="minorEastAsia" w:eastAsiaTheme="minorEastAsia"/>
                <w:color w:val="auto"/>
                <w:szCs w:val="21"/>
                <w:highlight w:val="none"/>
              </w:rPr>
              <w:t>相应证明文件</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526DA693">
            <w:pPr>
              <w:spacing w:line="430" w:lineRule="exact"/>
              <w:contextualSpacing/>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4. 供应商</w:t>
            </w:r>
            <w:r>
              <w:rPr>
                <w:rFonts w:hint="eastAsia" w:asciiTheme="minorEastAsia" w:hAnsiTheme="minorEastAsia" w:eastAsiaTheme="minorEastAsia"/>
                <w:color w:val="auto"/>
                <w:szCs w:val="21"/>
                <w:highlight w:val="none"/>
              </w:rPr>
              <w:t>财务状况报告（</w:t>
            </w:r>
            <w:r>
              <w:rPr>
                <w:rFonts w:hint="eastAsia" w:asciiTheme="minorEastAsia" w:hAnsiTheme="minorEastAsia" w:eastAsiaTheme="minorEastAsia"/>
                <w:color w:val="auto"/>
                <w:szCs w:val="21"/>
                <w:highlight w:val="none"/>
                <w:u w:val="single"/>
              </w:rPr>
              <w:t>202</w:t>
            </w:r>
            <w:r>
              <w:rPr>
                <w:rFonts w:hint="eastAsia" w:asciiTheme="minorEastAsia" w:hAnsiTheme="minorEastAsia" w:eastAsiaTheme="minorEastAsia"/>
                <w:color w:val="auto"/>
                <w:szCs w:val="21"/>
                <w:highlight w:val="none"/>
                <w:u w:val="single"/>
                <w:lang w:val="en-US" w:eastAsia="zh-CN"/>
              </w:rPr>
              <w:t>4</w:t>
            </w:r>
            <w:r>
              <w:rPr>
                <w:rFonts w:hint="eastAsia" w:asciiTheme="minorEastAsia" w:hAnsiTheme="minorEastAsia" w:eastAsiaTheme="minorEastAsia"/>
                <w:color w:val="auto"/>
                <w:szCs w:val="21"/>
                <w:highlight w:val="none"/>
              </w:rPr>
              <w:t>年度财务报告复印件，或者银行出具的资信证明，或者中国人民银行征信中心出具的信用报告（企业竞标的提供企业信用报告，自然人竞标的提供个人信用报告）；供应商属于成立时间</w:t>
            </w:r>
            <w:r>
              <w:rPr>
                <w:rFonts w:hint="eastAsia" w:asciiTheme="minorEastAsia" w:hAnsiTheme="minorEastAsia" w:eastAsiaTheme="minorEastAsia"/>
                <w:color w:val="auto"/>
                <w:kern w:val="0"/>
                <w:szCs w:val="21"/>
                <w:highlight w:val="none"/>
              </w:rPr>
              <w:t>在规定年度之后</w:t>
            </w:r>
            <w:r>
              <w:rPr>
                <w:rFonts w:hint="eastAsia" w:asciiTheme="minorEastAsia" w:hAnsiTheme="minorEastAsia" w:eastAsiaTheme="minorEastAsia"/>
                <w:color w:val="auto"/>
                <w:szCs w:val="21"/>
                <w:highlight w:val="none"/>
              </w:rPr>
              <w:t>的法人或其他组织，需提供成立之日起至响应文件提交截止时间前的月报表或银行出具的资信证明或者中国人民银行征信中心出具的企业信用报告；资信证明应在有效期内，未注明有效期的，银行出具时间至响应文件提交截止时间不超过一年）</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w:t>
            </w:r>
            <w:r>
              <w:rPr>
                <w:rFonts w:hint="eastAsia" w:asciiTheme="minorEastAsia" w:hAnsiTheme="minorEastAsia" w:eastAsiaTheme="minorEastAsia"/>
                <w:b/>
                <w:color w:val="auto"/>
                <w:szCs w:val="21"/>
                <w:highlight w:val="none"/>
              </w:rPr>
              <w:t>必须提供</w:t>
            </w:r>
            <w:r>
              <w:rPr>
                <w:rFonts w:hint="eastAsia" w:cs="宋体" w:asciiTheme="minorEastAsia" w:hAnsiTheme="minorEastAsia" w:eastAsiaTheme="minorEastAsia"/>
                <w:b/>
                <w:color w:val="auto"/>
                <w:szCs w:val="21"/>
                <w:highlight w:val="none"/>
              </w:rPr>
              <w:t>，否则响应文件按无效响应处理</w:t>
            </w:r>
            <w:r>
              <w:rPr>
                <w:rFonts w:hint="eastAsia" w:cs="宋体" w:asciiTheme="minorEastAsia" w:hAnsiTheme="minorEastAsia" w:eastAsiaTheme="minorEastAsia"/>
                <w:bCs/>
                <w:color w:val="auto"/>
                <w:szCs w:val="21"/>
                <w:highlight w:val="none"/>
              </w:rPr>
              <w:t>）</w:t>
            </w:r>
          </w:p>
          <w:p w14:paraId="1E93FC61">
            <w:pPr>
              <w:snapToGrid w:val="0"/>
              <w:spacing w:line="430" w:lineRule="exact"/>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5.供应商直接控股、管理关系信息表（格式后附）；（</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539A8DE7">
            <w:pPr>
              <w:snapToGrid w:val="0"/>
              <w:spacing w:line="430" w:lineRule="exact"/>
              <w:jc w:val="left"/>
              <w:rPr>
                <w:color w:val="auto"/>
                <w:highlight w:val="none"/>
              </w:rPr>
            </w:pPr>
            <w:r>
              <w:rPr>
                <w:rFonts w:hint="eastAsia" w:cs="宋体" w:asciiTheme="minorEastAsia" w:hAnsiTheme="minorEastAsia" w:eastAsiaTheme="minorEastAsia"/>
                <w:color w:val="auto"/>
                <w:szCs w:val="21"/>
                <w:highlight w:val="none"/>
              </w:rPr>
              <w:t>6.竞标声明（格式后附）；（</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219DC45D">
            <w:pPr>
              <w:snapToGrid w:val="0"/>
              <w:spacing w:line="430" w:lineRule="exact"/>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7.中小企业声明函或者残疾人福利性单位声明函或者供应商属于监狱企业的需提供由省级以上监狱管理局、戒毒管理局（含新疆生产建设兵团）出具的属于监狱企业的证明文件；（</w:t>
            </w:r>
            <w:r>
              <w:rPr>
                <w:rFonts w:hint="eastAsia" w:cs="宋体" w:asciiTheme="minorEastAsia" w:hAnsiTheme="minorEastAsia" w:eastAsiaTheme="minorEastAsia"/>
                <w:b/>
                <w:bCs/>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257FA1A1">
            <w:pPr>
              <w:snapToGrid w:val="0"/>
              <w:spacing w:line="430" w:lineRule="exact"/>
              <w:jc w:val="left"/>
              <w:rPr>
                <w:rFonts w:cs="宋体" w:asciiTheme="minorEastAsia" w:hAnsiTheme="minorEastAsia"/>
                <w:color w:val="auto"/>
                <w:szCs w:val="21"/>
                <w:highlight w:val="none"/>
              </w:rPr>
            </w:pPr>
            <w:r>
              <w:rPr>
                <w:rFonts w:hint="eastAsia" w:cs="宋体" w:asciiTheme="minorEastAsia" w:hAnsiTheme="minorEastAsia" w:eastAsiaTheme="minorEastAsia"/>
                <w:color w:val="auto"/>
                <w:szCs w:val="21"/>
                <w:highlight w:val="none"/>
              </w:rPr>
              <w:t>8.本项目的特定资格要求：</w:t>
            </w:r>
            <w:r>
              <w:rPr>
                <w:rFonts w:hint="eastAsia" w:ascii="宋体" w:hAnsi="宋体"/>
                <w:color w:val="auto"/>
                <w:szCs w:val="21"/>
                <w:highlight w:val="none"/>
              </w:rPr>
              <w:t>分标1、</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无；</w:t>
            </w:r>
            <w:r>
              <w:rPr>
                <w:rFonts w:hint="eastAsia" w:ascii="宋体" w:hAnsi="宋体"/>
                <w:color w:val="auto"/>
                <w:szCs w:val="21"/>
                <w:highlight w:val="none"/>
              </w:rPr>
              <w:t>分标</w:t>
            </w:r>
            <w:r>
              <w:rPr>
                <w:rFonts w:hint="eastAsia" w:ascii="宋体" w:hAnsi="宋体"/>
                <w:color w:val="auto"/>
                <w:szCs w:val="21"/>
                <w:highlight w:val="none"/>
                <w:lang w:val="en-US" w:eastAsia="zh-CN"/>
              </w:rPr>
              <w:t>2：供应商须具备有效的新闻出版管理部门颁发的《中华人民共和国图书出版许可证》及《中华人民共和国出版物经营许可证》</w:t>
            </w:r>
            <w:r>
              <w:rPr>
                <w:rFonts w:hint="eastAsia" w:ascii="宋体" w:hAnsi="宋体"/>
                <w:color w:val="auto"/>
                <w:szCs w:val="21"/>
                <w:highlight w:val="none"/>
              </w:rPr>
              <w:t>；</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bCs/>
                <w:color w:val="auto"/>
                <w:szCs w:val="21"/>
                <w:highlight w:val="none"/>
                <w:lang w:val="en-US" w:eastAsia="zh-CN"/>
              </w:rPr>
              <w:t>分标2</w:t>
            </w:r>
            <w:r>
              <w:rPr>
                <w:rFonts w:hint="eastAsia" w:cs="宋体" w:asciiTheme="minorEastAsia" w:hAnsiTheme="minorEastAsia" w:eastAsiaTheme="minorEastAsia"/>
                <w:b/>
                <w:bCs/>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1C995937">
            <w:pPr>
              <w:snapToGrid w:val="0"/>
              <w:spacing w:line="430" w:lineRule="exact"/>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9.除磋商文件规定必须提供以外，供应商认为需要提供的其他证明材料。（如有，请提供）</w:t>
            </w:r>
          </w:p>
          <w:p w14:paraId="25F44BEF">
            <w:pPr>
              <w:snapToGrid w:val="0"/>
              <w:spacing w:line="430" w:lineRule="exact"/>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注：</w:t>
            </w:r>
          </w:p>
          <w:p w14:paraId="6AD46712">
            <w:pPr>
              <w:snapToGrid w:val="0"/>
              <w:spacing w:line="430" w:lineRule="exact"/>
              <w:ind w:firstLine="413" w:firstLineChars="196"/>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1.以上标明“必须提供”的材料属于复印件的，必须加盖供应商</w:t>
            </w:r>
            <w:r>
              <w:rPr>
                <w:rFonts w:hint="eastAsia" w:asciiTheme="minorEastAsia" w:hAnsiTheme="minorEastAsia" w:eastAsiaTheme="minorEastAsia"/>
                <w:b/>
                <w:color w:val="auto"/>
                <w:szCs w:val="21"/>
                <w:highlight w:val="none"/>
              </w:rPr>
              <w:t>电子签章</w:t>
            </w:r>
            <w:r>
              <w:rPr>
                <w:rFonts w:hint="eastAsia" w:cs="宋体" w:asciiTheme="minorEastAsia" w:hAnsiTheme="minorEastAsia" w:eastAsiaTheme="minorEastAsia"/>
                <w:b/>
                <w:color w:val="auto"/>
                <w:szCs w:val="21"/>
                <w:highlight w:val="none"/>
              </w:rPr>
              <w:t>，否则响应文件按无效处理。</w:t>
            </w:r>
          </w:p>
          <w:p w14:paraId="585D864B">
            <w:pPr>
              <w:pStyle w:val="15"/>
              <w:spacing w:line="430" w:lineRule="exact"/>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2.</w:t>
            </w:r>
            <w:r>
              <w:rPr>
                <w:rFonts w:hint="eastAsia" w:asciiTheme="minorEastAsia" w:hAnsiTheme="minorEastAsia" w:eastAsiaTheme="minorEastAsia"/>
                <w:b/>
                <w:bCs/>
                <w:color w:val="auto"/>
                <w:szCs w:val="21"/>
                <w:highlight w:val="none"/>
              </w:rPr>
              <w:t>分公司参加竞标的，应当取得总公司授权。</w:t>
            </w:r>
          </w:p>
        </w:tc>
      </w:tr>
      <w:tr w14:paraId="7C6F5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140C6C62">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12.1.2</w:t>
            </w:r>
          </w:p>
        </w:tc>
        <w:tc>
          <w:tcPr>
            <w:tcW w:w="8359" w:type="dxa"/>
            <w:vAlign w:val="center"/>
          </w:tcPr>
          <w:p w14:paraId="5AA9D79F">
            <w:pPr>
              <w:spacing w:line="43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报价文件</w:t>
            </w:r>
          </w:p>
          <w:p w14:paraId="147CC45A">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1.响应函（格式后附）；（</w:t>
            </w:r>
            <w:r>
              <w:rPr>
                <w:rFonts w:hint="eastAsia" w:cs="宋体" w:asciiTheme="minorEastAsia" w:hAnsiTheme="minorEastAsia" w:eastAsiaTheme="minorEastAsia"/>
                <w:b/>
                <w:color w:val="auto"/>
                <w:szCs w:val="21"/>
                <w:highlight w:val="none"/>
              </w:rPr>
              <w:t>必须提供，否则响应文件按无效处理</w:t>
            </w:r>
            <w:r>
              <w:rPr>
                <w:rFonts w:hint="eastAsia" w:cs="宋体" w:asciiTheme="minorEastAsia" w:hAnsiTheme="minorEastAsia" w:eastAsiaTheme="minorEastAsia"/>
                <w:color w:val="auto"/>
                <w:szCs w:val="21"/>
                <w:highlight w:val="none"/>
              </w:rPr>
              <w:t>）</w:t>
            </w:r>
          </w:p>
          <w:p w14:paraId="40F4721A">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2.磋商报价表（格式后附）；（</w:t>
            </w:r>
            <w:r>
              <w:rPr>
                <w:rFonts w:hint="eastAsia" w:cs="宋体" w:asciiTheme="minorEastAsia" w:hAnsiTheme="minorEastAsia" w:eastAsiaTheme="minorEastAsia"/>
                <w:b/>
                <w:color w:val="auto"/>
                <w:szCs w:val="21"/>
                <w:highlight w:val="none"/>
              </w:rPr>
              <w:t>必须提供，否则响应文件按无效处理</w:t>
            </w:r>
            <w:r>
              <w:rPr>
                <w:rFonts w:hint="eastAsia" w:cs="宋体" w:asciiTheme="minorEastAsia" w:hAnsiTheme="minorEastAsia" w:eastAsiaTheme="minorEastAsia"/>
                <w:color w:val="auto"/>
                <w:szCs w:val="21"/>
                <w:highlight w:val="none"/>
              </w:rPr>
              <w:t>）</w:t>
            </w:r>
          </w:p>
          <w:p w14:paraId="0C96261F">
            <w:pPr>
              <w:spacing w:line="430" w:lineRule="exact"/>
              <w:rPr>
                <w:color w:val="auto"/>
                <w:highlight w:val="none"/>
              </w:rPr>
            </w:pPr>
            <w:r>
              <w:rPr>
                <w:rFonts w:hint="eastAsia" w:cs="宋体" w:asciiTheme="minorEastAsia" w:hAnsiTheme="minorEastAsia" w:eastAsiaTheme="minorEastAsia"/>
                <w:color w:val="auto"/>
                <w:szCs w:val="21"/>
                <w:highlight w:val="none"/>
              </w:rPr>
              <w:t>3.供应商认为需要提供的其他有关资料。</w:t>
            </w:r>
          </w:p>
          <w:p w14:paraId="22627DEA">
            <w:pPr>
              <w:snapToGrid w:val="0"/>
              <w:spacing w:line="430" w:lineRule="exact"/>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注：</w:t>
            </w:r>
          </w:p>
          <w:p w14:paraId="443EED16">
            <w:pPr>
              <w:snapToGrid w:val="0"/>
              <w:spacing w:line="430" w:lineRule="exact"/>
              <w:ind w:firstLine="413" w:firstLineChars="196"/>
              <w:jc w:val="left"/>
              <w:rPr>
                <w:rFonts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1.以上标明“必须提供”的材料属于复印件的，必须加盖供应商</w:t>
            </w:r>
            <w:r>
              <w:rPr>
                <w:rFonts w:hint="eastAsia" w:asciiTheme="minorEastAsia" w:hAnsiTheme="minorEastAsia" w:eastAsiaTheme="minorEastAsia"/>
                <w:b/>
                <w:color w:val="auto"/>
                <w:szCs w:val="21"/>
                <w:highlight w:val="none"/>
              </w:rPr>
              <w:t>电子签章</w:t>
            </w:r>
            <w:r>
              <w:rPr>
                <w:rFonts w:hint="eastAsia" w:cs="宋体" w:asciiTheme="minorEastAsia" w:hAnsiTheme="minorEastAsia" w:eastAsiaTheme="minorEastAsia"/>
                <w:b/>
                <w:color w:val="auto"/>
                <w:szCs w:val="21"/>
                <w:highlight w:val="none"/>
              </w:rPr>
              <w:t>，否则响应文件按无效处理。</w:t>
            </w:r>
          </w:p>
        </w:tc>
      </w:tr>
      <w:tr w14:paraId="69D11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4E7BE13B">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12.</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.3</w:t>
            </w:r>
          </w:p>
        </w:tc>
        <w:tc>
          <w:tcPr>
            <w:tcW w:w="8359" w:type="dxa"/>
            <w:vAlign w:val="center"/>
          </w:tcPr>
          <w:p w14:paraId="3F0AA199">
            <w:pPr>
              <w:spacing w:line="430" w:lineRule="exact"/>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商务技术文件</w:t>
            </w:r>
          </w:p>
          <w:p w14:paraId="58ADC8DE">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1.无串通竞标行为的承诺函（格式后附）；（</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588F5BDF">
            <w:pPr>
              <w:spacing w:line="430" w:lineRule="exac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.法定代表人身份证明书及法定代表人有效身份证正反面复印件（格式后附）；（</w:t>
            </w:r>
            <w:r>
              <w:rPr>
                <w:rFonts w:hint="eastAsia" w:cs="宋体" w:asciiTheme="minorEastAsia" w:hAnsiTheme="minorEastAsia" w:eastAsiaTheme="minorEastAsia"/>
                <w:b/>
                <w:bCs/>
                <w:color w:val="auto"/>
                <w:szCs w:val="21"/>
                <w:highlight w:val="none"/>
              </w:rPr>
              <w:t>除自然人竞标外</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066D84A6">
            <w:pPr>
              <w:spacing w:line="430" w:lineRule="exact"/>
              <w:rPr>
                <w:rFonts w:cs="宋体" w:asciiTheme="minorEastAsia" w:hAnsiTheme="minorEastAsia" w:eastAsiaTheme="minorEastAsia"/>
                <w:b/>
                <w:color w:val="auto"/>
                <w:szCs w:val="21"/>
                <w:highlight w:val="none"/>
              </w:rPr>
            </w:pP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.授权委托书及委托代理人有效身份证正反面复印件（格式后附）；（</w:t>
            </w:r>
            <w:r>
              <w:rPr>
                <w:rFonts w:hint="eastAsia" w:cs="宋体" w:asciiTheme="minorEastAsia" w:hAnsiTheme="minorEastAsia" w:eastAsiaTheme="minorEastAsia"/>
                <w:b/>
                <w:color w:val="auto"/>
                <w:szCs w:val="21"/>
                <w:highlight w:val="none"/>
              </w:rPr>
              <w:t>委托时必须提供，否则响应文件按无效响应处理</w:t>
            </w:r>
            <w:r>
              <w:rPr>
                <w:rFonts w:hint="eastAsia" w:cs="宋体" w:asciiTheme="minorEastAsia" w:hAnsiTheme="minorEastAsia" w:eastAsiaTheme="minorEastAsia"/>
                <w:color w:val="auto"/>
                <w:szCs w:val="21"/>
                <w:highlight w:val="none"/>
              </w:rPr>
              <w:t>）</w:t>
            </w:r>
          </w:p>
          <w:p w14:paraId="34F4AAE1">
            <w:pPr>
              <w:spacing w:line="430" w:lineRule="exac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4</w:t>
            </w:r>
            <w:r>
              <w:rPr>
                <w:rFonts w:hint="eastAsia" w:cs="宋体" w:asciiTheme="minorEastAsia" w:hAnsiTheme="minorEastAsia" w:eastAsiaTheme="minorEastAsia"/>
                <w:color w:val="auto"/>
                <w:szCs w:val="21"/>
                <w:highlight w:val="none"/>
              </w:rPr>
              <w:t>.磋商保证金提交凭证；（</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2071CC49">
            <w:pPr>
              <w:spacing w:line="430" w:lineRule="exac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5</w:t>
            </w:r>
            <w:r>
              <w:rPr>
                <w:rFonts w:hint="eastAsia" w:cs="宋体" w:asciiTheme="minorEastAsia" w:hAnsiTheme="minorEastAsia" w:eastAsiaTheme="minorEastAsia"/>
                <w:color w:val="auto"/>
                <w:szCs w:val="21"/>
                <w:highlight w:val="none"/>
              </w:rPr>
              <w:t>.商务要求偏离表（格式后附）；（</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68B0BC39">
            <w:pPr>
              <w:spacing w:line="430" w:lineRule="exac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6</w:t>
            </w:r>
            <w:r>
              <w:rPr>
                <w:rFonts w:hint="eastAsia" w:cs="宋体" w:asciiTheme="minorEastAsia" w:hAnsiTheme="minorEastAsia" w:eastAsiaTheme="minorEastAsia"/>
                <w:color w:val="auto"/>
                <w:szCs w:val="21"/>
                <w:highlight w:val="none"/>
              </w:rPr>
              <w:t>.技术要求偏离表（格式后附）；（</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682CC1DC">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7.</w:t>
            </w:r>
            <w:r>
              <w:rPr>
                <w:rFonts w:hint="eastAsia" w:cs="宋体" w:asciiTheme="minorEastAsia" w:hAnsiTheme="minorEastAsia" w:eastAsiaTheme="minorEastAsia"/>
                <w:color w:val="auto"/>
                <w:szCs w:val="21"/>
                <w:highlight w:val="none"/>
                <w:lang w:val="en-US" w:eastAsia="zh-CN"/>
              </w:rPr>
              <w:t>项目实施方案</w:t>
            </w:r>
            <w:r>
              <w:rPr>
                <w:rFonts w:hint="eastAsia" w:cs="宋体" w:asciiTheme="minorEastAsia" w:hAnsiTheme="minorEastAsia" w:eastAsiaTheme="minorEastAsia"/>
                <w:color w:val="auto"/>
                <w:szCs w:val="21"/>
                <w:highlight w:val="none"/>
              </w:rPr>
              <w:t>（格式自拟）；</w:t>
            </w:r>
          </w:p>
          <w:p w14:paraId="67E846E0">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8</w:t>
            </w:r>
            <w:r>
              <w:rPr>
                <w:rFonts w:hint="eastAsia" w:cs="宋体" w:asciiTheme="minorEastAsia" w:hAnsiTheme="minorEastAsia" w:eastAsiaTheme="minorEastAsia"/>
                <w:color w:val="auto"/>
                <w:szCs w:val="21"/>
                <w:highlight w:val="none"/>
              </w:rPr>
              <w:t>.对应采购需求的技术要求、商务要求提供的其他文件资料（格式自拟）；</w:t>
            </w:r>
          </w:p>
          <w:p w14:paraId="0ACA6BC4">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9</w:t>
            </w:r>
            <w:r>
              <w:rPr>
                <w:rFonts w:hint="eastAsia" w:cs="宋体" w:asciiTheme="minorEastAsia" w:hAnsiTheme="minorEastAsia" w:eastAsiaTheme="minorEastAsia"/>
                <w:color w:val="auto"/>
                <w:szCs w:val="21"/>
                <w:highlight w:val="none"/>
              </w:rPr>
              <w:t>.供应商认为需要提供的其他有关资料。</w:t>
            </w:r>
          </w:p>
          <w:p w14:paraId="68EE52AA">
            <w:pPr>
              <w:snapToGrid w:val="0"/>
              <w:spacing w:line="430" w:lineRule="exact"/>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注：以上标明“必须提供”的材料属于复印件的，必须加盖供应商</w:t>
            </w:r>
            <w:r>
              <w:rPr>
                <w:rFonts w:hint="eastAsia" w:asciiTheme="minorEastAsia" w:hAnsiTheme="minorEastAsia" w:eastAsiaTheme="minorEastAsia"/>
                <w:b/>
                <w:bCs/>
                <w:color w:val="auto"/>
                <w:szCs w:val="21"/>
                <w:highlight w:val="none"/>
              </w:rPr>
              <w:t>电子签章</w:t>
            </w:r>
            <w:r>
              <w:rPr>
                <w:rFonts w:hint="eastAsia" w:cs="宋体" w:asciiTheme="minorEastAsia" w:hAnsiTheme="minorEastAsia" w:eastAsiaTheme="minorEastAsia"/>
                <w:b/>
                <w:color w:val="auto"/>
                <w:szCs w:val="21"/>
                <w:highlight w:val="none"/>
              </w:rPr>
              <w:t>，否则响应文件按无效响应处理。</w:t>
            </w:r>
          </w:p>
        </w:tc>
      </w:tr>
      <w:tr w14:paraId="18C4C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7378BEB7">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15.2</w:t>
            </w:r>
          </w:p>
        </w:tc>
        <w:tc>
          <w:tcPr>
            <w:tcW w:w="8359" w:type="dxa"/>
            <w:vAlign w:val="center"/>
          </w:tcPr>
          <w:p w14:paraId="27CE886C">
            <w:pPr>
              <w:spacing w:line="430" w:lineRule="exact"/>
              <w:contextualSpacing/>
              <w:jc w:val="left"/>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磋商报价是供应商完成本项目的全部服务内容及其相关工作所需的全部费用：</w:t>
            </w:r>
            <w:r>
              <w:rPr>
                <w:rFonts w:hint="eastAsia" w:cs="宋体" w:asciiTheme="minorEastAsia" w:hAnsiTheme="minorEastAsia" w:eastAsiaTheme="minorEastAsia"/>
                <w:color w:val="auto"/>
                <w:szCs w:val="21"/>
                <w:highlight w:val="none"/>
              </w:rPr>
              <w:t>应</w:t>
            </w:r>
            <w:r>
              <w:rPr>
                <w:rFonts w:hint="eastAsia" w:asciiTheme="minorEastAsia" w:hAnsiTheme="minorEastAsia" w:eastAsiaTheme="minorEastAsia"/>
                <w:color w:val="auto"/>
                <w:szCs w:val="21"/>
                <w:highlight w:val="none"/>
              </w:rPr>
              <w:t>包括服务价款，备件、技术培训及技术资料和税费等全部费用。</w:t>
            </w:r>
          </w:p>
        </w:tc>
      </w:tr>
      <w:tr w14:paraId="50081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5D109001">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w:t>
            </w:r>
            <w:r>
              <w:rPr>
                <w:rFonts w:cs="宋体" w:asciiTheme="minorEastAsia" w:hAnsiTheme="minorEastAsia" w:eastAsiaTheme="minorEastAsia"/>
                <w:color w:val="auto"/>
                <w:szCs w:val="21"/>
                <w:highlight w:val="none"/>
              </w:rPr>
              <w:t>2</w:t>
            </w:r>
          </w:p>
        </w:tc>
        <w:tc>
          <w:tcPr>
            <w:tcW w:w="8359" w:type="dxa"/>
            <w:vAlign w:val="center"/>
          </w:tcPr>
          <w:p w14:paraId="4DC1DB75">
            <w:pPr>
              <w:pStyle w:val="13"/>
              <w:widowControl w:val="0"/>
              <w:tabs>
                <w:tab w:val="clear" w:pos="454"/>
              </w:tabs>
              <w:snapToGrid w:val="0"/>
              <w:spacing w:afterLines="0" w:line="430" w:lineRule="exact"/>
              <w:ind w:left="283" w:hanging="283" w:hangingChars="135"/>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竞标有效期：自首次响应文件提交截止之日起</w:t>
            </w:r>
            <w:r>
              <w:rPr>
                <w:rFonts w:cs="宋体" w:asciiTheme="minorEastAsia" w:hAnsiTheme="minorEastAsia" w:eastAsiaTheme="minorEastAsia"/>
                <w:color w:val="auto"/>
                <w:kern w:val="2"/>
                <w:sz w:val="21"/>
                <w:szCs w:val="21"/>
                <w:highlight w:val="none"/>
                <w:u w:val="single"/>
              </w:rPr>
              <w:t>60</w:t>
            </w:r>
            <w:r>
              <w:rPr>
                <w:rFonts w:hint="eastAsia" w:cs="宋体" w:asciiTheme="minorEastAsia" w:hAnsiTheme="minorEastAsia" w:eastAsiaTheme="minorEastAsia"/>
                <w:color w:val="auto"/>
                <w:kern w:val="2"/>
                <w:sz w:val="21"/>
                <w:szCs w:val="21"/>
                <w:highlight w:val="none"/>
              </w:rPr>
              <w:t>日。</w:t>
            </w:r>
          </w:p>
        </w:tc>
      </w:tr>
      <w:tr w14:paraId="08B87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2061288F">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17.1</w:t>
            </w:r>
          </w:p>
        </w:tc>
        <w:tc>
          <w:tcPr>
            <w:tcW w:w="8359" w:type="dxa"/>
            <w:vAlign w:val="center"/>
          </w:tcPr>
          <w:p w14:paraId="4E5B488F">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□本项目不收取磋商保证金。</w:t>
            </w:r>
          </w:p>
          <w:p w14:paraId="5D0A5995">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ascii="Segoe UI Symbol" w:hAnsi="Segoe UI Symbol" w:cs="Segoe UI Symbol" w:eastAsiaTheme="minorEastAsia"/>
                <w:color w:val="auto"/>
                <w:szCs w:val="21"/>
                <w:highlight w:val="none"/>
              </w:rPr>
              <w:t>☑</w:t>
            </w:r>
            <w:r>
              <w:rPr>
                <w:rFonts w:hint="eastAsia" w:asciiTheme="minorEastAsia" w:hAnsiTheme="minorEastAsia" w:eastAsiaTheme="minorEastAsia"/>
                <w:color w:val="auto"/>
                <w:szCs w:val="21"/>
                <w:highlight w:val="none"/>
              </w:rPr>
              <w:t>本项目收取磋商保证金，具体规定如下：</w:t>
            </w:r>
          </w:p>
          <w:p w14:paraId="03810B98">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磋商保证金（人民币）：分标1：</w:t>
            </w:r>
            <w:r>
              <w:rPr>
                <w:rFonts w:hint="eastAsia" w:cs="宋体" w:asciiTheme="minorEastAsia" w:hAnsiTheme="minorEastAsia" w:eastAsiaTheme="minorEastAsia"/>
                <w:color w:val="auto"/>
                <w:kern w:val="0"/>
                <w:szCs w:val="21"/>
                <w:highlight w:val="none"/>
                <w:lang w:val="en-US" w:eastAsia="zh-CN"/>
              </w:rPr>
              <w:t>3</w:t>
            </w:r>
            <w:r>
              <w:rPr>
                <w:rFonts w:hint="eastAsia" w:cs="宋体" w:asciiTheme="minorEastAsia" w:hAnsiTheme="minorEastAsia" w:eastAsiaTheme="minorEastAsia"/>
                <w:color w:val="auto"/>
                <w:kern w:val="0"/>
                <w:szCs w:val="21"/>
                <w:highlight w:val="none"/>
              </w:rPr>
              <w:t>000元；分标2：</w:t>
            </w:r>
            <w:r>
              <w:rPr>
                <w:rFonts w:hint="eastAsia" w:cs="宋体" w:asciiTheme="minorEastAsia" w:hAnsiTheme="minorEastAsia" w:eastAsiaTheme="minorEastAsia"/>
                <w:color w:val="auto"/>
                <w:kern w:val="0"/>
                <w:szCs w:val="21"/>
                <w:highlight w:val="none"/>
                <w:lang w:val="en-US" w:eastAsia="zh-CN"/>
              </w:rPr>
              <w:t>2</w:t>
            </w:r>
            <w:r>
              <w:rPr>
                <w:rFonts w:hint="eastAsia" w:cs="宋体" w:asciiTheme="minorEastAsia" w:hAnsiTheme="minorEastAsia" w:eastAsiaTheme="minorEastAsia"/>
                <w:color w:val="auto"/>
                <w:kern w:val="0"/>
                <w:szCs w:val="21"/>
                <w:highlight w:val="none"/>
              </w:rPr>
              <w:t>500元；分标3:</w:t>
            </w:r>
            <w:r>
              <w:rPr>
                <w:rFonts w:hint="eastAsia" w:cs="宋体" w:asciiTheme="minorEastAsia" w:hAnsiTheme="minorEastAsia" w:eastAsiaTheme="minorEastAsia"/>
                <w:color w:val="auto"/>
                <w:kern w:val="0"/>
                <w:szCs w:val="21"/>
                <w:highlight w:val="none"/>
                <w:lang w:val="en-US" w:eastAsia="zh-CN"/>
              </w:rPr>
              <w:t>20</w:t>
            </w:r>
            <w:r>
              <w:rPr>
                <w:rFonts w:hint="eastAsia" w:cs="宋体" w:asciiTheme="minorEastAsia" w:hAnsiTheme="minorEastAsia" w:eastAsiaTheme="minorEastAsia"/>
                <w:color w:val="auto"/>
                <w:kern w:val="0"/>
                <w:szCs w:val="21"/>
                <w:highlight w:val="none"/>
              </w:rPr>
              <w:t>00元；分标</w:t>
            </w:r>
            <w:r>
              <w:rPr>
                <w:rFonts w:hint="eastAsia" w:cs="宋体" w:asciiTheme="minorEastAsia" w:hAnsiTheme="minorEastAsia" w:eastAsiaTheme="minorEastAsia"/>
                <w:color w:val="auto"/>
                <w:kern w:val="0"/>
                <w:szCs w:val="21"/>
                <w:highlight w:val="none"/>
                <w:lang w:val="en-US" w:eastAsia="zh-CN"/>
              </w:rPr>
              <w:t>4</w:t>
            </w:r>
            <w:r>
              <w:rPr>
                <w:rFonts w:hint="eastAsia"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kern w:val="0"/>
                <w:szCs w:val="21"/>
                <w:highlight w:val="none"/>
                <w:lang w:val="en-US" w:eastAsia="zh-CN"/>
              </w:rPr>
              <w:t>10</w:t>
            </w:r>
            <w:r>
              <w:rPr>
                <w:rFonts w:hint="eastAsia" w:cs="宋体" w:asciiTheme="minorEastAsia" w:hAnsiTheme="minorEastAsia" w:eastAsiaTheme="minorEastAsia"/>
                <w:color w:val="auto"/>
                <w:kern w:val="0"/>
                <w:szCs w:val="21"/>
                <w:highlight w:val="none"/>
              </w:rPr>
              <w:t>00元。</w:t>
            </w:r>
          </w:p>
          <w:p w14:paraId="3EAD408C">
            <w:pPr>
              <w:snapToGrid w:val="0"/>
              <w:spacing w:line="43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磋商保证金的交纳方式：磋商保证金的交纳方式：银行转账、支票、汇票、本票或者银行、保险机构出具的保函等非现金形式。采用银行转账方式的，在响应文件递交截止时间前交至采购代理机构指定账户并且到账（开户银行：民生银行南宁金湖支行，开户名称：广西建隆工程咨询有限公司，银行账号：172617222）。采用支票、汇票、本票或者保函等方式的，在首次响应文件提交截止时间前，供应商必须提交单独密封的支票、汇票、本票或者保函等原件给采购代理机构。</w:t>
            </w:r>
          </w:p>
          <w:p w14:paraId="59A282BC">
            <w:pPr>
              <w:snapToGrid w:val="0"/>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相关要求：</w:t>
            </w:r>
          </w:p>
          <w:p w14:paraId="1612872E">
            <w:pPr>
              <w:snapToGrid w:val="0"/>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1.磋商保证金采用银行转账交纳方式的，在响应文件提交截止时间前交至指定账户并且到账，供应商应将银行转账底单的复印件作为磋商保证金提交凭证，放置于商务技术文件中，</w:t>
            </w:r>
            <w:r>
              <w:rPr>
                <w:rFonts w:hint="eastAsia" w:cs="宋体" w:asciiTheme="minorEastAsia" w:hAnsiTheme="minorEastAsia" w:eastAsiaTheme="minorEastAsia"/>
                <w:b/>
                <w:color w:val="auto"/>
                <w:szCs w:val="21"/>
                <w:highlight w:val="none"/>
              </w:rPr>
              <w:t>否则响应文件按无效响应处理</w:t>
            </w:r>
            <w:r>
              <w:rPr>
                <w:rFonts w:hint="eastAsia" w:cs="宋体" w:asciiTheme="minorEastAsia" w:hAnsiTheme="minorEastAsia" w:eastAsiaTheme="minorEastAsia"/>
                <w:color w:val="auto"/>
                <w:szCs w:val="21"/>
                <w:highlight w:val="none"/>
              </w:rPr>
              <w:t>。</w:t>
            </w:r>
          </w:p>
          <w:p w14:paraId="5CE53376">
            <w:pPr>
              <w:snapToGrid w:val="0"/>
              <w:spacing w:line="43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2.磋商保证金采用支票、汇票、本票或者银行、保险机构出具的保函交纳方式的，供应商应将支票、汇票、本票或者银行、保险机构出具的保函的复印件作为磋商保证金提交凭证，放置于</w:t>
            </w:r>
            <w:r>
              <w:rPr>
                <w:rFonts w:hint="eastAsia" w:cs="宋体" w:asciiTheme="minorEastAsia" w:hAnsiTheme="minorEastAsia" w:eastAsiaTheme="minorEastAsia"/>
                <w:color w:val="auto"/>
                <w:szCs w:val="21"/>
                <w:highlight w:val="none"/>
              </w:rPr>
              <w:t>商务技术文件</w:t>
            </w:r>
            <w:r>
              <w:rPr>
                <w:rFonts w:hint="eastAsia" w:asciiTheme="minorEastAsia" w:hAnsiTheme="minorEastAsia" w:eastAsiaTheme="minorEastAsia"/>
                <w:color w:val="auto"/>
                <w:szCs w:val="21"/>
                <w:highlight w:val="none"/>
              </w:rPr>
              <w:t>中，</w:t>
            </w:r>
            <w:r>
              <w:rPr>
                <w:rFonts w:hint="eastAsia" w:cs="宋体" w:asciiTheme="minorEastAsia" w:hAnsiTheme="minorEastAsia" w:eastAsiaTheme="minorEastAsia"/>
                <w:b/>
                <w:color w:val="auto"/>
                <w:szCs w:val="21"/>
                <w:highlight w:val="none"/>
              </w:rPr>
              <w:t>否则响应文件按无效处理</w:t>
            </w:r>
            <w:r>
              <w:rPr>
                <w:rFonts w:hint="eastAsia" w:asciiTheme="minorEastAsia" w:hAnsiTheme="minorEastAsia" w:eastAsiaTheme="minorEastAsia"/>
                <w:color w:val="auto"/>
                <w:szCs w:val="21"/>
                <w:highlight w:val="none"/>
              </w:rPr>
              <w:t>。供应商必须在响应文件提交截止时间前采用现场或邮寄方式（现场提交地址：</w:t>
            </w:r>
            <w:r>
              <w:rPr>
                <w:rFonts w:hint="eastAsia" w:asciiTheme="minorEastAsia" w:hAnsiTheme="minorEastAsia" w:eastAsiaTheme="minorEastAsia"/>
                <w:color w:val="auto"/>
                <w:szCs w:val="21"/>
                <w:highlight w:val="none"/>
                <w:u w:val="single"/>
              </w:rPr>
              <w:t>广西建隆工程咨询有限公司</w:t>
            </w:r>
            <w:r>
              <w:rPr>
                <w:rFonts w:hint="eastAsia" w:asciiTheme="minorEastAsia" w:hAnsiTheme="minorEastAsia" w:eastAsiaTheme="minorEastAsia"/>
                <w:color w:val="auto"/>
                <w:szCs w:val="21"/>
                <w:highlight w:val="none"/>
              </w:rPr>
              <w:t>；邮寄地址：</w:t>
            </w:r>
            <w:r>
              <w:rPr>
                <w:rFonts w:hint="eastAsia" w:asciiTheme="minorEastAsia" w:hAnsiTheme="minorEastAsia" w:eastAsiaTheme="minorEastAsia"/>
                <w:color w:val="auto"/>
                <w:szCs w:val="21"/>
                <w:highlight w:val="none"/>
                <w:u w:val="single"/>
              </w:rPr>
              <w:t>广西南宁市竹溪大道36号青湖中心1301号</w:t>
            </w:r>
            <w:r>
              <w:rPr>
                <w:rFonts w:hint="eastAsia" w:asciiTheme="minorEastAsia" w:hAnsiTheme="minorEastAsia" w:eastAsiaTheme="minorEastAsia"/>
                <w:color w:val="auto"/>
                <w:szCs w:val="21"/>
                <w:highlight w:val="none"/>
              </w:rPr>
              <w:t>，收件人：</w:t>
            </w:r>
            <w:r>
              <w:rPr>
                <w:rFonts w:hint="eastAsia" w:asciiTheme="minorEastAsia" w:hAnsiTheme="minorEastAsia" w:eastAsiaTheme="minorEastAsia"/>
                <w:color w:val="auto"/>
                <w:szCs w:val="21"/>
                <w:highlight w:val="none"/>
                <w:u w:val="single"/>
                <w:lang w:eastAsia="zh-CN"/>
              </w:rPr>
              <w:t>邓玉琼  冯娟娟</w:t>
            </w:r>
            <w:r>
              <w:rPr>
                <w:rFonts w:hint="eastAsia" w:asciiTheme="minorEastAsia" w:hAnsiTheme="minorEastAsia" w:eastAsiaTheme="minorEastAsia"/>
                <w:color w:val="auto"/>
                <w:szCs w:val="21"/>
                <w:highlight w:val="none"/>
              </w:rPr>
              <w:t>，联系方式：</w:t>
            </w:r>
            <w:r>
              <w:rPr>
                <w:rFonts w:hint="eastAsia" w:asciiTheme="minorEastAsia" w:hAnsiTheme="minorEastAsia" w:eastAsiaTheme="minorEastAsia"/>
                <w:color w:val="auto"/>
                <w:szCs w:val="21"/>
                <w:highlight w:val="none"/>
                <w:u w:val="single"/>
              </w:rPr>
              <w:t xml:space="preserve">0771-5345232  </w:t>
            </w:r>
            <w:r>
              <w:rPr>
                <w:rFonts w:hint="eastAsia" w:asciiTheme="minorEastAsia" w:hAnsiTheme="minorEastAsia" w:eastAsiaTheme="minorEastAsia"/>
                <w:color w:val="auto"/>
                <w:szCs w:val="21"/>
                <w:highlight w:val="none"/>
              </w:rPr>
              <w:t>）将</w:t>
            </w:r>
            <w:r>
              <w:rPr>
                <w:rFonts w:hint="eastAsia" w:cs="宋体" w:asciiTheme="minorEastAsia" w:hAnsiTheme="minorEastAsia" w:eastAsiaTheme="minorEastAsia"/>
                <w:color w:val="auto"/>
                <w:kern w:val="0"/>
                <w:szCs w:val="21"/>
                <w:highlight w:val="none"/>
              </w:rPr>
              <w:t>单独密封的</w:t>
            </w:r>
            <w:r>
              <w:rPr>
                <w:rFonts w:hint="eastAsia" w:asciiTheme="minorEastAsia" w:hAnsiTheme="minorEastAsia" w:eastAsiaTheme="minorEastAsia"/>
                <w:color w:val="auto"/>
                <w:szCs w:val="21"/>
                <w:highlight w:val="none"/>
              </w:rPr>
              <w:t>支票、汇票、本票或者银行、保险机构出具的保函原件提交给采购人或者采购代理机构，由采购人或者采购代理机构向供应商出具回执（邮寄方式的除外），并妥善保管。</w:t>
            </w:r>
          </w:p>
          <w:p w14:paraId="7AA6658A">
            <w:pPr>
              <w:snapToGrid w:val="0"/>
              <w:spacing w:line="43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3.供应商为联合体的，可以由联合体中的一方或者多方共同交纳磋商保证金，其交纳的保证金对联合体各方均具有约束力。</w:t>
            </w:r>
          </w:p>
          <w:p w14:paraId="0804DFFB">
            <w:pPr>
              <w:snapToGrid w:val="0"/>
              <w:spacing w:line="43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备注：</w:t>
            </w:r>
          </w:p>
          <w:p w14:paraId="608FCAD7">
            <w:pPr>
              <w:snapToGrid w:val="0"/>
              <w:spacing w:line="43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1.磋商保证金在响应文件提交截止时间后提交的，或者不按规定交纳方式交纳的，或者未足额交纳的（包含保函额度不足的），视为无效磋商保证金。</w:t>
            </w:r>
          </w:p>
          <w:p w14:paraId="5F83CBDC">
            <w:pPr>
              <w:snapToGrid w:val="0"/>
              <w:spacing w:line="43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2.供应商采用现钞方式或者从个人账户（自然人竞标除外）转出的磋商保证金，视为无效磋商保证金。</w:t>
            </w:r>
          </w:p>
          <w:p w14:paraId="3C3956A0">
            <w:pPr>
              <w:snapToGrid w:val="0"/>
              <w:spacing w:line="43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3.支票、汇票或者本票出现无效或者背书情形的，视为无效磋商保证金。</w:t>
            </w:r>
          </w:p>
          <w:p w14:paraId="15BD5881">
            <w:pPr>
              <w:snapToGrid w:val="0"/>
              <w:spacing w:line="43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4.保函有效期低于竞标有效期的，视为无效磋商保证金。</w:t>
            </w:r>
          </w:p>
          <w:p w14:paraId="206D4B85">
            <w:pPr>
              <w:snapToGrid w:val="0"/>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5.采用银行、保险机构出具保函的，必须为无条件保函，否则视为无效磋商保证金。</w:t>
            </w:r>
          </w:p>
        </w:tc>
      </w:tr>
      <w:tr w14:paraId="71EF5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0E89B460">
            <w:pPr>
              <w:spacing w:line="43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19</w:t>
            </w:r>
          </w:p>
        </w:tc>
        <w:tc>
          <w:tcPr>
            <w:tcW w:w="8359" w:type="dxa"/>
            <w:vAlign w:val="center"/>
          </w:tcPr>
          <w:p w14:paraId="0445C335">
            <w:pPr>
              <w:spacing w:line="430" w:lineRule="exact"/>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本项目不接受电子备份响应文件</w:t>
            </w:r>
          </w:p>
        </w:tc>
      </w:tr>
      <w:tr w14:paraId="66BBA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2E72DB05">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20.1</w:t>
            </w:r>
          </w:p>
        </w:tc>
        <w:tc>
          <w:tcPr>
            <w:tcW w:w="8359" w:type="dxa"/>
            <w:vAlign w:val="center"/>
          </w:tcPr>
          <w:p w14:paraId="4CC6A1EF">
            <w:pPr>
              <w:spacing w:line="430" w:lineRule="exact"/>
              <w:contextualSpacing/>
              <w:jc w:val="left"/>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响应文件提交截止时间：详见竞争性磋商公告。</w:t>
            </w:r>
          </w:p>
          <w:p w14:paraId="3420D4E0">
            <w:pPr>
              <w:spacing w:line="430" w:lineRule="exact"/>
              <w:contextualSpacing/>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响应文件提交地点：详见竞争性磋商公告。</w:t>
            </w:r>
          </w:p>
        </w:tc>
      </w:tr>
      <w:tr w14:paraId="6C355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22AC8DE9">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24.1</w:t>
            </w:r>
          </w:p>
        </w:tc>
        <w:tc>
          <w:tcPr>
            <w:tcW w:w="8359" w:type="dxa"/>
            <w:vAlign w:val="center"/>
          </w:tcPr>
          <w:p w14:paraId="079EAC64">
            <w:pPr>
              <w:snapToGrid w:val="0"/>
              <w:spacing w:line="430" w:lineRule="exact"/>
              <w:jc w:val="left"/>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磋商小组的人数：</w:t>
            </w:r>
            <w:r>
              <w:rPr>
                <w:rFonts w:cs="宋体" w:asciiTheme="minorEastAsia" w:hAnsiTheme="minorEastAsia" w:eastAsiaTheme="minorEastAsia"/>
                <w:color w:val="auto"/>
                <w:szCs w:val="21"/>
                <w:highlight w:val="none"/>
                <w:u w:val="single"/>
              </w:rPr>
              <w:t>3</w:t>
            </w:r>
            <w:r>
              <w:rPr>
                <w:rFonts w:hint="eastAsia" w:cs="宋体" w:asciiTheme="minorEastAsia" w:hAnsiTheme="minorEastAsia" w:eastAsiaTheme="minorEastAsia"/>
                <w:color w:val="auto"/>
                <w:szCs w:val="21"/>
                <w:highlight w:val="none"/>
              </w:rPr>
              <w:t>人或以上单数。</w:t>
            </w:r>
          </w:p>
        </w:tc>
      </w:tr>
      <w:tr w14:paraId="7F45F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0752535C">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5</w:t>
            </w:r>
          </w:p>
        </w:tc>
        <w:tc>
          <w:tcPr>
            <w:tcW w:w="8359" w:type="dxa"/>
            <w:vAlign w:val="center"/>
          </w:tcPr>
          <w:p w14:paraId="5779A9EB">
            <w:pPr>
              <w:snapToGrid w:val="0"/>
              <w:spacing w:line="430" w:lineRule="exact"/>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首次响应文件开启时间详见“竞争性磋商公告”</w:t>
            </w:r>
          </w:p>
          <w:p w14:paraId="01907785">
            <w:pPr>
              <w:snapToGrid w:val="0"/>
              <w:spacing w:line="430" w:lineRule="exact"/>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首次响应文件解密时间：</w:t>
            </w:r>
            <w:r>
              <w:rPr>
                <w:rFonts w:asciiTheme="minorEastAsia" w:hAnsiTheme="minorEastAsia" w:eastAsiaTheme="minorEastAsia"/>
                <w:color w:val="auto"/>
                <w:szCs w:val="21"/>
                <w:highlight w:val="none"/>
                <w:u w:val="single"/>
              </w:rPr>
              <w:t xml:space="preserve">30 </w:t>
            </w:r>
            <w:r>
              <w:rPr>
                <w:rFonts w:hint="eastAsia" w:asciiTheme="minorEastAsia" w:hAnsiTheme="minorEastAsia" w:eastAsiaTheme="minorEastAsia"/>
                <w:color w:val="auto"/>
                <w:szCs w:val="21"/>
                <w:highlight w:val="none"/>
              </w:rPr>
              <w:t>分钟</w:t>
            </w:r>
          </w:p>
        </w:tc>
      </w:tr>
      <w:tr w14:paraId="68DB3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34B74F16">
            <w:pPr>
              <w:spacing w:line="43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28.1</w:t>
            </w:r>
          </w:p>
        </w:tc>
        <w:tc>
          <w:tcPr>
            <w:tcW w:w="8359" w:type="dxa"/>
            <w:vAlign w:val="center"/>
          </w:tcPr>
          <w:p w14:paraId="368D2DEA">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本项目不收取履约保证金。</w:t>
            </w:r>
          </w:p>
        </w:tc>
      </w:tr>
      <w:tr w14:paraId="088BD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0622D4E1">
            <w:pPr>
              <w:spacing w:line="43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29.1</w:t>
            </w:r>
          </w:p>
        </w:tc>
        <w:tc>
          <w:tcPr>
            <w:tcW w:w="8359" w:type="dxa"/>
            <w:vAlign w:val="center"/>
          </w:tcPr>
          <w:p w14:paraId="25F1267B">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签订合同携带的证明材料：</w:t>
            </w:r>
          </w:p>
          <w:p w14:paraId="794A7A0B">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委托代理人负责签订合同的，须携带授权委托书及委托代理人身份证原件等其他资格证件。</w:t>
            </w:r>
          </w:p>
          <w:p w14:paraId="7F86D69D">
            <w:pPr>
              <w:snapToGrid w:val="0"/>
              <w:spacing w:line="430" w:lineRule="exact"/>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法定代表人负责签订合同的，须携带法定代表人</w:t>
            </w:r>
            <w:r>
              <w:rPr>
                <w:rFonts w:asciiTheme="minorEastAsia" w:hAnsiTheme="minorEastAsia" w:eastAsiaTheme="minorEastAsia"/>
                <w:color w:val="auto"/>
                <w:szCs w:val="21"/>
                <w:highlight w:val="none"/>
              </w:rPr>
              <w:t>身份证明原件</w:t>
            </w:r>
            <w:r>
              <w:rPr>
                <w:rFonts w:hint="eastAsia" w:asciiTheme="minorEastAsia" w:hAnsiTheme="minorEastAsia" w:eastAsiaTheme="minorEastAsia"/>
                <w:color w:val="auto"/>
                <w:szCs w:val="21"/>
                <w:highlight w:val="none"/>
              </w:rPr>
              <w:t>及</w:t>
            </w:r>
            <w:r>
              <w:rPr>
                <w:rFonts w:asciiTheme="minorEastAsia" w:hAnsiTheme="minorEastAsia" w:eastAsiaTheme="minorEastAsia"/>
                <w:color w:val="auto"/>
                <w:szCs w:val="21"/>
                <w:highlight w:val="none"/>
              </w:rPr>
              <w:t>身份证原件</w:t>
            </w:r>
            <w:r>
              <w:rPr>
                <w:rFonts w:hint="eastAsia" w:asciiTheme="minorEastAsia" w:hAnsiTheme="minorEastAsia" w:eastAsiaTheme="minorEastAsia"/>
                <w:color w:val="auto"/>
                <w:szCs w:val="21"/>
                <w:highlight w:val="none"/>
              </w:rPr>
              <w:t>等其他证明材料。</w:t>
            </w:r>
          </w:p>
        </w:tc>
      </w:tr>
      <w:tr w14:paraId="55557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7459D8A4">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cs="宋体" w:asciiTheme="minorEastAsia" w:hAnsiTheme="minorEastAsia" w:eastAsiaTheme="minorEastAsia"/>
                <w:color w:val="auto"/>
                <w:szCs w:val="21"/>
                <w:highlight w:val="none"/>
              </w:rPr>
              <w:t>1.2</w:t>
            </w:r>
          </w:p>
        </w:tc>
        <w:tc>
          <w:tcPr>
            <w:tcW w:w="8359" w:type="dxa"/>
            <w:vAlign w:val="center"/>
          </w:tcPr>
          <w:p w14:paraId="5CB2545C">
            <w:pPr>
              <w:snapToGrid w:val="0"/>
              <w:spacing w:line="43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接收质疑函方式：以书面形式。</w:t>
            </w:r>
          </w:p>
          <w:p w14:paraId="19049D89">
            <w:pPr>
              <w:snapToGrid w:val="0"/>
              <w:spacing w:line="430" w:lineRule="exact"/>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质疑联系部门及联系方式：</w:t>
            </w:r>
            <w:r>
              <w:rPr>
                <w:rFonts w:hint="eastAsia" w:cs="宋体" w:asciiTheme="minorEastAsia" w:hAnsiTheme="minorEastAsia" w:eastAsiaTheme="minorEastAsia"/>
                <w:color w:val="auto"/>
                <w:szCs w:val="21"/>
                <w:highlight w:val="none"/>
                <w:u w:val="single"/>
              </w:rPr>
              <w:t>广西建隆工程咨询有限公司</w:t>
            </w:r>
          </w:p>
          <w:p w14:paraId="13B1F773">
            <w:pPr>
              <w:snapToGrid w:val="0"/>
              <w:spacing w:line="430" w:lineRule="exact"/>
              <w:rPr>
                <w:rFonts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联系电话：</w:t>
            </w:r>
            <w:r>
              <w:rPr>
                <w:rFonts w:hint="eastAsia" w:asciiTheme="minorEastAsia" w:hAnsiTheme="minorEastAsia" w:eastAsiaTheme="minorEastAsia"/>
                <w:color w:val="auto"/>
                <w:szCs w:val="21"/>
                <w:highlight w:val="none"/>
                <w:u w:val="single"/>
              </w:rPr>
              <w:t>详见采购公告</w:t>
            </w:r>
          </w:p>
          <w:p w14:paraId="61F495B3">
            <w:pPr>
              <w:snapToGrid w:val="0"/>
              <w:spacing w:line="430" w:lineRule="exact"/>
              <w:rPr>
                <w:rFonts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通讯地址：</w:t>
            </w:r>
            <w:r>
              <w:rPr>
                <w:rFonts w:hint="eastAsia" w:asciiTheme="minorEastAsia" w:hAnsiTheme="minorEastAsia" w:eastAsiaTheme="minorEastAsia"/>
                <w:color w:val="auto"/>
                <w:szCs w:val="21"/>
                <w:highlight w:val="none"/>
                <w:u w:val="single"/>
              </w:rPr>
              <w:t>详见采购公告</w:t>
            </w:r>
          </w:p>
          <w:p w14:paraId="4B6693F9">
            <w:pPr>
              <w:snapToGrid w:val="0"/>
              <w:spacing w:line="430" w:lineRule="exac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业务时间：工作日每天上午</w:t>
            </w:r>
            <w:r>
              <w:rPr>
                <w:rFonts w:cs="宋体" w:asciiTheme="minorEastAsia" w:hAnsiTheme="minorEastAsia" w:eastAsiaTheme="minorEastAsia"/>
                <w:color w:val="auto"/>
                <w:szCs w:val="21"/>
                <w:highlight w:val="none"/>
              </w:rPr>
              <w:t>8</w:t>
            </w:r>
            <w:r>
              <w:rPr>
                <w:rFonts w:hint="eastAsia" w:cs="宋体" w:asciiTheme="minorEastAsia" w:hAnsiTheme="minorEastAsia" w:eastAsiaTheme="minorEastAsia"/>
                <w:color w:val="auto"/>
                <w:szCs w:val="21"/>
                <w:highlight w:val="none"/>
              </w:rPr>
              <w:t>时3</w:t>
            </w: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rPr>
              <w:t>分到</w:t>
            </w:r>
            <w:r>
              <w:rPr>
                <w:rFonts w:cs="宋体" w:asciiTheme="minorEastAsia" w:hAnsiTheme="minorEastAsia" w:eastAsiaTheme="minorEastAsia"/>
                <w:color w:val="auto"/>
                <w:szCs w:val="21"/>
                <w:highlight w:val="none"/>
              </w:rPr>
              <w:t>12</w:t>
            </w:r>
            <w:r>
              <w:rPr>
                <w:rFonts w:hint="eastAsia" w:cs="宋体" w:asciiTheme="minorEastAsia" w:hAnsiTheme="minorEastAsia" w:eastAsiaTheme="minorEastAsia"/>
                <w:color w:val="auto"/>
                <w:szCs w:val="21"/>
                <w:highlight w:val="none"/>
              </w:rPr>
              <w:t>时</w:t>
            </w:r>
            <w:r>
              <w:rPr>
                <w:rFonts w:cs="宋体" w:asciiTheme="minorEastAsia" w:hAnsiTheme="minorEastAsia" w:eastAsiaTheme="minorEastAsia"/>
                <w:color w:val="auto"/>
                <w:szCs w:val="21"/>
                <w:highlight w:val="none"/>
              </w:rPr>
              <w:t>00</w:t>
            </w:r>
            <w:r>
              <w:rPr>
                <w:rFonts w:hint="eastAsia" w:cs="宋体" w:asciiTheme="minorEastAsia" w:hAnsiTheme="minorEastAsia" w:eastAsiaTheme="minorEastAsia"/>
                <w:color w:val="auto"/>
                <w:szCs w:val="21"/>
                <w:highlight w:val="none"/>
              </w:rPr>
              <w:t>分，下午15时</w:t>
            </w:r>
            <w:r>
              <w:rPr>
                <w:rFonts w:cs="宋体" w:asciiTheme="minorEastAsia" w:hAnsiTheme="minorEastAsia" w:eastAsiaTheme="minorEastAsia"/>
                <w:color w:val="auto"/>
                <w:szCs w:val="21"/>
                <w:highlight w:val="none"/>
              </w:rPr>
              <w:t>00</w:t>
            </w:r>
            <w:r>
              <w:rPr>
                <w:rFonts w:hint="eastAsia" w:cs="宋体" w:asciiTheme="minorEastAsia" w:hAnsiTheme="minorEastAsia" w:eastAsiaTheme="minorEastAsia"/>
                <w:color w:val="auto"/>
                <w:szCs w:val="21"/>
                <w:highlight w:val="none"/>
              </w:rPr>
              <w:t>分到18时</w:t>
            </w:r>
            <w:r>
              <w:rPr>
                <w:rFonts w:cs="宋体" w:asciiTheme="minorEastAsia" w:hAnsiTheme="minorEastAsia" w:eastAsiaTheme="minorEastAsia"/>
                <w:color w:val="auto"/>
                <w:szCs w:val="21"/>
                <w:highlight w:val="none"/>
              </w:rPr>
              <w:t>00</w:t>
            </w:r>
            <w:r>
              <w:rPr>
                <w:rFonts w:hint="eastAsia" w:cs="宋体" w:asciiTheme="minorEastAsia" w:hAnsiTheme="minorEastAsia" w:eastAsiaTheme="minorEastAsia"/>
                <w:color w:val="auto"/>
                <w:szCs w:val="21"/>
                <w:highlight w:val="none"/>
              </w:rPr>
              <w:t>分，</w:t>
            </w:r>
            <w:r>
              <w:rPr>
                <w:rFonts w:hint="eastAsia" w:asciiTheme="minorEastAsia" w:hAnsiTheme="minorEastAsia" w:eastAsiaTheme="minorEastAsia"/>
                <w:color w:val="auto"/>
                <w:szCs w:val="21"/>
                <w:highlight w:val="none"/>
              </w:rPr>
              <w:t>双休日和法定节假日不办理业务。</w:t>
            </w:r>
          </w:p>
        </w:tc>
      </w:tr>
      <w:tr w14:paraId="32B77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7BBD7322">
            <w:pPr>
              <w:spacing w:line="43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32.1</w:t>
            </w:r>
          </w:p>
        </w:tc>
        <w:tc>
          <w:tcPr>
            <w:tcW w:w="8359" w:type="dxa"/>
            <w:vAlign w:val="center"/>
          </w:tcPr>
          <w:p w14:paraId="35C910AA">
            <w:pPr>
              <w:pStyle w:val="23"/>
              <w:snapToGrid w:val="0"/>
              <w:spacing w:line="430" w:lineRule="exact"/>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1.采购代理费支付方式：</w:t>
            </w:r>
          </w:p>
          <w:p w14:paraId="49674B0E">
            <w:pPr>
              <w:pStyle w:val="23"/>
              <w:snapToGrid w:val="0"/>
              <w:spacing w:line="430" w:lineRule="exact"/>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本项目代理服务费按如下规定由</w:t>
            </w:r>
            <w:r>
              <w:rPr>
                <w:rFonts w:hint="eastAsia" w:cs="宋体" w:asciiTheme="minorEastAsia" w:hAnsiTheme="minorEastAsia" w:eastAsiaTheme="minorEastAsia"/>
                <w:color w:val="auto"/>
                <w:sz w:val="21"/>
                <w:highlight w:val="none"/>
                <w:u w:val="single"/>
              </w:rPr>
              <w:t>成交供应商</w:t>
            </w:r>
            <w:r>
              <w:rPr>
                <w:rFonts w:hint="eastAsia" w:cs="宋体" w:asciiTheme="minorEastAsia" w:hAnsiTheme="minorEastAsia" w:eastAsiaTheme="minorEastAsia"/>
                <w:color w:val="auto"/>
                <w:sz w:val="21"/>
                <w:highlight w:val="none"/>
              </w:rPr>
              <w:t>在领取成交通知书前，一次性向采购代理机构支付。</w:t>
            </w:r>
          </w:p>
          <w:p w14:paraId="1F98D74F">
            <w:pPr>
              <w:pStyle w:val="23"/>
              <w:snapToGrid w:val="0"/>
              <w:spacing w:line="430" w:lineRule="exact"/>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2.采购代理费收取标准：</w:t>
            </w:r>
          </w:p>
          <w:p w14:paraId="48BCADA1">
            <w:pPr>
              <w:pStyle w:val="23"/>
              <w:snapToGrid w:val="0"/>
              <w:spacing w:line="430" w:lineRule="exact"/>
              <w:rPr>
                <w:rFonts w:cs="宋体" w:asciiTheme="minorEastAsia" w:hAnsiTheme="minorEastAsia" w:eastAsiaTheme="minorEastAsia"/>
                <w:color w:val="auto"/>
                <w:sz w:val="21"/>
                <w:highlight w:val="none"/>
                <w:u w:val="single"/>
              </w:rPr>
            </w:pPr>
            <w:r>
              <w:rPr>
                <w:rFonts w:hint="eastAsia" w:hAnsi="宋体" w:cs="宋体"/>
                <w:color w:val="auto"/>
                <w:sz w:val="21"/>
                <w:highlight w:val="none"/>
              </w:rPr>
              <w:t>以分标预算金额为计费额，</w:t>
            </w:r>
            <w:r>
              <w:rPr>
                <w:rFonts w:hint="eastAsia" w:hAnsi="宋体" w:cs="宋体"/>
                <w:color w:val="auto"/>
                <w:sz w:val="21"/>
                <w:highlight w:val="none"/>
                <w:lang w:val="en-US" w:eastAsia="zh-CN"/>
              </w:rPr>
              <w:t>参照</w:t>
            </w:r>
            <w:r>
              <w:rPr>
                <w:rFonts w:hint="eastAsia" w:hAnsi="宋体" w:cs="宋体"/>
                <w:color w:val="auto"/>
                <w:sz w:val="21"/>
                <w:highlight w:val="none"/>
              </w:rPr>
              <w:t>原国家计委关于《招标代理服务收费管理暂行办法》的通知（计价格〔2002〕1980号）、《国家发展改革委办公厅关于招标代理服务收费有关问题的通知》（发改办价格［2003］857号）以及《国家发展改革委关于降低部分建设项目收费标准规范收费行为等有关问题的通知》（发改价格〔2011〕534号）采用差额定率累进法计算出收费基准价格，采购代理收费以收费基准价格收取。</w:t>
            </w:r>
          </w:p>
          <w:p w14:paraId="32990570">
            <w:pPr>
              <w:pStyle w:val="23"/>
              <w:snapToGrid w:val="0"/>
              <w:spacing w:line="430" w:lineRule="exact"/>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3. 采购代理费收取银行账户</w:t>
            </w:r>
          </w:p>
          <w:p w14:paraId="32CC9697">
            <w:pPr>
              <w:pStyle w:val="23"/>
              <w:snapToGrid w:val="0"/>
              <w:spacing w:line="430" w:lineRule="exact"/>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开户名称：</w:t>
            </w:r>
            <w:r>
              <w:rPr>
                <w:rFonts w:hint="eastAsia" w:cs="宋体" w:asciiTheme="minorEastAsia" w:hAnsiTheme="minorEastAsia" w:eastAsiaTheme="minorEastAsia"/>
                <w:color w:val="auto"/>
                <w:sz w:val="21"/>
                <w:highlight w:val="none"/>
                <w:u w:val="single"/>
              </w:rPr>
              <w:t>广西建隆工程咨询有限公司</w:t>
            </w:r>
          </w:p>
          <w:p w14:paraId="65044403">
            <w:pPr>
              <w:pStyle w:val="23"/>
              <w:snapToGrid w:val="0"/>
              <w:spacing w:line="430" w:lineRule="exact"/>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开户银行：</w:t>
            </w:r>
            <w:r>
              <w:rPr>
                <w:rFonts w:hint="eastAsia" w:cs="宋体" w:asciiTheme="minorEastAsia" w:hAnsiTheme="minorEastAsia" w:eastAsiaTheme="minorEastAsia"/>
                <w:color w:val="auto"/>
                <w:sz w:val="21"/>
                <w:highlight w:val="none"/>
                <w:u w:val="single"/>
              </w:rPr>
              <w:t>农行南宁古城支行</w:t>
            </w:r>
          </w:p>
          <w:p w14:paraId="3F6AB9B7">
            <w:pPr>
              <w:pStyle w:val="23"/>
              <w:snapToGrid w:val="0"/>
              <w:spacing w:line="430" w:lineRule="exact"/>
              <w:rPr>
                <w:rFonts w:cs="宋体" w:asciiTheme="minorEastAsia" w:hAnsiTheme="minorEastAsia" w:eastAsiaTheme="minorEastAsia"/>
                <w:color w:val="auto"/>
                <w:sz w:val="21"/>
                <w:highlight w:val="none"/>
                <w:u w:val="single"/>
              </w:rPr>
            </w:pPr>
            <w:r>
              <w:rPr>
                <w:rFonts w:hint="eastAsia" w:cs="宋体" w:asciiTheme="minorEastAsia" w:hAnsiTheme="minorEastAsia" w:eastAsiaTheme="minorEastAsia"/>
                <w:color w:val="auto"/>
                <w:sz w:val="21"/>
                <w:highlight w:val="none"/>
              </w:rPr>
              <w:t>银行账号：</w:t>
            </w:r>
            <w:r>
              <w:rPr>
                <w:rFonts w:hint="eastAsia" w:cs="宋体" w:asciiTheme="minorEastAsia" w:hAnsiTheme="minorEastAsia" w:eastAsiaTheme="minorEastAsia"/>
                <w:color w:val="auto"/>
                <w:sz w:val="21"/>
                <w:highlight w:val="none"/>
                <w:u w:val="single"/>
              </w:rPr>
              <w:t>200102 0104 000 2372</w:t>
            </w:r>
          </w:p>
        </w:tc>
      </w:tr>
      <w:tr w14:paraId="10005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6F556369">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cs="宋体" w:asciiTheme="minorEastAsia" w:hAnsiTheme="minorEastAsia" w:eastAsiaTheme="minorEastAsia"/>
                <w:color w:val="auto"/>
                <w:szCs w:val="21"/>
                <w:highlight w:val="none"/>
              </w:rPr>
              <w:t>3.1</w:t>
            </w:r>
          </w:p>
        </w:tc>
        <w:tc>
          <w:tcPr>
            <w:tcW w:w="8359" w:type="dxa"/>
            <w:vAlign w:val="center"/>
          </w:tcPr>
          <w:p w14:paraId="6C91D1FD">
            <w:pPr>
              <w:pStyle w:val="23"/>
              <w:snapToGrid w:val="0"/>
              <w:spacing w:line="430" w:lineRule="exact"/>
              <w:rPr>
                <w:rFonts w:cs="宋体" w:asciiTheme="minorEastAsia" w:hAnsiTheme="minorEastAsia" w:eastAsiaTheme="minorEastAsia"/>
                <w:color w:val="auto"/>
                <w:kern w:val="2"/>
                <w:sz w:val="21"/>
                <w:highlight w:val="none"/>
              </w:rPr>
            </w:pPr>
            <w:r>
              <w:rPr>
                <w:rFonts w:hint="eastAsia" w:asciiTheme="minorEastAsia" w:hAnsiTheme="minorEastAsia" w:eastAsiaTheme="minorEastAsia"/>
                <w:color w:val="auto"/>
                <w:sz w:val="21"/>
                <w:highlight w:val="none"/>
              </w:rPr>
              <w:t>解释：</w:t>
            </w:r>
            <w:r>
              <w:rPr>
                <w:rFonts w:asciiTheme="minorEastAsia" w:hAnsiTheme="minorEastAsia" w:eastAsiaTheme="minorEastAsia"/>
                <w:color w:val="auto"/>
                <w:sz w:val="21"/>
                <w:highlight w:val="none"/>
              </w:rPr>
              <w:t>构成本</w:t>
            </w:r>
            <w:r>
              <w:rPr>
                <w:rFonts w:hint="eastAsia" w:asciiTheme="minorEastAsia" w:hAnsiTheme="minorEastAsia" w:eastAsiaTheme="minorEastAsia"/>
                <w:color w:val="auto"/>
                <w:sz w:val="21"/>
                <w:highlight w:val="none"/>
              </w:rPr>
              <w:t>磋商文件</w:t>
            </w:r>
            <w:r>
              <w:rPr>
                <w:rFonts w:asciiTheme="minorEastAsia" w:hAnsiTheme="minorEastAsia" w:eastAsiaTheme="minorEastAsia"/>
                <w:color w:val="auto"/>
                <w:sz w:val="21"/>
                <w:highlight w:val="none"/>
              </w:rPr>
              <w:t>的各个组成文件应互为解释，互为说明；除</w:t>
            </w:r>
            <w:r>
              <w:rPr>
                <w:rFonts w:hint="eastAsia" w:asciiTheme="minorEastAsia" w:hAnsiTheme="minorEastAsia" w:eastAsiaTheme="minorEastAsia"/>
                <w:color w:val="auto"/>
                <w:sz w:val="21"/>
                <w:highlight w:val="none"/>
              </w:rPr>
              <w:t>磋商文件</w:t>
            </w:r>
            <w:r>
              <w:rPr>
                <w:rFonts w:asciiTheme="minorEastAsia" w:hAnsiTheme="minorEastAsia" w:eastAsiaTheme="minorEastAsia"/>
                <w:color w:val="auto"/>
                <w:sz w:val="21"/>
                <w:highlight w:val="none"/>
              </w:rPr>
              <w:t>中有特别规定外，仅适用于</w:t>
            </w:r>
            <w:r>
              <w:rPr>
                <w:rFonts w:hint="eastAsia" w:asciiTheme="minorEastAsia" w:hAnsiTheme="minorEastAsia" w:eastAsiaTheme="minorEastAsia"/>
                <w:color w:val="auto"/>
                <w:sz w:val="21"/>
                <w:highlight w:val="none"/>
              </w:rPr>
              <w:t>竞标</w:t>
            </w:r>
            <w:r>
              <w:rPr>
                <w:rFonts w:asciiTheme="minorEastAsia" w:hAnsiTheme="minorEastAsia" w:eastAsiaTheme="minorEastAsia"/>
                <w:color w:val="auto"/>
                <w:sz w:val="21"/>
                <w:highlight w:val="none"/>
              </w:rPr>
              <w:t>阶段的规定，按</w:t>
            </w:r>
            <w:r>
              <w:rPr>
                <w:rFonts w:hint="eastAsia" w:asciiTheme="minorEastAsia" w:hAnsiTheme="minorEastAsia" w:eastAsiaTheme="minorEastAsia"/>
                <w:color w:val="auto"/>
                <w:sz w:val="21"/>
                <w:highlight w:val="none"/>
              </w:rPr>
              <w:t>更正公告（澄清公告）</w:t>
            </w:r>
            <w:r>
              <w:rPr>
                <w:rFonts w:asciiTheme="minorEastAsia" w:hAnsiTheme="minorEastAsia" w:eastAsiaTheme="minorEastAsia"/>
                <w:color w:val="auto"/>
                <w:sz w:val="21"/>
                <w:highlight w:val="none"/>
              </w:rPr>
              <w:t>、</w:t>
            </w:r>
            <w:r>
              <w:rPr>
                <w:rFonts w:hint="eastAsia" w:asciiTheme="minorEastAsia" w:hAnsiTheme="minorEastAsia" w:eastAsiaTheme="minorEastAsia"/>
                <w:color w:val="auto"/>
                <w:sz w:val="21"/>
                <w:highlight w:val="none"/>
              </w:rPr>
              <w:t>竞争性磋商</w:t>
            </w:r>
            <w:r>
              <w:rPr>
                <w:rFonts w:asciiTheme="minorEastAsia" w:hAnsiTheme="minorEastAsia" w:eastAsiaTheme="minorEastAsia"/>
                <w:color w:val="auto"/>
                <w:sz w:val="21"/>
                <w:highlight w:val="none"/>
              </w:rPr>
              <w:t>公告、</w:t>
            </w:r>
            <w:r>
              <w:rPr>
                <w:rFonts w:hint="eastAsia" w:asciiTheme="minorEastAsia" w:hAnsiTheme="minorEastAsia" w:eastAsiaTheme="minorEastAsia"/>
                <w:color w:val="auto"/>
                <w:sz w:val="21"/>
                <w:highlight w:val="none"/>
              </w:rPr>
              <w:t>供应商</w:t>
            </w:r>
            <w:r>
              <w:rPr>
                <w:rFonts w:asciiTheme="minorEastAsia" w:hAnsiTheme="minorEastAsia" w:eastAsiaTheme="minorEastAsia"/>
                <w:color w:val="auto"/>
                <w:sz w:val="21"/>
                <w:highlight w:val="none"/>
              </w:rPr>
              <w:t>须知</w:t>
            </w:r>
            <w:r>
              <w:rPr>
                <w:rFonts w:hint="eastAsia" w:asciiTheme="minorEastAsia" w:hAnsiTheme="minorEastAsia" w:eastAsiaTheme="minorEastAsia"/>
                <w:color w:val="auto"/>
                <w:sz w:val="21"/>
                <w:highlight w:val="none"/>
              </w:rPr>
              <w:t>、采购需求</w:t>
            </w:r>
            <w:r>
              <w:rPr>
                <w:rFonts w:asciiTheme="minorEastAsia" w:hAnsiTheme="minorEastAsia" w:eastAsiaTheme="minorEastAsia"/>
                <w:color w:val="auto"/>
                <w:sz w:val="21"/>
                <w:highlight w:val="none"/>
              </w:rPr>
              <w:t>、</w:t>
            </w:r>
            <w:r>
              <w:rPr>
                <w:rFonts w:hint="eastAsia" w:asciiTheme="minorEastAsia" w:hAnsiTheme="minorEastAsia" w:eastAsiaTheme="minorEastAsia"/>
                <w:color w:val="auto"/>
                <w:sz w:val="21"/>
                <w:highlight w:val="none"/>
              </w:rPr>
              <w:t>评审程序、评审方法和评审标准</w:t>
            </w:r>
            <w:r>
              <w:rPr>
                <w:rFonts w:asciiTheme="minorEastAsia" w:hAnsiTheme="minorEastAsia" w:eastAsiaTheme="minorEastAsia"/>
                <w:color w:val="auto"/>
                <w:sz w:val="21"/>
                <w:highlight w:val="none"/>
              </w:rPr>
              <w:t>、</w:t>
            </w:r>
            <w:r>
              <w:rPr>
                <w:rFonts w:hint="eastAsia" w:asciiTheme="minorEastAsia" w:hAnsiTheme="minorEastAsia" w:eastAsiaTheme="minorEastAsia"/>
                <w:color w:val="auto"/>
                <w:sz w:val="21"/>
                <w:highlight w:val="none"/>
              </w:rPr>
              <w:t>响应</w:t>
            </w:r>
            <w:r>
              <w:rPr>
                <w:rFonts w:asciiTheme="minorEastAsia" w:hAnsiTheme="minorEastAsia" w:eastAsiaTheme="minorEastAsia"/>
                <w:color w:val="auto"/>
                <w:sz w:val="21"/>
                <w:highlight w:val="none"/>
              </w:rPr>
              <w:t>文件格式</w:t>
            </w:r>
            <w:r>
              <w:rPr>
                <w:rFonts w:hint="eastAsia" w:asciiTheme="minorEastAsia" w:hAnsiTheme="minorEastAsia" w:eastAsiaTheme="minorEastAsia"/>
                <w:color w:val="auto"/>
                <w:sz w:val="21"/>
                <w:highlight w:val="none"/>
              </w:rPr>
              <w:t>、合同文本</w:t>
            </w:r>
            <w:r>
              <w:rPr>
                <w:rFonts w:asciiTheme="minorEastAsia" w:hAnsiTheme="minorEastAsia" w:eastAsiaTheme="minorEastAsia"/>
                <w:color w:val="auto"/>
                <w:sz w:val="21"/>
                <w:highlight w:val="none"/>
              </w:rPr>
              <w:t>的先后顺序解释；同一组成文件中就同一事项的规定或者约定不一致的，以编排顺序在后者为准；同一组成文件不同版本之间有不一致的，以形成时间在后者为准；</w:t>
            </w:r>
            <w:r>
              <w:rPr>
                <w:rFonts w:hint="eastAsia" w:asciiTheme="minorEastAsia" w:hAnsiTheme="minorEastAsia" w:eastAsiaTheme="minorEastAsia"/>
                <w:color w:val="auto"/>
                <w:sz w:val="21"/>
                <w:highlight w:val="none"/>
              </w:rPr>
              <w:t>更正公告（澄清公告）</w:t>
            </w:r>
            <w:r>
              <w:rPr>
                <w:rFonts w:asciiTheme="minorEastAsia" w:hAnsiTheme="minorEastAsia" w:eastAsiaTheme="minorEastAsia"/>
                <w:color w:val="auto"/>
                <w:sz w:val="21"/>
                <w:highlight w:val="none"/>
              </w:rPr>
              <w:t>与同步更新的</w:t>
            </w:r>
            <w:r>
              <w:rPr>
                <w:rFonts w:hint="eastAsia" w:asciiTheme="minorEastAsia" w:hAnsiTheme="minorEastAsia" w:eastAsiaTheme="minorEastAsia"/>
                <w:color w:val="auto"/>
                <w:sz w:val="21"/>
                <w:highlight w:val="none"/>
              </w:rPr>
              <w:t>磋商文件</w:t>
            </w:r>
            <w:r>
              <w:rPr>
                <w:rFonts w:asciiTheme="minorEastAsia" w:hAnsiTheme="minorEastAsia" w:eastAsiaTheme="minorEastAsia"/>
                <w:color w:val="auto"/>
                <w:sz w:val="21"/>
                <w:highlight w:val="none"/>
              </w:rPr>
              <w:t>不一致时以</w:t>
            </w:r>
            <w:r>
              <w:rPr>
                <w:rFonts w:hint="eastAsia" w:asciiTheme="minorEastAsia" w:hAnsiTheme="minorEastAsia" w:eastAsiaTheme="minorEastAsia"/>
                <w:color w:val="auto"/>
                <w:sz w:val="21"/>
                <w:highlight w:val="none"/>
              </w:rPr>
              <w:t>更正公告（澄清公告）</w:t>
            </w:r>
            <w:r>
              <w:rPr>
                <w:rFonts w:asciiTheme="minorEastAsia" w:hAnsiTheme="minorEastAsia" w:eastAsiaTheme="minorEastAsia"/>
                <w:color w:val="auto"/>
                <w:sz w:val="21"/>
                <w:highlight w:val="none"/>
              </w:rPr>
              <w:t>为准。按本款前述规定仍不能形成结论的，由</w:t>
            </w:r>
            <w:r>
              <w:rPr>
                <w:rFonts w:hint="eastAsia" w:asciiTheme="minorEastAsia" w:hAnsiTheme="minorEastAsia" w:eastAsiaTheme="minorEastAsia"/>
                <w:color w:val="auto"/>
                <w:sz w:val="21"/>
                <w:highlight w:val="none"/>
              </w:rPr>
              <w:t>采购</w:t>
            </w:r>
            <w:r>
              <w:rPr>
                <w:rFonts w:asciiTheme="minorEastAsia" w:hAnsiTheme="minorEastAsia" w:eastAsiaTheme="minorEastAsia"/>
                <w:color w:val="auto"/>
                <w:sz w:val="21"/>
                <w:highlight w:val="none"/>
              </w:rPr>
              <w:t>人</w:t>
            </w:r>
            <w:r>
              <w:rPr>
                <w:rFonts w:hint="eastAsia" w:asciiTheme="minorEastAsia" w:hAnsiTheme="minorEastAsia" w:eastAsiaTheme="minorEastAsia"/>
                <w:color w:val="auto"/>
                <w:sz w:val="21"/>
                <w:highlight w:val="none"/>
              </w:rPr>
              <w:t>或者采购代理机构</w:t>
            </w:r>
            <w:r>
              <w:rPr>
                <w:rFonts w:asciiTheme="minorEastAsia" w:hAnsiTheme="minorEastAsia" w:eastAsiaTheme="minorEastAsia"/>
                <w:color w:val="auto"/>
                <w:sz w:val="21"/>
                <w:highlight w:val="none"/>
              </w:rPr>
              <w:t>负责解释。</w:t>
            </w:r>
          </w:p>
        </w:tc>
      </w:tr>
      <w:tr w14:paraId="3564A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0A406630">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cs="宋体" w:asciiTheme="minorEastAsia" w:hAnsiTheme="minorEastAsia" w:eastAsiaTheme="minorEastAsia"/>
                <w:color w:val="auto"/>
                <w:szCs w:val="21"/>
                <w:highlight w:val="none"/>
              </w:rPr>
              <w:t>3.2</w:t>
            </w:r>
          </w:p>
        </w:tc>
        <w:tc>
          <w:tcPr>
            <w:tcW w:w="8359" w:type="dxa"/>
            <w:vAlign w:val="center"/>
          </w:tcPr>
          <w:p w14:paraId="34D239C7">
            <w:pPr>
              <w:pStyle w:val="23"/>
              <w:snapToGrid w:val="0"/>
              <w:spacing w:line="430" w:lineRule="exact"/>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1C1D56AB">
            <w:pPr>
              <w:pStyle w:val="23"/>
              <w:snapToGrid w:val="0"/>
              <w:spacing w:line="430" w:lineRule="exact"/>
              <w:rPr>
                <w:rFonts w:cs="宋体" w:asciiTheme="minorEastAsia" w:hAnsiTheme="minorEastAsia" w:eastAsiaTheme="minorEastAsia"/>
                <w:color w:val="auto"/>
                <w:sz w:val="21"/>
                <w:highlight w:val="none"/>
              </w:rPr>
            </w:pPr>
            <w:r>
              <w:rPr>
                <w:rFonts w:hint="eastAsia" w:cs="宋体" w:asciiTheme="minorEastAsia" w:hAnsiTheme="minorEastAsia" w:eastAsiaTheme="minorEastAsia"/>
                <w:bCs/>
                <w:color w:val="auto"/>
                <w:sz w:val="21"/>
                <w:highlight w:val="none"/>
              </w:rPr>
              <w:t>2.本磋商文件所称的“</w:t>
            </w:r>
            <w:r>
              <w:rPr>
                <w:rFonts w:hint="eastAsia" w:asciiTheme="minorEastAsia" w:hAnsiTheme="minorEastAsia" w:eastAsiaTheme="minorEastAsia"/>
                <w:color w:val="auto"/>
                <w:sz w:val="21"/>
                <w:highlight w:val="none"/>
              </w:rPr>
              <w:t>电子签章</w:t>
            </w:r>
            <w:r>
              <w:rPr>
                <w:rFonts w:hint="eastAsia" w:cs="宋体" w:asciiTheme="minorEastAsia" w:hAnsiTheme="minorEastAsia" w:eastAsiaTheme="minorEastAsia"/>
                <w:bCs/>
                <w:color w:val="auto"/>
                <w:sz w:val="21"/>
                <w:highlight w:val="none"/>
              </w:rPr>
              <w:t>”、“电子签名”</w:t>
            </w:r>
            <w:r>
              <w:rPr>
                <w:rFonts w:hint="eastAsia" w:asciiTheme="minorEastAsia" w:hAnsiTheme="minorEastAsia" w:eastAsiaTheme="minorEastAsia"/>
                <w:color w:val="auto"/>
                <w:sz w:val="21"/>
                <w:highlight w:val="none"/>
              </w:rPr>
              <w:t>，是指经广西政府采购云平台认可的CA认证的电子签名数据为表现形式的印章，可用于签署电子响应文件，电子印章与实物印章具有同等法律效力，不因其采用电子化表现形式而否定其法律效力。</w:t>
            </w:r>
          </w:p>
          <w:p w14:paraId="31111C68">
            <w:pPr>
              <w:pStyle w:val="23"/>
              <w:snapToGrid w:val="0"/>
              <w:spacing w:line="430" w:lineRule="exact"/>
              <w:rPr>
                <w:rFonts w:cs="宋体" w:asciiTheme="minorEastAsia" w:hAnsiTheme="minorEastAsia" w:eastAsiaTheme="minorEastAsia"/>
                <w:bCs/>
                <w:color w:val="auto"/>
                <w:sz w:val="21"/>
                <w:highlight w:val="none"/>
              </w:rPr>
            </w:pPr>
            <w:r>
              <w:rPr>
                <w:rFonts w:cs="宋体" w:asciiTheme="minorEastAsia" w:hAnsiTheme="minorEastAsia" w:eastAsiaTheme="minorEastAsia"/>
                <w:color w:val="auto"/>
                <w:sz w:val="21"/>
                <w:highlight w:val="none"/>
              </w:rPr>
              <w:t>3</w:t>
            </w:r>
            <w:r>
              <w:rPr>
                <w:rFonts w:hint="eastAsia" w:cs="宋体" w:asciiTheme="minorEastAsia" w:hAnsiTheme="minorEastAsia" w:eastAsiaTheme="minorEastAsia"/>
                <w:color w:val="auto"/>
                <w:sz w:val="21"/>
                <w:highlight w:val="none"/>
              </w:rPr>
              <w:t>.供应商为其他组织或者自然人时，本磋商文件规定的法定代表人指负责人或者自然人。本磋商文件所称负责人是指参加竞标的其他组织</w:t>
            </w:r>
            <w:r>
              <w:rPr>
                <w:rFonts w:hint="eastAsia" w:cs="宋体" w:asciiTheme="minorEastAsia" w:hAnsiTheme="minorEastAsia" w:eastAsiaTheme="minorEastAsia"/>
                <w:bCs/>
                <w:color w:val="auto"/>
                <w:sz w:val="21"/>
                <w:highlight w:val="none"/>
              </w:rPr>
              <w:t>营业执照或者执业许可证等证照上的</w:t>
            </w:r>
            <w:r>
              <w:rPr>
                <w:rFonts w:hint="eastAsia" w:cs="宋体" w:asciiTheme="minorEastAsia" w:hAnsiTheme="minorEastAsia" w:eastAsiaTheme="minorEastAsia"/>
                <w:color w:val="auto"/>
                <w:sz w:val="21"/>
                <w:highlight w:val="none"/>
              </w:rPr>
              <w:t>负责人，本磋商文件所称自然人指参与竞标的自然人本人，</w:t>
            </w:r>
            <w:r>
              <w:rPr>
                <w:rFonts w:hint="eastAsia" w:cs="宋体" w:asciiTheme="minorEastAsia" w:hAnsiTheme="minorEastAsia" w:eastAsiaTheme="minorEastAsia"/>
                <w:bCs/>
                <w:color w:val="auto"/>
                <w:sz w:val="21"/>
                <w:highlight w:val="none"/>
              </w:rPr>
              <w:t>且应具备独立承担民事责任能力，自然人应当为年满18岁以上成年人（十六周岁以上的未成年人，以自己的劳动收入为主要生活来源的，视为完全民事行为能力人）。</w:t>
            </w:r>
          </w:p>
          <w:p w14:paraId="0811DD42">
            <w:pPr>
              <w:pStyle w:val="23"/>
              <w:snapToGrid w:val="0"/>
              <w:spacing w:line="430" w:lineRule="exact"/>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4.</w:t>
            </w:r>
            <w:r>
              <w:rPr>
                <w:rFonts w:hint="eastAsia" w:cs="宋体" w:asciiTheme="minorEastAsia" w:hAnsiTheme="minorEastAsia" w:eastAsiaTheme="minorEastAsia"/>
                <w:color w:val="auto"/>
                <w:sz w:val="21"/>
                <w:highlight w:val="none"/>
              </w:rPr>
              <w:t>本磋商文件中描述供应商的“签字”是指供应商的法定代表人或者委托代理人亲自在文件规定签署处亲笔写上个人的名字的行为，私章、签字章、印鉴、影印等其他形式均不能代替亲笔签字。</w:t>
            </w:r>
          </w:p>
          <w:p w14:paraId="151CEC75">
            <w:pPr>
              <w:pStyle w:val="23"/>
              <w:snapToGrid w:val="0"/>
              <w:spacing w:line="430" w:lineRule="exact"/>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5</w:t>
            </w:r>
            <w:r>
              <w:rPr>
                <w:rFonts w:cs="宋体" w:asciiTheme="minorEastAsia" w:hAnsiTheme="minorEastAsia" w:eastAsiaTheme="minorEastAsia"/>
                <w:color w:val="auto"/>
                <w:sz w:val="21"/>
                <w:highlight w:val="none"/>
              </w:rPr>
              <w:t>.</w:t>
            </w:r>
            <w:r>
              <w:rPr>
                <w:rFonts w:hint="eastAsia" w:cs="宋体" w:asciiTheme="minorEastAsia" w:hAnsiTheme="minorEastAsia" w:eastAsiaTheme="minorEastAsia"/>
                <w:color w:val="auto"/>
                <w:sz w:val="21"/>
                <w:highlight w:val="none"/>
              </w:rPr>
              <w:t>本磋商文件所称的“以上”“以下”“以内”“届满”，包括本数；所称的“不满”“超过”“以外”，不包括本数。</w:t>
            </w:r>
          </w:p>
        </w:tc>
      </w:tr>
      <w:tr w14:paraId="5D2D0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5CE584B4">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特别说明</w:t>
            </w:r>
          </w:p>
        </w:tc>
        <w:tc>
          <w:tcPr>
            <w:tcW w:w="8359" w:type="dxa"/>
            <w:vAlign w:val="center"/>
          </w:tcPr>
          <w:p w14:paraId="2FD41468">
            <w:pPr>
              <w:spacing w:line="43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截标后将进行磋商：</w:t>
            </w:r>
          </w:p>
          <w:p w14:paraId="2CE4332C">
            <w:pPr>
              <w:spacing w:line="43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）委托代理人（法定代表人）请注意预留的手机号码中广西政府采购云平台系统发送的短信提示，并按照要求进行响应及报价。</w:t>
            </w:r>
          </w:p>
          <w:p w14:paraId="2EA717E4">
            <w:pPr>
              <w:spacing w:line="43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）进入广西政府采购云平台系统，点击页面右上角的</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待办</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，找到对应的项目，按系统提示操作。</w:t>
            </w:r>
          </w:p>
          <w:p w14:paraId="55F55676">
            <w:pPr>
              <w:spacing w:line="43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）如仍无法找到，请电话咨询广西建隆工程咨询有限公司。</w:t>
            </w:r>
          </w:p>
        </w:tc>
      </w:tr>
    </w:tbl>
    <w:p w14:paraId="3A3EE18A">
      <w:pPr>
        <w:spacing w:line="400" w:lineRule="exact"/>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4683156C">
      <w:pPr>
        <w:spacing w:line="400" w:lineRule="exact"/>
        <w:jc w:val="center"/>
        <w:rPr>
          <w:rFonts w:ascii="宋体" w:hAnsi="宋体"/>
          <w:b/>
          <w:color w:val="auto"/>
          <w:sz w:val="32"/>
          <w:szCs w:val="32"/>
          <w:highlight w:val="none"/>
        </w:rPr>
      </w:pPr>
    </w:p>
    <w:p w14:paraId="33E1D7EE">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一、总则</w:t>
      </w:r>
    </w:p>
    <w:p w14:paraId="049B5166">
      <w:pPr>
        <w:spacing w:line="400" w:lineRule="exact"/>
        <w:rPr>
          <w:rFonts w:ascii="宋体" w:hAnsi="宋体"/>
          <w:color w:val="auto"/>
          <w:szCs w:val="21"/>
          <w:highlight w:val="none"/>
        </w:rPr>
      </w:pPr>
    </w:p>
    <w:p w14:paraId="4F53319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34AF1C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3EF401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4731535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4BAB40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295256E8">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0C55F4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485AE324">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2.4“服务”是指除货物和工程以外的其他政府采购对象。</w:t>
      </w:r>
    </w:p>
    <w:p w14:paraId="08F70F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“竞标”是指供应商按照本项目竞争性磋商公告或者邀请函规定的方式获取磋商文件、提交响应文件并希望获得标的的行为。</w:t>
      </w:r>
    </w:p>
    <w:p w14:paraId="1378A6E8">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6D5D4352">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2.7“响应文件”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6840263B">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2.8“实质性要求”是指磋商文件中已经指明不满足则响应文件按无效响应处理的条款，或者不能负偏离的条款，或者采购需求中带“▲”的条款。</w:t>
      </w:r>
    </w:p>
    <w:p w14:paraId="3C2A1B54">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2.9“正偏离”，是指响应文件对磋商文件“采购需求”中有关条款作出的响应优于条款要求并有利于采购人的情形。</w:t>
      </w:r>
    </w:p>
    <w:p w14:paraId="0EF16403">
      <w:pPr>
        <w:spacing w:line="360" w:lineRule="auto"/>
        <w:ind w:firstLine="420" w:firstLineChars="200"/>
        <w:contextualSpacing/>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10“负偏离”，是指响应文件对磋商文件“采购需求”中有关条款作出的响应不满足条款要求，导致采购人要求不能得到满足的情形。</w:t>
      </w:r>
    </w:p>
    <w:p w14:paraId="5E1539E9">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62FE0EE1">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2“首次报价”是指供应商提交的首次响应文件中的报价。</w:t>
      </w:r>
    </w:p>
    <w:p w14:paraId="26158FE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6701F9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71F79C0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4.磋商费用</w:t>
      </w:r>
    </w:p>
    <w:p w14:paraId="6571E8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7A28FB9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0A5942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3D1C53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77131C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w:t>
      </w:r>
      <w:bookmarkStart w:id="48" w:name="_Hlk66782192"/>
      <w:r>
        <w:rPr>
          <w:rFonts w:hint="eastAsia" w:ascii="宋体" w:hAnsi="宋体"/>
          <w:color w:val="auto"/>
          <w:szCs w:val="21"/>
          <w:highlight w:val="none"/>
        </w:rPr>
        <w:t>根据《政府采购促进中小企业发展管理办法》（财库〔2020〕46号）</w:t>
      </w:r>
      <w:r>
        <w:rPr>
          <w:rFonts w:hint="eastAsia" w:ascii="宋体" w:hAnsi="宋体"/>
          <w:color w:val="auto"/>
          <w:szCs w:val="21"/>
          <w:highlight w:val="none"/>
          <w:lang w:val="en-US" w:eastAsia="zh-CN"/>
        </w:rPr>
        <w:t>和《广西壮族自治区财政厅关于持续优化政府采购营商环境推动高质量发展的通知》（桂财采〔2024〕55 号）</w:t>
      </w:r>
      <w:r>
        <w:rPr>
          <w:rFonts w:hint="eastAsia" w:ascii="宋体" w:hAnsi="宋体"/>
          <w:color w:val="auto"/>
          <w:szCs w:val="21"/>
          <w:highlight w:val="none"/>
        </w:rPr>
        <w:t>的通知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%的扣除，用扣除后的价格参加评审。</w:t>
      </w:r>
      <w:bookmarkEnd w:id="48"/>
    </w:p>
    <w:p w14:paraId="2C741B2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6.转包与分包</w:t>
      </w:r>
    </w:p>
    <w:p w14:paraId="623BF95F">
      <w:pPr>
        <w:spacing w:line="360" w:lineRule="auto"/>
        <w:ind w:left="420" w:leftChars="200"/>
        <w:rPr>
          <w:rFonts w:ascii="宋体" w:hAnsi="宋体"/>
          <w:color w:val="auto"/>
          <w:szCs w:val="21"/>
          <w:highlight w:val="none"/>
        </w:rPr>
      </w:pPr>
      <w:bookmarkStart w:id="49" w:name="_Toc254970532"/>
      <w:bookmarkStart w:id="50" w:name="_Toc254970673"/>
      <w:r>
        <w:rPr>
          <w:rFonts w:hint="eastAsia" w:ascii="宋体" w:hAnsi="宋体"/>
          <w:color w:val="auto"/>
          <w:szCs w:val="21"/>
          <w:highlight w:val="none"/>
        </w:rPr>
        <w:t>6.1本项目不允许转包。</w:t>
      </w:r>
    </w:p>
    <w:p w14:paraId="2F3FC158">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2E806809">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6FDD698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7.特别说明</w:t>
      </w:r>
      <w:bookmarkEnd w:id="49"/>
      <w:bookmarkEnd w:id="50"/>
    </w:p>
    <w:p w14:paraId="347FC4A5">
      <w:pPr>
        <w:spacing w:line="360" w:lineRule="auto"/>
        <w:ind w:firstLine="420" w:firstLineChars="200"/>
        <w:rPr>
          <w:rFonts w:ascii="宋体" w:hAnsi="宋体" w:cs="宋体"/>
          <w:color w:val="auto"/>
          <w:szCs w:val="21"/>
          <w:highlight w:val="none"/>
        </w:rPr>
      </w:pPr>
      <w:bookmarkStart w:id="51" w:name="_8.1提供相同品牌产品且通过资格审查、符合性审查的不同投标人参加同一合"/>
      <w:bookmarkEnd w:id="51"/>
      <w:r>
        <w:rPr>
          <w:rFonts w:hint="eastAsia" w:ascii="宋体" w:hAnsi="宋体" w:cs="宋体"/>
          <w:color w:val="auto"/>
          <w:szCs w:val="21"/>
          <w:highlight w:val="none"/>
        </w:rPr>
        <w:t>7.</w:t>
      </w:r>
      <w:r>
        <w:rPr>
          <w:rFonts w:ascii="宋体" w:hAnsi="宋体" w:cs="宋体"/>
          <w:color w:val="auto"/>
          <w:szCs w:val="21"/>
          <w:highlight w:val="none"/>
        </w:rPr>
        <w:t>1</w:t>
      </w:r>
      <w:bookmarkStart w:id="52" w:name="_Hlk65832145"/>
      <w:r>
        <w:rPr>
          <w:rFonts w:hint="eastAsia" w:ascii="宋体" w:hAnsi="宋体"/>
          <w:color w:val="auto"/>
          <w:szCs w:val="21"/>
          <w:highlight w:val="none"/>
        </w:rPr>
        <w:t>如果本磋商文件要求提供供应商或制造商的资格、信誉、荣誉、业绩与企业认证等材料的，资格、信誉、荣誉、业绩与企业认证等必须为供应商或者制造商所拥有或自身获得</w:t>
      </w:r>
      <w:r>
        <w:rPr>
          <w:rFonts w:hint="eastAsia" w:ascii="宋体" w:hAnsi="宋体" w:cs="宋体"/>
          <w:color w:val="auto"/>
          <w:szCs w:val="21"/>
          <w:highlight w:val="none"/>
        </w:rPr>
        <w:t>。</w:t>
      </w:r>
    </w:p>
    <w:bookmarkEnd w:id="52"/>
    <w:p w14:paraId="4C70AA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6D36C7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77B481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14:paraId="3BD660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6EFB59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22E6F6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633B2F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62BAE2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5F5173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2E84F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14:paraId="377BF0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w:t>
      </w:r>
    </w:p>
    <w:p w14:paraId="739402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3F88AE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419941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389E4B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1011C7BA">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14:paraId="1AADA1A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14:paraId="7F931D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3EBF28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747980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2B182B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50C37C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1B5C25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6F4FE3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08026229">
      <w:pPr>
        <w:spacing w:line="360" w:lineRule="auto"/>
        <w:rPr>
          <w:rFonts w:ascii="宋体" w:hAnsi="宋体"/>
          <w:color w:val="auto"/>
          <w:highlight w:val="none"/>
        </w:rPr>
      </w:pPr>
      <w:bookmarkStart w:id="53" w:name="_Toc254970534"/>
      <w:bookmarkStart w:id="54" w:name="_Toc254970675"/>
    </w:p>
    <w:p w14:paraId="787D0C23">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二、磋商文件</w:t>
      </w:r>
      <w:bookmarkEnd w:id="53"/>
      <w:bookmarkEnd w:id="54"/>
    </w:p>
    <w:p w14:paraId="1DB00776">
      <w:pPr>
        <w:spacing w:line="360" w:lineRule="auto"/>
        <w:rPr>
          <w:rFonts w:ascii="宋体" w:hAnsi="宋体"/>
          <w:color w:val="auto"/>
          <w:szCs w:val="21"/>
          <w:highlight w:val="none"/>
        </w:rPr>
      </w:pPr>
    </w:p>
    <w:p w14:paraId="563D5A2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0449797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（1）竞争性磋商公告；</w:t>
      </w:r>
    </w:p>
    <w:p w14:paraId="4F6FEF8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（2）供应商须知；</w:t>
      </w:r>
    </w:p>
    <w:p w14:paraId="2033DF3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（3）采购需求；</w:t>
      </w:r>
    </w:p>
    <w:p w14:paraId="0F38A95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（4）评审程序、评审方法和评审标准；</w:t>
      </w:r>
    </w:p>
    <w:p w14:paraId="02A4697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（5）响应文件格式；</w:t>
      </w:r>
    </w:p>
    <w:p w14:paraId="5C5D126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（6）合同文本。</w:t>
      </w:r>
    </w:p>
    <w:p w14:paraId="4AB4418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5438E56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163E311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713CF9B0">
      <w:pPr>
        <w:spacing w:line="360" w:lineRule="auto"/>
        <w:ind w:firstLine="420" w:firstLineChars="200"/>
        <w:rPr>
          <w:rFonts w:ascii="宋体" w:hAnsi="宋体"/>
          <w:color w:val="auto"/>
          <w:szCs w:val="21"/>
          <w:highlight w:val="none"/>
        </w:rPr>
      </w:pPr>
      <w:r>
        <w:rPr>
          <w:rFonts w:ascii="宋体" w:hAnsi="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Pr>
          <w:rFonts w:hint="eastAsia" w:ascii="宋体" w:hAnsi="宋体"/>
          <w:color w:val="auto"/>
          <w:szCs w:val="21"/>
          <w:highlight w:val="none"/>
          <w:lang w:val="en-US" w:eastAsia="zh-CN"/>
        </w:rPr>
        <w:t>5</w:t>
      </w:r>
      <w:r>
        <w:rPr>
          <w:rFonts w:hint="eastAsia" w:ascii="宋体" w:hAnsi="宋体"/>
          <w:color w:val="auto"/>
          <w:szCs w:val="21"/>
          <w:highlight w:val="none"/>
        </w:rPr>
        <w:t>个</w:t>
      </w:r>
      <w:r>
        <w:rPr>
          <w:rFonts w:hint="default" w:ascii="宋体" w:hAnsi="宋体"/>
          <w:color w:val="auto"/>
          <w:szCs w:val="21"/>
          <w:highlight w:val="none"/>
          <w:lang w:val="en-US" w:eastAsia="zh-CN"/>
        </w:rPr>
        <w:t>自然</w:t>
      </w:r>
      <w:r>
        <w:rPr>
          <w:rFonts w:hint="eastAsia" w:ascii="宋体" w:hAnsi="宋体"/>
          <w:color w:val="auto"/>
          <w:szCs w:val="21"/>
          <w:highlight w:val="none"/>
        </w:rPr>
        <w:t>日</w:t>
      </w:r>
      <w:r>
        <w:rPr>
          <w:rFonts w:ascii="宋体" w:hAnsi="宋体"/>
          <w:color w:val="auto"/>
          <w:szCs w:val="21"/>
          <w:highlight w:val="none"/>
        </w:rPr>
        <w:t>前，以书面形式通知所有</w:t>
      </w:r>
      <w:r>
        <w:rPr>
          <w:rFonts w:hint="eastAsia" w:ascii="宋体" w:hAnsi="宋体"/>
          <w:color w:val="auto"/>
          <w:szCs w:val="21"/>
          <w:highlight w:val="none"/>
        </w:rPr>
        <w:t>获取</w:t>
      </w:r>
      <w:r>
        <w:rPr>
          <w:rFonts w:ascii="宋体" w:hAnsi="宋体"/>
          <w:color w:val="auto"/>
          <w:szCs w:val="21"/>
          <w:highlight w:val="none"/>
        </w:rPr>
        <w:t>磋商文件的供应商，不足</w:t>
      </w:r>
      <w:r>
        <w:rPr>
          <w:rFonts w:hint="default" w:ascii="宋体" w:hAnsi="宋体"/>
          <w:color w:val="auto"/>
          <w:szCs w:val="21"/>
          <w:highlight w:val="none"/>
          <w:lang w:val="en-US" w:eastAsia="zh-CN"/>
        </w:rPr>
        <w:t>5</w:t>
      </w:r>
      <w:r>
        <w:rPr>
          <w:rFonts w:hint="eastAsia" w:ascii="宋体" w:hAnsi="宋体"/>
          <w:color w:val="auto"/>
          <w:szCs w:val="21"/>
          <w:highlight w:val="none"/>
        </w:rPr>
        <w:t>个</w:t>
      </w:r>
      <w:r>
        <w:rPr>
          <w:rFonts w:hint="default" w:ascii="宋体" w:hAnsi="宋体"/>
          <w:color w:val="auto"/>
          <w:szCs w:val="21"/>
          <w:highlight w:val="none"/>
          <w:lang w:val="en-US" w:eastAsia="zh-CN"/>
        </w:rPr>
        <w:t>自然</w:t>
      </w:r>
      <w:r>
        <w:rPr>
          <w:rFonts w:hint="eastAsia" w:ascii="宋体" w:hAnsi="宋体"/>
          <w:color w:val="auto"/>
          <w:szCs w:val="21"/>
          <w:highlight w:val="none"/>
        </w:rPr>
        <w:t>日</w:t>
      </w:r>
      <w:r>
        <w:rPr>
          <w:rFonts w:ascii="宋体" w:hAnsi="宋体"/>
          <w:color w:val="auto"/>
          <w:szCs w:val="21"/>
          <w:highlight w:val="none"/>
        </w:rPr>
        <w:t>的，应当顺延提交首次响应文件截止之日。</w:t>
      </w:r>
    </w:p>
    <w:p w14:paraId="579EC0A2">
      <w:pPr>
        <w:spacing w:line="360" w:lineRule="auto"/>
        <w:rPr>
          <w:rFonts w:ascii="宋体" w:hAnsi="宋体"/>
          <w:color w:val="auto"/>
          <w:szCs w:val="21"/>
          <w:highlight w:val="none"/>
        </w:rPr>
      </w:pPr>
    </w:p>
    <w:p w14:paraId="4B5779F8">
      <w:pPr>
        <w:spacing w:line="360" w:lineRule="auto"/>
        <w:jc w:val="center"/>
        <w:rPr>
          <w:rFonts w:ascii="宋体" w:hAnsi="宋体"/>
          <w:b/>
          <w:bCs/>
          <w:color w:val="auto"/>
          <w:szCs w:val="21"/>
          <w:highlight w:val="none"/>
        </w:rPr>
      </w:pPr>
      <w:r>
        <w:rPr>
          <w:rFonts w:hint="eastAsia" w:ascii="宋体" w:hAnsi="宋体"/>
          <w:b/>
          <w:bCs/>
          <w:color w:val="auto"/>
          <w:sz w:val="32"/>
          <w:szCs w:val="32"/>
          <w:highlight w:val="none"/>
        </w:rPr>
        <w:t>三、响应文件的编制</w:t>
      </w:r>
    </w:p>
    <w:p w14:paraId="3D6E8949">
      <w:pPr>
        <w:spacing w:line="360" w:lineRule="auto"/>
        <w:rPr>
          <w:rFonts w:ascii="宋体" w:hAnsi="宋体"/>
          <w:color w:val="auto"/>
          <w:szCs w:val="21"/>
          <w:highlight w:val="none"/>
        </w:rPr>
      </w:pPr>
    </w:p>
    <w:p w14:paraId="544E757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6027E9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464DAA4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66EFD4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12.1响应文件由资格证明文件、报价文件、商务技术文件三部分组成。</w:t>
      </w:r>
    </w:p>
    <w:p w14:paraId="430B167D">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14:paraId="4AD316D6">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12.1.2报价文件：详见“供应商须知前附表”</w:t>
      </w:r>
    </w:p>
    <w:p w14:paraId="729D74B5">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14:paraId="5DB5E6C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711ED4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42F922D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14.磋商的风险</w:t>
      </w:r>
    </w:p>
    <w:p w14:paraId="573CAB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1808DC7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15.磋商报价</w:t>
      </w:r>
    </w:p>
    <w:p w14:paraId="6A1B0256">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15.1磋商报价应按磋商文件中“磋商报价表”格式填写。</w:t>
      </w:r>
    </w:p>
    <w:p w14:paraId="718695B4">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15.2磋商报价的内容见“供应商须知前附表”。</w:t>
      </w:r>
    </w:p>
    <w:p w14:paraId="56AD9D6A">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15.3磋商报价要求</w:t>
      </w:r>
    </w:p>
    <w:p w14:paraId="04EC6F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5.3.1</w:t>
      </w:r>
      <w:r>
        <w:rPr>
          <w:rFonts w:hint="eastAsia" w:ascii="宋体" w:hAnsi="宋体" w:cs="宋体"/>
          <w:color w:val="auto"/>
          <w:szCs w:val="21"/>
          <w:highlight w:val="none"/>
        </w:rPr>
        <w:t>供应商的磋商报价应符合以下要求，否则响应文件按无效响应处理：</w:t>
      </w:r>
    </w:p>
    <w:p w14:paraId="4613D243">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w:t>
      </w:r>
    </w:p>
    <w:p w14:paraId="0C7F6883">
      <w:pPr>
        <w:spacing w:line="360" w:lineRule="auto"/>
        <w:rPr>
          <w:rFonts w:ascii="宋体" w:hAnsi="宋体" w:cs="宋体"/>
          <w:color w:val="auto"/>
          <w:szCs w:val="21"/>
          <w:highlight w:val="none"/>
        </w:rPr>
      </w:pPr>
      <w:r>
        <w:rPr>
          <w:rFonts w:hint="eastAsia" w:ascii="宋体" w:hAnsi="宋体" w:cs="宋体"/>
          <w:color w:val="auto"/>
          <w:szCs w:val="21"/>
          <w:highlight w:val="none"/>
        </w:rPr>
        <w:t>不得存在漏项报价；</w:t>
      </w:r>
    </w:p>
    <w:p w14:paraId="6F9235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0DA8FE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磋商报价（包含首次报价、最后报价）超过所磋商分标规定的采购预算金额或者最高限价的，其响应文件将按无效处理。</w:t>
      </w:r>
    </w:p>
    <w:p w14:paraId="494784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3</w:t>
      </w:r>
      <w:bookmarkStart w:id="55" w:name="_Hlk42592874"/>
      <w:r>
        <w:rPr>
          <w:rFonts w:hint="eastAsia" w:ascii="宋体" w:hAnsi="宋体" w:cs="宋体"/>
          <w:color w:val="auto"/>
          <w:szCs w:val="21"/>
          <w:highlight w:val="none"/>
        </w:rPr>
        <w:t>磋商报价（包含首次报价、最后报价）超过分项采购预算金额或者最高限价的，其响应文件将按无效处理。</w:t>
      </w:r>
    </w:p>
    <w:bookmarkEnd w:id="55"/>
    <w:p w14:paraId="439FEEC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5D1EC6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3C3E31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6B70D8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2815D5D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17.磋商保证金</w:t>
      </w:r>
    </w:p>
    <w:p w14:paraId="761C6128">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077C1814">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17.2磋商保证金的退还</w:t>
      </w:r>
    </w:p>
    <w:p w14:paraId="36497335">
      <w:pPr>
        <w:spacing w:line="360" w:lineRule="auto"/>
        <w:ind w:firstLine="420" w:firstLineChars="200"/>
        <w:rPr>
          <w:rFonts w:ascii="宋体" w:hAnsi="宋体" w:cs="宋体"/>
          <w:color w:val="auto"/>
          <w:szCs w:val="21"/>
          <w:highlight w:val="none"/>
        </w:rPr>
      </w:pPr>
      <w:bookmarkStart w:id="56" w:name="_Hlk66782243"/>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成交供应商的竞标保证金自成交通知书发出之日起5个工作日内退还；</w:t>
      </w:r>
      <w:r>
        <w:rPr>
          <w:rFonts w:hint="eastAsia" w:ascii="宋体" w:hAnsi="宋体" w:cs="宋体"/>
          <w:color w:val="auto"/>
          <w:szCs w:val="21"/>
          <w:highlight w:val="none"/>
        </w:rPr>
        <w:t>成交供应商的磋商保证金自签订合同之日起5个工作日内退还。</w:t>
      </w:r>
      <w:bookmarkEnd w:id="56"/>
    </w:p>
    <w:p w14:paraId="41FE830D">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17.3磋商保证金不计息。</w:t>
      </w:r>
    </w:p>
    <w:p w14:paraId="036DFF4E">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17.4供应商有下列情形之一的，磋商保证金将不予退还：</w:t>
      </w:r>
    </w:p>
    <w:p w14:paraId="67F8C539">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5616FD14">
      <w:pPr>
        <w:spacing w:line="360" w:lineRule="auto"/>
        <w:ind w:left="420" w:leftChars="200"/>
        <w:rPr>
          <w:rFonts w:ascii="宋体" w:hAnsi="宋体" w:cs="宋体"/>
          <w:color w:val="auto"/>
          <w:szCs w:val="21"/>
          <w:highlight w:val="none"/>
        </w:rPr>
      </w:pPr>
      <w:r>
        <w:rPr>
          <w:rFonts w:hint="eastAsia" w:ascii="宋体" w:hAnsi="宋体"/>
          <w:color w:val="auto"/>
          <w:szCs w:val="21"/>
          <w:highlight w:val="none"/>
        </w:rPr>
        <w:t>（2）未按规定提交履约保证金的；</w:t>
      </w:r>
    </w:p>
    <w:p w14:paraId="292F6E2B">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3F06E8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（4）除因不可抗力或者磋商文件认可的情形以外，成交供应商不与采购人签订合同的；</w:t>
      </w:r>
    </w:p>
    <w:p w14:paraId="0FFC4079">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58AF4BAC">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（6）法律法规规定的其他情形。</w:t>
      </w:r>
    </w:p>
    <w:p w14:paraId="2966B93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404EEB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供应商应先安装“广西政府采购云平台新版客户端”（请自行前往广西政府采购云平台进行下载），并按照本项目磋商文件规定的格式和顺序和广西政府采购云平台的要求编制并加密。响应文件内容不完整、编排混乱导致响应文件被误读、漏读或者查找不到相关内容的，由此引发的后果由供应商承担。</w:t>
      </w:r>
    </w:p>
    <w:p w14:paraId="0C4D31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4A2AB6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18.3响应文件须由供应商在规定位置签字、盖章（具体以供应商须知前附表或响应文件格式规定为准），否则按无效响应处理。</w:t>
      </w:r>
    </w:p>
    <w:p w14:paraId="00D44F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27BF07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3C62D5A7">
      <w:pPr>
        <w:spacing w:line="360" w:lineRule="auto"/>
        <w:ind w:firstLine="482" w:firstLineChars="200"/>
        <w:rPr>
          <w:rFonts w:ascii="黑体" w:hAnsi="黑体" w:eastAsia="黑体"/>
          <w:color w:val="auto"/>
          <w:sz w:val="24"/>
          <w:highlight w:val="none"/>
        </w:rPr>
      </w:pPr>
      <w:r>
        <w:rPr>
          <w:rFonts w:hint="eastAsia" w:ascii="黑体" w:hAnsi="黑体" w:eastAsia="黑体" w:cs="宋体"/>
          <w:b/>
          <w:bCs/>
          <w:color w:val="auto"/>
          <w:sz w:val="24"/>
          <w:highlight w:val="none"/>
        </w:rPr>
        <w:t>19.电子</w:t>
      </w:r>
      <w:r>
        <w:rPr>
          <w:rFonts w:hint="eastAsia" w:ascii="黑体" w:hAnsi="黑体" w:eastAsia="黑体"/>
          <w:b/>
          <w:color w:val="auto"/>
          <w:sz w:val="24"/>
          <w:highlight w:val="none"/>
        </w:rPr>
        <w:t>备份响应文件</w:t>
      </w:r>
    </w:p>
    <w:p w14:paraId="31F568D7">
      <w:pPr>
        <w:spacing w:line="360" w:lineRule="auto"/>
        <w:ind w:firstLine="420" w:firstLineChars="200"/>
        <w:rPr>
          <w:rFonts w:ascii="宋体" w:hAnsi="宋体" w:cs="宋体"/>
          <w:color w:val="auto"/>
          <w:szCs w:val="21"/>
          <w:highlight w:val="none"/>
        </w:rPr>
      </w:pPr>
      <w:r>
        <w:rPr>
          <w:rFonts w:hint="eastAsia"/>
          <w:color w:val="auto"/>
          <w:highlight w:val="none"/>
        </w:rPr>
        <w:t>电子备份响应文件是指通过“</w:t>
      </w:r>
      <w:r>
        <w:rPr>
          <w:rFonts w:hint="eastAsia" w:ascii="宋体" w:hAnsi="宋体" w:cs="宋体"/>
          <w:color w:val="auto"/>
          <w:szCs w:val="21"/>
          <w:highlight w:val="none"/>
        </w:rPr>
        <w:t>广西政府采购云平台新版客户端</w:t>
      </w:r>
      <w:r>
        <w:rPr>
          <w:rFonts w:hint="eastAsia"/>
          <w:color w:val="auto"/>
          <w:highlight w:val="none"/>
        </w:rPr>
        <w:t>”在线编制生成且后缀名为“</w:t>
      </w:r>
      <w:r>
        <w:rPr>
          <w:color w:val="auto"/>
          <w:highlight w:val="none"/>
        </w:rPr>
        <w:t>bfbs</w:t>
      </w:r>
      <w:r>
        <w:rPr>
          <w:rFonts w:hint="eastAsia"/>
          <w:color w:val="auto"/>
          <w:highlight w:val="none"/>
        </w:rPr>
        <w:t>”的文件，是否接受电子备份响应文件</w:t>
      </w:r>
      <w:r>
        <w:rPr>
          <w:rFonts w:hint="eastAsia" w:hAnsi="宋体"/>
          <w:bCs/>
          <w:color w:val="auto"/>
          <w:szCs w:val="21"/>
          <w:highlight w:val="none"/>
        </w:rPr>
        <w:t>详见在“供应商须知前附表”。</w:t>
      </w:r>
    </w:p>
    <w:p w14:paraId="1DB2718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39A943BF">
      <w:pPr>
        <w:spacing w:line="360" w:lineRule="auto"/>
        <w:ind w:firstLine="420" w:firstLineChars="200"/>
        <w:rPr>
          <w:rFonts w:hAnsi="宋体"/>
          <w:b/>
          <w:color w:val="auto"/>
          <w:highlight w:val="none"/>
        </w:rPr>
      </w:pPr>
      <w:r>
        <w:rPr>
          <w:rFonts w:hint="eastAsia" w:hAnsi="宋体"/>
          <w:bCs/>
          <w:color w:val="auto"/>
          <w:szCs w:val="21"/>
          <w:highlight w:val="none"/>
        </w:rPr>
        <w:t>20.1供应商必须按“供应商须知前附表”规定的</w:t>
      </w:r>
      <w:r>
        <w:rPr>
          <w:rFonts w:hint="eastAsia" w:ascii="宋体" w:hAnsi="宋体" w:cs="宋体"/>
          <w:color w:val="auto"/>
          <w:szCs w:val="21"/>
          <w:highlight w:val="none"/>
        </w:rPr>
        <w:t>时间</w:t>
      </w:r>
      <w:r>
        <w:rPr>
          <w:rFonts w:hint="eastAsia" w:ascii="宋体" w:hAnsi="宋体"/>
          <w:color w:val="auto"/>
          <w:szCs w:val="21"/>
          <w:highlight w:val="none"/>
        </w:rPr>
        <w:t>及</w:t>
      </w:r>
      <w:r>
        <w:rPr>
          <w:rFonts w:hint="eastAsia" w:hAnsi="宋体"/>
          <w:bCs/>
          <w:color w:val="auto"/>
          <w:szCs w:val="21"/>
          <w:highlight w:val="none"/>
        </w:rPr>
        <w:t>地点提交响应文件。电子响应文件应在制作完成后，</w:t>
      </w:r>
      <w:r>
        <w:rPr>
          <w:rFonts w:hAnsi="宋体"/>
          <w:bCs/>
          <w:color w:val="auto"/>
          <w:szCs w:val="21"/>
          <w:highlight w:val="none"/>
        </w:rPr>
        <w:t>在</w:t>
      </w:r>
      <w:r>
        <w:rPr>
          <w:rFonts w:hint="eastAsia" w:hAnsi="宋体"/>
          <w:bCs/>
          <w:color w:val="auto"/>
          <w:szCs w:val="21"/>
          <w:highlight w:val="none"/>
        </w:rPr>
        <w:t>提交响应文件截止</w:t>
      </w:r>
      <w:r>
        <w:rPr>
          <w:rFonts w:hAnsi="宋体"/>
          <w:bCs/>
          <w:color w:val="auto"/>
          <w:szCs w:val="21"/>
          <w:highlight w:val="none"/>
        </w:rPr>
        <w:t>时间前</w:t>
      </w:r>
      <w:r>
        <w:rPr>
          <w:rFonts w:hint="eastAsia" w:hAnsi="宋体"/>
          <w:bCs/>
          <w:color w:val="auto"/>
          <w:szCs w:val="21"/>
          <w:highlight w:val="none"/>
        </w:rPr>
        <w:t>通过有效数字证书（CA认证锁）进行电子签章、加密，然后通过网络将加密的电子响应文件提交至</w:t>
      </w:r>
      <w:r>
        <w:rPr>
          <w:rFonts w:hint="eastAsia" w:ascii="宋体" w:hAnsi="宋体"/>
          <w:color w:val="auto"/>
          <w:szCs w:val="21"/>
          <w:highlight w:val="none"/>
        </w:rPr>
        <w:t>广西政府采购云平台</w:t>
      </w:r>
      <w:r>
        <w:rPr>
          <w:rFonts w:hint="eastAsia" w:hAnsi="宋体"/>
          <w:bCs/>
          <w:color w:val="auto"/>
          <w:szCs w:val="21"/>
          <w:highlight w:val="none"/>
        </w:rPr>
        <w:t>。</w:t>
      </w:r>
    </w:p>
    <w:p w14:paraId="1DF9E0DF">
      <w:pPr>
        <w:spacing w:line="360" w:lineRule="auto"/>
        <w:ind w:firstLine="422" w:firstLineChars="200"/>
        <w:rPr>
          <w:rFonts w:ascii="宋体" w:hAnsi="宋体" w:cs="宋体"/>
          <w:color w:val="auto"/>
          <w:szCs w:val="21"/>
          <w:highlight w:val="none"/>
        </w:rPr>
      </w:pPr>
      <w:r>
        <w:rPr>
          <w:rFonts w:hint="eastAsia" w:ascii="宋体" w:hAnsi="宋体"/>
          <w:b/>
          <w:color w:val="auto"/>
          <w:szCs w:val="21"/>
          <w:highlight w:val="none"/>
        </w:rPr>
        <w:t>20.</w:t>
      </w:r>
      <w:r>
        <w:rPr>
          <w:rFonts w:ascii="宋体" w:hAnsi="宋体"/>
          <w:b/>
          <w:color w:val="auto"/>
          <w:szCs w:val="21"/>
          <w:highlight w:val="none"/>
        </w:rPr>
        <w:t>2</w:t>
      </w:r>
      <w:r>
        <w:rPr>
          <w:rFonts w:hint="eastAsia" w:ascii="宋体" w:hAnsi="宋体"/>
          <w:b/>
          <w:color w:val="auto"/>
          <w:szCs w:val="21"/>
          <w:highlight w:val="none"/>
        </w:rPr>
        <w:t>未在规定时间内提交或者未按照磋商文件要求加密的电子响应文件，广西政府采购云平台将拒收。</w:t>
      </w:r>
    </w:p>
    <w:p w14:paraId="3393B35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1E922630">
      <w:pPr>
        <w:snapToGrid w:val="0"/>
        <w:spacing w:line="360" w:lineRule="auto"/>
        <w:ind w:firstLine="420"/>
        <w:jc w:val="left"/>
        <w:rPr>
          <w:rFonts w:ascii="宋体" w:hAnsi="宋体"/>
          <w:color w:val="auto"/>
          <w:szCs w:val="21"/>
          <w:highlight w:val="none"/>
        </w:rPr>
      </w:pPr>
      <w:bookmarkStart w:id="57" w:name="_Toc254970543"/>
      <w:bookmarkStart w:id="58" w:name="_Toc254970684"/>
      <w:r>
        <w:rPr>
          <w:rFonts w:ascii="宋体" w:hAnsi="宋体" w:cs="宋体"/>
          <w:color w:val="auto"/>
          <w:szCs w:val="21"/>
          <w:highlight w:val="none"/>
        </w:rPr>
        <w:t>2</w:t>
      </w:r>
      <w:r>
        <w:rPr>
          <w:rFonts w:hint="eastAsia" w:ascii="宋体" w:hAnsi="宋体" w:cs="宋体"/>
          <w:color w:val="auto"/>
          <w:szCs w:val="21"/>
          <w:highlight w:val="none"/>
        </w:rPr>
        <w:t>1.1</w:t>
      </w:r>
      <w:r>
        <w:rPr>
          <w:rFonts w:hint="eastAsia" w:ascii="宋体" w:hAnsi="宋体"/>
          <w:bCs/>
          <w:color w:val="auto"/>
          <w:szCs w:val="21"/>
          <w:highlight w:val="none"/>
        </w:rPr>
        <w:t>供应商应当在</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前完成电子响应文件的提交（上传），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可以补充、修改或者撤回响应文件。补充或者修改响应文件的，应当先行撤回原响应文件，补充、修改后重新提交（上传），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未完成提交（上传）的，视为撤回响应文件。</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以后提交（上传）的响应文件，广西政府采购云平台将予以拒收。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进入“服务中心”中查看</w:t>
      </w:r>
      <w:r>
        <w:rPr>
          <w:rFonts w:hint="eastAsia" w:ascii="宋体" w:hAnsi="宋体" w:cs="宋体"/>
          <w:color w:val="auto"/>
          <w:szCs w:val="21"/>
          <w:highlight w:val="none"/>
        </w:rPr>
        <w:t>“电子投标文件制作与投送教程”）</w:t>
      </w:r>
    </w:p>
    <w:bookmarkEnd w:id="57"/>
    <w:bookmarkEnd w:id="58"/>
    <w:p w14:paraId="157138C6">
      <w:pPr>
        <w:pStyle w:val="65"/>
        <w:spacing w:before="0"/>
        <w:ind w:firstLine="420"/>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2在提交响应文件截止时间前，除供应商补充、修改或者撤回响应文件外，任何单位和个人不得解密或提取响应文件。</w:t>
      </w:r>
    </w:p>
    <w:p w14:paraId="1D4348E0">
      <w:pPr>
        <w:spacing w:line="360" w:lineRule="auto"/>
        <w:ind w:firstLine="482" w:firstLineChars="200"/>
        <w:rPr>
          <w:rFonts w:ascii="黑体" w:hAnsi="黑体" w:eastAsia="黑体" w:cs="宋体"/>
          <w:b/>
          <w:bCs/>
          <w:color w:val="auto"/>
          <w:sz w:val="24"/>
          <w:highlight w:val="none"/>
        </w:rPr>
      </w:pPr>
      <w:bookmarkStart w:id="59" w:name="_Hlk45702405"/>
      <w:r>
        <w:rPr>
          <w:rFonts w:hint="eastAsia" w:ascii="黑体" w:hAnsi="黑体" w:eastAsia="黑体" w:cs="宋体"/>
          <w:b/>
          <w:bCs/>
          <w:color w:val="auto"/>
          <w:sz w:val="24"/>
          <w:highlight w:val="none"/>
        </w:rPr>
        <w:t>22.响应文件的退回</w:t>
      </w:r>
    </w:p>
    <w:p w14:paraId="037A9B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3F5B5A6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23.截止时间后的撤回</w:t>
      </w:r>
    </w:p>
    <w:p w14:paraId="1B1D32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供应商在响应文件提交截止时间后向采购人、采购代理机构书面申请撤回响应文件的，将根据本须知正文17.4的规定不予退还其磋商保证金。</w:t>
      </w:r>
    </w:p>
    <w:bookmarkEnd w:id="59"/>
    <w:p w14:paraId="33DB0E4D">
      <w:pPr>
        <w:spacing w:line="360" w:lineRule="auto"/>
        <w:rPr>
          <w:rFonts w:ascii="宋体" w:hAnsi="宋体"/>
          <w:color w:val="auto"/>
          <w:szCs w:val="21"/>
          <w:highlight w:val="none"/>
        </w:rPr>
      </w:pPr>
    </w:p>
    <w:p w14:paraId="7D384789">
      <w:pPr>
        <w:spacing w:line="360" w:lineRule="auto"/>
        <w:ind w:left="420" w:firstLine="420"/>
        <w:jc w:val="center"/>
        <w:rPr>
          <w:rFonts w:ascii="宋体" w:hAnsi="宋体"/>
          <w:b/>
          <w:bCs/>
          <w:color w:val="auto"/>
          <w:sz w:val="32"/>
          <w:szCs w:val="32"/>
          <w:highlight w:val="none"/>
        </w:rPr>
      </w:pPr>
      <w:r>
        <w:rPr>
          <w:rFonts w:hint="eastAsia" w:ascii="宋体" w:hAnsi="宋体"/>
          <w:b/>
          <w:bCs/>
          <w:color w:val="auto"/>
          <w:sz w:val="32"/>
          <w:szCs w:val="32"/>
          <w:highlight w:val="none"/>
        </w:rPr>
        <w:t>四、评审及磋商</w:t>
      </w:r>
    </w:p>
    <w:p w14:paraId="37312985">
      <w:pPr>
        <w:spacing w:line="360" w:lineRule="auto"/>
        <w:ind w:left="420" w:firstLine="420"/>
        <w:rPr>
          <w:rFonts w:ascii="宋体" w:hAnsi="宋体"/>
          <w:color w:val="auto"/>
          <w:szCs w:val="21"/>
          <w:highlight w:val="none"/>
        </w:rPr>
      </w:pPr>
    </w:p>
    <w:p w14:paraId="43B6F26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14:paraId="29659E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667ADB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65491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基于广西政府采购云平台</w:t>
      </w:r>
      <w:r>
        <w:rPr>
          <w:rFonts w:hint="eastAsia" w:hAnsi="宋体"/>
          <w:bCs/>
          <w:color w:val="auto"/>
          <w:highlight w:val="none"/>
        </w:rPr>
        <w:t>抽（选）取</w:t>
      </w:r>
      <w:r>
        <w:rPr>
          <w:rFonts w:hint="eastAsia" w:hAnsi="宋体"/>
          <w:bCs/>
          <w:color w:val="auto"/>
          <w:szCs w:val="21"/>
          <w:highlight w:val="none"/>
        </w:rPr>
        <w:t>评审专家。</w:t>
      </w:r>
    </w:p>
    <w:p w14:paraId="3BCE48BC">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首次响应文件的开启和解密</w:t>
      </w:r>
    </w:p>
    <w:p w14:paraId="7D7F504E">
      <w:pPr>
        <w:spacing w:line="360" w:lineRule="auto"/>
        <w:ind w:firstLine="420" w:firstLineChars="200"/>
        <w:rPr>
          <w:rFonts w:ascii="宋体" w:hAnsi="宋体" w:cs="宋体"/>
          <w:color w:val="auto"/>
          <w:szCs w:val="21"/>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间通过电子交易平台组织响应文件开启，供应商的法定代表人或其委托代理人须携带加密时所用的CA锁，按平台提示和磋商文件的规定登录到广西政府采购云平台电子开标大厅签到，</w:t>
      </w:r>
      <w:r>
        <w:rPr>
          <w:rFonts w:hint="eastAsia"/>
          <w:color w:val="auto"/>
          <w:highlight w:val="none"/>
        </w:rPr>
        <w:t>采购代理机构依托广西政府采购云平台向各供应商发出电子加密响应文件【开始解密】通知，由供应商按</w:t>
      </w:r>
      <w:r>
        <w:rPr>
          <w:rFonts w:hint="eastAsia" w:hAnsi="宋体"/>
          <w:bCs/>
          <w:color w:val="auto"/>
          <w:szCs w:val="21"/>
          <w:highlight w:val="none"/>
        </w:rPr>
        <w:t>“供应商须知前附表”</w:t>
      </w:r>
      <w:r>
        <w:rPr>
          <w:rFonts w:hint="eastAsia"/>
          <w:color w:val="auto"/>
          <w:highlight w:val="none"/>
        </w:rPr>
        <w:t>规定的时间内自行进行响应文件解密</w:t>
      </w:r>
      <w:r>
        <w:rPr>
          <w:rFonts w:hint="eastAsia" w:hAnsi="宋体"/>
          <w:color w:val="auto"/>
          <w:highlight w:val="none"/>
        </w:rPr>
        <w:t>。</w:t>
      </w:r>
      <w:r>
        <w:rPr>
          <w:rFonts w:hint="eastAsia"/>
          <w:b/>
          <w:color w:val="auto"/>
          <w:highlight w:val="none"/>
        </w:rPr>
        <w:t>供应商未在</w:t>
      </w:r>
      <w:r>
        <w:rPr>
          <w:b/>
          <w:color w:val="auto"/>
          <w:highlight w:val="none"/>
        </w:rPr>
        <w:t>规定的时间内解密</w:t>
      </w:r>
      <w:r>
        <w:rPr>
          <w:rFonts w:hint="eastAsia"/>
          <w:b/>
          <w:color w:val="auto"/>
          <w:highlight w:val="none"/>
        </w:rPr>
        <w:t>响应文件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，供应商</w:t>
      </w:r>
      <w:r>
        <w:rPr>
          <w:rFonts w:hint="eastAsia" w:ascii="宋体" w:hAnsi="宋体"/>
          <w:b/>
          <w:color w:val="auto"/>
          <w:szCs w:val="21"/>
          <w:highlight w:val="none"/>
        </w:rPr>
        <w:t>的响应文件作无效处理</w:t>
      </w:r>
      <w:r>
        <w:rPr>
          <w:b/>
          <w:color w:val="auto"/>
          <w:highlight w:val="none"/>
        </w:rPr>
        <w:t>。</w:t>
      </w:r>
    </w:p>
    <w:p w14:paraId="6A7403AB">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.评审程序、评审方法和评审标准</w:t>
      </w:r>
    </w:p>
    <w:p w14:paraId="5F9C11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.1本项目的评审方法为综合评分法。</w:t>
      </w:r>
    </w:p>
    <w:p w14:paraId="73F0FE6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26.2</w:t>
      </w:r>
      <w:r>
        <w:rPr>
          <w:rFonts w:hint="eastAsia" w:ascii="宋体" w:hAnsi="宋体" w:cs="宋体"/>
          <w:color w:val="auto"/>
          <w:szCs w:val="21"/>
          <w:highlight w:val="none"/>
        </w:rPr>
        <w:t>磋商小组</w:t>
      </w:r>
      <w:r>
        <w:rPr>
          <w:rFonts w:ascii="宋体" w:hAnsi="宋体" w:cs="宋体"/>
          <w:color w:val="auto"/>
          <w:szCs w:val="21"/>
          <w:highlight w:val="none"/>
        </w:rPr>
        <w:t>按照</w:t>
      </w:r>
      <w:r>
        <w:rPr>
          <w:rFonts w:hint="eastAsia" w:ascii="宋体" w:hAnsi="宋体" w:cs="宋体"/>
          <w:color w:val="auto"/>
          <w:szCs w:val="21"/>
          <w:highlight w:val="none"/>
        </w:rPr>
        <w:t>“第四章评审程序、评审方法和评审标准”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p>
    <w:p w14:paraId="0EA06C98">
      <w:pPr>
        <w:spacing w:line="360" w:lineRule="auto"/>
        <w:ind w:firstLine="420" w:firstLineChars="200"/>
        <w:rPr>
          <w:rFonts w:ascii="宋体" w:hAnsi="宋体"/>
          <w:color w:val="auto"/>
          <w:szCs w:val="21"/>
          <w:highlight w:val="none"/>
        </w:rPr>
      </w:pPr>
      <w:r>
        <w:rPr>
          <w:rFonts w:hint="eastAsia" w:ascii="宋体" w:hAnsi="宋体" w:cs="宋体"/>
          <w:color w:val="auto"/>
          <w:highlight w:val="none"/>
        </w:rPr>
        <w:t>26.3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522115CE">
      <w:pPr>
        <w:spacing w:line="360" w:lineRule="auto"/>
        <w:ind w:firstLine="420" w:firstLineChars="200"/>
        <w:rPr>
          <w:rFonts w:hAnsi="宋体"/>
          <w:color w:val="auto"/>
          <w:highlight w:val="none"/>
        </w:rPr>
      </w:pPr>
      <w:r>
        <w:rPr>
          <w:rFonts w:hint="eastAsia" w:ascii="宋体" w:hAnsi="宋体" w:cs="宋体"/>
          <w:color w:val="auto"/>
          <w:highlight w:val="none"/>
        </w:rPr>
        <w:t>2</w:t>
      </w:r>
      <w:r>
        <w:rPr>
          <w:rFonts w:ascii="宋体" w:hAnsi="宋体" w:cs="宋体"/>
          <w:color w:val="auto"/>
          <w:highlight w:val="none"/>
        </w:rPr>
        <w:t>6.</w:t>
      </w:r>
      <w:r>
        <w:rPr>
          <w:rFonts w:hint="eastAsia" w:ascii="宋体" w:hAnsi="宋体" w:cs="宋体"/>
          <w:color w:val="auto"/>
          <w:highlight w:val="none"/>
        </w:rPr>
        <w:t>4</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5C16E579">
      <w:pPr>
        <w:spacing w:line="360" w:lineRule="auto"/>
        <w:ind w:firstLine="420" w:firstLineChars="200"/>
        <w:rPr>
          <w:rFonts w:hAnsi="宋体"/>
          <w:color w:val="auto"/>
          <w:highlight w:val="none"/>
        </w:rPr>
      </w:pPr>
      <w:r>
        <w:rPr>
          <w:rFonts w:hint="eastAsia" w:hAnsi="宋体"/>
          <w:color w:val="auto"/>
          <w:highlight w:val="none"/>
        </w:rPr>
        <w:t>（1）电子交易平台发生故障而无法登录访问的；</w:t>
      </w:r>
    </w:p>
    <w:p w14:paraId="03BCE184">
      <w:pPr>
        <w:spacing w:line="360" w:lineRule="auto"/>
        <w:ind w:firstLine="420" w:firstLineChars="200"/>
        <w:rPr>
          <w:rFonts w:hAnsi="宋体"/>
          <w:color w:val="auto"/>
          <w:highlight w:val="none"/>
        </w:rPr>
      </w:pPr>
      <w:r>
        <w:rPr>
          <w:rFonts w:hint="eastAsia" w:hAnsi="宋体"/>
          <w:color w:val="auto"/>
          <w:highlight w:val="none"/>
        </w:rPr>
        <w:t>（2）电子交易平台应用或数据库出现错误，不能进行正常操作的；</w:t>
      </w:r>
    </w:p>
    <w:p w14:paraId="13320806">
      <w:pPr>
        <w:spacing w:line="360" w:lineRule="auto"/>
        <w:ind w:firstLine="420" w:firstLineChars="200"/>
        <w:rPr>
          <w:rFonts w:hAnsi="宋体"/>
          <w:color w:val="auto"/>
          <w:highlight w:val="none"/>
        </w:rPr>
      </w:pPr>
      <w:r>
        <w:rPr>
          <w:rFonts w:hint="eastAsia" w:hAnsi="宋体"/>
          <w:color w:val="auto"/>
          <w:highlight w:val="none"/>
        </w:rPr>
        <w:t>（3）电子交易平台发现严重安全漏洞，有潜在泄密危险的；</w:t>
      </w:r>
    </w:p>
    <w:p w14:paraId="28AC62AA">
      <w:pPr>
        <w:spacing w:line="360" w:lineRule="auto"/>
        <w:ind w:firstLine="420" w:firstLineChars="200"/>
        <w:rPr>
          <w:rFonts w:hAnsi="宋体"/>
          <w:color w:val="auto"/>
          <w:highlight w:val="none"/>
        </w:rPr>
      </w:pPr>
      <w:r>
        <w:rPr>
          <w:rFonts w:hint="eastAsia" w:hAnsi="宋体"/>
          <w:color w:val="auto"/>
          <w:highlight w:val="none"/>
        </w:rPr>
        <w:t>（4）病毒发作导致不能进行正常操作的；</w:t>
      </w:r>
    </w:p>
    <w:p w14:paraId="33B5F43C">
      <w:pPr>
        <w:spacing w:line="360" w:lineRule="auto"/>
        <w:ind w:firstLine="420" w:firstLineChars="200"/>
        <w:rPr>
          <w:rFonts w:hAnsi="宋体"/>
          <w:color w:val="auto"/>
          <w:highlight w:val="none"/>
        </w:rPr>
      </w:pPr>
      <w:r>
        <w:rPr>
          <w:rFonts w:hint="eastAsia" w:hAnsi="宋体"/>
          <w:color w:val="auto"/>
          <w:highlight w:val="none"/>
        </w:rPr>
        <w:t>（5）其他无法保证电子交易的公平、公正和安全的情况。</w:t>
      </w:r>
    </w:p>
    <w:p w14:paraId="6574BAF3">
      <w:pPr>
        <w:spacing w:line="360" w:lineRule="auto"/>
        <w:ind w:firstLine="420" w:firstLineChars="200"/>
        <w:rPr>
          <w:rFonts w:ascii="宋体" w:hAnsi="宋体" w:cs="宋体"/>
          <w:color w:val="auto"/>
          <w:szCs w:val="21"/>
          <w:highlight w:val="none"/>
        </w:rPr>
      </w:pPr>
      <w:r>
        <w:rPr>
          <w:rFonts w:hint="eastAsia" w:ascii="宋体" w:hAnsi="宋体"/>
          <w:color w:val="auto"/>
          <w:highlight w:val="none"/>
        </w:rPr>
        <w:t>26.5</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79D14450">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1D2CD6B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C52A003">
      <w:pPr>
        <w:spacing w:line="360" w:lineRule="auto"/>
        <w:ind w:firstLine="420" w:firstLineChars="200"/>
        <w:rPr>
          <w:rFonts w:ascii="宋体" w:hAnsi="宋体" w:cs="Courier New"/>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60"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60"/>
    </w:p>
    <w:p w14:paraId="5E580E66">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27.3出现下列情形之一的，采购人或者采购代理机构应当终止竞争性磋商采购活动，发布项目终止公告并说明原因，重新开展采购活动：</w:t>
      </w:r>
    </w:p>
    <w:p w14:paraId="732F06BB">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（1）因情况变化，不再符合规定的竞争性磋商采购方式适用情形的；</w:t>
      </w:r>
    </w:p>
    <w:p w14:paraId="20A2763E">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（2）出现影响采购公正的违法、违规行为的；</w:t>
      </w:r>
    </w:p>
    <w:p w14:paraId="07333510">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（3）除“第四章评审程序、评审方法和评审标准”第4.3条规定的情形外，在采购过程中符合要求的供应商或者报价未超过采购预算的供应商不足3家的。</w:t>
      </w:r>
    </w:p>
    <w:p w14:paraId="4E1613F7">
      <w:pPr>
        <w:spacing w:line="360" w:lineRule="auto"/>
        <w:ind w:firstLine="420" w:firstLineChars="200"/>
        <w:rPr>
          <w:rFonts w:ascii="宋体" w:hAnsi="宋体" w:cs="宋体"/>
          <w:color w:val="auto"/>
          <w:szCs w:val="21"/>
          <w:highlight w:val="none"/>
        </w:rPr>
      </w:pPr>
      <w:r>
        <w:rPr>
          <w:rFonts w:hint="eastAsia" w:ascii="宋体" w:hAnsi="宋体" w:cs="Courier New"/>
          <w:color w:val="auto"/>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14:paraId="2786C0B1">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14:paraId="3295E27B">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.1履约保证金的金额、提交方式、退付的时间和条件详见“供应商须知前附表”。成交供应商未按规定提交履约保证金的，视为拒绝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w:t>
      </w:r>
    </w:p>
    <w:p w14:paraId="776A4613">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.2在履约保证金退还日期前，若成交供应商的开户名称、开户银行、帐号有变动的，请以书面形式通知履约保证金收取单位，否则由此产生的后果由成交供应商自行承担。</w:t>
      </w:r>
    </w:p>
    <w:p w14:paraId="28AB1630">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4297A15A">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1413BA80">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14:paraId="64448EC0">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1795FD5D">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30B2279F">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2E338846">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4EF5F76B">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4BE55A7D">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1308C89F">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059CE5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6B9FAA9F">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14:paraId="689784CC">
      <w:pPr>
        <w:pStyle w:val="8"/>
        <w:spacing w:line="360" w:lineRule="auto"/>
        <w:rPr>
          <w:rFonts w:ascii="宋体" w:hAnsi="宋体"/>
          <w:color w:val="auto"/>
          <w:szCs w:val="21"/>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r>
        <w:rPr>
          <w:rFonts w:hint="eastAsia" w:ascii="宋体" w:hAnsi="宋体" w:cs="宋体"/>
          <w:color w:val="auto"/>
          <w:highlight w:val="none"/>
        </w:rPr>
        <w:t>。</w:t>
      </w:r>
    </w:p>
    <w:p w14:paraId="616E27F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highlight w:val="none"/>
        </w:rPr>
        <w:t>接收质疑函的方式、联系部门、联系电话和通讯地址等信息</w:t>
      </w:r>
      <w:r>
        <w:rPr>
          <w:rFonts w:hint="eastAsia" w:ascii="宋体" w:hAnsi="宋体" w:cs="Arial"/>
          <w:color w:val="auto"/>
          <w:highlight w:val="none"/>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293AFC9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（1）对可以质疑的磋商文件提出质疑的，为收到磋商文件之日或者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14:paraId="505A488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156317A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22B48A8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3C4A072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1A6864D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36B040A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4B76335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339D694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710DE57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0434310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558F938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2880F8D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5F023F0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38D32F6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21286E3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680DA030">
      <w:pPr>
        <w:spacing w:line="360" w:lineRule="auto"/>
        <w:ind w:firstLine="420" w:firstLineChars="200"/>
        <w:rPr>
          <w:rFonts w:ascii="宋体" w:hAnsi="宋体" w:cs="宋体"/>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4788B0B2">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32</w:t>
      </w:r>
      <w:r>
        <w:rPr>
          <w:rFonts w:hint="eastAsia" w:ascii="黑体" w:hAnsi="黑体" w:eastAsia="黑体" w:cs="宋体"/>
          <w:b/>
          <w:bCs/>
          <w:color w:val="auto"/>
          <w:sz w:val="24"/>
          <w:highlight w:val="none"/>
        </w:rPr>
        <w:t>.其他内容</w:t>
      </w:r>
    </w:p>
    <w:p w14:paraId="64A6F81D">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.1代理服务收取标准及缴费账户详见“供应商须知前附表”，供应商为联合体的，可以由联合体中的一方或者多方共同交纳代理服务费。</w:t>
      </w:r>
    </w:p>
    <w:p w14:paraId="636B8727">
      <w:pPr>
        <w:spacing w:line="440" w:lineRule="exact"/>
        <w:ind w:firstLine="420" w:firstLineChars="200"/>
        <w:rPr>
          <w:rFonts w:ascii="宋体" w:hAnsi="宋体" w:cs="宋体"/>
          <w:color w:val="auto"/>
          <w:highlight w:val="none"/>
        </w:rPr>
      </w:pPr>
      <w:r>
        <w:rPr>
          <w:rFonts w:ascii="宋体" w:hAnsi="宋体" w:cs="宋体"/>
          <w:color w:val="auto"/>
          <w:szCs w:val="21"/>
          <w:highlight w:val="none"/>
        </w:rPr>
        <w:t>32.2</w:t>
      </w:r>
      <w:r>
        <w:rPr>
          <w:rFonts w:hint="eastAsia" w:ascii="宋体" w:hAnsi="宋体" w:cs="宋体"/>
          <w:color w:val="auto"/>
          <w:szCs w:val="21"/>
          <w:highlight w:val="none"/>
        </w:rPr>
        <w:t>代理服务费收费计算标准：</w:t>
      </w:r>
      <w:r>
        <w:rPr>
          <w:rFonts w:hint="eastAsia" w:ascii="宋体" w:hAnsi="宋体" w:cs="宋体"/>
          <w:color w:val="auto"/>
          <w:highlight w:val="none"/>
        </w:rPr>
        <w:t>详见“供应商须知前附表”</w:t>
      </w:r>
      <w:r>
        <w:rPr>
          <w:rFonts w:hint="eastAsia" w:hAnsi="宋体" w:cs="宋体"/>
          <w:color w:val="auto"/>
          <w:highlight w:val="none"/>
        </w:rPr>
        <w:t>。</w:t>
      </w:r>
    </w:p>
    <w:p w14:paraId="34DE88A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3.需要补充的其他内容</w:t>
      </w:r>
    </w:p>
    <w:p w14:paraId="200C6BD0">
      <w:pPr>
        <w:pStyle w:val="23"/>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3.1</w:t>
      </w:r>
      <w:r>
        <w:rPr>
          <w:rFonts w:hint="eastAsia" w:hAnsi="宋体" w:cs="宋体"/>
          <w:color w:val="auto"/>
          <w:kern w:val="2"/>
          <w:sz w:val="21"/>
          <w:highlight w:val="none"/>
        </w:rPr>
        <w:t>本磋商文件解释规则详见“供应商须知前附表”。</w:t>
      </w:r>
    </w:p>
    <w:p w14:paraId="137717C3">
      <w:pPr>
        <w:pStyle w:val="23"/>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33.2</w:t>
      </w:r>
      <w:r>
        <w:rPr>
          <w:rFonts w:hint="eastAsia" w:hAnsi="宋体" w:cs="宋体"/>
          <w:color w:val="auto"/>
          <w:kern w:val="2"/>
          <w:sz w:val="21"/>
          <w:highlight w:val="none"/>
        </w:rPr>
        <w:t>其他事项详见“供应商须知前附表”。</w:t>
      </w:r>
    </w:p>
    <w:p w14:paraId="5D514559">
      <w:pPr>
        <w:pStyle w:val="23"/>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3.3</w:t>
      </w:r>
      <w:r>
        <w:rPr>
          <w:rFonts w:hint="eastAsia" w:hAnsi="宋体" w:cs="宋体"/>
          <w:color w:val="auto"/>
          <w:kern w:val="2"/>
          <w:sz w:val="21"/>
          <w:highlight w:val="none"/>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559C19D1">
      <w:pPr>
        <w:pStyle w:val="23"/>
        <w:spacing w:line="360" w:lineRule="auto"/>
        <w:ind w:firstLine="420" w:firstLineChars="200"/>
        <w:contextualSpacing/>
        <w:rPr>
          <w:rFonts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68D699DE">
      <w:pPr>
        <w:pStyle w:val="23"/>
        <w:spacing w:line="360" w:lineRule="auto"/>
        <w:ind w:firstLine="420" w:firstLineChars="200"/>
        <w:contextualSpacing/>
        <w:rPr>
          <w:rFonts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57A7F6E7">
      <w:pPr>
        <w:pStyle w:val="23"/>
        <w:spacing w:line="360" w:lineRule="auto"/>
        <w:ind w:firstLine="420" w:firstLineChars="200"/>
        <w:contextualSpacing/>
        <w:rPr>
          <w:rFonts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43A8A9BD">
      <w:pPr>
        <w:pStyle w:val="23"/>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11D0D41D">
      <w:pPr>
        <w:pStyle w:val="23"/>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依据本磋商文件规定享受扶持政策获得政府采购合同的，小微企业不得将合同分包给大中型企业，中型企业不得将合同分包给大型企业。</w:t>
      </w:r>
    </w:p>
    <w:p w14:paraId="5EC8EBFF">
      <w:pPr>
        <w:pStyle w:val="19"/>
        <w:ind w:firstLine="1126"/>
        <w:rPr>
          <w:rFonts w:ascii="宋体"/>
          <w:color w:val="auto"/>
          <w:szCs w:val="21"/>
          <w:highlight w:val="none"/>
        </w:rPr>
      </w:pPr>
      <w:r>
        <w:rPr>
          <w:color w:val="auto"/>
          <w:highlight w:val="none"/>
        </w:rPr>
        <w:br w:type="page"/>
      </w:r>
    </w:p>
    <w:p w14:paraId="3EFA6DA6">
      <w:pPr>
        <w:pStyle w:val="23"/>
        <w:snapToGrid w:val="0"/>
        <w:spacing w:line="360" w:lineRule="auto"/>
        <w:ind w:left="840" w:hanging="420"/>
        <w:rPr>
          <w:rFonts w:hAnsi="宋体"/>
          <w:color w:val="auto"/>
          <w:highlight w:val="none"/>
        </w:rPr>
      </w:pPr>
      <w:r>
        <w:rPr>
          <w:rFonts w:hint="eastAsia" w:ascii="黑体" w:hAnsi="黑体" w:eastAsia="黑体" w:cs="黑体"/>
          <w:bCs/>
          <w:color w:val="auto"/>
          <w:sz w:val="32"/>
          <w:szCs w:val="32"/>
          <w:highlight w:val="none"/>
        </w:rPr>
        <w:t>附件1：</w:t>
      </w:r>
    </w:p>
    <w:p w14:paraId="15E958CC">
      <w:pPr>
        <w:widowControl/>
        <w:shd w:val="clear" w:color="auto" w:fill="FFFFFF"/>
        <w:spacing w:line="480" w:lineRule="atLeast"/>
        <w:jc w:val="center"/>
        <w:rPr>
          <w:rFonts w:ascii="仿宋" w:hAnsi="仿宋" w:eastAsia="仿宋"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广西壮族自治区政府采购项目合同验收书（格式参考）</w:t>
      </w:r>
    </w:p>
    <w:p w14:paraId="4D1242FB">
      <w:pPr>
        <w:widowControl/>
        <w:shd w:val="clear" w:color="auto" w:fill="FFFFFF"/>
        <w:spacing w:line="480" w:lineRule="atLeast"/>
        <w:jc w:val="center"/>
        <w:rPr>
          <w:rFonts w:ascii="仿宋" w:hAnsi="仿宋" w:eastAsia="仿宋" w:cs="宋体"/>
          <w:color w:val="auto"/>
          <w:kern w:val="0"/>
          <w:sz w:val="32"/>
          <w:szCs w:val="32"/>
          <w:highlight w:val="none"/>
        </w:rPr>
      </w:pPr>
    </w:p>
    <w:p w14:paraId="6C1623BB">
      <w:pPr>
        <w:widowControl/>
        <w:shd w:val="clear" w:color="auto" w:fill="FFFFFF"/>
        <w:snapToGrid w:val="0"/>
        <w:spacing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政府采购项目成交供应商（</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提供的货物（或者工程、服务）进行了验收，验收情况如下：</w:t>
      </w:r>
    </w:p>
    <w:tbl>
      <w:tblPr>
        <w:tblStyle w:val="36"/>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5FB33144">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70CC1FE8">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ascii="宋体" w:hAnsi="宋体"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14:paraId="728FE58F">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ascii="宋体" w:hAnsi="宋体" w:cs="宋体"/>
                <w:color w:val="auto"/>
                <w:kern w:val="0"/>
                <w:szCs w:val="21"/>
                <w:highlight w:val="none"/>
              </w:rPr>
              <w:t>□自行验收 □委托验收</w:t>
            </w:r>
          </w:p>
        </w:tc>
      </w:tr>
      <w:tr w14:paraId="1012C0DF">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15F91F44">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ascii="宋体" w:hAnsi="宋体"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7DBC86D1">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ascii="宋体" w:hAnsi="宋体"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01CF3372">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ascii="宋体" w:hAnsi="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3EBA4106">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ascii="宋体" w:hAnsi="宋体"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11F84100">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ascii="宋体" w:hAnsi="宋体" w:cs="宋体"/>
                <w:color w:val="auto"/>
                <w:kern w:val="0"/>
                <w:szCs w:val="21"/>
                <w:highlight w:val="none"/>
              </w:rPr>
              <w:t>金额</w:t>
            </w:r>
          </w:p>
        </w:tc>
      </w:tr>
      <w:tr w14:paraId="4BA9CADC">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2696432C">
            <w:pPr>
              <w:widowControl/>
              <w:spacing w:before="100" w:beforeAutospacing="1" w:after="100" w:afterAutospacing="1" w:line="240" w:lineRule="atLeast"/>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345B301D">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425CE234">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424023C3">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33ED1E37">
            <w:pPr>
              <w:widowControl/>
              <w:spacing w:before="100" w:beforeAutospacing="1" w:after="100" w:afterAutospacing="1" w:line="240" w:lineRule="atLeast"/>
              <w:jc w:val="center"/>
              <w:rPr>
                <w:rFonts w:ascii="宋体" w:hAnsi="宋体" w:cs="宋体"/>
                <w:color w:val="auto"/>
                <w:kern w:val="0"/>
                <w:szCs w:val="21"/>
                <w:highlight w:val="none"/>
              </w:rPr>
            </w:pPr>
          </w:p>
        </w:tc>
      </w:tr>
      <w:tr w14:paraId="581DE396">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31F62551">
            <w:pPr>
              <w:widowControl/>
              <w:spacing w:before="100" w:beforeAutospacing="1" w:after="100" w:afterAutospacing="1" w:line="240" w:lineRule="atLeast"/>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2AD88BF9">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3709B9EB">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2DDAF063">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3809811A">
            <w:pPr>
              <w:widowControl/>
              <w:spacing w:before="100" w:beforeAutospacing="1" w:after="100" w:afterAutospacing="1" w:line="240" w:lineRule="atLeast"/>
              <w:jc w:val="center"/>
              <w:rPr>
                <w:rFonts w:ascii="宋体" w:hAnsi="宋体" w:cs="宋体"/>
                <w:color w:val="auto"/>
                <w:kern w:val="0"/>
                <w:szCs w:val="21"/>
                <w:highlight w:val="none"/>
              </w:rPr>
            </w:pPr>
          </w:p>
        </w:tc>
      </w:tr>
      <w:tr w14:paraId="3035B7D7">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07D75327">
            <w:pPr>
              <w:widowControl/>
              <w:spacing w:before="100" w:beforeAutospacing="1" w:after="100" w:afterAutospacing="1" w:line="240" w:lineRule="atLeast"/>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5850A44D">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17A56DCF">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66BD8DBB">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11FA9DBE">
            <w:pPr>
              <w:widowControl/>
              <w:spacing w:before="100" w:beforeAutospacing="1" w:after="100" w:afterAutospacing="1" w:line="240" w:lineRule="atLeast"/>
              <w:jc w:val="center"/>
              <w:rPr>
                <w:rFonts w:ascii="宋体" w:hAnsi="宋体" w:cs="宋体"/>
                <w:color w:val="auto"/>
                <w:kern w:val="0"/>
                <w:szCs w:val="21"/>
                <w:highlight w:val="none"/>
              </w:rPr>
            </w:pPr>
          </w:p>
        </w:tc>
      </w:tr>
      <w:tr w14:paraId="69A7A2B1">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7EF5AEBD">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ascii="宋体" w:hAnsi="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14:paraId="40F51900">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74E1C761">
            <w:pPr>
              <w:widowControl/>
              <w:spacing w:before="100" w:beforeAutospacing="1" w:after="100" w:afterAutospacing="1" w:line="240" w:lineRule="atLeast"/>
              <w:jc w:val="center"/>
              <w:rPr>
                <w:rFonts w:ascii="宋体" w:hAnsi="宋体" w:cs="宋体"/>
                <w:color w:val="auto"/>
                <w:kern w:val="0"/>
                <w:szCs w:val="21"/>
                <w:highlight w:val="none"/>
              </w:rPr>
            </w:pPr>
          </w:p>
        </w:tc>
      </w:tr>
      <w:tr w14:paraId="6B9E9EF6">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6EB515B0">
            <w:pPr>
              <w:widowControl/>
              <w:snapToGrid w:val="0"/>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ascii="宋体" w:hAnsi="宋体" w:cs="宋体"/>
                <w:color w:val="auto"/>
                <w:kern w:val="0"/>
                <w:szCs w:val="21"/>
                <w:highlight w:val="none"/>
              </w:rPr>
              <w:t xml:space="preserve">合计大写金额：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仟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佰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拾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万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仟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佰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拾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元</w:t>
            </w:r>
          </w:p>
        </w:tc>
      </w:tr>
      <w:tr w14:paraId="271CB033">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07CBABCF">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ascii="宋体" w:hAnsi="宋体"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72FA2D2E">
            <w:pPr>
              <w:widowControl/>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12E11D80">
            <w:pPr>
              <w:widowControl/>
              <w:snapToGrid w:val="0"/>
              <w:spacing w:before="100" w:beforeAutospacing="1" w:after="100" w:afterAutospacing="1" w:line="320" w:lineRule="atLeast"/>
              <w:ind w:firstLine="46"/>
              <w:jc w:val="center"/>
              <w:rPr>
                <w:rFonts w:ascii="宋体" w:hAnsi="宋体" w:cs="宋体"/>
                <w:color w:val="auto"/>
                <w:kern w:val="0"/>
                <w:szCs w:val="21"/>
                <w:highlight w:val="none"/>
              </w:rPr>
            </w:pPr>
            <w:r>
              <w:rPr>
                <w:rFonts w:ascii="宋体" w:hAnsi="宋体"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49624580">
            <w:pPr>
              <w:widowControl/>
              <w:spacing w:before="100" w:beforeAutospacing="1" w:after="100" w:afterAutospacing="1" w:line="240" w:lineRule="atLeast"/>
              <w:jc w:val="center"/>
              <w:rPr>
                <w:rFonts w:ascii="宋体" w:hAnsi="宋体" w:cs="宋体"/>
                <w:color w:val="auto"/>
                <w:kern w:val="0"/>
                <w:szCs w:val="21"/>
                <w:highlight w:val="none"/>
              </w:rPr>
            </w:pPr>
          </w:p>
        </w:tc>
      </w:tr>
      <w:tr w14:paraId="7D41CDD6">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47BAE148">
            <w:pPr>
              <w:widowControl/>
              <w:spacing w:before="100" w:beforeAutospacing="1" w:after="100" w:afterAutospacing="1" w:line="240" w:lineRule="atLeast"/>
              <w:jc w:val="center"/>
              <w:rPr>
                <w:rFonts w:ascii="宋体" w:hAnsi="宋体" w:cs="宋体"/>
                <w:color w:val="auto"/>
                <w:kern w:val="0"/>
                <w:szCs w:val="21"/>
                <w:highlight w:val="none"/>
              </w:rPr>
            </w:pPr>
          </w:p>
        </w:tc>
        <w:tc>
          <w:tcPr>
            <w:tcW w:w="2421" w:type="dxa"/>
            <w:gridSpan w:val="2"/>
            <w:tcBorders>
              <w:top w:val="nil"/>
              <w:left w:val="nil"/>
              <w:bottom w:val="single" w:color="auto" w:sz="8" w:space="0"/>
              <w:right w:val="single" w:color="auto" w:sz="8" w:space="0"/>
            </w:tcBorders>
            <w:vAlign w:val="center"/>
          </w:tcPr>
          <w:p w14:paraId="6ED37469">
            <w:pPr>
              <w:widowControl/>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7C4F7E9D">
            <w:pPr>
              <w:widowControl/>
              <w:spacing w:before="100" w:beforeAutospacing="1" w:after="100" w:afterAutospacing="1" w:line="240" w:lineRule="atLeast"/>
              <w:jc w:val="center"/>
              <w:rPr>
                <w:rFonts w:ascii="宋体" w:hAnsi="宋体" w:cs="宋体"/>
                <w:color w:val="auto"/>
                <w:kern w:val="0"/>
                <w:szCs w:val="21"/>
                <w:highlight w:val="none"/>
              </w:rPr>
            </w:pPr>
          </w:p>
        </w:tc>
        <w:tc>
          <w:tcPr>
            <w:tcW w:w="2113" w:type="dxa"/>
            <w:gridSpan w:val="2"/>
            <w:tcBorders>
              <w:top w:val="nil"/>
              <w:left w:val="nil"/>
              <w:bottom w:val="single" w:color="auto" w:sz="8" w:space="0"/>
              <w:right w:val="single" w:color="auto" w:sz="8" w:space="0"/>
            </w:tcBorders>
            <w:vAlign w:val="center"/>
          </w:tcPr>
          <w:p w14:paraId="1B263534">
            <w:pPr>
              <w:widowControl/>
              <w:spacing w:before="100" w:beforeAutospacing="1" w:after="100" w:afterAutospacing="1" w:line="240" w:lineRule="atLeast"/>
              <w:jc w:val="center"/>
              <w:rPr>
                <w:rFonts w:ascii="宋体" w:hAnsi="宋体" w:cs="宋体"/>
                <w:color w:val="auto"/>
                <w:kern w:val="0"/>
                <w:szCs w:val="21"/>
                <w:highlight w:val="none"/>
              </w:rPr>
            </w:pPr>
          </w:p>
        </w:tc>
      </w:tr>
      <w:tr w14:paraId="3D0517CB">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813611F">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3A4E84F5">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应按采购合同、谈判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01527FAB">
        <w:tblPrEx>
          <w:tblCellMar>
            <w:top w:w="0" w:type="dxa"/>
            <w:left w:w="0" w:type="dxa"/>
            <w:bottom w:w="0" w:type="dxa"/>
            <w:right w:w="0" w:type="dxa"/>
          </w:tblCellMar>
        </w:tblPrEx>
        <w:trPr>
          <w:trHeight w:val="870"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93FE13B">
            <w:pPr>
              <w:widowControl/>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2DADAD50">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ascii="宋体" w:hAnsi="宋体" w:cs="宋体"/>
                <w:color w:val="auto"/>
                <w:kern w:val="0"/>
                <w:szCs w:val="21"/>
                <w:highlight w:val="none"/>
              </w:rPr>
              <w:t>验收结论性意见：</w:t>
            </w:r>
          </w:p>
        </w:tc>
      </w:tr>
      <w:tr w14:paraId="251D73F3">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787ED167">
            <w:pPr>
              <w:widowControl/>
              <w:jc w:val="left"/>
              <w:rPr>
                <w:rFonts w:ascii="宋体" w:hAnsi="宋体"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14:paraId="0335F9CC">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ascii="宋体" w:hAnsi="宋体" w:cs="宋体"/>
                <w:color w:val="auto"/>
                <w:kern w:val="0"/>
                <w:szCs w:val="21"/>
                <w:highlight w:val="none"/>
              </w:rPr>
              <w:t>有异议的意见和说明理由：</w:t>
            </w:r>
          </w:p>
          <w:p w14:paraId="3A463F28">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ascii="宋体" w:hAnsi="宋体" w:cs="宋体"/>
                <w:color w:val="auto"/>
                <w:kern w:val="0"/>
                <w:szCs w:val="21"/>
                <w:highlight w:val="none"/>
              </w:rPr>
              <w:t>签字：</w:t>
            </w:r>
          </w:p>
        </w:tc>
      </w:tr>
      <w:tr w14:paraId="0973FA7F">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EE0614E">
            <w:pPr>
              <w:widowControl/>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验收小组成员签字：</w:t>
            </w:r>
          </w:p>
        </w:tc>
      </w:tr>
      <w:tr w14:paraId="3F53C867">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272B93F">
            <w:pPr>
              <w:widowControl/>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监督人员或者其他相关人员签字：</w:t>
            </w:r>
          </w:p>
          <w:p w14:paraId="4CFA7996">
            <w:pPr>
              <w:widowControl/>
              <w:spacing w:before="100" w:beforeAutospacing="1" w:after="100" w:afterAutospacing="1" w:line="320" w:lineRule="atLeast"/>
              <w:ind w:firstLine="74"/>
              <w:jc w:val="left"/>
              <w:rPr>
                <w:rFonts w:ascii="宋体" w:hAnsi="宋体" w:cs="宋体"/>
                <w:color w:val="auto"/>
                <w:kern w:val="0"/>
                <w:szCs w:val="21"/>
                <w:highlight w:val="none"/>
              </w:rPr>
            </w:pPr>
            <w:r>
              <w:rPr>
                <w:rFonts w:ascii="宋体" w:hAnsi="宋体" w:cs="宋体"/>
                <w:color w:val="auto"/>
                <w:kern w:val="0"/>
                <w:szCs w:val="21"/>
                <w:highlight w:val="none"/>
              </w:rPr>
              <w:t>或者受邀机构的意见（盖章）：</w:t>
            </w:r>
          </w:p>
        </w:tc>
      </w:tr>
      <w:tr w14:paraId="00D286D7">
        <w:tblPrEx>
          <w:tblCellMar>
            <w:top w:w="0" w:type="dxa"/>
            <w:left w:w="0" w:type="dxa"/>
            <w:bottom w:w="0" w:type="dxa"/>
            <w:right w:w="0" w:type="dxa"/>
          </w:tblCellMar>
        </w:tblPrEx>
        <w:trPr>
          <w:trHeight w:val="264"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2CEDBAAC">
            <w:pPr>
              <w:widowControl/>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成交供应商负责人签字或者盖章：</w:t>
            </w:r>
          </w:p>
          <w:p w14:paraId="13496AE5">
            <w:pPr>
              <w:widowControl/>
              <w:spacing w:before="100" w:beforeAutospacing="1" w:after="100" w:afterAutospacing="1" w:line="320" w:lineRule="atLeast"/>
              <w:jc w:val="left"/>
              <w:rPr>
                <w:rFonts w:ascii="宋体" w:hAnsi="宋体" w:cs="宋体"/>
                <w:color w:val="auto"/>
                <w:kern w:val="0"/>
                <w:szCs w:val="21"/>
                <w:highlight w:val="none"/>
              </w:rPr>
            </w:pPr>
          </w:p>
          <w:p w14:paraId="002FAD2A">
            <w:pPr>
              <w:widowControl/>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联系电话：</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年</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月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日</w:t>
            </w:r>
          </w:p>
        </w:tc>
        <w:tc>
          <w:tcPr>
            <w:tcW w:w="4293" w:type="dxa"/>
            <w:gridSpan w:val="4"/>
            <w:tcBorders>
              <w:top w:val="nil"/>
              <w:left w:val="nil"/>
              <w:bottom w:val="single" w:color="auto" w:sz="8" w:space="0"/>
              <w:right w:val="single" w:color="auto" w:sz="8" w:space="0"/>
            </w:tcBorders>
            <w:vAlign w:val="center"/>
          </w:tcPr>
          <w:p w14:paraId="0CB2DF6E">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ascii="宋体" w:hAnsi="宋体" w:cs="宋体"/>
                <w:color w:val="auto"/>
                <w:kern w:val="0"/>
                <w:szCs w:val="21"/>
                <w:highlight w:val="none"/>
              </w:rPr>
              <w:t>采购人或者受托机构的意见（盖章）：</w:t>
            </w:r>
          </w:p>
          <w:p w14:paraId="760970A7">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p>
          <w:p w14:paraId="3AB5FD74">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ascii="宋体" w:hAnsi="宋体" w:cs="宋体"/>
                <w:color w:val="auto"/>
                <w:kern w:val="0"/>
                <w:szCs w:val="21"/>
                <w:highlight w:val="none"/>
              </w:rPr>
              <w:t>联系电话：</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年</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月</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日</w:t>
            </w:r>
          </w:p>
        </w:tc>
      </w:tr>
    </w:tbl>
    <w:p w14:paraId="690A0747">
      <w:pPr>
        <w:pStyle w:val="23"/>
        <w:snapToGrid w:val="0"/>
        <w:ind w:left="840" w:hanging="420"/>
        <w:rPr>
          <w:rFonts w:hAnsi="宋体"/>
          <w:color w:val="auto"/>
          <w:highlight w:val="none"/>
        </w:rPr>
      </w:pPr>
      <w:r>
        <w:rPr>
          <w:rFonts w:hAnsi="宋体"/>
          <w:color w:val="auto"/>
          <w:highlight w:val="none"/>
        </w:rPr>
        <w:br w:type="page"/>
      </w:r>
    </w:p>
    <w:p w14:paraId="696D8251">
      <w:pPr>
        <w:pStyle w:val="23"/>
        <w:snapToGrid w:val="0"/>
        <w:ind w:left="1060" w:hanging="640"/>
        <w:rPr>
          <w:rFonts w:ascii="黑体" w:hAnsi="黑体" w:eastAsia="黑体" w:cs="黑体"/>
          <w:color w:val="auto"/>
          <w:sz w:val="32"/>
          <w:szCs w:val="32"/>
          <w:highlight w:val="none"/>
        </w:rPr>
      </w:pPr>
    </w:p>
    <w:p w14:paraId="6EC9EFFC">
      <w:pPr>
        <w:pStyle w:val="23"/>
        <w:snapToGrid w:val="0"/>
        <w:ind w:left="1060" w:hanging="64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附件2：</w:t>
      </w:r>
    </w:p>
    <w:p w14:paraId="5A4D291F">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政府采购项目履约保证金退付意见书</w:t>
      </w:r>
    </w:p>
    <w:p w14:paraId="31A436B2">
      <w:pPr>
        <w:jc w:val="center"/>
        <w:rPr>
          <w:rFonts w:ascii="黑体" w:hAnsi="黑体" w:eastAsia="黑体"/>
          <w:color w:val="auto"/>
          <w:sz w:val="36"/>
          <w:szCs w:val="36"/>
          <w:highlight w:val="none"/>
        </w:rPr>
      </w:pPr>
      <w:r>
        <w:rPr>
          <w:rFonts w:hint="eastAsia" w:ascii="宋体" w:hAnsi="宋体" w:cs="宋体"/>
          <w:b/>
          <w:bCs/>
          <w:color w:val="auto"/>
          <w:kern w:val="0"/>
          <w:sz w:val="18"/>
          <w:szCs w:val="18"/>
          <w:highlight w:val="none"/>
        </w:rPr>
        <w:t>（本项目如有，可以参考使用）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0239D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14:paraId="41EB8D5F">
            <w:pPr>
              <w:jc w:val="center"/>
              <w:rPr>
                <w:color w:val="auto"/>
                <w:sz w:val="24"/>
                <w:highlight w:val="none"/>
              </w:rPr>
            </w:pPr>
            <w:r>
              <w:rPr>
                <w:rFonts w:hint="eastAsia"/>
                <w:color w:val="auto"/>
                <w:sz w:val="24"/>
                <w:highlight w:val="none"/>
              </w:rPr>
              <w:t>供</w:t>
            </w:r>
          </w:p>
          <w:p w14:paraId="60A4F27D">
            <w:pPr>
              <w:jc w:val="center"/>
              <w:rPr>
                <w:color w:val="auto"/>
                <w:sz w:val="24"/>
                <w:highlight w:val="none"/>
              </w:rPr>
            </w:pPr>
            <w:r>
              <w:rPr>
                <w:rFonts w:hint="eastAsia"/>
                <w:color w:val="auto"/>
                <w:sz w:val="24"/>
                <w:highlight w:val="none"/>
              </w:rPr>
              <w:t>应</w:t>
            </w:r>
          </w:p>
          <w:p w14:paraId="7B58A00B">
            <w:pPr>
              <w:jc w:val="center"/>
              <w:rPr>
                <w:color w:val="auto"/>
                <w:sz w:val="24"/>
                <w:highlight w:val="none"/>
              </w:rPr>
            </w:pPr>
            <w:r>
              <w:rPr>
                <w:rFonts w:hint="eastAsia"/>
                <w:color w:val="auto"/>
                <w:sz w:val="24"/>
                <w:highlight w:val="none"/>
              </w:rPr>
              <w:t>商</w:t>
            </w:r>
          </w:p>
          <w:p w14:paraId="2F13395B">
            <w:pPr>
              <w:jc w:val="center"/>
              <w:rPr>
                <w:color w:val="auto"/>
                <w:sz w:val="24"/>
                <w:highlight w:val="none"/>
              </w:rPr>
            </w:pPr>
            <w:r>
              <w:rPr>
                <w:rFonts w:hint="eastAsia"/>
                <w:color w:val="auto"/>
                <w:sz w:val="24"/>
                <w:highlight w:val="none"/>
              </w:rPr>
              <w:t>申</w:t>
            </w:r>
          </w:p>
          <w:p w14:paraId="150A5F76">
            <w:pPr>
              <w:jc w:val="center"/>
              <w:rPr>
                <w:color w:val="auto"/>
                <w:sz w:val="24"/>
                <w:highlight w:val="none"/>
              </w:rPr>
            </w:pPr>
            <w:r>
              <w:rPr>
                <w:rFonts w:hint="eastAsia"/>
                <w:color w:val="auto"/>
                <w:sz w:val="24"/>
                <w:highlight w:val="none"/>
              </w:rPr>
              <w:t>请</w:t>
            </w:r>
          </w:p>
        </w:tc>
        <w:tc>
          <w:tcPr>
            <w:tcW w:w="8009" w:type="dxa"/>
            <w:vAlign w:val="center"/>
          </w:tcPr>
          <w:p w14:paraId="1E230D61">
            <w:pPr>
              <w:rPr>
                <w:color w:val="auto"/>
                <w:sz w:val="24"/>
                <w:highlight w:val="none"/>
              </w:rPr>
            </w:pPr>
            <w:r>
              <w:rPr>
                <w:rFonts w:hint="eastAsia"/>
                <w:color w:val="auto"/>
                <w:sz w:val="24"/>
                <w:highlight w:val="none"/>
              </w:rPr>
              <w:t>项目编号：</w:t>
            </w:r>
          </w:p>
        </w:tc>
      </w:tr>
      <w:tr w14:paraId="11977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14:paraId="1FE3EC0B">
            <w:pPr>
              <w:rPr>
                <w:color w:val="auto"/>
                <w:sz w:val="24"/>
                <w:highlight w:val="none"/>
              </w:rPr>
            </w:pPr>
          </w:p>
        </w:tc>
        <w:tc>
          <w:tcPr>
            <w:tcW w:w="8009" w:type="dxa"/>
            <w:vAlign w:val="center"/>
          </w:tcPr>
          <w:p w14:paraId="36372D4E">
            <w:pPr>
              <w:rPr>
                <w:color w:val="auto"/>
                <w:sz w:val="24"/>
                <w:highlight w:val="none"/>
              </w:rPr>
            </w:pPr>
            <w:r>
              <w:rPr>
                <w:rFonts w:hint="eastAsia"/>
                <w:color w:val="auto"/>
                <w:sz w:val="24"/>
                <w:highlight w:val="none"/>
              </w:rPr>
              <w:t>项目名称：</w:t>
            </w:r>
          </w:p>
        </w:tc>
      </w:tr>
      <w:tr w14:paraId="2E852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14:paraId="5DEF4280">
            <w:pPr>
              <w:rPr>
                <w:color w:val="auto"/>
                <w:sz w:val="24"/>
                <w:highlight w:val="none"/>
              </w:rPr>
            </w:pPr>
          </w:p>
        </w:tc>
        <w:tc>
          <w:tcPr>
            <w:tcW w:w="8009" w:type="dxa"/>
          </w:tcPr>
          <w:p w14:paraId="2CFCB823">
            <w:pPr>
              <w:rPr>
                <w:color w:val="auto"/>
                <w:sz w:val="24"/>
                <w:highlight w:val="none"/>
              </w:rPr>
            </w:pPr>
            <w:r>
              <w:rPr>
                <w:rFonts w:hint="eastAsia"/>
                <w:color w:val="auto"/>
                <w:sz w:val="24"/>
                <w:highlight w:val="none"/>
              </w:rPr>
              <w:t xml:space="preserve">  </w:t>
            </w:r>
          </w:p>
          <w:p w14:paraId="30256BE9">
            <w:pPr>
              <w:ind w:firstLine="480" w:firstLineChars="200"/>
              <w:rPr>
                <w:color w:val="auto"/>
                <w:sz w:val="24"/>
                <w:highlight w:val="none"/>
              </w:rPr>
            </w:pPr>
            <w:r>
              <w:rPr>
                <w:rFonts w:hint="eastAsia"/>
                <w:color w:val="auto"/>
                <w:sz w:val="24"/>
                <w:highlight w:val="none"/>
              </w:rPr>
              <w:t>该项目已于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日验收并交付。根据合同规定，该项目的履约保证金期限于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日已满，请将履约保证金</w:t>
            </w:r>
          </w:p>
          <w:p w14:paraId="0F18FFB3">
            <w:pPr>
              <w:rPr>
                <w:color w:val="auto"/>
                <w:sz w:val="24"/>
                <w:highlight w:val="none"/>
              </w:rPr>
            </w:pPr>
            <w:r>
              <w:rPr>
                <w:rFonts w:hint="eastAsia"/>
                <w:color w:val="auto"/>
                <w:sz w:val="24"/>
                <w:highlight w:val="none"/>
                <w:u w:val="single"/>
              </w:rPr>
              <w:t xml:space="preserve">                                      </w:t>
            </w: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（小写）退付到达以下帐户。</w:t>
            </w:r>
          </w:p>
          <w:p w14:paraId="3D144C5D">
            <w:pPr>
              <w:rPr>
                <w:color w:val="auto"/>
                <w:sz w:val="24"/>
                <w:highlight w:val="none"/>
              </w:rPr>
            </w:pPr>
            <w:r>
              <w:rPr>
                <w:rFonts w:hint="eastAsia"/>
                <w:color w:val="auto"/>
                <w:sz w:val="24"/>
                <w:highlight w:val="none"/>
              </w:rPr>
              <w:t>单位名称：</w:t>
            </w:r>
          </w:p>
          <w:p w14:paraId="5C5E0C39">
            <w:pPr>
              <w:rPr>
                <w:color w:val="auto"/>
                <w:sz w:val="24"/>
                <w:highlight w:val="none"/>
              </w:rPr>
            </w:pPr>
            <w:r>
              <w:rPr>
                <w:rFonts w:hint="eastAsia"/>
                <w:color w:val="auto"/>
                <w:sz w:val="24"/>
                <w:highlight w:val="none"/>
              </w:rPr>
              <w:t>开户银行：</w:t>
            </w:r>
          </w:p>
          <w:p w14:paraId="027B4B5C">
            <w:pPr>
              <w:rPr>
                <w:color w:val="auto"/>
                <w:sz w:val="24"/>
                <w:highlight w:val="none"/>
              </w:rPr>
            </w:pPr>
            <w:r>
              <w:rPr>
                <w:rFonts w:hint="eastAsia"/>
                <w:color w:val="auto"/>
                <w:sz w:val="24"/>
                <w:highlight w:val="none"/>
              </w:rPr>
              <w:t>帐    号：</w:t>
            </w:r>
          </w:p>
          <w:p w14:paraId="1D22D963">
            <w:pPr>
              <w:rPr>
                <w:color w:val="auto"/>
                <w:sz w:val="24"/>
                <w:highlight w:val="none"/>
              </w:rPr>
            </w:pPr>
            <w:r>
              <w:rPr>
                <w:rFonts w:hint="eastAsia"/>
                <w:color w:val="auto"/>
                <w:sz w:val="24"/>
                <w:highlight w:val="none"/>
              </w:rPr>
              <w:t>联系人及电话：</w:t>
            </w:r>
          </w:p>
          <w:p w14:paraId="78979567">
            <w:pPr>
              <w:rPr>
                <w:color w:val="auto"/>
                <w:sz w:val="24"/>
                <w:highlight w:val="none"/>
              </w:rPr>
            </w:pPr>
          </w:p>
          <w:p w14:paraId="6434BCC5">
            <w:pPr>
              <w:jc w:val="center"/>
              <w:rPr>
                <w:color w:val="auto"/>
                <w:sz w:val="24"/>
                <w:highlight w:val="none"/>
              </w:rPr>
            </w:pPr>
            <w:r>
              <w:rPr>
                <w:rFonts w:hint="eastAsia"/>
                <w:color w:val="auto"/>
                <w:sz w:val="24"/>
                <w:highlight w:val="none"/>
              </w:rPr>
              <w:t xml:space="preserve">                           供应商公章：</w:t>
            </w:r>
          </w:p>
          <w:p w14:paraId="523A6929">
            <w:pPr>
              <w:jc w:val="center"/>
              <w:rPr>
                <w:color w:val="auto"/>
                <w:sz w:val="24"/>
                <w:highlight w:val="none"/>
              </w:rPr>
            </w:pPr>
            <w:r>
              <w:rPr>
                <w:rFonts w:hint="eastAsia"/>
                <w:color w:val="auto"/>
                <w:sz w:val="24"/>
                <w:highlight w:val="none"/>
              </w:rPr>
              <w:t xml:space="preserve">                                                年    月    日</w:t>
            </w:r>
          </w:p>
        </w:tc>
      </w:tr>
      <w:tr w14:paraId="0BD84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14:paraId="23495A66">
            <w:pPr>
              <w:jc w:val="center"/>
              <w:rPr>
                <w:color w:val="auto"/>
                <w:sz w:val="24"/>
                <w:highlight w:val="none"/>
              </w:rPr>
            </w:pPr>
            <w:r>
              <w:rPr>
                <w:rFonts w:hint="eastAsia"/>
                <w:color w:val="auto"/>
                <w:sz w:val="24"/>
                <w:highlight w:val="none"/>
              </w:rPr>
              <w:t>采</w:t>
            </w:r>
          </w:p>
          <w:p w14:paraId="46904F8A">
            <w:pPr>
              <w:jc w:val="center"/>
              <w:rPr>
                <w:color w:val="auto"/>
                <w:sz w:val="24"/>
                <w:highlight w:val="none"/>
              </w:rPr>
            </w:pPr>
            <w:r>
              <w:rPr>
                <w:rFonts w:hint="eastAsia"/>
                <w:color w:val="auto"/>
                <w:sz w:val="24"/>
                <w:highlight w:val="none"/>
              </w:rPr>
              <w:t>购</w:t>
            </w:r>
          </w:p>
          <w:p w14:paraId="059080F4">
            <w:pPr>
              <w:jc w:val="center"/>
              <w:rPr>
                <w:color w:val="auto"/>
                <w:sz w:val="24"/>
                <w:highlight w:val="none"/>
              </w:rPr>
            </w:pPr>
            <w:r>
              <w:rPr>
                <w:rFonts w:hint="eastAsia"/>
                <w:color w:val="auto"/>
                <w:sz w:val="24"/>
                <w:highlight w:val="none"/>
              </w:rPr>
              <w:t>单</w:t>
            </w:r>
          </w:p>
          <w:p w14:paraId="1B0C47DF">
            <w:pPr>
              <w:jc w:val="center"/>
              <w:rPr>
                <w:color w:val="auto"/>
                <w:sz w:val="24"/>
                <w:highlight w:val="none"/>
              </w:rPr>
            </w:pPr>
            <w:r>
              <w:rPr>
                <w:rFonts w:hint="eastAsia"/>
                <w:color w:val="auto"/>
                <w:sz w:val="24"/>
                <w:highlight w:val="none"/>
              </w:rPr>
              <w:t>位</w:t>
            </w:r>
          </w:p>
          <w:p w14:paraId="6C58F883">
            <w:pPr>
              <w:jc w:val="center"/>
              <w:rPr>
                <w:color w:val="auto"/>
                <w:sz w:val="24"/>
                <w:highlight w:val="none"/>
              </w:rPr>
            </w:pPr>
            <w:r>
              <w:rPr>
                <w:rFonts w:hint="eastAsia"/>
                <w:color w:val="auto"/>
                <w:sz w:val="24"/>
                <w:highlight w:val="none"/>
              </w:rPr>
              <w:t>意</w:t>
            </w:r>
          </w:p>
          <w:p w14:paraId="04440303">
            <w:pPr>
              <w:jc w:val="center"/>
              <w:rPr>
                <w:color w:val="auto"/>
                <w:sz w:val="24"/>
                <w:highlight w:val="none"/>
              </w:rPr>
            </w:pPr>
            <w:r>
              <w:rPr>
                <w:rFonts w:hint="eastAsia"/>
                <w:color w:val="auto"/>
                <w:sz w:val="24"/>
                <w:highlight w:val="none"/>
              </w:rPr>
              <w:t>见</w:t>
            </w:r>
          </w:p>
        </w:tc>
        <w:tc>
          <w:tcPr>
            <w:tcW w:w="8009" w:type="dxa"/>
          </w:tcPr>
          <w:p w14:paraId="2BFD7D48">
            <w:pPr>
              <w:rPr>
                <w:color w:val="auto"/>
                <w:sz w:val="24"/>
                <w:highlight w:val="none"/>
              </w:rPr>
            </w:pPr>
          </w:p>
          <w:p w14:paraId="266B9951">
            <w:pPr>
              <w:rPr>
                <w:color w:val="auto"/>
                <w:sz w:val="24"/>
                <w:highlight w:val="none"/>
              </w:rPr>
            </w:pPr>
            <w:r>
              <w:rPr>
                <w:rFonts w:hint="eastAsia"/>
                <w:color w:val="auto"/>
                <w:sz w:val="24"/>
                <w:highlight w:val="none"/>
              </w:rPr>
              <w:t>退付意见：是否同意退付履约保证金及退付金额：</w:t>
            </w:r>
          </w:p>
          <w:p w14:paraId="440CBD7A">
            <w:pPr>
              <w:rPr>
                <w:color w:val="auto"/>
                <w:sz w:val="24"/>
                <w:highlight w:val="none"/>
              </w:rPr>
            </w:pPr>
          </w:p>
          <w:p w14:paraId="66318A62">
            <w:pPr>
              <w:rPr>
                <w:color w:val="auto"/>
                <w:sz w:val="24"/>
                <w:highlight w:val="none"/>
              </w:rPr>
            </w:pPr>
          </w:p>
          <w:p w14:paraId="6A868074">
            <w:pPr>
              <w:rPr>
                <w:color w:val="auto"/>
                <w:sz w:val="24"/>
                <w:highlight w:val="none"/>
              </w:rPr>
            </w:pPr>
            <w:r>
              <w:rPr>
                <w:rFonts w:hint="eastAsia"/>
                <w:color w:val="auto"/>
                <w:sz w:val="24"/>
                <w:highlight w:val="none"/>
              </w:rPr>
              <w:t xml:space="preserve">联系人及电话：                                </w:t>
            </w:r>
          </w:p>
          <w:p w14:paraId="61FCF3FA">
            <w:pPr>
              <w:rPr>
                <w:color w:val="auto"/>
                <w:sz w:val="24"/>
                <w:highlight w:val="none"/>
              </w:rPr>
            </w:pPr>
          </w:p>
          <w:p w14:paraId="1343193D">
            <w:pPr>
              <w:ind w:firstLine="4560" w:firstLineChars="1900"/>
              <w:rPr>
                <w:color w:val="auto"/>
                <w:sz w:val="24"/>
                <w:highlight w:val="none"/>
              </w:rPr>
            </w:pPr>
            <w:r>
              <w:rPr>
                <w:rFonts w:hint="eastAsia"/>
                <w:color w:val="auto"/>
                <w:sz w:val="24"/>
                <w:highlight w:val="none"/>
              </w:rPr>
              <w:t xml:space="preserve"> 采购单位公章：</w:t>
            </w:r>
          </w:p>
          <w:p w14:paraId="17D3F02F">
            <w:pPr>
              <w:jc w:val="center"/>
              <w:rPr>
                <w:color w:val="auto"/>
                <w:sz w:val="24"/>
                <w:highlight w:val="none"/>
              </w:rPr>
            </w:pPr>
            <w:r>
              <w:rPr>
                <w:rFonts w:hint="eastAsia"/>
                <w:color w:val="auto"/>
                <w:sz w:val="24"/>
                <w:highlight w:val="none"/>
              </w:rPr>
              <w:t xml:space="preserve">                                                年    月    日</w:t>
            </w:r>
          </w:p>
        </w:tc>
      </w:tr>
      <w:tr w14:paraId="30ECD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14:paraId="1A53DB9F">
            <w:pPr>
              <w:jc w:val="center"/>
              <w:rPr>
                <w:color w:val="auto"/>
                <w:sz w:val="24"/>
                <w:highlight w:val="none"/>
              </w:rPr>
            </w:pPr>
            <w:r>
              <w:rPr>
                <w:rFonts w:hint="eastAsia"/>
                <w:color w:val="auto"/>
                <w:sz w:val="24"/>
                <w:highlight w:val="none"/>
              </w:rPr>
              <w:t>财</w:t>
            </w:r>
          </w:p>
          <w:p w14:paraId="33DAD7C2">
            <w:pPr>
              <w:jc w:val="center"/>
              <w:rPr>
                <w:color w:val="auto"/>
                <w:sz w:val="24"/>
                <w:highlight w:val="none"/>
              </w:rPr>
            </w:pPr>
            <w:r>
              <w:rPr>
                <w:rFonts w:hint="eastAsia"/>
                <w:color w:val="auto"/>
                <w:sz w:val="24"/>
                <w:highlight w:val="none"/>
              </w:rPr>
              <w:t>务</w:t>
            </w:r>
          </w:p>
          <w:p w14:paraId="7AC48357">
            <w:pPr>
              <w:jc w:val="center"/>
              <w:rPr>
                <w:color w:val="auto"/>
                <w:sz w:val="24"/>
                <w:highlight w:val="none"/>
              </w:rPr>
            </w:pPr>
            <w:r>
              <w:rPr>
                <w:rFonts w:hint="eastAsia"/>
                <w:color w:val="auto"/>
                <w:sz w:val="24"/>
                <w:highlight w:val="none"/>
              </w:rPr>
              <w:t>部</w:t>
            </w:r>
          </w:p>
          <w:p w14:paraId="30CC208D">
            <w:pPr>
              <w:jc w:val="center"/>
              <w:rPr>
                <w:color w:val="auto"/>
                <w:sz w:val="24"/>
                <w:highlight w:val="none"/>
              </w:rPr>
            </w:pPr>
            <w:r>
              <w:rPr>
                <w:rFonts w:hint="eastAsia"/>
                <w:color w:val="auto"/>
                <w:sz w:val="24"/>
                <w:highlight w:val="none"/>
              </w:rPr>
              <w:t>门</w:t>
            </w:r>
          </w:p>
          <w:p w14:paraId="5A993386">
            <w:pPr>
              <w:jc w:val="center"/>
              <w:rPr>
                <w:color w:val="auto"/>
                <w:sz w:val="24"/>
                <w:highlight w:val="none"/>
              </w:rPr>
            </w:pPr>
            <w:r>
              <w:rPr>
                <w:rFonts w:hint="eastAsia"/>
                <w:color w:val="auto"/>
                <w:sz w:val="24"/>
                <w:highlight w:val="none"/>
              </w:rPr>
              <w:t>意</w:t>
            </w:r>
          </w:p>
          <w:p w14:paraId="574CA81C">
            <w:pPr>
              <w:jc w:val="center"/>
              <w:rPr>
                <w:color w:val="auto"/>
                <w:sz w:val="24"/>
                <w:highlight w:val="none"/>
              </w:rPr>
            </w:pPr>
            <w:r>
              <w:rPr>
                <w:rFonts w:hint="eastAsia"/>
                <w:color w:val="auto"/>
                <w:sz w:val="24"/>
                <w:highlight w:val="none"/>
              </w:rPr>
              <w:t>见</w:t>
            </w:r>
          </w:p>
        </w:tc>
        <w:tc>
          <w:tcPr>
            <w:tcW w:w="8009" w:type="dxa"/>
          </w:tcPr>
          <w:p w14:paraId="61B8EF6A">
            <w:pPr>
              <w:rPr>
                <w:color w:val="auto"/>
                <w:sz w:val="24"/>
                <w:highlight w:val="none"/>
              </w:rPr>
            </w:pPr>
            <w:r>
              <w:rPr>
                <w:rFonts w:hint="eastAsia"/>
                <w:color w:val="auto"/>
                <w:sz w:val="24"/>
                <w:highlight w:val="none"/>
              </w:rPr>
              <w:t>此表于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日收到。</w:t>
            </w:r>
          </w:p>
          <w:p w14:paraId="7A5EA9B0">
            <w:pPr>
              <w:rPr>
                <w:color w:val="auto"/>
                <w:sz w:val="24"/>
                <w:highlight w:val="none"/>
              </w:rPr>
            </w:pPr>
          </w:p>
          <w:p w14:paraId="682CACE1">
            <w:pPr>
              <w:rPr>
                <w:color w:val="auto"/>
                <w:sz w:val="24"/>
                <w:highlight w:val="none"/>
              </w:rPr>
            </w:pPr>
            <w:r>
              <w:rPr>
                <w:rFonts w:hint="eastAsia"/>
                <w:color w:val="auto"/>
                <w:sz w:val="24"/>
                <w:highlight w:val="none"/>
              </w:rPr>
              <w:t>会计审核：</w:t>
            </w:r>
          </w:p>
          <w:p w14:paraId="44CADB0F">
            <w:pPr>
              <w:rPr>
                <w:color w:val="auto"/>
                <w:sz w:val="24"/>
                <w:highlight w:val="none"/>
              </w:rPr>
            </w:pPr>
          </w:p>
          <w:p w14:paraId="753D4BDE">
            <w:pPr>
              <w:rPr>
                <w:color w:val="auto"/>
                <w:sz w:val="24"/>
                <w:highlight w:val="none"/>
              </w:rPr>
            </w:pPr>
            <w:r>
              <w:rPr>
                <w:rFonts w:hint="eastAsia"/>
                <w:color w:val="auto"/>
                <w:sz w:val="24"/>
                <w:highlight w:val="none"/>
              </w:rPr>
              <w:t>财务负责人审核：</w:t>
            </w:r>
          </w:p>
          <w:p w14:paraId="7386B1D5">
            <w:pPr>
              <w:rPr>
                <w:color w:val="auto"/>
                <w:sz w:val="24"/>
                <w:highlight w:val="none"/>
              </w:rPr>
            </w:pPr>
          </w:p>
          <w:p w14:paraId="1E96CAA7">
            <w:pPr>
              <w:rPr>
                <w:color w:val="auto"/>
                <w:sz w:val="24"/>
                <w:highlight w:val="none"/>
              </w:rPr>
            </w:pPr>
            <w:r>
              <w:rPr>
                <w:rFonts w:hint="eastAsia"/>
                <w:color w:val="auto"/>
                <w:sz w:val="24"/>
                <w:highlight w:val="none"/>
              </w:rPr>
              <w:t>单位负责人签字：</w:t>
            </w:r>
          </w:p>
          <w:p w14:paraId="465F7246">
            <w:pPr>
              <w:rPr>
                <w:color w:val="auto"/>
                <w:sz w:val="24"/>
                <w:highlight w:val="none"/>
              </w:rPr>
            </w:pPr>
          </w:p>
          <w:p w14:paraId="56D2DD8F">
            <w:pPr>
              <w:rPr>
                <w:color w:val="auto"/>
                <w:sz w:val="24"/>
                <w:highlight w:val="none"/>
              </w:rPr>
            </w:pPr>
            <w:r>
              <w:rPr>
                <w:rFonts w:hint="eastAsia"/>
                <w:color w:val="auto"/>
                <w:sz w:val="24"/>
                <w:highlight w:val="none"/>
              </w:rPr>
              <w:t>出纳办理转帐日期：</w:t>
            </w:r>
          </w:p>
        </w:tc>
      </w:tr>
    </w:tbl>
    <w:p w14:paraId="3DAFB813">
      <w:pPr>
        <w:pStyle w:val="17"/>
        <w:ind w:left="1" w:firstLine="2" w:firstLineChars="1"/>
        <w:rPr>
          <w:rFonts w:ascii="宋体"/>
          <w:b/>
          <w:bCs/>
          <w:color w:val="auto"/>
          <w:sz w:val="18"/>
          <w:szCs w:val="18"/>
          <w:highlight w:val="none"/>
        </w:rPr>
      </w:pPr>
      <w:r>
        <w:rPr>
          <w:rFonts w:hint="eastAsia" w:ascii="宋体"/>
          <w:b/>
          <w:bCs/>
          <w:color w:val="auto"/>
          <w:sz w:val="18"/>
          <w:szCs w:val="18"/>
          <w:highlight w:val="none"/>
        </w:rPr>
        <w:t>注：供应商凭经采购单位审批的退付意见书到履约保证金收取单位财务部门办理履约保证金退付事宜。</w:t>
      </w:r>
    </w:p>
    <w:p w14:paraId="7708966F">
      <w:pPr>
        <w:pStyle w:val="23"/>
        <w:spacing w:line="360" w:lineRule="auto"/>
        <w:ind w:firstLine="402" w:firstLineChars="200"/>
        <w:textAlignment w:val="center"/>
        <w:rPr>
          <w:rFonts w:hAnsi="宋体"/>
          <w:b/>
          <w:color w:val="auto"/>
          <w:sz w:val="32"/>
          <w:szCs w:val="32"/>
          <w:highlight w:val="none"/>
        </w:rPr>
      </w:pPr>
      <w:r>
        <w:rPr>
          <w:rFonts w:hAnsi="宋体"/>
          <w:b/>
          <w:color w:val="auto"/>
          <w:highlight w:val="none"/>
        </w:rPr>
        <w:br w:type="page"/>
      </w:r>
    </w:p>
    <w:p w14:paraId="3C614773">
      <w:pPr>
        <w:pStyle w:val="3"/>
        <w:jc w:val="center"/>
        <w:rPr>
          <w:color w:val="auto"/>
          <w:highlight w:val="none"/>
        </w:rPr>
      </w:pPr>
      <w:bookmarkStart w:id="61" w:name="_Toc151675538"/>
      <w:r>
        <w:rPr>
          <w:rFonts w:hint="eastAsia"/>
          <w:color w:val="auto"/>
          <w:highlight w:val="none"/>
        </w:rPr>
        <w:t xml:space="preserve">第三章 </w:t>
      </w:r>
      <w:r>
        <w:rPr>
          <w:color w:val="auto"/>
          <w:highlight w:val="none"/>
        </w:rPr>
        <w:t xml:space="preserve"> </w:t>
      </w:r>
      <w:r>
        <w:rPr>
          <w:rFonts w:hint="eastAsia"/>
          <w:color w:val="auto"/>
          <w:highlight w:val="none"/>
        </w:rPr>
        <w:t>采购需求</w:t>
      </w:r>
      <w:bookmarkEnd w:id="61"/>
    </w:p>
    <w:p w14:paraId="7C838E30">
      <w:pPr>
        <w:spacing w:line="440" w:lineRule="exact"/>
        <w:jc w:val="center"/>
        <w:rPr>
          <w:rFonts w:ascii="宋体" w:hAnsi="宋体"/>
          <w:b/>
          <w:color w:val="auto"/>
          <w:sz w:val="32"/>
          <w:szCs w:val="32"/>
          <w:highlight w:val="none"/>
        </w:rPr>
      </w:pPr>
      <w:r>
        <w:rPr>
          <w:rFonts w:hint="eastAsia" w:ascii="宋体" w:hAnsi="宋体"/>
          <w:b/>
          <w:color w:val="auto"/>
          <w:sz w:val="32"/>
          <w:szCs w:val="32"/>
          <w:highlight w:val="none"/>
        </w:rPr>
        <w:t>采购项目技术规格、参数及要求</w:t>
      </w:r>
    </w:p>
    <w:p w14:paraId="7CB7857C">
      <w:pPr>
        <w:spacing w:line="400" w:lineRule="exact"/>
        <w:rPr>
          <w:rFonts w:ascii="宋体"/>
          <w:color w:val="auto"/>
          <w:szCs w:val="21"/>
          <w:highlight w:val="none"/>
        </w:rPr>
      </w:pPr>
      <w:r>
        <w:rPr>
          <w:rFonts w:hint="eastAsia" w:ascii="宋体"/>
          <w:b/>
          <w:color w:val="auto"/>
          <w:szCs w:val="21"/>
          <w:highlight w:val="none"/>
        </w:rPr>
        <w:t>说明：</w:t>
      </w:r>
    </w:p>
    <w:p w14:paraId="497AA185">
      <w:pPr>
        <w:spacing w:line="400" w:lineRule="exact"/>
        <w:ind w:firstLine="437"/>
        <w:rPr>
          <w:rFonts w:ascii="宋体"/>
          <w:b/>
          <w:color w:val="auto"/>
          <w:szCs w:val="21"/>
          <w:highlight w:val="none"/>
        </w:rPr>
      </w:pPr>
      <w:r>
        <w:rPr>
          <w:rFonts w:hint="eastAsia" w:ascii="宋体"/>
          <w:b/>
          <w:bCs/>
          <w:color w:val="auto"/>
          <w:szCs w:val="21"/>
          <w:highlight w:val="none"/>
        </w:rPr>
        <w:t>一、本需求表</w:t>
      </w:r>
      <w:r>
        <w:rPr>
          <w:rFonts w:hint="eastAsia" w:ascii="宋体" w:hAnsi="宋体"/>
          <w:b/>
          <w:color w:val="auto"/>
          <w:szCs w:val="21"/>
          <w:highlight w:val="none"/>
        </w:rPr>
        <w:t>中</w:t>
      </w:r>
      <w:r>
        <w:rPr>
          <w:rFonts w:hint="eastAsia" w:ascii="宋体"/>
          <w:b/>
          <w:color w:val="auto"/>
          <w:szCs w:val="21"/>
          <w:highlight w:val="none"/>
        </w:rPr>
        <w:t>标注“▲”的条款均为实质性要求或条件，供应商必须作出满足或者优于该要求和条件的承诺</w:t>
      </w:r>
      <w:r>
        <w:rPr>
          <w:rFonts w:hint="eastAsia" w:ascii="宋体" w:hAnsi="宋体"/>
          <w:b/>
          <w:color w:val="auto"/>
          <w:szCs w:val="21"/>
          <w:highlight w:val="none"/>
        </w:rPr>
        <w:t>（另有要求的除外）</w:t>
      </w:r>
      <w:r>
        <w:rPr>
          <w:rFonts w:hint="eastAsia" w:ascii="宋体"/>
          <w:b/>
          <w:color w:val="auto"/>
          <w:szCs w:val="21"/>
          <w:highlight w:val="none"/>
        </w:rPr>
        <w:t>，否则响应无效</w:t>
      </w:r>
      <w:r>
        <w:rPr>
          <w:rFonts w:hint="eastAsia" w:ascii="宋体" w:hAnsi="宋体"/>
          <w:b/>
          <w:color w:val="auto"/>
          <w:szCs w:val="21"/>
          <w:highlight w:val="none"/>
        </w:rPr>
        <w:t>。</w:t>
      </w:r>
    </w:p>
    <w:p w14:paraId="069B6517">
      <w:pPr>
        <w:spacing w:line="400" w:lineRule="exact"/>
        <w:ind w:firstLine="437"/>
        <w:rPr>
          <w:rFonts w:ascii="宋体"/>
          <w:b/>
          <w:bCs/>
          <w:color w:val="auto"/>
          <w:szCs w:val="21"/>
          <w:highlight w:val="none"/>
        </w:rPr>
      </w:pPr>
      <w:r>
        <w:rPr>
          <w:rFonts w:hint="eastAsia" w:ascii="宋体"/>
          <w:b/>
          <w:color w:val="auto"/>
          <w:szCs w:val="21"/>
          <w:highlight w:val="none"/>
        </w:rPr>
        <w:t>二、供应商所投标货物或服务如国家有强制性要求的按国家规定执行，若执行标准有修改或更新按最新版本执行。</w:t>
      </w:r>
    </w:p>
    <w:p w14:paraId="22BADAB1">
      <w:pPr>
        <w:spacing w:line="360" w:lineRule="exact"/>
        <w:jc w:val="left"/>
        <w:rPr>
          <w:color w:val="auto"/>
          <w:highlight w:val="none"/>
        </w:rPr>
      </w:pPr>
    </w:p>
    <w:p w14:paraId="36BEE70C">
      <w:pPr>
        <w:spacing w:line="360" w:lineRule="exact"/>
        <w:jc w:val="left"/>
        <w:rPr>
          <w:rFonts w:hint="eastAsia"/>
          <w:color w:val="auto"/>
          <w:highlight w:val="none"/>
          <w:lang w:eastAsia="zh-CN"/>
        </w:rPr>
      </w:pPr>
      <w:r>
        <w:rPr>
          <w:rFonts w:hint="eastAsia"/>
          <w:color w:val="auto"/>
          <w:highlight w:val="none"/>
        </w:rPr>
        <w:t>分标1：</w:t>
      </w:r>
      <w:r>
        <w:rPr>
          <w:rFonts w:hint="eastAsia"/>
          <w:color w:val="auto"/>
          <w:highlight w:val="none"/>
          <w:lang w:eastAsia="zh-CN"/>
        </w:rPr>
        <w:t>2025广西艺术作品展览——第十三届美术作品展览</w:t>
      </w:r>
    </w:p>
    <w:p w14:paraId="34CC67EE">
      <w:pPr>
        <w:spacing w:line="360" w:lineRule="exact"/>
        <w:jc w:val="left"/>
        <w:rPr>
          <w:rFonts w:hint="eastAsia"/>
          <w:color w:val="auto"/>
          <w:highlight w:val="none"/>
        </w:rPr>
      </w:pPr>
      <w:r>
        <w:rPr>
          <w:rFonts w:hint="eastAsia"/>
          <w:color w:val="auto"/>
          <w:highlight w:val="none"/>
        </w:rPr>
        <w:t>预算金额：</w:t>
      </w:r>
      <w:r>
        <w:rPr>
          <w:rFonts w:hint="eastAsia"/>
          <w:color w:val="auto"/>
          <w:highlight w:val="none"/>
          <w:lang w:val="en-US" w:eastAsia="zh-CN"/>
        </w:rPr>
        <w:t>332770.00</w:t>
      </w:r>
      <w:r>
        <w:rPr>
          <w:rFonts w:hint="eastAsia"/>
          <w:color w:val="auto"/>
          <w:highlight w:val="none"/>
        </w:rPr>
        <w:t>元</w:t>
      </w:r>
    </w:p>
    <w:p w14:paraId="2606E2EB">
      <w:pPr>
        <w:spacing w:line="360" w:lineRule="exact"/>
        <w:jc w:val="left"/>
        <w:rPr>
          <w:rFonts w:hint="eastAsia"/>
          <w:color w:val="auto"/>
          <w:highlight w:val="none"/>
        </w:rPr>
      </w:pPr>
      <w:r>
        <w:rPr>
          <w:rFonts w:hint="eastAsia"/>
          <w:color w:val="auto"/>
          <w:highlight w:val="none"/>
        </w:rPr>
        <w:t>最高限价：</w:t>
      </w:r>
      <w:r>
        <w:rPr>
          <w:rFonts w:hint="eastAsia"/>
          <w:color w:val="auto"/>
          <w:highlight w:val="none"/>
          <w:lang w:val="en-US" w:eastAsia="zh-CN"/>
        </w:rPr>
        <w:t>332770.00</w:t>
      </w:r>
      <w:r>
        <w:rPr>
          <w:rFonts w:hint="eastAsia"/>
          <w:color w:val="auto"/>
          <w:highlight w:val="none"/>
        </w:rPr>
        <w:t>元</w:t>
      </w:r>
    </w:p>
    <w:p w14:paraId="68B05F34">
      <w:pPr>
        <w:spacing w:line="360" w:lineRule="exact"/>
        <w:jc w:val="left"/>
        <w:rPr>
          <w:rFonts w:hint="default" w:eastAsia="宋体"/>
          <w:color w:val="auto"/>
          <w:highlight w:val="none"/>
          <w:lang w:val="en-US" w:eastAsia="zh-CN"/>
        </w:rPr>
      </w:pPr>
      <w:r>
        <w:rPr>
          <w:rFonts w:hint="eastAsia"/>
          <w:color w:val="auto"/>
          <w:highlight w:val="none"/>
          <w:lang w:val="en-US" w:eastAsia="zh-CN"/>
        </w:rPr>
        <w:t xml:space="preserve">采购标的对应的中小企业划分标准所属行业：租赁和商务服务业           </w:t>
      </w:r>
    </w:p>
    <w:tbl>
      <w:tblPr>
        <w:tblStyle w:val="3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766"/>
        <w:gridCol w:w="883"/>
        <w:gridCol w:w="7602"/>
      </w:tblGrid>
      <w:tr w14:paraId="65632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4" w:type="dxa"/>
            <w:gridSpan w:val="4"/>
            <w:tcBorders>
              <w:top w:val="single" w:color="auto" w:sz="4" w:space="0"/>
              <w:left w:val="single" w:color="auto" w:sz="4" w:space="0"/>
              <w:bottom w:val="single" w:color="auto" w:sz="4" w:space="0"/>
              <w:right w:val="single" w:color="auto" w:sz="4" w:space="0"/>
            </w:tcBorders>
            <w:vAlign w:val="center"/>
          </w:tcPr>
          <w:p w14:paraId="1D680265">
            <w:pPr>
              <w:spacing w:line="360" w:lineRule="auto"/>
              <w:rPr>
                <w:rFonts w:hint="eastAsia" w:ascii="宋体" w:hAnsi="宋体" w:eastAsia="宋体" w:cs="宋体"/>
                <w:color w:val="auto"/>
                <w:sz w:val="21"/>
                <w:szCs w:val="21"/>
              </w:rPr>
            </w:pPr>
            <w:r>
              <w:rPr>
                <w:rFonts w:hint="eastAsia" w:ascii="宋体" w:hAnsi="宋体" w:eastAsia="宋体" w:cs="宋体"/>
                <w:b/>
                <w:color w:val="auto"/>
                <w:sz w:val="21"/>
                <w:szCs w:val="21"/>
              </w:rPr>
              <w:t>一、采购内容及要求</w:t>
            </w:r>
          </w:p>
        </w:tc>
      </w:tr>
      <w:tr w14:paraId="1FB64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vAlign w:val="center"/>
          </w:tcPr>
          <w:p w14:paraId="169D7553">
            <w:pPr>
              <w:spacing w:line="360" w:lineRule="auto"/>
              <w:jc w:val="center"/>
              <w:textAlignment w:val="baseline"/>
              <w:rPr>
                <w:rFonts w:hint="eastAsia" w:ascii="宋体" w:hAnsi="宋体" w:eastAsia="宋体" w:cs="宋体"/>
                <w:b/>
                <w:color w:val="auto"/>
                <w:sz w:val="21"/>
                <w:szCs w:val="21"/>
              </w:rPr>
            </w:pPr>
            <w:r>
              <w:rPr>
                <w:rFonts w:hint="eastAsia" w:ascii="宋体" w:hAnsi="宋体" w:eastAsia="宋体" w:cs="宋体"/>
                <w:b/>
                <w:color w:val="auto"/>
                <w:szCs w:val="21"/>
                <w:highlight w:val="none"/>
              </w:rPr>
              <w:t>项号</w:t>
            </w:r>
          </w:p>
        </w:tc>
        <w:tc>
          <w:tcPr>
            <w:tcW w:w="766" w:type="dxa"/>
            <w:tcBorders>
              <w:top w:val="single" w:color="auto" w:sz="4" w:space="0"/>
              <w:left w:val="single" w:color="auto" w:sz="4" w:space="0"/>
              <w:bottom w:val="single" w:color="auto" w:sz="4" w:space="0"/>
              <w:right w:val="single" w:color="auto" w:sz="4" w:space="0"/>
            </w:tcBorders>
            <w:vAlign w:val="center"/>
          </w:tcPr>
          <w:p w14:paraId="4B020FAC">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Cs w:val="21"/>
                <w:highlight w:val="none"/>
              </w:rPr>
              <w:t>标的名称</w:t>
            </w:r>
          </w:p>
        </w:tc>
        <w:tc>
          <w:tcPr>
            <w:tcW w:w="883" w:type="dxa"/>
            <w:tcBorders>
              <w:top w:val="single" w:color="auto" w:sz="4" w:space="0"/>
              <w:left w:val="single" w:color="auto" w:sz="4" w:space="0"/>
              <w:bottom w:val="single" w:color="auto" w:sz="4" w:space="0"/>
              <w:right w:val="single" w:color="auto" w:sz="4" w:space="0"/>
            </w:tcBorders>
            <w:vAlign w:val="center"/>
          </w:tcPr>
          <w:p w14:paraId="1760C30A">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数量及单位</w:t>
            </w:r>
          </w:p>
        </w:tc>
        <w:tc>
          <w:tcPr>
            <w:tcW w:w="7602" w:type="dxa"/>
            <w:tcBorders>
              <w:top w:val="single" w:color="auto" w:sz="4" w:space="0"/>
              <w:left w:val="single" w:color="auto" w:sz="4" w:space="0"/>
              <w:bottom w:val="single" w:color="auto" w:sz="4" w:space="0"/>
              <w:right w:val="single" w:color="auto" w:sz="4" w:space="0"/>
            </w:tcBorders>
            <w:vAlign w:val="center"/>
          </w:tcPr>
          <w:p w14:paraId="0FA32315">
            <w:pPr>
              <w:spacing w:line="360" w:lineRule="auto"/>
              <w:jc w:val="center"/>
              <w:rPr>
                <w:rFonts w:hint="eastAsia" w:ascii="宋体" w:hAnsi="宋体" w:eastAsia="宋体" w:cs="宋体"/>
                <w:b/>
                <w:color w:val="auto"/>
                <w:sz w:val="21"/>
                <w:szCs w:val="21"/>
              </w:rPr>
            </w:pPr>
            <w:r>
              <w:rPr>
                <w:rFonts w:hint="eastAsia" w:ascii="宋体" w:hAnsi="宋体" w:eastAsia="宋体" w:cs="宋体"/>
                <w:color w:val="auto"/>
                <w:sz w:val="21"/>
                <w:szCs w:val="21"/>
              </w:rPr>
              <w:t>▲</w:t>
            </w:r>
            <w:r>
              <w:rPr>
                <w:rFonts w:hint="eastAsia" w:ascii="宋体" w:hAnsi="宋体" w:eastAsia="宋体" w:cs="宋体"/>
                <w:b/>
                <w:color w:val="auto"/>
                <w:sz w:val="21"/>
                <w:szCs w:val="21"/>
              </w:rPr>
              <w:t>服务内容及要求</w:t>
            </w:r>
          </w:p>
        </w:tc>
      </w:tr>
      <w:tr w14:paraId="4CBD2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vAlign w:val="center"/>
          </w:tcPr>
          <w:p w14:paraId="3E433A66">
            <w:pPr>
              <w:numPr>
                <w:ilvl w:val="0"/>
                <w:numId w:val="0"/>
              </w:numPr>
              <w:spacing w:line="360" w:lineRule="auto"/>
              <w:ind w:leftChars="0"/>
              <w:jc w:val="center"/>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766" w:type="dxa"/>
            <w:tcBorders>
              <w:top w:val="single" w:color="auto" w:sz="4" w:space="0"/>
              <w:left w:val="single" w:color="auto" w:sz="4" w:space="0"/>
              <w:bottom w:val="single" w:color="auto" w:sz="4" w:space="0"/>
              <w:right w:val="single" w:color="auto" w:sz="4" w:space="0"/>
            </w:tcBorders>
            <w:vAlign w:val="center"/>
          </w:tcPr>
          <w:p w14:paraId="18224B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2025</w:t>
            </w:r>
            <w:r>
              <w:rPr>
                <w:rFonts w:hint="eastAsia" w:ascii="宋体" w:hAnsi="宋体" w:eastAsia="宋体" w:cs="宋体"/>
                <w:b w:val="0"/>
                <w:bCs w:val="0"/>
                <w:color w:val="auto"/>
                <w:sz w:val="21"/>
                <w:szCs w:val="21"/>
                <w:highlight w:val="none"/>
              </w:rPr>
              <w:t>广西</w:t>
            </w:r>
            <w:r>
              <w:rPr>
                <w:rFonts w:hint="eastAsia" w:ascii="宋体" w:hAnsi="宋体" w:eastAsia="宋体" w:cs="宋体"/>
                <w:b w:val="0"/>
                <w:bCs w:val="0"/>
                <w:color w:val="auto"/>
                <w:sz w:val="21"/>
                <w:szCs w:val="21"/>
                <w:highlight w:val="none"/>
                <w:lang w:eastAsia="zh-CN"/>
              </w:rPr>
              <w:t>艺术作品展览——第十</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lang w:eastAsia="zh-CN"/>
              </w:rPr>
              <w:t>届</w:t>
            </w:r>
          </w:p>
          <w:p w14:paraId="3D794890">
            <w:pPr>
              <w:spacing w:line="360" w:lineRule="auto"/>
              <w:jc w:val="center"/>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rPr>
              <w:t>美术作品展</w:t>
            </w:r>
            <w:r>
              <w:rPr>
                <w:rFonts w:hint="eastAsia" w:ascii="宋体" w:hAnsi="宋体" w:eastAsia="宋体" w:cs="宋体"/>
                <w:b w:val="0"/>
                <w:bCs w:val="0"/>
                <w:color w:val="auto"/>
                <w:sz w:val="21"/>
                <w:szCs w:val="21"/>
                <w:highlight w:val="none"/>
                <w:lang w:val="en-US" w:eastAsia="zh-CN"/>
              </w:rPr>
              <w:t>览</w:t>
            </w:r>
          </w:p>
        </w:tc>
        <w:tc>
          <w:tcPr>
            <w:tcW w:w="883" w:type="dxa"/>
            <w:tcBorders>
              <w:top w:val="single" w:color="auto" w:sz="4" w:space="0"/>
              <w:left w:val="single" w:color="auto" w:sz="4" w:space="0"/>
              <w:bottom w:val="single" w:color="auto" w:sz="4" w:space="0"/>
              <w:right w:val="single" w:color="auto" w:sz="4" w:space="0"/>
            </w:tcBorders>
            <w:vAlign w:val="center"/>
          </w:tcPr>
          <w:p w14:paraId="71C9CDD6">
            <w:pPr>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1项</w:t>
            </w:r>
          </w:p>
        </w:tc>
        <w:tc>
          <w:tcPr>
            <w:tcW w:w="7602" w:type="dxa"/>
            <w:tcBorders>
              <w:top w:val="single" w:color="auto" w:sz="4" w:space="0"/>
              <w:left w:val="single" w:color="auto" w:sz="4" w:space="0"/>
              <w:bottom w:val="single" w:color="auto" w:sz="4" w:space="0"/>
              <w:right w:val="single" w:color="auto" w:sz="4" w:space="0"/>
            </w:tcBorders>
            <w:vAlign w:val="center"/>
          </w:tcPr>
          <w:p w14:paraId="1560E79E">
            <w:pPr>
              <w:pStyle w:val="21"/>
              <w:spacing w:line="360" w:lineRule="auto"/>
              <w:ind w:right="34"/>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（一）项目背景</w:t>
            </w:r>
          </w:p>
          <w:p w14:paraId="051B7D2F">
            <w:pPr>
              <w:pStyle w:val="21"/>
              <w:spacing w:line="360" w:lineRule="auto"/>
              <w:ind w:right="34"/>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1"/>
                <w:sz w:val="21"/>
                <w:szCs w:val="21"/>
                <w:highlight w:val="none"/>
              </w:rPr>
              <w:t>由广西壮族自治区人民政府主办的“</w:t>
            </w:r>
            <w:r>
              <w:rPr>
                <w:rFonts w:hint="eastAsia" w:ascii="宋体" w:hAnsi="宋体" w:eastAsia="宋体" w:cs="宋体"/>
                <w:b w:val="0"/>
                <w:bCs w:val="0"/>
                <w:color w:val="auto"/>
                <w:kern w:val="1"/>
                <w:sz w:val="21"/>
                <w:szCs w:val="21"/>
                <w:highlight w:val="none"/>
                <w:lang w:val="en-US" w:eastAsia="zh-CN"/>
              </w:rPr>
              <w:t>2025</w:t>
            </w:r>
            <w:r>
              <w:rPr>
                <w:rFonts w:hint="eastAsia" w:ascii="宋体" w:hAnsi="宋体" w:eastAsia="宋体" w:cs="宋体"/>
                <w:b w:val="0"/>
                <w:bCs w:val="0"/>
                <w:color w:val="auto"/>
                <w:kern w:val="1"/>
                <w:sz w:val="21"/>
                <w:szCs w:val="21"/>
                <w:highlight w:val="none"/>
              </w:rPr>
              <w:t>广西艺术作品展</w:t>
            </w:r>
            <w:r>
              <w:rPr>
                <w:rFonts w:hint="eastAsia" w:ascii="宋体" w:hAnsi="宋体" w:eastAsia="宋体" w:cs="宋体"/>
                <w:b w:val="0"/>
                <w:bCs w:val="0"/>
                <w:color w:val="auto"/>
                <w:kern w:val="1"/>
                <w:sz w:val="21"/>
                <w:szCs w:val="21"/>
                <w:highlight w:val="none"/>
                <w:lang w:val="en-US" w:eastAsia="zh-CN"/>
              </w:rPr>
              <w:t>览——第十三届美术作品展览</w:t>
            </w:r>
            <w:r>
              <w:rPr>
                <w:rFonts w:hint="eastAsia" w:ascii="宋体" w:hAnsi="宋体" w:eastAsia="宋体" w:cs="宋体"/>
                <w:b w:val="0"/>
                <w:bCs w:val="0"/>
                <w:color w:val="auto"/>
                <w:kern w:val="1"/>
                <w:sz w:val="21"/>
                <w:szCs w:val="21"/>
                <w:highlight w:val="none"/>
              </w:rPr>
              <w:t>”</w:t>
            </w:r>
            <w:r>
              <w:rPr>
                <w:rFonts w:hint="eastAsia" w:ascii="宋体" w:hAnsi="宋体" w:eastAsia="宋体" w:cs="宋体"/>
                <w:b w:val="0"/>
                <w:bCs w:val="0"/>
                <w:color w:val="auto"/>
                <w:kern w:val="1"/>
                <w:sz w:val="21"/>
                <w:szCs w:val="21"/>
                <w:highlight w:val="none"/>
                <w:lang w:val="en-US" w:eastAsia="zh-CN"/>
              </w:rPr>
              <w:t>工作开展在即</w:t>
            </w:r>
            <w:r>
              <w:rPr>
                <w:rFonts w:hint="eastAsia" w:ascii="宋体" w:hAnsi="宋体" w:eastAsia="宋体" w:cs="宋体"/>
                <w:b w:val="0"/>
                <w:bCs w:val="0"/>
                <w:color w:val="auto"/>
                <w:kern w:val="1"/>
                <w:sz w:val="21"/>
                <w:szCs w:val="21"/>
                <w:highlight w:val="none"/>
              </w:rPr>
              <w:t>，广西美协作为具体</w:t>
            </w:r>
            <w:r>
              <w:rPr>
                <w:rFonts w:hint="eastAsia" w:ascii="宋体" w:hAnsi="宋体" w:eastAsia="宋体" w:cs="宋体"/>
                <w:b w:val="0"/>
                <w:bCs w:val="0"/>
                <w:color w:val="auto"/>
                <w:kern w:val="1"/>
                <w:sz w:val="21"/>
                <w:szCs w:val="21"/>
                <w:highlight w:val="none"/>
                <w:lang w:val="en-US" w:eastAsia="zh-CN"/>
              </w:rPr>
              <w:t>协</w:t>
            </w:r>
            <w:r>
              <w:rPr>
                <w:rFonts w:hint="eastAsia" w:ascii="宋体" w:hAnsi="宋体" w:eastAsia="宋体" w:cs="宋体"/>
                <w:b w:val="0"/>
                <w:bCs w:val="0"/>
                <w:color w:val="auto"/>
                <w:kern w:val="1"/>
                <w:sz w:val="21"/>
                <w:szCs w:val="21"/>
                <w:highlight w:val="none"/>
              </w:rPr>
              <w:t>办单位，</w:t>
            </w:r>
            <w:r>
              <w:rPr>
                <w:rFonts w:hint="eastAsia" w:ascii="宋体" w:hAnsi="宋体" w:eastAsia="宋体" w:cs="宋体"/>
                <w:b w:val="0"/>
                <w:bCs w:val="0"/>
                <w:color w:val="auto"/>
                <w:sz w:val="21"/>
                <w:szCs w:val="21"/>
                <w:highlight w:val="none"/>
              </w:rPr>
              <w:t>主要负责艺术作品展览中广西美术作品展览作品的</w:t>
            </w:r>
            <w:r>
              <w:rPr>
                <w:rFonts w:hint="eastAsia" w:ascii="宋体" w:hAnsi="宋体" w:eastAsia="宋体" w:cs="宋体"/>
                <w:b w:val="0"/>
                <w:bCs w:val="0"/>
                <w:color w:val="auto"/>
                <w:sz w:val="21"/>
                <w:szCs w:val="21"/>
                <w:highlight w:val="none"/>
                <w:lang w:val="en-US" w:eastAsia="zh-CN"/>
              </w:rPr>
              <w:t>征稿</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作品</w:t>
            </w:r>
            <w:r>
              <w:rPr>
                <w:rFonts w:hint="eastAsia" w:ascii="宋体" w:hAnsi="宋体" w:eastAsia="宋体" w:cs="宋体"/>
                <w:b w:val="0"/>
                <w:bCs w:val="0"/>
                <w:color w:val="auto"/>
                <w:sz w:val="21"/>
                <w:szCs w:val="21"/>
                <w:highlight w:val="none"/>
              </w:rPr>
              <w:t>收件、</w:t>
            </w:r>
            <w:r>
              <w:rPr>
                <w:rFonts w:hint="eastAsia" w:ascii="宋体" w:hAnsi="宋体" w:eastAsia="宋体" w:cs="宋体"/>
                <w:b w:val="0"/>
                <w:bCs w:val="0"/>
                <w:color w:val="auto"/>
                <w:sz w:val="21"/>
                <w:szCs w:val="21"/>
                <w:highlight w:val="none"/>
                <w:lang w:val="en-US" w:eastAsia="zh-CN"/>
              </w:rPr>
              <w:t>组织</w:t>
            </w:r>
            <w:r>
              <w:rPr>
                <w:rFonts w:hint="eastAsia" w:ascii="宋体" w:hAnsi="宋体" w:eastAsia="宋体" w:cs="宋体"/>
                <w:b w:val="0"/>
                <w:bCs w:val="0"/>
                <w:color w:val="auto"/>
                <w:sz w:val="21"/>
                <w:szCs w:val="21"/>
                <w:highlight w:val="none"/>
              </w:rPr>
              <w:t>评审、</w:t>
            </w:r>
            <w:r>
              <w:rPr>
                <w:rFonts w:hint="eastAsia" w:ascii="宋体" w:hAnsi="宋体" w:eastAsia="宋体" w:cs="宋体"/>
                <w:b w:val="0"/>
                <w:bCs w:val="0"/>
                <w:color w:val="auto"/>
                <w:sz w:val="21"/>
                <w:szCs w:val="21"/>
                <w:highlight w:val="none"/>
                <w:lang w:val="en-US" w:eastAsia="zh-CN"/>
              </w:rPr>
              <w:t>画展</w:t>
            </w:r>
            <w:r>
              <w:rPr>
                <w:rFonts w:hint="eastAsia" w:ascii="宋体" w:hAnsi="宋体" w:eastAsia="宋体" w:cs="宋体"/>
                <w:b w:val="0"/>
                <w:bCs w:val="0"/>
                <w:color w:val="auto"/>
                <w:sz w:val="21"/>
                <w:szCs w:val="21"/>
                <w:highlight w:val="none"/>
              </w:rPr>
              <w:t>布展和</w:t>
            </w:r>
            <w:r>
              <w:rPr>
                <w:rFonts w:hint="eastAsia" w:ascii="宋体" w:hAnsi="宋体" w:eastAsia="宋体" w:cs="宋体"/>
                <w:b w:val="0"/>
                <w:bCs w:val="0"/>
                <w:color w:val="auto"/>
                <w:sz w:val="21"/>
                <w:szCs w:val="21"/>
                <w:highlight w:val="none"/>
                <w:lang w:val="en-US" w:eastAsia="zh-CN"/>
              </w:rPr>
              <w:t>作品</w:t>
            </w:r>
            <w:r>
              <w:rPr>
                <w:rFonts w:hint="eastAsia" w:ascii="宋体" w:hAnsi="宋体" w:eastAsia="宋体" w:cs="宋体"/>
                <w:b w:val="0"/>
                <w:bCs w:val="0"/>
                <w:color w:val="auto"/>
                <w:sz w:val="21"/>
                <w:szCs w:val="21"/>
                <w:highlight w:val="none"/>
              </w:rPr>
              <w:t>退件等工作。</w:t>
            </w:r>
            <w:r>
              <w:rPr>
                <w:rStyle w:val="39"/>
                <w:rFonts w:hint="eastAsia" w:ascii="宋体" w:hAnsi="宋体" w:eastAsia="宋体" w:cs="宋体"/>
                <w:b w:val="0"/>
                <w:bCs w:val="0"/>
                <w:i w:val="0"/>
                <w:iCs w:val="0"/>
                <w:caps w:val="0"/>
                <w:color w:val="auto"/>
                <w:spacing w:val="0"/>
                <w:sz w:val="21"/>
                <w:szCs w:val="21"/>
                <w:highlight w:val="none"/>
                <w:shd w:val="clear" w:fill="FFFFFF"/>
              </w:rPr>
              <w:t>本届美术展将举办油画、版画、壁画、艺术设计、陶艺专项展</w:t>
            </w:r>
            <w:r>
              <w:rPr>
                <w:rStyle w:val="39"/>
                <w:rFonts w:hint="eastAsia" w:ascii="宋体" w:hAnsi="宋体" w:eastAsia="宋体" w:cs="宋体"/>
                <w:b w:val="0"/>
                <w:bCs w:val="0"/>
                <w:i w:val="0"/>
                <w:iCs w:val="0"/>
                <w:caps w:val="0"/>
                <w:color w:val="auto"/>
                <w:spacing w:val="0"/>
                <w:sz w:val="21"/>
                <w:szCs w:val="21"/>
                <w:highlight w:val="none"/>
                <w:shd w:val="clear" w:fill="FFFFFF"/>
                <w:lang w:eastAsia="zh-CN"/>
              </w:rPr>
              <w:t>。</w:t>
            </w:r>
          </w:p>
          <w:p w14:paraId="33BCAA51">
            <w:pPr>
              <w:pStyle w:val="21"/>
              <w:numPr>
                <w:ilvl w:val="0"/>
                <w:numId w:val="7"/>
              </w:numPr>
              <w:spacing w:line="360" w:lineRule="auto"/>
              <w:ind w:right="34"/>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具体要求</w:t>
            </w:r>
          </w:p>
          <w:p w14:paraId="0D2390DB">
            <w:pPr>
              <w:pStyle w:val="21"/>
              <w:numPr>
                <w:ilvl w:val="0"/>
                <w:numId w:val="0"/>
              </w:numPr>
              <w:spacing w:line="360" w:lineRule="auto"/>
              <w:ind w:right="34" w:right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2025广西艺术作品展美术作品评审、作品装裱、布撤展</w:t>
            </w:r>
            <w:r>
              <w:rPr>
                <w:rFonts w:hint="eastAsia" w:ascii="宋体" w:hAnsi="宋体" w:cs="宋体"/>
                <w:b w:val="0"/>
                <w:bCs w:val="0"/>
                <w:color w:val="auto"/>
                <w:sz w:val="21"/>
                <w:szCs w:val="21"/>
                <w:highlight w:val="none"/>
                <w:lang w:val="en-US" w:eastAsia="zh-CN"/>
              </w:rPr>
              <w:t>等</w:t>
            </w:r>
            <w:r>
              <w:rPr>
                <w:rFonts w:hint="eastAsia" w:ascii="宋体" w:hAnsi="宋体" w:eastAsia="宋体" w:cs="宋体"/>
                <w:b w:val="0"/>
                <w:bCs w:val="0"/>
                <w:color w:val="auto"/>
                <w:sz w:val="21"/>
                <w:szCs w:val="21"/>
                <w:highlight w:val="none"/>
                <w:lang w:val="en-US" w:eastAsia="zh-CN"/>
              </w:rPr>
              <w:t>相关项目</w:t>
            </w:r>
          </w:p>
          <w:p w14:paraId="4A34B203">
            <w:pPr>
              <w:pStyle w:val="21"/>
              <w:spacing w:line="360" w:lineRule="auto"/>
              <w:ind w:right="34" w:firstLine="210" w:firstLineChars="1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.初评</w:t>
            </w:r>
            <w:r>
              <w:rPr>
                <w:rFonts w:hint="eastAsia" w:ascii="宋体" w:hAnsi="宋体" w:eastAsia="宋体" w:cs="宋体"/>
                <w:b w:val="0"/>
                <w:bCs w:val="0"/>
                <w:color w:val="auto"/>
                <w:sz w:val="21"/>
                <w:szCs w:val="21"/>
                <w:highlight w:val="none"/>
              </w:rPr>
              <w:t>评审会场地</w:t>
            </w:r>
            <w:r>
              <w:rPr>
                <w:rFonts w:hint="eastAsia" w:ascii="宋体" w:hAnsi="宋体" w:eastAsia="宋体" w:cs="宋体"/>
                <w:b w:val="0"/>
                <w:bCs w:val="0"/>
                <w:color w:val="auto"/>
                <w:sz w:val="21"/>
                <w:szCs w:val="21"/>
                <w:highlight w:val="none"/>
                <w:lang w:eastAsia="zh-CN"/>
              </w:rPr>
              <w:t>：有大电子屏幕会议室（</w:t>
            </w:r>
            <w:r>
              <w:rPr>
                <w:rFonts w:hint="eastAsia" w:ascii="宋体" w:hAnsi="宋体" w:eastAsia="宋体" w:cs="宋体"/>
                <w:b w:val="0"/>
                <w:bCs w:val="0"/>
                <w:color w:val="auto"/>
                <w:sz w:val="21"/>
                <w:szCs w:val="21"/>
                <w:highlight w:val="none"/>
                <w:lang w:val="en-US" w:eastAsia="zh-CN"/>
              </w:rPr>
              <w:t>20人</w:t>
            </w:r>
            <w:r>
              <w:rPr>
                <w:rFonts w:hint="eastAsia" w:ascii="宋体" w:hAnsi="宋体" w:eastAsia="宋体" w:cs="宋体"/>
                <w:b w:val="0"/>
                <w:bCs w:val="0"/>
                <w:color w:val="auto"/>
                <w:sz w:val="21"/>
                <w:szCs w:val="21"/>
                <w:highlight w:val="none"/>
                <w:lang w:eastAsia="zh-CN"/>
              </w:rPr>
              <w:t>）</w:t>
            </w:r>
          </w:p>
          <w:p w14:paraId="7B053084">
            <w:pPr>
              <w:pStyle w:val="21"/>
              <w:spacing w:line="360" w:lineRule="auto"/>
              <w:ind w:right="34" w:firstLine="420" w:firstLineChars="20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复评</w:t>
            </w:r>
            <w:r>
              <w:rPr>
                <w:rFonts w:hint="eastAsia" w:ascii="宋体" w:hAnsi="宋体" w:eastAsia="宋体" w:cs="宋体"/>
                <w:b w:val="0"/>
                <w:bCs w:val="0"/>
                <w:color w:val="auto"/>
                <w:sz w:val="21"/>
                <w:szCs w:val="21"/>
                <w:highlight w:val="none"/>
              </w:rPr>
              <w:t>评审会场地</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3500—4000平米</w:t>
            </w:r>
            <w:r>
              <w:rPr>
                <w:rFonts w:hint="eastAsia" w:ascii="宋体" w:hAnsi="宋体" w:eastAsia="宋体" w:cs="宋体"/>
                <w:b w:val="0"/>
                <w:bCs w:val="0"/>
                <w:color w:val="auto"/>
                <w:sz w:val="21"/>
                <w:szCs w:val="21"/>
                <w:highlight w:val="none"/>
                <w:lang w:eastAsia="zh-CN"/>
              </w:rPr>
              <w:t>）</w:t>
            </w:r>
          </w:p>
          <w:p w14:paraId="221792F5">
            <w:pPr>
              <w:pStyle w:val="21"/>
              <w:spacing w:line="360" w:lineRule="auto"/>
              <w:ind w:right="34" w:firstLine="210" w:firstLineChars="10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工作用餐</w:t>
            </w:r>
            <w:r>
              <w:rPr>
                <w:rFonts w:hint="eastAsia" w:ascii="宋体" w:hAnsi="宋体" w:eastAsia="宋体" w:cs="宋体"/>
                <w:b w:val="0"/>
                <w:bCs w:val="0"/>
                <w:color w:val="auto"/>
                <w:sz w:val="21"/>
                <w:szCs w:val="21"/>
                <w:highlight w:val="none"/>
                <w:lang w:eastAsia="zh-CN"/>
              </w:rPr>
              <w:t>（初评及复评每次约</w:t>
            </w:r>
            <w:r>
              <w:rPr>
                <w:rFonts w:hint="eastAsia" w:ascii="宋体" w:hAnsi="宋体" w:eastAsia="宋体" w:cs="宋体"/>
                <w:b w:val="0"/>
                <w:bCs w:val="0"/>
                <w:color w:val="auto"/>
                <w:sz w:val="21"/>
                <w:szCs w:val="21"/>
                <w:highlight w:val="none"/>
                <w:lang w:val="en-US" w:eastAsia="zh-CN"/>
              </w:rPr>
              <w:t>33人</w:t>
            </w:r>
            <w:r>
              <w:rPr>
                <w:rFonts w:hint="eastAsia" w:ascii="宋体" w:hAnsi="宋体" w:eastAsia="宋体" w:cs="宋体"/>
                <w:b w:val="0"/>
                <w:bCs w:val="0"/>
                <w:color w:val="auto"/>
                <w:sz w:val="21"/>
                <w:szCs w:val="21"/>
                <w:highlight w:val="none"/>
                <w:lang w:eastAsia="zh-CN"/>
              </w:rPr>
              <w:t>）</w:t>
            </w:r>
          </w:p>
          <w:p w14:paraId="7BB79858">
            <w:pPr>
              <w:pStyle w:val="21"/>
              <w:spacing w:line="360" w:lineRule="auto"/>
              <w:ind w:right="34" w:firstLine="210" w:firstLineChars="10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到吴圩飞机场接机</w:t>
            </w:r>
            <w:r>
              <w:rPr>
                <w:rFonts w:hint="eastAsia" w:ascii="宋体" w:hAnsi="宋体" w:eastAsia="宋体" w:cs="宋体"/>
                <w:b w:val="0"/>
                <w:bCs w:val="0"/>
                <w:color w:val="auto"/>
                <w:sz w:val="21"/>
                <w:szCs w:val="21"/>
                <w:highlight w:val="none"/>
                <w:lang w:eastAsia="zh-CN"/>
              </w:rPr>
              <w:t>（往返约</w:t>
            </w:r>
            <w:r>
              <w:rPr>
                <w:rFonts w:hint="eastAsia" w:ascii="宋体" w:hAnsi="宋体" w:eastAsia="宋体" w:cs="宋体"/>
                <w:b w:val="0"/>
                <w:bCs w:val="0"/>
                <w:color w:val="auto"/>
                <w:sz w:val="21"/>
                <w:szCs w:val="21"/>
                <w:highlight w:val="none"/>
                <w:lang w:val="en-US" w:eastAsia="zh-CN"/>
              </w:rPr>
              <w:t>12趟</w:t>
            </w:r>
            <w:r>
              <w:rPr>
                <w:rFonts w:hint="eastAsia" w:ascii="宋体" w:hAnsi="宋体" w:eastAsia="宋体" w:cs="宋体"/>
                <w:b w:val="0"/>
                <w:bCs w:val="0"/>
                <w:color w:val="auto"/>
                <w:sz w:val="21"/>
                <w:szCs w:val="21"/>
                <w:highlight w:val="none"/>
                <w:lang w:eastAsia="zh-CN"/>
              </w:rPr>
              <w:t>）</w:t>
            </w:r>
          </w:p>
          <w:p w14:paraId="04BBFEDE">
            <w:pPr>
              <w:pStyle w:val="21"/>
              <w:spacing w:line="360" w:lineRule="auto"/>
              <w:ind w:right="34" w:firstLine="210" w:firstLineChars="1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评审现场租电脑、打印机设备</w:t>
            </w:r>
          </w:p>
          <w:p w14:paraId="3DF78114">
            <w:pPr>
              <w:pStyle w:val="21"/>
              <w:spacing w:line="360" w:lineRule="auto"/>
              <w:ind w:right="34" w:firstLine="210" w:firstLineChars="1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评审活动工具材料</w:t>
            </w:r>
          </w:p>
          <w:p w14:paraId="3F0D2773">
            <w:pPr>
              <w:pStyle w:val="21"/>
              <w:spacing w:line="360" w:lineRule="auto"/>
              <w:ind w:right="34" w:firstLine="210" w:firstLineChars="10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6</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评审系统</w:t>
            </w:r>
            <w:r>
              <w:rPr>
                <w:rFonts w:hint="eastAsia" w:ascii="宋体" w:hAnsi="宋体" w:eastAsia="宋体" w:cs="宋体"/>
                <w:b w:val="0"/>
                <w:bCs w:val="0"/>
                <w:color w:val="auto"/>
                <w:sz w:val="21"/>
                <w:szCs w:val="21"/>
                <w:highlight w:val="none"/>
                <w:lang w:eastAsia="zh-CN"/>
              </w:rPr>
              <w:t>及专业技术</w:t>
            </w:r>
            <w:r>
              <w:rPr>
                <w:rFonts w:hint="eastAsia" w:ascii="宋体" w:hAnsi="宋体" w:eastAsia="宋体" w:cs="宋体"/>
                <w:b w:val="0"/>
                <w:bCs w:val="0"/>
                <w:color w:val="auto"/>
                <w:sz w:val="21"/>
                <w:szCs w:val="21"/>
                <w:highlight w:val="none"/>
              </w:rPr>
              <w:t>工作人员</w:t>
            </w:r>
          </w:p>
          <w:p w14:paraId="761D266A">
            <w:pPr>
              <w:pStyle w:val="21"/>
              <w:spacing w:line="360" w:lineRule="auto"/>
              <w:ind w:right="34" w:firstLine="210" w:firstLineChars="1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评审现场工作人员</w:t>
            </w:r>
            <w:r>
              <w:rPr>
                <w:rFonts w:hint="eastAsia" w:ascii="宋体" w:hAnsi="宋体" w:eastAsia="宋体" w:cs="宋体"/>
                <w:b w:val="0"/>
                <w:bCs w:val="0"/>
                <w:color w:val="auto"/>
                <w:sz w:val="21"/>
                <w:szCs w:val="21"/>
                <w:highlight w:val="none"/>
                <w:lang w:eastAsia="zh-CN"/>
              </w:rPr>
              <w:t>（需</w:t>
            </w:r>
            <w:r>
              <w:rPr>
                <w:rFonts w:hint="eastAsia" w:ascii="宋体" w:hAnsi="宋体" w:eastAsia="宋体" w:cs="宋体"/>
                <w:b w:val="0"/>
                <w:bCs w:val="0"/>
                <w:color w:val="auto"/>
                <w:sz w:val="21"/>
                <w:szCs w:val="21"/>
                <w:highlight w:val="none"/>
                <w:lang w:val="en-US" w:eastAsia="zh-CN"/>
              </w:rPr>
              <w:t>20人</w:t>
            </w:r>
            <w:r>
              <w:rPr>
                <w:rFonts w:hint="eastAsia" w:ascii="宋体" w:hAnsi="宋体" w:eastAsia="宋体" w:cs="宋体"/>
                <w:b w:val="0"/>
                <w:bCs w:val="0"/>
                <w:color w:val="auto"/>
                <w:sz w:val="21"/>
                <w:szCs w:val="21"/>
                <w:highlight w:val="none"/>
                <w:lang w:eastAsia="zh-CN"/>
              </w:rPr>
              <w:t>）</w:t>
            </w:r>
          </w:p>
          <w:p w14:paraId="3FF7E733">
            <w:pPr>
              <w:pStyle w:val="21"/>
              <w:spacing w:line="360" w:lineRule="auto"/>
              <w:ind w:right="34" w:firstLine="210" w:firstLineChars="1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eastAsia="zh-CN"/>
              </w:rPr>
              <w:t>美术</w:t>
            </w:r>
            <w:r>
              <w:rPr>
                <w:rFonts w:hint="eastAsia" w:ascii="宋体" w:hAnsi="宋体" w:eastAsia="宋体" w:cs="宋体"/>
                <w:b w:val="0"/>
                <w:bCs w:val="0"/>
                <w:color w:val="auto"/>
                <w:sz w:val="21"/>
                <w:szCs w:val="21"/>
                <w:highlight w:val="none"/>
              </w:rPr>
              <w:t>作品装裱制作</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200件美术入展作品，油画作品尺寸装裱后为高220cm×宽200cm以内；</w:t>
            </w:r>
            <w:r>
              <w:rPr>
                <w:rStyle w:val="39"/>
                <w:rFonts w:hint="eastAsia" w:ascii="宋体" w:hAnsi="宋体" w:eastAsia="宋体" w:cs="宋体"/>
                <w:b w:val="0"/>
                <w:bCs w:val="0"/>
                <w:i w:val="0"/>
                <w:iCs w:val="0"/>
                <w:caps w:val="0"/>
                <w:color w:val="auto"/>
                <w:spacing w:val="0"/>
                <w:sz w:val="21"/>
                <w:szCs w:val="21"/>
                <w:highlight w:val="none"/>
                <w:shd w:val="clear" w:fill="FFFFFF"/>
              </w:rPr>
              <w:t>平面陶瓷艺术作品装框后最大单边长不超过240厘米</w:t>
            </w:r>
            <w:r>
              <w:rPr>
                <w:rStyle w:val="39"/>
                <w:rFonts w:hint="eastAsia" w:ascii="宋体" w:hAnsi="宋体" w:eastAsia="宋体" w:cs="宋体"/>
                <w:b w:val="0"/>
                <w:bCs w:val="0"/>
                <w:i w:val="0"/>
                <w:iCs w:val="0"/>
                <w:caps w:val="0"/>
                <w:color w:val="auto"/>
                <w:spacing w:val="0"/>
                <w:sz w:val="21"/>
                <w:szCs w:val="21"/>
                <w:highlight w:val="none"/>
                <w:shd w:val="clear" w:fill="FFFFFF"/>
                <w:lang w:eastAsia="zh-CN"/>
              </w:rPr>
              <w:t>，</w:t>
            </w:r>
            <w:r>
              <w:rPr>
                <w:rStyle w:val="39"/>
                <w:rFonts w:hint="eastAsia" w:ascii="宋体" w:hAnsi="宋体" w:eastAsia="宋体" w:cs="宋体"/>
                <w:b w:val="0"/>
                <w:bCs w:val="0"/>
                <w:i w:val="0"/>
                <w:iCs w:val="0"/>
                <w:caps w:val="0"/>
                <w:color w:val="auto"/>
                <w:spacing w:val="0"/>
                <w:sz w:val="21"/>
                <w:szCs w:val="21"/>
                <w:highlight w:val="none"/>
                <w:shd w:val="clear" w:fill="FFFFFF"/>
              </w:rPr>
              <w:t>作品平面面积不超过3平方米</w:t>
            </w:r>
            <w:r>
              <w:rPr>
                <w:rFonts w:hint="eastAsia" w:ascii="宋体" w:hAnsi="宋体" w:eastAsia="宋体" w:cs="宋体"/>
                <w:b w:val="0"/>
                <w:bCs w:val="0"/>
                <w:color w:val="auto"/>
                <w:sz w:val="21"/>
                <w:szCs w:val="21"/>
                <w:highlight w:val="none"/>
                <w:lang w:val="en-US" w:eastAsia="zh-CN"/>
              </w:rPr>
              <w:t>。</w:t>
            </w:r>
            <w:r>
              <w:rPr>
                <w:rStyle w:val="39"/>
                <w:rFonts w:hint="eastAsia" w:ascii="宋体" w:hAnsi="宋体" w:eastAsia="宋体" w:cs="宋体"/>
                <w:b w:val="0"/>
                <w:bCs w:val="0"/>
                <w:i w:val="0"/>
                <w:iCs w:val="0"/>
                <w:caps w:val="0"/>
                <w:color w:val="auto"/>
                <w:spacing w:val="0"/>
                <w:sz w:val="21"/>
                <w:szCs w:val="21"/>
                <w:highlight w:val="none"/>
                <w:shd w:val="clear" w:fill="FFFFFF"/>
              </w:rPr>
              <w:t>陶艺作品</w:t>
            </w:r>
            <w:r>
              <w:rPr>
                <w:rStyle w:val="39"/>
                <w:rFonts w:hint="eastAsia" w:ascii="宋体" w:hAnsi="宋体" w:eastAsia="宋体" w:cs="宋体"/>
                <w:b w:val="0"/>
                <w:bCs w:val="0"/>
                <w:i w:val="0"/>
                <w:iCs w:val="0"/>
                <w:caps w:val="0"/>
                <w:color w:val="auto"/>
                <w:spacing w:val="0"/>
                <w:sz w:val="21"/>
                <w:szCs w:val="21"/>
                <w:highlight w:val="none"/>
                <w:shd w:val="clear" w:fill="FFFFFF"/>
                <w:lang w:eastAsia="zh-CN"/>
              </w:rPr>
              <w:t>展示台承重</w:t>
            </w:r>
            <w:r>
              <w:rPr>
                <w:rStyle w:val="39"/>
                <w:rFonts w:hint="eastAsia" w:ascii="宋体" w:hAnsi="宋体" w:eastAsia="宋体" w:cs="宋体"/>
                <w:b w:val="0"/>
                <w:bCs w:val="0"/>
                <w:i w:val="0"/>
                <w:iCs w:val="0"/>
                <w:caps w:val="0"/>
                <w:color w:val="auto"/>
                <w:spacing w:val="0"/>
                <w:sz w:val="21"/>
                <w:szCs w:val="21"/>
                <w:highlight w:val="none"/>
                <w:shd w:val="clear" w:fill="FFFFFF"/>
              </w:rPr>
              <w:t>单件最大边尺寸在150厘米以内，重量在100公斤以下</w:t>
            </w:r>
            <w:r>
              <w:rPr>
                <w:rStyle w:val="39"/>
                <w:rFonts w:hint="eastAsia" w:ascii="宋体" w:hAnsi="宋体" w:eastAsia="宋体" w:cs="宋体"/>
                <w:b w:val="0"/>
                <w:bCs w:val="0"/>
                <w:i w:val="0"/>
                <w:iCs w:val="0"/>
                <w:caps w:val="0"/>
                <w:color w:val="auto"/>
                <w:spacing w:val="0"/>
                <w:sz w:val="21"/>
                <w:szCs w:val="21"/>
                <w:highlight w:val="none"/>
                <w:shd w:val="clear" w:fill="FFFFFF"/>
                <w:lang w:eastAsia="zh-CN"/>
              </w:rPr>
              <w:t>。</w:t>
            </w:r>
            <w:r>
              <w:rPr>
                <w:rStyle w:val="39"/>
                <w:rFonts w:hint="eastAsia" w:ascii="宋体" w:hAnsi="宋体" w:eastAsia="宋体" w:cs="宋体"/>
                <w:b w:val="0"/>
                <w:bCs w:val="0"/>
                <w:i w:val="0"/>
                <w:iCs w:val="0"/>
                <w:caps w:val="0"/>
                <w:color w:val="auto"/>
                <w:spacing w:val="0"/>
                <w:sz w:val="21"/>
                <w:szCs w:val="21"/>
                <w:highlight w:val="none"/>
                <w:shd w:val="clear" w:fill="FFFFFF"/>
              </w:rPr>
              <w:t>壁画作品</w:t>
            </w:r>
            <w:r>
              <w:rPr>
                <w:rStyle w:val="39"/>
                <w:rFonts w:hint="eastAsia" w:ascii="宋体" w:hAnsi="宋体" w:eastAsia="宋体" w:cs="宋体"/>
                <w:b w:val="0"/>
                <w:bCs w:val="0"/>
                <w:i w:val="0"/>
                <w:iCs w:val="0"/>
                <w:caps w:val="0"/>
                <w:color w:val="auto"/>
                <w:spacing w:val="0"/>
                <w:sz w:val="21"/>
                <w:szCs w:val="21"/>
                <w:highlight w:val="none"/>
                <w:shd w:val="clear" w:fill="FFFFFF"/>
                <w:lang w:eastAsia="zh-CN"/>
              </w:rPr>
              <w:t>装框后高度</w:t>
            </w:r>
            <w:r>
              <w:rPr>
                <w:rStyle w:val="39"/>
                <w:rFonts w:hint="eastAsia" w:ascii="宋体" w:hAnsi="宋体" w:eastAsia="宋体" w:cs="宋体"/>
                <w:b w:val="0"/>
                <w:bCs w:val="0"/>
                <w:i w:val="0"/>
                <w:iCs w:val="0"/>
                <w:caps w:val="0"/>
                <w:color w:val="auto"/>
                <w:spacing w:val="0"/>
                <w:sz w:val="21"/>
                <w:szCs w:val="21"/>
                <w:highlight w:val="none"/>
                <w:shd w:val="clear" w:fill="FFFFFF"/>
              </w:rPr>
              <w:t>宽度不得超过250厘米</w:t>
            </w:r>
            <w:r>
              <w:rPr>
                <w:rStyle w:val="39"/>
                <w:rFonts w:hint="eastAsia" w:ascii="宋体" w:hAnsi="宋体" w:eastAsia="宋体" w:cs="宋体"/>
                <w:b w:val="0"/>
                <w:bCs w:val="0"/>
                <w:i w:val="0"/>
                <w:iCs w:val="0"/>
                <w:caps w:val="0"/>
                <w:color w:val="auto"/>
                <w:spacing w:val="0"/>
                <w:sz w:val="21"/>
                <w:szCs w:val="21"/>
                <w:highlight w:val="none"/>
                <w:shd w:val="clear" w:fill="FFFFFF"/>
                <w:lang w:eastAsia="zh-CN"/>
              </w:rPr>
              <w:t>，</w:t>
            </w:r>
            <w:r>
              <w:rPr>
                <w:rStyle w:val="39"/>
                <w:rFonts w:hint="eastAsia" w:ascii="宋体" w:hAnsi="宋体" w:eastAsia="宋体" w:cs="宋体"/>
                <w:b w:val="0"/>
                <w:bCs w:val="0"/>
                <w:i w:val="0"/>
                <w:iCs w:val="0"/>
                <w:caps w:val="0"/>
                <w:color w:val="auto"/>
                <w:spacing w:val="0"/>
                <w:sz w:val="21"/>
                <w:szCs w:val="21"/>
                <w:highlight w:val="none"/>
                <w:shd w:val="clear" w:fill="FFFFFF"/>
              </w:rPr>
              <w:t>组合作品高度可适当放宽</w:t>
            </w:r>
            <w:r>
              <w:rPr>
                <w:rStyle w:val="39"/>
                <w:rFonts w:hint="eastAsia" w:ascii="宋体" w:hAnsi="宋体" w:eastAsia="宋体" w:cs="宋体"/>
                <w:b w:val="0"/>
                <w:bCs w:val="0"/>
                <w:i w:val="0"/>
                <w:iCs w:val="0"/>
                <w:caps w:val="0"/>
                <w:color w:val="auto"/>
                <w:spacing w:val="0"/>
                <w:sz w:val="21"/>
                <w:szCs w:val="21"/>
                <w:highlight w:val="none"/>
                <w:shd w:val="clear" w:fill="FFFFFF"/>
                <w:lang w:eastAsia="zh-CN"/>
              </w:rPr>
              <w:t>。</w:t>
            </w:r>
            <w:r>
              <w:rPr>
                <w:rFonts w:hint="eastAsia" w:ascii="宋体" w:hAnsi="宋体" w:eastAsia="宋体" w:cs="宋体"/>
                <w:b w:val="0"/>
                <w:bCs w:val="0"/>
                <w:i w:val="0"/>
                <w:iCs w:val="0"/>
                <w:color w:val="auto"/>
                <w:kern w:val="0"/>
                <w:sz w:val="21"/>
                <w:szCs w:val="21"/>
                <w:highlight w:val="none"/>
                <w:u w:val="none"/>
                <w:lang w:val="en-US" w:eastAsia="zh-CN" w:bidi="ar"/>
              </w:rPr>
              <w:t>装裱平整且无气泡、无污渍、无划痕，外框采用实木框架（颜色、纹理需统一或符合设计），结构稳固，边框处理精细，无毛刺等，确保能满足展览的要求。</w:t>
            </w:r>
          </w:p>
          <w:p w14:paraId="019BF784">
            <w:pPr>
              <w:pStyle w:val="21"/>
              <w:spacing w:line="360" w:lineRule="auto"/>
              <w:ind w:right="34" w:firstLine="210" w:firstLineChars="10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9</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评审</w:t>
            </w:r>
            <w:r>
              <w:rPr>
                <w:rFonts w:hint="eastAsia" w:ascii="宋体" w:hAnsi="宋体" w:eastAsia="宋体" w:cs="宋体"/>
                <w:b w:val="0"/>
                <w:bCs w:val="0"/>
                <w:color w:val="auto"/>
                <w:sz w:val="21"/>
                <w:szCs w:val="21"/>
                <w:highlight w:val="none"/>
              </w:rPr>
              <w:t>作品运输</w:t>
            </w:r>
            <w:r>
              <w:rPr>
                <w:rFonts w:hint="eastAsia" w:ascii="宋体" w:hAnsi="宋体" w:eastAsia="宋体" w:cs="宋体"/>
                <w:b w:val="0"/>
                <w:bCs w:val="0"/>
                <w:color w:val="auto"/>
                <w:sz w:val="21"/>
                <w:szCs w:val="21"/>
                <w:highlight w:val="none"/>
                <w:lang w:eastAsia="zh-CN"/>
              </w:rPr>
              <w:t>、布展撤展作品运输</w:t>
            </w:r>
            <w:r>
              <w:rPr>
                <w:rFonts w:hint="eastAsia" w:ascii="宋体" w:hAnsi="宋体" w:eastAsia="宋体" w:cs="宋体"/>
                <w:b w:val="0"/>
                <w:bCs w:val="0"/>
                <w:color w:val="auto"/>
                <w:sz w:val="21"/>
                <w:szCs w:val="21"/>
                <w:highlight w:val="none"/>
                <w:lang w:val="en-US" w:eastAsia="zh-CN"/>
              </w:rPr>
              <w:t>装卸（含包装膜防护措施）</w:t>
            </w:r>
          </w:p>
          <w:p w14:paraId="57AB5FED">
            <w:pPr>
              <w:pStyle w:val="21"/>
              <w:spacing w:line="360" w:lineRule="auto"/>
              <w:ind w:right="34" w:firstLine="210" w:firstLineChars="10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10</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策展（展签</w:t>
            </w:r>
            <w:r>
              <w:rPr>
                <w:rFonts w:hint="eastAsia" w:ascii="宋体" w:hAnsi="宋体" w:eastAsia="宋体" w:cs="宋体"/>
                <w:b w:val="0"/>
                <w:bCs w:val="0"/>
                <w:color w:val="auto"/>
                <w:sz w:val="21"/>
                <w:szCs w:val="21"/>
                <w:highlight w:val="none"/>
                <w:lang w:val="en-US" w:eastAsia="zh-CN"/>
              </w:rPr>
              <w:t>200个</w:t>
            </w:r>
            <w:r>
              <w:rPr>
                <w:rFonts w:hint="eastAsia" w:ascii="宋体" w:hAnsi="宋体" w:eastAsia="宋体" w:cs="宋体"/>
                <w:b w:val="0"/>
                <w:bCs w:val="0"/>
                <w:color w:val="auto"/>
                <w:sz w:val="21"/>
                <w:szCs w:val="21"/>
                <w:highlight w:val="none"/>
              </w:rPr>
              <w:t>、展览导视牌）</w:t>
            </w:r>
          </w:p>
          <w:p w14:paraId="1621788E">
            <w:pPr>
              <w:pStyle w:val="21"/>
              <w:spacing w:line="360" w:lineRule="auto"/>
              <w:ind w:right="34" w:firstLine="210" w:firstLineChars="1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11</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布展（场地改造、现场布展同时配合作品拍摄）</w:t>
            </w:r>
          </w:p>
          <w:p w14:paraId="060B37FA">
            <w:pPr>
              <w:pStyle w:val="21"/>
              <w:spacing w:line="360" w:lineRule="auto"/>
              <w:ind w:right="34" w:firstLine="210" w:firstLineChars="1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撤展(撤展作品、场地恢复)</w:t>
            </w:r>
          </w:p>
          <w:p w14:paraId="30A500E5">
            <w:pPr>
              <w:pStyle w:val="21"/>
              <w:spacing w:line="360" w:lineRule="auto"/>
              <w:ind w:right="34" w:firstLine="210" w:firstLineChars="1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13</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落选作品退</w:t>
            </w:r>
            <w:r>
              <w:rPr>
                <w:rFonts w:hint="eastAsia" w:ascii="宋体" w:hAnsi="宋体" w:eastAsia="宋体" w:cs="宋体"/>
                <w:b w:val="0"/>
                <w:bCs w:val="0"/>
                <w:color w:val="auto"/>
                <w:sz w:val="21"/>
                <w:szCs w:val="21"/>
                <w:highlight w:val="none"/>
                <w:lang w:eastAsia="zh-CN"/>
              </w:rPr>
              <w:t>件工作（落选约</w:t>
            </w:r>
            <w:r>
              <w:rPr>
                <w:rFonts w:hint="eastAsia" w:ascii="宋体" w:hAnsi="宋体" w:eastAsia="宋体" w:cs="宋体"/>
                <w:b w:val="0"/>
                <w:bCs w:val="0"/>
                <w:color w:val="auto"/>
                <w:sz w:val="21"/>
                <w:szCs w:val="21"/>
                <w:highlight w:val="none"/>
                <w:lang w:val="en-US" w:eastAsia="zh-CN"/>
              </w:rPr>
              <w:t>680件，退回作者本人</w:t>
            </w:r>
            <w:r>
              <w:rPr>
                <w:rFonts w:hint="eastAsia" w:ascii="宋体" w:hAnsi="宋体" w:eastAsia="宋体" w:cs="宋体"/>
                <w:b w:val="0"/>
                <w:bCs w:val="0"/>
                <w:color w:val="auto"/>
                <w:sz w:val="21"/>
                <w:szCs w:val="21"/>
                <w:highlight w:val="none"/>
                <w:lang w:eastAsia="zh-CN"/>
              </w:rPr>
              <w:t>）</w:t>
            </w:r>
          </w:p>
          <w:p w14:paraId="2722A440">
            <w:pPr>
              <w:pStyle w:val="21"/>
              <w:spacing w:line="360" w:lineRule="auto"/>
              <w:ind w:right="34" w:firstLine="210" w:firstLineChars="10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14</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入展作品退</w:t>
            </w:r>
            <w:r>
              <w:rPr>
                <w:rFonts w:hint="eastAsia" w:ascii="宋体" w:hAnsi="宋体" w:eastAsia="宋体" w:cs="宋体"/>
                <w:b w:val="0"/>
                <w:bCs w:val="0"/>
                <w:color w:val="auto"/>
                <w:sz w:val="21"/>
                <w:szCs w:val="21"/>
                <w:highlight w:val="none"/>
                <w:lang w:eastAsia="zh-CN"/>
              </w:rPr>
              <w:t>件工作（</w:t>
            </w:r>
            <w:r>
              <w:rPr>
                <w:rFonts w:hint="eastAsia" w:ascii="宋体" w:hAnsi="宋体" w:eastAsia="宋体" w:cs="宋体"/>
                <w:b w:val="0"/>
                <w:bCs w:val="0"/>
                <w:color w:val="auto"/>
                <w:sz w:val="21"/>
                <w:szCs w:val="21"/>
                <w:highlight w:val="none"/>
                <w:lang w:val="en-US" w:eastAsia="zh-CN"/>
              </w:rPr>
              <w:t>入展作品200件、评委作品10——15件，退回作者本人</w:t>
            </w:r>
            <w:r>
              <w:rPr>
                <w:rFonts w:hint="eastAsia" w:ascii="宋体" w:hAnsi="宋体" w:eastAsia="宋体" w:cs="宋体"/>
                <w:b w:val="0"/>
                <w:bCs w:val="0"/>
                <w:color w:val="auto"/>
                <w:sz w:val="21"/>
                <w:szCs w:val="21"/>
                <w:highlight w:val="none"/>
                <w:lang w:eastAsia="zh-CN"/>
              </w:rPr>
              <w:t>）</w:t>
            </w:r>
          </w:p>
          <w:p w14:paraId="3CC72F1C">
            <w:pPr>
              <w:pStyle w:val="21"/>
              <w:spacing w:line="360" w:lineRule="auto"/>
              <w:ind w:right="34" w:firstLine="210" w:firstLineChars="1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15</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证书、画册邮寄</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200个证书、200本画册</w:t>
            </w:r>
            <w:r>
              <w:rPr>
                <w:rFonts w:hint="eastAsia" w:ascii="宋体" w:hAnsi="宋体" w:eastAsia="宋体" w:cs="宋体"/>
                <w:b w:val="0"/>
                <w:bCs w:val="0"/>
                <w:color w:val="auto"/>
                <w:sz w:val="21"/>
                <w:szCs w:val="21"/>
                <w:highlight w:val="none"/>
                <w:lang w:eastAsia="zh-CN"/>
              </w:rPr>
              <w:t>）</w:t>
            </w:r>
          </w:p>
        </w:tc>
      </w:tr>
      <w:tr w14:paraId="7E24D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4" w:type="dxa"/>
            <w:gridSpan w:val="4"/>
            <w:tcBorders>
              <w:top w:val="single" w:color="auto" w:sz="4" w:space="0"/>
              <w:left w:val="single" w:color="auto" w:sz="4" w:space="0"/>
              <w:bottom w:val="single" w:color="auto" w:sz="4" w:space="0"/>
              <w:right w:val="single" w:color="auto" w:sz="4" w:space="0"/>
            </w:tcBorders>
            <w:vAlign w:val="center"/>
          </w:tcPr>
          <w:p w14:paraId="40071331">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▲二、商务要求</w:t>
            </w:r>
          </w:p>
        </w:tc>
      </w:tr>
      <w:tr w14:paraId="49DDB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2" w:type="dxa"/>
            <w:gridSpan w:val="3"/>
            <w:tcBorders>
              <w:top w:val="single" w:color="auto" w:sz="4" w:space="0"/>
              <w:left w:val="single" w:color="auto" w:sz="4" w:space="0"/>
              <w:bottom w:val="single" w:color="auto" w:sz="4" w:space="0"/>
              <w:right w:val="single" w:color="auto" w:sz="4" w:space="0"/>
            </w:tcBorders>
            <w:vAlign w:val="center"/>
          </w:tcPr>
          <w:p w14:paraId="5B366957">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（一）服务期限</w:t>
            </w:r>
          </w:p>
        </w:tc>
        <w:tc>
          <w:tcPr>
            <w:tcW w:w="7602" w:type="dxa"/>
            <w:tcBorders>
              <w:top w:val="single" w:color="auto" w:sz="4" w:space="0"/>
              <w:left w:val="single" w:color="auto" w:sz="4" w:space="0"/>
              <w:bottom w:val="single" w:color="auto" w:sz="4" w:space="0"/>
              <w:right w:val="single" w:color="auto" w:sz="4" w:space="0"/>
            </w:tcBorders>
            <w:vAlign w:val="center"/>
          </w:tcPr>
          <w:p w14:paraId="54A57C8F">
            <w:pPr>
              <w:spacing w:line="360" w:lineRule="auto"/>
              <w:rPr>
                <w:rFonts w:hint="eastAsia" w:ascii="宋体" w:hAnsi="宋体" w:eastAsia="宋体" w:cs="宋体"/>
                <w:b w:val="0"/>
                <w:bCs/>
                <w:color w:val="auto"/>
                <w:sz w:val="21"/>
                <w:szCs w:val="21"/>
                <w:highlight w:val="yellow"/>
              </w:rPr>
            </w:pPr>
            <w:r>
              <w:rPr>
                <w:rFonts w:hint="eastAsia" w:ascii="宋体" w:hAnsi="宋体" w:eastAsia="宋体" w:cs="宋体"/>
                <w:b w:val="0"/>
                <w:bCs/>
                <w:color w:val="auto"/>
                <w:sz w:val="21"/>
                <w:szCs w:val="21"/>
                <w:highlight w:val="none"/>
              </w:rPr>
              <w:t>签订合同之日起至202</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广西艺术作品展——第十</w:t>
            </w:r>
            <w:r>
              <w:rPr>
                <w:rFonts w:hint="eastAsia" w:ascii="宋体" w:hAnsi="宋体" w:eastAsia="宋体" w:cs="宋体"/>
                <w:b w:val="0"/>
                <w:bCs/>
                <w:color w:val="auto"/>
                <w:sz w:val="21"/>
                <w:szCs w:val="21"/>
                <w:highlight w:val="none"/>
                <w:lang w:eastAsia="zh-CN"/>
              </w:rPr>
              <w:t>三</w:t>
            </w:r>
            <w:r>
              <w:rPr>
                <w:rFonts w:hint="eastAsia" w:ascii="宋体" w:hAnsi="宋体" w:eastAsia="宋体" w:cs="宋体"/>
                <w:b w:val="0"/>
                <w:bCs/>
                <w:color w:val="auto"/>
                <w:sz w:val="21"/>
                <w:szCs w:val="21"/>
                <w:highlight w:val="none"/>
              </w:rPr>
              <w:t>届广西</w:t>
            </w:r>
            <w:r>
              <w:rPr>
                <w:rFonts w:hint="eastAsia" w:ascii="宋体" w:hAnsi="宋体" w:eastAsia="宋体" w:cs="宋体"/>
                <w:b w:val="0"/>
                <w:bCs/>
                <w:color w:val="auto"/>
                <w:sz w:val="21"/>
                <w:szCs w:val="21"/>
                <w:highlight w:val="none"/>
                <w:lang w:eastAsia="zh-CN"/>
              </w:rPr>
              <w:t>美术</w:t>
            </w:r>
            <w:r>
              <w:rPr>
                <w:rFonts w:hint="eastAsia" w:ascii="宋体" w:hAnsi="宋体" w:eastAsia="宋体" w:cs="宋体"/>
                <w:b w:val="0"/>
                <w:bCs/>
                <w:color w:val="auto"/>
                <w:sz w:val="21"/>
                <w:szCs w:val="21"/>
                <w:highlight w:val="none"/>
              </w:rPr>
              <w:t>作品展</w:t>
            </w:r>
            <w:r>
              <w:rPr>
                <w:rFonts w:hint="eastAsia" w:ascii="宋体" w:hAnsi="宋体" w:eastAsia="宋体" w:cs="宋体"/>
                <w:b w:val="0"/>
                <w:bCs/>
                <w:color w:val="auto"/>
                <w:sz w:val="21"/>
                <w:szCs w:val="21"/>
                <w:highlight w:val="none"/>
                <w:lang w:eastAsia="zh-CN"/>
              </w:rPr>
              <w:t>项目</w:t>
            </w:r>
            <w:r>
              <w:rPr>
                <w:rFonts w:hint="eastAsia" w:ascii="宋体" w:hAnsi="宋体" w:eastAsia="宋体" w:cs="宋体"/>
                <w:b w:val="0"/>
                <w:bCs/>
                <w:color w:val="auto"/>
                <w:sz w:val="21"/>
                <w:szCs w:val="21"/>
                <w:highlight w:val="none"/>
              </w:rPr>
              <w:t>结束并完成“服务内容及要求”载明的各项服务止。</w:t>
            </w:r>
          </w:p>
        </w:tc>
      </w:tr>
      <w:tr w14:paraId="64192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2" w:type="dxa"/>
            <w:gridSpan w:val="3"/>
            <w:tcBorders>
              <w:top w:val="single" w:color="auto" w:sz="4" w:space="0"/>
              <w:left w:val="single" w:color="auto" w:sz="4" w:space="0"/>
              <w:bottom w:val="single" w:color="auto" w:sz="4" w:space="0"/>
              <w:right w:val="single" w:color="auto" w:sz="4" w:space="0"/>
            </w:tcBorders>
            <w:vAlign w:val="center"/>
          </w:tcPr>
          <w:p w14:paraId="1E640B1F">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（二）付款条件</w:t>
            </w:r>
          </w:p>
        </w:tc>
        <w:tc>
          <w:tcPr>
            <w:tcW w:w="7602" w:type="dxa"/>
            <w:tcBorders>
              <w:top w:val="single" w:color="auto" w:sz="4" w:space="0"/>
              <w:left w:val="single" w:color="auto" w:sz="4" w:space="0"/>
              <w:bottom w:val="single" w:color="auto" w:sz="4" w:space="0"/>
              <w:right w:val="single" w:color="auto" w:sz="4" w:space="0"/>
            </w:tcBorders>
            <w:vAlign w:val="center"/>
          </w:tcPr>
          <w:p w14:paraId="40344405">
            <w:pPr>
              <w:pStyle w:val="21"/>
              <w:spacing w:line="360" w:lineRule="auto"/>
              <w:jc w:val="both"/>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eastAsia="宋体" w:cs="宋体"/>
                <w:b w:val="0"/>
                <w:bCs/>
                <w:i w:val="0"/>
                <w:iCs w:val="0"/>
                <w:color w:val="auto"/>
                <w:kern w:val="0"/>
                <w:sz w:val="21"/>
                <w:szCs w:val="21"/>
                <w:u w:val="none"/>
                <w:lang w:val="en-US" w:eastAsia="zh-CN" w:bidi="ar"/>
              </w:rPr>
              <w:t>第一次付款：合同签订且财政资金到位后15个工作日内，成交供应商向采购人开具相应金额增值税发票，采购人收到发票后支付合同价款的50%；</w:t>
            </w:r>
          </w:p>
          <w:p w14:paraId="7A8A8334">
            <w:pPr>
              <w:pStyle w:val="21"/>
              <w:spacing w:line="360" w:lineRule="auto"/>
              <w:jc w:val="both"/>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eastAsia="宋体" w:cs="宋体"/>
                <w:b w:val="0"/>
                <w:bCs/>
                <w:i w:val="0"/>
                <w:iCs w:val="0"/>
                <w:color w:val="auto"/>
                <w:kern w:val="0"/>
                <w:sz w:val="21"/>
                <w:szCs w:val="21"/>
                <w:u w:val="none"/>
                <w:lang w:val="en-US" w:eastAsia="zh-CN" w:bidi="ar"/>
              </w:rPr>
              <w:t>第二次付款：展览布展完成验收，展览开幕15个工作日内成交供应商向采购人开具相应金额增值税发票，采购人收到发票后支付合同价款的40%；</w:t>
            </w:r>
          </w:p>
          <w:p w14:paraId="2B923A9A">
            <w:pPr>
              <w:spacing w:line="360" w:lineRule="auto"/>
              <w:rPr>
                <w:rFonts w:hint="eastAsia" w:ascii="宋体" w:hAnsi="宋体" w:eastAsia="宋体" w:cs="宋体"/>
                <w:b w:val="0"/>
                <w:bCs/>
                <w:color w:val="auto"/>
                <w:sz w:val="21"/>
                <w:szCs w:val="21"/>
                <w:highlight w:val="yellow"/>
              </w:rPr>
            </w:pPr>
            <w:r>
              <w:rPr>
                <w:rFonts w:hint="eastAsia" w:ascii="宋体" w:hAnsi="宋体" w:eastAsia="宋体" w:cs="宋体"/>
                <w:b w:val="0"/>
                <w:bCs/>
                <w:i w:val="0"/>
                <w:iCs w:val="0"/>
                <w:color w:val="auto"/>
                <w:kern w:val="0"/>
                <w:sz w:val="21"/>
                <w:szCs w:val="21"/>
                <w:u w:val="none"/>
                <w:lang w:val="en-US" w:eastAsia="zh-CN" w:bidi="ar"/>
              </w:rPr>
              <w:t>第三次付款：全部服务完结且验收合格后5个工作日内，成交供应商向采购人开具相应金额增值税发票，采购人收到发票后支付剩余合同价款10%（无息）。</w:t>
            </w:r>
          </w:p>
        </w:tc>
      </w:tr>
      <w:tr w14:paraId="6701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2" w:type="dxa"/>
            <w:gridSpan w:val="3"/>
            <w:tcBorders>
              <w:top w:val="single" w:color="auto" w:sz="4" w:space="0"/>
              <w:left w:val="single" w:color="auto" w:sz="4" w:space="0"/>
              <w:bottom w:val="single" w:color="auto" w:sz="4" w:space="0"/>
              <w:right w:val="single" w:color="auto" w:sz="4" w:space="0"/>
            </w:tcBorders>
            <w:vAlign w:val="center"/>
          </w:tcPr>
          <w:p w14:paraId="0721DCEA">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（三）质量及验收标准</w:t>
            </w:r>
          </w:p>
        </w:tc>
        <w:tc>
          <w:tcPr>
            <w:tcW w:w="7602" w:type="dxa"/>
            <w:tcBorders>
              <w:top w:val="single" w:color="auto" w:sz="4" w:space="0"/>
              <w:left w:val="single" w:color="auto" w:sz="4" w:space="0"/>
              <w:bottom w:val="single" w:color="auto" w:sz="4" w:space="0"/>
              <w:right w:val="single" w:color="auto" w:sz="4" w:space="0"/>
            </w:tcBorders>
            <w:vAlign w:val="center"/>
          </w:tcPr>
          <w:p w14:paraId="571D0308">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依据竞争性磋商文件要求的采购需求、成交供应商响应文件承诺以及国家现行相关标准、规范履行合同。成交供应商提供的服务成果达不到验收标准的，不予验收，成交供应商应当退还采购人已支付的相关费用，造成采购人损失的，成交供应商应当予以赔偿，相关一切不利后果由成交供应商自行承担。</w:t>
            </w:r>
          </w:p>
          <w:p w14:paraId="37C93082">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w:t>
            </w:r>
            <w:r>
              <w:rPr>
                <w:rFonts w:hint="eastAsia" w:ascii="宋体" w:hAnsi="宋体" w:eastAsia="宋体" w:cs="宋体"/>
                <w:b w:val="0"/>
                <w:bCs/>
                <w:color w:val="auto"/>
                <w:spacing w:val="-6"/>
                <w:sz w:val="21"/>
                <w:szCs w:val="21"/>
              </w:rPr>
              <w:t>.成交供应商提供的服务如果与响应文件承诺的服务不相符，采购人有权中止或终止合同。</w:t>
            </w:r>
          </w:p>
          <w:p w14:paraId="05E1095B">
            <w:pPr>
              <w:spacing w:line="360" w:lineRule="auto"/>
              <w:rPr>
                <w:rFonts w:hint="eastAsia" w:ascii="宋体" w:hAnsi="宋体" w:eastAsia="宋体" w:cs="宋体"/>
                <w:b w:val="0"/>
                <w:bCs/>
                <w:color w:val="auto"/>
                <w:spacing w:val="-2"/>
                <w:sz w:val="21"/>
                <w:szCs w:val="21"/>
              </w:rPr>
            </w:pPr>
            <w:r>
              <w:rPr>
                <w:rFonts w:hint="eastAsia" w:ascii="宋体" w:hAnsi="宋体" w:eastAsia="宋体" w:cs="宋体"/>
                <w:b w:val="0"/>
                <w:bCs/>
                <w:color w:val="auto"/>
                <w:sz w:val="21"/>
                <w:szCs w:val="21"/>
              </w:rPr>
              <w:t>3.项目实施期间，因成交供应商服务管理不善导致的相关人身财产事故及不良舆情，由成交供应商负责消除不良影响并承担相关责任。</w:t>
            </w:r>
          </w:p>
        </w:tc>
      </w:tr>
      <w:tr w14:paraId="5BFD4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2" w:type="dxa"/>
            <w:gridSpan w:val="3"/>
            <w:tcBorders>
              <w:top w:val="single" w:color="auto" w:sz="4" w:space="0"/>
              <w:left w:val="single" w:color="auto" w:sz="4" w:space="0"/>
              <w:bottom w:val="single" w:color="auto" w:sz="4" w:space="0"/>
              <w:right w:val="single" w:color="auto" w:sz="4" w:space="0"/>
            </w:tcBorders>
            <w:vAlign w:val="center"/>
          </w:tcPr>
          <w:p w14:paraId="48352280">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（四）权利保障</w:t>
            </w:r>
          </w:p>
        </w:tc>
        <w:tc>
          <w:tcPr>
            <w:tcW w:w="7602" w:type="dxa"/>
            <w:tcBorders>
              <w:top w:val="single" w:color="auto" w:sz="4" w:space="0"/>
              <w:left w:val="single" w:color="auto" w:sz="4" w:space="0"/>
              <w:bottom w:val="single" w:color="auto" w:sz="4" w:space="0"/>
              <w:right w:val="single" w:color="auto" w:sz="4" w:space="0"/>
            </w:tcBorders>
            <w:vAlign w:val="center"/>
          </w:tcPr>
          <w:p w14:paraId="78724744">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成交供应商所提供的服务涉及到的知识产权和相关技术资料必须是合法取得的，不会侵犯任何第三方的专利权、商标权、工业设计权或其他权利，不会因为采购人的使用服务成果遭受第三方侵权指控，包括被责令致歉、停止使用、追偿或要求赔偿损失等。否则，成交供应商负责解决由此引起的一切纠纷，采购人有权追究成交供应商的法律责任，其不利后果由成交供应商全部承担。</w:t>
            </w:r>
          </w:p>
        </w:tc>
      </w:tr>
      <w:tr w14:paraId="1F1D8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2" w:type="dxa"/>
            <w:gridSpan w:val="3"/>
            <w:tcBorders>
              <w:top w:val="single" w:color="auto" w:sz="4" w:space="0"/>
              <w:left w:val="single" w:color="auto" w:sz="4" w:space="0"/>
              <w:bottom w:val="single" w:color="auto" w:sz="4" w:space="0"/>
              <w:right w:val="single" w:color="auto" w:sz="4" w:space="0"/>
            </w:tcBorders>
            <w:vAlign w:val="center"/>
          </w:tcPr>
          <w:p w14:paraId="673EC578">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（五）报价要求</w:t>
            </w:r>
          </w:p>
        </w:tc>
        <w:tc>
          <w:tcPr>
            <w:tcW w:w="7602" w:type="dxa"/>
            <w:tcBorders>
              <w:top w:val="single" w:color="auto" w:sz="4" w:space="0"/>
              <w:left w:val="single" w:color="auto" w:sz="4" w:space="0"/>
              <w:bottom w:val="single" w:color="auto" w:sz="4" w:space="0"/>
              <w:right w:val="single" w:color="auto" w:sz="4" w:space="0"/>
            </w:tcBorders>
            <w:vAlign w:val="center"/>
          </w:tcPr>
          <w:p w14:paraId="37D30168">
            <w:pPr>
              <w:spacing w:line="360" w:lineRule="auto"/>
              <w:rPr>
                <w:rFonts w:hint="eastAsia" w:ascii="宋体" w:hAnsi="宋体" w:eastAsia="宋体" w:cs="宋体"/>
                <w:b w:val="0"/>
                <w:bCs/>
                <w:i w:val="0"/>
                <w:iCs w:val="0"/>
                <w:color w:val="auto"/>
                <w:kern w:val="0"/>
                <w:sz w:val="21"/>
                <w:szCs w:val="21"/>
                <w:u w:val="none"/>
                <w:lang w:val="en-US" w:eastAsia="zh-CN" w:bidi="ar"/>
              </w:rPr>
            </w:pPr>
            <w:r>
              <w:rPr>
                <w:rFonts w:hint="eastAsia" w:ascii="宋体" w:hAnsi="宋体" w:eastAsia="宋体" w:cs="宋体"/>
                <w:b w:val="0"/>
                <w:bCs/>
                <w:i w:val="0"/>
                <w:iCs w:val="0"/>
                <w:color w:val="auto"/>
                <w:kern w:val="0"/>
                <w:sz w:val="21"/>
                <w:szCs w:val="21"/>
                <w:u w:val="none"/>
                <w:lang w:val="en-US" w:eastAsia="zh-CN" w:bidi="ar"/>
              </w:rPr>
              <w:t>1.本项目按总包干报价，包括完成本项目服务产生的所有成本、税金及合理利润。具体包含但不限于</w:t>
            </w:r>
            <w:r>
              <w:rPr>
                <w:rFonts w:hint="eastAsia" w:ascii="宋体" w:hAnsi="宋体" w:eastAsia="宋体" w:cs="宋体"/>
                <w:b w:val="0"/>
                <w:bCs/>
                <w:color w:val="auto"/>
                <w:sz w:val="21"/>
                <w:szCs w:val="21"/>
                <w:highlight w:val="none"/>
              </w:rPr>
              <w:t>202</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广西艺术作品展——第十</w:t>
            </w:r>
            <w:r>
              <w:rPr>
                <w:rFonts w:hint="eastAsia" w:ascii="宋体" w:hAnsi="宋体" w:eastAsia="宋体" w:cs="宋体"/>
                <w:b w:val="0"/>
                <w:bCs/>
                <w:color w:val="auto"/>
                <w:sz w:val="21"/>
                <w:szCs w:val="21"/>
                <w:highlight w:val="none"/>
                <w:lang w:eastAsia="zh-CN"/>
              </w:rPr>
              <w:t>三</w:t>
            </w:r>
            <w:r>
              <w:rPr>
                <w:rFonts w:hint="eastAsia" w:ascii="宋体" w:hAnsi="宋体" w:eastAsia="宋体" w:cs="宋体"/>
                <w:b w:val="0"/>
                <w:bCs/>
                <w:color w:val="auto"/>
                <w:sz w:val="21"/>
                <w:szCs w:val="21"/>
                <w:highlight w:val="none"/>
              </w:rPr>
              <w:t>届</w:t>
            </w:r>
            <w:r>
              <w:rPr>
                <w:rFonts w:hint="eastAsia" w:ascii="宋体" w:hAnsi="宋体" w:eastAsia="宋体" w:cs="宋体"/>
                <w:b w:val="0"/>
                <w:bCs/>
                <w:color w:val="auto"/>
                <w:sz w:val="21"/>
                <w:szCs w:val="21"/>
                <w:highlight w:val="none"/>
                <w:lang w:eastAsia="zh-CN"/>
              </w:rPr>
              <w:t>美术</w:t>
            </w:r>
            <w:r>
              <w:rPr>
                <w:rFonts w:hint="eastAsia" w:ascii="宋体" w:hAnsi="宋体" w:eastAsia="宋体" w:cs="宋体"/>
                <w:b w:val="0"/>
                <w:bCs/>
                <w:color w:val="auto"/>
                <w:sz w:val="21"/>
                <w:szCs w:val="21"/>
                <w:highlight w:val="none"/>
              </w:rPr>
              <w:t>作品展评审委员会委员及工作人员</w:t>
            </w:r>
            <w:r>
              <w:rPr>
                <w:rFonts w:hint="eastAsia" w:ascii="宋体" w:hAnsi="宋体" w:eastAsia="宋体" w:cs="宋体"/>
                <w:b w:val="0"/>
                <w:bCs/>
                <w:color w:val="auto"/>
                <w:sz w:val="21"/>
                <w:szCs w:val="21"/>
                <w:highlight w:val="none"/>
                <w:lang w:eastAsia="zh-CN"/>
              </w:rPr>
              <w:t>餐费</w:t>
            </w:r>
            <w:r>
              <w:rPr>
                <w:rFonts w:hint="eastAsia" w:ascii="宋体" w:hAnsi="宋体" w:eastAsia="宋体" w:cs="宋体"/>
                <w:b w:val="0"/>
                <w:bCs/>
                <w:color w:val="auto"/>
                <w:sz w:val="21"/>
                <w:szCs w:val="21"/>
                <w:highlight w:val="none"/>
              </w:rPr>
              <w:t>、会务及物料费、志愿者劳务费及差旅费，以及不可预见费等全部费用，供应商应综合考虑进磋商报价</w:t>
            </w:r>
            <w:r>
              <w:rPr>
                <w:rFonts w:hint="eastAsia" w:ascii="宋体" w:hAnsi="宋体" w:eastAsia="宋体" w:cs="宋体"/>
                <w:b w:val="0"/>
                <w:bCs/>
                <w:color w:val="auto"/>
                <w:kern w:val="0"/>
                <w:sz w:val="21"/>
                <w:szCs w:val="21"/>
                <w:highlight w:val="none"/>
              </w:rPr>
              <w:t>。</w:t>
            </w:r>
          </w:p>
          <w:p w14:paraId="7097E963">
            <w:pPr>
              <w:spacing w:line="360" w:lineRule="auto"/>
              <w:rPr>
                <w:rFonts w:hint="eastAsia" w:ascii="宋体" w:hAnsi="宋体" w:eastAsia="宋体" w:cs="宋体"/>
                <w:b w:val="0"/>
                <w:bCs/>
                <w:color w:val="auto"/>
                <w:sz w:val="21"/>
                <w:szCs w:val="21"/>
              </w:rPr>
            </w:pPr>
            <w:r>
              <w:rPr>
                <w:rFonts w:hint="eastAsia" w:ascii="宋体" w:hAnsi="宋体" w:eastAsia="宋体" w:cs="宋体"/>
                <w:b w:val="0"/>
                <w:bCs/>
                <w:i w:val="0"/>
                <w:iCs w:val="0"/>
                <w:color w:val="auto"/>
                <w:kern w:val="0"/>
                <w:sz w:val="21"/>
                <w:szCs w:val="21"/>
                <w:u w:val="none"/>
                <w:lang w:val="en-US" w:eastAsia="zh-CN" w:bidi="ar"/>
              </w:rPr>
              <w:t>2.供应商磋商报价超出采购预算金额或最高限价的，按响应无效处理。</w:t>
            </w:r>
          </w:p>
        </w:tc>
      </w:tr>
      <w:tr w14:paraId="3796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4" w:type="dxa"/>
            <w:gridSpan w:val="4"/>
            <w:tcBorders>
              <w:top w:val="single" w:color="auto" w:sz="4" w:space="0"/>
              <w:left w:val="single" w:color="auto" w:sz="4" w:space="0"/>
              <w:bottom w:val="single" w:color="auto" w:sz="4" w:space="0"/>
              <w:right w:val="single" w:color="auto" w:sz="4" w:space="0"/>
            </w:tcBorders>
            <w:vAlign w:val="center"/>
          </w:tcPr>
          <w:p w14:paraId="7C353381">
            <w:p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三、实现项目目标的其他要求</w:t>
            </w:r>
          </w:p>
        </w:tc>
      </w:tr>
      <w:tr w14:paraId="09A8D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2" w:type="dxa"/>
            <w:gridSpan w:val="3"/>
            <w:tcBorders>
              <w:top w:val="single" w:color="auto" w:sz="4" w:space="0"/>
              <w:left w:val="single" w:color="auto" w:sz="4" w:space="0"/>
              <w:bottom w:val="single" w:color="auto" w:sz="4" w:space="0"/>
              <w:right w:val="single" w:color="auto" w:sz="4" w:space="0"/>
            </w:tcBorders>
            <w:vAlign w:val="center"/>
          </w:tcPr>
          <w:p w14:paraId="43C0C745">
            <w:pPr>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（一）项目</w:t>
            </w:r>
            <w:r>
              <w:rPr>
                <w:rFonts w:hint="eastAsia" w:ascii="宋体" w:hAnsi="宋体" w:eastAsia="宋体" w:cs="宋体"/>
                <w:b w:val="0"/>
                <w:bCs w:val="0"/>
                <w:color w:val="auto"/>
                <w:sz w:val="21"/>
                <w:szCs w:val="21"/>
                <w:lang w:val="en-US" w:eastAsia="zh-CN"/>
              </w:rPr>
              <w:t>总体</w:t>
            </w:r>
            <w:r>
              <w:rPr>
                <w:rFonts w:hint="eastAsia" w:ascii="宋体" w:hAnsi="宋体" w:eastAsia="宋体" w:cs="宋体"/>
                <w:b w:val="0"/>
                <w:bCs w:val="0"/>
                <w:color w:val="auto"/>
                <w:sz w:val="21"/>
                <w:szCs w:val="21"/>
              </w:rPr>
              <w:t>实施方案</w:t>
            </w:r>
          </w:p>
        </w:tc>
        <w:tc>
          <w:tcPr>
            <w:tcW w:w="7602" w:type="dxa"/>
            <w:tcBorders>
              <w:top w:val="single" w:color="auto" w:sz="4" w:space="0"/>
              <w:left w:val="single" w:color="auto" w:sz="4" w:space="0"/>
              <w:bottom w:val="single" w:color="auto" w:sz="4" w:space="0"/>
              <w:right w:val="single" w:color="auto" w:sz="4" w:space="0"/>
            </w:tcBorders>
            <w:vAlign w:val="center"/>
          </w:tcPr>
          <w:p w14:paraId="308FFB94">
            <w:pPr>
              <w:spacing w:line="360" w:lineRule="auto"/>
              <w:rPr>
                <w:rFonts w:hint="eastAsia" w:ascii="宋体" w:hAnsi="宋体" w:eastAsia="宋体" w:cs="宋体"/>
                <w:b w:val="0"/>
                <w:bCs w:val="0"/>
                <w:color w:val="auto"/>
                <w:sz w:val="21"/>
                <w:szCs w:val="21"/>
                <w:highlight w:val="yellow"/>
              </w:rPr>
            </w:pPr>
            <w:r>
              <w:rPr>
                <w:rFonts w:hint="eastAsia" w:ascii="宋体" w:hAnsi="宋体" w:eastAsia="宋体" w:cs="宋体"/>
                <w:b w:val="0"/>
                <w:bCs w:val="0"/>
                <w:color w:val="auto"/>
                <w:sz w:val="21"/>
                <w:szCs w:val="21"/>
                <w:highlight w:val="none"/>
              </w:rPr>
              <w:t>供应商根据采购需求，于响应文件中提供针对本项目的</w:t>
            </w:r>
            <w:r>
              <w:rPr>
                <w:rFonts w:hint="eastAsia" w:ascii="宋体" w:hAnsi="宋体" w:eastAsia="宋体" w:cs="宋体"/>
                <w:b w:val="0"/>
                <w:bCs w:val="0"/>
                <w:color w:val="auto"/>
                <w:sz w:val="21"/>
                <w:szCs w:val="21"/>
                <w:highlight w:val="none"/>
                <w:lang w:val="en-US" w:eastAsia="zh-CN"/>
              </w:rPr>
              <w:t>总体</w:t>
            </w:r>
            <w:r>
              <w:rPr>
                <w:rFonts w:hint="eastAsia" w:ascii="宋体" w:hAnsi="宋体" w:eastAsia="宋体" w:cs="宋体"/>
                <w:b w:val="0"/>
                <w:bCs w:val="0"/>
                <w:color w:val="auto"/>
                <w:sz w:val="21"/>
                <w:szCs w:val="21"/>
                <w:highlight w:val="none"/>
              </w:rPr>
              <w:t>实施方案，包含但不限于</w:t>
            </w:r>
            <w:r>
              <w:rPr>
                <w:rFonts w:hint="eastAsia" w:ascii="宋体" w:hAnsi="宋体" w:eastAsia="宋体"/>
                <w:color w:val="auto"/>
                <w:kern w:val="0"/>
                <w:szCs w:val="21"/>
              </w:rPr>
              <w:t>项目理解</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Cs/>
                <w:color w:val="auto"/>
                <w:kern w:val="0"/>
                <w:szCs w:val="21"/>
                <w:highlight w:val="none"/>
                <w:lang w:val="en-US" w:eastAsia="zh-CN"/>
              </w:rPr>
              <w:t>实施</w:t>
            </w:r>
            <w:r>
              <w:rPr>
                <w:rFonts w:hint="eastAsia" w:ascii="宋体" w:hAnsi="宋体" w:eastAsia="宋体" w:cs="宋体"/>
                <w:bCs/>
                <w:color w:val="auto"/>
                <w:kern w:val="0"/>
                <w:szCs w:val="21"/>
                <w:highlight w:val="none"/>
              </w:rPr>
              <w:t>方案</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sz w:val="21"/>
                <w:szCs w:val="21"/>
                <w:highlight w:val="none"/>
                <w:lang w:val="en-US" w:eastAsia="zh-CN" w:bidi="ar-SA"/>
              </w:rPr>
              <w:t>设计方案与总体效果、</w:t>
            </w:r>
            <w:r>
              <w:rPr>
                <w:rFonts w:hint="eastAsia" w:ascii="宋体" w:hAnsi="宋体" w:eastAsia="宋体"/>
                <w:color w:val="auto"/>
                <w:kern w:val="0"/>
                <w:szCs w:val="21"/>
              </w:rPr>
              <w:t>功能及空间规划、动线规划</w:t>
            </w:r>
            <w:r>
              <w:rPr>
                <w:rFonts w:hint="eastAsia" w:ascii="宋体" w:hAnsi="宋体" w:eastAsia="宋体"/>
                <w:color w:val="auto"/>
                <w:kern w:val="0"/>
                <w:szCs w:val="21"/>
                <w:lang w:val="en-US" w:eastAsia="zh-CN"/>
              </w:rPr>
              <w:t>等</w:t>
            </w:r>
          </w:p>
        </w:tc>
      </w:tr>
      <w:tr w14:paraId="41B55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2" w:type="dxa"/>
            <w:gridSpan w:val="3"/>
            <w:tcBorders>
              <w:top w:val="single" w:color="auto" w:sz="4" w:space="0"/>
              <w:left w:val="single" w:color="auto" w:sz="4" w:space="0"/>
              <w:bottom w:val="single" w:color="auto" w:sz="4" w:space="0"/>
              <w:right w:val="single" w:color="auto" w:sz="4" w:space="0"/>
            </w:tcBorders>
            <w:vAlign w:val="center"/>
          </w:tcPr>
          <w:p w14:paraId="2F913F01">
            <w:pPr>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（二）履约能力</w:t>
            </w:r>
          </w:p>
        </w:tc>
        <w:tc>
          <w:tcPr>
            <w:tcW w:w="7602" w:type="dxa"/>
            <w:tcBorders>
              <w:top w:val="single" w:color="auto" w:sz="4" w:space="0"/>
              <w:left w:val="single" w:color="auto" w:sz="4" w:space="0"/>
              <w:bottom w:val="single" w:color="auto" w:sz="4" w:space="0"/>
              <w:right w:val="single" w:color="auto" w:sz="4" w:space="0"/>
            </w:tcBorders>
            <w:vAlign w:val="center"/>
          </w:tcPr>
          <w:p w14:paraId="07906BEA">
            <w:pPr>
              <w:spacing w:line="360" w:lineRule="auto"/>
              <w:rPr>
                <w:rFonts w:hint="eastAsia" w:ascii="宋体" w:hAnsi="宋体" w:eastAsia="宋体" w:cs="宋体"/>
                <w:b w:val="0"/>
                <w:bCs w:val="0"/>
                <w:color w:val="auto"/>
                <w:sz w:val="21"/>
                <w:szCs w:val="21"/>
                <w:highlight w:val="yellow"/>
              </w:rPr>
            </w:pPr>
            <w:r>
              <w:rPr>
                <w:rFonts w:hint="eastAsia" w:ascii="宋体" w:hAnsi="宋体" w:eastAsia="宋体" w:cs="宋体"/>
                <w:b w:val="0"/>
                <w:bCs w:val="0"/>
                <w:color w:val="auto"/>
                <w:sz w:val="21"/>
                <w:szCs w:val="21"/>
                <w:highlight w:val="none"/>
              </w:rPr>
              <w:t>供应商自202</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年以来具有同类项目业绩。注：上述履约能力评分具体详见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highlight w:val="none"/>
              </w:rPr>
              <w:t>第四章  评审程序、评审方法和评审标准</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rPr>
              <w:t>。</w:t>
            </w:r>
          </w:p>
        </w:tc>
      </w:tr>
    </w:tbl>
    <w:p w14:paraId="245EF762">
      <w:pPr>
        <w:spacing w:line="360" w:lineRule="exact"/>
        <w:jc w:val="left"/>
        <w:rPr>
          <w:rFonts w:hint="eastAsia" w:ascii="宋体" w:hAnsi="宋体"/>
          <w:color w:val="auto"/>
          <w:szCs w:val="21"/>
          <w:highlight w:val="none"/>
        </w:rPr>
      </w:pPr>
      <w:r>
        <w:rPr>
          <w:color w:val="auto"/>
          <w:highlight w:val="none"/>
        </w:rPr>
        <w:br w:type="page"/>
      </w:r>
      <w:r>
        <w:rPr>
          <w:rFonts w:hint="eastAsia"/>
          <w:color w:val="auto"/>
          <w:highlight w:val="none"/>
        </w:rPr>
        <w:t>分标2：</w:t>
      </w:r>
      <w:r>
        <w:rPr>
          <w:rFonts w:hint="eastAsia" w:ascii="宋体" w:hAnsi="宋体"/>
          <w:color w:val="auto"/>
          <w:szCs w:val="21"/>
          <w:highlight w:val="none"/>
        </w:rPr>
        <w:t>2025年广西艺术作品展览图书出版服务</w:t>
      </w:r>
    </w:p>
    <w:p w14:paraId="5D846E7D">
      <w:pPr>
        <w:spacing w:line="360" w:lineRule="exact"/>
        <w:jc w:val="left"/>
        <w:rPr>
          <w:rFonts w:hint="eastAsia"/>
          <w:color w:val="auto"/>
          <w:highlight w:val="none"/>
        </w:rPr>
      </w:pPr>
      <w:r>
        <w:rPr>
          <w:rFonts w:hint="eastAsia"/>
          <w:color w:val="auto"/>
          <w:highlight w:val="none"/>
        </w:rPr>
        <w:t>预算金额：</w:t>
      </w:r>
      <w:r>
        <w:rPr>
          <w:rFonts w:hint="eastAsia" w:ascii="宋体" w:hAnsi="宋体"/>
          <w:color w:val="auto"/>
          <w:szCs w:val="21"/>
          <w:highlight w:val="none"/>
          <w:lang w:val="en-US" w:eastAsia="zh-CN"/>
        </w:rPr>
        <w:t>265000.00</w:t>
      </w:r>
      <w:r>
        <w:rPr>
          <w:rFonts w:hint="eastAsia"/>
          <w:color w:val="auto"/>
          <w:highlight w:val="none"/>
        </w:rPr>
        <w:t>元</w:t>
      </w:r>
    </w:p>
    <w:p w14:paraId="4E8CD45C">
      <w:pPr>
        <w:spacing w:line="360" w:lineRule="exact"/>
        <w:jc w:val="left"/>
        <w:rPr>
          <w:rFonts w:hint="eastAsia"/>
          <w:color w:val="auto"/>
          <w:highlight w:val="none"/>
        </w:rPr>
      </w:pPr>
      <w:r>
        <w:rPr>
          <w:rFonts w:hint="eastAsia"/>
          <w:color w:val="auto"/>
          <w:highlight w:val="none"/>
        </w:rPr>
        <w:t>最高限价：</w:t>
      </w:r>
      <w:r>
        <w:rPr>
          <w:rFonts w:hint="eastAsia" w:ascii="宋体" w:hAnsi="宋体"/>
          <w:color w:val="auto"/>
          <w:szCs w:val="21"/>
          <w:highlight w:val="none"/>
          <w:lang w:val="en-US" w:eastAsia="zh-CN"/>
        </w:rPr>
        <w:t>265000.00</w:t>
      </w:r>
      <w:r>
        <w:rPr>
          <w:rFonts w:hint="eastAsia"/>
          <w:color w:val="auto"/>
          <w:highlight w:val="none"/>
        </w:rPr>
        <w:t>元</w:t>
      </w:r>
    </w:p>
    <w:p w14:paraId="2BCB0823">
      <w:pPr>
        <w:spacing w:line="360" w:lineRule="exact"/>
        <w:jc w:val="left"/>
        <w:rPr>
          <w:rFonts w:hint="eastAsia" w:eastAsia="宋体"/>
          <w:color w:val="auto"/>
          <w:highlight w:val="none"/>
          <w:lang w:val="en-US" w:eastAsia="zh-CN"/>
        </w:rPr>
      </w:pPr>
      <w:r>
        <w:rPr>
          <w:rFonts w:hint="eastAsia"/>
          <w:color w:val="auto"/>
          <w:highlight w:val="none"/>
          <w:lang w:val="en-US" w:eastAsia="zh-CN"/>
        </w:rPr>
        <w:t>采购标的对应的中小企业划分标准所属行业：其他未列明行业</w:t>
      </w:r>
    </w:p>
    <w:tbl>
      <w:tblPr>
        <w:tblStyle w:val="36"/>
        <w:tblW w:w="1016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9"/>
        <w:gridCol w:w="834"/>
        <w:gridCol w:w="124"/>
        <w:gridCol w:w="776"/>
        <w:gridCol w:w="7838"/>
      </w:tblGrid>
      <w:tr w14:paraId="7E53A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161" w:type="dxa"/>
            <w:gridSpan w:val="5"/>
            <w:tcBorders>
              <w:top w:val="single" w:color="auto" w:sz="4" w:space="0"/>
              <w:left w:val="single" w:color="auto" w:sz="4" w:space="0"/>
              <w:bottom w:val="single" w:color="auto" w:sz="4" w:space="0"/>
              <w:right w:val="single" w:color="auto" w:sz="4" w:space="0"/>
            </w:tcBorders>
            <w:vAlign w:val="center"/>
          </w:tcPr>
          <w:p w14:paraId="63A49FE4">
            <w:pPr>
              <w:spacing w:line="360" w:lineRule="auto"/>
              <w:textAlignment w:val="baseline"/>
              <w:rPr>
                <w:rFonts w:hint="eastAsia" w:ascii="宋体" w:hAnsi="宋体"/>
                <w:b/>
                <w:color w:val="auto"/>
                <w:szCs w:val="21"/>
                <w:highlight w:val="none"/>
              </w:rPr>
            </w:pPr>
            <w:r>
              <w:rPr>
                <w:rFonts w:hint="eastAsia" w:ascii="宋体" w:hAnsi="宋体"/>
                <w:b/>
                <w:color w:val="auto"/>
                <w:szCs w:val="21"/>
                <w:highlight w:val="none"/>
              </w:rPr>
              <w:t>一、项目要求及技术需求</w:t>
            </w:r>
          </w:p>
        </w:tc>
      </w:tr>
      <w:tr w14:paraId="60A7A7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9" w:type="dxa"/>
            <w:tcBorders>
              <w:top w:val="single" w:color="auto" w:sz="4" w:space="0"/>
              <w:left w:val="single" w:color="auto" w:sz="4" w:space="0"/>
              <w:bottom w:val="single" w:color="auto" w:sz="4" w:space="0"/>
              <w:right w:val="single" w:color="auto" w:sz="4" w:space="0"/>
            </w:tcBorders>
            <w:vAlign w:val="center"/>
          </w:tcPr>
          <w:p w14:paraId="0005352D">
            <w:pPr>
              <w:spacing w:line="360" w:lineRule="auto"/>
              <w:jc w:val="center"/>
              <w:textAlignment w:val="baseline"/>
              <w:rPr>
                <w:rFonts w:hint="eastAsia" w:ascii="宋体" w:hAnsi="宋体"/>
                <w:b/>
                <w:color w:val="auto"/>
                <w:szCs w:val="21"/>
                <w:highlight w:val="none"/>
              </w:rPr>
            </w:pPr>
            <w:r>
              <w:rPr>
                <w:rFonts w:ascii="宋体" w:hAnsi="宋体"/>
                <w:b/>
                <w:color w:val="auto"/>
                <w:szCs w:val="21"/>
                <w:highlight w:val="none"/>
              </w:rPr>
              <w:t>项号</w:t>
            </w:r>
          </w:p>
        </w:tc>
        <w:tc>
          <w:tcPr>
            <w:tcW w:w="834" w:type="dxa"/>
            <w:tcBorders>
              <w:top w:val="single" w:color="auto" w:sz="4" w:space="0"/>
              <w:left w:val="single" w:color="auto" w:sz="4" w:space="0"/>
              <w:bottom w:val="single" w:color="auto" w:sz="4" w:space="0"/>
              <w:right w:val="single" w:color="auto" w:sz="4" w:space="0"/>
            </w:tcBorders>
            <w:vAlign w:val="center"/>
          </w:tcPr>
          <w:p w14:paraId="0A16CEE9">
            <w:pPr>
              <w:spacing w:line="360" w:lineRule="auto"/>
              <w:jc w:val="center"/>
              <w:textAlignment w:val="baseline"/>
              <w:rPr>
                <w:rFonts w:hint="eastAsia" w:ascii="宋体" w:hAnsi="宋体"/>
                <w:b/>
                <w:color w:val="auto"/>
                <w:szCs w:val="21"/>
                <w:highlight w:val="none"/>
              </w:rPr>
            </w:pPr>
            <w:r>
              <w:rPr>
                <w:rFonts w:hint="eastAsia" w:ascii="宋体" w:hAnsi="宋体"/>
                <w:b/>
                <w:color w:val="auto"/>
                <w:szCs w:val="21"/>
                <w:highlight w:val="none"/>
              </w:rPr>
              <w:t>标的名称</w:t>
            </w: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52B8D72D">
            <w:pPr>
              <w:spacing w:line="360" w:lineRule="auto"/>
              <w:jc w:val="center"/>
              <w:textAlignment w:val="baseline"/>
              <w:rPr>
                <w:rFonts w:hint="default" w:ascii="宋体" w:hAnsi="宋体" w:eastAsia="宋体"/>
                <w:b/>
                <w:color w:val="auto"/>
                <w:szCs w:val="21"/>
                <w:highlight w:val="none"/>
                <w:lang w:val="en-US" w:eastAsia="zh-CN"/>
              </w:rPr>
            </w:pPr>
            <w:r>
              <w:rPr>
                <w:rFonts w:ascii="宋体" w:hAnsi="宋体"/>
                <w:b/>
                <w:color w:val="auto"/>
                <w:szCs w:val="21"/>
                <w:highlight w:val="none"/>
              </w:rPr>
              <w:t>数量</w:t>
            </w:r>
            <w:r>
              <w:rPr>
                <w:rFonts w:hint="eastAsia" w:ascii="宋体" w:hAnsi="宋体"/>
                <w:b/>
                <w:color w:val="auto"/>
                <w:szCs w:val="21"/>
                <w:highlight w:val="none"/>
                <w:lang w:val="en-US" w:eastAsia="zh-CN"/>
              </w:rPr>
              <w:t>及单位</w:t>
            </w:r>
          </w:p>
        </w:tc>
        <w:tc>
          <w:tcPr>
            <w:tcW w:w="7838" w:type="dxa"/>
            <w:tcBorders>
              <w:top w:val="single" w:color="auto" w:sz="4" w:space="0"/>
              <w:left w:val="single" w:color="auto" w:sz="4" w:space="0"/>
              <w:bottom w:val="single" w:color="auto" w:sz="4" w:space="0"/>
              <w:right w:val="single" w:color="auto" w:sz="4" w:space="0"/>
            </w:tcBorders>
            <w:vAlign w:val="center"/>
          </w:tcPr>
          <w:p w14:paraId="119FCCC1">
            <w:pPr>
              <w:spacing w:line="360" w:lineRule="auto"/>
              <w:jc w:val="center"/>
              <w:textAlignment w:val="baseline"/>
              <w:rPr>
                <w:rFonts w:hint="default" w:ascii="宋体" w:hAnsi="宋体" w:eastAsia="宋体"/>
                <w:b/>
                <w:bCs/>
                <w:color w:val="auto"/>
                <w:szCs w:val="21"/>
                <w:highlight w:val="none"/>
                <w:lang w:val="en-US" w:eastAsia="zh-CN"/>
              </w:rPr>
            </w:pPr>
            <w:r>
              <w:rPr>
                <w:rFonts w:hint="eastAsia" w:cs="宋体"/>
                <w:color w:val="auto"/>
                <w:sz w:val="21"/>
                <w:szCs w:val="21"/>
                <w:highlight w:val="none"/>
              </w:rPr>
              <w:t>▲</w:t>
            </w:r>
            <w:r>
              <w:rPr>
                <w:rFonts w:hint="eastAsia" w:ascii="宋体" w:hAnsi="宋体"/>
                <w:b/>
                <w:color w:val="auto"/>
                <w:szCs w:val="21"/>
                <w:highlight w:val="none"/>
                <w:lang w:val="en-US" w:eastAsia="zh-CN"/>
              </w:rPr>
              <w:t>服务内容及要求</w:t>
            </w:r>
          </w:p>
        </w:tc>
      </w:tr>
      <w:tr w14:paraId="52118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9" w:type="dxa"/>
            <w:tcBorders>
              <w:top w:val="single" w:color="auto" w:sz="4" w:space="0"/>
              <w:left w:val="single" w:color="auto" w:sz="4" w:space="0"/>
              <w:bottom w:val="single" w:color="auto" w:sz="4" w:space="0"/>
              <w:right w:val="single" w:color="auto" w:sz="4" w:space="0"/>
            </w:tcBorders>
            <w:vAlign w:val="center"/>
          </w:tcPr>
          <w:p w14:paraId="1EE6C084">
            <w:pPr>
              <w:numPr>
                <w:ilvl w:val="0"/>
                <w:numId w:val="0"/>
              </w:numPr>
              <w:spacing w:line="360" w:lineRule="auto"/>
              <w:ind w:leftChars="0"/>
              <w:jc w:val="center"/>
              <w:textAlignment w:val="baseline"/>
              <w:rPr>
                <w:rFonts w:hint="eastAsia" w:ascii="宋体" w:hAnsi="宋体" w:eastAsia="宋体"/>
                <w:color w:val="auto"/>
                <w:szCs w:val="21"/>
                <w:highlight w:val="none"/>
                <w:lang w:val="en-US" w:eastAsia="zh-CN"/>
              </w:rPr>
            </w:pPr>
            <w:bookmarkStart w:id="62" w:name="_Hlk135673447"/>
            <w:r>
              <w:rPr>
                <w:rFonts w:hint="eastAsia" w:ascii="宋体" w:hAnsi="宋体"/>
                <w:color w:val="auto"/>
                <w:szCs w:val="21"/>
                <w:highlight w:val="none"/>
                <w:lang w:val="en-US" w:eastAsia="zh-CN"/>
              </w:rPr>
              <w:t>1</w:t>
            </w:r>
          </w:p>
        </w:tc>
        <w:tc>
          <w:tcPr>
            <w:tcW w:w="834" w:type="dxa"/>
            <w:tcBorders>
              <w:top w:val="single" w:color="auto" w:sz="4" w:space="0"/>
              <w:left w:val="single" w:color="auto" w:sz="4" w:space="0"/>
              <w:bottom w:val="single" w:color="auto" w:sz="4" w:space="0"/>
              <w:right w:val="single" w:color="auto" w:sz="4" w:space="0"/>
            </w:tcBorders>
            <w:vAlign w:val="center"/>
          </w:tcPr>
          <w:p w14:paraId="5A68A78F">
            <w:pPr>
              <w:spacing w:line="360" w:lineRule="auto"/>
              <w:jc w:val="center"/>
              <w:textAlignment w:val="baseline"/>
              <w:rPr>
                <w:rFonts w:hint="eastAsia" w:ascii="宋体" w:hAnsi="宋体" w:cs="宋体"/>
                <w:bCs/>
                <w:color w:val="auto"/>
                <w:kern w:val="0"/>
                <w:szCs w:val="21"/>
                <w:highlight w:val="none"/>
                <w:lang w:bidi="en-US"/>
              </w:rPr>
            </w:pPr>
            <w:r>
              <w:rPr>
                <w:rFonts w:hint="eastAsia" w:ascii="宋体" w:hAnsi="宋体"/>
                <w:color w:val="auto"/>
                <w:sz w:val="21"/>
                <w:szCs w:val="21"/>
                <w:highlight w:val="none"/>
              </w:rPr>
              <w:t>2025年广西艺术作品展览图书出版服务</w:t>
            </w: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7989F009">
            <w:pPr>
              <w:spacing w:line="360" w:lineRule="auto"/>
              <w:jc w:val="center"/>
              <w:textAlignment w:val="baseline"/>
              <w:rPr>
                <w:rFonts w:hint="eastAsia" w:ascii="宋体" w:hAnsi="宋体" w:cs="宋体"/>
                <w:color w:val="auto"/>
                <w:kern w:val="0"/>
                <w:szCs w:val="21"/>
                <w:highlight w:val="none"/>
                <w:lang w:bidi="en-US"/>
              </w:rPr>
            </w:pPr>
            <w:r>
              <w:rPr>
                <w:rFonts w:hint="eastAsia" w:ascii="宋体" w:hAnsi="宋体" w:cs="宋体"/>
                <w:color w:val="auto"/>
                <w:kern w:val="0"/>
                <w:szCs w:val="21"/>
                <w:highlight w:val="none"/>
                <w:lang w:bidi="en-US"/>
              </w:rPr>
              <w:t>1项</w:t>
            </w:r>
          </w:p>
        </w:tc>
        <w:tc>
          <w:tcPr>
            <w:tcW w:w="7838" w:type="dxa"/>
            <w:tcBorders>
              <w:top w:val="single" w:color="auto" w:sz="4" w:space="0"/>
              <w:left w:val="single" w:color="auto" w:sz="4" w:space="0"/>
              <w:bottom w:val="single" w:color="auto" w:sz="4" w:space="0"/>
              <w:right w:val="single" w:color="auto" w:sz="4" w:space="0"/>
            </w:tcBorders>
            <w:vAlign w:val="center"/>
          </w:tcPr>
          <w:p w14:paraId="123CA4DF">
            <w:pPr>
              <w:pStyle w:val="18"/>
              <w:spacing w:line="360" w:lineRule="auto"/>
              <w:rPr>
                <w:rFonts w:hint="eastAsia" w:ascii="宋体" w:hAnsi="宋体"/>
                <w:b/>
                <w:bCs/>
                <w:color w:val="auto"/>
                <w:sz w:val="21"/>
                <w:szCs w:val="21"/>
                <w:highlight w:val="none"/>
              </w:rPr>
            </w:pPr>
            <w:r>
              <w:rPr>
                <w:rFonts w:hint="eastAsia" w:ascii="宋体" w:hAnsi="宋体"/>
                <w:b/>
                <w:bCs/>
                <w:color w:val="auto"/>
                <w:sz w:val="21"/>
                <w:szCs w:val="21"/>
                <w:highlight w:val="none"/>
              </w:rPr>
              <w:t>一、基本要求</w:t>
            </w:r>
          </w:p>
          <w:p w14:paraId="51E9AD7F">
            <w:pPr>
              <w:pStyle w:val="18"/>
              <w:spacing w:line="360" w:lineRule="auto"/>
              <w:rPr>
                <w:rFonts w:hint="eastAsia" w:ascii="宋体" w:hAnsi="宋体"/>
                <w:color w:val="auto"/>
                <w:sz w:val="21"/>
                <w:szCs w:val="21"/>
                <w:highlight w:val="none"/>
              </w:rPr>
            </w:pPr>
            <w:r>
              <w:rPr>
                <w:rFonts w:hint="eastAsia" w:ascii="宋体" w:hAnsi="宋体"/>
                <w:color w:val="auto"/>
                <w:sz w:val="21"/>
                <w:szCs w:val="21"/>
                <w:highlight w:val="none"/>
              </w:rPr>
              <w:t>1.供应商须满足本项目编辑周期短、修改次数多、质量要求高的要求，可提供高质量的编辑出版服务。</w:t>
            </w:r>
          </w:p>
          <w:p w14:paraId="71346DB2">
            <w:pPr>
              <w:pStyle w:val="18"/>
              <w:spacing w:line="360" w:lineRule="auto"/>
              <w:rPr>
                <w:rFonts w:hint="eastAsia" w:ascii="宋体" w:hAnsi="宋体"/>
                <w:color w:val="auto"/>
                <w:sz w:val="21"/>
                <w:szCs w:val="21"/>
                <w:highlight w:val="none"/>
              </w:rPr>
            </w:pPr>
            <w:r>
              <w:rPr>
                <w:rFonts w:hint="eastAsia" w:ascii="宋体" w:hAnsi="宋体"/>
                <w:color w:val="auto"/>
                <w:sz w:val="21"/>
                <w:szCs w:val="21"/>
                <w:highlight w:val="none"/>
              </w:rPr>
              <w:t>2.供应商要负责选题申报、审稿、国际标准ISBN书号和中国国家版本馆CIP数据申请、编辑、排版、校对、审读、封面设计、版式设计、印制、图书配送等全套工作。在图书出版印刷前，供应商对图书内容必须严格保密，未经采购人同意不得对外公布。</w:t>
            </w:r>
          </w:p>
          <w:p w14:paraId="685E528A">
            <w:pPr>
              <w:pStyle w:val="18"/>
              <w:spacing w:line="360" w:lineRule="auto"/>
              <w:rPr>
                <w:rFonts w:hint="eastAsia" w:ascii="宋体" w:hAnsi="宋体"/>
                <w:color w:val="auto"/>
                <w:sz w:val="21"/>
                <w:szCs w:val="21"/>
                <w:highlight w:val="none"/>
              </w:rPr>
            </w:pPr>
            <w:r>
              <w:rPr>
                <w:rFonts w:hint="eastAsia" w:ascii="宋体" w:hAnsi="宋体"/>
                <w:color w:val="auto"/>
                <w:sz w:val="21"/>
                <w:szCs w:val="21"/>
                <w:highlight w:val="none"/>
              </w:rPr>
              <w:t>3.供应商应按采购人的要求在规定时限内修改书稿内容和版面，当采购人有临时加印或加急印制的要求时应无条件满足。每本书定稿后按采购人指定的时间交货。</w:t>
            </w:r>
          </w:p>
          <w:p w14:paraId="2E27379C">
            <w:pPr>
              <w:pStyle w:val="18"/>
              <w:spacing w:line="360" w:lineRule="auto"/>
              <w:rPr>
                <w:rFonts w:hint="eastAsia" w:ascii="宋体" w:hAnsi="宋体"/>
                <w:color w:val="auto"/>
                <w:sz w:val="21"/>
                <w:szCs w:val="21"/>
                <w:highlight w:val="none"/>
              </w:rPr>
            </w:pPr>
            <w:r>
              <w:rPr>
                <w:rFonts w:hint="eastAsia" w:ascii="宋体" w:hAnsi="宋体"/>
                <w:color w:val="auto"/>
                <w:sz w:val="21"/>
                <w:szCs w:val="21"/>
                <w:highlight w:val="none"/>
              </w:rPr>
              <w:t>4.样书要求：供应商提供单本图书不少于3次的校对样稿、送稿上门服务，提供单本图书印刷前的快印样书。</w:t>
            </w:r>
          </w:p>
          <w:p w14:paraId="066517E3">
            <w:pPr>
              <w:pStyle w:val="18"/>
              <w:spacing w:line="360" w:lineRule="auto"/>
              <w:rPr>
                <w:rFonts w:hint="eastAsia" w:ascii="宋体" w:hAnsi="宋体"/>
                <w:color w:val="auto"/>
                <w:sz w:val="21"/>
                <w:szCs w:val="21"/>
                <w:highlight w:val="none"/>
              </w:rPr>
            </w:pPr>
            <w:r>
              <w:rPr>
                <w:rFonts w:hint="eastAsia" w:ascii="宋体" w:hAnsi="宋体"/>
                <w:color w:val="auto"/>
                <w:sz w:val="21"/>
                <w:szCs w:val="21"/>
                <w:highlight w:val="none"/>
              </w:rPr>
              <w:t>5.服务团队要求：供应商投入本项目的人员不少于15人，其中编辑人员3人，美术设计人员2人，排版人员4人，校对人员6人。</w:t>
            </w:r>
          </w:p>
          <w:p w14:paraId="33FF2375">
            <w:pPr>
              <w:pStyle w:val="18"/>
              <w:spacing w:line="360" w:lineRule="auto"/>
              <w:rPr>
                <w:rFonts w:hint="eastAsia" w:ascii="宋体" w:hAnsi="宋体"/>
                <w:b/>
                <w:bCs/>
                <w:color w:val="auto"/>
                <w:sz w:val="21"/>
                <w:szCs w:val="21"/>
                <w:highlight w:val="none"/>
              </w:rPr>
            </w:pPr>
            <w:r>
              <w:rPr>
                <w:rFonts w:hint="eastAsia" w:ascii="宋体" w:hAnsi="宋体"/>
                <w:b/>
                <w:bCs/>
                <w:color w:val="auto"/>
                <w:sz w:val="21"/>
                <w:szCs w:val="21"/>
                <w:highlight w:val="none"/>
              </w:rPr>
              <w:t>二、成品要求</w:t>
            </w:r>
          </w:p>
          <w:p w14:paraId="0C362423">
            <w:pPr>
              <w:pStyle w:val="18"/>
              <w:spacing w:line="360" w:lineRule="auto"/>
              <w:rPr>
                <w:rFonts w:hint="eastAsia" w:ascii="宋体" w:hAnsi="宋体"/>
                <w:color w:val="auto"/>
                <w:sz w:val="21"/>
                <w:szCs w:val="21"/>
                <w:highlight w:val="none"/>
              </w:rPr>
            </w:pPr>
            <w:r>
              <w:rPr>
                <w:rFonts w:hint="eastAsia" w:ascii="宋体" w:hAnsi="宋体"/>
                <w:color w:val="auto"/>
                <w:sz w:val="21"/>
                <w:szCs w:val="21"/>
                <w:highlight w:val="none"/>
              </w:rPr>
              <w:t>1.图书成品符合《出版管理条例》《图书质量管理规定》等语言文字法律法规、国家标准和规范，符合编校基本规范要求和质量标准。</w:t>
            </w:r>
          </w:p>
          <w:p w14:paraId="7D220595">
            <w:pPr>
              <w:pStyle w:val="18"/>
              <w:spacing w:line="360" w:lineRule="auto"/>
              <w:rPr>
                <w:rFonts w:hint="eastAsia" w:ascii="宋体" w:hAnsi="宋体"/>
                <w:color w:val="auto"/>
                <w:sz w:val="21"/>
                <w:szCs w:val="21"/>
                <w:highlight w:val="none"/>
              </w:rPr>
            </w:pPr>
            <w:r>
              <w:rPr>
                <w:rFonts w:hint="eastAsia" w:ascii="宋体" w:hAnsi="宋体"/>
                <w:color w:val="auto"/>
                <w:sz w:val="21"/>
                <w:szCs w:val="21"/>
                <w:highlight w:val="none"/>
              </w:rPr>
              <w:t>2.开本：</w:t>
            </w:r>
            <w:r>
              <w:rPr>
                <w:rFonts w:hint="eastAsia"/>
                <w:color w:val="auto"/>
                <w:sz w:val="21"/>
                <w:szCs w:val="21"/>
                <w:highlight w:val="none"/>
                <w:lang w:val="en-US" w:eastAsia="zh-CN"/>
              </w:rPr>
              <w:t>大16</w:t>
            </w:r>
            <w:r>
              <w:rPr>
                <w:rFonts w:hint="eastAsia" w:ascii="宋体" w:hAnsi="宋体"/>
                <w:color w:val="auto"/>
                <w:sz w:val="21"/>
                <w:szCs w:val="21"/>
                <w:highlight w:val="none"/>
              </w:rPr>
              <w:t>开（2</w:t>
            </w:r>
            <w:r>
              <w:rPr>
                <w:rFonts w:hint="eastAsia"/>
                <w:color w:val="auto"/>
                <w:sz w:val="21"/>
                <w:szCs w:val="21"/>
                <w:highlight w:val="none"/>
                <w:lang w:val="en-US" w:eastAsia="zh-CN"/>
              </w:rPr>
              <w:t>1</w:t>
            </w:r>
            <w:r>
              <w:rPr>
                <w:rFonts w:hint="eastAsia" w:ascii="宋体" w:hAnsi="宋体"/>
                <w:color w:val="auto"/>
                <w:sz w:val="21"/>
                <w:szCs w:val="21"/>
                <w:highlight w:val="none"/>
              </w:rPr>
              <w:t>0mm×</w:t>
            </w:r>
            <w:r>
              <w:rPr>
                <w:rFonts w:hint="eastAsia"/>
                <w:color w:val="auto"/>
                <w:sz w:val="21"/>
                <w:szCs w:val="21"/>
                <w:highlight w:val="none"/>
                <w:lang w:val="en-US" w:eastAsia="zh-CN"/>
              </w:rPr>
              <w:t>26</w:t>
            </w:r>
            <w:r>
              <w:rPr>
                <w:rFonts w:hint="eastAsia" w:ascii="宋体" w:hAnsi="宋体"/>
                <w:color w:val="auto"/>
                <w:sz w:val="21"/>
                <w:szCs w:val="21"/>
                <w:highlight w:val="none"/>
              </w:rPr>
              <w:t>0mm）</w:t>
            </w:r>
          </w:p>
          <w:p w14:paraId="24AAC02D">
            <w:pPr>
              <w:pStyle w:val="18"/>
              <w:spacing w:line="360" w:lineRule="auto"/>
              <w:rPr>
                <w:rFonts w:hint="eastAsia" w:ascii="宋体" w:hAnsi="宋体"/>
                <w:color w:val="auto"/>
                <w:sz w:val="21"/>
                <w:szCs w:val="21"/>
                <w:highlight w:val="none"/>
              </w:rPr>
            </w:pPr>
            <w:r>
              <w:rPr>
                <w:rFonts w:hint="eastAsia" w:ascii="宋体" w:hAnsi="宋体"/>
                <w:color w:val="auto"/>
                <w:sz w:val="21"/>
                <w:szCs w:val="21"/>
                <w:highlight w:val="none"/>
              </w:rPr>
              <w:t>3.内文用纸：130克超感纸，4色</w:t>
            </w:r>
          </w:p>
          <w:p w14:paraId="5E7F682A">
            <w:pPr>
              <w:pStyle w:val="18"/>
              <w:spacing w:line="360" w:lineRule="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4.装订：精装胶装</w:t>
            </w:r>
          </w:p>
          <w:p w14:paraId="567C010F">
            <w:pPr>
              <w:pStyle w:val="18"/>
              <w:spacing w:line="360" w:lineRule="auto"/>
              <w:rPr>
                <w:rFonts w:hint="eastAsia" w:ascii="宋体" w:hAnsi="宋体"/>
                <w:color w:val="auto"/>
                <w:sz w:val="21"/>
                <w:szCs w:val="21"/>
                <w:highlight w:val="none"/>
              </w:rPr>
            </w:pPr>
            <w:r>
              <w:rPr>
                <w:rFonts w:hint="eastAsia" w:ascii="宋体" w:hAnsi="宋体"/>
                <w:color w:val="auto"/>
                <w:sz w:val="21"/>
                <w:szCs w:val="21"/>
                <w:highlight w:val="none"/>
              </w:rPr>
              <w:t>5.印刷数量：</w:t>
            </w:r>
            <w:r>
              <w:rPr>
                <w:rFonts w:hint="eastAsia"/>
                <w:color w:val="auto"/>
                <w:sz w:val="21"/>
                <w:szCs w:val="21"/>
                <w:highlight w:val="none"/>
                <w:lang w:val="en-US" w:eastAsia="zh-CN"/>
              </w:rPr>
              <w:t>35</w:t>
            </w:r>
            <w:r>
              <w:rPr>
                <w:rFonts w:hint="eastAsia" w:ascii="宋体" w:hAnsi="宋体"/>
                <w:color w:val="auto"/>
                <w:sz w:val="21"/>
                <w:szCs w:val="21"/>
                <w:highlight w:val="none"/>
              </w:rPr>
              <w:t>0</w:t>
            </w:r>
            <w:r>
              <w:rPr>
                <w:rFonts w:hint="eastAsia"/>
                <w:color w:val="auto"/>
                <w:sz w:val="21"/>
                <w:szCs w:val="21"/>
                <w:highlight w:val="none"/>
                <w:lang w:val="en-US" w:eastAsia="zh-CN"/>
              </w:rPr>
              <w:t>本</w:t>
            </w:r>
            <w:r>
              <w:rPr>
                <w:rFonts w:hint="eastAsia" w:ascii="宋体" w:hAnsi="宋体"/>
                <w:color w:val="auto"/>
                <w:sz w:val="21"/>
                <w:szCs w:val="21"/>
                <w:highlight w:val="none"/>
              </w:rPr>
              <w:t>；印张</w:t>
            </w:r>
            <w:r>
              <w:rPr>
                <w:rFonts w:hint="eastAsia"/>
                <w:color w:val="auto"/>
                <w:sz w:val="21"/>
                <w:szCs w:val="21"/>
                <w:highlight w:val="none"/>
                <w:lang w:val="en-US" w:eastAsia="zh-CN"/>
              </w:rPr>
              <w:t>7</w:t>
            </w:r>
            <w:r>
              <w:rPr>
                <w:rFonts w:hint="eastAsia" w:ascii="宋体" w:hAnsi="宋体"/>
                <w:color w:val="auto"/>
                <w:sz w:val="21"/>
                <w:szCs w:val="21"/>
                <w:highlight w:val="none"/>
              </w:rPr>
              <w:t>，</w:t>
            </w:r>
            <w:r>
              <w:rPr>
                <w:rFonts w:hint="eastAsia"/>
                <w:color w:val="auto"/>
                <w:sz w:val="21"/>
                <w:szCs w:val="21"/>
                <w:highlight w:val="none"/>
                <w:lang w:val="en-US" w:eastAsia="zh-CN"/>
              </w:rPr>
              <w:t>11</w:t>
            </w:r>
            <w:r>
              <w:rPr>
                <w:rFonts w:hint="eastAsia" w:ascii="宋体" w:hAnsi="宋体"/>
                <w:color w:val="auto"/>
                <w:sz w:val="21"/>
                <w:szCs w:val="21"/>
                <w:highlight w:val="none"/>
              </w:rPr>
              <w:t>0页。</w:t>
            </w:r>
          </w:p>
          <w:p w14:paraId="28AE1017">
            <w:pPr>
              <w:pStyle w:val="18"/>
              <w:spacing w:line="360" w:lineRule="auto"/>
              <w:rPr>
                <w:rFonts w:hint="eastAsia" w:ascii="宋体" w:hAnsi="宋体"/>
                <w:b/>
                <w:bCs/>
                <w:color w:val="auto"/>
                <w:sz w:val="21"/>
                <w:szCs w:val="21"/>
                <w:highlight w:val="none"/>
              </w:rPr>
            </w:pPr>
            <w:r>
              <w:rPr>
                <w:rFonts w:hint="eastAsia" w:ascii="宋体" w:hAnsi="宋体"/>
                <w:b/>
                <w:bCs/>
                <w:color w:val="auto"/>
                <w:sz w:val="21"/>
                <w:szCs w:val="21"/>
                <w:highlight w:val="none"/>
              </w:rPr>
              <w:t>三、服务要求</w:t>
            </w:r>
          </w:p>
          <w:p w14:paraId="6EE58DD2">
            <w:pPr>
              <w:pStyle w:val="18"/>
              <w:spacing w:line="360" w:lineRule="auto"/>
              <w:rPr>
                <w:rFonts w:hint="eastAsia" w:ascii="宋体" w:hAnsi="宋体"/>
                <w:color w:val="auto"/>
                <w:sz w:val="21"/>
                <w:szCs w:val="21"/>
                <w:highlight w:val="none"/>
              </w:rPr>
            </w:pPr>
            <w:r>
              <w:rPr>
                <w:rFonts w:hint="eastAsia" w:ascii="宋体" w:hAnsi="宋体"/>
                <w:color w:val="auto"/>
                <w:sz w:val="21"/>
                <w:szCs w:val="21"/>
                <w:highlight w:val="none"/>
              </w:rPr>
              <w:t>1.排版、印刷</w:t>
            </w:r>
          </w:p>
          <w:p w14:paraId="47710A66">
            <w:pPr>
              <w:pStyle w:val="18"/>
              <w:spacing w:line="360" w:lineRule="auto"/>
              <w:rPr>
                <w:rFonts w:hint="eastAsia" w:ascii="宋体" w:hAnsi="宋体"/>
                <w:color w:val="auto"/>
                <w:sz w:val="21"/>
                <w:szCs w:val="21"/>
                <w:highlight w:val="none"/>
              </w:rPr>
            </w:pPr>
            <w:r>
              <w:rPr>
                <w:rFonts w:hint="eastAsia" w:ascii="宋体" w:hAnsi="宋体"/>
                <w:color w:val="auto"/>
                <w:sz w:val="21"/>
                <w:szCs w:val="21"/>
                <w:highlight w:val="none"/>
              </w:rPr>
              <w:t>（1）负责按采购人提供的材料和要求进行每本图书版面设计制作（含彩色封面设计制作和内文版式设计制作、内文修改等）；负责做好三审三校工作，并针对审校发现的问题与采购人进行沟通处理。</w:t>
            </w:r>
          </w:p>
          <w:p w14:paraId="1C1F7DAC">
            <w:pPr>
              <w:pStyle w:val="18"/>
              <w:spacing w:line="360" w:lineRule="auto"/>
              <w:rPr>
                <w:rFonts w:hint="eastAsia" w:ascii="宋体" w:hAnsi="宋体"/>
                <w:color w:val="auto"/>
                <w:sz w:val="21"/>
                <w:szCs w:val="21"/>
                <w:highlight w:val="none"/>
              </w:rPr>
            </w:pPr>
            <w:r>
              <w:rPr>
                <w:rFonts w:hint="eastAsia" w:ascii="宋体" w:hAnsi="宋体"/>
                <w:color w:val="auto"/>
                <w:sz w:val="21"/>
                <w:szCs w:val="21"/>
                <w:highlight w:val="none"/>
              </w:rPr>
              <w:t>（2）印刷要求文字、线条、图案、版面清晰完整，不秃不粘，无缺笔断道，压力均匀；成品裁切端正，无明显刀花；装订要求精装，做到无缺页、重页、错页、白页、倒头等。</w:t>
            </w:r>
          </w:p>
          <w:p w14:paraId="58B6EEB0">
            <w:pPr>
              <w:pStyle w:val="18"/>
              <w:spacing w:line="360" w:lineRule="auto"/>
              <w:rPr>
                <w:rFonts w:hint="eastAsia" w:ascii="宋体" w:hAnsi="宋体"/>
                <w:color w:val="auto"/>
                <w:sz w:val="21"/>
                <w:szCs w:val="21"/>
                <w:highlight w:val="none"/>
              </w:rPr>
            </w:pPr>
            <w:r>
              <w:rPr>
                <w:rFonts w:hint="eastAsia" w:ascii="宋体" w:hAnsi="宋体"/>
                <w:color w:val="auto"/>
                <w:sz w:val="21"/>
                <w:szCs w:val="21"/>
                <w:highlight w:val="none"/>
              </w:rPr>
              <w:t>（3）自收到采购人交付的已完成三审三校的签字付印资料后3个工作日内制成付印样书，并送采购人签字确认。在采购人签字确认后7个工作日内完成约定数量的印刷，并按采购人寄送要求装袋或打包，送至采购人指定的相应配送地点及人员验收。</w:t>
            </w:r>
          </w:p>
          <w:p w14:paraId="561685FC">
            <w:pPr>
              <w:pStyle w:val="18"/>
              <w:spacing w:line="360" w:lineRule="auto"/>
              <w:rPr>
                <w:rFonts w:hint="eastAsia" w:ascii="宋体" w:hAnsi="宋体"/>
                <w:color w:val="auto"/>
                <w:sz w:val="21"/>
                <w:szCs w:val="21"/>
                <w:highlight w:val="none"/>
              </w:rPr>
            </w:pPr>
            <w:r>
              <w:rPr>
                <w:rFonts w:hint="eastAsia" w:ascii="宋体" w:hAnsi="宋体"/>
                <w:color w:val="auto"/>
                <w:sz w:val="21"/>
                <w:szCs w:val="21"/>
                <w:highlight w:val="none"/>
              </w:rPr>
              <w:t>（4）根据印刷要求保质保量完成并按时交货，未经采购人允许不得擅自改变图书印刷要求、偷工减料。因供应商自身原因造成的错版、错印、漏印、严重色差、纸张瑕疵等印刷质量问题，由供应商负责重新印刷并承担相关费用，若由此造成采购人损失的，供应商还须予以赔偿；供应商交付的图书要有良好防潮、防腐的包装措施。由于包装不当引起图书损毁、丢失的，由供应商负责更换、补充，费用由供应商自行承担。</w:t>
            </w:r>
          </w:p>
          <w:p w14:paraId="66CD6466">
            <w:pPr>
              <w:pStyle w:val="18"/>
              <w:spacing w:line="360" w:lineRule="auto"/>
              <w:rPr>
                <w:rFonts w:hint="eastAsia" w:ascii="宋体" w:hAnsi="宋体"/>
                <w:color w:val="auto"/>
                <w:sz w:val="21"/>
                <w:szCs w:val="21"/>
                <w:highlight w:val="none"/>
              </w:rPr>
            </w:pPr>
            <w:r>
              <w:rPr>
                <w:rFonts w:hint="eastAsia" w:ascii="宋体" w:hAnsi="宋体"/>
                <w:color w:val="auto"/>
                <w:sz w:val="21"/>
                <w:szCs w:val="21"/>
                <w:highlight w:val="none"/>
              </w:rPr>
              <w:t>2.库存、配送</w:t>
            </w:r>
          </w:p>
          <w:p w14:paraId="64E79D4C">
            <w:pPr>
              <w:pStyle w:val="18"/>
              <w:spacing w:line="360" w:lineRule="auto"/>
              <w:rPr>
                <w:rFonts w:hint="eastAsia" w:ascii="宋体" w:hAnsi="宋体"/>
                <w:color w:val="auto"/>
                <w:sz w:val="21"/>
                <w:szCs w:val="21"/>
                <w:highlight w:val="none"/>
              </w:rPr>
            </w:pPr>
            <w:r>
              <w:rPr>
                <w:rFonts w:hint="eastAsia" w:ascii="宋体" w:hAnsi="宋体"/>
                <w:color w:val="auto"/>
                <w:sz w:val="21"/>
                <w:szCs w:val="21"/>
                <w:highlight w:val="none"/>
              </w:rPr>
              <w:t>（1）需要配送的图书，供应商要按要求包装送达指定地点，配送完成后须提供接收单位签字的合格验收单作为供应商是否按规定配送的验收依据。图书未交付采购人指定人员前，其损坏、丢失的风险均由供应商承担。</w:t>
            </w:r>
          </w:p>
          <w:p w14:paraId="5846B3C8">
            <w:pPr>
              <w:pStyle w:val="18"/>
              <w:spacing w:line="360" w:lineRule="auto"/>
              <w:rPr>
                <w:rFonts w:hint="eastAsia" w:ascii="宋体" w:hAnsi="宋体"/>
                <w:color w:val="auto"/>
                <w:sz w:val="21"/>
                <w:szCs w:val="21"/>
                <w:highlight w:val="none"/>
              </w:rPr>
            </w:pPr>
            <w:r>
              <w:rPr>
                <w:rFonts w:hint="eastAsia" w:ascii="宋体" w:hAnsi="宋体"/>
                <w:color w:val="auto"/>
                <w:sz w:val="21"/>
                <w:szCs w:val="21"/>
                <w:highlight w:val="none"/>
              </w:rPr>
              <w:t>（2）需要寄出的图书，供应商应保证在运输过程中包装完好，在寄出后1日内向采购人提供图书快递信息，包括寄送时间、物流清单。供应商应在1小时内回复采购人临时查询图书的物流状态。</w:t>
            </w:r>
          </w:p>
        </w:tc>
      </w:tr>
      <w:bookmarkEnd w:id="62"/>
      <w:tr w14:paraId="26261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0161" w:type="dxa"/>
            <w:gridSpan w:val="5"/>
            <w:tcBorders>
              <w:top w:val="single" w:color="auto" w:sz="4" w:space="0"/>
              <w:left w:val="single" w:color="auto" w:sz="4" w:space="0"/>
              <w:bottom w:val="single" w:color="auto" w:sz="4" w:space="0"/>
              <w:right w:val="single" w:color="auto" w:sz="4" w:space="0"/>
            </w:tcBorders>
            <w:vAlign w:val="center"/>
          </w:tcPr>
          <w:p w14:paraId="675EB3CC">
            <w:pPr>
              <w:spacing w:line="360" w:lineRule="auto"/>
              <w:textAlignment w:val="baseline"/>
              <w:rPr>
                <w:rFonts w:hint="eastAsia" w:ascii="宋体" w:hAnsi="宋体" w:cs="仿宋_GB2312"/>
                <w:b/>
                <w:color w:val="auto"/>
                <w:szCs w:val="21"/>
                <w:highlight w:val="none"/>
              </w:rPr>
            </w:pPr>
            <w:r>
              <w:rPr>
                <w:rFonts w:hint="eastAsia" w:cs="宋体"/>
                <w:color w:val="auto"/>
                <w:sz w:val="21"/>
                <w:szCs w:val="21"/>
                <w:highlight w:val="none"/>
              </w:rPr>
              <w:t>▲</w:t>
            </w:r>
            <w:r>
              <w:rPr>
                <w:rFonts w:hint="eastAsia" w:ascii="宋体" w:hAnsi="宋体" w:cs="仿宋_GB2312"/>
                <w:b/>
                <w:color w:val="auto"/>
                <w:szCs w:val="21"/>
                <w:highlight w:val="none"/>
              </w:rPr>
              <w:t>二、商务条款要求</w:t>
            </w:r>
          </w:p>
        </w:tc>
      </w:tr>
      <w:tr w14:paraId="41878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547" w:type="dxa"/>
            <w:gridSpan w:val="3"/>
            <w:tcBorders>
              <w:top w:val="single" w:color="auto" w:sz="4" w:space="0"/>
              <w:left w:val="single" w:color="auto" w:sz="4" w:space="0"/>
              <w:bottom w:val="single" w:color="auto" w:sz="4" w:space="0"/>
              <w:right w:val="single" w:color="auto" w:sz="4" w:space="0"/>
            </w:tcBorders>
            <w:vAlign w:val="center"/>
          </w:tcPr>
          <w:p w14:paraId="23332A64">
            <w:pPr>
              <w:spacing w:line="360" w:lineRule="auto"/>
              <w:jc w:val="center"/>
              <w:rPr>
                <w:rFonts w:hint="eastAsia" w:ascii="宋体" w:hAnsi="宋体" w:eastAsia="宋体"/>
                <w:b w:val="0"/>
                <w:bCs w:val="0"/>
                <w:color w:val="auto"/>
                <w:szCs w:val="21"/>
                <w:highlight w:val="none"/>
                <w:lang w:eastAsia="zh-CN"/>
              </w:rPr>
            </w:pPr>
            <w:r>
              <w:rPr>
                <w:rFonts w:hint="eastAsia" w:ascii="宋体" w:hAnsi="宋体"/>
                <w:b w:val="0"/>
                <w:bCs w:val="0"/>
                <w:color w:val="auto"/>
                <w:szCs w:val="21"/>
                <w:highlight w:val="none"/>
              </w:rPr>
              <w:t>合同签订</w:t>
            </w:r>
            <w:r>
              <w:rPr>
                <w:rFonts w:hint="eastAsia" w:ascii="宋体" w:hAnsi="宋体"/>
                <w:b w:val="0"/>
                <w:bCs w:val="0"/>
                <w:color w:val="auto"/>
                <w:szCs w:val="21"/>
                <w:highlight w:val="none"/>
                <w:lang w:val="en-US" w:eastAsia="zh-CN"/>
              </w:rPr>
              <w:t>期限</w:t>
            </w:r>
          </w:p>
        </w:tc>
        <w:tc>
          <w:tcPr>
            <w:tcW w:w="8614" w:type="dxa"/>
            <w:gridSpan w:val="2"/>
            <w:tcBorders>
              <w:top w:val="single" w:color="auto" w:sz="4" w:space="0"/>
              <w:left w:val="single" w:color="auto" w:sz="4" w:space="0"/>
              <w:bottom w:val="single" w:color="auto" w:sz="4" w:space="0"/>
              <w:right w:val="single" w:color="auto" w:sz="4" w:space="0"/>
            </w:tcBorders>
            <w:vAlign w:val="center"/>
          </w:tcPr>
          <w:p w14:paraId="05957760">
            <w:pPr>
              <w:spacing w:line="360" w:lineRule="auto"/>
              <w:rPr>
                <w:rFonts w:hint="eastAsia" w:ascii="宋体" w:hAnsi="宋体"/>
                <w:b w:val="0"/>
                <w:bCs w:val="0"/>
                <w:color w:val="auto"/>
                <w:szCs w:val="21"/>
                <w:highlight w:val="none"/>
              </w:rPr>
            </w:pPr>
            <w:r>
              <w:rPr>
                <w:rFonts w:hint="eastAsia" w:ascii="宋体" w:hAnsi="宋体"/>
                <w:b w:val="0"/>
                <w:bCs w:val="0"/>
                <w:color w:val="auto"/>
                <w:szCs w:val="21"/>
                <w:highlight w:val="none"/>
              </w:rPr>
              <w:t>自成交通知书发出之日起</w:t>
            </w:r>
            <w:r>
              <w:rPr>
                <w:rFonts w:hint="eastAsia" w:ascii="宋体" w:hAnsi="宋体"/>
                <w:b w:val="0"/>
                <w:bCs w:val="0"/>
                <w:color w:val="auto"/>
                <w:szCs w:val="21"/>
                <w:highlight w:val="none"/>
                <w:lang w:val="en-US" w:eastAsia="zh-CN"/>
              </w:rPr>
              <w:t>25</w:t>
            </w:r>
            <w:r>
              <w:rPr>
                <w:rFonts w:hint="eastAsia" w:ascii="宋体" w:hAnsi="宋体"/>
                <w:b w:val="0"/>
                <w:bCs w:val="0"/>
                <w:color w:val="auto"/>
                <w:szCs w:val="21"/>
                <w:highlight w:val="none"/>
              </w:rPr>
              <w:t>个日历日内</w:t>
            </w:r>
          </w:p>
        </w:tc>
      </w:tr>
      <w:tr w14:paraId="3D65A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547" w:type="dxa"/>
            <w:gridSpan w:val="3"/>
            <w:tcBorders>
              <w:top w:val="single" w:color="auto" w:sz="4" w:space="0"/>
              <w:left w:val="single" w:color="auto" w:sz="4" w:space="0"/>
              <w:bottom w:val="single" w:color="auto" w:sz="4" w:space="0"/>
              <w:right w:val="single" w:color="auto" w:sz="4" w:space="0"/>
            </w:tcBorders>
            <w:vAlign w:val="center"/>
          </w:tcPr>
          <w:p w14:paraId="479C1326">
            <w:pPr>
              <w:spacing w:line="360" w:lineRule="auto"/>
              <w:jc w:val="center"/>
              <w:rPr>
                <w:rFonts w:hint="eastAsia" w:ascii="宋体" w:hAnsi="宋体"/>
                <w:b w:val="0"/>
                <w:bCs w:val="0"/>
                <w:color w:val="auto"/>
                <w:szCs w:val="21"/>
                <w:highlight w:val="none"/>
              </w:rPr>
            </w:pPr>
            <w:r>
              <w:rPr>
                <w:rFonts w:hint="eastAsia" w:ascii="宋体" w:hAnsi="宋体"/>
                <w:b w:val="0"/>
                <w:bCs w:val="0"/>
                <w:color w:val="auto"/>
                <w:szCs w:val="21"/>
                <w:highlight w:val="none"/>
              </w:rPr>
              <w:t>质保期</w:t>
            </w:r>
          </w:p>
        </w:tc>
        <w:tc>
          <w:tcPr>
            <w:tcW w:w="8614" w:type="dxa"/>
            <w:gridSpan w:val="2"/>
            <w:tcBorders>
              <w:top w:val="single" w:color="auto" w:sz="4" w:space="0"/>
              <w:left w:val="single" w:color="auto" w:sz="4" w:space="0"/>
              <w:bottom w:val="single" w:color="auto" w:sz="4" w:space="0"/>
              <w:right w:val="single" w:color="auto" w:sz="4" w:space="0"/>
            </w:tcBorders>
            <w:vAlign w:val="center"/>
          </w:tcPr>
          <w:p w14:paraId="55C1CBD7">
            <w:pPr>
              <w:spacing w:line="360" w:lineRule="auto"/>
              <w:rPr>
                <w:rFonts w:hint="eastAsia" w:ascii="宋体" w:hAnsi="宋体"/>
                <w:b w:val="0"/>
                <w:bCs w:val="0"/>
                <w:color w:val="auto"/>
                <w:szCs w:val="21"/>
                <w:highlight w:val="none"/>
              </w:rPr>
            </w:pPr>
            <w:r>
              <w:rPr>
                <w:rFonts w:hint="eastAsia" w:ascii="宋体" w:hAnsi="宋体"/>
                <w:b w:val="0"/>
                <w:bCs w:val="0"/>
                <w:color w:val="auto"/>
                <w:szCs w:val="21"/>
                <w:highlight w:val="none"/>
              </w:rPr>
              <w:t>按批次图书自验收合格之日起1年。</w:t>
            </w:r>
          </w:p>
        </w:tc>
      </w:tr>
      <w:tr w14:paraId="02F41D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547" w:type="dxa"/>
            <w:gridSpan w:val="3"/>
            <w:tcBorders>
              <w:top w:val="single" w:color="auto" w:sz="4" w:space="0"/>
              <w:left w:val="single" w:color="auto" w:sz="4" w:space="0"/>
              <w:bottom w:val="single" w:color="auto" w:sz="4" w:space="0"/>
              <w:right w:val="single" w:color="auto" w:sz="4" w:space="0"/>
            </w:tcBorders>
            <w:vAlign w:val="center"/>
          </w:tcPr>
          <w:p w14:paraId="6B89411B">
            <w:pPr>
              <w:spacing w:line="360" w:lineRule="auto"/>
              <w:jc w:val="center"/>
              <w:rPr>
                <w:rFonts w:hint="eastAsia" w:ascii="宋体" w:hAnsi="宋体"/>
                <w:b w:val="0"/>
                <w:bCs w:val="0"/>
                <w:color w:val="auto"/>
                <w:kern w:val="0"/>
                <w:szCs w:val="21"/>
                <w:highlight w:val="none"/>
              </w:rPr>
            </w:pPr>
            <w:r>
              <w:rPr>
                <w:rFonts w:ascii="宋体" w:hAnsi="宋体"/>
                <w:b w:val="0"/>
                <w:bCs w:val="0"/>
                <w:color w:val="auto"/>
                <w:kern w:val="0"/>
                <w:szCs w:val="21"/>
                <w:highlight w:val="none"/>
              </w:rPr>
              <w:t>报价要求</w:t>
            </w:r>
          </w:p>
        </w:tc>
        <w:tc>
          <w:tcPr>
            <w:tcW w:w="8614" w:type="dxa"/>
            <w:gridSpan w:val="2"/>
            <w:tcBorders>
              <w:top w:val="single" w:color="auto" w:sz="4" w:space="0"/>
              <w:left w:val="single" w:color="auto" w:sz="4" w:space="0"/>
              <w:bottom w:val="single" w:color="auto" w:sz="4" w:space="0"/>
              <w:right w:val="single" w:color="auto" w:sz="4" w:space="0"/>
            </w:tcBorders>
          </w:tcPr>
          <w:p w14:paraId="1FD55C28">
            <w:pPr>
              <w:spacing w:line="360" w:lineRule="auto"/>
              <w:ind w:firstLine="420" w:firstLineChars="200"/>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rPr>
              <w:t>磋商报价是履行合同的最终价格，磋商报价已包括了完成本项目服务工作所需的所有费用，包括但不限于支付选题申报、审稿、国际标准ISBN书号和</w:t>
            </w:r>
            <w:r>
              <w:rPr>
                <w:rFonts w:hint="eastAsia" w:ascii="宋体" w:hAnsi="宋体"/>
                <w:b w:val="0"/>
                <w:bCs w:val="0"/>
                <w:color w:val="auto"/>
                <w:szCs w:val="21"/>
                <w:highlight w:val="none"/>
              </w:rPr>
              <w:t>中国国家版本馆CI</w:t>
            </w:r>
            <w:r>
              <w:rPr>
                <w:rFonts w:ascii="宋体" w:hAnsi="宋体"/>
                <w:b w:val="0"/>
                <w:bCs w:val="0"/>
                <w:color w:val="auto"/>
                <w:szCs w:val="21"/>
                <w:highlight w:val="none"/>
              </w:rPr>
              <w:t>P</w:t>
            </w:r>
            <w:r>
              <w:rPr>
                <w:rFonts w:hint="eastAsia" w:ascii="宋体" w:hAnsi="宋体"/>
                <w:b w:val="0"/>
                <w:bCs w:val="0"/>
                <w:color w:val="auto"/>
                <w:szCs w:val="21"/>
                <w:highlight w:val="none"/>
              </w:rPr>
              <w:t>数据</w:t>
            </w:r>
            <w:r>
              <w:rPr>
                <w:rFonts w:hint="eastAsia" w:ascii="宋体" w:hAnsi="宋体" w:cs="宋体"/>
                <w:b w:val="0"/>
                <w:bCs w:val="0"/>
                <w:color w:val="auto"/>
                <w:szCs w:val="21"/>
                <w:highlight w:val="none"/>
              </w:rPr>
              <w:t>申请、编辑、排版、校对、审读、封面设计、版式设计、印制、图书配送、税费等一切与本项目有关的费用。</w:t>
            </w:r>
          </w:p>
          <w:p w14:paraId="0F8CD4BC">
            <w:pPr>
              <w:pStyle w:val="21"/>
              <w:spacing w:line="360" w:lineRule="auto"/>
              <w:ind w:firstLine="420" w:firstLineChars="200"/>
              <w:rPr>
                <w:rFonts w:hint="eastAsia"/>
                <w:color w:val="auto"/>
                <w:highlight w:val="none"/>
              </w:rPr>
            </w:pPr>
            <w:r>
              <w:rPr>
                <w:rFonts w:hint="eastAsia" w:ascii="宋体" w:hAnsi="宋体" w:eastAsia="宋体" w:cs="宋体"/>
                <w:b w:val="0"/>
                <w:bCs/>
                <w:i w:val="0"/>
                <w:iCs w:val="0"/>
                <w:color w:val="auto"/>
                <w:kern w:val="0"/>
                <w:sz w:val="21"/>
                <w:szCs w:val="21"/>
                <w:highlight w:val="none"/>
                <w:u w:val="none"/>
                <w:lang w:val="en-US" w:eastAsia="zh-CN" w:bidi="ar"/>
              </w:rPr>
              <w:t>2.供应商磋商报价超出采购预算金额</w:t>
            </w:r>
            <w:r>
              <w:rPr>
                <w:rFonts w:hint="eastAsia" w:ascii="宋体" w:hAnsi="宋体" w:cs="宋体"/>
                <w:b w:val="0"/>
                <w:bCs/>
                <w:i w:val="0"/>
                <w:iCs w:val="0"/>
                <w:color w:val="auto"/>
                <w:kern w:val="0"/>
                <w:sz w:val="21"/>
                <w:szCs w:val="21"/>
                <w:highlight w:val="none"/>
                <w:u w:val="none"/>
                <w:lang w:val="en-US" w:eastAsia="zh-CN" w:bidi="ar"/>
              </w:rPr>
              <w:t>或最高限价</w:t>
            </w:r>
            <w:r>
              <w:rPr>
                <w:rFonts w:hint="eastAsia" w:ascii="宋体" w:hAnsi="宋体" w:eastAsia="宋体" w:cs="宋体"/>
                <w:b w:val="0"/>
                <w:bCs/>
                <w:i w:val="0"/>
                <w:iCs w:val="0"/>
                <w:color w:val="auto"/>
                <w:kern w:val="0"/>
                <w:sz w:val="21"/>
                <w:szCs w:val="21"/>
                <w:highlight w:val="none"/>
                <w:u w:val="none"/>
                <w:lang w:val="en-US" w:eastAsia="zh-CN" w:bidi="ar"/>
              </w:rPr>
              <w:t>的，按响应无效处理。</w:t>
            </w:r>
          </w:p>
        </w:tc>
      </w:tr>
      <w:tr w14:paraId="0D1194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547" w:type="dxa"/>
            <w:gridSpan w:val="3"/>
            <w:tcBorders>
              <w:top w:val="single" w:color="auto" w:sz="4" w:space="0"/>
              <w:left w:val="single" w:color="auto" w:sz="4" w:space="0"/>
              <w:bottom w:val="single" w:color="auto" w:sz="4" w:space="0"/>
              <w:right w:val="single" w:color="auto" w:sz="4" w:space="0"/>
            </w:tcBorders>
            <w:vAlign w:val="center"/>
          </w:tcPr>
          <w:p w14:paraId="30B71621">
            <w:pPr>
              <w:spacing w:line="360" w:lineRule="auto"/>
              <w:jc w:val="center"/>
              <w:rPr>
                <w:rFonts w:hint="eastAsia" w:ascii="宋体" w:hAnsi="宋体"/>
                <w:b w:val="0"/>
                <w:bCs w:val="0"/>
                <w:color w:val="auto"/>
                <w:kern w:val="0"/>
                <w:szCs w:val="21"/>
                <w:highlight w:val="none"/>
              </w:rPr>
            </w:pPr>
            <w:r>
              <w:rPr>
                <w:rFonts w:ascii="宋体" w:hAnsi="宋体"/>
                <w:b w:val="0"/>
                <w:bCs w:val="0"/>
                <w:color w:val="auto"/>
                <w:kern w:val="0"/>
                <w:szCs w:val="21"/>
                <w:highlight w:val="none"/>
              </w:rPr>
              <w:t>服务期限和提交服务成果地点</w:t>
            </w:r>
          </w:p>
        </w:tc>
        <w:tc>
          <w:tcPr>
            <w:tcW w:w="8614" w:type="dxa"/>
            <w:gridSpan w:val="2"/>
            <w:tcBorders>
              <w:top w:val="single" w:color="auto" w:sz="4" w:space="0"/>
              <w:left w:val="single" w:color="auto" w:sz="4" w:space="0"/>
              <w:bottom w:val="single" w:color="auto" w:sz="4" w:space="0"/>
              <w:right w:val="single" w:color="auto" w:sz="4" w:space="0"/>
            </w:tcBorders>
          </w:tcPr>
          <w:p w14:paraId="068ADAB1">
            <w:pPr>
              <w:spacing w:line="360" w:lineRule="auto"/>
              <w:ind w:firstLine="420" w:firstLineChars="200"/>
              <w:rPr>
                <w:rFonts w:hint="eastAsia" w:ascii="宋体" w:hAnsi="宋体"/>
                <w:b w:val="0"/>
                <w:bCs w:val="0"/>
                <w:color w:val="auto"/>
                <w:szCs w:val="21"/>
                <w:highlight w:val="none"/>
              </w:rPr>
            </w:pPr>
            <w:r>
              <w:rPr>
                <w:rFonts w:hint="eastAsia" w:ascii="宋体" w:hAnsi="宋体"/>
                <w:b w:val="0"/>
                <w:bCs w:val="0"/>
                <w:color w:val="auto"/>
                <w:szCs w:val="21"/>
                <w:highlight w:val="none"/>
              </w:rPr>
              <w:t>1.服务期限：自合同签订之日起开始实施服务，截至本项目所有图书均出版发行并完成所有寄送服务为止。</w:t>
            </w:r>
          </w:p>
          <w:p w14:paraId="139249B0">
            <w:pPr>
              <w:spacing w:line="360" w:lineRule="auto"/>
              <w:ind w:firstLine="420" w:firstLineChars="200"/>
              <w:rPr>
                <w:rFonts w:hint="eastAsia" w:ascii="宋体" w:hAnsi="宋体"/>
                <w:b w:val="0"/>
                <w:bCs w:val="0"/>
                <w:color w:val="auto"/>
                <w:szCs w:val="21"/>
                <w:highlight w:val="none"/>
              </w:rPr>
            </w:pPr>
            <w:r>
              <w:rPr>
                <w:rFonts w:hint="eastAsia" w:ascii="宋体" w:hAnsi="宋体"/>
                <w:b w:val="0"/>
                <w:bCs w:val="0"/>
                <w:color w:val="auto"/>
                <w:szCs w:val="21"/>
                <w:highlight w:val="none"/>
              </w:rPr>
              <w:t>2.服务地点：广西南宁市采购人指定地点。</w:t>
            </w:r>
          </w:p>
        </w:tc>
      </w:tr>
      <w:tr w14:paraId="724C2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547" w:type="dxa"/>
            <w:gridSpan w:val="3"/>
            <w:tcBorders>
              <w:top w:val="single" w:color="auto" w:sz="4" w:space="0"/>
              <w:left w:val="single" w:color="auto" w:sz="4" w:space="0"/>
              <w:bottom w:val="single" w:color="auto" w:sz="4" w:space="0"/>
              <w:right w:val="single" w:color="auto" w:sz="4" w:space="0"/>
            </w:tcBorders>
            <w:vAlign w:val="center"/>
          </w:tcPr>
          <w:p w14:paraId="0678D0CE">
            <w:pPr>
              <w:spacing w:line="360" w:lineRule="auto"/>
              <w:jc w:val="center"/>
              <w:rPr>
                <w:rFonts w:hint="eastAsia" w:ascii="宋体" w:hAnsi="宋体"/>
                <w:b w:val="0"/>
                <w:bCs w:val="0"/>
                <w:color w:val="auto"/>
                <w:kern w:val="0"/>
                <w:szCs w:val="21"/>
                <w:highlight w:val="none"/>
              </w:rPr>
            </w:pPr>
            <w:r>
              <w:rPr>
                <w:rFonts w:ascii="宋体" w:hAnsi="宋体"/>
                <w:b w:val="0"/>
                <w:bCs w:val="0"/>
                <w:color w:val="auto"/>
                <w:kern w:val="0"/>
                <w:szCs w:val="21"/>
                <w:highlight w:val="none"/>
              </w:rPr>
              <w:t>付款方式</w:t>
            </w:r>
          </w:p>
        </w:tc>
        <w:tc>
          <w:tcPr>
            <w:tcW w:w="8614" w:type="dxa"/>
            <w:gridSpan w:val="2"/>
            <w:tcBorders>
              <w:top w:val="single" w:color="auto" w:sz="4" w:space="0"/>
              <w:left w:val="single" w:color="auto" w:sz="4" w:space="0"/>
              <w:bottom w:val="single" w:color="auto" w:sz="4" w:space="0"/>
              <w:right w:val="single" w:color="auto" w:sz="4" w:space="0"/>
            </w:tcBorders>
          </w:tcPr>
          <w:p w14:paraId="6A945EE9">
            <w:pPr>
              <w:spacing w:line="360" w:lineRule="auto"/>
              <w:rPr>
                <w:rFonts w:hint="eastAsia" w:ascii="宋体" w:hAnsi="宋体"/>
                <w:b w:val="0"/>
                <w:bCs w:val="0"/>
                <w:color w:val="auto"/>
                <w:szCs w:val="21"/>
                <w:highlight w:val="none"/>
                <w:shd w:val="clear" w:color="auto" w:fill="FFFFFF"/>
              </w:rPr>
            </w:pPr>
            <w:r>
              <w:rPr>
                <w:rFonts w:hint="eastAsia" w:ascii="宋体" w:hAnsi="宋体" w:cs="宋体"/>
                <w:b w:val="0"/>
                <w:bCs w:val="0"/>
                <w:color w:val="auto"/>
                <w:szCs w:val="21"/>
                <w:highlight w:val="none"/>
              </w:rPr>
              <w:t>合同签订后15个工作日内，采购人一次性向成交供应商支付全部合同款，成交供应商收到全部合同款后15个工作日内向采购人提供真实、有效、合法的正式发票</w:t>
            </w:r>
            <w:r>
              <w:rPr>
                <w:rFonts w:ascii="宋体" w:hAnsi="宋体" w:cs="宋体"/>
                <w:b w:val="0"/>
                <w:bCs w:val="0"/>
                <w:color w:val="auto"/>
                <w:szCs w:val="21"/>
                <w:highlight w:val="none"/>
              </w:rPr>
              <w:t>。</w:t>
            </w:r>
          </w:p>
        </w:tc>
      </w:tr>
      <w:tr w14:paraId="0A3AE8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547" w:type="dxa"/>
            <w:gridSpan w:val="3"/>
            <w:tcBorders>
              <w:top w:val="single" w:color="auto" w:sz="4" w:space="0"/>
              <w:left w:val="single" w:color="auto" w:sz="4" w:space="0"/>
              <w:bottom w:val="single" w:color="auto" w:sz="4" w:space="0"/>
              <w:right w:val="single" w:color="auto" w:sz="4" w:space="0"/>
            </w:tcBorders>
            <w:vAlign w:val="center"/>
          </w:tcPr>
          <w:p w14:paraId="444F39CD">
            <w:pPr>
              <w:spacing w:line="360" w:lineRule="auto"/>
              <w:jc w:val="center"/>
              <w:rPr>
                <w:rFonts w:hint="eastAsia" w:ascii="宋体" w:hAnsi="宋体"/>
                <w:b w:val="0"/>
                <w:bCs w:val="0"/>
                <w:color w:val="auto"/>
                <w:kern w:val="0"/>
                <w:szCs w:val="21"/>
                <w:highlight w:val="none"/>
              </w:rPr>
            </w:pPr>
            <w:r>
              <w:rPr>
                <w:rFonts w:hint="eastAsia" w:ascii="宋体" w:hAnsi="宋体"/>
                <w:b w:val="0"/>
                <w:bCs w:val="0"/>
                <w:color w:val="auto"/>
                <w:szCs w:val="21"/>
                <w:highlight w:val="none"/>
              </w:rPr>
              <w:t>售后服务保障响应时间</w:t>
            </w:r>
          </w:p>
        </w:tc>
        <w:tc>
          <w:tcPr>
            <w:tcW w:w="8614" w:type="dxa"/>
            <w:gridSpan w:val="2"/>
            <w:tcBorders>
              <w:top w:val="single" w:color="auto" w:sz="4" w:space="0"/>
              <w:left w:val="single" w:color="auto" w:sz="4" w:space="0"/>
              <w:bottom w:val="single" w:color="auto" w:sz="4" w:space="0"/>
              <w:right w:val="single" w:color="auto" w:sz="4" w:space="0"/>
            </w:tcBorders>
          </w:tcPr>
          <w:p w14:paraId="390B2973">
            <w:pPr>
              <w:spacing w:line="360" w:lineRule="auto"/>
              <w:ind w:firstLine="420" w:firstLineChars="200"/>
              <w:rPr>
                <w:rFonts w:hint="eastAsia" w:ascii="宋体" w:hAnsi="宋体" w:cs="宋体"/>
                <w:b w:val="0"/>
                <w:bCs w:val="0"/>
                <w:color w:val="auto"/>
                <w:szCs w:val="21"/>
                <w:highlight w:val="none"/>
              </w:rPr>
            </w:pPr>
            <w:r>
              <w:rPr>
                <w:rFonts w:hint="eastAsia" w:ascii="宋体" w:hAnsi="宋体"/>
                <w:b w:val="0"/>
                <w:bCs w:val="0"/>
                <w:color w:val="auto"/>
                <w:szCs w:val="21"/>
                <w:highlight w:val="none"/>
              </w:rPr>
              <w:t>服务期限内接到采购人关于质量问题的通知后2小时内，供应商要到达采购人所在地处理，3天内负责更换有质量问题的图书。</w:t>
            </w:r>
          </w:p>
        </w:tc>
      </w:tr>
      <w:tr w14:paraId="20DB59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547" w:type="dxa"/>
            <w:gridSpan w:val="3"/>
            <w:tcBorders>
              <w:top w:val="single" w:color="auto" w:sz="4" w:space="0"/>
              <w:left w:val="single" w:color="auto" w:sz="4" w:space="0"/>
              <w:bottom w:val="single" w:color="auto" w:sz="4" w:space="0"/>
              <w:right w:val="single" w:color="auto" w:sz="4" w:space="0"/>
            </w:tcBorders>
            <w:vAlign w:val="center"/>
          </w:tcPr>
          <w:p w14:paraId="087D6FC2">
            <w:pPr>
              <w:spacing w:line="360" w:lineRule="auto"/>
              <w:jc w:val="center"/>
              <w:rPr>
                <w:rFonts w:hint="eastAsia" w:ascii="宋体" w:hAnsi="宋体"/>
                <w:b w:val="0"/>
                <w:bCs w:val="0"/>
                <w:color w:val="auto"/>
                <w:szCs w:val="21"/>
                <w:highlight w:val="none"/>
              </w:rPr>
            </w:pPr>
            <w:r>
              <w:rPr>
                <w:rFonts w:hint="eastAsia" w:ascii="宋体" w:hAnsi="宋体"/>
                <w:b w:val="0"/>
                <w:bCs w:val="0"/>
                <w:color w:val="auto"/>
                <w:szCs w:val="21"/>
                <w:highlight w:val="none"/>
              </w:rPr>
              <w:t>特殊说明</w:t>
            </w:r>
          </w:p>
        </w:tc>
        <w:tc>
          <w:tcPr>
            <w:tcW w:w="8614" w:type="dxa"/>
            <w:gridSpan w:val="2"/>
            <w:tcBorders>
              <w:top w:val="single" w:color="auto" w:sz="4" w:space="0"/>
              <w:left w:val="single" w:color="auto" w:sz="4" w:space="0"/>
              <w:bottom w:val="single" w:color="auto" w:sz="4" w:space="0"/>
              <w:right w:val="single" w:color="auto" w:sz="4" w:space="0"/>
            </w:tcBorders>
            <w:vAlign w:val="center"/>
          </w:tcPr>
          <w:p w14:paraId="791BEFF3">
            <w:pPr>
              <w:spacing w:line="360" w:lineRule="auto"/>
              <w:ind w:firstLine="420" w:firstLineChars="200"/>
              <w:rPr>
                <w:rFonts w:hint="eastAsia" w:ascii="宋体" w:hAnsi="宋体"/>
                <w:b w:val="0"/>
                <w:bCs w:val="0"/>
                <w:color w:val="auto"/>
                <w:szCs w:val="21"/>
                <w:highlight w:val="none"/>
              </w:rPr>
            </w:pPr>
            <w:r>
              <w:rPr>
                <w:rFonts w:hint="eastAsia" w:ascii="宋体" w:hAnsi="宋体"/>
                <w:b w:val="0"/>
                <w:bCs w:val="0"/>
                <w:color w:val="auto"/>
                <w:szCs w:val="21"/>
                <w:highlight w:val="none"/>
              </w:rPr>
              <w:t>在本项目的履行过程中，如受不可抗力因素影响（指无法预见、不可避免的事件，包括上级主管部门及政府机构的规定、政策等原因，要求对项目履行重大选题备案、书稿内容进行审核审批等），致使双方不能履行其在本合同项下的全部或部分义务，影响上述作品按期出版的，则该遭受不可抗力的一方不承担违约责任。</w:t>
            </w:r>
          </w:p>
        </w:tc>
      </w:tr>
      <w:tr w14:paraId="4196D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547" w:type="dxa"/>
            <w:gridSpan w:val="3"/>
            <w:tcBorders>
              <w:top w:val="single" w:color="auto" w:sz="4" w:space="0"/>
              <w:left w:val="single" w:color="auto" w:sz="4" w:space="0"/>
              <w:bottom w:val="single" w:color="auto" w:sz="4" w:space="0"/>
              <w:right w:val="single" w:color="auto" w:sz="4" w:space="0"/>
            </w:tcBorders>
            <w:vAlign w:val="center"/>
          </w:tcPr>
          <w:p w14:paraId="02B463F0">
            <w:pPr>
              <w:spacing w:line="360" w:lineRule="auto"/>
              <w:jc w:val="center"/>
              <w:rPr>
                <w:rFonts w:hint="eastAsia" w:ascii="宋体" w:hAnsi="宋体"/>
                <w:b w:val="0"/>
                <w:bCs w:val="0"/>
                <w:color w:val="auto"/>
                <w:szCs w:val="21"/>
                <w:highlight w:val="none"/>
              </w:rPr>
            </w:pPr>
            <w:r>
              <w:rPr>
                <w:rFonts w:hint="eastAsia" w:ascii="宋体" w:hAnsi="宋体"/>
                <w:b w:val="0"/>
                <w:bCs w:val="0"/>
                <w:color w:val="auto"/>
                <w:szCs w:val="21"/>
                <w:highlight w:val="none"/>
              </w:rPr>
              <w:t>服务承诺</w:t>
            </w:r>
          </w:p>
        </w:tc>
        <w:tc>
          <w:tcPr>
            <w:tcW w:w="8614" w:type="dxa"/>
            <w:gridSpan w:val="2"/>
            <w:tcBorders>
              <w:top w:val="single" w:color="auto" w:sz="4" w:space="0"/>
              <w:left w:val="single" w:color="auto" w:sz="4" w:space="0"/>
              <w:bottom w:val="single" w:color="auto" w:sz="4" w:space="0"/>
              <w:right w:val="single" w:color="auto" w:sz="4" w:space="0"/>
            </w:tcBorders>
            <w:vAlign w:val="center"/>
          </w:tcPr>
          <w:p w14:paraId="44F0C8F6">
            <w:pPr>
              <w:spacing w:line="360" w:lineRule="auto"/>
              <w:ind w:firstLine="420" w:firstLineChars="200"/>
              <w:rPr>
                <w:rFonts w:hint="eastAsia" w:ascii="宋体" w:hAnsi="宋体"/>
                <w:b w:val="0"/>
                <w:bCs w:val="0"/>
                <w:color w:val="auto"/>
                <w:szCs w:val="21"/>
                <w:highlight w:val="none"/>
              </w:rPr>
            </w:pPr>
            <w:r>
              <w:rPr>
                <w:rFonts w:hint="eastAsia" w:ascii="宋体" w:hAnsi="宋体"/>
                <w:b w:val="0"/>
                <w:bCs w:val="0"/>
                <w:color w:val="auto"/>
                <w:szCs w:val="21"/>
                <w:highlight w:val="none"/>
              </w:rPr>
              <w:t>1.供应商须承诺能按照国家和自治区新闻出版有关规定及国家相关法律法规的要求，履行有关报批手续。</w:t>
            </w:r>
          </w:p>
          <w:p w14:paraId="36748F66">
            <w:pPr>
              <w:spacing w:line="360" w:lineRule="auto"/>
              <w:ind w:firstLine="420" w:firstLineChars="200"/>
              <w:rPr>
                <w:rFonts w:hint="eastAsia" w:ascii="宋体" w:hAnsi="宋体"/>
                <w:b w:val="0"/>
                <w:bCs w:val="0"/>
                <w:color w:val="auto"/>
                <w:szCs w:val="21"/>
                <w:highlight w:val="none"/>
              </w:rPr>
            </w:pPr>
            <w:r>
              <w:rPr>
                <w:rFonts w:hint="eastAsia" w:ascii="宋体" w:hAnsi="宋体"/>
                <w:b w:val="0"/>
                <w:bCs w:val="0"/>
                <w:color w:val="auto"/>
                <w:szCs w:val="21"/>
                <w:highlight w:val="none"/>
              </w:rPr>
              <w:t>2.当发生因不可抗力因素影响致使双方不能履行其在本合同项下的全部或部分义务的情况时，采购人与成交供应商另行商议退回未完成的服务内容所涉及的金额。</w:t>
            </w:r>
          </w:p>
        </w:tc>
      </w:tr>
      <w:tr w14:paraId="75A7F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0161" w:type="dxa"/>
            <w:gridSpan w:val="5"/>
            <w:tcBorders>
              <w:top w:val="single" w:color="auto" w:sz="4" w:space="0"/>
              <w:left w:val="single" w:color="auto" w:sz="4" w:space="0"/>
              <w:bottom w:val="single" w:color="auto" w:sz="4" w:space="0"/>
              <w:right w:val="single" w:color="auto" w:sz="4" w:space="0"/>
            </w:tcBorders>
          </w:tcPr>
          <w:p w14:paraId="31A9E2A8">
            <w:pPr>
              <w:spacing w:line="360" w:lineRule="auto"/>
              <w:rPr>
                <w:rFonts w:hint="eastAsia" w:ascii="宋体" w:hAnsi="宋体"/>
                <w:color w:val="auto"/>
                <w:szCs w:val="21"/>
                <w:highlight w:val="none"/>
              </w:rPr>
            </w:pPr>
            <w:r>
              <w:rPr>
                <w:rFonts w:hint="eastAsia" w:ascii="宋体" w:hAnsi="宋体" w:cs="宋体"/>
                <w:b/>
                <w:color w:val="auto"/>
                <w:szCs w:val="21"/>
                <w:highlight w:val="none"/>
              </w:rPr>
              <w:t>三、采购人对项目的其他要求及说明</w:t>
            </w:r>
          </w:p>
        </w:tc>
      </w:tr>
      <w:tr w14:paraId="4858BB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547" w:type="dxa"/>
            <w:gridSpan w:val="3"/>
            <w:tcBorders>
              <w:top w:val="single" w:color="auto" w:sz="4" w:space="0"/>
              <w:left w:val="single" w:color="auto" w:sz="4" w:space="0"/>
              <w:bottom w:val="single" w:color="auto" w:sz="4" w:space="0"/>
              <w:right w:val="single" w:color="auto" w:sz="4" w:space="0"/>
            </w:tcBorders>
            <w:vAlign w:val="center"/>
          </w:tcPr>
          <w:p w14:paraId="598797B6">
            <w:pPr>
              <w:spacing w:line="360" w:lineRule="auto"/>
              <w:ind w:firstLine="34"/>
              <w:jc w:val="center"/>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验收标准</w:t>
            </w:r>
          </w:p>
        </w:tc>
        <w:tc>
          <w:tcPr>
            <w:tcW w:w="8614" w:type="dxa"/>
            <w:gridSpan w:val="2"/>
            <w:tcBorders>
              <w:top w:val="single" w:color="auto" w:sz="4" w:space="0"/>
              <w:left w:val="single" w:color="auto" w:sz="4" w:space="0"/>
              <w:bottom w:val="single" w:color="auto" w:sz="4" w:space="0"/>
              <w:right w:val="single" w:color="auto" w:sz="4" w:space="0"/>
            </w:tcBorders>
            <w:vAlign w:val="center"/>
          </w:tcPr>
          <w:p w14:paraId="0DD2B7DA">
            <w:pPr>
              <w:tabs>
                <w:tab w:val="left" w:pos="180"/>
                <w:tab w:val="left" w:pos="162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1.以《</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文件》及《采购合同书》为准进行最终验收。验收过程中所产生的一切费用均由成交供应商承担。报价时应考虑相关费用。</w:t>
            </w:r>
          </w:p>
          <w:p w14:paraId="07A2E8AC">
            <w:pPr>
              <w:tabs>
                <w:tab w:val="left" w:pos="180"/>
                <w:tab w:val="left" w:pos="1620"/>
              </w:tabs>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2.在项目验收过程中，采购人将同时按照采购文件及供应商响应文件承诺的条款进行逐项验收，如项目验收不合格，由成交供应商按要求整改后再行验收，以及给采购单位造成的损失等费用由成交供应商承担。连续两次项目验收不合格的，或发现成交供应商在响应文件中有弄虚作假的行为，或在响应文件中有针对技术商务条款有虚假响应情况的，采购单位将不予验收，并追究成交供应商的责任，由此带来的一切损失由成交供应商自行承担。</w:t>
            </w:r>
          </w:p>
        </w:tc>
      </w:tr>
      <w:tr w14:paraId="19A52D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547" w:type="dxa"/>
            <w:gridSpan w:val="3"/>
            <w:tcBorders>
              <w:top w:val="single" w:color="auto" w:sz="4" w:space="0"/>
              <w:left w:val="single" w:color="auto" w:sz="4" w:space="0"/>
              <w:bottom w:val="single" w:color="auto" w:sz="4" w:space="0"/>
              <w:right w:val="single" w:color="auto" w:sz="4" w:space="0"/>
            </w:tcBorders>
            <w:vAlign w:val="center"/>
          </w:tcPr>
          <w:p w14:paraId="6A32AE06">
            <w:pPr>
              <w:spacing w:line="360" w:lineRule="auto"/>
              <w:jc w:val="center"/>
              <w:rPr>
                <w:rFonts w:hint="eastAsia" w:ascii="宋体" w:hAnsi="宋体"/>
                <w:color w:val="auto"/>
                <w:szCs w:val="21"/>
                <w:highlight w:val="none"/>
              </w:rPr>
            </w:pPr>
            <w:r>
              <w:rPr>
                <w:rFonts w:hint="eastAsia" w:ascii="宋体" w:hAnsi="宋体"/>
                <w:color w:val="auto"/>
                <w:szCs w:val="21"/>
                <w:highlight w:val="none"/>
              </w:rPr>
              <w:t>项目实施方案</w:t>
            </w:r>
          </w:p>
        </w:tc>
        <w:tc>
          <w:tcPr>
            <w:tcW w:w="8614" w:type="dxa"/>
            <w:gridSpan w:val="2"/>
            <w:tcBorders>
              <w:top w:val="single" w:color="auto" w:sz="4" w:space="0"/>
              <w:left w:val="single" w:color="auto" w:sz="4" w:space="0"/>
              <w:bottom w:val="single" w:color="auto" w:sz="4" w:space="0"/>
              <w:right w:val="single" w:color="auto" w:sz="4" w:space="0"/>
            </w:tcBorders>
            <w:vAlign w:val="center"/>
          </w:tcPr>
          <w:p w14:paraId="0C9C2EA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磋商供应商可根据自身优势在响应本采购文件要求的基础上提供有建设性的且适用项目实际的方案（包括但不限于：</w:t>
            </w:r>
            <w:r>
              <w:rPr>
                <w:rFonts w:hint="eastAsia" w:ascii="宋体" w:hAnsi="宋体" w:cs="宋体"/>
                <w:color w:val="auto"/>
                <w:highlight w:val="none"/>
              </w:rPr>
              <w:t>服务方案</w:t>
            </w:r>
            <w:r>
              <w:rPr>
                <w:rFonts w:hint="eastAsia" w:ascii="宋体" w:hAnsi="宋体"/>
                <w:bCs/>
                <w:color w:val="auto"/>
                <w:kern w:val="0"/>
                <w:szCs w:val="21"/>
                <w:highlight w:val="none"/>
              </w:rPr>
              <w:t>、质量控制方案</w:t>
            </w:r>
            <w:r>
              <w:rPr>
                <w:rFonts w:hint="eastAsia" w:ascii="宋体" w:hAnsi="宋体"/>
                <w:color w:val="auto"/>
                <w:szCs w:val="21"/>
                <w:highlight w:val="none"/>
              </w:rPr>
              <w:t>）。</w:t>
            </w:r>
          </w:p>
          <w:p w14:paraId="57C5D00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如有，请提供履约能力相关的</w:t>
            </w:r>
            <w:r>
              <w:rPr>
                <w:rFonts w:hint="eastAsia" w:ascii="宋体" w:hAnsi="宋体" w:cs="Courier New"/>
                <w:bCs/>
                <w:color w:val="auto"/>
                <w:szCs w:val="21"/>
                <w:highlight w:val="none"/>
              </w:rPr>
              <w:t>人员资质、</w:t>
            </w:r>
            <w:r>
              <w:rPr>
                <w:rFonts w:hint="eastAsia" w:ascii="宋体" w:hAnsi="宋体" w:cs="Tahoma"/>
                <w:color w:val="auto"/>
                <w:kern w:val="0"/>
                <w:szCs w:val="21"/>
                <w:highlight w:val="none"/>
              </w:rPr>
              <w:t>业绩信誉等</w:t>
            </w:r>
            <w:r>
              <w:rPr>
                <w:rFonts w:hint="eastAsia" w:ascii="宋体" w:hAnsi="宋体"/>
                <w:color w:val="auto"/>
                <w:szCs w:val="21"/>
                <w:highlight w:val="none"/>
              </w:rPr>
              <w:t>证明材料。</w:t>
            </w:r>
          </w:p>
        </w:tc>
      </w:tr>
    </w:tbl>
    <w:p w14:paraId="7BAF58C7">
      <w:pPr>
        <w:rPr>
          <w:color w:val="auto"/>
          <w:highlight w:val="none"/>
        </w:rPr>
      </w:pPr>
      <w:r>
        <w:rPr>
          <w:rFonts w:hint="eastAsia"/>
          <w:color w:val="auto"/>
          <w:highlight w:val="none"/>
        </w:rPr>
        <w:br w:type="page"/>
      </w:r>
    </w:p>
    <w:p w14:paraId="7E1FE33E">
      <w:pPr>
        <w:spacing w:line="360" w:lineRule="exact"/>
        <w:jc w:val="left"/>
        <w:rPr>
          <w:rFonts w:hint="eastAsia"/>
          <w:color w:val="auto"/>
          <w:highlight w:val="none"/>
          <w:lang w:eastAsia="zh-CN"/>
        </w:rPr>
      </w:pPr>
      <w:r>
        <w:rPr>
          <w:rFonts w:hint="eastAsia"/>
          <w:color w:val="auto"/>
          <w:highlight w:val="none"/>
        </w:rPr>
        <w:t>分标3：</w:t>
      </w:r>
      <w:r>
        <w:rPr>
          <w:rFonts w:hint="eastAsia"/>
          <w:color w:val="auto"/>
          <w:highlight w:val="none"/>
          <w:lang w:eastAsia="zh-CN"/>
        </w:rPr>
        <w:t>2025广西艺术作品展览——第十三届广西书法篆刻作品展项目运营服务</w:t>
      </w:r>
    </w:p>
    <w:p w14:paraId="3182AF90">
      <w:pPr>
        <w:spacing w:line="360" w:lineRule="exact"/>
        <w:jc w:val="left"/>
        <w:rPr>
          <w:rFonts w:hint="eastAsia"/>
          <w:color w:val="auto"/>
          <w:highlight w:val="none"/>
        </w:rPr>
      </w:pPr>
      <w:r>
        <w:rPr>
          <w:rFonts w:hint="eastAsia"/>
          <w:color w:val="auto"/>
          <w:highlight w:val="none"/>
        </w:rPr>
        <w:t>预算金额：</w:t>
      </w:r>
      <w:r>
        <w:rPr>
          <w:rFonts w:hint="eastAsia" w:ascii="宋体" w:hAnsi="宋体"/>
          <w:color w:val="auto"/>
          <w:szCs w:val="21"/>
          <w:highlight w:val="none"/>
          <w:lang w:val="en-US" w:eastAsia="zh-CN"/>
        </w:rPr>
        <w:t>265000.00</w:t>
      </w:r>
      <w:r>
        <w:rPr>
          <w:rFonts w:hint="eastAsia"/>
          <w:color w:val="auto"/>
          <w:highlight w:val="none"/>
        </w:rPr>
        <w:t>元</w:t>
      </w:r>
    </w:p>
    <w:p w14:paraId="3A6DE687">
      <w:pPr>
        <w:spacing w:line="360" w:lineRule="exact"/>
        <w:jc w:val="left"/>
        <w:rPr>
          <w:rFonts w:hint="eastAsia"/>
          <w:color w:val="auto"/>
          <w:highlight w:val="none"/>
        </w:rPr>
      </w:pPr>
      <w:r>
        <w:rPr>
          <w:rFonts w:hint="eastAsia"/>
          <w:color w:val="auto"/>
          <w:highlight w:val="none"/>
        </w:rPr>
        <w:t>最高限价：</w:t>
      </w:r>
      <w:r>
        <w:rPr>
          <w:rFonts w:hint="eastAsia" w:ascii="宋体" w:hAnsi="宋体"/>
          <w:color w:val="auto"/>
          <w:szCs w:val="21"/>
          <w:highlight w:val="none"/>
          <w:lang w:val="en-US" w:eastAsia="zh-CN"/>
        </w:rPr>
        <w:t>265000.00</w:t>
      </w:r>
      <w:r>
        <w:rPr>
          <w:rFonts w:hint="eastAsia"/>
          <w:color w:val="auto"/>
          <w:highlight w:val="none"/>
        </w:rPr>
        <w:t>元</w:t>
      </w:r>
    </w:p>
    <w:p w14:paraId="6D6A802C">
      <w:pPr>
        <w:spacing w:line="360" w:lineRule="exact"/>
        <w:jc w:val="left"/>
        <w:rPr>
          <w:rFonts w:hint="eastAsia" w:eastAsia="宋体"/>
          <w:color w:val="auto"/>
          <w:highlight w:val="none"/>
          <w:lang w:eastAsia="zh-CN"/>
        </w:rPr>
      </w:pPr>
      <w:r>
        <w:rPr>
          <w:rFonts w:hint="eastAsia"/>
          <w:color w:val="auto"/>
          <w:highlight w:val="none"/>
          <w:lang w:val="en-US" w:eastAsia="zh-CN"/>
        </w:rPr>
        <w:t>采购标的对应的中小企业划分标准所属行业：租赁和商务服务业</w:t>
      </w:r>
    </w:p>
    <w:tbl>
      <w:tblPr>
        <w:tblStyle w:val="3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799"/>
        <w:gridCol w:w="867"/>
        <w:gridCol w:w="7585"/>
      </w:tblGrid>
      <w:tr w14:paraId="33A12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4" w:type="dxa"/>
            <w:gridSpan w:val="4"/>
            <w:tcBorders>
              <w:top w:val="single" w:color="auto" w:sz="4" w:space="0"/>
              <w:left w:val="single" w:color="auto" w:sz="4" w:space="0"/>
              <w:bottom w:val="single" w:color="auto" w:sz="4" w:space="0"/>
              <w:right w:val="single" w:color="auto" w:sz="4" w:space="0"/>
            </w:tcBorders>
            <w:noWrap w:val="0"/>
            <w:vAlign w:val="center"/>
          </w:tcPr>
          <w:p w14:paraId="685932D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一、采购内容及要求</w:t>
            </w:r>
          </w:p>
        </w:tc>
      </w:tr>
      <w:tr w14:paraId="1ED90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14:paraId="58C1E964">
            <w:pPr>
              <w:spacing w:line="360" w:lineRule="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项号</w:t>
            </w:r>
          </w:p>
        </w:tc>
        <w:tc>
          <w:tcPr>
            <w:tcW w:w="799" w:type="dxa"/>
            <w:tcBorders>
              <w:top w:val="single" w:color="auto" w:sz="4" w:space="0"/>
              <w:left w:val="single" w:color="auto" w:sz="4" w:space="0"/>
              <w:bottom w:val="single" w:color="auto" w:sz="4" w:space="0"/>
              <w:right w:val="single" w:color="auto" w:sz="4" w:space="0"/>
            </w:tcBorders>
            <w:noWrap w:val="0"/>
            <w:vAlign w:val="center"/>
          </w:tcPr>
          <w:p w14:paraId="7C1A8DEF">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标的名称</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18058869">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数量及单位</w:t>
            </w:r>
          </w:p>
        </w:tc>
        <w:tc>
          <w:tcPr>
            <w:tcW w:w="7585" w:type="dxa"/>
            <w:tcBorders>
              <w:top w:val="single" w:color="auto" w:sz="4" w:space="0"/>
              <w:left w:val="single" w:color="auto" w:sz="4" w:space="0"/>
              <w:bottom w:val="single" w:color="auto" w:sz="4" w:space="0"/>
              <w:right w:val="single" w:color="auto" w:sz="4" w:space="0"/>
            </w:tcBorders>
            <w:noWrap w:val="0"/>
            <w:vAlign w:val="center"/>
          </w:tcPr>
          <w:p w14:paraId="66465040">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服务内容及要求</w:t>
            </w:r>
          </w:p>
        </w:tc>
      </w:tr>
      <w:tr w14:paraId="0BBFA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14:paraId="17375666">
            <w:pPr>
              <w:spacing w:line="36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799" w:type="dxa"/>
            <w:tcBorders>
              <w:top w:val="single" w:color="auto" w:sz="4" w:space="0"/>
              <w:left w:val="single" w:color="auto" w:sz="4" w:space="0"/>
              <w:bottom w:val="single" w:color="auto" w:sz="4" w:space="0"/>
              <w:right w:val="single" w:color="auto" w:sz="4" w:space="0"/>
            </w:tcBorders>
            <w:noWrap w:val="0"/>
            <w:vAlign w:val="center"/>
          </w:tcPr>
          <w:p w14:paraId="73AE49E1">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202</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广西艺术作品</w:t>
            </w:r>
            <w:r>
              <w:rPr>
                <w:rFonts w:hint="eastAsia" w:ascii="宋体" w:hAnsi="宋体" w:eastAsia="宋体" w:cs="宋体"/>
                <w:b w:val="0"/>
                <w:bCs/>
                <w:color w:val="auto"/>
                <w:sz w:val="21"/>
                <w:szCs w:val="21"/>
                <w:highlight w:val="none"/>
                <w:lang w:val="en-US" w:eastAsia="zh-CN"/>
              </w:rPr>
              <w:t>展览</w:t>
            </w:r>
            <w:r>
              <w:rPr>
                <w:rFonts w:hint="eastAsia" w:ascii="宋体" w:hAnsi="宋体" w:eastAsia="宋体" w:cs="宋体"/>
                <w:b w:val="0"/>
                <w:bCs/>
                <w:color w:val="auto"/>
                <w:sz w:val="21"/>
                <w:szCs w:val="21"/>
                <w:highlight w:val="none"/>
              </w:rPr>
              <w:t>——第十</w:t>
            </w:r>
            <w:r>
              <w:rPr>
                <w:rFonts w:hint="eastAsia" w:ascii="宋体" w:hAnsi="宋体" w:eastAsia="宋体" w:cs="宋体"/>
                <w:b w:val="0"/>
                <w:bCs/>
                <w:color w:val="auto"/>
                <w:sz w:val="21"/>
                <w:szCs w:val="21"/>
                <w:highlight w:val="none"/>
                <w:lang w:eastAsia="zh-CN"/>
              </w:rPr>
              <w:t>三</w:t>
            </w:r>
            <w:r>
              <w:rPr>
                <w:rFonts w:hint="eastAsia" w:ascii="宋体" w:hAnsi="宋体" w:eastAsia="宋体" w:cs="宋体"/>
                <w:b w:val="0"/>
                <w:bCs/>
                <w:color w:val="auto"/>
                <w:sz w:val="21"/>
                <w:szCs w:val="21"/>
                <w:highlight w:val="none"/>
              </w:rPr>
              <w:t>届广西书法篆刻作品展</w:t>
            </w:r>
            <w:r>
              <w:rPr>
                <w:rFonts w:hint="eastAsia" w:ascii="宋体" w:hAnsi="宋体" w:eastAsia="宋体" w:cs="宋体"/>
                <w:b w:val="0"/>
                <w:bCs/>
                <w:color w:val="auto"/>
                <w:sz w:val="21"/>
                <w:szCs w:val="21"/>
                <w:highlight w:val="none"/>
                <w:lang w:eastAsia="zh-CN"/>
              </w:rPr>
              <w:t>项目</w:t>
            </w:r>
            <w:r>
              <w:rPr>
                <w:rFonts w:hint="eastAsia" w:ascii="宋体" w:hAnsi="宋体" w:eastAsia="宋体" w:cs="宋体"/>
                <w:b w:val="0"/>
                <w:bCs/>
                <w:color w:val="auto"/>
                <w:sz w:val="21"/>
                <w:szCs w:val="21"/>
                <w:highlight w:val="none"/>
              </w:rPr>
              <w:t>运营服务</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258B98AE">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1项</w:t>
            </w:r>
          </w:p>
        </w:tc>
        <w:tc>
          <w:tcPr>
            <w:tcW w:w="7585" w:type="dxa"/>
            <w:tcBorders>
              <w:top w:val="single" w:color="auto" w:sz="4" w:space="0"/>
              <w:left w:val="single" w:color="auto" w:sz="4" w:space="0"/>
              <w:bottom w:val="single" w:color="auto" w:sz="4" w:space="0"/>
              <w:right w:val="single" w:color="auto" w:sz="4" w:space="0"/>
            </w:tcBorders>
            <w:noWrap w:val="0"/>
            <w:vAlign w:val="center"/>
          </w:tcPr>
          <w:p w14:paraId="5E7B7871">
            <w:pPr>
              <w:pStyle w:val="21"/>
              <w:spacing w:line="360" w:lineRule="auto"/>
              <w:ind w:right="34"/>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（一）项目背景</w:t>
            </w:r>
          </w:p>
          <w:p w14:paraId="6767B7B2">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uto"/>
              <w:ind w:left="0" w:right="0" w:firstLine="420" w:firstLineChars="200"/>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02</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广西艺术作品展</w:t>
            </w:r>
            <w:r>
              <w:rPr>
                <w:rFonts w:hint="eastAsia" w:ascii="宋体" w:hAnsi="宋体" w:eastAsia="宋体" w:cs="宋体"/>
                <w:b w:val="0"/>
                <w:bCs/>
                <w:color w:val="auto"/>
                <w:sz w:val="21"/>
                <w:szCs w:val="21"/>
                <w:highlight w:val="none"/>
                <w:lang w:eastAsia="zh-CN"/>
              </w:rPr>
              <w:t>由区人民政府主办，展览由4个部分组成，分别是第十三届广西美术作品展览、第十三届广西书法（篆刻）作品展览、第八届广西摄影作品展览、第十四届广西工艺美术作品展览。自治区党委宣传部、广西文联、自治区工业和信息化厅、自治区文化和旅游厅承办。本届书法（篆刻）类举办行书、草书专项展。</w:t>
            </w:r>
          </w:p>
          <w:p w14:paraId="1510DC58">
            <w:pPr>
              <w:pStyle w:val="21"/>
              <w:spacing w:line="360" w:lineRule="auto"/>
              <w:ind w:right="34"/>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（二）具体要求</w:t>
            </w:r>
          </w:p>
          <w:p w14:paraId="483C9053">
            <w:pPr>
              <w:pStyle w:val="21"/>
              <w:spacing w:line="360" w:lineRule="auto"/>
              <w:ind w:right="34" w:firstLine="210" w:firstLineChars="1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评审会场地</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400米展线以上</w:t>
            </w:r>
            <w:r>
              <w:rPr>
                <w:rFonts w:hint="eastAsia" w:ascii="宋体" w:hAnsi="宋体" w:eastAsia="宋体" w:cs="宋体"/>
                <w:b w:val="0"/>
                <w:bCs/>
                <w:color w:val="auto"/>
                <w:sz w:val="21"/>
                <w:szCs w:val="21"/>
                <w:highlight w:val="none"/>
                <w:lang w:eastAsia="zh-CN"/>
              </w:rPr>
              <w:t>）、会议室</w:t>
            </w:r>
          </w:p>
          <w:p w14:paraId="36F4C074">
            <w:pPr>
              <w:pStyle w:val="21"/>
              <w:spacing w:line="360" w:lineRule="auto"/>
              <w:ind w:right="34" w:firstLine="210" w:firstLineChars="10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工作用餐</w:t>
            </w:r>
            <w:r>
              <w:rPr>
                <w:rFonts w:hint="eastAsia" w:ascii="宋体" w:hAnsi="宋体" w:eastAsia="宋体" w:cs="宋体"/>
                <w:b w:val="0"/>
                <w:bCs/>
                <w:color w:val="auto"/>
                <w:sz w:val="21"/>
                <w:szCs w:val="21"/>
                <w:highlight w:val="none"/>
                <w:lang w:eastAsia="zh-CN"/>
              </w:rPr>
              <w:t>（约</w:t>
            </w:r>
            <w:r>
              <w:rPr>
                <w:rFonts w:hint="eastAsia" w:ascii="宋体" w:hAnsi="宋体" w:eastAsia="宋体" w:cs="宋体"/>
                <w:b w:val="0"/>
                <w:bCs/>
                <w:color w:val="auto"/>
                <w:sz w:val="21"/>
                <w:szCs w:val="21"/>
                <w:highlight w:val="none"/>
                <w:lang w:val="en-US" w:eastAsia="zh-CN"/>
              </w:rPr>
              <w:t>33人</w:t>
            </w:r>
            <w:r>
              <w:rPr>
                <w:rFonts w:hint="eastAsia" w:ascii="宋体" w:hAnsi="宋体" w:eastAsia="宋体" w:cs="宋体"/>
                <w:b w:val="0"/>
                <w:bCs/>
                <w:color w:val="auto"/>
                <w:sz w:val="21"/>
                <w:szCs w:val="21"/>
                <w:highlight w:val="none"/>
                <w:lang w:eastAsia="zh-CN"/>
              </w:rPr>
              <w:t>）</w:t>
            </w:r>
          </w:p>
          <w:p w14:paraId="7ADEB57D">
            <w:pPr>
              <w:pStyle w:val="21"/>
              <w:spacing w:line="360" w:lineRule="auto"/>
              <w:ind w:right="34" w:firstLine="210" w:firstLineChars="10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到吴圩飞机场接机</w:t>
            </w:r>
            <w:r>
              <w:rPr>
                <w:rFonts w:hint="eastAsia" w:ascii="宋体" w:hAnsi="宋体" w:eastAsia="宋体" w:cs="宋体"/>
                <w:b w:val="0"/>
                <w:bCs/>
                <w:color w:val="auto"/>
                <w:sz w:val="21"/>
                <w:szCs w:val="21"/>
                <w:highlight w:val="none"/>
                <w:lang w:eastAsia="zh-CN"/>
              </w:rPr>
              <w:t>（往返约</w:t>
            </w:r>
            <w:r>
              <w:rPr>
                <w:rFonts w:hint="eastAsia" w:ascii="宋体" w:hAnsi="宋体" w:eastAsia="宋体" w:cs="宋体"/>
                <w:b w:val="0"/>
                <w:bCs/>
                <w:color w:val="auto"/>
                <w:sz w:val="21"/>
                <w:szCs w:val="21"/>
                <w:highlight w:val="none"/>
                <w:lang w:val="en-US" w:eastAsia="zh-CN"/>
              </w:rPr>
              <w:t>10趟</w:t>
            </w:r>
            <w:r>
              <w:rPr>
                <w:rFonts w:hint="eastAsia" w:ascii="宋体" w:hAnsi="宋体" w:eastAsia="宋体" w:cs="宋体"/>
                <w:b w:val="0"/>
                <w:bCs/>
                <w:color w:val="auto"/>
                <w:sz w:val="21"/>
                <w:szCs w:val="21"/>
                <w:highlight w:val="none"/>
                <w:lang w:eastAsia="zh-CN"/>
              </w:rPr>
              <w:t>）</w:t>
            </w:r>
          </w:p>
          <w:p w14:paraId="47A5B4E2">
            <w:pPr>
              <w:pStyle w:val="21"/>
              <w:spacing w:line="360" w:lineRule="auto"/>
              <w:ind w:right="34" w:firstLine="210" w:firstLineChars="1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评审现场租电脑、打印机设备</w:t>
            </w:r>
          </w:p>
          <w:p w14:paraId="4D5E9B6E">
            <w:pPr>
              <w:pStyle w:val="21"/>
              <w:spacing w:line="360" w:lineRule="auto"/>
              <w:ind w:right="34" w:firstLine="210" w:firstLineChars="1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评审活动工具材料</w:t>
            </w:r>
          </w:p>
          <w:p w14:paraId="5D1F8589">
            <w:pPr>
              <w:pStyle w:val="21"/>
              <w:spacing w:line="360" w:lineRule="auto"/>
              <w:ind w:right="34" w:firstLine="210" w:firstLineChars="10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6</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桁架租赁</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500米展线、高2米</w:t>
            </w:r>
            <w:r>
              <w:rPr>
                <w:rFonts w:hint="eastAsia" w:ascii="宋体" w:hAnsi="宋体" w:eastAsia="宋体" w:cs="宋体"/>
                <w:b w:val="0"/>
                <w:bCs/>
                <w:color w:val="auto"/>
                <w:sz w:val="21"/>
                <w:szCs w:val="21"/>
                <w:highlight w:val="none"/>
                <w:lang w:eastAsia="zh-CN"/>
              </w:rPr>
              <w:t>）</w:t>
            </w:r>
          </w:p>
          <w:p w14:paraId="0D39060F">
            <w:pPr>
              <w:pStyle w:val="21"/>
              <w:spacing w:line="360" w:lineRule="auto"/>
              <w:ind w:right="34" w:firstLine="210" w:firstLineChars="1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评审系统</w:t>
            </w:r>
            <w:r>
              <w:rPr>
                <w:rFonts w:hint="eastAsia" w:ascii="宋体" w:hAnsi="宋体" w:eastAsia="宋体" w:cs="宋体"/>
                <w:b w:val="0"/>
                <w:bCs/>
                <w:color w:val="auto"/>
                <w:sz w:val="21"/>
                <w:szCs w:val="21"/>
                <w:highlight w:val="none"/>
                <w:lang w:eastAsia="zh-CN"/>
              </w:rPr>
              <w:t>及专业技术</w:t>
            </w:r>
            <w:r>
              <w:rPr>
                <w:rFonts w:hint="eastAsia" w:ascii="宋体" w:hAnsi="宋体" w:eastAsia="宋体" w:cs="宋体"/>
                <w:b w:val="0"/>
                <w:bCs/>
                <w:color w:val="auto"/>
                <w:sz w:val="21"/>
                <w:szCs w:val="21"/>
                <w:highlight w:val="none"/>
              </w:rPr>
              <w:t>工作人员</w:t>
            </w:r>
          </w:p>
          <w:p w14:paraId="38187B96">
            <w:pPr>
              <w:pStyle w:val="21"/>
              <w:spacing w:line="360" w:lineRule="auto"/>
              <w:ind w:right="34" w:firstLine="210" w:firstLineChars="10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8</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评审现场工作人员</w:t>
            </w:r>
            <w:r>
              <w:rPr>
                <w:rFonts w:hint="eastAsia" w:ascii="宋体" w:hAnsi="宋体" w:eastAsia="宋体" w:cs="宋体"/>
                <w:b w:val="0"/>
                <w:bCs/>
                <w:color w:val="auto"/>
                <w:sz w:val="21"/>
                <w:szCs w:val="21"/>
                <w:highlight w:val="none"/>
                <w:lang w:eastAsia="zh-CN"/>
              </w:rPr>
              <w:t>（需</w:t>
            </w:r>
            <w:r>
              <w:rPr>
                <w:rFonts w:hint="eastAsia" w:ascii="宋体" w:hAnsi="宋体" w:eastAsia="宋体" w:cs="宋体"/>
                <w:b w:val="0"/>
                <w:bCs/>
                <w:color w:val="auto"/>
                <w:sz w:val="21"/>
                <w:szCs w:val="21"/>
                <w:highlight w:val="none"/>
                <w:lang w:val="en-US" w:eastAsia="zh-CN"/>
              </w:rPr>
              <w:t>20人</w:t>
            </w:r>
            <w:r>
              <w:rPr>
                <w:rFonts w:hint="eastAsia" w:ascii="宋体" w:hAnsi="宋体" w:eastAsia="宋体" w:cs="宋体"/>
                <w:b w:val="0"/>
                <w:bCs/>
                <w:color w:val="auto"/>
                <w:sz w:val="21"/>
                <w:szCs w:val="21"/>
                <w:highlight w:val="none"/>
                <w:lang w:eastAsia="zh-CN"/>
              </w:rPr>
              <w:t>）</w:t>
            </w:r>
          </w:p>
          <w:p w14:paraId="338963A2">
            <w:pPr>
              <w:pStyle w:val="21"/>
              <w:spacing w:line="360" w:lineRule="auto"/>
              <w:ind w:right="34" w:firstLine="210" w:firstLineChars="10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9</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书法作品装裱制作</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200件书法入展作品，尺寸为180×97cm以内,竖式；小字类（单字径一般2cm以内）作品尺寸为高138cm×宽69cm以内。作品需用浆糊手工托裱，展板双层5厘米，木方龙骨架，不变形、无虫害。</w:t>
            </w:r>
            <w:r>
              <w:rPr>
                <w:rFonts w:hint="eastAsia" w:ascii="宋体" w:hAnsi="宋体" w:eastAsia="宋体" w:cs="宋体"/>
                <w:b w:val="0"/>
                <w:bCs/>
                <w:color w:val="auto"/>
                <w:sz w:val="21"/>
                <w:szCs w:val="21"/>
                <w:highlight w:val="none"/>
                <w:lang w:eastAsia="zh-CN"/>
              </w:rPr>
              <w:t>）</w:t>
            </w:r>
          </w:p>
          <w:p w14:paraId="093EA758">
            <w:pPr>
              <w:pStyle w:val="21"/>
              <w:spacing w:line="360" w:lineRule="auto"/>
              <w:ind w:right="34" w:firstLine="210" w:firstLineChars="10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10</w:t>
            </w:r>
            <w:r>
              <w:rPr>
                <w:rFonts w:hint="eastAsia" w:ascii="宋体" w:hAnsi="宋体" w:eastAsia="宋体" w:cs="宋体"/>
                <w:b w:val="0"/>
                <w:bCs/>
                <w:color w:val="auto"/>
                <w:sz w:val="21"/>
                <w:szCs w:val="21"/>
                <w:highlight w:val="none"/>
                <w:lang w:val="en-US" w:eastAsia="zh-CN"/>
              </w:rPr>
              <w:t>.评审</w:t>
            </w:r>
            <w:r>
              <w:rPr>
                <w:rFonts w:hint="eastAsia" w:ascii="宋体" w:hAnsi="宋体" w:eastAsia="宋体" w:cs="宋体"/>
                <w:b w:val="0"/>
                <w:bCs/>
                <w:color w:val="auto"/>
                <w:sz w:val="21"/>
                <w:szCs w:val="21"/>
                <w:highlight w:val="none"/>
              </w:rPr>
              <w:t>作品运输</w:t>
            </w:r>
            <w:r>
              <w:rPr>
                <w:rFonts w:hint="eastAsia" w:ascii="宋体" w:hAnsi="宋体" w:eastAsia="宋体" w:cs="宋体"/>
                <w:b w:val="0"/>
                <w:bCs/>
                <w:color w:val="auto"/>
                <w:sz w:val="21"/>
                <w:szCs w:val="21"/>
                <w:highlight w:val="none"/>
                <w:lang w:eastAsia="zh-CN"/>
              </w:rPr>
              <w:t>、布展撤展作品运输</w:t>
            </w:r>
            <w:r>
              <w:rPr>
                <w:rFonts w:hint="eastAsia" w:ascii="宋体" w:hAnsi="宋体" w:eastAsia="宋体" w:cs="宋体"/>
                <w:b w:val="0"/>
                <w:bCs/>
                <w:color w:val="auto"/>
                <w:sz w:val="21"/>
                <w:szCs w:val="21"/>
                <w:highlight w:val="none"/>
                <w:lang w:val="en-US" w:eastAsia="zh-CN"/>
              </w:rPr>
              <w:t>装卸（含包装膜防护措施）</w:t>
            </w:r>
          </w:p>
          <w:p w14:paraId="07A85F11">
            <w:pPr>
              <w:pStyle w:val="21"/>
              <w:spacing w:line="360" w:lineRule="auto"/>
              <w:ind w:right="34" w:firstLine="210" w:firstLineChars="1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11</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策展（展签</w:t>
            </w:r>
            <w:r>
              <w:rPr>
                <w:rFonts w:hint="eastAsia" w:ascii="宋体" w:hAnsi="宋体" w:eastAsia="宋体" w:cs="宋体"/>
                <w:b w:val="0"/>
                <w:bCs/>
                <w:color w:val="auto"/>
                <w:sz w:val="21"/>
                <w:szCs w:val="21"/>
                <w:highlight w:val="none"/>
                <w:lang w:val="en-US" w:eastAsia="zh-CN"/>
              </w:rPr>
              <w:t>200个</w:t>
            </w:r>
            <w:r>
              <w:rPr>
                <w:rFonts w:hint="eastAsia" w:ascii="宋体" w:hAnsi="宋体" w:eastAsia="宋体" w:cs="宋体"/>
                <w:b w:val="0"/>
                <w:bCs/>
                <w:color w:val="auto"/>
                <w:sz w:val="21"/>
                <w:szCs w:val="21"/>
                <w:highlight w:val="none"/>
              </w:rPr>
              <w:t>、展览导视牌）</w:t>
            </w:r>
          </w:p>
          <w:p w14:paraId="7E22A853">
            <w:pPr>
              <w:pStyle w:val="21"/>
              <w:spacing w:line="360" w:lineRule="auto"/>
              <w:ind w:right="34" w:firstLine="210" w:firstLineChars="1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12</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布展（场地改造、现场布展同时配合作品拍摄）</w:t>
            </w:r>
          </w:p>
          <w:p w14:paraId="6271EAE3">
            <w:pPr>
              <w:pStyle w:val="21"/>
              <w:spacing w:line="360" w:lineRule="auto"/>
              <w:ind w:right="34" w:firstLine="210" w:firstLineChars="1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13</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撤展(撤展作品、场地恢复)</w:t>
            </w:r>
          </w:p>
          <w:p w14:paraId="12EF437F">
            <w:pPr>
              <w:pStyle w:val="21"/>
              <w:spacing w:line="360" w:lineRule="auto"/>
              <w:ind w:right="34" w:firstLine="210" w:firstLineChars="1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14</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入展作品退稿工作人员</w:t>
            </w:r>
            <w:r>
              <w:rPr>
                <w:rFonts w:hint="eastAsia" w:ascii="宋体" w:hAnsi="宋体" w:eastAsia="宋体" w:cs="宋体"/>
                <w:b w:val="0"/>
                <w:bCs/>
                <w:color w:val="auto"/>
                <w:sz w:val="21"/>
                <w:szCs w:val="21"/>
                <w:highlight w:val="none"/>
                <w:lang w:val="en-US" w:eastAsia="zh-CN"/>
              </w:rPr>
              <w:t>2人负责约2个月</w:t>
            </w:r>
          </w:p>
          <w:p w14:paraId="1490824E">
            <w:pPr>
              <w:pStyle w:val="21"/>
              <w:spacing w:line="360" w:lineRule="auto"/>
              <w:ind w:right="34" w:firstLine="210" w:firstLineChars="1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15</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落选作品退稿工作人员</w:t>
            </w:r>
            <w:r>
              <w:rPr>
                <w:rFonts w:hint="eastAsia" w:ascii="宋体" w:hAnsi="宋体" w:eastAsia="宋体" w:cs="宋体"/>
                <w:b w:val="0"/>
                <w:bCs/>
                <w:color w:val="auto"/>
                <w:sz w:val="21"/>
                <w:szCs w:val="21"/>
                <w:highlight w:val="none"/>
                <w:lang w:val="en-US" w:eastAsia="zh-CN"/>
              </w:rPr>
              <w:t>2人负责约2个月</w:t>
            </w:r>
          </w:p>
          <w:p w14:paraId="107F1B0D">
            <w:pPr>
              <w:pStyle w:val="21"/>
              <w:spacing w:line="360" w:lineRule="auto"/>
              <w:ind w:right="34" w:firstLine="210" w:firstLineChars="10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16</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作品退件邮寄</w:t>
            </w:r>
            <w:r>
              <w:rPr>
                <w:rFonts w:hint="eastAsia" w:ascii="宋体" w:hAnsi="宋体" w:eastAsia="宋体" w:cs="宋体"/>
                <w:b w:val="0"/>
                <w:bCs/>
                <w:color w:val="auto"/>
                <w:sz w:val="21"/>
                <w:szCs w:val="21"/>
                <w:highlight w:val="none"/>
                <w:lang w:eastAsia="zh-CN"/>
              </w:rPr>
              <w:t>（落选约</w:t>
            </w:r>
            <w:r>
              <w:rPr>
                <w:rFonts w:hint="eastAsia" w:ascii="宋体" w:hAnsi="宋体" w:eastAsia="宋体" w:cs="宋体"/>
                <w:b w:val="0"/>
                <w:bCs/>
                <w:color w:val="auto"/>
                <w:sz w:val="21"/>
                <w:szCs w:val="21"/>
                <w:highlight w:val="none"/>
                <w:lang w:val="en-US" w:eastAsia="zh-CN"/>
              </w:rPr>
              <w:t>800件；入展作品180件，尺寸六尺内作品，入展作品退稿要求收纳筒防护邮寄</w:t>
            </w:r>
            <w:r>
              <w:rPr>
                <w:rFonts w:hint="eastAsia" w:ascii="宋体" w:hAnsi="宋体" w:eastAsia="宋体" w:cs="宋体"/>
                <w:b w:val="0"/>
                <w:bCs/>
                <w:color w:val="auto"/>
                <w:sz w:val="21"/>
                <w:szCs w:val="21"/>
                <w:highlight w:val="none"/>
                <w:lang w:eastAsia="zh-CN"/>
              </w:rPr>
              <w:t>）</w:t>
            </w:r>
          </w:p>
          <w:p w14:paraId="6B75D6B8">
            <w:pPr>
              <w:pStyle w:val="21"/>
              <w:spacing w:line="360" w:lineRule="auto"/>
              <w:ind w:right="34" w:firstLine="210" w:firstLineChars="10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17</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证书、画册邮寄</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200个证书、200本画册</w:t>
            </w:r>
            <w:r>
              <w:rPr>
                <w:rFonts w:hint="eastAsia" w:ascii="宋体" w:hAnsi="宋体" w:eastAsia="宋体" w:cs="宋体"/>
                <w:b w:val="0"/>
                <w:bCs/>
                <w:color w:val="auto"/>
                <w:sz w:val="21"/>
                <w:szCs w:val="21"/>
                <w:highlight w:val="none"/>
                <w:lang w:eastAsia="zh-CN"/>
              </w:rPr>
              <w:t>）</w:t>
            </w:r>
          </w:p>
          <w:p w14:paraId="6EF16FA0">
            <w:pPr>
              <w:pStyle w:val="21"/>
              <w:spacing w:line="360" w:lineRule="auto"/>
              <w:ind w:right="34" w:firstLine="210" w:firstLineChars="10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18</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宣传推介（制作线上影展）</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200件作品</w:t>
            </w:r>
            <w:r>
              <w:rPr>
                <w:rFonts w:hint="eastAsia" w:ascii="宋体" w:hAnsi="宋体" w:eastAsia="宋体" w:cs="宋体"/>
                <w:b w:val="0"/>
                <w:bCs/>
                <w:color w:val="auto"/>
                <w:sz w:val="21"/>
                <w:szCs w:val="21"/>
                <w:highlight w:val="none"/>
                <w:lang w:eastAsia="zh-CN"/>
              </w:rPr>
              <w:t>）</w:t>
            </w:r>
          </w:p>
          <w:p w14:paraId="659A52E4">
            <w:pPr>
              <w:pStyle w:val="21"/>
              <w:spacing w:line="360" w:lineRule="auto"/>
              <w:ind w:right="34" w:firstLine="210" w:firstLineChars="10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19</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证书制作</w:t>
            </w:r>
            <w:r>
              <w:rPr>
                <w:rFonts w:hint="eastAsia" w:ascii="宋体" w:hAnsi="宋体" w:eastAsia="宋体" w:cs="宋体"/>
                <w:b w:val="0"/>
                <w:bCs/>
                <w:color w:val="auto"/>
                <w:sz w:val="21"/>
                <w:szCs w:val="21"/>
                <w:highlight w:val="none"/>
                <w:lang w:eastAsia="zh-CN"/>
              </w:rPr>
              <w:t>（约</w:t>
            </w:r>
            <w:r>
              <w:rPr>
                <w:rFonts w:hint="eastAsia" w:ascii="宋体" w:hAnsi="宋体" w:eastAsia="宋体" w:cs="宋体"/>
                <w:b w:val="0"/>
                <w:bCs/>
                <w:color w:val="auto"/>
                <w:sz w:val="21"/>
                <w:szCs w:val="21"/>
                <w:highlight w:val="none"/>
                <w:lang w:val="en-US" w:eastAsia="zh-CN"/>
              </w:rPr>
              <w:t>210个</w:t>
            </w:r>
            <w:r>
              <w:rPr>
                <w:rFonts w:hint="eastAsia" w:ascii="宋体" w:hAnsi="宋体" w:eastAsia="宋体" w:cs="宋体"/>
                <w:b w:val="0"/>
                <w:bCs/>
                <w:color w:val="auto"/>
                <w:sz w:val="21"/>
                <w:szCs w:val="21"/>
                <w:highlight w:val="none"/>
                <w:lang w:eastAsia="zh-CN"/>
              </w:rPr>
              <w:t>）</w:t>
            </w:r>
          </w:p>
        </w:tc>
      </w:tr>
      <w:tr w14:paraId="610D9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4" w:type="dxa"/>
            <w:gridSpan w:val="4"/>
            <w:tcBorders>
              <w:top w:val="single" w:color="auto" w:sz="4" w:space="0"/>
              <w:left w:val="single" w:color="auto" w:sz="4" w:space="0"/>
              <w:bottom w:val="single" w:color="auto" w:sz="4" w:space="0"/>
              <w:right w:val="single" w:color="auto" w:sz="4" w:space="0"/>
            </w:tcBorders>
            <w:noWrap w:val="0"/>
            <w:vAlign w:val="center"/>
          </w:tcPr>
          <w:p w14:paraId="7FB6C5CD">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▲二、商务要求</w:t>
            </w:r>
          </w:p>
        </w:tc>
      </w:tr>
      <w:tr w14:paraId="72FB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gridSpan w:val="3"/>
            <w:tcBorders>
              <w:top w:val="single" w:color="auto" w:sz="4" w:space="0"/>
              <w:left w:val="single" w:color="auto" w:sz="4" w:space="0"/>
              <w:bottom w:val="single" w:color="auto" w:sz="4" w:space="0"/>
              <w:right w:val="single" w:color="auto" w:sz="4" w:space="0"/>
            </w:tcBorders>
            <w:noWrap w:val="0"/>
            <w:vAlign w:val="center"/>
          </w:tcPr>
          <w:p w14:paraId="5631C35C">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（一）服务期限</w:t>
            </w:r>
          </w:p>
        </w:tc>
        <w:tc>
          <w:tcPr>
            <w:tcW w:w="7585" w:type="dxa"/>
            <w:tcBorders>
              <w:top w:val="single" w:color="auto" w:sz="4" w:space="0"/>
              <w:left w:val="single" w:color="auto" w:sz="4" w:space="0"/>
              <w:bottom w:val="single" w:color="auto" w:sz="4" w:space="0"/>
              <w:right w:val="single" w:color="auto" w:sz="4" w:space="0"/>
            </w:tcBorders>
            <w:noWrap w:val="0"/>
            <w:vAlign w:val="center"/>
          </w:tcPr>
          <w:p w14:paraId="6735A099">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签订合同之日起至202</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广西艺术作品展——第十</w:t>
            </w:r>
            <w:r>
              <w:rPr>
                <w:rFonts w:hint="eastAsia" w:ascii="宋体" w:hAnsi="宋体" w:eastAsia="宋体" w:cs="宋体"/>
                <w:b w:val="0"/>
                <w:bCs/>
                <w:color w:val="auto"/>
                <w:sz w:val="21"/>
                <w:szCs w:val="21"/>
                <w:highlight w:val="none"/>
                <w:lang w:eastAsia="zh-CN"/>
              </w:rPr>
              <w:t>三</w:t>
            </w:r>
            <w:r>
              <w:rPr>
                <w:rFonts w:hint="eastAsia" w:ascii="宋体" w:hAnsi="宋体" w:eastAsia="宋体" w:cs="宋体"/>
                <w:b w:val="0"/>
                <w:bCs/>
                <w:color w:val="auto"/>
                <w:sz w:val="21"/>
                <w:szCs w:val="21"/>
                <w:highlight w:val="none"/>
              </w:rPr>
              <w:t>届广西书法篆刻作品展</w:t>
            </w:r>
            <w:r>
              <w:rPr>
                <w:rFonts w:hint="eastAsia" w:ascii="宋体" w:hAnsi="宋体" w:eastAsia="宋体" w:cs="宋体"/>
                <w:b w:val="0"/>
                <w:bCs/>
                <w:color w:val="auto"/>
                <w:sz w:val="21"/>
                <w:szCs w:val="21"/>
                <w:highlight w:val="none"/>
                <w:lang w:eastAsia="zh-CN"/>
              </w:rPr>
              <w:t>项目</w:t>
            </w:r>
            <w:r>
              <w:rPr>
                <w:rFonts w:hint="eastAsia" w:ascii="宋体" w:hAnsi="宋体" w:eastAsia="宋体" w:cs="宋体"/>
                <w:b w:val="0"/>
                <w:bCs/>
                <w:color w:val="auto"/>
                <w:sz w:val="21"/>
                <w:szCs w:val="21"/>
                <w:highlight w:val="none"/>
              </w:rPr>
              <w:t>结束并完成“服务内容及要求”载明的各项服务止。</w:t>
            </w:r>
          </w:p>
        </w:tc>
      </w:tr>
      <w:tr w14:paraId="4EAB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gridSpan w:val="3"/>
            <w:tcBorders>
              <w:top w:val="single" w:color="auto" w:sz="4" w:space="0"/>
              <w:left w:val="single" w:color="auto" w:sz="4" w:space="0"/>
              <w:bottom w:val="single" w:color="auto" w:sz="4" w:space="0"/>
              <w:right w:val="single" w:color="auto" w:sz="4" w:space="0"/>
            </w:tcBorders>
            <w:noWrap w:val="0"/>
            <w:vAlign w:val="center"/>
          </w:tcPr>
          <w:p w14:paraId="4F3585A7">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（二）付款条件</w:t>
            </w:r>
          </w:p>
        </w:tc>
        <w:tc>
          <w:tcPr>
            <w:tcW w:w="7585" w:type="dxa"/>
            <w:tcBorders>
              <w:top w:val="single" w:color="auto" w:sz="4" w:space="0"/>
              <w:left w:val="single" w:color="auto" w:sz="4" w:space="0"/>
              <w:bottom w:val="single" w:color="auto" w:sz="4" w:space="0"/>
              <w:right w:val="single" w:color="auto" w:sz="4" w:space="0"/>
            </w:tcBorders>
            <w:noWrap w:val="0"/>
            <w:vAlign w:val="center"/>
          </w:tcPr>
          <w:p w14:paraId="11FFFB64">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合同签订且财政资金到位</w:t>
            </w:r>
            <w:r>
              <w:rPr>
                <w:rFonts w:hint="eastAsia" w:ascii="宋体" w:hAnsi="宋体" w:eastAsia="宋体" w:cs="宋体"/>
                <w:b w:val="0"/>
                <w:bCs/>
                <w:color w:val="auto"/>
                <w:sz w:val="18"/>
                <w:szCs w:val="18"/>
                <w:highlight w:val="none"/>
              </w:rPr>
              <w:t>后5个工作日内，成交供应商向采购人开具相应金额增值税发票，采购人收到发票后支付合同价款的</w:t>
            </w:r>
            <w:r>
              <w:rPr>
                <w:rFonts w:hint="eastAsia" w:ascii="宋体" w:hAnsi="宋体" w:eastAsia="宋体" w:cs="宋体"/>
                <w:b w:val="0"/>
                <w:bCs/>
                <w:color w:val="auto"/>
                <w:sz w:val="18"/>
                <w:szCs w:val="18"/>
                <w:highlight w:val="none"/>
                <w:lang w:val="en-US" w:eastAsia="zh-CN"/>
              </w:rPr>
              <w:t>5</w:t>
            </w:r>
            <w:r>
              <w:rPr>
                <w:rFonts w:hint="eastAsia" w:ascii="宋体" w:hAnsi="宋体" w:eastAsia="宋体" w:cs="宋体"/>
                <w:b w:val="0"/>
                <w:bCs/>
                <w:color w:val="auto"/>
                <w:sz w:val="18"/>
                <w:szCs w:val="18"/>
                <w:highlight w:val="none"/>
              </w:rPr>
              <w:t>0%；全部服务完结且验收合格后5个工作日内，成交供应商向采购人开具相应金额增值税发票，采购人收到发票后支付剩余合同价款（无息）。</w:t>
            </w:r>
          </w:p>
        </w:tc>
      </w:tr>
      <w:tr w14:paraId="7F5E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gridSpan w:val="3"/>
            <w:tcBorders>
              <w:top w:val="single" w:color="auto" w:sz="4" w:space="0"/>
              <w:left w:val="single" w:color="auto" w:sz="4" w:space="0"/>
              <w:bottom w:val="single" w:color="auto" w:sz="4" w:space="0"/>
              <w:right w:val="single" w:color="auto" w:sz="4" w:space="0"/>
            </w:tcBorders>
            <w:noWrap w:val="0"/>
            <w:vAlign w:val="center"/>
          </w:tcPr>
          <w:p w14:paraId="4C81D335">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（三）质量及验收标准</w:t>
            </w:r>
          </w:p>
        </w:tc>
        <w:tc>
          <w:tcPr>
            <w:tcW w:w="7585" w:type="dxa"/>
            <w:tcBorders>
              <w:top w:val="single" w:color="auto" w:sz="4" w:space="0"/>
              <w:left w:val="single" w:color="auto" w:sz="4" w:space="0"/>
              <w:bottom w:val="single" w:color="auto" w:sz="4" w:space="0"/>
              <w:right w:val="single" w:color="auto" w:sz="4" w:space="0"/>
            </w:tcBorders>
            <w:noWrap w:val="0"/>
            <w:vAlign w:val="center"/>
          </w:tcPr>
          <w:p w14:paraId="240F5212">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依据竞争性磋商文件要求的采购需求、成交供应商响应文件承诺以及国家现行相关标准、规范履行合同。成交供应商提供的服务成果达不到验收标准的，不予验收，成交供应商应当退还采购人已支付的相关费用，造成采购人损失的，成交供应商应当予以赔偿，相关一切不利后果由成交供应商自行承担。</w:t>
            </w:r>
          </w:p>
          <w:p w14:paraId="489E9C87">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pacing w:val="-6"/>
                <w:sz w:val="21"/>
                <w:szCs w:val="21"/>
                <w:highlight w:val="none"/>
              </w:rPr>
              <w:t>.成交供应商提供的服务如果与响应文件承诺的服务不相符，采购人有权中止或终止合同。</w:t>
            </w:r>
          </w:p>
          <w:p w14:paraId="7C7CFEA7">
            <w:pPr>
              <w:spacing w:line="360" w:lineRule="auto"/>
              <w:rPr>
                <w:rFonts w:hint="eastAsia" w:ascii="宋体" w:hAnsi="宋体" w:eastAsia="宋体" w:cs="宋体"/>
                <w:b w:val="0"/>
                <w:bCs/>
                <w:color w:val="auto"/>
                <w:spacing w:val="-2"/>
                <w:sz w:val="21"/>
                <w:szCs w:val="21"/>
                <w:highlight w:val="none"/>
              </w:rPr>
            </w:pPr>
            <w:r>
              <w:rPr>
                <w:rFonts w:hint="eastAsia" w:ascii="宋体" w:hAnsi="宋体" w:eastAsia="宋体" w:cs="宋体"/>
                <w:b w:val="0"/>
                <w:bCs/>
                <w:color w:val="auto"/>
                <w:sz w:val="21"/>
                <w:szCs w:val="21"/>
                <w:highlight w:val="none"/>
              </w:rPr>
              <w:t>3.项目实施期间，因成交供应商服务管理不善导致的相关人身财产事故及不良舆情，由成交供应商负责消除不良影响并承担相关责任。</w:t>
            </w:r>
          </w:p>
        </w:tc>
      </w:tr>
      <w:tr w14:paraId="07BA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gridSpan w:val="3"/>
            <w:tcBorders>
              <w:top w:val="single" w:color="auto" w:sz="4" w:space="0"/>
              <w:left w:val="single" w:color="auto" w:sz="4" w:space="0"/>
              <w:bottom w:val="single" w:color="auto" w:sz="4" w:space="0"/>
              <w:right w:val="single" w:color="auto" w:sz="4" w:space="0"/>
            </w:tcBorders>
            <w:noWrap w:val="0"/>
            <w:vAlign w:val="center"/>
          </w:tcPr>
          <w:p w14:paraId="6046E9FE">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（四）权利保障</w:t>
            </w:r>
          </w:p>
        </w:tc>
        <w:tc>
          <w:tcPr>
            <w:tcW w:w="7585" w:type="dxa"/>
            <w:tcBorders>
              <w:top w:val="single" w:color="auto" w:sz="4" w:space="0"/>
              <w:left w:val="single" w:color="auto" w:sz="4" w:space="0"/>
              <w:bottom w:val="single" w:color="auto" w:sz="4" w:space="0"/>
              <w:right w:val="single" w:color="auto" w:sz="4" w:space="0"/>
            </w:tcBorders>
            <w:noWrap w:val="0"/>
            <w:vAlign w:val="center"/>
          </w:tcPr>
          <w:p w14:paraId="0EE47A9E">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成交供应商所提供的服务涉及到的知识产权和相关技术资料必须是合法取得的，不会侵犯任何第三方的专利权、商标权、工业设计权或其他权利，不会因为采购人的使用服务成果遭受第三方侵权指控，包括被责令致歉、停止使用、追偿或要求赔偿损失等。否则，成交供应商负责解决由此引起的一切纠纷，采购人有权追究成交供应商的法律责任，其不利后果由成交供应商全部承担。</w:t>
            </w:r>
          </w:p>
        </w:tc>
      </w:tr>
      <w:tr w14:paraId="4655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gridSpan w:val="3"/>
            <w:tcBorders>
              <w:top w:val="single" w:color="auto" w:sz="4" w:space="0"/>
              <w:left w:val="single" w:color="auto" w:sz="4" w:space="0"/>
              <w:bottom w:val="single" w:color="auto" w:sz="4" w:space="0"/>
              <w:right w:val="single" w:color="auto" w:sz="4" w:space="0"/>
            </w:tcBorders>
            <w:noWrap w:val="0"/>
            <w:vAlign w:val="center"/>
          </w:tcPr>
          <w:p w14:paraId="06D1629C">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（五）报价要求</w:t>
            </w:r>
          </w:p>
        </w:tc>
        <w:tc>
          <w:tcPr>
            <w:tcW w:w="7585" w:type="dxa"/>
            <w:tcBorders>
              <w:top w:val="single" w:color="auto" w:sz="4" w:space="0"/>
              <w:left w:val="single" w:color="auto" w:sz="4" w:space="0"/>
              <w:bottom w:val="single" w:color="auto" w:sz="4" w:space="0"/>
              <w:right w:val="single" w:color="auto" w:sz="4" w:space="0"/>
            </w:tcBorders>
            <w:noWrap w:val="0"/>
            <w:vAlign w:val="center"/>
          </w:tcPr>
          <w:p w14:paraId="6ECED018">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1.本项目按总包干报价，包括完成本项目服务产生的所有成本、税金及合理利润。具体包含但不限于202</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广西艺术作品展——第十</w:t>
            </w:r>
            <w:r>
              <w:rPr>
                <w:rFonts w:hint="eastAsia" w:ascii="宋体" w:hAnsi="宋体" w:eastAsia="宋体" w:cs="宋体"/>
                <w:b w:val="0"/>
                <w:bCs/>
                <w:color w:val="auto"/>
                <w:sz w:val="21"/>
                <w:szCs w:val="21"/>
                <w:highlight w:val="none"/>
                <w:lang w:eastAsia="zh-CN"/>
              </w:rPr>
              <w:t>三</w:t>
            </w:r>
            <w:r>
              <w:rPr>
                <w:rFonts w:hint="eastAsia" w:ascii="宋体" w:hAnsi="宋体" w:eastAsia="宋体" w:cs="宋体"/>
                <w:b w:val="0"/>
                <w:bCs/>
                <w:color w:val="auto"/>
                <w:sz w:val="21"/>
                <w:szCs w:val="21"/>
                <w:highlight w:val="none"/>
              </w:rPr>
              <w:t>届广西书法篆刻作品展评审委员会委员及工作人员</w:t>
            </w:r>
            <w:r>
              <w:rPr>
                <w:rFonts w:hint="eastAsia" w:ascii="宋体" w:hAnsi="宋体" w:eastAsia="宋体" w:cs="宋体"/>
                <w:b w:val="0"/>
                <w:bCs/>
                <w:color w:val="auto"/>
                <w:sz w:val="21"/>
                <w:szCs w:val="21"/>
                <w:highlight w:val="none"/>
                <w:lang w:eastAsia="zh-CN"/>
              </w:rPr>
              <w:t>餐费</w:t>
            </w:r>
            <w:r>
              <w:rPr>
                <w:rFonts w:hint="eastAsia" w:ascii="宋体" w:hAnsi="宋体" w:eastAsia="宋体" w:cs="宋体"/>
                <w:b w:val="0"/>
                <w:bCs/>
                <w:color w:val="auto"/>
                <w:sz w:val="21"/>
                <w:szCs w:val="21"/>
                <w:highlight w:val="none"/>
              </w:rPr>
              <w:t>、会务及物料费、志愿者劳务费及差旅费，以及不可预见费等全部费用，供应商应综合考虑进磋商报价</w:t>
            </w:r>
            <w:r>
              <w:rPr>
                <w:rFonts w:hint="eastAsia" w:ascii="宋体" w:hAnsi="宋体" w:eastAsia="宋体" w:cs="宋体"/>
                <w:b w:val="0"/>
                <w:bCs/>
                <w:color w:val="auto"/>
                <w:kern w:val="0"/>
                <w:sz w:val="21"/>
                <w:szCs w:val="21"/>
                <w:highlight w:val="none"/>
              </w:rPr>
              <w:t>。</w:t>
            </w:r>
          </w:p>
          <w:p w14:paraId="756EE511">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i w:val="0"/>
                <w:iCs w:val="0"/>
                <w:color w:val="auto"/>
                <w:kern w:val="0"/>
                <w:sz w:val="21"/>
                <w:szCs w:val="21"/>
                <w:highlight w:val="none"/>
                <w:u w:val="none"/>
                <w:lang w:val="en-US" w:eastAsia="zh-CN" w:bidi="ar"/>
              </w:rPr>
              <w:t>2.供应商磋商报价超出采购预算金额</w:t>
            </w:r>
            <w:r>
              <w:rPr>
                <w:rFonts w:hint="eastAsia" w:ascii="宋体" w:hAnsi="宋体" w:cs="宋体"/>
                <w:b w:val="0"/>
                <w:bCs/>
                <w:i w:val="0"/>
                <w:iCs w:val="0"/>
                <w:color w:val="auto"/>
                <w:kern w:val="0"/>
                <w:sz w:val="21"/>
                <w:szCs w:val="21"/>
                <w:highlight w:val="none"/>
                <w:u w:val="none"/>
                <w:lang w:val="en-US" w:eastAsia="zh-CN" w:bidi="ar"/>
              </w:rPr>
              <w:t>或最高限价</w:t>
            </w:r>
            <w:r>
              <w:rPr>
                <w:rFonts w:hint="eastAsia" w:ascii="宋体" w:hAnsi="宋体" w:eastAsia="宋体" w:cs="宋体"/>
                <w:b w:val="0"/>
                <w:bCs/>
                <w:i w:val="0"/>
                <w:iCs w:val="0"/>
                <w:color w:val="auto"/>
                <w:kern w:val="0"/>
                <w:sz w:val="21"/>
                <w:szCs w:val="21"/>
                <w:highlight w:val="none"/>
                <w:u w:val="none"/>
                <w:lang w:val="en-US" w:eastAsia="zh-CN" w:bidi="ar"/>
              </w:rPr>
              <w:t>的，按响应无效处理。</w:t>
            </w:r>
          </w:p>
        </w:tc>
      </w:tr>
      <w:tr w14:paraId="16038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4" w:type="dxa"/>
            <w:gridSpan w:val="4"/>
            <w:tcBorders>
              <w:top w:val="single" w:color="auto" w:sz="4" w:space="0"/>
              <w:left w:val="single" w:color="auto" w:sz="4" w:space="0"/>
              <w:bottom w:val="single" w:color="auto" w:sz="4" w:space="0"/>
              <w:right w:val="single" w:color="auto" w:sz="4" w:space="0"/>
            </w:tcBorders>
            <w:noWrap w:val="0"/>
            <w:vAlign w:val="center"/>
          </w:tcPr>
          <w:p w14:paraId="2C152A48">
            <w:pPr>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▲三、实现项目目标的其他要求</w:t>
            </w:r>
          </w:p>
        </w:tc>
      </w:tr>
      <w:tr w14:paraId="00BA9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gridSpan w:val="3"/>
            <w:tcBorders>
              <w:top w:val="single" w:color="auto" w:sz="4" w:space="0"/>
              <w:left w:val="single" w:color="auto" w:sz="4" w:space="0"/>
              <w:bottom w:val="single" w:color="auto" w:sz="4" w:space="0"/>
              <w:right w:val="single" w:color="auto" w:sz="4" w:space="0"/>
            </w:tcBorders>
            <w:noWrap w:val="0"/>
            <w:vAlign w:val="center"/>
          </w:tcPr>
          <w:p w14:paraId="345FF565">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val="0"/>
                <w:color w:val="auto"/>
                <w:sz w:val="21"/>
                <w:szCs w:val="21"/>
              </w:rPr>
              <w:t>（一）项目</w:t>
            </w:r>
            <w:r>
              <w:rPr>
                <w:rFonts w:hint="eastAsia" w:ascii="宋体" w:hAnsi="宋体" w:eastAsia="宋体" w:cs="宋体"/>
                <w:b w:val="0"/>
                <w:bCs w:val="0"/>
                <w:color w:val="auto"/>
                <w:sz w:val="21"/>
                <w:szCs w:val="21"/>
                <w:lang w:val="en-US" w:eastAsia="zh-CN"/>
              </w:rPr>
              <w:t>总体</w:t>
            </w:r>
            <w:r>
              <w:rPr>
                <w:rFonts w:hint="eastAsia" w:ascii="宋体" w:hAnsi="宋体" w:eastAsia="宋体" w:cs="宋体"/>
                <w:b w:val="0"/>
                <w:bCs w:val="0"/>
                <w:color w:val="auto"/>
                <w:sz w:val="21"/>
                <w:szCs w:val="21"/>
              </w:rPr>
              <w:t>实施方案</w:t>
            </w:r>
          </w:p>
        </w:tc>
        <w:tc>
          <w:tcPr>
            <w:tcW w:w="7585" w:type="dxa"/>
            <w:tcBorders>
              <w:top w:val="single" w:color="auto" w:sz="4" w:space="0"/>
              <w:left w:val="single" w:color="auto" w:sz="4" w:space="0"/>
              <w:bottom w:val="single" w:color="auto" w:sz="4" w:space="0"/>
              <w:right w:val="single" w:color="auto" w:sz="4" w:space="0"/>
            </w:tcBorders>
            <w:noWrap w:val="0"/>
            <w:vAlign w:val="center"/>
          </w:tcPr>
          <w:p w14:paraId="78414F7C">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val="0"/>
                <w:color w:val="auto"/>
                <w:sz w:val="21"/>
                <w:szCs w:val="21"/>
                <w:highlight w:val="none"/>
              </w:rPr>
              <w:t>供应商根据采购需求，于响应文件中提供针对本项目的</w:t>
            </w:r>
            <w:r>
              <w:rPr>
                <w:rFonts w:hint="eastAsia" w:ascii="宋体" w:hAnsi="宋体" w:eastAsia="宋体" w:cs="宋体"/>
                <w:b w:val="0"/>
                <w:bCs w:val="0"/>
                <w:color w:val="auto"/>
                <w:sz w:val="21"/>
                <w:szCs w:val="21"/>
                <w:highlight w:val="none"/>
                <w:lang w:val="en-US" w:eastAsia="zh-CN"/>
              </w:rPr>
              <w:t>总体</w:t>
            </w:r>
            <w:r>
              <w:rPr>
                <w:rFonts w:hint="eastAsia" w:ascii="宋体" w:hAnsi="宋体" w:eastAsia="宋体" w:cs="宋体"/>
                <w:b w:val="0"/>
                <w:bCs w:val="0"/>
                <w:color w:val="auto"/>
                <w:sz w:val="21"/>
                <w:szCs w:val="21"/>
                <w:highlight w:val="none"/>
              </w:rPr>
              <w:t>实施方案，包含但不限于</w:t>
            </w:r>
            <w:r>
              <w:rPr>
                <w:rFonts w:hint="eastAsia" w:ascii="宋体" w:hAnsi="宋体" w:eastAsia="宋体"/>
                <w:color w:val="auto"/>
                <w:kern w:val="0"/>
                <w:szCs w:val="21"/>
              </w:rPr>
              <w:t>项目理解</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Cs/>
                <w:color w:val="auto"/>
                <w:kern w:val="0"/>
                <w:szCs w:val="21"/>
                <w:highlight w:val="none"/>
                <w:lang w:val="en-US" w:eastAsia="zh-CN"/>
              </w:rPr>
              <w:t>实施</w:t>
            </w:r>
            <w:r>
              <w:rPr>
                <w:rFonts w:hint="eastAsia" w:ascii="宋体" w:hAnsi="宋体" w:eastAsia="宋体" w:cs="宋体"/>
                <w:bCs/>
                <w:color w:val="auto"/>
                <w:kern w:val="0"/>
                <w:szCs w:val="21"/>
                <w:highlight w:val="none"/>
              </w:rPr>
              <w:t>方案</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sz w:val="21"/>
                <w:szCs w:val="21"/>
                <w:highlight w:val="none"/>
                <w:lang w:val="en-US" w:eastAsia="zh-CN" w:bidi="ar-SA"/>
              </w:rPr>
              <w:t>设计方案与总体效果、</w:t>
            </w:r>
            <w:r>
              <w:rPr>
                <w:rFonts w:hint="eastAsia" w:ascii="宋体" w:hAnsi="宋体" w:eastAsia="宋体"/>
                <w:color w:val="auto"/>
                <w:kern w:val="0"/>
                <w:szCs w:val="21"/>
              </w:rPr>
              <w:t>功能及空间规划、动线规划</w:t>
            </w:r>
            <w:r>
              <w:rPr>
                <w:rFonts w:hint="eastAsia" w:ascii="宋体" w:hAnsi="宋体" w:eastAsia="宋体"/>
                <w:color w:val="auto"/>
                <w:kern w:val="0"/>
                <w:szCs w:val="21"/>
                <w:lang w:val="en-US" w:eastAsia="zh-CN"/>
              </w:rPr>
              <w:t>等</w:t>
            </w:r>
          </w:p>
        </w:tc>
      </w:tr>
      <w:tr w14:paraId="2FA9D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gridSpan w:val="3"/>
            <w:tcBorders>
              <w:top w:val="single" w:color="auto" w:sz="4" w:space="0"/>
              <w:left w:val="single" w:color="auto" w:sz="4" w:space="0"/>
              <w:bottom w:val="single" w:color="auto" w:sz="4" w:space="0"/>
              <w:right w:val="single" w:color="auto" w:sz="4" w:space="0"/>
            </w:tcBorders>
            <w:noWrap w:val="0"/>
            <w:vAlign w:val="center"/>
          </w:tcPr>
          <w:p w14:paraId="1D4B402D">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（二）履约能力</w:t>
            </w:r>
          </w:p>
        </w:tc>
        <w:tc>
          <w:tcPr>
            <w:tcW w:w="7585" w:type="dxa"/>
            <w:tcBorders>
              <w:top w:val="single" w:color="auto" w:sz="4" w:space="0"/>
              <w:left w:val="single" w:color="auto" w:sz="4" w:space="0"/>
              <w:bottom w:val="single" w:color="auto" w:sz="4" w:space="0"/>
              <w:right w:val="single" w:color="auto" w:sz="4" w:space="0"/>
            </w:tcBorders>
            <w:noWrap w:val="0"/>
            <w:vAlign w:val="center"/>
          </w:tcPr>
          <w:p w14:paraId="6E6D79FE">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供应商自202</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年以来具有同类项目业绩。注：上述履约能力评分具体详见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highlight w:val="none"/>
              </w:rPr>
              <w:t>第四章  评审程序、评审方法和评审标准</w:t>
            </w:r>
            <w:r>
              <w:rPr>
                <w:rFonts w:hint="eastAsia" w:ascii="宋体" w:hAnsi="宋体" w:eastAsia="宋体" w:cs="宋体"/>
                <w:color w:val="auto"/>
                <w:sz w:val="21"/>
                <w:szCs w:val="21"/>
                <w:highlight w:val="none"/>
                <w:lang w:eastAsia="zh-CN"/>
              </w:rPr>
              <w:t>”</w:t>
            </w:r>
            <w:r>
              <w:rPr>
                <w:rFonts w:hint="eastAsia" w:ascii="宋体" w:hAnsi="宋体" w:eastAsia="宋体" w:cs="宋体"/>
                <w:b w:val="0"/>
                <w:bCs/>
                <w:color w:val="auto"/>
                <w:sz w:val="21"/>
                <w:szCs w:val="21"/>
                <w:highlight w:val="none"/>
              </w:rPr>
              <w:t>。</w:t>
            </w:r>
          </w:p>
        </w:tc>
      </w:tr>
    </w:tbl>
    <w:p w14:paraId="67440F1C">
      <w:pPr>
        <w:spacing w:line="360" w:lineRule="exact"/>
        <w:jc w:val="left"/>
        <w:rPr>
          <w:rFonts w:hint="eastAsia"/>
          <w:color w:val="auto"/>
          <w:highlight w:val="none"/>
        </w:rPr>
      </w:pPr>
    </w:p>
    <w:p w14:paraId="01A68FA4">
      <w:pPr>
        <w:spacing w:line="360" w:lineRule="exact"/>
        <w:jc w:val="left"/>
        <w:rPr>
          <w:rFonts w:hint="eastAsia"/>
          <w:color w:val="auto"/>
          <w:highlight w:val="none"/>
        </w:rPr>
      </w:pPr>
    </w:p>
    <w:p w14:paraId="4EC7B7DF">
      <w:pPr>
        <w:pStyle w:val="19"/>
        <w:ind w:firstLine="1126"/>
        <w:rPr>
          <w:color w:val="auto"/>
          <w:highlight w:val="none"/>
        </w:rPr>
      </w:pPr>
    </w:p>
    <w:p w14:paraId="5C990165">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br w:type="page"/>
      </w:r>
    </w:p>
    <w:p w14:paraId="4C303BFF">
      <w:pPr>
        <w:spacing w:line="360" w:lineRule="exact"/>
        <w:jc w:val="left"/>
        <w:rPr>
          <w:rFonts w:hint="eastAsia"/>
          <w:color w:val="auto"/>
          <w:highlight w:val="none"/>
          <w:lang w:eastAsia="zh-CN"/>
        </w:rPr>
      </w:pPr>
      <w:r>
        <w:rPr>
          <w:rFonts w:hint="eastAsia"/>
          <w:color w:val="auto"/>
          <w:highlight w:val="none"/>
        </w:rPr>
        <w:t>分标</w:t>
      </w:r>
      <w:r>
        <w:rPr>
          <w:rFonts w:hint="eastAsia"/>
          <w:color w:val="auto"/>
          <w:highlight w:val="none"/>
          <w:lang w:val="en-US" w:eastAsia="zh-CN"/>
        </w:rPr>
        <w:t>4</w:t>
      </w:r>
      <w:r>
        <w:rPr>
          <w:rFonts w:hint="eastAsia"/>
          <w:color w:val="auto"/>
          <w:highlight w:val="none"/>
        </w:rPr>
        <w:t>：</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广西艺术作品展览——第</w:t>
      </w:r>
      <w:r>
        <w:rPr>
          <w:rFonts w:hint="eastAsia" w:ascii="宋体" w:hAnsi="宋体"/>
          <w:color w:val="auto"/>
          <w:szCs w:val="21"/>
          <w:highlight w:val="none"/>
          <w:lang w:val="en-US" w:eastAsia="zh-CN"/>
        </w:rPr>
        <w:t>八</w:t>
      </w:r>
      <w:r>
        <w:rPr>
          <w:rFonts w:hint="eastAsia" w:ascii="宋体" w:hAnsi="宋体"/>
          <w:color w:val="auto"/>
          <w:szCs w:val="21"/>
          <w:highlight w:val="none"/>
        </w:rPr>
        <w:t>届摄影作品展览</w:t>
      </w:r>
    </w:p>
    <w:p w14:paraId="270436A9">
      <w:pPr>
        <w:spacing w:line="360" w:lineRule="exact"/>
        <w:jc w:val="left"/>
        <w:rPr>
          <w:rFonts w:hint="eastAsia"/>
          <w:color w:val="auto"/>
          <w:highlight w:val="none"/>
        </w:rPr>
      </w:pPr>
      <w:r>
        <w:rPr>
          <w:rFonts w:hint="eastAsia"/>
          <w:color w:val="auto"/>
          <w:highlight w:val="none"/>
        </w:rPr>
        <w:t>预算金额：</w:t>
      </w:r>
      <w:r>
        <w:rPr>
          <w:rFonts w:hint="eastAsia" w:ascii="宋体" w:hAnsi="宋体"/>
          <w:color w:val="auto"/>
          <w:szCs w:val="21"/>
          <w:highlight w:val="none"/>
          <w:lang w:val="en-US" w:eastAsia="zh-CN"/>
        </w:rPr>
        <w:t>151900.00</w:t>
      </w:r>
      <w:r>
        <w:rPr>
          <w:rFonts w:hint="eastAsia"/>
          <w:color w:val="auto"/>
          <w:highlight w:val="none"/>
        </w:rPr>
        <w:t>元</w:t>
      </w:r>
    </w:p>
    <w:p w14:paraId="30D6416D">
      <w:pPr>
        <w:spacing w:line="360" w:lineRule="exact"/>
        <w:jc w:val="left"/>
        <w:rPr>
          <w:rFonts w:hint="eastAsia"/>
          <w:color w:val="auto"/>
          <w:highlight w:val="none"/>
        </w:rPr>
      </w:pPr>
      <w:r>
        <w:rPr>
          <w:rFonts w:hint="eastAsia"/>
          <w:color w:val="auto"/>
          <w:highlight w:val="none"/>
        </w:rPr>
        <w:t>最高限价：</w:t>
      </w:r>
      <w:r>
        <w:rPr>
          <w:rFonts w:hint="eastAsia" w:ascii="宋体" w:hAnsi="宋体"/>
          <w:color w:val="auto"/>
          <w:szCs w:val="21"/>
          <w:highlight w:val="none"/>
          <w:lang w:val="en-US" w:eastAsia="zh-CN"/>
        </w:rPr>
        <w:t>151900.00</w:t>
      </w:r>
      <w:r>
        <w:rPr>
          <w:rFonts w:hint="eastAsia"/>
          <w:color w:val="auto"/>
          <w:highlight w:val="none"/>
        </w:rPr>
        <w:t>元</w:t>
      </w:r>
    </w:p>
    <w:p w14:paraId="4DDC530C">
      <w:pPr>
        <w:spacing w:line="360" w:lineRule="exact"/>
        <w:jc w:val="left"/>
        <w:rPr>
          <w:rFonts w:hint="eastAsia" w:eastAsia="宋体"/>
          <w:color w:val="auto"/>
          <w:highlight w:val="none"/>
          <w:lang w:eastAsia="zh-CN"/>
        </w:rPr>
      </w:pPr>
      <w:r>
        <w:rPr>
          <w:rFonts w:hint="eastAsia"/>
          <w:color w:val="auto"/>
          <w:highlight w:val="none"/>
          <w:lang w:val="en-US" w:eastAsia="zh-CN"/>
        </w:rPr>
        <w:t>采购标的对应的中小企业划分标准所属行业：租赁和商务服务业</w:t>
      </w:r>
    </w:p>
    <w:tbl>
      <w:tblPr>
        <w:tblStyle w:val="3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682"/>
        <w:gridCol w:w="884"/>
        <w:gridCol w:w="7685"/>
      </w:tblGrid>
      <w:tr w14:paraId="5375E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4" w:type="dxa"/>
            <w:gridSpan w:val="4"/>
            <w:tcBorders>
              <w:top w:val="single" w:color="auto" w:sz="4" w:space="0"/>
              <w:left w:val="single" w:color="auto" w:sz="4" w:space="0"/>
              <w:bottom w:val="single" w:color="auto" w:sz="4" w:space="0"/>
              <w:right w:val="single" w:color="auto" w:sz="4" w:space="0"/>
            </w:tcBorders>
            <w:vAlign w:val="center"/>
          </w:tcPr>
          <w:p w14:paraId="22F8DC7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一、采购内容及要求</w:t>
            </w:r>
          </w:p>
        </w:tc>
      </w:tr>
      <w:tr w14:paraId="1C12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vAlign w:val="center"/>
          </w:tcPr>
          <w:p w14:paraId="3EEEBD4C">
            <w:pPr>
              <w:spacing w:line="360" w:lineRule="auto"/>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项号</w:t>
            </w:r>
          </w:p>
        </w:tc>
        <w:tc>
          <w:tcPr>
            <w:tcW w:w="682" w:type="dxa"/>
            <w:tcBorders>
              <w:top w:val="single" w:color="auto" w:sz="4" w:space="0"/>
              <w:left w:val="single" w:color="auto" w:sz="4" w:space="0"/>
              <w:bottom w:val="single" w:color="auto" w:sz="4" w:space="0"/>
              <w:right w:val="single" w:color="auto" w:sz="4" w:space="0"/>
            </w:tcBorders>
            <w:vAlign w:val="center"/>
          </w:tcPr>
          <w:p w14:paraId="45909F01">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标的名称</w:t>
            </w:r>
          </w:p>
        </w:tc>
        <w:tc>
          <w:tcPr>
            <w:tcW w:w="884" w:type="dxa"/>
            <w:tcBorders>
              <w:top w:val="single" w:color="auto" w:sz="4" w:space="0"/>
              <w:left w:val="single" w:color="auto" w:sz="4" w:space="0"/>
              <w:bottom w:val="single" w:color="auto" w:sz="4" w:space="0"/>
              <w:right w:val="single" w:color="auto" w:sz="4" w:space="0"/>
            </w:tcBorders>
            <w:vAlign w:val="center"/>
          </w:tcPr>
          <w:p w14:paraId="758E49DA">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数量及单位</w:t>
            </w:r>
          </w:p>
        </w:tc>
        <w:tc>
          <w:tcPr>
            <w:tcW w:w="7685" w:type="dxa"/>
            <w:tcBorders>
              <w:top w:val="single" w:color="auto" w:sz="4" w:space="0"/>
              <w:left w:val="single" w:color="auto" w:sz="4" w:space="0"/>
              <w:bottom w:val="single" w:color="auto" w:sz="4" w:space="0"/>
              <w:right w:val="single" w:color="auto" w:sz="4" w:space="0"/>
            </w:tcBorders>
            <w:vAlign w:val="center"/>
          </w:tcPr>
          <w:p w14:paraId="333EDC1B">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服务内容及要求</w:t>
            </w:r>
          </w:p>
        </w:tc>
      </w:tr>
      <w:tr w14:paraId="3BD92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vAlign w:val="center"/>
          </w:tcPr>
          <w:p w14:paraId="3C275A8E">
            <w:pPr>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682" w:type="dxa"/>
            <w:tcBorders>
              <w:top w:val="single" w:color="auto" w:sz="4" w:space="0"/>
              <w:left w:val="single" w:color="auto" w:sz="4" w:space="0"/>
              <w:bottom w:val="single" w:color="auto" w:sz="4" w:space="0"/>
              <w:right w:val="single" w:color="auto" w:sz="4" w:space="0"/>
            </w:tcBorders>
            <w:vAlign w:val="center"/>
          </w:tcPr>
          <w:p w14:paraId="3605B419">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fill="FFFFFF"/>
              </w:rPr>
              <w:t>202</w:t>
            </w:r>
            <w:r>
              <w:rPr>
                <w:rFonts w:hint="eastAsia" w:ascii="宋体" w:hAnsi="宋体" w:eastAsia="宋体" w:cs="宋体"/>
                <w:b w:val="0"/>
                <w:bCs w:val="0"/>
                <w:i w:val="0"/>
                <w:iCs w:val="0"/>
                <w:caps w:val="0"/>
                <w:color w:val="auto"/>
                <w:spacing w:val="0"/>
                <w:sz w:val="21"/>
                <w:szCs w:val="21"/>
                <w:highlight w:val="none"/>
                <w:shd w:val="clear" w:fill="FFFFFF"/>
                <w:lang w:val="en-US" w:eastAsia="zh-CN"/>
              </w:rPr>
              <w:t>5</w:t>
            </w:r>
            <w:r>
              <w:rPr>
                <w:rFonts w:hint="eastAsia" w:ascii="宋体" w:hAnsi="宋体" w:eastAsia="宋体" w:cs="宋体"/>
                <w:b w:val="0"/>
                <w:bCs w:val="0"/>
                <w:i w:val="0"/>
                <w:iCs w:val="0"/>
                <w:caps w:val="0"/>
                <w:color w:val="auto"/>
                <w:spacing w:val="0"/>
                <w:sz w:val="21"/>
                <w:szCs w:val="21"/>
                <w:highlight w:val="none"/>
                <w:shd w:val="clear" w:fill="FFFFFF"/>
              </w:rPr>
              <w:t>广西艺术作品展览——第</w:t>
            </w:r>
            <w:r>
              <w:rPr>
                <w:rFonts w:hint="eastAsia" w:ascii="宋体" w:hAnsi="宋体" w:eastAsia="宋体" w:cs="宋体"/>
                <w:b w:val="0"/>
                <w:bCs w:val="0"/>
                <w:i w:val="0"/>
                <w:iCs w:val="0"/>
                <w:caps w:val="0"/>
                <w:color w:val="auto"/>
                <w:spacing w:val="0"/>
                <w:sz w:val="21"/>
                <w:szCs w:val="21"/>
                <w:highlight w:val="none"/>
                <w:shd w:val="clear" w:fill="FFFFFF"/>
                <w:lang w:val="en-US" w:eastAsia="zh-CN"/>
              </w:rPr>
              <w:t>八</w:t>
            </w:r>
            <w:r>
              <w:rPr>
                <w:rFonts w:hint="eastAsia" w:ascii="宋体" w:hAnsi="宋体" w:eastAsia="宋体" w:cs="宋体"/>
                <w:b w:val="0"/>
                <w:bCs w:val="0"/>
                <w:i w:val="0"/>
                <w:iCs w:val="0"/>
                <w:caps w:val="0"/>
                <w:color w:val="auto"/>
                <w:spacing w:val="0"/>
                <w:sz w:val="21"/>
                <w:szCs w:val="21"/>
                <w:highlight w:val="none"/>
                <w:shd w:val="clear" w:fill="FFFFFF"/>
              </w:rPr>
              <w:t>届摄影作品展览</w:t>
            </w:r>
          </w:p>
        </w:tc>
        <w:tc>
          <w:tcPr>
            <w:tcW w:w="884" w:type="dxa"/>
            <w:tcBorders>
              <w:top w:val="single" w:color="auto" w:sz="4" w:space="0"/>
              <w:left w:val="single" w:color="auto" w:sz="4" w:space="0"/>
              <w:bottom w:val="single" w:color="auto" w:sz="4" w:space="0"/>
              <w:right w:val="single" w:color="auto" w:sz="4" w:space="0"/>
            </w:tcBorders>
            <w:vAlign w:val="center"/>
          </w:tcPr>
          <w:p w14:paraId="4E69621D">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1项</w:t>
            </w:r>
          </w:p>
        </w:tc>
        <w:tc>
          <w:tcPr>
            <w:tcW w:w="7685" w:type="dxa"/>
            <w:tcBorders>
              <w:top w:val="single" w:color="auto" w:sz="4" w:space="0"/>
              <w:left w:val="single" w:color="auto" w:sz="4" w:space="0"/>
              <w:bottom w:val="single" w:color="auto" w:sz="4" w:space="0"/>
              <w:right w:val="single" w:color="auto" w:sz="4" w:space="0"/>
            </w:tcBorders>
            <w:vAlign w:val="center"/>
          </w:tcPr>
          <w:p w14:paraId="3921117F">
            <w:pPr>
              <w:pStyle w:val="21"/>
              <w:spacing w:line="360" w:lineRule="auto"/>
              <w:ind w:right="34"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rPr>
              <w:t>项目背景</w:t>
            </w:r>
          </w:p>
          <w:p w14:paraId="4AC55D31">
            <w:pPr>
              <w:pStyle w:val="21"/>
              <w:spacing w:line="360" w:lineRule="auto"/>
              <w:ind w:right="34"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fill="FFFFFF"/>
              </w:rPr>
              <w:t>广西艺术作品展览是全区最高水平的艺术作品展览，用于展示坚持以人民为中心的创作导向，坚持“二为”方向和“双百”方针，坚持创造性转化、创新性发展，体现社会主义核心价值观要求，代表广西艺术创作</w:t>
            </w:r>
            <w:r>
              <w:rPr>
                <w:rFonts w:hint="eastAsia" w:ascii="宋体" w:hAnsi="宋体" w:eastAsia="宋体" w:cs="宋体"/>
                <w:b w:val="0"/>
                <w:bCs w:val="0"/>
                <w:i w:val="0"/>
                <w:iCs w:val="0"/>
                <w:caps w:val="0"/>
                <w:color w:val="auto"/>
                <w:spacing w:val="0"/>
                <w:sz w:val="21"/>
                <w:szCs w:val="21"/>
                <w:highlight w:val="none"/>
                <w:shd w:val="clear" w:fill="FFFFFF"/>
                <w:lang w:eastAsia="zh-CN"/>
              </w:rPr>
              <w:t>的最高</w:t>
            </w:r>
            <w:r>
              <w:rPr>
                <w:rFonts w:hint="eastAsia" w:ascii="宋体" w:hAnsi="宋体" w:eastAsia="宋体" w:cs="宋体"/>
                <w:b w:val="0"/>
                <w:bCs w:val="0"/>
                <w:i w:val="0"/>
                <w:iCs w:val="0"/>
                <w:caps w:val="0"/>
                <w:color w:val="auto"/>
                <w:spacing w:val="0"/>
                <w:sz w:val="21"/>
                <w:szCs w:val="21"/>
                <w:highlight w:val="none"/>
                <w:shd w:val="clear" w:fill="FFFFFF"/>
              </w:rPr>
              <w:t>水平、增强人民精神力量的优秀</w:t>
            </w:r>
            <w:r>
              <w:rPr>
                <w:rFonts w:hint="eastAsia" w:ascii="宋体" w:hAnsi="宋体" w:eastAsia="宋体" w:cs="宋体"/>
                <w:b w:val="0"/>
                <w:bCs w:val="0"/>
                <w:i w:val="0"/>
                <w:iCs w:val="0"/>
                <w:caps w:val="0"/>
                <w:color w:val="auto"/>
                <w:spacing w:val="0"/>
                <w:sz w:val="21"/>
                <w:szCs w:val="21"/>
                <w:highlight w:val="none"/>
                <w:shd w:val="clear" w:fill="FFFFFF"/>
                <w:lang w:eastAsia="zh-CN"/>
              </w:rPr>
              <w:t>艺术作品</w:t>
            </w:r>
            <w:r>
              <w:rPr>
                <w:rFonts w:hint="eastAsia" w:ascii="宋体" w:hAnsi="宋体" w:eastAsia="宋体" w:cs="宋体"/>
                <w:b w:val="0"/>
                <w:bCs w:val="0"/>
                <w:i w:val="0"/>
                <w:iCs w:val="0"/>
                <w:caps w:val="0"/>
                <w:color w:val="auto"/>
                <w:spacing w:val="0"/>
                <w:sz w:val="21"/>
                <w:szCs w:val="21"/>
                <w:highlight w:val="none"/>
                <w:shd w:val="clear" w:fill="FFFFFF"/>
              </w:rPr>
              <w:t>。艺术作品展览由自治区人民政府主办，自治区党委宣传部、自治区文联、自治区工业和信息化厅、自治区文化和旅游厅承办</w:t>
            </w:r>
            <w:r>
              <w:rPr>
                <w:rFonts w:hint="eastAsia" w:ascii="宋体" w:hAnsi="宋体" w:eastAsia="宋体" w:cs="宋体"/>
                <w:b w:val="0"/>
                <w:bCs w:val="0"/>
                <w:i w:val="0"/>
                <w:iCs w:val="0"/>
                <w:caps w:val="0"/>
                <w:color w:val="auto"/>
                <w:spacing w:val="0"/>
                <w:sz w:val="21"/>
                <w:szCs w:val="21"/>
                <w:highlight w:val="none"/>
                <w:shd w:val="clear" w:fill="FFFFFF"/>
                <w:lang w:eastAsia="zh-CN"/>
              </w:rPr>
              <w:t>，每年一届，</w:t>
            </w:r>
            <w:r>
              <w:rPr>
                <w:rFonts w:hint="eastAsia" w:ascii="宋体" w:hAnsi="宋体" w:eastAsia="宋体" w:cs="宋体"/>
                <w:b w:val="0"/>
                <w:bCs w:val="0"/>
                <w:i w:val="0"/>
                <w:iCs w:val="0"/>
                <w:caps w:val="0"/>
                <w:color w:val="auto"/>
                <w:spacing w:val="0"/>
                <w:sz w:val="21"/>
                <w:szCs w:val="21"/>
                <w:highlight w:val="none"/>
                <w:shd w:val="clear" w:fill="FFFFFF"/>
              </w:rPr>
              <w:t>涵盖美术、书法（篆刻）、摄影、工艺美术等4个门类</w:t>
            </w:r>
            <w:r>
              <w:rPr>
                <w:rFonts w:hint="eastAsia" w:ascii="宋体" w:hAnsi="宋体" w:eastAsia="宋体" w:cs="宋体"/>
                <w:b w:val="0"/>
                <w:bCs w:val="0"/>
                <w:i w:val="0"/>
                <w:iCs w:val="0"/>
                <w:caps w:val="0"/>
                <w:color w:val="auto"/>
                <w:spacing w:val="0"/>
                <w:sz w:val="21"/>
                <w:szCs w:val="21"/>
                <w:highlight w:val="none"/>
                <w:shd w:val="clear" w:fill="FFFFFF"/>
                <w:lang w:eastAsia="zh-CN"/>
              </w:rPr>
              <w:t>。其中，摄影作品展览自</w:t>
            </w:r>
            <w:r>
              <w:rPr>
                <w:rFonts w:hint="eastAsia" w:ascii="宋体" w:hAnsi="宋体" w:eastAsia="宋体" w:cs="宋体"/>
                <w:b w:val="0"/>
                <w:bCs w:val="0"/>
                <w:i w:val="0"/>
                <w:iCs w:val="0"/>
                <w:caps w:val="0"/>
                <w:color w:val="auto"/>
                <w:spacing w:val="0"/>
                <w:sz w:val="21"/>
                <w:szCs w:val="21"/>
                <w:highlight w:val="none"/>
                <w:shd w:val="clear" w:fill="FFFFFF"/>
                <w:lang w:val="en-US" w:eastAsia="zh-CN"/>
              </w:rPr>
              <w:t>2018年起至今</w:t>
            </w:r>
            <w:r>
              <w:rPr>
                <w:rFonts w:hint="eastAsia" w:ascii="宋体" w:hAnsi="宋体" w:eastAsia="宋体" w:cs="宋体"/>
                <w:b w:val="0"/>
                <w:bCs w:val="0"/>
                <w:i w:val="0"/>
                <w:iCs w:val="0"/>
                <w:caps w:val="0"/>
                <w:color w:val="auto"/>
                <w:spacing w:val="0"/>
                <w:sz w:val="21"/>
                <w:szCs w:val="21"/>
                <w:highlight w:val="none"/>
                <w:shd w:val="clear" w:fill="FFFFFF"/>
                <w:lang w:eastAsia="zh-CN"/>
              </w:rPr>
              <w:t>已举办了</w:t>
            </w:r>
            <w:r>
              <w:rPr>
                <w:rFonts w:hint="eastAsia" w:ascii="宋体" w:hAnsi="宋体" w:eastAsia="宋体" w:cs="宋体"/>
                <w:b w:val="0"/>
                <w:bCs w:val="0"/>
                <w:i w:val="0"/>
                <w:iCs w:val="0"/>
                <w:caps w:val="0"/>
                <w:color w:val="auto"/>
                <w:spacing w:val="0"/>
                <w:sz w:val="21"/>
                <w:szCs w:val="21"/>
                <w:highlight w:val="none"/>
                <w:shd w:val="clear" w:fill="FFFFFF"/>
                <w:lang w:val="en-US" w:eastAsia="zh-CN"/>
              </w:rPr>
              <w:t>7届，作品质量的不断提高和展陈方式持续创新改进，受到观众的一致的好评。</w:t>
            </w:r>
            <w:r>
              <w:rPr>
                <w:rFonts w:hint="eastAsia" w:ascii="宋体" w:hAnsi="宋体" w:eastAsia="宋体" w:cs="宋体"/>
                <w:b w:val="0"/>
                <w:bCs w:val="0"/>
                <w:i w:val="0"/>
                <w:iCs w:val="0"/>
                <w:caps w:val="0"/>
                <w:color w:val="auto"/>
                <w:spacing w:val="0"/>
                <w:sz w:val="21"/>
                <w:szCs w:val="21"/>
                <w:highlight w:val="none"/>
                <w:shd w:val="clear" w:fill="FFFFFF"/>
                <w:lang w:eastAsia="zh-CN"/>
              </w:rPr>
              <w:t>为做好</w:t>
            </w:r>
            <w:r>
              <w:rPr>
                <w:rFonts w:hint="eastAsia" w:ascii="宋体" w:hAnsi="宋体" w:eastAsia="宋体" w:cs="宋体"/>
                <w:b w:val="0"/>
                <w:bCs w:val="0"/>
                <w:i w:val="0"/>
                <w:iCs w:val="0"/>
                <w:caps w:val="0"/>
                <w:color w:val="auto"/>
                <w:spacing w:val="0"/>
                <w:sz w:val="21"/>
                <w:szCs w:val="21"/>
                <w:highlight w:val="none"/>
                <w:shd w:val="clear" w:fill="FFFFFF"/>
              </w:rPr>
              <w:t>202</w:t>
            </w:r>
            <w:r>
              <w:rPr>
                <w:rFonts w:hint="eastAsia" w:ascii="宋体" w:hAnsi="宋体" w:eastAsia="宋体" w:cs="宋体"/>
                <w:b w:val="0"/>
                <w:bCs w:val="0"/>
                <w:i w:val="0"/>
                <w:iCs w:val="0"/>
                <w:caps w:val="0"/>
                <w:color w:val="auto"/>
                <w:spacing w:val="0"/>
                <w:sz w:val="21"/>
                <w:szCs w:val="21"/>
                <w:highlight w:val="none"/>
                <w:shd w:val="clear" w:fill="FFFFFF"/>
                <w:lang w:val="en-US" w:eastAsia="zh-CN"/>
              </w:rPr>
              <w:t>5</w:t>
            </w:r>
            <w:r>
              <w:rPr>
                <w:rFonts w:hint="eastAsia" w:ascii="宋体" w:hAnsi="宋体" w:eastAsia="宋体" w:cs="宋体"/>
                <w:b w:val="0"/>
                <w:bCs w:val="0"/>
                <w:i w:val="0"/>
                <w:iCs w:val="0"/>
                <w:caps w:val="0"/>
                <w:color w:val="auto"/>
                <w:spacing w:val="0"/>
                <w:sz w:val="21"/>
                <w:szCs w:val="21"/>
                <w:highlight w:val="none"/>
                <w:shd w:val="clear" w:fill="FFFFFF"/>
              </w:rPr>
              <w:t>广西艺术作品展览——第</w:t>
            </w:r>
            <w:r>
              <w:rPr>
                <w:rFonts w:hint="eastAsia" w:ascii="宋体" w:hAnsi="宋体" w:eastAsia="宋体" w:cs="宋体"/>
                <w:b w:val="0"/>
                <w:bCs w:val="0"/>
                <w:i w:val="0"/>
                <w:iCs w:val="0"/>
                <w:caps w:val="0"/>
                <w:color w:val="auto"/>
                <w:spacing w:val="0"/>
                <w:sz w:val="21"/>
                <w:szCs w:val="21"/>
                <w:highlight w:val="none"/>
                <w:shd w:val="clear" w:fill="FFFFFF"/>
                <w:lang w:val="en-US" w:eastAsia="zh-CN"/>
              </w:rPr>
              <w:t>八</w:t>
            </w:r>
            <w:r>
              <w:rPr>
                <w:rFonts w:hint="eastAsia" w:ascii="宋体" w:hAnsi="宋体" w:eastAsia="宋体" w:cs="宋体"/>
                <w:b w:val="0"/>
                <w:bCs w:val="0"/>
                <w:i w:val="0"/>
                <w:iCs w:val="0"/>
                <w:caps w:val="0"/>
                <w:color w:val="auto"/>
                <w:spacing w:val="0"/>
                <w:sz w:val="21"/>
                <w:szCs w:val="21"/>
                <w:highlight w:val="none"/>
                <w:shd w:val="clear" w:fill="FFFFFF"/>
              </w:rPr>
              <w:t>届摄影作品展览</w:t>
            </w:r>
            <w:r>
              <w:rPr>
                <w:rFonts w:hint="eastAsia" w:ascii="宋体" w:hAnsi="宋体" w:eastAsia="宋体" w:cs="宋体"/>
                <w:b w:val="0"/>
                <w:bCs w:val="0"/>
                <w:i w:val="0"/>
                <w:iCs w:val="0"/>
                <w:caps w:val="0"/>
                <w:color w:val="auto"/>
                <w:spacing w:val="0"/>
                <w:sz w:val="21"/>
                <w:szCs w:val="21"/>
                <w:highlight w:val="none"/>
                <w:shd w:val="clear" w:fill="FFFFFF"/>
                <w:lang w:val="en-US" w:eastAsia="zh-CN"/>
              </w:rPr>
              <w:t>工作，现面向社会公开招标采购</w:t>
            </w:r>
            <w:r>
              <w:rPr>
                <w:rFonts w:hint="eastAsia" w:ascii="宋体" w:hAnsi="宋体" w:eastAsia="宋体" w:cs="宋体"/>
                <w:b w:val="0"/>
                <w:bCs w:val="0"/>
                <w:i w:val="0"/>
                <w:iCs w:val="0"/>
                <w:caps w:val="0"/>
                <w:color w:val="auto"/>
                <w:spacing w:val="0"/>
                <w:sz w:val="21"/>
                <w:szCs w:val="21"/>
                <w:highlight w:val="none"/>
                <w:shd w:val="clear" w:fill="FFFFFF"/>
              </w:rPr>
              <w:t>202</w:t>
            </w:r>
            <w:r>
              <w:rPr>
                <w:rFonts w:hint="eastAsia" w:ascii="宋体" w:hAnsi="宋体" w:eastAsia="宋体" w:cs="宋体"/>
                <w:b w:val="0"/>
                <w:bCs w:val="0"/>
                <w:i w:val="0"/>
                <w:iCs w:val="0"/>
                <w:caps w:val="0"/>
                <w:color w:val="auto"/>
                <w:spacing w:val="0"/>
                <w:sz w:val="21"/>
                <w:szCs w:val="21"/>
                <w:highlight w:val="none"/>
                <w:shd w:val="clear" w:fill="FFFFFF"/>
                <w:lang w:val="en-US" w:eastAsia="zh-CN"/>
              </w:rPr>
              <w:t>5</w:t>
            </w:r>
            <w:r>
              <w:rPr>
                <w:rFonts w:hint="eastAsia" w:ascii="宋体" w:hAnsi="宋体" w:eastAsia="宋体" w:cs="宋体"/>
                <w:b w:val="0"/>
                <w:bCs w:val="0"/>
                <w:i w:val="0"/>
                <w:iCs w:val="0"/>
                <w:caps w:val="0"/>
                <w:color w:val="auto"/>
                <w:spacing w:val="0"/>
                <w:sz w:val="21"/>
                <w:szCs w:val="21"/>
                <w:highlight w:val="none"/>
                <w:shd w:val="clear" w:fill="FFFFFF"/>
              </w:rPr>
              <w:t>广西艺术作品展览——第</w:t>
            </w:r>
            <w:r>
              <w:rPr>
                <w:rFonts w:hint="eastAsia" w:ascii="宋体" w:hAnsi="宋体" w:eastAsia="宋体" w:cs="宋体"/>
                <w:b w:val="0"/>
                <w:bCs w:val="0"/>
                <w:i w:val="0"/>
                <w:iCs w:val="0"/>
                <w:caps w:val="0"/>
                <w:color w:val="auto"/>
                <w:spacing w:val="0"/>
                <w:sz w:val="21"/>
                <w:szCs w:val="21"/>
                <w:highlight w:val="none"/>
                <w:shd w:val="clear" w:fill="FFFFFF"/>
                <w:lang w:val="en-US" w:eastAsia="zh-CN"/>
              </w:rPr>
              <w:t>八</w:t>
            </w:r>
            <w:r>
              <w:rPr>
                <w:rFonts w:hint="eastAsia" w:ascii="宋体" w:hAnsi="宋体" w:eastAsia="宋体" w:cs="宋体"/>
                <w:b w:val="0"/>
                <w:bCs w:val="0"/>
                <w:i w:val="0"/>
                <w:iCs w:val="0"/>
                <w:caps w:val="0"/>
                <w:color w:val="auto"/>
                <w:spacing w:val="0"/>
                <w:sz w:val="21"/>
                <w:szCs w:val="21"/>
                <w:highlight w:val="none"/>
                <w:shd w:val="clear" w:fill="FFFFFF"/>
              </w:rPr>
              <w:t>届摄影作品展览的整体策划，摄影作品图片及文字的整理、编辑，摄影作品输出、装裱，展览场地改造、布展、撤展等服务。</w:t>
            </w:r>
          </w:p>
          <w:p w14:paraId="70BE6921">
            <w:pPr>
              <w:pStyle w:val="21"/>
              <w:spacing w:line="360" w:lineRule="auto"/>
              <w:ind w:right="34"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二、具体要求</w:t>
            </w:r>
          </w:p>
          <w:p w14:paraId="00B04764">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展览策展</w:t>
            </w:r>
          </w:p>
          <w:p w14:paraId="7DA0BAD9">
            <w:pPr>
              <w:pStyle w:val="21"/>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根据展览场馆和展览作品内容</w:t>
            </w:r>
            <w:r>
              <w:rPr>
                <w:rFonts w:hint="eastAsia" w:ascii="宋体" w:hAnsi="宋体" w:eastAsia="宋体" w:cs="宋体"/>
                <w:b w:val="0"/>
                <w:bCs w:val="0"/>
                <w:color w:val="auto"/>
                <w:sz w:val="21"/>
                <w:szCs w:val="21"/>
                <w:highlight w:val="none"/>
              </w:rPr>
              <w:t>对展览进行整体策划，包括风格定位，勘察场地、</w:t>
            </w:r>
            <w:r>
              <w:rPr>
                <w:rFonts w:hint="eastAsia" w:ascii="宋体" w:hAnsi="宋体" w:eastAsia="宋体" w:cs="宋体"/>
                <w:b w:val="0"/>
                <w:bCs w:val="0"/>
                <w:color w:val="auto"/>
                <w:sz w:val="21"/>
                <w:szCs w:val="21"/>
                <w:highlight w:val="none"/>
                <w:lang w:val="en-US" w:eastAsia="zh-CN"/>
              </w:rPr>
              <w:t>整体策展方案</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指导布展。</w:t>
            </w:r>
          </w:p>
          <w:p w14:paraId="6B05DF38">
            <w:pPr>
              <w:pStyle w:val="21"/>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（二）展览场地改造</w:t>
            </w:r>
          </w:p>
          <w:p w14:paraId="025E342F">
            <w:pPr>
              <w:pStyle w:val="21"/>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用于展场灯光</w:t>
            </w:r>
            <w:r>
              <w:rPr>
                <w:rFonts w:hint="eastAsia" w:ascii="宋体" w:hAnsi="宋体" w:eastAsia="宋体" w:cs="宋体"/>
                <w:b w:val="0"/>
                <w:bCs w:val="0"/>
                <w:color w:val="auto"/>
                <w:sz w:val="21"/>
                <w:szCs w:val="21"/>
                <w:highlight w:val="none"/>
                <w:lang w:val="en-US" w:eastAsia="zh-CN"/>
              </w:rPr>
              <w:t>布置和</w:t>
            </w:r>
            <w:r>
              <w:rPr>
                <w:rFonts w:hint="eastAsia" w:ascii="宋体" w:hAnsi="宋体" w:eastAsia="宋体" w:cs="宋体"/>
                <w:b w:val="0"/>
                <w:bCs w:val="0"/>
                <w:color w:val="auto"/>
                <w:sz w:val="21"/>
                <w:szCs w:val="21"/>
                <w:highlight w:val="none"/>
              </w:rPr>
              <w:t>调试、展板改造</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多媒体设备租用</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展场改造及展陈装置所需有关物料等</w:t>
            </w:r>
          </w:p>
          <w:p w14:paraId="3FEA8A31">
            <w:pPr>
              <w:pStyle w:val="21"/>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（三）展览作品文字、图片校对、编辑</w:t>
            </w:r>
          </w:p>
          <w:p w14:paraId="18D09297">
            <w:pPr>
              <w:pStyle w:val="21"/>
              <w:spacing w:line="360" w:lineRule="auto"/>
              <w:ind w:firstLine="420" w:firstLineChars="20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1.文字编辑：</w:t>
            </w:r>
            <w:r>
              <w:rPr>
                <w:rFonts w:hint="eastAsia" w:ascii="宋体" w:hAnsi="宋体" w:eastAsia="宋体" w:cs="宋体"/>
                <w:b w:val="0"/>
                <w:bCs w:val="0"/>
                <w:color w:val="auto"/>
                <w:sz w:val="21"/>
                <w:szCs w:val="21"/>
                <w:highlight w:val="none"/>
              </w:rPr>
              <w:t>作品的标题/图片说明编辑</w:t>
            </w:r>
            <w:r>
              <w:rPr>
                <w:rFonts w:hint="eastAsia" w:ascii="宋体" w:hAnsi="宋体" w:eastAsia="宋体" w:cs="宋体"/>
                <w:b w:val="0"/>
                <w:bCs w:val="0"/>
                <w:color w:val="auto"/>
                <w:sz w:val="21"/>
                <w:szCs w:val="21"/>
                <w:highlight w:val="none"/>
                <w:lang w:eastAsia="zh-CN"/>
              </w:rPr>
              <w:t>；</w:t>
            </w:r>
          </w:p>
          <w:p w14:paraId="748E517B">
            <w:pPr>
              <w:pStyle w:val="21"/>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2.图片编辑：</w:t>
            </w:r>
            <w:r>
              <w:rPr>
                <w:rFonts w:hint="eastAsia" w:ascii="宋体" w:hAnsi="宋体" w:eastAsia="宋体" w:cs="宋体"/>
                <w:b w:val="0"/>
                <w:bCs w:val="0"/>
                <w:color w:val="auto"/>
                <w:sz w:val="21"/>
                <w:szCs w:val="21"/>
                <w:highlight w:val="none"/>
              </w:rPr>
              <w:t>图片的整理、编辑排版</w:t>
            </w:r>
            <w:r>
              <w:rPr>
                <w:rFonts w:hint="eastAsia" w:ascii="宋体" w:hAnsi="宋体" w:eastAsia="宋体" w:cs="宋体"/>
                <w:b w:val="0"/>
                <w:bCs w:val="0"/>
                <w:color w:val="auto"/>
                <w:sz w:val="21"/>
                <w:szCs w:val="21"/>
                <w:highlight w:val="none"/>
                <w:lang w:eastAsia="zh-CN"/>
              </w:rPr>
              <w:t>。</w:t>
            </w:r>
          </w:p>
          <w:p w14:paraId="4193923C">
            <w:pPr>
              <w:pStyle w:val="21"/>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（四）展览布展、撤展</w:t>
            </w:r>
          </w:p>
          <w:p w14:paraId="3802732F">
            <w:pPr>
              <w:pStyle w:val="21"/>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布展：展览作品、装置的安装严格按照设计方案和展品要求进行作品悬挂、摆放，确保位置精准、水平垂直度达标、保护措施等到位；在搬运、开箱、悬挂、摆放等所有接触展品的环节必须严格遵守展品操作规范，使用专业工具和方法，严禁直接用手触摸画面；配合主办方场馆的安保措施；所有固定装置必须绝对稳固，防止作品意外跌落、倾倒等；按合同约定时间完成展品布置等。</w:t>
            </w:r>
          </w:p>
          <w:p w14:paraId="7073FF86">
            <w:pPr>
              <w:pStyle w:val="21"/>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2.撤展</w:t>
            </w:r>
            <w:r>
              <w:rPr>
                <w:rFonts w:hint="eastAsia" w:ascii="宋体" w:hAnsi="宋体" w:eastAsia="宋体" w:cs="宋体"/>
                <w:b w:val="0"/>
                <w:bCs w:val="0"/>
                <w:color w:val="auto"/>
                <w:sz w:val="21"/>
                <w:szCs w:val="21"/>
                <w:highlight w:val="none"/>
                <w:lang w:val="en" w:eastAsia="zh-CN"/>
              </w:rPr>
              <w:t>:</w:t>
            </w:r>
            <w:r>
              <w:rPr>
                <w:rFonts w:hint="eastAsia" w:ascii="宋体" w:hAnsi="宋体" w:eastAsia="宋体" w:cs="宋体"/>
                <w:b w:val="0"/>
                <w:bCs w:val="0"/>
                <w:color w:val="auto"/>
                <w:sz w:val="21"/>
                <w:szCs w:val="21"/>
                <w:highlight w:val="none"/>
                <w:lang w:val="en-US" w:eastAsia="zh-CN"/>
              </w:rPr>
              <w:t>展览结束后，所有展览作品、装置严格遵守展品操作规范进行拆卸，使用专业工具进行专业打包，并按约定时间运送到指定地点（南宁市）。</w:t>
            </w:r>
          </w:p>
          <w:p w14:paraId="6081E274">
            <w:pPr>
              <w:pStyle w:val="21"/>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（五）展览作品输出</w:t>
            </w:r>
          </w:p>
          <w:p w14:paraId="6A668076">
            <w:pPr>
              <w:pStyle w:val="21"/>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能满足展览作品对色彩准确度的要求的展览级艺术微喷或同等以上工艺输出，使用专业</w:t>
            </w:r>
            <w:r>
              <w:rPr>
                <w:rFonts w:hint="eastAsia" w:ascii="宋体" w:hAnsi="宋体" w:cs="宋体"/>
                <w:b w:val="0"/>
                <w:bCs w:val="0"/>
                <w:i w:val="0"/>
                <w:iCs w:val="0"/>
                <w:color w:val="auto"/>
                <w:kern w:val="0"/>
                <w:sz w:val="21"/>
                <w:szCs w:val="21"/>
                <w:highlight w:val="none"/>
                <w:u w:val="none"/>
                <w:lang w:val="en-US" w:eastAsia="zh-CN" w:bidi="ar"/>
              </w:rPr>
              <w:t>防水</w:t>
            </w:r>
            <w:r>
              <w:rPr>
                <w:rFonts w:hint="eastAsia" w:ascii="宋体" w:hAnsi="宋体" w:eastAsia="宋体" w:cs="宋体"/>
                <w:b w:val="0"/>
                <w:bCs w:val="0"/>
                <w:i w:val="0"/>
                <w:iCs w:val="0"/>
                <w:color w:val="auto"/>
                <w:kern w:val="0"/>
                <w:sz w:val="21"/>
                <w:szCs w:val="21"/>
                <w:highlight w:val="none"/>
                <w:u w:val="none"/>
                <w:lang w:val="en-US" w:eastAsia="zh-CN" w:bidi="ar"/>
              </w:rPr>
              <w:t>相纸或同等以上的高品质纸张、材料。</w:t>
            </w:r>
            <w:r>
              <w:rPr>
                <w:rFonts w:hint="eastAsia" w:ascii="宋体" w:hAnsi="宋体" w:eastAsia="宋体" w:cs="宋体"/>
                <w:b w:val="0"/>
                <w:bCs w:val="0"/>
                <w:color w:val="auto"/>
                <w:sz w:val="21"/>
                <w:szCs w:val="21"/>
                <w:highlight w:val="none"/>
              </w:rPr>
              <w:t>（最大尺寸150cm×120cm,最小尺寸50cm×30cm）</w:t>
            </w:r>
          </w:p>
          <w:p w14:paraId="45269F04">
            <w:pPr>
              <w:pStyle w:val="21"/>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（六）展览作品装裱</w:t>
            </w:r>
          </w:p>
          <w:p w14:paraId="4E796C7F">
            <w:pPr>
              <w:pStyle w:val="21"/>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摄影作品冷裱后，使用厚度</w:t>
            </w:r>
            <w:r>
              <w:rPr>
                <w:rFonts w:hint="eastAsia" w:ascii="宋体" w:hAnsi="宋体" w:cs="宋体"/>
                <w:b w:val="0"/>
                <w:bCs w:val="0"/>
                <w:i w:val="0"/>
                <w:iCs w:val="0"/>
                <w:color w:val="auto"/>
                <w:kern w:val="0"/>
                <w:sz w:val="21"/>
                <w:szCs w:val="21"/>
                <w:highlight w:val="none"/>
                <w:u w:val="none"/>
                <w:lang w:val="en-US" w:eastAsia="zh-CN" w:bidi="ar"/>
              </w:rPr>
              <w:t>1cm结皮PVC底板</w:t>
            </w:r>
            <w:r>
              <w:rPr>
                <w:rFonts w:hint="eastAsia" w:ascii="宋体" w:hAnsi="宋体" w:eastAsia="宋体" w:cs="宋体"/>
                <w:b w:val="0"/>
                <w:bCs w:val="0"/>
                <w:i w:val="0"/>
                <w:iCs w:val="0"/>
                <w:color w:val="auto"/>
                <w:kern w:val="0"/>
                <w:sz w:val="21"/>
                <w:szCs w:val="21"/>
                <w:highlight w:val="none"/>
                <w:u w:val="none"/>
                <w:lang w:val="en-US" w:eastAsia="zh-CN" w:bidi="ar"/>
              </w:rPr>
              <w:t>。装裱平整且无气泡、无污渍、无划痕，外框采用优质铝合金或实木框架（颜色、纹理需统一或符合设计），结构稳固，边框处理精细，无毛刺等，确保能满足展览的要求。</w:t>
            </w:r>
            <w:r>
              <w:rPr>
                <w:rFonts w:hint="eastAsia" w:ascii="宋体" w:hAnsi="宋体" w:eastAsia="宋体" w:cs="宋体"/>
                <w:b w:val="0"/>
                <w:bCs w:val="0"/>
                <w:color w:val="auto"/>
                <w:sz w:val="21"/>
                <w:szCs w:val="21"/>
                <w:highlight w:val="none"/>
              </w:rPr>
              <w:t>（最大尺寸150cm×120cm,最小尺寸50cm×30cm）</w:t>
            </w:r>
          </w:p>
        </w:tc>
      </w:tr>
      <w:tr w14:paraId="36D55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4" w:type="dxa"/>
            <w:gridSpan w:val="4"/>
            <w:tcBorders>
              <w:top w:val="single" w:color="auto" w:sz="4" w:space="0"/>
              <w:left w:val="single" w:color="auto" w:sz="4" w:space="0"/>
              <w:bottom w:val="single" w:color="auto" w:sz="4" w:space="0"/>
              <w:right w:val="single" w:color="auto" w:sz="4" w:space="0"/>
            </w:tcBorders>
            <w:vAlign w:val="center"/>
          </w:tcPr>
          <w:p w14:paraId="258C041D">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、商务要求</w:t>
            </w:r>
          </w:p>
        </w:tc>
      </w:tr>
      <w:tr w14:paraId="5916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14:paraId="0CCF9A3E">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（一）服务期限</w:t>
            </w:r>
          </w:p>
        </w:tc>
        <w:tc>
          <w:tcPr>
            <w:tcW w:w="7685" w:type="dxa"/>
            <w:tcBorders>
              <w:top w:val="single" w:color="auto" w:sz="4" w:space="0"/>
              <w:left w:val="single" w:color="auto" w:sz="4" w:space="0"/>
              <w:bottom w:val="single" w:color="auto" w:sz="4" w:space="0"/>
              <w:right w:val="single" w:color="auto" w:sz="4" w:space="0"/>
            </w:tcBorders>
            <w:vAlign w:val="center"/>
          </w:tcPr>
          <w:p w14:paraId="0BB482CC">
            <w:pPr>
              <w:pStyle w:val="21"/>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i w:val="0"/>
                <w:iCs w:val="0"/>
                <w:color w:val="auto"/>
                <w:kern w:val="0"/>
                <w:sz w:val="21"/>
                <w:szCs w:val="21"/>
                <w:highlight w:val="none"/>
                <w:u w:val="none"/>
                <w:lang w:val="en-US" w:eastAsia="zh-CN" w:bidi="ar"/>
              </w:rPr>
              <w:t>签订合同之日起至</w:t>
            </w:r>
            <w:r>
              <w:rPr>
                <w:rFonts w:hint="eastAsia" w:ascii="宋体" w:hAnsi="宋体" w:eastAsia="宋体" w:cs="宋体"/>
                <w:b w:val="0"/>
                <w:bCs/>
                <w:i w:val="0"/>
                <w:iCs w:val="0"/>
                <w:caps w:val="0"/>
                <w:color w:val="auto"/>
                <w:spacing w:val="0"/>
                <w:sz w:val="21"/>
                <w:szCs w:val="21"/>
                <w:highlight w:val="none"/>
                <w:shd w:val="clear" w:fill="FFFFFF"/>
              </w:rPr>
              <w:t>202</w:t>
            </w:r>
            <w:r>
              <w:rPr>
                <w:rFonts w:hint="eastAsia" w:ascii="宋体" w:hAnsi="宋体" w:eastAsia="宋体" w:cs="宋体"/>
                <w:b w:val="0"/>
                <w:bCs/>
                <w:i w:val="0"/>
                <w:iCs w:val="0"/>
                <w:caps w:val="0"/>
                <w:color w:val="auto"/>
                <w:spacing w:val="0"/>
                <w:sz w:val="21"/>
                <w:szCs w:val="21"/>
                <w:highlight w:val="none"/>
                <w:shd w:val="clear" w:fill="FFFFFF"/>
                <w:lang w:val="en-US" w:eastAsia="zh-CN"/>
              </w:rPr>
              <w:t>5</w:t>
            </w:r>
            <w:r>
              <w:rPr>
                <w:rFonts w:hint="eastAsia" w:ascii="宋体" w:hAnsi="宋体" w:eastAsia="宋体" w:cs="宋体"/>
                <w:b w:val="0"/>
                <w:bCs/>
                <w:i w:val="0"/>
                <w:iCs w:val="0"/>
                <w:caps w:val="0"/>
                <w:color w:val="auto"/>
                <w:spacing w:val="0"/>
                <w:sz w:val="21"/>
                <w:szCs w:val="21"/>
                <w:highlight w:val="none"/>
                <w:shd w:val="clear" w:fill="FFFFFF"/>
              </w:rPr>
              <w:t>广西艺术作品展览——第</w:t>
            </w:r>
            <w:r>
              <w:rPr>
                <w:rFonts w:hint="eastAsia" w:ascii="宋体" w:hAnsi="宋体" w:eastAsia="宋体" w:cs="宋体"/>
                <w:b w:val="0"/>
                <w:bCs/>
                <w:i w:val="0"/>
                <w:iCs w:val="0"/>
                <w:caps w:val="0"/>
                <w:color w:val="auto"/>
                <w:spacing w:val="0"/>
                <w:sz w:val="21"/>
                <w:szCs w:val="21"/>
                <w:highlight w:val="none"/>
                <w:shd w:val="clear" w:fill="FFFFFF"/>
                <w:lang w:val="en-US" w:eastAsia="zh-CN"/>
              </w:rPr>
              <w:t>八</w:t>
            </w:r>
            <w:r>
              <w:rPr>
                <w:rFonts w:hint="eastAsia" w:ascii="宋体" w:hAnsi="宋体" w:eastAsia="宋体" w:cs="宋体"/>
                <w:b w:val="0"/>
                <w:bCs/>
                <w:i w:val="0"/>
                <w:iCs w:val="0"/>
                <w:caps w:val="0"/>
                <w:color w:val="auto"/>
                <w:spacing w:val="0"/>
                <w:sz w:val="21"/>
                <w:szCs w:val="21"/>
                <w:highlight w:val="none"/>
                <w:shd w:val="clear" w:fill="FFFFFF"/>
              </w:rPr>
              <w:t>届摄影作品展览</w:t>
            </w:r>
            <w:r>
              <w:rPr>
                <w:rFonts w:hint="eastAsia" w:ascii="宋体" w:hAnsi="宋体" w:eastAsia="宋体" w:cs="宋体"/>
                <w:b w:val="0"/>
                <w:bCs/>
                <w:i w:val="0"/>
                <w:iCs w:val="0"/>
                <w:color w:val="auto"/>
                <w:kern w:val="0"/>
                <w:sz w:val="21"/>
                <w:szCs w:val="21"/>
                <w:highlight w:val="none"/>
                <w:u w:val="none"/>
                <w:lang w:val="en-US" w:eastAsia="zh-CN" w:bidi="ar"/>
              </w:rPr>
              <w:t>结束并完成“服务内容及要求”载明的各项服务止。</w:t>
            </w:r>
          </w:p>
        </w:tc>
      </w:tr>
      <w:tr w14:paraId="25D13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14:paraId="489206A0">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（二）付款条件</w:t>
            </w:r>
          </w:p>
        </w:tc>
        <w:tc>
          <w:tcPr>
            <w:tcW w:w="7685" w:type="dxa"/>
            <w:tcBorders>
              <w:top w:val="single" w:color="auto" w:sz="4" w:space="0"/>
              <w:left w:val="single" w:color="auto" w:sz="4" w:space="0"/>
              <w:bottom w:val="single" w:color="auto" w:sz="4" w:space="0"/>
              <w:right w:val="single" w:color="auto" w:sz="4" w:space="0"/>
            </w:tcBorders>
            <w:vAlign w:val="center"/>
          </w:tcPr>
          <w:p w14:paraId="02ADF5EA">
            <w:pPr>
              <w:pStyle w:val="21"/>
              <w:spacing w:line="360" w:lineRule="auto"/>
              <w:ind w:firstLine="420" w:firstLineChars="200"/>
              <w:jc w:val="both"/>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第一次付款：合同签订且财政资金到位后15个工作日内，成交供应商向采购人开具相应金额增值税发票，采购人收到发票后支付合同价款的50%；</w:t>
            </w:r>
          </w:p>
          <w:p w14:paraId="504E6681">
            <w:pPr>
              <w:pStyle w:val="21"/>
              <w:spacing w:line="360" w:lineRule="auto"/>
              <w:ind w:firstLine="420" w:firstLineChars="200"/>
              <w:jc w:val="both"/>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第二次付款：展览布展完成验收，展览开幕15个工作日内成交供应商向采购人开具相应金额增值税发票，采购人收到发票后支付合同价款的40%；</w:t>
            </w:r>
          </w:p>
          <w:p w14:paraId="23407DC6">
            <w:pPr>
              <w:pStyle w:val="21"/>
              <w:spacing w:line="360" w:lineRule="auto"/>
              <w:ind w:firstLine="420" w:firstLineChars="200"/>
              <w:jc w:val="both"/>
              <w:rPr>
                <w:rFonts w:hint="eastAsia" w:ascii="宋体" w:hAnsi="宋体" w:eastAsia="宋体" w:cs="宋体"/>
                <w:b w:val="0"/>
                <w:bCs/>
                <w:color w:val="auto"/>
                <w:sz w:val="21"/>
                <w:szCs w:val="21"/>
                <w:highlight w:val="none"/>
              </w:rPr>
            </w:pPr>
            <w:r>
              <w:rPr>
                <w:rFonts w:hint="eastAsia" w:ascii="宋体" w:hAnsi="宋体" w:eastAsia="宋体" w:cs="宋体"/>
                <w:b w:val="0"/>
                <w:bCs/>
                <w:i w:val="0"/>
                <w:iCs w:val="0"/>
                <w:color w:val="auto"/>
                <w:kern w:val="0"/>
                <w:sz w:val="21"/>
                <w:szCs w:val="21"/>
                <w:highlight w:val="none"/>
                <w:u w:val="none"/>
                <w:lang w:val="en-US" w:eastAsia="zh-CN" w:bidi="ar"/>
              </w:rPr>
              <w:t>第三次付款：全部服务完结且验收合格后5个工作日内，成交供应商向采购人开具相应金额增值税发票，采购人收到发票后支付剩余合同价款10%（无息）。</w:t>
            </w:r>
          </w:p>
        </w:tc>
      </w:tr>
      <w:tr w14:paraId="227E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14:paraId="669AD641">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（三）质量及验收标准</w:t>
            </w:r>
          </w:p>
        </w:tc>
        <w:tc>
          <w:tcPr>
            <w:tcW w:w="7685" w:type="dxa"/>
            <w:tcBorders>
              <w:top w:val="single" w:color="auto" w:sz="4" w:space="0"/>
              <w:left w:val="single" w:color="auto" w:sz="4" w:space="0"/>
              <w:bottom w:val="single" w:color="auto" w:sz="4" w:space="0"/>
              <w:right w:val="single" w:color="auto" w:sz="4" w:space="0"/>
            </w:tcBorders>
            <w:vAlign w:val="center"/>
          </w:tcPr>
          <w:p w14:paraId="2664C67A">
            <w:pPr>
              <w:pStyle w:val="21"/>
              <w:spacing w:line="360" w:lineRule="auto"/>
              <w:ind w:firstLine="420" w:firstLineChars="200"/>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依据竞争性磋商文件要求的采购需求、成交供应商响应文件承诺以及国家现行相关标准、规范履行合同。成交供应商提供的服务成果达不到验收标准的，不予验收，成交供应商应当退还采购人已支付的相关费用，造成采购人损失的，成交供应商应当予以赔偿，相关一切不利后果由成交供应商自行承担。</w:t>
            </w:r>
          </w:p>
          <w:p w14:paraId="7C8787B9">
            <w:pPr>
              <w:pStyle w:val="21"/>
              <w:spacing w:line="360" w:lineRule="auto"/>
              <w:ind w:firstLine="420" w:firstLineChars="200"/>
              <w:jc w:val="both"/>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2.成交供应商提供的服务如果与响应文件承诺的服务不相符，采购人有权中止或终止合同。</w:t>
            </w:r>
          </w:p>
          <w:p w14:paraId="120BCA61">
            <w:pPr>
              <w:pStyle w:val="21"/>
              <w:spacing w:line="360" w:lineRule="auto"/>
              <w:ind w:firstLine="420" w:firstLineChars="200"/>
              <w:rPr>
                <w:rFonts w:hint="eastAsia" w:ascii="宋体" w:hAnsi="宋体" w:eastAsia="宋体" w:cs="宋体"/>
                <w:b w:val="0"/>
                <w:bCs/>
                <w:color w:val="auto"/>
                <w:spacing w:val="-2"/>
                <w:sz w:val="21"/>
                <w:szCs w:val="21"/>
                <w:highlight w:val="none"/>
              </w:rPr>
            </w:pPr>
            <w:r>
              <w:rPr>
                <w:rFonts w:hint="eastAsia" w:ascii="宋体" w:hAnsi="宋体" w:eastAsia="宋体" w:cs="宋体"/>
                <w:b w:val="0"/>
                <w:bCs/>
                <w:i w:val="0"/>
                <w:iCs w:val="0"/>
                <w:color w:val="auto"/>
                <w:kern w:val="0"/>
                <w:sz w:val="21"/>
                <w:szCs w:val="21"/>
                <w:highlight w:val="none"/>
                <w:u w:val="none"/>
                <w:lang w:val="en-US" w:eastAsia="zh-CN" w:bidi="ar"/>
              </w:rPr>
              <w:t>3.项目实施期间，因成交供应商服务管理不善导致的相关人身财产事故及不良舆情，由成交供应商负责消除不良影响并承担相关责任。</w:t>
            </w:r>
          </w:p>
        </w:tc>
      </w:tr>
      <w:tr w14:paraId="25518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14:paraId="413004CE">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（四）权利保障</w:t>
            </w:r>
          </w:p>
        </w:tc>
        <w:tc>
          <w:tcPr>
            <w:tcW w:w="7685" w:type="dxa"/>
            <w:tcBorders>
              <w:top w:val="single" w:color="auto" w:sz="4" w:space="0"/>
              <w:left w:val="single" w:color="auto" w:sz="4" w:space="0"/>
              <w:bottom w:val="single" w:color="auto" w:sz="4" w:space="0"/>
              <w:right w:val="single" w:color="auto" w:sz="4" w:space="0"/>
            </w:tcBorders>
            <w:vAlign w:val="center"/>
          </w:tcPr>
          <w:p w14:paraId="74AD06D0">
            <w:pPr>
              <w:pStyle w:val="21"/>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i w:val="0"/>
                <w:iCs w:val="0"/>
                <w:color w:val="auto"/>
                <w:kern w:val="0"/>
                <w:sz w:val="21"/>
                <w:szCs w:val="21"/>
                <w:highlight w:val="none"/>
                <w:u w:val="none"/>
                <w:lang w:val="en-US" w:eastAsia="zh-CN" w:bidi="ar"/>
              </w:rPr>
              <w:t>成交供应商所提供的服务涉及到的知识产权和相关技术资料必须是合法取得的，不会侵犯任何第三方的专利权、商标权、工业设计权或其他权利，不会因为采购人的使用服务成果遭受第三方侵权指控，包括被责令致歉、停止使用、追偿或要求赔偿损失等。否则，成交供应商负责解决由此引起的一切纠纷，采购人有权追究成交供应商的法律责任，其不利后果由成交供应商全部承担。</w:t>
            </w:r>
          </w:p>
        </w:tc>
      </w:tr>
      <w:tr w14:paraId="4A180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14:paraId="00DCE3B3">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（五）报价要求</w:t>
            </w:r>
          </w:p>
        </w:tc>
        <w:tc>
          <w:tcPr>
            <w:tcW w:w="7685" w:type="dxa"/>
            <w:tcBorders>
              <w:top w:val="single" w:color="auto" w:sz="4" w:space="0"/>
              <w:left w:val="single" w:color="auto" w:sz="4" w:space="0"/>
              <w:bottom w:val="single" w:color="auto" w:sz="4" w:space="0"/>
              <w:right w:val="single" w:color="auto" w:sz="4" w:space="0"/>
            </w:tcBorders>
            <w:vAlign w:val="center"/>
          </w:tcPr>
          <w:p w14:paraId="56792005">
            <w:pPr>
              <w:pStyle w:val="21"/>
              <w:spacing w:line="360" w:lineRule="auto"/>
              <w:ind w:right="34" w:firstLine="420" w:firstLineChars="200"/>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1.本项目按总包干报价，包括完成本项目服务产生的所有成本、税金及合理利润。具体包含但不限于</w:t>
            </w:r>
            <w:r>
              <w:rPr>
                <w:rFonts w:hint="eastAsia" w:ascii="宋体" w:hAnsi="宋体" w:eastAsia="宋体" w:cs="宋体"/>
                <w:b w:val="0"/>
                <w:bCs/>
                <w:i w:val="0"/>
                <w:iCs w:val="0"/>
                <w:caps w:val="0"/>
                <w:color w:val="auto"/>
                <w:spacing w:val="0"/>
                <w:sz w:val="21"/>
                <w:szCs w:val="21"/>
                <w:highlight w:val="none"/>
                <w:shd w:val="clear" w:fill="FFFFFF"/>
              </w:rPr>
              <w:t>202</w:t>
            </w:r>
            <w:r>
              <w:rPr>
                <w:rFonts w:hint="eastAsia" w:ascii="宋体" w:hAnsi="宋体" w:eastAsia="宋体" w:cs="宋体"/>
                <w:b w:val="0"/>
                <w:bCs/>
                <w:i w:val="0"/>
                <w:iCs w:val="0"/>
                <w:caps w:val="0"/>
                <w:color w:val="auto"/>
                <w:spacing w:val="0"/>
                <w:sz w:val="21"/>
                <w:szCs w:val="21"/>
                <w:highlight w:val="none"/>
                <w:shd w:val="clear" w:fill="FFFFFF"/>
                <w:lang w:val="en-US" w:eastAsia="zh-CN"/>
              </w:rPr>
              <w:t>5</w:t>
            </w:r>
            <w:r>
              <w:rPr>
                <w:rFonts w:hint="eastAsia" w:ascii="宋体" w:hAnsi="宋体" w:eastAsia="宋体" w:cs="宋体"/>
                <w:b w:val="0"/>
                <w:bCs/>
                <w:i w:val="0"/>
                <w:iCs w:val="0"/>
                <w:caps w:val="0"/>
                <w:color w:val="auto"/>
                <w:spacing w:val="0"/>
                <w:sz w:val="21"/>
                <w:szCs w:val="21"/>
                <w:highlight w:val="none"/>
                <w:shd w:val="clear" w:fill="FFFFFF"/>
              </w:rPr>
              <w:t>广西艺术作品展览——第</w:t>
            </w:r>
            <w:r>
              <w:rPr>
                <w:rFonts w:hint="eastAsia" w:ascii="宋体" w:hAnsi="宋体" w:eastAsia="宋体" w:cs="宋体"/>
                <w:b w:val="0"/>
                <w:bCs/>
                <w:i w:val="0"/>
                <w:iCs w:val="0"/>
                <w:caps w:val="0"/>
                <w:color w:val="auto"/>
                <w:spacing w:val="0"/>
                <w:sz w:val="21"/>
                <w:szCs w:val="21"/>
                <w:highlight w:val="none"/>
                <w:shd w:val="clear" w:fill="FFFFFF"/>
                <w:lang w:val="en-US" w:eastAsia="zh-CN"/>
              </w:rPr>
              <w:t>八</w:t>
            </w:r>
            <w:r>
              <w:rPr>
                <w:rFonts w:hint="eastAsia" w:ascii="宋体" w:hAnsi="宋体" w:eastAsia="宋体" w:cs="宋体"/>
                <w:b w:val="0"/>
                <w:bCs/>
                <w:i w:val="0"/>
                <w:iCs w:val="0"/>
                <w:caps w:val="0"/>
                <w:color w:val="auto"/>
                <w:spacing w:val="0"/>
                <w:sz w:val="21"/>
                <w:szCs w:val="21"/>
                <w:highlight w:val="none"/>
                <w:shd w:val="clear" w:fill="FFFFFF"/>
              </w:rPr>
              <w:t>届摄影作品展览的整体策划，摄影作品图片及文字的整理、编辑，摄影作品输出、装裱，展览场地改造、布展、撤展等</w:t>
            </w:r>
            <w:r>
              <w:rPr>
                <w:rFonts w:hint="eastAsia" w:ascii="宋体" w:hAnsi="宋体" w:eastAsia="宋体" w:cs="宋体"/>
                <w:b w:val="0"/>
                <w:bCs/>
                <w:i w:val="0"/>
                <w:iCs w:val="0"/>
                <w:caps w:val="0"/>
                <w:color w:val="auto"/>
                <w:spacing w:val="0"/>
                <w:sz w:val="21"/>
                <w:szCs w:val="21"/>
                <w:highlight w:val="none"/>
                <w:shd w:val="clear" w:fill="FFFFFF"/>
                <w:lang w:val="en-US" w:eastAsia="zh-CN"/>
              </w:rPr>
              <w:t>费用，</w:t>
            </w:r>
            <w:r>
              <w:rPr>
                <w:rFonts w:hint="eastAsia" w:ascii="宋体" w:hAnsi="宋体" w:eastAsia="宋体" w:cs="宋体"/>
                <w:b w:val="0"/>
                <w:bCs/>
                <w:i w:val="0"/>
                <w:iCs w:val="0"/>
                <w:color w:val="auto"/>
                <w:kern w:val="0"/>
                <w:sz w:val="21"/>
                <w:szCs w:val="21"/>
                <w:highlight w:val="none"/>
                <w:u w:val="none"/>
                <w:lang w:val="en-US" w:eastAsia="zh-CN" w:bidi="ar"/>
              </w:rPr>
              <w:t>以及不可预见费等全部费用，供应商应综合考虑进磋商报价。</w:t>
            </w:r>
          </w:p>
          <w:p w14:paraId="645FC8F0">
            <w:pPr>
              <w:pStyle w:val="21"/>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i w:val="0"/>
                <w:iCs w:val="0"/>
                <w:color w:val="auto"/>
                <w:kern w:val="0"/>
                <w:sz w:val="21"/>
                <w:szCs w:val="21"/>
                <w:highlight w:val="none"/>
                <w:u w:val="none"/>
                <w:lang w:val="en-US" w:eastAsia="zh-CN" w:bidi="ar"/>
              </w:rPr>
              <w:t>2.供应商磋商报价超出采购预算金额</w:t>
            </w:r>
            <w:r>
              <w:rPr>
                <w:rFonts w:hint="eastAsia" w:ascii="宋体" w:hAnsi="宋体" w:cs="宋体"/>
                <w:b w:val="0"/>
                <w:bCs/>
                <w:i w:val="0"/>
                <w:iCs w:val="0"/>
                <w:color w:val="auto"/>
                <w:kern w:val="0"/>
                <w:sz w:val="21"/>
                <w:szCs w:val="21"/>
                <w:highlight w:val="none"/>
                <w:u w:val="none"/>
                <w:lang w:val="en-US" w:eastAsia="zh-CN" w:bidi="ar"/>
              </w:rPr>
              <w:t>或最高限价</w:t>
            </w:r>
            <w:r>
              <w:rPr>
                <w:rFonts w:hint="eastAsia" w:ascii="宋体" w:hAnsi="宋体" w:eastAsia="宋体" w:cs="宋体"/>
                <w:b w:val="0"/>
                <w:bCs/>
                <w:i w:val="0"/>
                <w:iCs w:val="0"/>
                <w:color w:val="auto"/>
                <w:kern w:val="0"/>
                <w:sz w:val="21"/>
                <w:szCs w:val="21"/>
                <w:highlight w:val="none"/>
                <w:u w:val="none"/>
                <w:lang w:val="en-US" w:eastAsia="zh-CN" w:bidi="ar"/>
              </w:rPr>
              <w:t>的，按响应无效处理。</w:t>
            </w:r>
          </w:p>
        </w:tc>
      </w:tr>
      <w:tr w14:paraId="5954B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4" w:type="dxa"/>
            <w:gridSpan w:val="4"/>
            <w:tcBorders>
              <w:top w:val="single" w:color="auto" w:sz="4" w:space="0"/>
              <w:left w:val="single" w:color="auto" w:sz="4" w:space="0"/>
              <w:bottom w:val="single" w:color="auto" w:sz="4" w:space="0"/>
              <w:right w:val="single" w:color="auto" w:sz="4" w:space="0"/>
            </w:tcBorders>
            <w:vAlign w:val="center"/>
          </w:tcPr>
          <w:p w14:paraId="00F1987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、实现项目目标的其他要求</w:t>
            </w:r>
          </w:p>
        </w:tc>
      </w:tr>
      <w:tr w14:paraId="5EC46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14:paraId="04585B86">
            <w:pPr>
              <w:spacing w:line="360" w:lineRule="auto"/>
              <w:rPr>
                <w:rFonts w:hint="eastAsia" w:ascii="宋体" w:hAnsi="宋体" w:eastAsia="宋体" w:cs="宋体"/>
                <w:b/>
                <w:color w:val="auto"/>
                <w:sz w:val="21"/>
                <w:szCs w:val="21"/>
                <w:highlight w:val="none"/>
              </w:rPr>
            </w:pPr>
            <w:r>
              <w:rPr>
                <w:rFonts w:hint="eastAsia" w:ascii="宋体" w:hAnsi="宋体" w:eastAsia="宋体" w:cs="宋体"/>
                <w:b w:val="0"/>
                <w:bCs w:val="0"/>
                <w:color w:val="auto"/>
                <w:sz w:val="21"/>
                <w:szCs w:val="21"/>
              </w:rPr>
              <w:t>（一）项目</w:t>
            </w:r>
            <w:r>
              <w:rPr>
                <w:rFonts w:hint="eastAsia" w:ascii="宋体" w:hAnsi="宋体" w:eastAsia="宋体" w:cs="宋体"/>
                <w:b w:val="0"/>
                <w:bCs w:val="0"/>
                <w:color w:val="auto"/>
                <w:sz w:val="21"/>
                <w:szCs w:val="21"/>
                <w:lang w:val="en-US" w:eastAsia="zh-CN"/>
              </w:rPr>
              <w:t>总体</w:t>
            </w:r>
            <w:r>
              <w:rPr>
                <w:rFonts w:hint="eastAsia" w:ascii="宋体" w:hAnsi="宋体" w:eastAsia="宋体" w:cs="宋体"/>
                <w:b w:val="0"/>
                <w:bCs w:val="0"/>
                <w:color w:val="auto"/>
                <w:sz w:val="21"/>
                <w:szCs w:val="21"/>
              </w:rPr>
              <w:t>实施方案</w:t>
            </w:r>
          </w:p>
        </w:tc>
        <w:tc>
          <w:tcPr>
            <w:tcW w:w="7685" w:type="dxa"/>
            <w:tcBorders>
              <w:top w:val="single" w:color="auto" w:sz="4" w:space="0"/>
              <w:left w:val="single" w:color="auto" w:sz="4" w:space="0"/>
              <w:bottom w:val="single" w:color="auto" w:sz="4" w:space="0"/>
              <w:right w:val="single" w:color="auto" w:sz="4" w:space="0"/>
            </w:tcBorders>
            <w:vAlign w:val="center"/>
          </w:tcPr>
          <w:p w14:paraId="25475FCB">
            <w:pPr>
              <w:spacing w:line="360" w:lineRule="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供应商根据采购需求，于响应文件中提供针对本项目的</w:t>
            </w:r>
            <w:r>
              <w:rPr>
                <w:rFonts w:hint="eastAsia" w:ascii="宋体" w:hAnsi="宋体" w:eastAsia="宋体" w:cs="宋体"/>
                <w:b w:val="0"/>
                <w:bCs w:val="0"/>
                <w:color w:val="auto"/>
                <w:sz w:val="21"/>
                <w:szCs w:val="21"/>
                <w:highlight w:val="none"/>
                <w:lang w:val="en-US" w:eastAsia="zh-CN"/>
              </w:rPr>
              <w:t>总体</w:t>
            </w:r>
            <w:r>
              <w:rPr>
                <w:rFonts w:hint="eastAsia" w:ascii="宋体" w:hAnsi="宋体" w:eastAsia="宋体" w:cs="宋体"/>
                <w:b w:val="0"/>
                <w:bCs w:val="0"/>
                <w:color w:val="auto"/>
                <w:sz w:val="21"/>
                <w:szCs w:val="21"/>
                <w:highlight w:val="none"/>
              </w:rPr>
              <w:t>实施方案，包含但不限于</w:t>
            </w:r>
            <w:r>
              <w:rPr>
                <w:rFonts w:hint="eastAsia" w:ascii="宋体" w:hAnsi="宋体" w:eastAsia="宋体"/>
                <w:color w:val="auto"/>
                <w:kern w:val="0"/>
                <w:szCs w:val="21"/>
              </w:rPr>
              <w:t>项目理解</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Cs/>
                <w:color w:val="auto"/>
                <w:kern w:val="0"/>
                <w:szCs w:val="21"/>
                <w:highlight w:val="none"/>
                <w:lang w:val="en-US" w:eastAsia="zh-CN"/>
              </w:rPr>
              <w:t>实施</w:t>
            </w:r>
            <w:r>
              <w:rPr>
                <w:rFonts w:hint="eastAsia" w:ascii="宋体" w:hAnsi="宋体" w:eastAsia="宋体" w:cs="宋体"/>
                <w:bCs/>
                <w:color w:val="auto"/>
                <w:kern w:val="0"/>
                <w:szCs w:val="21"/>
                <w:highlight w:val="none"/>
              </w:rPr>
              <w:t>方案</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sz w:val="21"/>
                <w:szCs w:val="21"/>
                <w:highlight w:val="none"/>
                <w:lang w:val="en-US" w:eastAsia="zh-CN" w:bidi="ar-SA"/>
              </w:rPr>
              <w:t>设计方案与总体效果、</w:t>
            </w:r>
            <w:r>
              <w:rPr>
                <w:rFonts w:hint="eastAsia" w:ascii="宋体" w:hAnsi="宋体" w:eastAsia="宋体"/>
                <w:color w:val="auto"/>
                <w:kern w:val="0"/>
                <w:szCs w:val="21"/>
              </w:rPr>
              <w:t>功能及空间规划、动线规划</w:t>
            </w:r>
            <w:r>
              <w:rPr>
                <w:rFonts w:hint="eastAsia" w:ascii="宋体" w:hAnsi="宋体" w:eastAsia="宋体"/>
                <w:color w:val="auto"/>
                <w:kern w:val="0"/>
                <w:szCs w:val="21"/>
                <w:lang w:val="en-US" w:eastAsia="zh-CN"/>
              </w:rPr>
              <w:t>等</w:t>
            </w:r>
          </w:p>
        </w:tc>
      </w:tr>
      <w:tr w14:paraId="33D0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9" w:type="dxa"/>
            <w:gridSpan w:val="3"/>
            <w:tcBorders>
              <w:top w:val="single" w:color="auto" w:sz="4" w:space="0"/>
              <w:left w:val="single" w:color="auto" w:sz="4" w:space="0"/>
              <w:bottom w:val="single" w:color="auto" w:sz="4" w:space="0"/>
              <w:right w:val="single" w:color="auto" w:sz="4" w:space="0"/>
            </w:tcBorders>
            <w:vAlign w:val="center"/>
          </w:tcPr>
          <w:p w14:paraId="74026B8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（二）履约能力</w:t>
            </w:r>
          </w:p>
        </w:tc>
        <w:tc>
          <w:tcPr>
            <w:tcW w:w="7685" w:type="dxa"/>
            <w:tcBorders>
              <w:top w:val="single" w:color="auto" w:sz="4" w:space="0"/>
              <w:left w:val="single" w:color="auto" w:sz="4" w:space="0"/>
              <w:bottom w:val="single" w:color="auto" w:sz="4" w:space="0"/>
              <w:right w:val="single" w:color="auto" w:sz="4" w:space="0"/>
            </w:tcBorders>
            <w:vAlign w:val="center"/>
          </w:tcPr>
          <w:p w14:paraId="54A79E39">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供应商自202</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年以来具有同类项目业绩。</w:t>
            </w:r>
            <w:r>
              <w:rPr>
                <w:rFonts w:hint="eastAsia" w:ascii="宋体" w:hAnsi="宋体" w:eastAsia="宋体" w:cs="宋体"/>
                <w:color w:val="auto"/>
                <w:sz w:val="21"/>
                <w:szCs w:val="21"/>
                <w:highlight w:val="none"/>
              </w:rPr>
              <w:t>注：上述履约能力评分具体详见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highlight w:val="none"/>
              </w:rPr>
              <w:t>第四章  评审程序、评审方法和评审标准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r>
    </w:tbl>
    <w:p w14:paraId="256A4918">
      <w:pPr>
        <w:pStyle w:val="21"/>
        <w:rPr>
          <w:rFonts w:hint="eastAsia" w:ascii="宋体" w:hAnsi="宋体" w:eastAsia="宋体" w:cs="宋体"/>
          <w:color w:val="auto"/>
        </w:rPr>
      </w:pPr>
    </w:p>
    <w:p w14:paraId="4A55D54E">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br w:type="page"/>
      </w:r>
    </w:p>
    <w:p w14:paraId="5936C47F">
      <w:pPr>
        <w:spacing w:line="428" w:lineRule="exact"/>
        <w:ind w:left="119"/>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附件：</w:t>
      </w:r>
    </w:p>
    <w:p w14:paraId="7CE77D05">
      <w:pPr>
        <w:spacing w:line="528" w:lineRule="exact"/>
        <w:jc w:val="center"/>
        <w:rPr>
          <w:rFonts w:ascii="微软雅黑" w:hAnsi="微软雅黑" w:eastAsia="微软雅黑" w:cs="微软雅黑"/>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36"/>
        <w:tblW w:w="5000" w:type="pct"/>
        <w:tblInd w:w="0" w:type="dxa"/>
        <w:tblLayout w:type="autofit"/>
        <w:tblCellMar>
          <w:top w:w="0" w:type="dxa"/>
          <w:left w:w="108" w:type="dxa"/>
          <w:bottom w:w="0" w:type="dxa"/>
          <w:right w:w="108" w:type="dxa"/>
        </w:tblCellMar>
      </w:tblPr>
      <w:tblGrid>
        <w:gridCol w:w="1948"/>
        <w:gridCol w:w="1656"/>
        <w:gridCol w:w="1490"/>
        <w:gridCol w:w="1917"/>
        <w:gridCol w:w="1797"/>
        <w:gridCol w:w="1154"/>
      </w:tblGrid>
      <w:tr w14:paraId="134A1949">
        <w:tblPrEx>
          <w:tblCellMar>
            <w:top w:w="0" w:type="dxa"/>
            <w:left w:w="108" w:type="dxa"/>
            <w:bottom w:w="0" w:type="dxa"/>
            <w:right w:w="108" w:type="dxa"/>
          </w:tblCellMar>
        </w:tblPrEx>
        <w:trPr>
          <w:trHeight w:val="285" w:hRule="atLeast"/>
        </w:trPr>
        <w:tc>
          <w:tcPr>
            <w:tcW w:w="978" w:type="pct"/>
            <w:tcBorders>
              <w:top w:val="single" w:color="auto" w:sz="4" w:space="0"/>
              <w:left w:val="single" w:color="auto" w:sz="4" w:space="0"/>
              <w:bottom w:val="single" w:color="auto" w:sz="4" w:space="0"/>
              <w:right w:val="single" w:color="auto" w:sz="4" w:space="0"/>
            </w:tcBorders>
            <w:vAlign w:val="center"/>
          </w:tcPr>
          <w:p w14:paraId="0E766872">
            <w:pPr>
              <w:widowControl/>
              <w:jc w:val="center"/>
              <w:rPr>
                <w:rFonts w:ascii="仿宋_GB2312" w:hAnsi="仿宋" w:eastAsia="仿宋_GB2312" w:cs="宋体"/>
                <w:b/>
                <w:color w:val="auto"/>
                <w:kern w:val="0"/>
                <w:sz w:val="24"/>
                <w:highlight w:val="none"/>
              </w:rPr>
            </w:pPr>
            <w:r>
              <w:rPr>
                <w:rFonts w:hint="eastAsia" w:ascii="微软雅黑" w:hAnsi="微软雅黑" w:eastAsia="微软雅黑" w:cs="微软雅黑"/>
                <w:b/>
                <w:color w:val="auto"/>
                <w:kern w:val="0"/>
                <w:sz w:val="24"/>
                <w:highlight w:val="none"/>
              </w:rPr>
              <w:t>行业</w:t>
            </w:r>
            <w:r>
              <w:rPr>
                <w:rFonts w:hint="eastAsia" w:ascii="___WRD_EMBED_SUB_45" w:hAnsi="___WRD_EMBED_SUB_45" w:eastAsia="___WRD_EMBED_SUB_45" w:cs="___WRD_EMBED_SUB_45"/>
                <w:b/>
                <w:color w:val="auto"/>
                <w:kern w:val="0"/>
                <w:sz w:val="24"/>
                <w:highlight w:val="none"/>
              </w:rPr>
              <w:t>名称</w:t>
            </w:r>
          </w:p>
        </w:tc>
        <w:tc>
          <w:tcPr>
            <w:tcW w:w="831" w:type="pct"/>
            <w:tcBorders>
              <w:top w:val="single" w:color="auto" w:sz="4" w:space="0"/>
              <w:left w:val="nil"/>
              <w:bottom w:val="single" w:color="auto" w:sz="4" w:space="0"/>
              <w:right w:val="single" w:color="auto" w:sz="4" w:space="0"/>
            </w:tcBorders>
            <w:vAlign w:val="center"/>
          </w:tcPr>
          <w:p w14:paraId="20EB58DC">
            <w:pPr>
              <w:widowControl/>
              <w:jc w:val="center"/>
              <w:rPr>
                <w:rFonts w:ascii="仿宋_GB2312" w:hAnsi="仿宋" w:eastAsia="仿宋_GB2312" w:cs="宋体"/>
                <w:b/>
                <w:color w:val="auto"/>
                <w:kern w:val="0"/>
                <w:sz w:val="24"/>
                <w:highlight w:val="none"/>
              </w:rPr>
            </w:pPr>
            <w:r>
              <w:rPr>
                <w:rFonts w:hint="eastAsia" w:ascii="微软雅黑" w:hAnsi="微软雅黑" w:eastAsia="微软雅黑" w:cs="微软雅黑"/>
                <w:b/>
                <w:color w:val="auto"/>
                <w:kern w:val="0"/>
                <w:sz w:val="24"/>
                <w:highlight w:val="none"/>
              </w:rPr>
              <w:t>指标</w:t>
            </w:r>
            <w:r>
              <w:rPr>
                <w:rFonts w:hint="eastAsia" w:ascii="___WRD_EMBED_SUB_45" w:hAnsi="___WRD_EMBED_SUB_45" w:eastAsia="___WRD_EMBED_SUB_45" w:cs="___WRD_EMBED_SUB_45"/>
                <w:b/>
                <w:color w:val="auto"/>
                <w:kern w:val="0"/>
                <w:sz w:val="24"/>
                <w:highlight w:val="none"/>
              </w:rPr>
              <w:t>名称</w:t>
            </w:r>
          </w:p>
        </w:tc>
        <w:tc>
          <w:tcPr>
            <w:tcW w:w="748" w:type="pct"/>
            <w:tcBorders>
              <w:top w:val="single" w:color="auto" w:sz="4" w:space="0"/>
              <w:left w:val="nil"/>
              <w:bottom w:val="single" w:color="auto" w:sz="4" w:space="0"/>
              <w:right w:val="single" w:color="auto" w:sz="4" w:space="0"/>
            </w:tcBorders>
            <w:vAlign w:val="center"/>
          </w:tcPr>
          <w:p w14:paraId="396D96F5">
            <w:pPr>
              <w:widowControl/>
              <w:jc w:val="center"/>
              <w:rPr>
                <w:rFonts w:ascii="仿宋_GB2312" w:hAnsi="仿宋" w:eastAsia="仿宋_GB2312" w:cs="宋体"/>
                <w:b/>
                <w:color w:val="auto"/>
                <w:kern w:val="0"/>
                <w:sz w:val="24"/>
                <w:highlight w:val="none"/>
              </w:rPr>
            </w:pPr>
            <w:r>
              <w:rPr>
                <w:rFonts w:hint="eastAsia" w:ascii="微软雅黑" w:hAnsi="微软雅黑" w:eastAsia="微软雅黑" w:cs="微软雅黑"/>
                <w:b/>
                <w:color w:val="auto"/>
                <w:kern w:val="0"/>
                <w:sz w:val="24"/>
                <w:highlight w:val="none"/>
              </w:rPr>
              <w:t>计量单位</w:t>
            </w:r>
          </w:p>
        </w:tc>
        <w:tc>
          <w:tcPr>
            <w:tcW w:w="962" w:type="pct"/>
            <w:tcBorders>
              <w:top w:val="single" w:color="auto" w:sz="4" w:space="0"/>
              <w:left w:val="nil"/>
              <w:bottom w:val="single" w:color="auto" w:sz="4" w:space="0"/>
              <w:right w:val="single" w:color="auto" w:sz="4" w:space="0"/>
            </w:tcBorders>
            <w:vAlign w:val="center"/>
          </w:tcPr>
          <w:p w14:paraId="201DCF3B">
            <w:pPr>
              <w:widowControl/>
              <w:jc w:val="center"/>
              <w:rPr>
                <w:rFonts w:ascii="仿宋_GB2312" w:hAnsi="仿宋" w:eastAsia="仿宋_GB2312" w:cs="宋体"/>
                <w:b/>
                <w:color w:val="auto"/>
                <w:kern w:val="0"/>
                <w:sz w:val="24"/>
                <w:highlight w:val="none"/>
              </w:rPr>
            </w:pPr>
            <w:r>
              <w:rPr>
                <w:rFonts w:hint="eastAsia" w:ascii="微软雅黑" w:hAnsi="微软雅黑" w:eastAsia="微软雅黑" w:cs="微软雅黑"/>
                <w:b/>
                <w:color w:val="auto"/>
                <w:kern w:val="0"/>
                <w:sz w:val="24"/>
                <w:highlight w:val="none"/>
              </w:rPr>
              <w:t>中型</w:t>
            </w:r>
          </w:p>
        </w:tc>
        <w:tc>
          <w:tcPr>
            <w:tcW w:w="902" w:type="pct"/>
            <w:tcBorders>
              <w:top w:val="single" w:color="auto" w:sz="4" w:space="0"/>
              <w:left w:val="nil"/>
              <w:bottom w:val="single" w:color="auto" w:sz="4" w:space="0"/>
              <w:right w:val="single" w:color="auto" w:sz="4" w:space="0"/>
            </w:tcBorders>
            <w:vAlign w:val="center"/>
          </w:tcPr>
          <w:p w14:paraId="5305C48C">
            <w:pPr>
              <w:widowControl/>
              <w:jc w:val="center"/>
              <w:rPr>
                <w:rFonts w:ascii="仿宋_GB2312" w:hAnsi="仿宋" w:eastAsia="仿宋_GB2312" w:cs="宋体"/>
                <w:b/>
                <w:color w:val="auto"/>
                <w:kern w:val="0"/>
                <w:sz w:val="24"/>
                <w:highlight w:val="none"/>
              </w:rPr>
            </w:pPr>
            <w:r>
              <w:rPr>
                <w:rFonts w:hint="eastAsia" w:ascii="微软雅黑" w:hAnsi="微软雅黑" w:eastAsia="微软雅黑" w:cs="微软雅黑"/>
                <w:b/>
                <w:color w:val="auto"/>
                <w:kern w:val="0"/>
                <w:sz w:val="24"/>
                <w:highlight w:val="none"/>
              </w:rPr>
              <w:t>小型</w:t>
            </w:r>
          </w:p>
        </w:tc>
        <w:tc>
          <w:tcPr>
            <w:tcW w:w="579" w:type="pct"/>
            <w:tcBorders>
              <w:top w:val="single" w:color="auto" w:sz="4" w:space="0"/>
              <w:left w:val="nil"/>
              <w:bottom w:val="single" w:color="auto" w:sz="4" w:space="0"/>
              <w:right w:val="single" w:color="auto" w:sz="4" w:space="0"/>
            </w:tcBorders>
            <w:vAlign w:val="center"/>
          </w:tcPr>
          <w:p w14:paraId="011F68C2">
            <w:pPr>
              <w:widowControl/>
              <w:jc w:val="center"/>
              <w:rPr>
                <w:rFonts w:ascii="仿宋_GB2312" w:hAnsi="仿宋" w:eastAsia="仿宋_GB2312" w:cs="宋体"/>
                <w:b/>
                <w:color w:val="auto"/>
                <w:kern w:val="0"/>
                <w:sz w:val="24"/>
                <w:highlight w:val="none"/>
              </w:rPr>
            </w:pPr>
            <w:r>
              <w:rPr>
                <w:rFonts w:hint="eastAsia" w:ascii="微软雅黑" w:hAnsi="微软雅黑" w:eastAsia="微软雅黑" w:cs="微软雅黑"/>
                <w:b/>
                <w:color w:val="auto"/>
                <w:kern w:val="0"/>
                <w:sz w:val="24"/>
                <w:highlight w:val="none"/>
              </w:rPr>
              <w:t>微型</w:t>
            </w:r>
          </w:p>
        </w:tc>
      </w:tr>
      <w:tr w14:paraId="7D3D2154">
        <w:tblPrEx>
          <w:tblCellMar>
            <w:top w:w="0" w:type="dxa"/>
            <w:left w:w="108" w:type="dxa"/>
            <w:bottom w:w="0" w:type="dxa"/>
            <w:right w:w="108" w:type="dxa"/>
          </w:tblCellMar>
        </w:tblPrEx>
        <w:trPr>
          <w:trHeight w:val="225" w:hRule="atLeast"/>
        </w:trPr>
        <w:tc>
          <w:tcPr>
            <w:tcW w:w="978" w:type="pct"/>
            <w:tcBorders>
              <w:top w:val="nil"/>
              <w:left w:val="single" w:color="auto" w:sz="4" w:space="0"/>
              <w:bottom w:val="single" w:color="auto" w:sz="4" w:space="0"/>
              <w:right w:val="single" w:color="auto" w:sz="4" w:space="0"/>
            </w:tcBorders>
            <w:vAlign w:val="bottom"/>
          </w:tcPr>
          <w:p w14:paraId="50EBB1A5">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农、林、牧、渔</w:t>
            </w:r>
          </w:p>
        </w:tc>
        <w:tc>
          <w:tcPr>
            <w:tcW w:w="831" w:type="pct"/>
            <w:tcBorders>
              <w:top w:val="nil"/>
              <w:left w:val="nil"/>
              <w:bottom w:val="single" w:color="auto" w:sz="4" w:space="0"/>
              <w:right w:val="single" w:color="auto" w:sz="4" w:space="0"/>
            </w:tcBorders>
            <w:vAlign w:val="center"/>
          </w:tcPr>
          <w:p w14:paraId="460DFEAD">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7B9BB375">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1C945DD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20000</w:t>
            </w:r>
          </w:p>
        </w:tc>
        <w:tc>
          <w:tcPr>
            <w:tcW w:w="902" w:type="pct"/>
            <w:tcBorders>
              <w:top w:val="nil"/>
              <w:left w:val="nil"/>
              <w:bottom w:val="single" w:color="auto" w:sz="4" w:space="0"/>
              <w:right w:val="single" w:color="auto" w:sz="4" w:space="0"/>
            </w:tcBorders>
            <w:vAlign w:val="center"/>
          </w:tcPr>
          <w:p w14:paraId="427148B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500</w:t>
            </w:r>
          </w:p>
        </w:tc>
        <w:tc>
          <w:tcPr>
            <w:tcW w:w="579" w:type="pct"/>
            <w:tcBorders>
              <w:top w:val="nil"/>
              <w:left w:val="nil"/>
              <w:bottom w:val="single" w:color="auto" w:sz="4" w:space="0"/>
              <w:right w:val="single" w:color="auto" w:sz="4" w:space="0"/>
            </w:tcBorders>
            <w:vAlign w:val="center"/>
          </w:tcPr>
          <w:p w14:paraId="1086842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50</w:t>
            </w:r>
          </w:p>
        </w:tc>
      </w:tr>
      <w:tr w14:paraId="34EB1FFE">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471DEBE8">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工业</w:t>
            </w:r>
          </w:p>
        </w:tc>
        <w:tc>
          <w:tcPr>
            <w:tcW w:w="831" w:type="pct"/>
            <w:tcBorders>
              <w:top w:val="nil"/>
              <w:left w:val="nil"/>
              <w:bottom w:val="single" w:color="auto" w:sz="4" w:space="0"/>
              <w:right w:val="single" w:color="auto" w:sz="4" w:space="0"/>
            </w:tcBorders>
            <w:vAlign w:val="center"/>
          </w:tcPr>
          <w:p w14:paraId="28C8B728">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3248CFA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4C8172B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w:t>
            </w:r>
          </w:p>
        </w:tc>
        <w:tc>
          <w:tcPr>
            <w:tcW w:w="902" w:type="pct"/>
            <w:tcBorders>
              <w:top w:val="nil"/>
              <w:left w:val="nil"/>
              <w:bottom w:val="single" w:color="auto" w:sz="4" w:space="0"/>
              <w:right w:val="single" w:color="auto" w:sz="4" w:space="0"/>
            </w:tcBorders>
            <w:vAlign w:val="center"/>
          </w:tcPr>
          <w:p w14:paraId="76A0676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c>
          <w:tcPr>
            <w:tcW w:w="579" w:type="pct"/>
            <w:tcBorders>
              <w:top w:val="nil"/>
              <w:left w:val="nil"/>
              <w:bottom w:val="single" w:color="auto" w:sz="4" w:space="0"/>
              <w:right w:val="single" w:color="auto" w:sz="4" w:space="0"/>
            </w:tcBorders>
            <w:vAlign w:val="center"/>
          </w:tcPr>
          <w:p w14:paraId="45CBD95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w:t>
            </w:r>
          </w:p>
        </w:tc>
      </w:tr>
      <w:tr w14:paraId="141D3F03">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38BF9DFE">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60C2EEE9">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03398BD7">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34310C0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40000</w:t>
            </w:r>
          </w:p>
        </w:tc>
        <w:tc>
          <w:tcPr>
            <w:tcW w:w="902" w:type="pct"/>
            <w:tcBorders>
              <w:top w:val="nil"/>
              <w:left w:val="nil"/>
              <w:bottom w:val="single" w:color="auto" w:sz="4" w:space="0"/>
              <w:right w:val="single" w:color="auto" w:sz="4" w:space="0"/>
            </w:tcBorders>
            <w:vAlign w:val="center"/>
          </w:tcPr>
          <w:p w14:paraId="02BC7B0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2000</w:t>
            </w:r>
          </w:p>
        </w:tc>
        <w:tc>
          <w:tcPr>
            <w:tcW w:w="579" w:type="pct"/>
            <w:tcBorders>
              <w:top w:val="nil"/>
              <w:left w:val="nil"/>
              <w:bottom w:val="single" w:color="auto" w:sz="4" w:space="0"/>
              <w:right w:val="single" w:color="auto" w:sz="4" w:space="0"/>
            </w:tcBorders>
            <w:vAlign w:val="center"/>
          </w:tcPr>
          <w:p w14:paraId="17551C2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r>
      <w:tr w14:paraId="627C0E1F">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6EAC51C6">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w:t>
            </w:r>
            <w:r>
              <w:rPr>
                <w:rFonts w:hint="eastAsia" w:ascii="微软雅黑" w:hAnsi="微软雅黑" w:eastAsia="微软雅黑" w:cs="微软雅黑"/>
                <w:b/>
                <w:bCs/>
                <w:color w:val="auto"/>
                <w:kern w:val="0"/>
                <w:sz w:val="18"/>
                <w:szCs w:val="18"/>
                <w:highlight w:val="none"/>
              </w:rPr>
              <w:t>筑业</w:t>
            </w:r>
          </w:p>
        </w:tc>
        <w:tc>
          <w:tcPr>
            <w:tcW w:w="831" w:type="pct"/>
            <w:tcBorders>
              <w:top w:val="nil"/>
              <w:left w:val="nil"/>
              <w:bottom w:val="single" w:color="auto" w:sz="4" w:space="0"/>
              <w:right w:val="single" w:color="auto" w:sz="4" w:space="0"/>
            </w:tcBorders>
            <w:vAlign w:val="center"/>
          </w:tcPr>
          <w:p w14:paraId="3047C92D">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61DE7C0A">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582EDFD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80000</w:t>
            </w:r>
          </w:p>
        </w:tc>
        <w:tc>
          <w:tcPr>
            <w:tcW w:w="902" w:type="pct"/>
            <w:tcBorders>
              <w:top w:val="nil"/>
              <w:left w:val="nil"/>
              <w:bottom w:val="single" w:color="auto" w:sz="4" w:space="0"/>
              <w:right w:val="single" w:color="auto" w:sz="4" w:space="0"/>
            </w:tcBorders>
            <w:vAlign w:val="center"/>
          </w:tcPr>
          <w:p w14:paraId="3418551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6000</w:t>
            </w:r>
          </w:p>
        </w:tc>
        <w:tc>
          <w:tcPr>
            <w:tcW w:w="579" w:type="pct"/>
            <w:tcBorders>
              <w:top w:val="nil"/>
              <w:left w:val="nil"/>
              <w:bottom w:val="single" w:color="auto" w:sz="4" w:space="0"/>
              <w:right w:val="single" w:color="auto" w:sz="4" w:space="0"/>
            </w:tcBorders>
            <w:vAlign w:val="center"/>
          </w:tcPr>
          <w:p w14:paraId="14F46D9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r>
      <w:tr w14:paraId="33D0E374">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3FCEE415">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4FEB67C0">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资产总额</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Z）</w:t>
            </w:r>
          </w:p>
        </w:tc>
        <w:tc>
          <w:tcPr>
            <w:tcW w:w="748" w:type="pct"/>
            <w:tcBorders>
              <w:top w:val="nil"/>
              <w:left w:val="nil"/>
              <w:bottom w:val="single" w:color="auto" w:sz="4" w:space="0"/>
              <w:right w:val="single" w:color="auto" w:sz="4" w:space="0"/>
            </w:tcBorders>
            <w:vAlign w:val="center"/>
          </w:tcPr>
          <w:p w14:paraId="793F2D0B">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4581635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Z</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80000</w:t>
            </w:r>
          </w:p>
        </w:tc>
        <w:tc>
          <w:tcPr>
            <w:tcW w:w="902" w:type="pct"/>
            <w:tcBorders>
              <w:top w:val="nil"/>
              <w:left w:val="nil"/>
              <w:bottom w:val="single" w:color="auto" w:sz="4" w:space="0"/>
              <w:right w:val="single" w:color="auto" w:sz="4" w:space="0"/>
            </w:tcBorders>
            <w:vAlign w:val="center"/>
          </w:tcPr>
          <w:p w14:paraId="36CF441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Z</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5000</w:t>
            </w:r>
          </w:p>
        </w:tc>
        <w:tc>
          <w:tcPr>
            <w:tcW w:w="579" w:type="pct"/>
            <w:tcBorders>
              <w:top w:val="nil"/>
              <w:left w:val="nil"/>
              <w:bottom w:val="single" w:color="auto" w:sz="4" w:space="0"/>
              <w:right w:val="single" w:color="auto" w:sz="4" w:space="0"/>
            </w:tcBorders>
            <w:vAlign w:val="center"/>
          </w:tcPr>
          <w:p w14:paraId="4CA21A0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r>
      <w:tr w14:paraId="303DF6F1">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1009C390">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批发业</w:t>
            </w:r>
          </w:p>
        </w:tc>
        <w:tc>
          <w:tcPr>
            <w:tcW w:w="831" w:type="pct"/>
            <w:tcBorders>
              <w:top w:val="nil"/>
              <w:left w:val="nil"/>
              <w:bottom w:val="single" w:color="auto" w:sz="4" w:space="0"/>
              <w:right w:val="single" w:color="auto" w:sz="4" w:space="0"/>
            </w:tcBorders>
            <w:vAlign w:val="center"/>
          </w:tcPr>
          <w:p w14:paraId="35785DD5">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74F0F34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2D296E9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w:t>
            </w:r>
          </w:p>
        </w:tc>
        <w:tc>
          <w:tcPr>
            <w:tcW w:w="902" w:type="pct"/>
            <w:tcBorders>
              <w:top w:val="nil"/>
              <w:left w:val="nil"/>
              <w:bottom w:val="single" w:color="auto" w:sz="4" w:space="0"/>
              <w:right w:val="single" w:color="auto" w:sz="4" w:space="0"/>
            </w:tcBorders>
            <w:vAlign w:val="center"/>
          </w:tcPr>
          <w:p w14:paraId="4BA0497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w:t>
            </w:r>
          </w:p>
        </w:tc>
        <w:tc>
          <w:tcPr>
            <w:tcW w:w="579" w:type="pct"/>
            <w:tcBorders>
              <w:top w:val="nil"/>
              <w:left w:val="nil"/>
              <w:bottom w:val="single" w:color="auto" w:sz="4" w:space="0"/>
              <w:right w:val="single" w:color="auto" w:sz="4" w:space="0"/>
            </w:tcBorders>
            <w:vAlign w:val="center"/>
          </w:tcPr>
          <w:p w14:paraId="0E85552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w:t>
            </w:r>
          </w:p>
        </w:tc>
      </w:tr>
      <w:tr w14:paraId="40CE5555">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493D70D6">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79FDF760">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38C99B5F">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68C92AF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40000</w:t>
            </w:r>
          </w:p>
        </w:tc>
        <w:tc>
          <w:tcPr>
            <w:tcW w:w="902" w:type="pct"/>
            <w:tcBorders>
              <w:top w:val="nil"/>
              <w:left w:val="nil"/>
              <w:bottom w:val="single" w:color="auto" w:sz="4" w:space="0"/>
              <w:right w:val="single" w:color="auto" w:sz="4" w:space="0"/>
            </w:tcBorders>
            <w:vAlign w:val="center"/>
          </w:tcPr>
          <w:p w14:paraId="2724826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5000</w:t>
            </w:r>
          </w:p>
        </w:tc>
        <w:tc>
          <w:tcPr>
            <w:tcW w:w="579" w:type="pct"/>
            <w:tcBorders>
              <w:top w:val="nil"/>
              <w:left w:val="nil"/>
              <w:bottom w:val="single" w:color="auto" w:sz="4" w:space="0"/>
              <w:right w:val="single" w:color="auto" w:sz="4" w:space="0"/>
            </w:tcBorders>
            <w:vAlign w:val="center"/>
          </w:tcPr>
          <w:p w14:paraId="73B20A8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w:t>
            </w:r>
          </w:p>
        </w:tc>
      </w:tr>
      <w:tr w14:paraId="11D0B46B">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67F17BF7">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零售业</w:t>
            </w:r>
          </w:p>
        </w:tc>
        <w:tc>
          <w:tcPr>
            <w:tcW w:w="831" w:type="pct"/>
            <w:tcBorders>
              <w:top w:val="nil"/>
              <w:left w:val="nil"/>
              <w:bottom w:val="single" w:color="auto" w:sz="4" w:space="0"/>
              <w:right w:val="single" w:color="auto" w:sz="4" w:space="0"/>
            </w:tcBorders>
            <w:vAlign w:val="center"/>
          </w:tcPr>
          <w:p w14:paraId="48252166">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6AD5124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41DC3B7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c>
          <w:tcPr>
            <w:tcW w:w="902" w:type="pct"/>
            <w:tcBorders>
              <w:top w:val="nil"/>
              <w:left w:val="nil"/>
              <w:bottom w:val="single" w:color="auto" w:sz="4" w:space="0"/>
              <w:right w:val="single" w:color="auto" w:sz="4" w:space="0"/>
            </w:tcBorders>
            <w:vAlign w:val="center"/>
          </w:tcPr>
          <w:p w14:paraId="4473342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50</w:t>
            </w:r>
          </w:p>
        </w:tc>
        <w:tc>
          <w:tcPr>
            <w:tcW w:w="579" w:type="pct"/>
            <w:tcBorders>
              <w:top w:val="nil"/>
              <w:left w:val="nil"/>
              <w:bottom w:val="single" w:color="auto" w:sz="4" w:space="0"/>
              <w:right w:val="single" w:color="auto" w:sz="4" w:space="0"/>
            </w:tcBorders>
            <w:vAlign w:val="center"/>
          </w:tcPr>
          <w:p w14:paraId="299D96A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w:t>
            </w:r>
          </w:p>
        </w:tc>
      </w:tr>
      <w:tr w14:paraId="313C5A54">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428B6F15">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7A6A2657">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3FC53462">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39CA040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20000</w:t>
            </w:r>
          </w:p>
        </w:tc>
        <w:tc>
          <w:tcPr>
            <w:tcW w:w="902" w:type="pct"/>
            <w:tcBorders>
              <w:top w:val="nil"/>
              <w:left w:val="nil"/>
              <w:bottom w:val="single" w:color="auto" w:sz="4" w:space="0"/>
              <w:right w:val="single" w:color="auto" w:sz="4" w:space="0"/>
            </w:tcBorders>
            <w:vAlign w:val="center"/>
          </w:tcPr>
          <w:p w14:paraId="2300EBB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500</w:t>
            </w:r>
          </w:p>
        </w:tc>
        <w:tc>
          <w:tcPr>
            <w:tcW w:w="579" w:type="pct"/>
            <w:tcBorders>
              <w:top w:val="nil"/>
              <w:left w:val="nil"/>
              <w:bottom w:val="single" w:color="auto" w:sz="4" w:space="0"/>
              <w:right w:val="single" w:color="auto" w:sz="4" w:space="0"/>
            </w:tcBorders>
            <w:vAlign w:val="center"/>
          </w:tcPr>
          <w:p w14:paraId="7FA25AA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r>
      <w:tr w14:paraId="091856D5">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6A1EDD9C">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交通运输业</w:t>
            </w:r>
          </w:p>
        </w:tc>
        <w:tc>
          <w:tcPr>
            <w:tcW w:w="831" w:type="pct"/>
            <w:tcBorders>
              <w:top w:val="nil"/>
              <w:left w:val="nil"/>
              <w:bottom w:val="single" w:color="auto" w:sz="4" w:space="0"/>
              <w:right w:val="single" w:color="auto" w:sz="4" w:space="0"/>
            </w:tcBorders>
            <w:vAlign w:val="center"/>
          </w:tcPr>
          <w:p w14:paraId="258C4E8F">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4903A8A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05F4743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w:t>
            </w:r>
          </w:p>
        </w:tc>
        <w:tc>
          <w:tcPr>
            <w:tcW w:w="902" w:type="pct"/>
            <w:tcBorders>
              <w:top w:val="nil"/>
              <w:left w:val="nil"/>
              <w:bottom w:val="single" w:color="auto" w:sz="4" w:space="0"/>
              <w:right w:val="single" w:color="auto" w:sz="4" w:space="0"/>
            </w:tcBorders>
            <w:vAlign w:val="center"/>
          </w:tcPr>
          <w:p w14:paraId="30FB092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c>
          <w:tcPr>
            <w:tcW w:w="579" w:type="pct"/>
            <w:tcBorders>
              <w:top w:val="nil"/>
              <w:left w:val="nil"/>
              <w:bottom w:val="single" w:color="auto" w:sz="4" w:space="0"/>
              <w:right w:val="single" w:color="auto" w:sz="4" w:space="0"/>
            </w:tcBorders>
            <w:vAlign w:val="center"/>
          </w:tcPr>
          <w:p w14:paraId="42CDDDB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w:t>
            </w:r>
          </w:p>
        </w:tc>
      </w:tr>
      <w:tr w14:paraId="54158204">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240FA286">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0EF747FC">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4B4890A9">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726F5FB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30000</w:t>
            </w:r>
          </w:p>
        </w:tc>
        <w:tc>
          <w:tcPr>
            <w:tcW w:w="902" w:type="pct"/>
            <w:tcBorders>
              <w:top w:val="nil"/>
              <w:left w:val="nil"/>
              <w:bottom w:val="single" w:color="auto" w:sz="4" w:space="0"/>
              <w:right w:val="single" w:color="auto" w:sz="4" w:space="0"/>
            </w:tcBorders>
            <w:vAlign w:val="center"/>
          </w:tcPr>
          <w:p w14:paraId="2B92CEA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3000</w:t>
            </w:r>
          </w:p>
        </w:tc>
        <w:tc>
          <w:tcPr>
            <w:tcW w:w="579" w:type="pct"/>
            <w:tcBorders>
              <w:top w:val="nil"/>
              <w:left w:val="nil"/>
              <w:bottom w:val="single" w:color="auto" w:sz="4" w:space="0"/>
              <w:right w:val="single" w:color="auto" w:sz="4" w:space="0"/>
            </w:tcBorders>
            <w:vAlign w:val="center"/>
          </w:tcPr>
          <w:p w14:paraId="4844155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w:t>
            </w:r>
          </w:p>
        </w:tc>
      </w:tr>
      <w:tr w14:paraId="682CB28F">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621564FB">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仓储业</w:t>
            </w:r>
          </w:p>
        </w:tc>
        <w:tc>
          <w:tcPr>
            <w:tcW w:w="831" w:type="pct"/>
            <w:tcBorders>
              <w:top w:val="nil"/>
              <w:left w:val="nil"/>
              <w:bottom w:val="single" w:color="auto" w:sz="4" w:space="0"/>
              <w:right w:val="single" w:color="auto" w:sz="4" w:space="0"/>
            </w:tcBorders>
            <w:vAlign w:val="center"/>
          </w:tcPr>
          <w:p w14:paraId="2321215E">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335728B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5C12AEB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w:t>
            </w:r>
          </w:p>
        </w:tc>
        <w:tc>
          <w:tcPr>
            <w:tcW w:w="902" w:type="pct"/>
            <w:tcBorders>
              <w:top w:val="nil"/>
              <w:left w:val="nil"/>
              <w:bottom w:val="single" w:color="auto" w:sz="4" w:space="0"/>
              <w:right w:val="single" w:color="auto" w:sz="4" w:space="0"/>
            </w:tcBorders>
            <w:vAlign w:val="center"/>
          </w:tcPr>
          <w:p w14:paraId="082D144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c>
          <w:tcPr>
            <w:tcW w:w="579" w:type="pct"/>
            <w:tcBorders>
              <w:top w:val="nil"/>
              <w:left w:val="nil"/>
              <w:bottom w:val="single" w:color="auto" w:sz="4" w:space="0"/>
              <w:right w:val="single" w:color="auto" w:sz="4" w:space="0"/>
            </w:tcBorders>
            <w:vAlign w:val="center"/>
          </w:tcPr>
          <w:p w14:paraId="2681E0E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w:t>
            </w:r>
          </w:p>
        </w:tc>
      </w:tr>
      <w:tr w14:paraId="7FF92DCC">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1CFF97E8">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323C9904">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65F57D8E">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684B800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30000</w:t>
            </w:r>
          </w:p>
        </w:tc>
        <w:tc>
          <w:tcPr>
            <w:tcW w:w="902" w:type="pct"/>
            <w:tcBorders>
              <w:top w:val="nil"/>
              <w:left w:val="nil"/>
              <w:bottom w:val="single" w:color="auto" w:sz="4" w:space="0"/>
              <w:right w:val="single" w:color="auto" w:sz="4" w:space="0"/>
            </w:tcBorders>
            <w:vAlign w:val="center"/>
          </w:tcPr>
          <w:p w14:paraId="6EB6253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w:t>
            </w:r>
          </w:p>
        </w:tc>
        <w:tc>
          <w:tcPr>
            <w:tcW w:w="579" w:type="pct"/>
            <w:tcBorders>
              <w:top w:val="nil"/>
              <w:left w:val="nil"/>
              <w:bottom w:val="single" w:color="auto" w:sz="4" w:space="0"/>
              <w:right w:val="single" w:color="auto" w:sz="4" w:space="0"/>
            </w:tcBorders>
            <w:vAlign w:val="center"/>
          </w:tcPr>
          <w:p w14:paraId="3553843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r>
      <w:tr w14:paraId="08403679">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5B686BB0">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邮政业</w:t>
            </w:r>
          </w:p>
        </w:tc>
        <w:tc>
          <w:tcPr>
            <w:tcW w:w="831" w:type="pct"/>
            <w:tcBorders>
              <w:top w:val="nil"/>
              <w:left w:val="nil"/>
              <w:bottom w:val="single" w:color="auto" w:sz="4" w:space="0"/>
              <w:right w:val="single" w:color="auto" w:sz="4" w:space="0"/>
            </w:tcBorders>
            <w:vAlign w:val="center"/>
          </w:tcPr>
          <w:p w14:paraId="08269904">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仿宋_GB2312" w:hAnsi="仿宋" w:eastAsia="仿宋_GB2312" w:cs="宋体"/>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453DDE6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51A3D85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w:t>
            </w:r>
          </w:p>
        </w:tc>
        <w:tc>
          <w:tcPr>
            <w:tcW w:w="902" w:type="pct"/>
            <w:tcBorders>
              <w:top w:val="nil"/>
              <w:left w:val="nil"/>
              <w:bottom w:val="single" w:color="auto" w:sz="4" w:space="0"/>
              <w:right w:val="single" w:color="auto" w:sz="4" w:space="0"/>
            </w:tcBorders>
            <w:vAlign w:val="center"/>
          </w:tcPr>
          <w:p w14:paraId="6966319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c>
          <w:tcPr>
            <w:tcW w:w="579" w:type="pct"/>
            <w:tcBorders>
              <w:top w:val="nil"/>
              <w:left w:val="nil"/>
              <w:bottom w:val="single" w:color="auto" w:sz="4" w:space="0"/>
              <w:right w:val="single" w:color="auto" w:sz="4" w:space="0"/>
            </w:tcBorders>
            <w:vAlign w:val="center"/>
          </w:tcPr>
          <w:p w14:paraId="02307E0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w:t>
            </w:r>
          </w:p>
        </w:tc>
      </w:tr>
      <w:tr w14:paraId="308ADDF9">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1E7D4609">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077339CF">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3AFCF008">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06AB964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30000</w:t>
            </w:r>
          </w:p>
        </w:tc>
        <w:tc>
          <w:tcPr>
            <w:tcW w:w="902" w:type="pct"/>
            <w:tcBorders>
              <w:top w:val="nil"/>
              <w:left w:val="nil"/>
              <w:bottom w:val="single" w:color="auto" w:sz="4" w:space="0"/>
              <w:right w:val="single" w:color="auto" w:sz="4" w:space="0"/>
            </w:tcBorders>
            <w:vAlign w:val="center"/>
          </w:tcPr>
          <w:p w14:paraId="1A492D5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2000</w:t>
            </w:r>
          </w:p>
        </w:tc>
        <w:tc>
          <w:tcPr>
            <w:tcW w:w="579" w:type="pct"/>
            <w:tcBorders>
              <w:top w:val="nil"/>
              <w:left w:val="nil"/>
              <w:bottom w:val="single" w:color="auto" w:sz="4" w:space="0"/>
              <w:right w:val="single" w:color="auto" w:sz="4" w:space="0"/>
            </w:tcBorders>
            <w:vAlign w:val="center"/>
          </w:tcPr>
          <w:p w14:paraId="02D2190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r>
      <w:tr w14:paraId="7D8B4CB4">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1F97DE9F">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住宿业</w:t>
            </w:r>
          </w:p>
        </w:tc>
        <w:tc>
          <w:tcPr>
            <w:tcW w:w="831" w:type="pct"/>
            <w:tcBorders>
              <w:top w:val="nil"/>
              <w:left w:val="nil"/>
              <w:bottom w:val="single" w:color="auto" w:sz="4" w:space="0"/>
              <w:right w:val="single" w:color="auto" w:sz="4" w:space="0"/>
            </w:tcBorders>
            <w:vAlign w:val="center"/>
          </w:tcPr>
          <w:p w14:paraId="098C55D0">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7FBBED1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5DD0DA0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c>
          <w:tcPr>
            <w:tcW w:w="902" w:type="pct"/>
            <w:tcBorders>
              <w:top w:val="nil"/>
              <w:left w:val="nil"/>
              <w:bottom w:val="single" w:color="auto" w:sz="4" w:space="0"/>
              <w:right w:val="single" w:color="auto" w:sz="4" w:space="0"/>
            </w:tcBorders>
            <w:vAlign w:val="center"/>
          </w:tcPr>
          <w:p w14:paraId="203F0E3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c>
          <w:tcPr>
            <w:tcW w:w="579" w:type="pct"/>
            <w:tcBorders>
              <w:top w:val="nil"/>
              <w:left w:val="nil"/>
              <w:bottom w:val="single" w:color="auto" w:sz="4" w:space="0"/>
              <w:right w:val="single" w:color="auto" w:sz="4" w:space="0"/>
            </w:tcBorders>
            <w:vAlign w:val="center"/>
          </w:tcPr>
          <w:p w14:paraId="6036255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w:t>
            </w:r>
          </w:p>
        </w:tc>
      </w:tr>
      <w:tr w14:paraId="709CF1B3">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6077CF1F">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63495A85">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5A8B855D">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0A72632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10000</w:t>
            </w:r>
          </w:p>
        </w:tc>
        <w:tc>
          <w:tcPr>
            <w:tcW w:w="902" w:type="pct"/>
            <w:tcBorders>
              <w:top w:val="nil"/>
              <w:left w:val="nil"/>
              <w:bottom w:val="single" w:color="auto" w:sz="4" w:space="0"/>
              <w:right w:val="single" w:color="auto" w:sz="4" w:space="0"/>
            </w:tcBorders>
            <w:vAlign w:val="center"/>
          </w:tcPr>
          <w:p w14:paraId="7E0322F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2000</w:t>
            </w:r>
          </w:p>
        </w:tc>
        <w:tc>
          <w:tcPr>
            <w:tcW w:w="579" w:type="pct"/>
            <w:tcBorders>
              <w:top w:val="nil"/>
              <w:left w:val="nil"/>
              <w:bottom w:val="single" w:color="auto" w:sz="4" w:space="0"/>
              <w:right w:val="single" w:color="auto" w:sz="4" w:space="0"/>
            </w:tcBorders>
            <w:vAlign w:val="center"/>
          </w:tcPr>
          <w:p w14:paraId="678B25F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r>
      <w:tr w14:paraId="21D3E9D9">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1C04086C">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餐饮业</w:t>
            </w:r>
          </w:p>
        </w:tc>
        <w:tc>
          <w:tcPr>
            <w:tcW w:w="831" w:type="pct"/>
            <w:tcBorders>
              <w:top w:val="nil"/>
              <w:left w:val="nil"/>
              <w:bottom w:val="single" w:color="auto" w:sz="4" w:space="0"/>
              <w:right w:val="single" w:color="auto" w:sz="4" w:space="0"/>
            </w:tcBorders>
            <w:vAlign w:val="center"/>
          </w:tcPr>
          <w:p w14:paraId="2475647E">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1DDDFA1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0A9E6C0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c>
          <w:tcPr>
            <w:tcW w:w="902" w:type="pct"/>
            <w:tcBorders>
              <w:top w:val="nil"/>
              <w:left w:val="nil"/>
              <w:bottom w:val="single" w:color="auto" w:sz="4" w:space="0"/>
              <w:right w:val="single" w:color="auto" w:sz="4" w:space="0"/>
            </w:tcBorders>
            <w:vAlign w:val="center"/>
          </w:tcPr>
          <w:p w14:paraId="6FC8A54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c>
          <w:tcPr>
            <w:tcW w:w="579" w:type="pct"/>
            <w:tcBorders>
              <w:top w:val="nil"/>
              <w:left w:val="nil"/>
              <w:bottom w:val="single" w:color="auto" w:sz="4" w:space="0"/>
              <w:right w:val="single" w:color="auto" w:sz="4" w:space="0"/>
            </w:tcBorders>
            <w:vAlign w:val="center"/>
          </w:tcPr>
          <w:p w14:paraId="0B40346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w:t>
            </w:r>
          </w:p>
        </w:tc>
      </w:tr>
      <w:tr w14:paraId="7D360541">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5CDF441A">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156ED63A">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728EB86E">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4BD2BCA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10000</w:t>
            </w:r>
          </w:p>
        </w:tc>
        <w:tc>
          <w:tcPr>
            <w:tcW w:w="902" w:type="pct"/>
            <w:tcBorders>
              <w:top w:val="nil"/>
              <w:left w:val="nil"/>
              <w:bottom w:val="single" w:color="auto" w:sz="4" w:space="0"/>
              <w:right w:val="single" w:color="auto" w:sz="4" w:space="0"/>
            </w:tcBorders>
            <w:vAlign w:val="center"/>
          </w:tcPr>
          <w:p w14:paraId="0327F00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2000</w:t>
            </w:r>
          </w:p>
        </w:tc>
        <w:tc>
          <w:tcPr>
            <w:tcW w:w="579" w:type="pct"/>
            <w:tcBorders>
              <w:top w:val="nil"/>
              <w:left w:val="nil"/>
              <w:bottom w:val="single" w:color="auto" w:sz="4" w:space="0"/>
              <w:right w:val="single" w:color="auto" w:sz="4" w:space="0"/>
            </w:tcBorders>
            <w:vAlign w:val="center"/>
          </w:tcPr>
          <w:p w14:paraId="3B56C3C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r>
      <w:tr w14:paraId="2FC55F7A">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18B4690F">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信息传输业</w:t>
            </w:r>
          </w:p>
        </w:tc>
        <w:tc>
          <w:tcPr>
            <w:tcW w:w="831" w:type="pct"/>
            <w:tcBorders>
              <w:top w:val="nil"/>
              <w:left w:val="nil"/>
              <w:bottom w:val="single" w:color="auto" w:sz="4" w:space="0"/>
              <w:right w:val="single" w:color="auto" w:sz="4" w:space="0"/>
            </w:tcBorders>
            <w:vAlign w:val="center"/>
          </w:tcPr>
          <w:p w14:paraId="38643649">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1B4A1AB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7A3C563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2000</w:t>
            </w:r>
          </w:p>
        </w:tc>
        <w:tc>
          <w:tcPr>
            <w:tcW w:w="902" w:type="pct"/>
            <w:tcBorders>
              <w:top w:val="nil"/>
              <w:left w:val="nil"/>
              <w:bottom w:val="single" w:color="auto" w:sz="4" w:space="0"/>
              <w:right w:val="single" w:color="auto" w:sz="4" w:space="0"/>
            </w:tcBorders>
            <w:vAlign w:val="center"/>
          </w:tcPr>
          <w:p w14:paraId="5351FF8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c>
          <w:tcPr>
            <w:tcW w:w="579" w:type="pct"/>
            <w:tcBorders>
              <w:top w:val="nil"/>
              <w:left w:val="nil"/>
              <w:bottom w:val="single" w:color="auto" w:sz="4" w:space="0"/>
              <w:right w:val="single" w:color="auto" w:sz="4" w:space="0"/>
            </w:tcBorders>
            <w:vAlign w:val="center"/>
          </w:tcPr>
          <w:p w14:paraId="7915F3D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w:t>
            </w:r>
          </w:p>
        </w:tc>
      </w:tr>
      <w:tr w14:paraId="5594EE09">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7B0C05AE">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67B993AB">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5EDA52DC">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21B3FBF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100000</w:t>
            </w:r>
          </w:p>
        </w:tc>
        <w:tc>
          <w:tcPr>
            <w:tcW w:w="902" w:type="pct"/>
            <w:tcBorders>
              <w:top w:val="nil"/>
              <w:left w:val="nil"/>
              <w:bottom w:val="single" w:color="auto" w:sz="4" w:space="0"/>
              <w:right w:val="single" w:color="auto" w:sz="4" w:space="0"/>
            </w:tcBorders>
            <w:vAlign w:val="center"/>
          </w:tcPr>
          <w:p w14:paraId="03DB7BC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w:t>
            </w:r>
          </w:p>
        </w:tc>
        <w:tc>
          <w:tcPr>
            <w:tcW w:w="579" w:type="pct"/>
            <w:tcBorders>
              <w:top w:val="nil"/>
              <w:left w:val="nil"/>
              <w:bottom w:val="single" w:color="auto" w:sz="4" w:space="0"/>
              <w:right w:val="single" w:color="auto" w:sz="4" w:space="0"/>
            </w:tcBorders>
            <w:vAlign w:val="center"/>
          </w:tcPr>
          <w:p w14:paraId="42D87E4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r>
      <w:tr w14:paraId="162EEF3C">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00FF290B">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软件和信息技术服务业</w:t>
            </w:r>
          </w:p>
        </w:tc>
        <w:tc>
          <w:tcPr>
            <w:tcW w:w="831" w:type="pct"/>
            <w:tcBorders>
              <w:top w:val="nil"/>
              <w:left w:val="nil"/>
              <w:bottom w:val="single" w:color="auto" w:sz="4" w:space="0"/>
              <w:right w:val="single" w:color="auto" w:sz="4" w:space="0"/>
            </w:tcBorders>
            <w:vAlign w:val="center"/>
          </w:tcPr>
          <w:p w14:paraId="202AA178">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3AA97BF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3FAE531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c>
          <w:tcPr>
            <w:tcW w:w="902" w:type="pct"/>
            <w:tcBorders>
              <w:top w:val="nil"/>
              <w:left w:val="nil"/>
              <w:bottom w:val="single" w:color="auto" w:sz="4" w:space="0"/>
              <w:right w:val="single" w:color="auto" w:sz="4" w:space="0"/>
            </w:tcBorders>
            <w:vAlign w:val="center"/>
          </w:tcPr>
          <w:p w14:paraId="2B12BB4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c>
          <w:tcPr>
            <w:tcW w:w="579" w:type="pct"/>
            <w:tcBorders>
              <w:top w:val="nil"/>
              <w:left w:val="nil"/>
              <w:bottom w:val="single" w:color="auto" w:sz="4" w:space="0"/>
              <w:right w:val="single" w:color="auto" w:sz="4" w:space="0"/>
            </w:tcBorders>
            <w:vAlign w:val="center"/>
          </w:tcPr>
          <w:p w14:paraId="68F8319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w:t>
            </w:r>
          </w:p>
        </w:tc>
      </w:tr>
      <w:tr w14:paraId="0947C574">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02044A66">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35590151">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7E291583">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0A6F6FC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10000</w:t>
            </w:r>
          </w:p>
        </w:tc>
        <w:tc>
          <w:tcPr>
            <w:tcW w:w="902" w:type="pct"/>
            <w:tcBorders>
              <w:top w:val="nil"/>
              <w:left w:val="nil"/>
              <w:bottom w:val="single" w:color="auto" w:sz="4" w:space="0"/>
              <w:right w:val="single" w:color="auto" w:sz="4" w:space="0"/>
            </w:tcBorders>
            <w:vAlign w:val="center"/>
          </w:tcPr>
          <w:p w14:paraId="5D30DC3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w:t>
            </w:r>
          </w:p>
        </w:tc>
        <w:tc>
          <w:tcPr>
            <w:tcW w:w="579" w:type="pct"/>
            <w:tcBorders>
              <w:top w:val="nil"/>
              <w:left w:val="nil"/>
              <w:bottom w:val="single" w:color="auto" w:sz="4" w:space="0"/>
              <w:right w:val="single" w:color="auto" w:sz="4" w:space="0"/>
            </w:tcBorders>
            <w:vAlign w:val="center"/>
          </w:tcPr>
          <w:p w14:paraId="6AD26D9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50</w:t>
            </w:r>
          </w:p>
        </w:tc>
      </w:tr>
      <w:tr w14:paraId="7862CD1B">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3343A26E">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房地产开发经营</w:t>
            </w:r>
          </w:p>
        </w:tc>
        <w:tc>
          <w:tcPr>
            <w:tcW w:w="831" w:type="pct"/>
            <w:tcBorders>
              <w:top w:val="nil"/>
              <w:left w:val="nil"/>
              <w:bottom w:val="single" w:color="auto" w:sz="4" w:space="0"/>
              <w:right w:val="single" w:color="auto" w:sz="4" w:space="0"/>
            </w:tcBorders>
            <w:vAlign w:val="center"/>
          </w:tcPr>
          <w:p w14:paraId="38EDE1F6">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591AEF15">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3143C78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200000</w:t>
            </w:r>
          </w:p>
        </w:tc>
        <w:tc>
          <w:tcPr>
            <w:tcW w:w="902" w:type="pct"/>
            <w:tcBorders>
              <w:top w:val="nil"/>
              <w:left w:val="nil"/>
              <w:bottom w:val="single" w:color="auto" w:sz="4" w:space="0"/>
              <w:right w:val="single" w:color="auto" w:sz="4" w:space="0"/>
            </w:tcBorders>
            <w:vAlign w:val="center"/>
          </w:tcPr>
          <w:p w14:paraId="422426A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w:t>
            </w:r>
          </w:p>
        </w:tc>
        <w:tc>
          <w:tcPr>
            <w:tcW w:w="579" w:type="pct"/>
            <w:tcBorders>
              <w:top w:val="nil"/>
              <w:left w:val="nil"/>
              <w:bottom w:val="single" w:color="auto" w:sz="4" w:space="0"/>
              <w:right w:val="single" w:color="auto" w:sz="4" w:space="0"/>
            </w:tcBorders>
            <w:vAlign w:val="center"/>
          </w:tcPr>
          <w:p w14:paraId="7F398FD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r>
      <w:tr w14:paraId="3B753828">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4F0AC6E5">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7AE76D0A">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资产总额</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Z）</w:t>
            </w:r>
          </w:p>
        </w:tc>
        <w:tc>
          <w:tcPr>
            <w:tcW w:w="748" w:type="pct"/>
            <w:tcBorders>
              <w:top w:val="nil"/>
              <w:left w:val="nil"/>
              <w:bottom w:val="single" w:color="auto" w:sz="4" w:space="0"/>
              <w:right w:val="single" w:color="auto" w:sz="4" w:space="0"/>
            </w:tcBorders>
            <w:vAlign w:val="center"/>
          </w:tcPr>
          <w:p w14:paraId="628A0568">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28A2863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Z</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10000</w:t>
            </w:r>
          </w:p>
        </w:tc>
        <w:tc>
          <w:tcPr>
            <w:tcW w:w="902" w:type="pct"/>
            <w:tcBorders>
              <w:top w:val="nil"/>
              <w:left w:val="nil"/>
              <w:bottom w:val="single" w:color="auto" w:sz="4" w:space="0"/>
              <w:right w:val="single" w:color="auto" w:sz="4" w:space="0"/>
            </w:tcBorders>
            <w:vAlign w:val="center"/>
          </w:tcPr>
          <w:p w14:paraId="4D71B2C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5000</w:t>
            </w:r>
          </w:p>
        </w:tc>
        <w:tc>
          <w:tcPr>
            <w:tcW w:w="579" w:type="pct"/>
            <w:tcBorders>
              <w:top w:val="nil"/>
              <w:left w:val="nil"/>
              <w:bottom w:val="single" w:color="auto" w:sz="4" w:space="0"/>
              <w:right w:val="single" w:color="auto" w:sz="4" w:space="0"/>
            </w:tcBorders>
            <w:vAlign w:val="center"/>
          </w:tcPr>
          <w:p w14:paraId="221BA36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2000</w:t>
            </w:r>
          </w:p>
        </w:tc>
      </w:tr>
      <w:tr w14:paraId="14A4D616">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56126404">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物业管</w:t>
            </w:r>
            <w:r>
              <w:rPr>
                <w:rFonts w:hint="eastAsia" w:ascii="___WRD_EMBED_SUB_45" w:hAnsi="___WRD_EMBED_SUB_45" w:eastAsia="___WRD_EMBED_SUB_45" w:cs="___WRD_EMBED_SUB_45"/>
                <w:b/>
                <w:bCs/>
                <w:color w:val="auto"/>
                <w:kern w:val="0"/>
                <w:sz w:val="18"/>
                <w:szCs w:val="18"/>
                <w:highlight w:val="none"/>
              </w:rPr>
              <w:t>理</w:t>
            </w:r>
          </w:p>
        </w:tc>
        <w:tc>
          <w:tcPr>
            <w:tcW w:w="831" w:type="pct"/>
            <w:tcBorders>
              <w:top w:val="nil"/>
              <w:left w:val="nil"/>
              <w:bottom w:val="single" w:color="auto" w:sz="4" w:space="0"/>
              <w:right w:val="single" w:color="auto" w:sz="4" w:space="0"/>
            </w:tcBorders>
            <w:vAlign w:val="center"/>
          </w:tcPr>
          <w:p w14:paraId="5197A37C">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74B6214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0F8EC1F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w:t>
            </w:r>
          </w:p>
        </w:tc>
        <w:tc>
          <w:tcPr>
            <w:tcW w:w="902" w:type="pct"/>
            <w:tcBorders>
              <w:top w:val="nil"/>
              <w:left w:val="nil"/>
              <w:bottom w:val="single" w:color="auto" w:sz="4" w:space="0"/>
              <w:right w:val="single" w:color="auto" w:sz="4" w:space="0"/>
            </w:tcBorders>
            <w:vAlign w:val="center"/>
          </w:tcPr>
          <w:p w14:paraId="378211B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c>
          <w:tcPr>
            <w:tcW w:w="579" w:type="pct"/>
            <w:tcBorders>
              <w:top w:val="nil"/>
              <w:left w:val="nil"/>
              <w:bottom w:val="single" w:color="auto" w:sz="4" w:space="0"/>
              <w:right w:val="single" w:color="auto" w:sz="4" w:space="0"/>
            </w:tcBorders>
            <w:vAlign w:val="center"/>
          </w:tcPr>
          <w:p w14:paraId="5778DD0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r>
      <w:tr w14:paraId="5B45D1A3">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679D8480">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7EF613B8">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46CE81CD">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2F6071A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5000</w:t>
            </w:r>
          </w:p>
        </w:tc>
        <w:tc>
          <w:tcPr>
            <w:tcW w:w="902" w:type="pct"/>
            <w:tcBorders>
              <w:top w:val="nil"/>
              <w:left w:val="nil"/>
              <w:bottom w:val="single" w:color="auto" w:sz="4" w:space="0"/>
              <w:right w:val="single" w:color="auto" w:sz="4" w:space="0"/>
            </w:tcBorders>
            <w:vAlign w:val="center"/>
          </w:tcPr>
          <w:p w14:paraId="340DE12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w:t>
            </w:r>
          </w:p>
        </w:tc>
        <w:tc>
          <w:tcPr>
            <w:tcW w:w="579" w:type="pct"/>
            <w:tcBorders>
              <w:top w:val="nil"/>
              <w:left w:val="nil"/>
              <w:bottom w:val="single" w:color="auto" w:sz="4" w:space="0"/>
              <w:right w:val="single" w:color="auto" w:sz="4" w:space="0"/>
            </w:tcBorders>
            <w:vAlign w:val="center"/>
          </w:tcPr>
          <w:p w14:paraId="4B497BE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500</w:t>
            </w:r>
          </w:p>
        </w:tc>
      </w:tr>
      <w:tr w14:paraId="06EC46D5">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38188F99">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租赁和商务服务业</w:t>
            </w:r>
          </w:p>
        </w:tc>
        <w:tc>
          <w:tcPr>
            <w:tcW w:w="831" w:type="pct"/>
            <w:tcBorders>
              <w:top w:val="nil"/>
              <w:left w:val="nil"/>
              <w:bottom w:val="single" w:color="auto" w:sz="4" w:space="0"/>
              <w:right w:val="single" w:color="auto" w:sz="4" w:space="0"/>
            </w:tcBorders>
            <w:vAlign w:val="center"/>
          </w:tcPr>
          <w:p w14:paraId="4F0CD868">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234C42C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7637C09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c>
          <w:tcPr>
            <w:tcW w:w="902" w:type="pct"/>
            <w:tcBorders>
              <w:top w:val="nil"/>
              <w:left w:val="nil"/>
              <w:bottom w:val="single" w:color="auto" w:sz="4" w:space="0"/>
              <w:right w:val="single" w:color="auto" w:sz="4" w:space="0"/>
            </w:tcBorders>
            <w:vAlign w:val="center"/>
          </w:tcPr>
          <w:p w14:paraId="25C58A4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c>
          <w:tcPr>
            <w:tcW w:w="579" w:type="pct"/>
            <w:tcBorders>
              <w:top w:val="nil"/>
              <w:left w:val="nil"/>
              <w:bottom w:val="single" w:color="auto" w:sz="4" w:space="0"/>
              <w:right w:val="single" w:color="auto" w:sz="4" w:space="0"/>
            </w:tcBorders>
            <w:vAlign w:val="center"/>
          </w:tcPr>
          <w:p w14:paraId="59A4AEB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w:t>
            </w:r>
          </w:p>
        </w:tc>
      </w:tr>
      <w:tr w14:paraId="66C24234">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02E0C13C">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53D6252E">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资产总额</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Z）</w:t>
            </w:r>
          </w:p>
        </w:tc>
        <w:tc>
          <w:tcPr>
            <w:tcW w:w="748" w:type="pct"/>
            <w:tcBorders>
              <w:top w:val="nil"/>
              <w:left w:val="nil"/>
              <w:bottom w:val="single" w:color="auto" w:sz="4" w:space="0"/>
              <w:right w:val="single" w:color="auto" w:sz="4" w:space="0"/>
            </w:tcBorders>
            <w:vAlign w:val="center"/>
          </w:tcPr>
          <w:p w14:paraId="12084ECC">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5C3236C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Z</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120000</w:t>
            </w:r>
          </w:p>
        </w:tc>
        <w:tc>
          <w:tcPr>
            <w:tcW w:w="902" w:type="pct"/>
            <w:tcBorders>
              <w:top w:val="nil"/>
              <w:left w:val="nil"/>
              <w:bottom w:val="single" w:color="auto" w:sz="4" w:space="0"/>
              <w:right w:val="single" w:color="auto" w:sz="4" w:space="0"/>
            </w:tcBorders>
            <w:vAlign w:val="center"/>
          </w:tcPr>
          <w:p w14:paraId="0305360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Z</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8000</w:t>
            </w:r>
          </w:p>
        </w:tc>
        <w:tc>
          <w:tcPr>
            <w:tcW w:w="579" w:type="pct"/>
            <w:tcBorders>
              <w:top w:val="nil"/>
              <w:left w:val="nil"/>
              <w:bottom w:val="single" w:color="auto" w:sz="4" w:space="0"/>
              <w:right w:val="single" w:color="auto" w:sz="4" w:space="0"/>
            </w:tcBorders>
            <w:vAlign w:val="center"/>
          </w:tcPr>
          <w:p w14:paraId="4DA3DC5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r>
      <w:tr w14:paraId="7479A5BF">
        <w:tblPrEx>
          <w:tblCellMar>
            <w:top w:w="0" w:type="dxa"/>
            <w:left w:w="108" w:type="dxa"/>
            <w:bottom w:w="0" w:type="dxa"/>
            <w:right w:w="108" w:type="dxa"/>
          </w:tblCellMar>
        </w:tblPrEx>
        <w:trPr>
          <w:trHeight w:val="225" w:hRule="atLeast"/>
        </w:trPr>
        <w:tc>
          <w:tcPr>
            <w:tcW w:w="978" w:type="pct"/>
            <w:tcBorders>
              <w:top w:val="nil"/>
              <w:left w:val="single" w:color="auto" w:sz="4" w:space="0"/>
              <w:bottom w:val="single" w:color="auto" w:sz="4" w:space="0"/>
              <w:right w:val="single" w:color="auto" w:sz="4" w:space="0"/>
            </w:tcBorders>
            <w:vAlign w:val="bottom"/>
          </w:tcPr>
          <w:p w14:paraId="4B25088C">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其他未列明行业</w:t>
            </w:r>
          </w:p>
        </w:tc>
        <w:tc>
          <w:tcPr>
            <w:tcW w:w="831" w:type="pct"/>
            <w:tcBorders>
              <w:top w:val="nil"/>
              <w:left w:val="nil"/>
              <w:bottom w:val="single" w:color="auto" w:sz="4" w:space="0"/>
              <w:right w:val="single" w:color="auto" w:sz="4" w:space="0"/>
            </w:tcBorders>
            <w:vAlign w:val="center"/>
          </w:tcPr>
          <w:p w14:paraId="1F29C2BC">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3DACD5C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3CB1914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c>
          <w:tcPr>
            <w:tcW w:w="902" w:type="pct"/>
            <w:tcBorders>
              <w:top w:val="nil"/>
              <w:left w:val="nil"/>
              <w:bottom w:val="single" w:color="auto" w:sz="4" w:space="0"/>
              <w:right w:val="single" w:color="auto" w:sz="4" w:space="0"/>
            </w:tcBorders>
            <w:vAlign w:val="center"/>
          </w:tcPr>
          <w:p w14:paraId="2CF432E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c>
          <w:tcPr>
            <w:tcW w:w="579" w:type="pct"/>
            <w:tcBorders>
              <w:top w:val="nil"/>
              <w:left w:val="nil"/>
              <w:bottom w:val="single" w:color="auto" w:sz="4" w:space="0"/>
              <w:right w:val="single" w:color="auto" w:sz="4" w:space="0"/>
            </w:tcBorders>
            <w:vAlign w:val="center"/>
          </w:tcPr>
          <w:p w14:paraId="69A1A87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w:t>
            </w:r>
          </w:p>
        </w:tc>
      </w:tr>
    </w:tbl>
    <w:p w14:paraId="17863860">
      <w:pPr>
        <w:spacing w:line="528"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495FE5A1">
      <w:pPr>
        <w:widowControl/>
        <w:jc w:val="left"/>
        <w:rPr>
          <w:b/>
          <w:bCs/>
          <w:color w:val="auto"/>
          <w:kern w:val="44"/>
          <w:sz w:val="44"/>
          <w:szCs w:val="44"/>
          <w:highlight w:val="none"/>
        </w:rPr>
      </w:pPr>
      <w:r>
        <w:rPr>
          <w:color w:val="auto"/>
          <w:highlight w:val="none"/>
        </w:rPr>
        <w:br w:type="page"/>
      </w:r>
    </w:p>
    <w:p w14:paraId="73AAEF51">
      <w:pPr>
        <w:pStyle w:val="3"/>
        <w:jc w:val="center"/>
        <w:rPr>
          <w:color w:val="auto"/>
          <w:highlight w:val="none"/>
        </w:rPr>
      </w:pPr>
      <w:bookmarkStart w:id="63" w:name="_Toc151675539"/>
      <w:r>
        <w:rPr>
          <w:rFonts w:hint="eastAsia"/>
          <w:color w:val="auto"/>
          <w:highlight w:val="none"/>
        </w:rPr>
        <w:t xml:space="preserve">第四章 </w:t>
      </w:r>
      <w:r>
        <w:rPr>
          <w:color w:val="auto"/>
          <w:highlight w:val="none"/>
        </w:rPr>
        <w:t xml:space="preserve"> </w:t>
      </w:r>
      <w:r>
        <w:rPr>
          <w:rFonts w:hint="eastAsia"/>
          <w:color w:val="auto"/>
          <w:highlight w:val="none"/>
        </w:rPr>
        <w:t>评审程序、评审方法和评审标准</w:t>
      </w:r>
      <w:bookmarkEnd w:id="63"/>
    </w:p>
    <w:p w14:paraId="35A8A126">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一、评审程序和评审方法</w:t>
      </w:r>
    </w:p>
    <w:p w14:paraId="5D588405">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14:paraId="199C2B28">
      <w:pPr>
        <w:snapToGrid w:val="0"/>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14:paraId="491A90A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r>
        <w:rPr>
          <w:rFonts w:hint="eastAsia"/>
          <w:color w:val="auto"/>
          <w:highlight w:val="none"/>
        </w:rPr>
        <w:t>磋商小组</w:t>
      </w:r>
      <w:r>
        <w:rPr>
          <w:rFonts w:hint="eastAsia" w:ascii="宋体" w:hAnsi="宋体" w:cs="宋体"/>
          <w:color w:val="auto"/>
          <w:szCs w:val="21"/>
          <w:highlight w:val="none"/>
        </w:rPr>
        <w:t>在资格审查结束前，对供应商进行信用查询。</w:t>
      </w:r>
    </w:p>
    <w:p w14:paraId="14B46DF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（1）查询渠道：广西政府采购云平台“信用中国”网站(www.creditchina.gov.cn)、中国政府采购网(www.ccgp.gov.cn)链接入口。</w:t>
      </w:r>
    </w:p>
    <w:p w14:paraId="689A6CF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0BAE113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（3）查询记录和证据留存方式：在查询网站中直接查询，截图另存为电子文档作为评审资料保存。</w:t>
      </w:r>
    </w:p>
    <w:p w14:paraId="53AF7EA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highlight w:val="none"/>
        </w:rPr>
        <w:t>。</w:t>
      </w:r>
    </w:p>
    <w:p w14:paraId="306AE65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14:paraId="6D22CC7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.3供应商有下列情形之一的，资格审查不通过，其响应文件按无效响应处理：</w:t>
      </w:r>
    </w:p>
    <w:p w14:paraId="6A7D57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6A4076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（2）未按磋商文件规定的方式获取本磋商文件的供应商；</w:t>
      </w:r>
    </w:p>
    <w:p w14:paraId="0DCEE7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）响应文件的资格证明文件缺少任一项“供应商须知前附表”资格证明文件规定的“必须提供”的文件资料的；</w:t>
      </w:r>
    </w:p>
    <w:p w14:paraId="606204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2711EC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2231BD6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4186063B">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14:paraId="32758C45">
      <w:pPr>
        <w:spacing w:line="360" w:lineRule="auto"/>
        <w:ind w:firstLine="420" w:firstLineChars="200"/>
        <w:rPr>
          <w:rFonts w:ascii="宋体" w:hAnsi="宋体" w:cs="宋体"/>
          <w:color w:val="auto"/>
          <w:szCs w:val="21"/>
          <w:highlight w:val="none"/>
        </w:rPr>
      </w:pPr>
      <w:bookmarkStart w:id="64" w:name="_Hlk42528882"/>
      <w:r>
        <w:rPr>
          <w:rFonts w:ascii="宋体" w:hAnsi="宋体" w:cs="宋体"/>
          <w:color w:val="auto"/>
          <w:szCs w:val="21"/>
          <w:highlight w:val="none"/>
        </w:rPr>
        <w:t>2.1</w:t>
      </w:r>
      <w:r>
        <w:rPr>
          <w:rFonts w:hint="eastAsia" w:ascii="宋体" w:hAnsi="宋体" w:cs="宋体"/>
          <w:color w:val="auto"/>
          <w:szCs w:val="21"/>
          <w:highlight w:val="none"/>
        </w:rPr>
        <w:t>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的响应文件的竞标报价、商务、技术等实质性要求进行符合性审查，以确定其是否满足磋商文件的实质性要求。</w:t>
      </w:r>
    </w:p>
    <w:bookmarkEnd w:id="64"/>
    <w:p w14:paraId="721C822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8587376">
      <w:pPr>
        <w:spacing w:line="360" w:lineRule="auto"/>
        <w:ind w:firstLine="420" w:firstLineChars="200"/>
        <w:rPr>
          <w:rFonts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auto"/>
          <w:highlight w:val="none"/>
        </w:rPr>
        <w:t>签章</w:t>
      </w:r>
      <w:r>
        <w:rPr>
          <w:rFonts w:hint="eastAsia" w:ascii="宋体" w:hAnsi="宋体" w:cs="宋体"/>
          <w:color w:val="auto"/>
          <w:spacing w:val="-6"/>
          <w:szCs w:val="21"/>
          <w:highlight w:val="none"/>
        </w:rPr>
        <w:t>。</w:t>
      </w:r>
    </w:p>
    <w:p w14:paraId="14671756">
      <w:pPr>
        <w:spacing w:line="360" w:lineRule="auto"/>
        <w:ind w:firstLine="420" w:firstLineChars="200"/>
        <w:rPr>
          <w:rFonts w:ascii="宋体" w:hAnsi="宋体" w:cs="宋体"/>
          <w:color w:val="auto"/>
          <w:spacing w:val="-6"/>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361E78F6">
      <w:pPr>
        <w:spacing w:line="360" w:lineRule="auto"/>
        <w:ind w:firstLine="396" w:firstLineChars="200"/>
        <w:rPr>
          <w:rFonts w:ascii="宋体" w:hAns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首次响应文件报价出现前后不一致的，按照下列规定修正：</w:t>
      </w:r>
    </w:p>
    <w:p w14:paraId="6456FF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023FBE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01C806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3F4827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0DF693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1153C2E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2E2ED0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4E00E8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38B093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1）提供响应文件正、副本数量不足；</w:t>
      </w:r>
    </w:p>
    <w:p w14:paraId="67269A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2）响应文件未按磋商文件要求签署、盖章；</w:t>
      </w:r>
    </w:p>
    <w:p w14:paraId="7593A3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3）委托代理人未能出具有效身份证或者出具的身份证与授权委托书中的信息不符的；</w:t>
      </w:r>
    </w:p>
    <w:p w14:paraId="4E1452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4）提交的磋商保证金无效的或者未按照磋商文件的规定提交磋商保证金；</w:t>
      </w:r>
    </w:p>
    <w:p w14:paraId="651F4E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w:t>
      </w:r>
    </w:p>
    <w:p w14:paraId="7CC8D9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6）未对竞标有效期作出响应或者响应文件承诺的竞标有效期不满足磋商文件要求；</w:t>
      </w:r>
    </w:p>
    <w:p w14:paraId="367C8D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7）响应文件的实质性内容未使用中文表述、使用计量单位不符合磋商文件要求；</w:t>
      </w:r>
    </w:p>
    <w:p w14:paraId="2DC9BF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8）响应文件中的文件资料因填写不齐全或者内容虚假或者出现其他情形而导致被磋商小组认定无效；</w:t>
      </w:r>
    </w:p>
    <w:p w14:paraId="4E5001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9）响应文件含有采购人不能接受的附加条件；</w:t>
      </w:r>
    </w:p>
    <w:p w14:paraId="6F0E6A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10）属于“供应商须知正文”第7.</w:t>
      </w:r>
      <w:r>
        <w:rPr>
          <w:rFonts w:ascii="宋体" w:hAnsi="宋体" w:cs="宋体"/>
          <w:color w:val="auto"/>
          <w:szCs w:val="21"/>
          <w:highlight w:val="none"/>
        </w:rPr>
        <w:t>5</w:t>
      </w:r>
      <w:r>
        <w:rPr>
          <w:rFonts w:hint="eastAsia" w:ascii="宋体" w:hAnsi="宋体" w:cs="宋体"/>
          <w:color w:val="auto"/>
          <w:szCs w:val="21"/>
          <w:highlight w:val="none"/>
        </w:rPr>
        <w:t>条情形；</w:t>
      </w:r>
    </w:p>
    <w:p w14:paraId="5B9767A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1）虚假竞标，或者出现其他情形而导致被磋商小组认定无效；</w:t>
      </w:r>
    </w:p>
    <w:p w14:paraId="47F4702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w:t>
      </w:r>
      <w:bookmarkStart w:id="65" w:name="_Hlk71704147"/>
      <w:r>
        <w:rPr>
          <w:rFonts w:hint="eastAsia" w:ascii="宋体" w:hAnsi="宋体" w:cs="宋体"/>
          <w:color w:val="auto"/>
          <w:szCs w:val="21"/>
          <w:highlight w:val="none"/>
        </w:rPr>
        <w:t>磋商文件未载明允许提供备选（替代）竞标方案或明确不允许提供备选（替代）竞标方案时，供应商提供了备选（替代）竞标方案的；</w:t>
      </w:r>
      <w:bookmarkEnd w:id="65"/>
    </w:p>
    <w:p w14:paraId="474DB93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3）响应文件标注的项目名称或者项目编号与磋商文件标注的项目名称或者项目编号不一致的；</w:t>
      </w:r>
    </w:p>
    <w:p w14:paraId="1E33DA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w:t>
      </w:r>
      <w:r>
        <w:rPr>
          <w:rFonts w:hint="eastAsia" w:ascii="宋体" w:hAnsi="宋体"/>
          <w:b/>
          <w:color w:val="auto"/>
          <w:szCs w:val="21"/>
          <w:highlight w:val="none"/>
        </w:rPr>
        <w:t>竞争性磋商文件明确不允许分包，响应文件拟分包的；</w:t>
      </w:r>
    </w:p>
    <w:p w14:paraId="6D05568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5）未响应磋商文件实质性要求；</w:t>
      </w:r>
    </w:p>
    <w:p w14:paraId="3EA775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16）法律、法规和磋商文件规定的其他无效情形。</w:t>
      </w:r>
    </w:p>
    <w:p w14:paraId="1C0508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14:paraId="73FBAD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1）响应文件未提供“供应商须知前附表”报价文件中规定的“竞标报价表”；</w:t>
      </w:r>
    </w:p>
    <w:p w14:paraId="13B2E3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44087B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3E1A05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4）竞标报价（包含首次报价、最后报价）超过所竞标分标规定的采购预算金额或者最高限价的（如本项目公布了最高限价）；</w:t>
      </w:r>
      <w:bookmarkStart w:id="66" w:name="_Hlk42596405"/>
      <w:r>
        <w:rPr>
          <w:rFonts w:hint="eastAsia" w:ascii="宋体" w:hAnsi="宋体" w:cs="宋体"/>
          <w:color w:val="auto"/>
          <w:szCs w:val="21"/>
          <w:highlight w:val="none"/>
        </w:rPr>
        <w:t>竞标报价（包含首次报价、最后报价）</w:t>
      </w:r>
      <w:bookmarkEnd w:id="66"/>
      <w:bookmarkStart w:id="67" w:name="_Hlk42596276"/>
      <w:r>
        <w:rPr>
          <w:rFonts w:hint="eastAsia" w:ascii="宋体" w:hAnsi="宋体" w:cs="宋体"/>
          <w:color w:val="auto"/>
          <w:szCs w:val="21"/>
          <w:highlight w:val="none"/>
        </w:rPr>
        <w:t>超过磋商文件分项采购预算金额或者最高限价的</w:t>
      </w:r>
      <w:bookmarkEnd w:id="67"/>
      <w:r>
        <w:rPr>
          <w:rFonts w:hint="eastAsia" w:ascii="宋体" w:hAnsi="宋体" w:cs="宋体"/>
          <w:color w:val="auto"/>
          <w:szCs w:val="21"/>
          <w:highlight w:val="none"/>
        </w:rPr>
        <w:t>（如本项目公布了最高限价）；</w:t>
      </w:r>
    </w:p>
    <w:p w14:paraId="4598DC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105EA6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响应文件响应的标的数量及单位与竞争性磋商采购文件要求实质性不一致的。</w:t>
      </w:r>
    </w:p>
    <w:p w14:paraId="1414C26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1926E84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olor w:val="auto"/>
          <w:szCs w:val="21"/>
          <w:highlight w:val="none"/>
        </w:rPr>
        <w:t>通过符合性审查的合格供应商不足3家的，不得进入磋商环节，采购人或者采购代理机构应当重新开展采购活动。</w:t>
      </w:r>
    </w:p>
    <w:p w14:paraId="22C26ACB">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.磋商程序</w:t>
      </w:r>
    </w:p>
    <w:p w14:paraId="1D9C1E3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w:t>
      </w:r>
      <w:r>
        <w:rPr>
          <w:rFonts w:hint="eastAsia" w:ascii="宋体" w:hAnsi="宋体" w:cs="宋体"/>
          <w:color w:val="auto"/>
          <w:szCs w:val="21"/>
          <w:highlight w:val="none"/>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5762431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7E58D60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对磋商文件作出的实质性变动是磋商文件的有效组成部分，由磋商小组及时以电子澄清函形式同时通知所有参加磋商的供应商。</w:t>
      </w:r>
    </w:p>
    <w:p w14:paraId="35FE940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7A78C2B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14:paraId="1B7C36E3">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采购代理机构对磋商过程和重要磋商内容进行记录。</w:t>
      </w:r>
    </w:p>
    <w:p w14:paraId="6E95DBD3">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.7</w:t>
      </w:r>
      <w:r>
        <w:rPr>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38FD632A">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3.8除</w:t>
      </w:r>
      <w:r>
        <w:rPr>
          <w:color w:val="auto"/>
          <w:highlight w:val="none"/>
        </w:rPr>
        <w:t>本章第3.7条情形</w:t>
      </w:r>
      <w:r>
        <w:rPr>
          <w:rFonts w:hint="eastAsia"/>
          <w:color w:val="auto"/>
          <w:highlight w:val="none"/>
        </w:rPr>
        <w:t>外，</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7594ECBE">
      <w:pPr>
        <w:spacing w:line="360" w:lineRule="auto"/>
        <w:ind w:firstLine="482" w:firstLineChars="200"/>
        <w:rPr>
          <w:rFonts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最后报价</w:t>
      </w:r>
    </w:p>
    <w:p w14:paraId="257A1C4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磋商文件能够详细列明采购标的的技术、服务要求的，磋商结束后，磋商小组应当要求所有继续参加磋商的供应商在规定时间内在广西政府采购云平台开标大厅提交最后报价，除本章第</w:t>
      </w:r>
      <w:r>
        <w:rPr>
          <w:rFonts w:ascii="宋体" w:hAnsi="宋体" w:cs="宋体"/>
          <w:color w:val="auto"/>
          <w:szCs w:val="21"/>
          <w:highlight w:val="none"/>
        </w:rPr>
        <w:t>4.3</w:t>
      </w:r>
      <w:r>
        <w:rPr>
          <w:rFonts w:hint="eastAsia" w:ascii="宋体" w:hAnsi="宋体" w:cs="宋体"/>
          <w:color w:val="auto"/>
          <w:szCs w:val="21"/>
          <w:highlight w:val="none"/>
        </w:rPr>
        <w:t>条外，提交最后报价的供应商不得少于3家，否则必须重新采购。</w:t>
      </w:r>
    </w:p>
    <w:p w14:paraId="3E9184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1BDDF20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最后报价是供应商响应文件的有效组成部分。符合《政府采购竞争性磋商采购方式管理暂行办法》（财库〔2014〕214号）第三条第四项“市场竞争不充分的科研项目，以及需要扶持的科技成果转化项目”和</w:t>
      </w:r>
      <w:r>
        <w:rPr>
          <w:color w:val="auto"/>
          <w:highlight w:val="none"/>
        </w:rPr>
        <w:t>本章第3.7条情形的，</w:t>
      </w:r>
      <w:r>
        <w:rPr>
          <w:rFonts w:hint="eastAsia" w:ascii="宋体" w:hAnsi="宋体" w:cs="宋体"/>
          <w:color w:val="auto"/>
          <w:szCs w:val="21"/>
          <w:highlight w:val="none"/>
        </w:rPr>
        <w:t>提交最后报价的供应商可以为2家。</w:t>
      </w:r>
    </w:p>
    <w:p w14:paraId="2A55E34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2BB9645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供应商未在规定时间内提交最后报价的，视同退出磋商，其响应文件按无效处理。</w:t>
      </w:r>
    </w:p>
    <w:p w14:paraId="6F85035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最后报价统一开启后，磋商小组对最后报价进行有效性、完整性和响应程度的审查。</w:t>
      </w:r>
    </w:p>
    <w:p w14:paraId="5151C84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条的规定修正。</w:t>
      </w:r>
    </w:p>
    <w:p w14:paraId="1829CBA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修正后的报价出现下列情形的，按无效响应处理：</w:t>
      </w:r>
    </w:p>
    <w:p w14:paraId="2895A4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71CDE3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14:paraId="30622E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14:paraId="0B1D81D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经供应商确认修正后的最后报价作为评审及签订合同的依据。</w:t>
      </w:r>
    </w:p>
    <w:p w14:paraId="696CCF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3C6FF0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1最后报价结束后，磋商小组不得再与供应商进行任何形式的商谈。</w:t>
      </w:r>
    </w:p>
    <w:p w14:paraId="19E83FC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3080535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120C4A6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5B44551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0BA44C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63C2FE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40B5944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7F45FE4A">
      <w:pPr>
        <w:spacing w:line="360" w:lineRule="auto"/>
        <w:ind w:firstLine="420" w:firstLineChars="200"/>
        <w:rPr>
          <w:rFonts w:ascii="宋体" w:hAnsi="宋体"/>
          <w:color w:val="auto"/>
          <w:kern w:val="0"/>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由磋商小组根据综合评分情况，按照评审得分由高到低顺序推荐3名以上成交候选供应商，并编写评</w:t>
      </w:r>
      <w:r>
        <w:rPr>
          <w:rFonts w:hint="eastAsia" w:ascii="宋体" w:hAnsi="宋体"/>
          <w:color w:val="auto"/>
          <w:kern w:val="0"/>
          <w:szCs w:val="21"/>
          <w:highlight w:val="none"/>
        </w:rPr>
        <w:t>审报告。符合本章第</w:t>
      </w:r>
      <w:r>
        <w:rPr>
          <w:rFonts w:ascii="宋体" w:hAnsi="宋体"/>
          <w:color w:val="auto"/>
          <w:kern w:val="0"/>
          <w:szCs w:val="21"/>
          <w:highlight w:val="none"/>
        </w:rPr>
        <w:t>4.3</w:t>
      </w:r>
      <w:r>
        <w:rPr>
          <w:rFonts w:hint="eastAsia" w:ascii="宋体" w:hAnsi="宋体"/>
          <w:color w:val="auto"/>
          <w:kern w:val="0"/>
          <w:szCs w:val="21"/>
          <w:highlight w:val="none"/>
        </w:rPr>
        <w:t>条情形的，可以推荐2家成交候选供应商。评审得分相同的，按照最后报价由低到高的顺序推荐。评审得分且最后报价相同的，按照技术指标优劣顺序推荐。</w:t>
      </w:r>
    </w:p>
    <w:p w14:paraId="66C70B5B">
      <w:pPr>
        <w:spacing w:line="360" w:lineRule="auto"/>
        <w:ind w:firstLine="420" w:firstLineChars="200"/>
        <w:rPr>
          <w:rFonts w:ascii="宋体" w:hAnsi="宋体" w:cs="宋体"/>
          <w:color w:val="auto"/>
          <w:szCs w:val="21"/>
          <w:highlight w:val="none"/>
        </w:rPr>
      </w:pPr>
      <w:r>
        <w:rPr>
          <w:rFonts w:ascii="宋体" w:hAnsi="宋体"/>
          <w:color w:val="auto"/>
          <w:kern w:val="0"/>
          <w:szCs w:val="21"/>
          <w:highlight w:val="none"/>
        </w:rPr>
        <w:t>5.6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9DDC978">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二、评审标准</w:t>
      </w:r>
    </w:p>
    <w:tbl>
      <w:tblPr>
        <w:tblStyle w:val="36"/>
        <w:tblW w:w="4977" w:type="pct"/>
        <w:tblInd w:w="0" w:type="dxa"/>
        <w:tblLayout w:type="autofit"/>
        <w:tblCellMar>
          <w:top w:w="0" w:type="dxa"/>
          <w:left w:w="108" w:type="dxa"/>
          <w:bottom w:w="0" w:type="dxa"/>
          <w:right w:w="108" w:type="dxa"/>
        </w:tblCellMar>
      </w:tblPr>
      <w:tblGrid>
        <w:gridCol w:w="623"/>
        <w:gridCol w:w="1255"/>
        <w:gridCol w:w="8038"/>
      </w:tblGrid>
      <w:tr w14:paraId="26311F26">
        <w:tblPrEx>
          <w:tblCellMar>
            <w:top w:w="0" w:type="dxa"/>
            <w:left w:w="108" w:type="dxa"/>
            <w:bottom w:w="0" w:type="dxa"/>
            <w:right w:w="108" w:type="dxa"/>
          </w:tblCellMar>
        </w:tblPrEx>
        <w:trPr>
          <w:trHeight w:val="619"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C2D69B" w:themeFill="accent3" w:themeFillTint="99"/>
            <w:vAlign w:val="center"/>
          </w:tcPr>
          <w:p w14:paraId="4524A614">
            <w:pPr>
              <w:keepNext w:val="0"/>
              <w:keepLines w:val="0"/>
              <w:pageBreakBefore w:val="0"/>
              <w:kinsoku/>
              <w:wordWrap/>
              <w:overflowPunct/>
              <w:topLinePunct w:val="0"/>
              <w:autoSpaceDE/>
              <w:autoSpaceDN/>
              <w:bidi w:val="0"/>
              <w:adjustRightInd/>
              <w:snapToGrid/>
              <w:spacing w:line="360" w:lineRule="auto"/>
              <w:jc w:val="center"/>
              <w:rPr>
                <w:rFonts w:hint="default" w:asciiTheme="minorEastAsia" w:hAnsiTheme="minorEastAsia" w:eastAsiaTheme="minorEastAsia" w:cstheme="minorEastAsia"/>
                <w:color w:val="auto"/>
                <w:szCs w:val="21"/>
                <w:highlight w:val="none"/>
                <w:lang w:val="en-US"/>
              </w:rPr>
            </w:pPr>
            <w:r>
              <w:rPr>
                <w:rFonts w:hint="eastAsia" w:asciiTheme="minorEastAsia" w:hAnsiTheme="minorEastAsia" w:eastAsiaTheme="minorEastAsia" w:cstheme="minorEastAsia"/>
                <w:color w:val="auto"/>
                <w:szCs w:val="21"/>
                <w:highlight w:val="none"/>
              </w:rPr>
              <w:t>标项</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lang w:eastAsia="zh-CN"/>
              </w:rPr>
              <w:t>：2025广西艺术作品展览——第十三届美术作品展览</w:t>
            </w:r>
            <w:r>
              <w:rPr>
                <w:rFonts w:hint="eastAsia" w:asciiTheme="minorEastAsia" w:hAnsiTheme="minorEastAsia" w:eastAsiaTheme="minorEastAsia" w:cstheme="minorEastAsia"/>
                <w:color w:val="auto"/>
                <w:szCs w:val="21"/>
                <w:highlight w:val="none"/>
                <w:lang w:val="en-US" w:eastAsia="zh-CN"/>
              </w:rPr>
              <w:t xml:space="preserve"> 评审标准</w:t>
            </w:r>
          </w:p>
        </w:tc>
      </w:tr>
      <w:tr w14:paraId="02486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14" w:type="pct"/>
            <w:noWrap w:val="0"/>
            <w:vAlign w:val="center"/>
          </w:tcPr>
          <w:p w14:paraId="5C5BFAF9">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633" w:type="pct"/>
            <w:noWrap w:val="0"/>
            <w:vAlign w:val="center"/>
          </w:tcPr>
          <w:p w14:paraId="08F63909">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评审因素</w:t>
            </w:r>
          </w:p>
        </w:tc>
        <w:tc>
          <w:tcPr>
            <w:tcW w:w="4052" w:type="pct"/>
            <w:noWrap w:val="0"/>
            <w:vAlign w:val="center"/>
          </w:tcPr>
          <w:p w14:paraId="48996C76">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评分内容与标准</w:t>
            </w:r>
          </w:p>
        </w:tc>
      </w:tr>
      <w:tr w14:paraId="5FD6B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4" w:type="pct"/>
            <w:noWrap w:val="0"/>
            <w:vAlign w:val="center"/>
          </w:tcPr>
          <w:p w14:paraId="4F1D3D7A">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33" w:type="pct"/>
            <w:noWrap w:val="0"/>
            <w:vAlign w:val="center"/>
          </w:tcPr>
          <w:p w14:paraId="5C0C563B">
            <w:pPr>
              <w:widowControl/>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价格分</w:t>
            </w:r>
            <w:r>
              <w:rPr>
                <w:rFonts w:hint="eastAsia" w:ascii="宋体" w:hAnsi="宋体" w:eastAsia="宋体" w:cs="宋体"/>
                <w:b w:val="0"/>
                <w:bCs w:val="0"/>
                <w:color w:val="auto"/>
                <w:kern w:val="0"/>
                <w:szCs w:val="21"/>
                <w:highlight w:val="none"/>
                <w:lang w:eastAsia="zh-CN"/>
              </w:rPr>
              <w:t>（</w:t>
            </w:r>
            <w:r>
              <w:rPr>
                <w:rFonts w:hint="eastAsia" w:ascii="宋体" w:hAnsi="宋体" w:eastAsia="宋体" w:cs="宋体"/>
                <w:b w:val="0"/>
                <w:bCs w:val="0"/>
                <w:color w:val="auto"/>
                <w:kern w:val="0"/>
                <w:szCs w:val="21"/>
                <w:highlight w:val="none"/>
                <w:lang w:val="en-US" w:eastAsia="zh-CN"/>
              </w:rPr>
              <w:t>满分10分</w:t>
            </w:r>
            <w:r>
              <w:rPr>
                <w:rFonts w:hint="eastAsia" w:ascii="宋体" w:hAnsi="宋体" w:eastAsia="宋体" w:cs="宋体"/>
                <w:b w:val="0"/>
                <w:bCs w:val="0"/>
                <w:color w:val="auto"/>
                <w:kern w:val="0"/>
                <w:szCs w:val="21"/>
                <w:highlight w:val="none"/>
                <w:lang w:eastAsia="zh-CN"/>
              </w:rPr>
              <w:t>）</w:t>
            </w:r>
          </w:p>
        </w:tc>
        <w:tc>
          <w:tcPr>
            <w:tcW w:w="4052" w:type="pct"/>
            <w:noWrap w:val="0"/>
            <w:vAlign w:val="top"/>
          </w:tcPr>
          <w:p w14:paraId="48055FBF">
            <w:pPr>
              <w:widowControl/>
              <w:wordWrap w:val="0"/>
              <w:overflowPunct w:val="0"/>
              <w:topLinePunct/>
              <w:spacing w:line="360" w:lineRule="auto"/>
              <w:ind w:firstLine="315" w:firstLineChars="150"/>
              <w:rPr>
                <w:rFonts w:hint="eastAsia" w:ascii="宋体" w:hAnsi="宋体" w:eastAsia="宋体" w:cs="Courier New"/>
                <w:bCs/>
                <w:color w:val="auto"/>
                <w:szCs w:val="21"/>
              </w:rPr>
            </w:pPr>
            <w:r>
              <w:rPr>
                <w:rFonts w:hint="eastAsia" w:ascii="宋体" w:hAnsi="宋体" w:eastAsia="宋体" w:cs="Courier New"/>
                <w:bCs/>
                <w:color w:val="auto"/>
                <w:szCs w:val="21"/>
              </w:rPr>
              <w:t>（1）评审报价为供应商的报价进行政策性扣除后的价格，评审报价只是作为评审时使用。最终成交人的成交金额等于竞标报价。</w:t>
            </w:r>
          </w:p>
          <w:p w14:paraId="3710C73D">
            <w:pPr>
              <w:widowControl/>
              <w:wordWrap w:val="0"/>
              <w:overflowPunct w:val="0"/>
              <w:topLinePunct/>
              <w:spacing w:line="360" w:lineRule="auto"/>
              <w:ind w:firstLine="315" w:firstLineChars="150"/>
              <w:rPr>
                <w:rFonts w:hint="eastAsia" w:ascii="宋体" w:hAnsi="宋体" w:eastAsia="宋体" w:cs="Courier New"/>
                <w:bCs/>
                <w:color w:val="auto"/>
                <w:szCs w:val="21"/>
              </w:rPr>
            </w:pPr>
            <w:r>
              <w:rPr>
                <w:rFonts w:hint="eastAsia" w:ascii="宋体" w:hAnsi="宋体" w:eastAsia="宋体" w:cs="Courier New"/>
                <w:bCs/>
                <w:color w:val="auto"/>
                <w:szCs w:val="21"/>
              </w:rPr>
              <w:t>（2）以进入综合评分环节的最低的评审报价为基准价，基准价报价得分为10分。</w:t>
            </w:r>
          </w:p>
          <w:p w14:paraId="59957CF4">
            <w:pPr>
              <w:widowControl/>
              <w:wordWrap w:val="0"/>
              <w:overflowPunct w:val="0"/>
              <w:topLinePunct/>
              <w:spacing w:line="360" w:lineRule="auto"/>
              <w:ind w:firstLine="315" w:firstLineChars="150"/>
              <w:rPr>
                <w:rFonts w:ascii="宋体" w:hAnsi="宋体" w:eastAsia="宋体"/>
                <w:color w:val="auto"/>
              </w:rPr>
            </w:pPr>
            <w:r>
              <w:rPr>
                <w:rFonts w:hint="eastAsia" w:ascii="宋体" w:hAnsi="宋体" w:eastAsia="宋体" w:cs="Courier New"/>
                <w:bCs/>
                <w:color w:val="auto"/>
                <w:szCs w:val="21"/>
              </w:rPr>
              <w:t>（3）本项目为</w:t>
            </w:r>
            <w:r>
              <w:rPr>
                <w:rFonts w:hint="eastAsia" w:ascii="宋体" w:hAnsi="宋体" w:eastAsia="宋体"/>
                <w:color w:val="auto"/>
              </w:rPr>
              <w:t>专门面向中小企业的项目，</w:t>
            </w:r>
            <w:r>
              <w:rPr>
                <w:rFonts w:hint="eastAsia" w:ascii="宋体" w:hAnsi="宋体" w:eastAsia="宋体" w:cs="宋体"/>
                <w:color w:val="auto"/>
              </w:rPr>
              <w:t>评审</w:t>
            </w:r>
            <w:r>
              <w:rPr>
                <w:rFonts w:hint="eastAsia" w:ascii="宋体" w:hAnsi="宋体" w:eastAsia="宋体"/>
                <w:color w:val="auto"/>
              </w:rPr>
              <w:t>时所有供应商的报价不予进行政策性价格折扣。</w:t>
            </w:r>
          </w:p>
          <w:p w14:paraId="67D6D016">
            <w:pPr>
              <w:widowControl/>
              <w:wordWrap w:val="0"/>
              <w:overflowPunct w:val="0"/>
              <w:topLinePunct/>
              <w:spacing w:line="360" w:lineRule="auto"/>
              <w:ind w:firstLine="315" w:firstLineChars="150"/>
              <w:rPr>
                <w:rFonts w:ascii="宋体" w:hAnsi="宋体" w:eastAsia="宋体" w:cs="Courier New"/>
                <w:bCs/>
                <w:color w:val="auto"/>
                <w:szCs w:val="21"/>
              </w:rPr>
            </w:pPr>
            <w:r>
              <w:rPr>
                <w:rFonts w:hint="eastAsia" w:ascii="宋体" w:hAnsi="宋体" w:eastAsia="宋体" w:cs="Courier New"/>
                <w:bCs/>
                <w:color w:val="auto"/>
                <w:szCs w:val="21"/>
              </w:rPr>
              <w:t>按照《关于政府采购支持监狱企业发展有关问题的通知》（财库〔</w:t>
            </w:r>
            <w:r>
              <w:rPr>
                <w:rFonts w:ascii="宋体" w:hAnsi="宋体" w:eastAsia="宋体" w:cs="Courier New"/>
                <w:bCs/>
                <w:color w:val="auto"/>
                <w:szCs w:val="21"/>
              </w:rPr>
              <w:t>2014</w:t>
            </w:r>
            <w:r>
              <w:rPr>
                <w:rFonts w:hint="eastAsia" w:ascii="宋体" w:hAnsi="宋体" w:eastAsia="宋体" w:cs="Courier New"/>
                <w:bCs/>
                <w:color w:val="auto"/>
                <w:szCs w:val="21"/>
              </w:rPr>
              <w:t>〕</w:t>
            </w:r>
            <w:r>
              <w:rPr>
                <w:rFonts w:ascii="宋体" w:hAnsi="宋体" w:eastAsia="宋体" w:cs="Courier New"/>
                <w:bCs/>
                <w:color w:val="auto"/>
                <w:szCs w:val="21"/>
              </w:rPr>
              <w:t xml:space="preserve">68 </w:t>
            </w:r>
            <w:r>
              <w:rPr>
                <w:rFonts w:hint="eastAsia" w:ascii="宋体" w:hAnsi="宋体" w:eastAsia="宋体" w:cs="Courier New"/>
                <w:bCs/>
                <w:color w:val="auto"/>
                <w:szCs w:val="21"/>
              </w:rPr>
              <w:t>号）认定为监狱企业的，在政府采购活动中，监狱企业视同小型、微型企业。监狱企业参加政府采购活动时，应当提供由省级以上监狱管理局、戒毒管理局（含新疆生产建设兵团）出具的属于监狱企业的证明文件。</w:t>
            </w:r>
          </w:p>
          <w:p w14:paraId="4CC7F753">
            <w:pPr>
              <w:widowControl/>
              <w:wordWrap w:val="0"/>
              <w:overflowPunct w:val="0"/>
              <w:topLinePunct/>
              <w:spacing w:line="360" w:lineRule="auto"/>
              <w:ind w:firstLine="315" w:firstLineChars="150"/>
              <w:rPr>
                <w:rFonts w:hint="eastAsia" w:ascii="宋体" w:hAnsi="宋体" w:eastAsia="宋体" w:cs="Courier New"/>
                <w:bCs/>
                <w:color w:val="auto"/>
                <w:szCs w:val="21"/>
              </w:rPr>
            </w:pPr>
            <w:r>
              <w:rPr>
                <w:rFonts w:hint="eastAsia" w:ascii="宋体" w:hAnsi="宋体" w:eastAsia="宋体" w:cs="Courier New"/>
                <w:bCs/>
                <w:color w:val="auto"/>
                <w:szCs w:val="21"/>
              </w:rPr>
              <w:t>符合《关于促进残疾人就业政府采购政策的通知》</w:t>
            </w:r>
            <w:r>
              <w:rPr>
                <w:rFonts w:ascii="宋体" w:hAnsi="宋体" w:eastAsia="宋体" w:cs="Courier New"/>
                <w:bCs/>
                <w:color w:val="auto"/>
                <w:szCs w:val="21"/>
              </w:rPr>
              <w:t>(</w:t>
            </w:r>
            <w:r>
              <w:rPr>
                <w:rFonts w:hint="eastAsia" w:ascii="宋体" w:hAnsi="宋体" w:eastAsia="宋体" w:cs="Courier New"/>
                <w:bCs/>
                <w:color w:val="auto"/>
                <w:szCs w:val="21"/>
              </w:rPr>
              <w:t>财库〔</w:t>
            </w:r>
            <w:r>
              <w:rPr>
                <w:rFonts w:ascii="宋体" w:hAnsi="宋体" w:eastAsia="宋体" w:cs="Courier New"/>
                <w:bCs/>
                <w:color w:val="auto"/>
                <w:szCs w:val="21"/>
              </w:rPr>
              <w:t>2017</w:t>
            </w:r>
            <w:r>
              <w:rPr>
                <w:rFonts w:hint="eastAsia" w:ascii="宋体" w:hAnsi="宋体" w:eastAsia="宋体" w:cs="Courier New"/>
                <w:bCs/>
                <w:color w:val="auto"/>
                <w:szCs w:val="21"/>
              </w:rPr>
              <w:t>〕</w:t>
            </w:r>
            <w:r>
              <w:rPr>
                <w:rFonts w:ascii="宋体" w:hAnsi="宋体" w:eastAsia="宋体" w:cs="Courier New"/>
                <w:bCs/>
                <w:color w:val="auto"/>
                <w:szCs w:val="21"/>
              </w:rPr>
              <w:t xml:space="preserve">141 </w:t>
            </w:r>
            <w:r>
              <w:rPr>
                <w:rFonts w:hint="eastAsia" w:ascii="宋体" w:hAnsi="宋体" w:eastAsia="宋体" w:cs="Courier New"/>
                <w:bCs/>
                <w:color w:val="auto"/>
                <w:szCs w:val="21"/>
              </w:rPr>
              <w:t>号</w:t>
            </w:r>
            <w:r>
              <w:rPr>
                <w:rFonts w:ascii="宋体" w:hAnsi="宋体" w:eastAsia="宋体" w:cs="Courier New"/>
                <w:bCs/>
                <w:color w:val="auto"/>
                <w:szCs w:val="21"/>
              </w:rPr>
              <w:t>)</w:t>
            </w:r>
            <w:r>
              <w:rPr>
                <w:rFonts w:hint="eastAsia" w:ascii="宋体" w:hAnsi="宋体" w:eastAsia="宋体" w:cs="Courier New"/>
                <w:bCs/>
                <w:color w:val="auto"/>
                <w:szCs w:val="21"/>
              </w:rPr>
              <w:t>规定条件，认定为残疾人福利性单位的，在政府采购活动中，残疾人福利性单位视同小型、微型企业。残疾人福利性单位参加政府采购活动时，应当提供该通知规定的《残疾人福利性单位声明函》，并对声明的真实性负责。成交人为残疾人福利性单位的，随成交结果公告其《残疾人福利性单位声明函》，接受社会监督。</w:t>
            </w:r>
          </w:p>
          <w:p w14:paraId="401EBD9E">
            <w:pPr>
              <w:widowControl/>
              <w:wordWrap w:val="0"/>
              <w:overflowPunct w:val="0"/>
              <w:topLinePunct/>
              <w:spacing w:line="360" w:lineRule="auto"/>
              <w:ind w:firstLine="315" w:firstLineChars="150"/>
              <w:rPr>
                <w:rFonts w:hint="eastAsia" w:ascii="宋体" w:hAnsi="宋体" w:eastAsia="宋体" w:cs="Courier New"/>
                <w:bCs/>
                <w:color w:val="auto"/>
                <w:szCs w:val="21"/>
              </w:rPr>
            </w:pPr>
            <w:r>
              <w:rPr>
                <w:rFonts w:hint="eastAsia" w:ascii="宋体" w:hAnsi="宋体" w:eastAsia="宋体" w:cs="Courier New"/>
                <w:bCs/>
                <w:color w:val="auto"/>
                <w:szCs w:val="21"/>
              </w:rPr>
              <w:t>（4）价格分计算公式：</w:t>
            </w:r>
          </w:p>
          <w:p w14:paraId="4EA34313">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Courier New"/>
                <w:bCs/>
                <w:color w:val="auto"/>
                <w:szCs w:val="21"/>
              </w:rPr>
              <w:t>某供应商价格分＝基准价／某供应商评审报价金额×10分</w:t>
            </w:r>
          </w:p>
        </w:tc>
      </w:tr>
      <w:tr w14:paraId="06473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4" w:type="pct"/>
            <w:noWrap w:val="0"/>
            <w:vAlign w:val="center"/>
          </w:tcPr>
          <w:p w14:paraId="0C2D43C8">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2</w:t>
            </w:r>
          </w:p>
        </w:tc>
        <w:tc>
          <w:tcPr>
            <w:tcW w:w="633" w:type="pct"/>
            <w:noWrap w:val="0"/>
            <w:vAlign w:val="center"/>
          </w:tcPr>
          <w:p w14:paraId="7EBC58DB">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技术分</w:t>
            </w:r>
          </w:p>
        </w:tc>
        <w:tc>
          <w:tcPr>
            <w:tcW w:w="4052" w:type="pct"/>
            <w:noWrap w:val="0"/>
            <w:vAlign w:val="top"/>
          </w:tcPr>
          <w:p w14:paraId="5E0A3004">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bCs/>
                <w:color w:val="auto"/>
                <w:kern w:val="0"/>
                <w:szCs w:val="21"/>
                <w:highlight w:val="none"/>
              </w:rPr>
              <w:t>评分内容与标准</w:t>
            </w:r>
          </w:p>
        </w:tc>
      </w:tr>
      <w:tr w14:paraId="48DB7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14" w:type="pct"/>
            <w:noWrap w:val="0"/>
            <w:vAlign w:val="center"/>
          </w:tcPr>
          <w:p w14:paraId="4C46B731">
            <w:pPr>
              <w:adjustRightInd w:val="0"/>
              <w:spacing w:line="360" w:lineRule="auto"/>
              <w:ind w:left="-105" w:leftChars="-50" w:right="-105" w:rightChars="-50"/>
              <w:jc w:val="center"/>
              <w:textAlignment w:val="baseline"/>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2.1</w:t>
            </w:r>
          </w:p>
        </w:tc>
        <w:tc>
          <w:tcPr>
            <w:tcW w:w="633" w:type="pct"/>
            <w:noWrap w:val="0"/>
            <w:vAlign w:val="center"/>
          </w:tcPr>
          <w:p w14:paraId="2D8FE7BC">
            <w:pPr>
              <w:wordWrap w:val="0"/>
              <w:topLinePunct/>
              <w:spacing w:line="440" w:lineRule="exact"/>
              <w:jc w:val="center"/>
              <w:outlineLvl w:val="0"/>
              <w:rPr>
                <w:rFonts w:hint="eastAsia" w:ascii="宋体" w:hAnsi="宋体" w:eastAsia="宋体" w:cs="宋体"/>
                <w:bCs/>
                <w:color w:val="auto"/>
                <w:kern w:val="0"/>
                <w:szCs w:val="21"/>
                <w:highlight w:val="none"/>
                <w:lang w:val="en-US" w:eastAsia="zh-CN"/>
              </w:rPr>
            </w:pPr>
            <w:r>
              <w:rPr>
                <w:rFonts w:hint="eastAsia" w:ascii="宋体" w:hAnsi="宋体" w:eastAsia="宋体"/>
                <w:color w:val="auto"/>
                <w:kern w:val="0"/>
                <w:szCs w:val="21"/>
              </w:rPr>
              <w:t>项目理解（满分15分）</w:t>
            </w:r>
          </w:p>
        </w:tc>
        <w:tc>
          <w:tcPr>
            <w:tcW w:w="4052" w:type="pct"/>
            <w:noWrap w:val="0"/>
            <w:vAlign w:val="center"/>
          </w:tcPr>
          <w:p w14:paraId="34B9F131">
            <w:pPr>
              <w:spacing w:line="360" w:lineRule="auto"/>
              <w:jc w:val="left"/>
              <w:rPr>
                <w:rFonts w:hint="eastAsia" w:ascii="宋体" w:hAnsi="宋体" w:eastAsia="宋体" w:cs="仿宋"/>
                <w:bCs/>
                <w:color w:val="auto"/>
                <w:szCs w:val="21"/>
              </w:rPr>
            </w:pPr>
            <w:r>
              <w:rPr>
                <w:rFonts w:hint="eastAsia" w:ascii="宋体" w:hAnsi="宋体" w:cs="仿宋"/>
                <w:bCs/>
                <w:color w:val="auto"/>
                <w:szCs w:val="21"/>
                <w:lang w:val="en-US" w:eastAsia="zh-CN"/>
              </w:rPr>
              <w:t>一</w:t>
            </w:r>
            <w:r>
              <w:rPr>
                <w:rFonts w:hint="eastAsia" w:ascii="宋体" w:hAnsi="宋体" w:eastAsia="宋体" w:cs="仿宋"/>
                <w:bCs/>
                <w:color w:val="auto"/>
                <w:szCs w:val="21"/>
              </w:rPr>
              <w:t>档（5分）：对项目概况、布展定位与展陈需求理解</w:t>
            </w:r>
            <w:r>
              <w:rPr>
                <w:rFonts w:hint="eastAsia" w:ascii="宋体" w:hAnsi="宋体" w:cs="仿宋"/>
                <w:bCs/>
                <w:color w:val="auto"/>
                <w:szCs w:val="21"/>
                <w:lang w:val="en-US" w:eastAsia="zh-CN"/>
              </w:rPr>
              <w:t>简单</w:t>
            </w:r>
            <w:r>
              <w:rPr>
                <w:rFonts w:hint="eastAsia" w:ascii="宋体" w:hAnsi="宋体" w:eastAsia="宋体" w:cs="仿宋"/>
                <w:bCs/>
                <w:color w:val="auto"/>
                <w:szCs w:val="21"/>
              </w:rPr>
              <w:t>，思路不够清晰，但整体的形式方案设计构思表达基本完整；</w:t>
            </w:r>
          </w:p>
          <w:p w14:paraId="5CFDCFFF">
            <w:pPr>
              <w:spacing w:line="360" w:lineRule="auto"/>
              <w:jc w:val="left"/>
              <w:rPr>
                <w:rFonts w:hint="eastAsia" w:ascii="宋体" w:hAnsi="宋体" w:eastAsia="宋体" w:cs="仿宋"/>
                <w:bCs/>
                <w:color w:val="auto"/>
                <w:szCs w:val="21"/>
              </w:rPr>
            </w:pPr>
            <w:r>
              <w:rPr>
                <w:rFonts w:hint="eastAsia" w:ascii="宋体" w:hAnsi="宋体" w:eastAsia="宋体" w:cs="仿宋"/>
                <w:bCs/>
                <w:color w:val="auto"/>
                <w:szCs w:val="21"/>
              </w:rPr>
              <w:t>二档（10分）：对项目概况、布展定位与展陈需求的理解</w:t>
            </w:r>
            <w:r>
              <w:rPr>
                <w:rFonts w:hint="eastAsia" w:ascii="宋体" w:hAnsi="宋体" w:cs="仿宋"/>
                <w:bCs/>
                <w:color w:val="auto"/>
                <w:szCs w:val="21"/>
                <w:lang w:val="en-US" w:eastAsia="zh-CN"/>
              </w:rPr>
              <w:t>符合项目要求</w:t>
            </w:r>
            <w:r>
              <w:rPr>
                <w:rFonts w:hint="eastAsia" w:ascii="宋体" w:hAnsi="宋体" w:eastAsia="宋体" w:cs="仿宋"/>
                <w:bCs/>
                <w:color w:val="auto"/>
                <w:szCs w:val="21"/>
              </w:rPr>
              <w:t>，整体的形式方案设计构思表达清楚、思路清晰，针对本项目的各项重难点工作要求理解准，得10分；</w:t>
            </w:r>
          </w:p>
          <w:p w14:paraId="18DC579C">
            <w:pPr>
              <w:spacing w:line="360" w:lineRule="auto"/>
              <w:jc w:val="left"/>
              <w:rPr>
                <w:rFonts w:hint="eastAsia" w:ascii="宋体" w:hAnsi="宋体" w:cs="仿宋"/>
                <w:bCs/>
                <w:color w:val="auto"/>
                <w:szCs w:val="21"/>
                <w:lang w:eastAsia="zh-CN"/>
              </w:rPr>
            </w:pPr>
            <w:r>
              <w:rPr>
                <w:rFonts w:hint="eastAsia" w:ascii="宋体" w:hAnsi="宋体" w:cs="仿宋"/>
                <w:bCs/>
                <w:color w:val="auto"/>
                <w:szCs w:val="21"/>
                <w:lang w:val="en-US" w:eastAsia="zh-CN"/>
              </w:rPr>
              <w:t>三</w:t>
            </w:r>
            <w:r>
              <w:rPr>
                <w:rFonts w:hint="eastAsia" w:ascii="宋体" w:hAnsi="宋体" w:eastAsia="宋体" w:cs="仿宋"/>
                <w:bCs/>
                <w:color w:val="auto"/>
                <w:szCs w:val="21"/>
              </w:rPr>
              <w:t>档（15分）：对项目概况、展览内容、布展定位与布展需求的理解非常透彻，整体的形式方案设计构思表达清楚、思路清晰，</w:t>
            </w:r>
            <w:r>
              <w:rPr>
                <w:rFonts w:hint="eastAsia" w:ascii="宋体" w:hAnsi="宋体" w:cs="仿宋"/>
                <w:bCs/>
                <w:color w:val="auto"/>
                <w:szCs w:val="21"/>
                <w:lang w:val="en-US" w:eastAsia="zh-CN"/>
              </w:rPr>
              <w:t>对项目可能存在的风险提出针对性的风险控制措施</w:t>
            </w:r>
            <w:r>
              <w:rPr>
                <w:rFonts w:hint="eastAsia" w:ascii="宋体" w:hAnsi="宋体" w:eastAsia="宋体" w:cs="仿宋"/>
                <w:bCs/>
                <w:color w:val="auto"/>
                <w:szCs w:val="21"/>
              </w:rPr>
              <w:t>，针对本项目的各项重难点工作要求理解准确、全面</w:t>
            </w:r>
            <w:r>
              <w:rPr>
                <w:rFonts w:hint="eastAsia" w:ascii="宋体" w:hAnsi="宋体" w:cs="仿宋"/>
                <w:bCs/>
                <w:color w:val="auto"/>
                <w:szCs w:val="21"/>
                <w:lang w:eastAsia="zh-CN"/>
              </w:rPr>
              <w:t>，</w:t>
            </w:r>
            <w:r>
              <w:rPr>
                <w:rFonts w:hint="eastAsia" w:ascii="宋体" w:hAnsi="宋体" w:eastAsia="宋体" w:cs="仿宋"/>
                <w:bCs/>
                <w:color w:val="auto"/>
                <w:szCs w:val="21"/>
              </w:rPr>
              <w:t>得15分</w:t>
            </w:r>
            <w:r>
              <w:rPr>
                <w:rFonts w:hint="eastAsia" w:ascii="宋体" w:hAnsi="宋体" w:cs="仿宋"/>
                <w:bCs/>
                <w:color w:val="auto"/>
                <w:szCs w:val="21"/>
                <w:lang w:eastAsia="zh-CN"/>
              </w:rPr>
              <w:t>。</w:t>
            </w:r>
          </w:p>
          <w:p w14:paraId="1C5773CA">
            <w:pPr>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Cs w:val="21"/>
                <w:highlight w:val="none"/>
                <w:lang w:val="en-US" w:eastAsia="zh-CN"/>
              </w:rPr>
              <w:t>注：</w:t>
            </w:r>
            <w:r>
              <w:rPr>
                <w:rFonts w:hint="eastAsia" w:ascii="宋体" w:hAnsi="宋体" w:eastAsia="宋体" w:cs="宋体"/>
                <w:color w:val="auto"/>
                <w:szCs w:val="21"/>
                <w:highlight w:val="none"/>
              </w:rPr>
              <w:t>未提供</w:t>
            </w:r>
            <w:r>
              <w:rPr>
                <w:rFonts w:hint="eastAsia" w:ascii="宋体" w:hAnsi="宋体" w:cs="宋体"/>
                <w:color w:val="auto"/>
                <w:szCs w:val="21"/>
                <w:highlight w:val="none"/>
                <w:lang w:val="en-US" w:eastAsia="zh-CN"/>
              </w:rPr>
              <w:t>该项</w:t>
            </w:r>
            <w:r>
              <w:rPr>
                <w:rFonts w:hint="eastAsia" w:ascii="宋体" w:hAnsi="宋体" w:eastAsia="宋体" w:cs="宋体"/>
                <w:color w:val="auto"/>
                <w:szCs w:val="21"/>
                <w:highlight w:val="none"/>
              </w:rPr>
              <w:t>方案</w:t>
            </w:r>
            <w:r>
              <w:rPr>
                <w:rFonts w:hint="eastAsia" w:ascii="宋体" w:hAnsi="宋体" w:cs="宋体"/>
                <w:color w:val="auto"/>
                <w:szCs w:val="21"/>
                <w:highlight w:val="none"/>
                <w:lang w:val="en-US" w:eastAsia="zh-CN"/>
              </w:rPr>
              <w:t>或未达到最低档要求不得分</w:t>
            </w:r>
            <w:r>
              <w:rPr>
                <w:rFonts w:hint="eastAsia" w:ascii="宋体" w:hAnsi="宋体" w:eastAsia="宋体" w:cs="宋体"/>
                <w:color w:val="auto"/>
                <w:szCs w:val="21"/>
                <w:highlight w:val="none"/>
                <w:lang w:eastAsia="zh-CN"/>
              </w:rPr>
              <w:t>。</w:t>
            </w:r>
          </w:p>
        </w:tc>
      </w:tr>
      <w:tr w14:paraId="25A48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14" w:type="pct"/>
            <w:noWrap w:val="0"/>
            <w:vAlign w:val="center"/>
          </w:tcPr>
          <w:p w14:paraId="7108C8D7">
            <w:pPr>
              <w:adjustRightInd w:val="0"/>
              <w:spacing w:line="360" w:lineRule="auto"/>
              <w:ind w:left="-105" w:leftChars="-50" w:right="-105" w:rightChars="-50"/>
              <w:jc w:val="center"/>
              <w:textAlignment w:val="baseline"/>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2.2</w:t>
            </w:r>
          </w:p>
        </w:tc>
        <w:tc>
          <w:tcPr>
            <w:tcW w:w="633" w:type="pct"/>
            <w:noWrap w:val="0"/>
            <w:vAlign w:val="center"/>
          </w:tcPr>
          <w:p w14:paraId="788BAEEA">
            <w:pPr>
              <w:adjustRightInd w:val="0"/>
              <w:spacing w:line="360" w:lineRule="auto"/>
              <w:textAlignment w:val="baseline"/>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实施</w:t>
            </w:r>
            <w:r>
              <w:rPr>
                <w:rFonts w:hint="eastAsia" w:ascii="宋体" w:hAnsi="宋体" w:eastAsia="宋体" w:cs="宋体"/>
                <w:bCs/>
                <w:color w:val="auto"/>
                <w:kern w:val="0"/>
                <w:szCs w:val="21"/>
                <w:highlight w:val="none"/>
              </w:rPr>
              <w:t>方案分（满分</w:t>
            </w:r>
            <w:r>
              <w:rPr>
                <w:rFonts w:hint="eastAsia" w:ascii="宋体" w:hAnsi="宋体" w:cs="宋体"/>
                <w:bCs/>
                <w:color w:val="auto"/>
                <w:kern w:val="0"/>
                <w:szCs w:val="21"/>
                <w:highlight w:val="none"/>
                <w:lang w:val="en-US" w:eastAsia="zh-CN"/>
              </w:rPr>
              <w:t>20</w:t>
            </w:r>
            <w:r>
              <w:rPr>
                <w:rFonts w:hint="eastAsia" w:ascii="宋体" w:hAnsi="宋体" w:eastAsia="宋体" w:cs="宋体"/>
                <w:bCs/>
                <w:color w:val="auto"/>
                <w:kern w:val="0"/>
                <w:szCs w:val="21"/>
                <w:highlight w:val="none"/>
              </w:rPr>
              <w:t>分）</w:t>
            </w:r>
          </w:p>
        </w:tc>
        <w:tc>
          <w:tcPr>
            <w:tcW w:w="4052" w:type="pct"/>
            <w:noWrap w:val="0"/>
            <w:vAlign w:val="center"/>
          </w:tcPr>
          <w:p w14:paraId="19AB997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一档（</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提供项目实施方案，含有实施流程</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基本满足项目实施要求</w:t>
            </w:r>
            <w:r>
              <w:rPr>
                <w:rFonts w:hint="eastAsia" w:ascii="宋体" w:hAnsi="宋体" w:eastAsia="宋体" w:cs="宋体"/>
                <w:color w:val="auto"/>
                <w:szCs w:val="21"/>
                <w:highlight w:val="none"/>
                <w:lang w:eastAsia="zh-CN"/>
              </w:rPr>
              <w:t>。</w:t>
            </w:r>
          </w:p>
          <w:p w14:paraId="4623171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二档（</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提供项目实施方案，包含</w:t>
            </w:r>
            <w:r>
              <w:rPr>
                <w:rFonts w:hint="eastAsia" w:ascii="宋体" w:hAnsi="宋体" w:eastAsia="宋体" w:cs="宋体"/>
                <w:color w:val="auto"/>
                <w:szCs w:val="21"/>
                <w:highlight w:val="none"/>
              </w:rPr>
              <w:t>实施目标、实施步骤、实施进度、人员配置及分工、风险识别和应对策略</w:t>
            </w:r>
            <w:r>
              <w:rPr>
                <w:rFonts w:hint="eastAsia" w:ascii="宋体" w:hAnsi="宋体" w:eastAsia="宋体" w:cs="宋体"/>
                <w:color w:val="auto"/>
                <w:szCs w:val="21"/>
                <w:highlight w:val="none"/>
                <w:lang w:eastAsia="zh-CN"/>
              </w:rPr>
              <w:t>。</w:t>
            </w:r>
          </w:p>
          <w:p w14:paraId="31E9ABF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三档（</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提供项目实施方案，能描述本项目实施流程，有针对性</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实施方案包含实施目标、实施步骤、实施进度、布展用料方案、展览维护方案、人员配置及分工、风险识别和应对策略等，且能展开描述，对服务质量有控制方案和措施。</w:t>
            </w:r>
          </w:p>
          <w:p w14:paraId="0860423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Cs w:val="21"/>
                <w:highlight w:val="none"/>
                <w:lang w:val="en-US" w:eastAsia="zh-CN"/>
              </w:rPr>
              <w:t>注：</w:t>
            </w:r>
            <w:r>
              <w:rPr>
                <w:rFonts w:hint="eastAsia" w:ascii="宋体" w:hAnsi="宋体" w:eastAsia="宋体" w:cs="宋体"/>
                <w:color w:val="auto"/>
                <w:szCs w:val="21"/>
                <w:highlight w:val="none"/>
              </w:rPr>
              <w:t>未提供</w:t>
            </w:r>
            <w:r>
              <w:rPr>
                <w:rFonts w:hint="eastAsia" w:ascii="宋体" w:hAnsi="宋体" w:cs="宋体"/>
                <w:color w:val="auto"/>
                <w:szCs w:val="21"/>
                <w:highlight w:val="none"/>
                <w:lang w:val="en-US" w:eastAsia="zh-CN"/>
              </w:rPr>
              <w:t>该项</w:t>
            </w:r>
            <w:r>
              <w:rPr>
                <w:rFonts w:hint="eastAsia" w:ascii="宋体" w:hAnsi="宋体" w:eastAsia="宋体" w:cs="宋体"/>
                <w:color w:val="auto"/>
                <w:szCs w:val="21"/>
                <w:highlight w:val="none"/>
              </w:rPr>
              <w:t>方案</w:t>
            </w:r>
            <w:r>
              <w:rPr>
                <w:rFonts w:hint="eastAsia" w:ascii="宋体" w:hAnsi="宋体" w:cs="宋体"/>
                <w:color w:val="auto"/>
                <w:szCs w:val="21"/>
                <w:highlight w:val="none"/>
                <w:lang w:val="en-US" w:eastAsia="zh-CN"/>
              </w:rPr>
              <w:t>或未达到最低档要求不得分</w:t>
            </w:r>
            <w:r>
              <w:rPr>
                <w:rFonts w:hint="eastAsia" w:ascii="宋体" w:hAnsi="宋体" w:eastAsia="宋体" w:cs="宋体"/>
                <w:color w:val="auto"/>
                <w:szCs w:val="21"/>
                <w:highlight w:val="none"/>
                <w:lang w:eastAsia="zh-CN"/>
              </w:rPr>
              <w:t>。</w:t>
            </w:r>
          </w:p>
        </w:tc>
      </w:tr>
      <w:tr w14:paraId="7EE30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314" w:type="pct"/>
            <w:noWrap w:val="0"/>
            <w:vAlign w:val="center"/>
          </w:tcPr>
          <w:p w14:paraId="70C8C2D2">
            <w:pPr>
              <w:adjustRightInd w:val="0"/>
              <w:spacing w:line="360" w:lineRule="auto"/>
              <w:ind w:left="-105" w:leftChars="-50" w:right="-105" w:rightChars="-50"/>
              <w:jc w:val="center"/>
              <w:textAlignment w:val="baseline"/>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2.</w:t>
            </w:r>
            <w:r>
              <w:rPr>
                <w:rFonts w:hint="eastAsia" w:ascii="宋体" w:hAnsi="宋体" w:cs="宋体"/>
                <w:bCs/>
                <w:color w:val="auto"/>
                <w:kern w:val="0"/>
                <w:szCs w:val="21"/>
                <w:highlight w:val="none"/>
                <w:lang w:val="en-US" w:eastAsia="zh-CN"/>
              </w:rPr>
              <w:t>3</w:t>
            </w:r>
          </w:p>
        </w:tc>
        <w:tc>
          <w:tcPr>
            <w:tcW w:w="633" w:type="pct"/>
            <w:noWrap w:val="0"/>
            <w:vAlign w:val="center"/>
          </w:tcPr>
          <w:p w14:paraId="43E5D70C">
            <w:pPr>
              <w:spacing w:before="156" w:beforeLines="50" w:after="156" w:afterLines="50" w:line="336" w:lineRule="auto"/>
              <w:jc w:val="both"/>
              <w:outlineLvl w:val="1"/>
              <w:rPr>
                <w:rFonts w:hint="eastAsia" w:ascii="宋体" w:hAnsi="宋体" w:eastAsia="宋体" w:cs="宋体"/>
                <w:bCs/>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设计方案与总体效果分（满分</w:t>
            </w:r>
            <w:r>
              <w:rPr>
                <w:rFonts w:hint="eastAsia" w:ascii="宋体" w:hAnsi="宋体" w:cs="宋体"/>
                <w:color w:val="auto"/>
                <w:sz w:val="21"/>
                <w:szCs w:val="21"/>
                <w:highlight w:val="none"/>
                <w:lang w:val="en-US" w:eastAsia="zh-CN" w:bidi="ar-SA"/>
              </w:rPr>
              <w:t>20</w:t>
            </w:r>
            <w:r>
              <w:rPr>
                <w:rFonts w:hint="eastAsia" w:ascii="宋体" w:hAnsi="宋体" w:eastAsia="宋体" w:cs="宋体"/>
                <w:color w:val="auto"/>
                <w:sz w:val="21"/>
                <w:szCs w:val="21"/>
                <w:highlight w:val="none"/>
                <w:lang w:val="en-US" w:eastAsia="zh-CN" w:bidi="ar-SA"/>
              </w:rPr>
              <w:t>分）</w:t>
            </w:r>
          </w:p>
        </w:tc>
        <w:tc>
          <w:tcPr>
            <w:tcW w:w="4052" w:type="pct"/>
            <w:noWrap w:val="0"/>
            <w:vAlign w:val="center"/>
          </w:tcPr>
          <w:p w14:paraId="0E2BBCD7">
            <w:pPr>
              <w:keepNext w:val="0"/>
              <w:keepLines w:val="0"/>
              <w:pageBreakBefore w:val="0"/>
              <w:widowControl w:val="0"/>
              <w:tabs>
                <w:tab w:val="left" w:pos="632"/>
              </w:tab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lang w:val="en-US" w:eastAsia="zh-CN"/>
              </w:rPr>
              <w:t>一档（10分）</w:t>
            </w:r>
            <w:r>
              <w:rPr>
                <w:rFonts w:hint="eastAsia" w:ascii="宋体" w:hAnsi="宋体" w:eastAsia="宋体" w:cs="宋体"/>
                <w:color w:val="auto"/>
                <w:szCs w:val="21"/>
                <w:highlight w:val="none"/>
                <w:u w:val="none"/>
                <w:lang w:val="en-US" w:eastAsia="zh-CN"/>
              </w:rPr>
              <w:t>：设计效果基本符合</w:t>
            </w:r>
            <w:r>
              <w:rPr>
                <w:rFonts w:hint="eastAsia" w:ascii="宋体" w:hAnsi="宋体" w:cs="宋体"/>
                <w:color w:val="auto"/>
                <w:szCs w:val="21"/>
                <w:highlight w:val="none"/>
                <w:u w:val="none"/>
                <w:lang w:val="en-US" w:eastAsia="zh-CN"/>
              </w:rPr>
              <w:t>采购需求</w:t>
            </w:r>
            <w:r>
              <w:rPr>
                <w:rFonts w:hint="eastAsia" w:ascii="宋体" w:hAnsi="宋体" w:eastAsia="宋体" w:cs="宋体"/>
                <w:color w:val="auto"/>
                <w:szCs w:val="21"/>
                <w:highlight w:val="none"/>
                <w:u w:val="none"/>
                <w:lang w:val="en-US" w:eastAsia="zh-CN"/>
              </w:rPr>
              <w:t>的内容和形式，展厅设计能表达展示目的及意义，有设计效果图、施工图</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lang w:val="en-US" w:eastAsia="zh-CN"/>
              </w:rPr>
              <w:t>但设计图纸不够规范齐全，版面不够清晰；</w:t>
            </w:r>
          </w:p>
          <w:p w14:paraId="3849157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二档（</w:t>
            </w:r>
            <w:r>
              <w:rPr>
                <w:rFonts w:hint="eastAsia" w:ascii="宋体" w:hAnsi="宋体" w:cs="宋体"/>
                <w:color w:val="auto"/>
                <w:szCs w:val="21"/>
                <w:highlight w:val="none"/>
                <w:u w:val="none"/>
                <w:lang w:val="en-US" w:eastAsia="zh-CN"/>
              </w:rPr>
              <w:t>15</w:t>
            </w:r>
            <w:r>
              <w:rPr>
                <w:rFonts w:hint="eastAsia" w:ascii="宋体" w:hAnsi="宋体" w:eastAsia="宋体" w:cs="宋体"/>
                <w:color w:val="auto"/>
                <w:szCs w:val="21"/>
                <w:highlight w:val="none"/>
                <w:u w:val="none"/>
                <w:lang w:val="en-US" w:eastAsia="zh-CN"/>
              </w:rPr>
              <w:t>分）：设计效果符合</w:t>
            </w:r>
            <w:r>
              <w:rPr>
                <w:rFonts w:hint="eastAsia" w:ascii="宋体" w:hAnsi="宋体" w:cs="宋体"/>
                <w:color w:val="auto"/>
                <w:szCs w:val="21"/>
                <w:highlight w:val="none"/>
                <w:u w:val="none"/>
                <w:lang w:val="en-US" w:eastAsia="zh-CN"/>
              </w:rPr>
              <w:t>采购需求</w:t>
            </w:r>
            <w:r>
              <w:rPr>
                <w:rFonts w:hint="eastAsia" w:ascii="宋体" w:hAnsi="宋体" w:eastAsia="宋体" w:cs="宋体"/>
                <w:color w:val="auto"/>
                <w:szCs w:val="21"/>
                <w:highlight w:val="none"/>
                <w:u w:val="none"/>
                <w:lang w:val="en-US" w:eastAsia="zh-CN"/>
              </w:rPr>
              <w:t>的内容和形式，展厅设计合理且能准确表达展示目的及意义；效果图、施工图设计方案整体效果切合主题，符合采购人的实际应用场所</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lang w:val="en-US" w:eastAsia="zh-CN"/>
              </w:rPr>
              <w:t>设计图纸规范齐全，版面清晰；</w:t>
            </w:r>
          </w:p>
          <w:p w14:paraId="5D654F68">
            <w:pPr>
              <w:keepNext w:val="0"/>
              <w:keepLines w:val="0"/>
              <w:pageBreakBefore w:val="0"/>
              <w:widowControl w:val="0"/>
              <w:tabs>
                <w:tab w:val="left" w:pos="632"/>
              </w:tab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三档（</w:t>
            </w:r>
            <w:r>
              <w:rPr>
                <w:rFonts w:hint="eastAsia" w:ascii="宋体" w:hAnsi="宋体" w:cs="宋体"/>
                <w:color w:val="auto"/>
                <w:szCs w:val="21"/>
                <w:highlight w:val="none"/>
                <w:u w:val="none"/>
                <w:lang w:val="en-US" w:eastAsia="zh-CN"/>
              </w:rPr>
              <w:t>20</w:t>
            </w:r>
            <w:r>
              <w:rPr>
                <w:rFonts w:hint="eastAsia" w:ascii="宋体" w:hAnsi="宋体" w:eastAsia="宋体" w:cs="宋体"/>
                <w:color w:val="auto"/>
                <w:szCs w:val="21"/>
                <w:highlight w:val="none"/>
                <w:u w:val="none"/>
                <w:lang w:val="en-US" w:eastAsia="zh-CN"/>
              </w:rPr>
              <w:t>分）：设计效果完全符合</w:t>
            </w:r>
            <w:r>
              <w:rPr>
                <w:rFonts w:hint="eastAsia" w:ascii="宋体" w:hAnsi="宋体" w:cs="宋体"/>
                <w:color w:val="auto"/>
                <w:szCs w:val="21"/>
                <w:highlight w:val="none"/>
                <w:u w:val="none"/>
                <w:lang w:val="en-US" w:eastAsia="zh-CN"/>
              </w:rPr>
              <w:t>采购需求</w:t>
            </w:r>
            <w:r>
              <w:rPr>
                <w:rFonts w:hint="eastAsia" w:ascii="宋体" w:hAnsi="宋体" w:eastAsia="宋体" w:cs="宋体"/>
                <w:color w:val="auto"/>
                <w:szCs w:val="21"/>
                <w:highlight w:val="none"/>
                <w:u w:val="none"/>
                <w:lang w:val="en-US" w:eastAsia="zh-CN"/>
              </w:rPr>
              <w:t>的内容和形式，主题鲜明、有针对性，展厅设计合理且能很好地表达展示目的及意义；效果图、施工图设计方案整体效果切合主题，有对场馆的细节展示，步骤清晰，符合</w:t>
            </w:r>
            <w:r>
              <w:rPr>
                <w:rFonts w:hint="eastAsia" w:ascii="宋体" w:hAnsi="宋体" w:cs="宋体"/>
                <w:color w:val="auto"/>
                <w:szCs w:val="21"/>
                <w:highlight w:val="none"/>
                <w:u w:val="none"/>
                <w:lang w:val="en-US" w:eastAsia="zh-CN"/>
              </w:rPr>
              <w:t>展馆的</w:t>
            </w:r>
            <w:r>
              <w:rPr>
                <w:rFonts w:hint="eastAsia" w:ascii="宋体" w:hAnsi="宋体" w:eastAsia="宋体" w:cs="宋体"/>
                <w:color w:val="auto"/>
                <w:szCs w:val="21"/>
                <w:highlight w:val="none"/>
                <w:u w:val="none"/>
                <w:lang w:val="en-US" w:eastAsia="zh-CN"/>
              </w:rPr>
              <w:t>实际施工</w:t>
            </w:r>
            <w:r>
              <w:rPr>
                <w:rFonts w:hint="eastAsia" w:ascii="宋体" w:hAnsi="宋体" w:cs="宋体"/>
                <w:color w:val="auto"/>
                <w:szCs w:val="21"/>
                <w:highlight w:val="none"/>
                <w:u w:val="none"/>
                <w:lang w:val="en-US" w:eastAsia="zh-CN"/>
              </w:rPr>
              <w:t>情况</w:t>
            </w:r>
            <w:r>
              <w:rPr>
                <w:rFonts w:hint="eastAsia" w:ascii="宋体" w:hAnsi="宋体" w:eastAsia="宋体" w:cs="宋体"/>
                <w:color w:val="auto"/>
                <w:szCs w:val="21"/>
                <w:highlight w:val="none"/>
                <w:u w:val="none"/>
                <w:lang w:val="en-US" w:eastAsia="zh-CN"/>
              </w:rPr>
              <w:t>，有利于保障项目顺利实施。设计思路、设计理念、功能定位符合项目实际情况；设计图纸规范齐全，版面清晰；有配套展览海报、手册等宣传设计。</w:t>
            </w:r>
          </w:p>
          <w:p w14:paraId="6F89F94C">
            <w:pPr>
              <w:keepNext w:val="0"/>
              <w:keepLines w:val="0"/>
              <w:pageBreakBefore w:val="0"/>
              <w:widowControl w:val="0"/>
              <w:tabs>
                <w:tab w:val="left" w:pos="632"/>
              </w:tab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注：</w:t>
            </w:r>
            <w:r>
              <w:rPr>
                <w:rFonts w:hint="eastAsia" w:ascii="宋体" w:hAnsi="宋体" w:eastAsia="宋体" w:cs="宋体"/>
                <w:color w:val="auto"/>
                <w:szCs w:val="21"/>
                <w:highlight w:val="none"/>
              </w:rPr>
              <w:t>未提供</w:t>
            </w:r>
            <w:r>
              <w:rPr>
                <w:rFonts w:hint="eastAsia" w:ascii="宋体" w:hAnsi="宋体" w:eastAsia="宋体" w:cs="宋体"/>
                <w:color w:val="auto"/>
                <w:szCs w:val="21"/>
                <w:highlight w:val="none"/>
                <w:lang w:eastAsia="zh-CN"/>
              </w:rPr>
              <w:t>设计效果图</w:t>
            </w:r>
            <w:r>
              <w:rPr>
                <w:rFonts w:hint="eastAsia" w:ascii="宋体" w:hAnsi="宋体" w:eastAsia="宋体" w:cs="宋体"/>
                <w:color w:val="auto"/>
                <w:szCs w:val="21"/>
                <w:highlight w:val="none"/>
                <w:lang w:val="en-US" w:eastAsia="zh-CN"/>
              </w:rPr>
              <w:t>和施工图</w:t>
            </w:r>
            <w:r>
              <w:rPr>
                <w:rFonts w:hint="eastAsia" w:ascii="宋体" w:hAnsi="宋体" w:eastAsia="宋体" w:cs="宋体"/>
                <w:color w:val="auto"/>
                <w:szCs w:val="21"/>
                <w:highlight w:val="none"/>
              </w:rPr>
              <w:t>，得0分。</w:t>
            </w:r>
          </w:p>
        </w:tc>
      </w:tr>
      <w:tr w14:paraId="6C365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314" w:type="pct"/>
            <w:noWrap w:val="0"/>
            <w:vAlign w:val="center"/>
          </w:tcPr>
          <w:p w14:paraId="47BB1094">
            <w:pPr>
              <w:adjustRightInd w:val="0"/>
              <w:spacing w:line="360" w:lineRule="auto"/>
              <w:ind w:left="-105" w:leftChars="-50" w:right="-105" w:rightChars="-50"/>
              <w:jc w:val="center"/>
              <w:textAlignment w:val="baseline"/>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2.4</w:t>
            </w:r>
          </w:p>
        </w:tc>
        <w:tc>
          <w:tcPr>
            <w:tcW w:w="633" w:type="pct"/>
            <w:noWrap w:val="0"/>
            <w:vAlign w:val="center"/>
          </w:tcPr>
          <w:p w14:paraId="109640C6">
            <w:pPr>
              <w:spacing w:before="156" w:beforeLines="50" w:after="156" w:afterLines="50" w:line="336" w:lineRule="auto"/>
              <w:jc w:val="both"/>
              <w:outlineLvl w:val="1"/>
              <w:rPr>
                <w:rFonts w:hint="eastAsia" w:ascii="宋体" w:hAnsi="宋体" w:eastAsia="宋体"/>
                <w:color w:val="auto"/>
                <w:kern w:val="0"/>
                <w:szCs w:val="21"/>
              </w:rPr>
            </w:pPr>
            <w:r>
              <w:rPr>
                <w:rFonts w:hint="eastAsia" w:ascii="宋体" w:hAnsi="宋体" w:eastAsia="宋体"/>
                <w:color w:val="auto"/>
                <w:kern w:val="0"/>
                <w:szCs w:val="21"/>
              </w:rPr>
              <w:t>功能及空间规划、动线规划（满分</w:t>
            </w:r>
            <w:r>
              <w:rPr>
                <w:rFonts w:hint="eastAsia" w:ascii="宋体" w:hAnsi="宋体" w:eastAsia="宋体"/>
                <w:color w:val="auto"/>
                <w:kern w:val="0"/>
                <w:szCs w:val="21"/>
                <w:lang w:val="en-US" w:eastAsia="zh-CN"/>
              </w:rPr>
              <w:t>25</w:t>
            </w:r>
            <w:r>
              <w:rPr>
                <w:rFonts w:hint="eastAsia" w:ascii="宋体" w:hAnsi="宋体" w:eastAsia="宋体"/>
                <w:color w:val="auto"/>
                <w:kern w:val="0"/>
                <w:szCs w:val="21"/>
              </w:rPr>
              <w:t>分）</w:t>
            </w:r>
          </w:p>
        </w:tc>
        <w:tc>
          <w:tcPr>
            <w:tcW w:w="4052" w:type="pct"/>
            <w:noWrap w:val="0"/>
            <w:vAlign w:val="center"/>
          </w:tcPr>
          <w:p w14:paraId="60D51293">
            <w:pPr>
              <w:adjustRightInd/>
              <w:spacing w:line="380" w:lineRule="exact"/>
              <w:jc w:val="left"/>
              <w:textAlignment w:val="auto"/>
              <w:rPr>
                <w:rFonts w:ascii="宋体" w:hAnsi="宋体" w:eastAsia="宋体" w:cs="宋体"/>
                <w:color w:val="auto"/>
                <w:szCs w:val="21"/>
                <w:highlight w:val="none"/>
              </w:rPr>
            </w:pPr>
            <w:r>
              <w:rPr>
                <w:rFonts w:hint="eastAsia" w:ascii="宋体" w:hAnsi="宋体" w:cs="宋体"/>
                <w:color w:val="auto"/>
                <w:szCs w:val="21"/>
                <w:highlight w:val="none"/>
                <w:lang w:val="en-US" w:eastAsia="zh-CN"/>
              </w:rPr>
              <w:t>一</w:t>
            </w:r>
            <w:r>
              <w:rPr>
                <w:rFonts w:hint="eastAsia" w:ascii="宋体" w:hAnsi="宋体" w:eastAsia="宋体" w:cs="宋体"/>
                <w:color w:val="auto"/>
                <w:szCs w:val="21"/>
                <w:highlight w:val="none"/>
              </w:rPr>
              <w:t>档（</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分）：整体空间设计布局规划基本符合要求，设计理念基本合理，基本能满足功能和采购文件要求，但无设计说明，展厅内的参观动线设计基本符合要求，符合展厅主题特点，参观游人动线分析科学性基本符合要求，人流导向基本合理，展览效果基本符合要求，得5分；</w:t>
            </w:r>
          </w:p>
          <w:p w14:paraId="406F3408">
            <w:pPr>
              <w:adjustRightInd/>
              <w:spacing w:line="380" w:lineRule="exact"/>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二档（</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0分）：整体空间设计布局规划较为科学、合理，设计较为先进、理念较为新颖，较好地满足功能和采购文件要求，并附有设计说明，展厅内的参观动线设计比较符合展厅主题特点，参观游人动线分析较为科学，人流导向较合理，较好地达到展览效果，得10分；</w:t>
            </w:r>
          </w:p>
          <w:p w14:paraId="46868AE2">
            <w:pPr>
              <w:adjustRightInd/>
              <w:spacing w:line="380" w:lineRule="exact"/>
              <w:jc w:val="left"/>
              <w:textAlignment w:val="auto"/>
              <w:rPr>
                <w:rFonts w:ascii="宋体" w:hAnsi="宋体" w:eastAsia="宋体" w:cs="宋体"/>
                <w:color w:val="auto"/>
                <w:szCs w:val="21"/>
                <w:highlight w:val="none"/>
              </w:rPr>
            </w:pP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rPr>
              <w:t>档（</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5分）：整体空间设计布局规划高度科学、合理，设计先进、理念新颖，很好地满足功能和采购文件要求，并附有详细设计说明。展厅内的参观动线设计高度符合展厅主题特点，参观游人动线分析科学，人流导向合理，充分考虑人流聚集、疏散的线路，很好地达到展览效果，得15分；</w:t>
            </w:r>
          </w:p>
          <w:p w14:paraId="06AB5F54">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w:t>
            </w:r>
            <w:r>
              <w:rPr>
                <w:rFonts w:hint="eastAsia" w:ascii="宋体" w:hAnsi="宋体" w:eastAsia="宋体" w:cs="宋体"/>
                <w:color w:val="auto"/>
                <w:szCs w:val="21"/>
                <w:highlight w:val="none"/>
              </w:rPr>
              <w:t>未提供</w:t>
            </w:r>
            <w:r>
              <w:rPr>
                <w:rFonts w:hint="eastAsia" w:ascii="宋体" w:hAnsi="宋体" w:cs="宋体"/>
                <w:color w:val="auto"/>
                <w:szCs w:val="21"/>
                <w:highlight w:val="none"/>
                <w:lang w:val="en-US" w:eastAsia="zh-CN"/>
              </w:rPr>
              <w:t>该项</w:t>
            </w:r>
            <w:r>
              <w:rPr>
                <w:rFonts w:hint="eastAsia" w:ascii="宋体" w:hAnsi="宋体" w:eastAsia="宋体" w:cs="宋体"/>
                <w:color w:val="auto"/>
                <w:szCs w:val="21"/>
                <w:highlight w:val="none"/>
              </w:rPr>
              <w:t>方案</w:t>
            </w:r>
            <w:r>
              <w:rPr>
                <w:rFonts w:hint="eastAsia" w:ascii="宋体" w:hAnsi="宋体" w:cs="宋体"/>
                <w:color w:val="auto"/>
                <w:szCs w:val="21"/>
                <w:highlight w:val="none"/>
                <w:lang w:val="en-US" w:eastAsia="zh-CN"/>
              </w:rPr>
              <w:t>或未达到最低档要求不得分</w:t>
            </w:r>
            <w:r>
              <w:rPr>
                <w:rFonts w:hint="eastAsia" w:ascii="宋体" w:hAnsi="宋体" w:eastAsia="宋体" w:cs="宋体"/>
                <w:color w:val="auto"/>
                <w:szCs w:val="21"/>
                <w:highlight w:val="none"/>
                <w:lang w:eastAsia="zh-CN"/>
              </w:rPr>
              <w:t>。</w:t>
            </w:r>
          </w:p>
        </w:tc>
      </w:tr>
      <w:tr w14:paraId="00CB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 w:type="pct"/>
            <w:noWrap w:val="0"/>
            <w:vAlign w:val="center"/>
          </w:tcPr>
          <w:p w14:paraId="7F9BB75A">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w:t>
            </w:r>
          </w:p>
        </w:tc>
        <w:tc>
          <w:tcPr>
            <w:tcW w:w="633" w:type="pct"/>
            <w:noWrap w:val="0"/>
            <w:vAlign w:val="center"/>
          </w:tcPr>
          <w:p w14:paraId="54976587">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商务分</w:t>
            </w:r>
          </w:p>
        </w:tc>
        <w:tc>
          <w:tcPr>
            <w:tcW w:w="4052" w:type="pct"/>
            <w:noWrap w:val="0"/>
            <w:vAlign w:val="center"/>
          </w:tcPr>
          <w:p w14:paraId="03A1A709">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bCs/>
                <w:color w:val="auto"/>
                <w:kern w:val="0"/>
                <w:szCs w:val="21"/>
                <w:highlight w:val="none"/>
              </w:rPr>
              <w:t>评分内容与标准</w:t>
            </w:r>
          </w:p>
        </w:tc>
      </w:tr>
      <w:tr w14:paraId="1A0EC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 w:type="pct"/>
            <w:noWrap w:val="0"/>
            <w:vAlign w:val="center"/>
          </w:tcPr>
          <w:p w14:paraId="1740184B">
            <w:pPr>
              <w:widowControl/>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3.</w:t>
            </w:r>
            <w:r>
              <w:rPr>
                <w:rFonts w:hint="eastAsia" w:ascii="宋体" w:hAnsi="宋体" w:cs="宋体"/>
                <w:color w:val="auto"/>
                <w:kern w:val="0"/>
                <w:szCs w:val="21"/>
                <w:highlight w:val="none"/>
                <w:lang w:val="en-US" w:eastAsia="zh-CN"/>
              </w:rPr>
              <w:t>1</w:t>
            </w:r>
          </w:p>
        </w:tc>
        <w:tc>
          <w:tcPr>
            <w:tcW w:w="633" w:type="pct"/>
            <w:noWrap w:val="0"/>
            <w:vAlign w:val="center"/>
          </w:tcPr>
          <w:p w14:paraId="66168C16">
            <w:pPr>
              <w:widowControl/>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业绩</w:t>
            </w:r>
            <w:r>
              <w:rPr>
                <w:rFonts w:hint="eastAsia" w:ascii="宋体" w:hAnsi="宋体" w:eastAsia="宋体" w:cs="宋体"/>
                <w:bCs/>
                <w:color w:val="auto"/>
                <w:szCs w:val="21"/>
                <w:highlight w:val="none"/>
                <w:lang w:eastAsia="zh-CN"/>
              </w:rPr>
              <w:t>分</w:t>
            </w:r>
          </w:p>
          <w:p w14:paraId="0DBD901E">
            <w:pPr>
              <w:widowControl/>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（满分</w:t>
            </w:r>
            <w:r>
              <w:rPr>
                <w:rFonts w:hint="eastAsia" w:ascii="宋体" w:hAnsi="宋体" w:eastAsia="宋体" w:cs="宋体"/>
                <w:bCs/>
                <w:color w:val="auto"/>
                <w:szCs w:val="21"/>
                <w:highlight w:val="none"/>
                <w:lang w:val="en-US" w:eastAsia="zh-CN"/>
              </w:rPr>
              <w:t>10</w:t>
            </w:r>
            <w:r>
              <w:rPr>
                <w:rFonts w:hint="eastAsia" w:ascii="宋体" w:hAnsi="宋体" w:eastAsia="宋体" w:cs="宋体"/>
                <w:bCs/>
                <w:color w:val="auto"/>
                <w:szCs w:val="21"/>
                <w:highlight w:val="none"/>
              </w:rPr>
              <w:t>分）</w:t>
            </w:r>
          </w:p>
        </w:tc>
        <w:tc>
          <w:tcPr>
            <w:tcW w:w="4052" w:type="pct"/>
            <w:noWrap w:val="0"/>
            <w:vAlign w:val="top"/>
          </w:tcPr>
          <w:p w14:paraId="4FA019ED">
            <w:pPr>
              <w:widowControl/>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供应商202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年1月1日至响应文件递交截止时间</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具有同类项目业绩</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lang w:val="en-US" w:eastAsia="zh-CN"/>
              </w:rPr>
              <w:t>，每提供一项得2分，满分10分。【注：需在响应文件中提供前述类似项目业绩的合同或者中标（成交）通知书复印件并加盖供应商公章，未按要求提供的不得分】。</w:t>
            </w:r>
          </w:p>
        </w:tc>
      </w:tr>
      <w:tr w14:paraId="4CDA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000" w:type="pct"/>
            <w:gridSpan w:val="3"/>
            <w:noWrap w:val="0"/>
            <w:vAlign w:val="top"/>
          </w:tcPr>
          <w:p w14:paraId="7D09C3AB">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总得分＝1＋2＋3</w:t>
            </w:r>
          </w:p>
        </w:tc>
      </w:tr>
    </w:tbl>
    <w:p w14:paraId="29B59981">
      <w:pPr>
        <w:rPr>
          <w:rFonts w:hint="eastAsia" w:ascii="宋体" w:hAnsi="宋体"/>
          <w:bCs/>
          <w:color w:val="auto"/>
          <w:szCs w:val="21"/>
          <w:highlight w:val="none"/>
        </w:rPr>
      </w:pPr>
      <w:r>
        <w:rPr>
          <w:rFonts w:hint="eastAsia" w:ascii="宋体" w:hAnsi="宋体"/>
          <w:bCs/>
          <w:color w:val="auto"/>
          <w:szCs w:val="21"/>
          <w:highlight w:val="none"/>
        </w:rPr>
        <w:br w:type="page"/>
      </w:r>
    </w:p>
    <w:p w14:paraId="1EDD002E">
      <w:pPr>
        <w:pStyle w:val="21"/>
        <w:rPr>
          <w:rFonts w:hint="eastAsia"/>
          <w:color w:val="auto"/>
        </w:rPr>
      </w:pPr>
    </w:p>
    <w:tbl>
      <w:tblPr>
        <w:tblStyle w:val="36"/>
        <w:tblW w:w="4979" w:type="pct"/>
        <w:tblInd w:w="0" w:type="dxa"/>
        <w:tblLayout w:type="autofit"/>
        <w:tblCellMar>
          <w:top w:w="0" w:type="dxa"/>
          <w:left w:w="108" w:type="dxa"/>
          <w:bottom w:w="0" w:type="dxa"/>
          <w:right w:w="108" w:type="dxa"/>
        </w:tblCellMar>
      </w:tblPr>
      <w:tblGrid>
        <w:gridCol w:w="694"/>
        <w:gridCol w:w="1718"/>
        <w:gridCol w:w="7508"/>
      </w:tblGrid>
      <w:tr w14:paraId="36E6948C">
        <w:tblPrEx>
          <w:tblCellMar>
            <w:top w:w="0" w:type="dxa"/>
            <w:left w:w="108" w:type="dxa"/>
            <w:bottom w:w="0" w:type="dxa"/>
            <w:right w:w="108" w:type="dxa"/>
          </w:tblCellMar>
        </w:tblPrEx>
        <w:trPr>
          <w:trHeight w:val="619"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C2D69B" w:themeFill="accent3" w:themeFillTint="99"/>
            <w:vAlign w:val="center"/>
          </w:tcPr>
          <w:p w14:paraId="1056E3F9">
            <w:pPr>
              <w:spacing w:line="360" w:lineRule="auto"/>
              <w:jc w:val="center"/>
              <w:rPr>
                <w:rFonts w:hint="default" w:asciiTheme="minorEastAsia" w:hAnsiTheme="minorEastAsia" w:eastAsiaTheme="minorEastAsia" w:cstheme="minorEastAsia"/>
                <w:color w:val="auto"/>
                <w:szCs w:val="21"/>
                <w:highlight w:val="none"/>
                <w:lang w:val="en-US"/>
              </w:rPr>
            </w:pPr>
            <w:r>
              <w:rPr>
                <w:rFonts w:hint="eastAsia" w:asciiTheme="minorEastAsia" w:hAnsiTheme="minorEastAsia" w:eastAsiaTheme="minorEastAsia" w:cstheme="minorEastAsia"/>
                <w:color w:val="auto"/>
                <w:szCs w:val="21"/>
                <w:highlight w:val="none"/>
              </w:rPr>
              <w:t>标项</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lang w:eastAsia="zh-CN"/>
              </w:rPr>
              <w:t>：</w:t>
            </w:r>
            <w:r>
              <w:rPr>
                <w:rFonts w:hint="eastAsia" w:ascii="宋体" w:hAnsi="宋体"/>
                <w:color w:val="auto"/>
                <w:szCs w:val="21"/>
                <w:highlight w:val="none"/>
                <w:lang w:eastAsia="zh-CN"/>
              </w:rPr>
              <w:t>2025年广西艺术作品展览图书出版服务</w:t>
            </w:r>
            <w:r>
              <w:rPr>
                <w:rFonts w:hint="eastAsia" w:asciiTheme="minorEastAsia" w:hAnsiTheme="minorEastAsia" w:eastAsiaTheme="minorEastAsia" w:cstheme="minorEastAsia"/>
                <w:color w:val="auto"/>
                <w:szCs w:val="21"/>
                <w:highlight w:val="none"/>
                <w:lang w:val="en-US" w:eastAsia="zh-CN"/>
              </w:rPr>
              <w:t xml:space="preserve"> 评审标准</w:t>
            </w:r>
          </w:p>
        </w:tc>
      </w:tr>
      <w:tr w14:paraId="76C8DEC4">
        <w:tblPrEx>
          <w:tblCellMar>
            <w:top w:w="0" w:type="dxa"/>
            <w:left w:w="108" w:type="dxa"/>
            <w:bottom w:w="0" w:type="dxa"/>
            <w:right w:w="108" w:type="dxa"/>
          </w:tblCellMar>
        </w:tblPrEx>
        <w:trPr>
          <w:trHeight w:val="276"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90FCE">
            <w:pPr>
              <w:widowControl/>
              <w:spacing w:line="360" w:lineRule="auto"/>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序号</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3CA55">
            <w:pPr>
              <w:widowControl/>
              <w:spacing w:line="360" w:lineRule="auto"/>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评分类型</w:t>
            </w:r>
          </w:p>
        </w:tc>
        <w:tc>
          <w:tcPr>
            <w:tcW w:w="3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3E736">
            <w:pPr>
              <w:spacing w:line="360" w:lineRule="auto"/>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kern w:val="0"/>
                <w:szCs w:val="21"/>
                <w:highlight w:val="none"/>
                <w:lang w:bidi="ar"/>
              </w:rPr>
              <w:t>评分标准</w:t>
            </w:r>
          </w:p>
        </w:tc>
      </w:tr>
      <w:tr w14:paraId="0D82A5CC">
        <w:tblPrEx>
          <w:tblCellMar>
            <w:top w:w="0" w:type="dxa"/>
            <w:left w:w="108" w:type="dxa"/>
            <w:bottom w:w="0" w:type="dxa"/>
            <w:right w:w="108" w:type="dxa"/>
          </w:tblCellMar>
        </w:tblPrEx>
        <w:trPr>
          <w:trHeight w:val="495" w:hRule="atLeast"/>
        </w:trPr>
        <w:tc>
          <w:tcPr>
            <w:tcW w:w="350" w:type="pct"/>
            <w:tcBorders>
              <w:top w:val="single" w:color="000000" w:sz="4" w:space="0"/>
              <w:left w:val="single" w:color="000000" w:sz="4" w:space="0"/>
              <w:bottom w:val="single" w:color="000000" w:sz="4" w:space="0"/>
              <w:right w:val="single" w:color="000000" w:sz="4" w:space="0"/>
            </w:tcBorders>
            <w:shd w:val="clear" w:color="auto" w:fill="C2D69B" w:themeFill="accent3" w:themeFillTint="99"/>
            <w:vAlign w:val="center"/>
          </w:tcPr>
          <w:p w14:paraId="4A6288DB">
            <w:pPr>
              <w:widowControl/>
              <w:spacing w:line="360" w:lineRule="auto"/>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w:t>
            </w:r>
          </w:p>
        </w:tc>
        <w:tc>
          <w:tcPr>
            <w:tcW w:w="4649" w:type="pct"/>
            <w:gridSpan w:val="2"/>
            <w:tcBorders>
              <w:top w:val="single" w:color="000000" w:sz="4" w:space="0"/>
              <w:left w:val="single" w:color="000000" w:sz="4" w:space="0"/>
              <w:bottom w:val="single" w:color="000000" w:sz="4" w:space="0"/>
              <w:right w:val="single" w:color="000000" w:sz="4" w:space="0"/>
            </w:tcBorders>
            <w:shd w:val="clear" w:color="auto" w:fill="C2D69B" w:themeFill="accent3" w:themeFillTint="99"/>
            <w:vAlign w:val="center"/>
          </w:tcPr>
          <w:p w14:paraId="1923800A">
            <w:pPr>
              <w:widowControl/>
              <w:spacing w:line="360" w:lineRule="auto"/>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价格分（满分</w:t>
            </w:r>
            <w:r>
              <w:rPr>
                <w:rFonts w:hint="eastAsia" w:asciiTheme="minorEastAsia" w:hAnsiTheme="minorEastAsia" w:eastAsiaTheme="minorEastAsia" w:cstheme="minorEastAsia"/>
                <w:color w:val="auto"/>
                <w:kern w:val="0"/>
                <w:szCs w:val="21"/>
                <w:highlight w:val="none"/>
                <w:lang w:val="en-US" w:eastAsia="zh-CN" w:bidi="ar"/>
              </w:rPr>
              <w:t>1</w:t>
            </w:r>
            <w:r>
              <w:rPr>
                <w:rFonts w:hint="eastAsia" w:asciiTheme="minorEastAsia" w:hAnsiTheme="minorEastAsia" w:eastAsiaTheme="minorEastAsia" w:cstheme="minorEastAsia"/>
                <w:color w:val="auto"/>
                <w:kern w:val="0"/>
                <w:szCs w:val="21"/>
                <w:highlight w:val="none"/>
                <w:lang w:bidi="ar"/>
              </w:rPr>
              <w:t>0分）</w:t>
            </w:r>
          </w:p>
        </w:tc>
      </w:tr>
      <w:tr w14:paraId="08FE65BC">
        <w:tblPrEx>
          <w:tblCellMar>
            <w:top w:w="0" w:type="dxa"/>
            <w:left w:w="108" w:type="dxa"/>
            <w:bottom w:w="0" w:type="dxa"/>
            <w:right w:w="108" w:type="dxa"/>
          </w:tblCellMar>
        </w:tblPrEx>
        <w:trPr>
          <w:trHeight w:val="69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9CC3F">
            <w:pPr>
              <w:spacing w:line="360" w:lineRule="auto"/>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1.1</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07978">
            <w:pPr>
              <w:widowControl/>
              <w:spacing w:line="360" w:lineRule="auto"/>
              <w:jc w:val="center"/>
              <w:textAlignment w:val="center"/>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价格分</w:t>
            </w:r>
          </w:p>
          <w:p w14:paraId="7C517EFD">
            <w:pPr>
              <w:widowControl/>
              <w:spacing w:line="360" w:lineRule="auto"/>
              <w:jc w:val="center"/>
              <w:textAlignment w:val="center"/>
              <w:rPr>
                <w:rFonts w:asciiTheme="minorEastAsia" w:hAnsiTheme="minorEastAsia" w:eastAsiaTheme="minorEastAsia" w:cstheme="minorEastAsia"/>
                <w:color w:val="auto"/>
                <w:kern w:val="0"/>
                <w:szCs w:val="21"/>
                <w:highlight w:val="none"/>
                <w:lang w:bidi="ar"/>
              </w:rPr>
            </w:pPr>
            <w:r>
              <w:rPr>
                <w:rFonts w:hint="eastAsia" w:ascii="宋体" w:hAnsi="宋体" w:eastAsia="宋体"/>
                <w:color w:val="auto"/>
                <w:kern w:val="0"/>
                <w:szCs w:val="21"/>
                <w:highlight w:val="none"/>
              </w:rPr>
              <w:t>（满分1</w:t>
            </w:r>
            <w:r>
              <w:rPr>
                <w:rFonts w:hint="eastAsia" w:ascii="宋体" w:hAnsi="宋体" w:eastAsia="宋体"/>
                <w:color w:val="auto"/>
                <w:kern w:val="0"/>
                <w:szCs w:val="21"/>
                <w:highlight w:val="none"/>
                <w:lang w:val="en-US" w:eastAsia="zh-CN"/>
              </w:rPr>
              <w:t>0</w:t>
            </w:r>
            <w:r>
              <w:rPr>
                <w:rFonts w:hint="eastAsia" w:ascii="宋体" w:hAnsi="宋体" w:eastAsia="宋体"/>
                <w:color w:val="auto"/>
                <w:kern w:val="0"/>
                <w:szCs w:val="21"/>
                <w:highlight w:val="none"/>
              </w:rPr>
              <w:t>分）</w:t>
            </w:r>
          </w:p>
        </w:tc>
        <w:tc>
          <w:tcPr>
            <w:tcW w:w="3783" w:type="pct"/>
            <w:tcBorders>
              <w:top w:val="single" w:color="000000" w:sz="4" w:space="0"/>
              <w:left w:val="single" w:color="000000" w:sz="4" w:space="0"/>
              <w:right w:val="single" w:color="000000" w:sz="4" w:space="0"/>
            </w:tcBorders>
            <w:shd w:val="clear" w:color="auto" w:fill="auto"/>
            <w:vAlign w:val="center"/>
          </w:tcPr>
          <w:p w14:paraId="2B7D319E">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（1）本项目为中小企业预留项目，价格评审时，各供应商不重复享受政策，其评标报价=最后报价。最终成交供应商的成交金额等于最后报价（如有修正，以确认修正后的最后报价为准）。</w:t>
            </w:r>
          </w:p>
          <w:p w14:paraId="20177AB1">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（2）满足采购文件要求且评标报价最低的评标报价为评标基准价，其价格分为满分。</w:t>
            </w:r>
          </w:p>
          <w:p w14:paraId="1BF877A1">
            <w:pPr>
              <w:pStyle w:val="23"/>
              <w:spacing w:line="360" w:lineRule="auto"/>
              <w:rPr>
                <w:rFonts w:asciiTheme="minorEastAsia" w:hAnsiTheme="minorEastAsia" w:eastAsiaTheme="minorEastAsia" w:cstheme="minorEastAsia"/>
                <w:bCs/>
                <w:color w:val="auto"/>
                <w:kern w:val="2"/>
                <w:sz w:val="21"/>
                <w:highlight w:val="none"/>
              </w:rPr>
            </w:pPr>
            <w:r>
              <w:rPr>
                <w:rFonts w:hint="eastAsia" w:asciiTheme="minorEastAsia" w:hAnsiTheme="minorEastAsia" w:eastAsiaTheme="minorEastAsia" w:cstheme="minorEastAsia"/>
                <w:bCs/>
                <w:color w:val="auto"/>
                <w:kern w:val="2"/>
                <w:sz w:val="21"/>
                <w:highlight w:val="none"/>
              </w:rPr>
              <w:t>（3）某供应商价格分计算公式：</w:t>
            </w:r>
          </w:p>
          <w:p w14:paraId="05FEA181">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价格分得分=（基准价/最后报价）×</w:t>
            </w:r>
            <w:r>
              <w:rPr>
                <w:rFonts w:hint="eastAsia" w:asciiTheme="minorEastAsia" w:hAnsiTheme="minorEastAsia" w:eastAsiaTheme="minorEastAsia" w:cstheme="minorEastAsia"/>
                <w:bCs/>
                <w:color w:val="auto"/>
                <w:szCs w:val="21"/>
                <w:highlight w:val="none"/>
                <w:lang w:val="en-US" w:eastAsia="zh-CN"/>
              </w:rPr>
              <w:t>1</w:t>
            </w:r>
            <w:r>
              <w:rPr>
                <w:rFonts w:hint="eastAsia" w:asciiTheme="minorEastAsia" w:hAnsiTheme="minorEastAsia" w:eastAsiaTheme="minorEastAsia" w:cstheme="minorEastAsia"/>
                <w:bCs/>
                <w:color w:val="auto"/>
                <w:szCs w:val="21"/>
                <w:highlight w:val="none"/>
              </w:rPr>
              <w:t>0分</w:t>
            </w:r>
          </w:p>
        </w:tc>
      </w:tr>
      <w:tr w14:paraId="09882683">
        <w:tblPrEx>
          <w:tblCellMar>
            <w:top w:w="0" w:type="dxa"/>
            <w:left w:w="108" w:type="dxa"/>
            <w:bottom w:w="0" w:type="dxa"/>
            <w:right w:w="108" w:type="dxa"/>
          </w:tblCellMar>
        </w:tblPrEx>
        <w:trPr>
          <w:trHeight w:val="495" w:hRule="atLeast"/>
        </w:trPr>
        <w:tc>
          <w:tcPr>
            <w:tcW w:w="350" w:type="pct"/>
            <w:tcBorders>
              <w:top w:val="single" w:color="000000" w:sz="4" w:space="0"/>
              <w:left w:val="single" w:color="000000" w:sz="4" w:space="0"/>
              <w:bottom w:val="single" w:color="000000" w:sz="4" w:space="0"/>
              <w:right w:val="single" w:color="000000" w:sz="4" w:space="0"/>
            </w:tcBorders>
            <w:shd w:val="clear" w:color="auto" w:fill="C2D69B" w:themeFill="accent3" w:themeFillTint="99"/>
            <w:vAlign w:val="center"/>
          </w:tcPr>
          <w:p w14:paraId="5C3F2EB6">
            <w:pPr>
              <w:widowControl/>
              <w:spacing w:line="360" w:lineRule="auto"/>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w:t>
            </w:r>
          </w:p>
        </w:tc>
        <w:tc>
          <w:tcPr>
            <w:tcW w:w="4649" w:type="pct"/>
            <w:gridSpan w:val="2"/>
            <w:tcBorders>
              <w:top w:val="single" w:color="000000" w:sz="4" w:space="0"/>
              <w:left w:val="single" w:color="000000" w:sz="4" w:space="0"/>
              <w:bottom w:val="single" w:color="000000" w:sz="4" w:space="0"/>
              <w:right w:val="single" w:color="000000" w:sz="4" w:space="0"/>
            </w:tcBorders>
            <w:shd w:val="clear" w:color="auto" w:fill="C2D69B" w:themeFill="accent3" w:themeFillTint="99"/>
            <w:vAlign w:val="center"/>
          </w:tcPr>
          <w:p w14:paraId="26FAC740">
            <w:pPr>
              <w:widowControl/>
              <w:spacing w:line="360" w:lineRule="auto"/>
              <w:jc w:val="center"/>
              <w:textAlignment w:val="center"/>
              <w:rPr>
                <w:rFonts w:hint="default" w:eastAsia="宋体" w:asciiTheme="minorEastAsia" w:hAnsiTheme="minorEastAsia" w:cstheme="minorEastAsia"/>
                <w:color w:val="auto"/>
                <w:szCs w:val="21"/>
                <w:highlight w:val="none"/>
                <w:lang w:val="en-US" w:eastAsia="zh-CN"/>
              </w:rPr>
            </w:pPr>
            <w:r>
              <w:rPr>
                <w:rFonts w:hint="eastAsia" w:asciiTheme="minorEastAsia" w:hAnsiTheme="minorEastAsia" w:eastAsiaTheme="minorEastAsia" w:cstheme="minorEastAsia"/>
                <w:color w:val="auto"/>
                <w:kern w:val="0"/>
                <w:szCs w:val="21"/>
                <w:highlight w:val="none"/>
                <w:lang w:bidi="ar"/>
              </w:rPr>
              <w:t>项目实施方案分（满分</w:t>
            </w:r>
            <w:r>
              <w:rPr>
                <w:rFonts w:hint="eastAsia" w:asciiTheme="minorEastAsia" w:hAnsiTheme="minorEastAsia" w:eastAsiaTheme="minorEastAsia" w:cstheme="minorEastAsia"/>
                <w:color w:val="auto"/>
                <w:kern w:val="0"/>
                <w:szCs w:val="21"/>
                <w:highlight w:val="none"/>
                <w:lang w:val="en-US" w:eastAsia="zh-CN" w:bidi="ar"/>
              </w:rPr>
              <w:t>80</w:t>
            </w:r>
            <w:r>
              <w:rPr>
                <w:rFonts w:hint="eastAsia" w:asciiTheme="minorEastAsia" w:hAnsiTheme="minorEastAsia" w:eastAsiaTheme="minorEastAsia" w:cstheme="minorEastAsia"/>
                <w:color w:val="auto"/>
                <w:kern w:val="0"/>
                <w:szCs w:val="21"/>
                <w:highlight w:val="none"/>
                <w:lang w:bidi="ar"/>
              </w:rPr>
              <w:t>分）</w:t>
            </w:r>
          </w:p>
        </w:tc>
      </w:tr>
      <w:tr w14:paraId="1F143A5C">
        <w:tblPrEx>
          <w:tblCellMar>
            <w:top w:w="0" w:type="dxa"/>
            <w:left w:w="108" w:type="dxa"/>
            <w:bottom w:w="0" w:type="dxa"/>
            <w:right w:w="108" w:type="dxa"/>
          </w:tblCellMar>
        </w:tblPrEx>
        <w:trPr>
          <w:trHeight w:val="75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8E058">
            <w:pPr>
              <w:widowControl/>
              <w:spacing w:line="360" w:lineRule="auto"/>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2.1</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C8953">
            <w:pPr>
              <w:widowControl/>
              <w:spacing w:line="360" w:lineRule="auto"/>
              <w:jc w:val="center"/>
              <w:textAlignment w:val="center"/>
              <w:rPr>
                <w:rFonts w:asciiTheme="minorEastAsia" w:hAnsiTheme="minorEastAsia" w:eastAsiaTheme="minorEastAsia" w:cstheme="minorEastAsia"/>
                <w:color w:val="auto"/>
                <w:szCs w:val="21"/>
                <w:highlight w:val="none"/>
              </w:rPr>
            </w:pPr>
            <w:r>
              <w:rPr>
                <w:rFonts w:hint="eastAsia" w:ascii="宋体" w:hAnsi="宋体" w:cs="宋体"/>
                <w:color w:val="auto"/>
                <w:highlight w:val="none"/>
              </w:rPr>
              <w:t>服务方案</w:t>
            </w:r>
            <w:r>
              <w:rPr>
                <w:rFonts w:hint="eastAsia" w:ascii="宋体" w:hAnsi="宋体" w:cs="宋体"/>
                <w:color w:val="auto"/>
                <w:szCs w:val="21"/>
                <w:highlight w:val="none"/>
              </w:rPr>
              <w:t>（35分）</w:t>
            </w:r>
          </w:p>
        </w:tc>
        <w:tc>
          <w:tcPr>
            <w:tcW w:w="3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D4615">
            <w:pPr>
              <w:widowControl/>
              <w:spacing w:line="360" w:lineRule="auto"/>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据供应商项目服务方案</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内容可包含但不限于①图书整体设计方案（1-2种设计方案）②图书印刷方案③图书印刷承办方资质证明④图书出版时间计划⑤图书出版后续服务方案</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 xml:space="preserve">进行独立评分。（未提供服务方案的不得分）   </w:t>
            </w:r>
          </w:p>
          <w:p w14:paraId="50120305">
            <w:pPr>
              <w:widowControl/>
              <w:spacing w:line="360" w:lineRule="auto"/>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一档 (7分)：供应商服务方案中包含有上述1-2项内容，无明显错误或无关内容；</w:t>
            </w:r>
          </w:p>
          <w:p w14:paraId="1E4035A8">
            <w:pPr>
              <w:widowControl/>
              <w:spacing w:line="360" w:lineRule="auto"/>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二档 (14分)：在满足一档的基础上，供应商提供的服务方案中包含有上述3项内容且描述详细；工作流程、工作方法、各种工作制度和各项措施等基本能够满足采购人的项目需求。</w:t>
            </w:r>
          </w:p>
          <w:p w14:paraId="02FD506D">
            <w:pPr>
              <w:widowControl/>
              <w:spacing w:line="360" w:lineRule="auto"/>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三档 (21分)：在满足</w:t>
            </w:r>
            <w:r>
              <w:rPr>
                <w:rFonts w:hint="eastAsia" w:asciiTheme="minorEastAsia" w:hAnsiTheme="minorEastAsia" w:eastAsiaTheme="minorEastAsia" w:cstheme="minorEastAsia"/>
                <w:color w:val="auto"/>
                <w:szCs w:val="21"/>
                <w:highlight w:val="none"/>
                <w:lang w:val="en-US" w:eastAsia="zh-CN"/>
              </w:rPr>
              <w:t>二</w:t>
            </w:r>
            <w:r>
              <w:rPr>
                <w:rFonts w:hint="eastAsia" w:asciiTheme="minorEastAsia" w:hAnsiTheme="minorEastAsia" w:eastAsiaTheme="minorEastAsia" w:cstheme="minorEastAsia"/>
                <w:color w:val="auto"/>
                <w:szCs w:val="21"/>
                <w:highlight w:val="none"/>
              </w:rPr>
              <w:t>档的基础上，供应商提供的服务方案中包含有上述4项内容且描述详细；工作流程、工作方法、各种工作制度和各项措施等基本能够满足采购人的项目需求。</w:t>
            </w:r>
          </w:p>
          <w:p w14:paraId="09C818E8">
            <w:pPr>
              <w:widowControl/>
              <w:spacing w:line="360" w:lineRule="auto"/>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四档 (28分)：在满足</w:t>
            </w:r>
            <w:r>
              <w:rPr>
                <w:rFonts w:hint="eastAsia" w:asciiTheme="minorEastAsia" w:hAnsiTheme="minorEastAsia" w:eastAsiaTheme="minorEastAsia" w:cstheme="minorEastAsia"/>
                <w:color w:val="auto"/>
                <w:szCs w:val="21"/>
                <w:highlight w:val="none"/>
                <w:lang w:val="en-US" w:eastAsia="zh-CN"/>
              </w:rPr>
              <w:t>三</w:t>
            </w:r>
            <w:r>
              <w:rPr>
                <w:rFonts w:hint="eastAsia" w:asciiTheme="minorEastAsia" w:hAnsiTheme="minorEastAsia" w:eastAsiaTheme="minorEastAsia" w:cstheme="minorEastAsia"/>
                <w:color w:val="auto"/>
                <w:szCs w:val="21"/>
                <w:highlight w:val="none"/>
              </w:rPr>
              <w:t>档的基础上，供应商提供的服务方案中包含有上述5项内容且描述详细；工作流程、工作方法、各种工作制度和各项措施等基本能够满足采购人的项目需求。</w:t>
            </w:r>
          </w:p>
          <w:p w14:paraId="2B81FE19">
            <w:pPr>
              <w:widowControl/>
              <w:spacing w:line="360" w:lineRule="auto"/>
              <w:jc w:val="left"/>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五档 (35分)：在四档的基础上，供应商提供的服务方案详尽明了，各项内容都有明确具体的执行安排和计划。</w:t>
            </w:r>
          </w:p>
        </w:tc>
      </w:tr>
      <w:tr w14:paraId="567E5D2E">
        <w:tblPrEx>
          <w:tblCellMar>
            <w:top w:w="0" w:type="dxa"/>
            <w:left w:w="108" w:type="dxa"/>
            <w:bottom w:w="0" w:type="dxa"/>
            <w:right w:w="108" w:type="dxa"/>
          </w:tblCellMar>
        </w:tblPrEx>
        <w:trPr>
          <w:trHeight w:val="75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F91DF">
            <w:pPr>
              <w:widowControl/>
              <w:spacing w:line="360" w:lineRule="auto"/>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2.2</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A0C91">
            <w:pPr>
              <w:widowControl/>
              <w:spacing w:line="360" w:lineRule="auto"/>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质量控制方案（15分）</w:t>
            </w:r>
          </w:p>
        </w:tc>
        <w:tc>
          <w:tcPr>
            <w:tcW w:w="3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C7737">
            <w:pPr>
              <w:widowControl/>
              <w:spacing w:line="360" w:lineRule="auto"/>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一档 (5分)：供应商提供有质量控制方案，质量控制承诺较无针对性，人员分工不明确不具体的。</w:t>
            </w:r>
          </w:p>
          <w:p w14:paraId="1691CDED">
            <w:pPr>
              <w:widowControl/>
              <w:spacing w:line="360" w:lineRule="auto"/>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二档 (10分)：供应商提供的质量控制方案满足采购需求，质量控制承诺完整，服务周期有具体安排，人员分工明确的。</w:t>
            </w:r>
          </w:p>
          <w:p w14:paraId="031917F2">
            <w:pPr>
              <w:widowControl/>
              <w:spacing w:line="360" w:lineRule="auto"/>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三档 (15分)：供应商提供的质量控制方案满足采购需求，质量控制内容合理完善，服务周期安排具体详细，各个关键时间节点明确，项目进度保障措施合理，人员分工明确。</w:t>
            </w:r>
          </w:p>
          <w:p w14:paraId="6C30292C">
            <w:pPr>
              <w:widowControl/>
              <w:spacing w:line="360" w:lineRule="auto"/>
              <w:jc w:val="left"/>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注：未提供的不得分。</w:t>
            </w:r>
          </w:p>
        </w:tc>
      </w:tr>
      <w:tr w14:paraId="50F5D44B">
        <w:tblPrEx>
          <w:tblCellMar>
            <w:top w:w="0" w:type="dxa"/>
            <w:left w:w="108" w:type="dxa"/>
            <w:bottom w:w="0" w:type="dxa"/>
            <w:right w:w="108" w:type="dxa"/>
          </w:tblCellMar>
        </w:tblPrEx>
        <w:trPr>
          <w:trHeight w:val="75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B658D">
            <w:pPr>
              <w:widowControl/>
              <w:spacing w:line="360" w:lineRule="auto"/>
              <w:jc w:val="center"/>
              <w:textAlignment w:val="center"/>
              <w:rPr>
                <w:rFonts w:hint="default"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eastAsiaTheme="minorEastAsia" w:cstheme="minorEastAsia"/>
                <w:color w:val="auto"/>
                <w:kern w:val="0"/>
                <w:szCs w:val="21"/>
                <w:highlight w:val="none"/>
                <w:lang w:val="en-US" w:eastAsia="zh-CN" w:bidi="ar"/>
              </w:rPr>
              <w:t>2.3</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5B280">
            <w:pPr>
              <w:widowControl/>
              <w:spacing w:line="36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拟投入人员分（30分）</w:t>
            </w:r>
          </w:p>
        </w:tc>
        <w:tc>
          <w:tcPr>
            <w:tcW w:w="3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AA44F">
            <w:pPr>
              <w:widowControl/>
              <w:spacing w:line="360" w:lineRule="auto"/>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1、编辑人员</w:t>
            </w:r>
          </w:p>
          <w:p w14:paraId="7053BC23">
            <w:pPr>
              <w:widowControl/>
              <w:spacing w:line="360" w:lineRule="auto"/>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具有出版专业副高级职称的得2分，具有出版专业正高级职称的得4分，满分12分。</w:t>
            </w:r>
          </w:p>
          <w:p w14:paraId="087F1C45">
            <w:pPr>
              <w:widowControl/>
              <w:spacing w:line="360" w:lineRule="auto"/>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2、其他人员（除编辑外的团队人员）</w:t>
            </w:r>
          </w:p>
          <w:p w14:paraId="5BFEDE0E">
            <w:pPr>
              <w:widowControl/>
              <w:spacing w:line="360" w:lineRule="auto"/>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具有博士学位或出版专业副高级职称的得1.5分，具有出版专业正高级职称的得3分，满分18分。</w:t>
            </w:r>
          </w:p>
          <w:p w14:paraId="1ED00B5B">
            <w:pPr>
              <w:widowControl/>
              <w:spacing w:line="360" w:lineRule="auto"/>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注：须提供以上人员花名册包括姓名、性别、学历及相关证书的复印件，否则不予计分。</w:t>
            </w:r>
          </w:p>
        </w:tc>
      </w:tr>
      <w:tr w14:paraId="31ECA04E">
        <w:tblPrEx>
          <w:tblCellMar>
            <w:top w:w="0" w:type="dxa"/>
            <w:left w:w="108" w:type="dxa"/>
            <w:bottom w:w="0" w:type="dxa"/>
            <w:right w:w="108" w:type="dxa"/>
          </w:tblCellMar>
        </w:tblPrEx>
        <w:trPr>
          <w:trHeight w:val="495" w:hRule="atLeast"/>
        </w:trPr>
        <w:tc>
          <w:tcPr>
            <w:tcW w:w="350" w:type="pct"/>
            <w:tcBorders>
              <w:top w:val="single" w:color="000000" w:sz="4" w:space="0"/>
              <w:left w:val="single" w:color="000000" w:sz="4" w:space="0"/>
              <w:bottom w:val="single" w:color="000000" w:sz="4" w:space="0"/>
              <w:right w:val="single" w:color="000000" w:sz="4" w:space="0"/>
            </w:tcBorders>
            <w:shd w:val="clear" w:color="auto" w:fill="C2D69B" w:themeFill="accent3" w:themeFillTint="99"/>
            <w:vAlign w:val="center"/>
          </w:tcPr>
          <w:p w14:paraId="30E6435A">
            <w:pPr>
              <w:widowControl/>
              <w:spacing w:line="360" w:lineRule="auto"/>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w:t>
            </w:r>
          </w:p>
        </w:tc>
        <w:tc>
          <w:tcPr>
            <w:tcW w:w="4649" w:type="pct"/>
            <w:gridSpan w:val="2"/>
            <w:tcBorders>
              <w:top w:val="single" w:color="000000" w:sz="4" w:space="0"/>
              <w:left w:val="single" w:color="000000" w:sz="4" w:space="0"/>
              <w:bottom w:val="single" w:color="000000" w:sz="4" w:space="0"/>
              <w:right w:val="single" w:color="000000" w:sz="4" w:space="0"/>
            </w:tcBorders>
            <w:shd w:val="clear" w:color="auto" w:fill="C2D69B" w:themeFill="accent3" w:themeFillTint="99"/>
            <w:vAlign w:val="center"/>
          </w:tcPr>
          <w:p w14:paraId="156CBF2E">
            <w:pPr>
              <w:widowControl/>
              <w:spacing w:line="360" w:lineRule="auto"/>
              <w:jc w:val="center"/>
              <w:textAlignment w:val="center"/>
              <w:rPr>
                <w:rFonts w:hint="default" w:eastAsia="宋体" w:asciiTheme="minorEastAsia" w:hAnsiTheme="minorEastAsia" w:cstheme="minorEastAsia"/>
                <w:color w:val="auto"/>
                <w:szCs w:val="21"/>
                <w:highlight w:val="none"/>
                <w:lang w:val="en-US" w:eastAsia="zh-CN"/>
              </w:rPr>
            </w:pPr>
            <w:r>
              <w:rPr>
                <w:rFonts w:hint="eastAsia" w:asciiTheme="minorEastAsia" w:hAnsiTheme="minorEastAsia" w:eastAsiaTheme="minorEastAsia" w:cstheme="minorEastAsia"/>
                <w:color w:val="auto"/>
                <w:kern w:val="0"/>
                <w:szCs w:val="21"/>
                <w:highlight w:val="none"/>
                <w:lang w:bidi="ar"/>
              </w:rPr>
              <w:t>履约能力分（满分</w:t>
            </w:r>
            <w:r>
              <w:rPr>
                <w:rFonts w:hint="eastAsia" w:asciiTheme="minorEastAsia" w:hAnsiTheme="minorEastAsia" w:eastAsiaTheme="minorEastAsia" w:cstheme="minorEastAsia"/>
                <w:color w:val="auto"/>
                <w:kern w:val="0"/>
                <w:szCs w:val="21"/>
                <w:highlight w:val="none"/>
                <w:lang w:val="en-US" w:eastAsia="zh-CN" w:bidi="ar"/>
              </w:rPr>
              <w:t>10</w:t>
            </w:r>
            <w:r>
              <w:rPr>
                <w:rFonts w:hint="eastAsia" w:asciiTheme="minorEastAsia" w:hAnsiTheme="minorEastAsia" w:eastAsiaTheme="minorEastAsia" w:cstheme="minorEastAsia"/>
                <w:color w:val="auto"/>
                <w:kern w:val="0"/>
                <w:szCs w:val="21"/>
                <w:highlight w:val="none"/>
                <w:lang w:bidi="ar"/>
              </w:rPr>
              <w:t>分）</w:t>
            </w:r>
          </w:p>
        </w:tc>
      </w:tr>
      <w:tr w14:paraId="3AD5F28B">
        <w:tblPrEx>
          <w:tblCellMar>
            <w:top w:w="0" w:type="dxa"/>
            <w:left w:w="108" w:type="dxa"/>
            <w:bottom w:w="0" w:type="dxa"/>
            <w:right w:w="108" w:type="dxa"/>
          </w:tblCellMar>
        </w:tblPrEx>
        <w:trPr>
          <w:trHeight w:val="137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5FC4E">
            <w:pPr>
              <w:widowControl/>
              <w:spacing w:line="360" w:lineRule="auto"/>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3.1</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DA8F6">
            <w:pPr>
              <w:widowControl/>
              <w:spacing w:line="360" w:lineRule="auto"/>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业绩（10分）</w:t>
            </w:r>
          </w:p>
        </w:tc>
        <w:tc>
          <w:tcPr>
            <w:tcW w:w="3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33347">
            <w:pPr>
              <w:widowControl/>
              <w:spacing w:line="360" w:lineRule="auto"/>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供应商提供自20</w:t>
            </w:r>
            <w:r>
              <w:rPr>
                <w:rFonts w:hint="eastAsia" w:asciiTheme="minorEastAsia" w:hAnsiTheme="minorEastAsia" w:eastAsiaTheme="minorEastAsia" w:cstheme="minorEastAsia"/>
                <w:color w:val="auto"/>
                <w:szCs w:val="21"/>
                <w:highlight w:val="none"/>
                <w:lang w:val="en-US" w:eastAsia="zh-CN"/>
              </w:rPr>
              <w:t>22</w:t>
            </w:r>
            <w:r>
              <w:rPr>
                <w:rFonts w:hint="eastAsia" w:asciiTheme="minorEastAsia" w:hAnsiTheme="minorEastAsia" w:eastAsiaTheme="minorEastAsia" w:cstheme="minorEastAsia"/>
                <w:color w:val="auto"/>
                <w:szCs w:val="21"/>
                <w:highlight w:val="none"/>
              </w:rPr>
              <w:t>年1月1日以来完成过同类出版服务项目，每个得2分，最高得分10分。（需提供相关证明资料，如完整的合同复印件或中标/成交通知书复印件或其他证明材料并加盖单位公章，未提供的不得分）。</w:t>
            </w:r>
          </w:p>
        </w:tc>
      </w:tr>
      <w:tr w14:paraId="0BE38904">
        <w:tblPrEx>
          <w:tblCellMar>
            <w:top w:w="0" w:type="dxa"/>
            <w:left w:w="108" w:type="dxa"/>
            <w:bottom w:w="0" w:type="dxa"/>
            <w:right w:w="108" w:type="dxa"/>
          </w:tblCellMar>
        </w:tblPrEx>
        <w:trPr>
          <w:trHeight w:val="622"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F5771E">
            <w:pPr>
              <w:widowControl/>
              <w:spacing w:line="360" w:lineRule="auto"/>
              <w:textAlignment w:val="center"/>
              <w:rPr>
                <w:rFonts w:hint="eastAsia" w:asciiTheme="minorEastAsia" w:hAnsiTheme="minorEastAsia" w:eastAsiaTheme="minorEastAsia" w:cstheme="minorEastAsia"/>
                <w:color w:val="auto"/>
                <w:szCs w:val="21"/>
                <w:highlight w:val="none"/>
              </w:rPr>
            </w:pPr>
            <w:r>
              <w:rPr>
                <w:rFonts w:hint="eastAsia" w:ascii="宋体" w:hAnsi="宋体" w:eastAsia="宋体" w:cs="宋体"/>
                <w:bCs/>
                <w:color w:val="auto"/>
                <w:szCs w:val="21"/>
                <w:highlight w:val="none"/>
              </w:rPr>
              <w:t>总得分＝1＋2＋3</w:t>
            </w:r>
          </w:p>
        </w:tc>
      </w:tr>
    </w:tbl>
    <w:p w14:paraId="56894BCC">
      <w:pPr>
        <w:spacing w:line="360" w:lineRule="auto"/>
        <w:ind w:firstLine="420" w:firstLineChars="200"/>
        <w:rPr>
          <w:rFonts w:hint="eastAsia" w:ascii="宋体" w:hAnsi="宋体"/>
          <w:bCs/>
          <w:color w:val="auto"/>
          <w:szCs w:val="21"/>
          <w:highlight w:val="none"/>
        </w:rPr>
      </w:pPr>
    </w:p>
    <w:p w14:paraId="243FFFF0">
      <w:pPr>
        <w:spacing w:line="360" w:lineRule="auto"/>
        <w:ind w:firstLine="420" w:firstLineChars="200"/>
        <w:rPr>
          <w:rFonts w:hint="eastAsia" w:ascii="宋体" w:hAnsi="宋体"/>
          <w:bCs/>
          <w:color w:val="auto"/>
          <w:szCs w:val="21"/>
          <w:highlight w:val="none"/>
        </w:rPr>
      </w:pPr>
    </w:p>
    <w:p w14:paraId="2568D17E">
      <w:pPr>
        <w:pStyle w:val="21"/>
        <w:rPr>
          <w:rFonts w:hint="eastAsia" w:ascii="宋体" w:hAnsi="宋体"/>
          <w:bCs/>
          <w:color w:val="auto"/>
          <w:szCs w:val="21"/>
          <w:highlight w:val="none"/>
        </w:rPr>
      </w:pPr>
    </w:p>
    <w:p w14:paraId="564ED245">
      <w:pPr>
        <w:pStyle w:val="21"/>
        <w:rPr>
          <w:rFonts w:hint="eastAsia" w:ascii="宋体" w:hAnsi="宋体"/>
          <w:bCs/>
          <w:color w:val="auto"/>
          <w:szCs w:val="21"/>
          <w:highlight w:val="none"/>
        </w:rPr>
      </w:pPr>
    </w:p>
    <w:p w14:paraId="6E634C1B">
      <w:pPr>
        <w:pStyle w:val="21"/>
        <w:rPr>
          <w:rFonts w:hint="eastAsia" w:ascii="宋体" w:hAnsi="宋体"/>
          <w:bCs/>
          <w:color w:val="auto"/>
          <w:szCs w:val="21"/>
          <w:highlight w:val="none"/>
        </w:rPr>
      </w:pPr>
    </w:p>
    <w:p w14:paraId="1B5C977A">
      <w:pPr>
        <w:pStyle w:val="21"/>
        <w:rPr>
          <w:rFonts w:hint="eastAsia" w:ascii="宋体" w:hAnsi="宋体"/>
          <w:bCs/>
          <w:color w:val="auto"/>
          <w:szCs w:val="21"/>
          <w:highlight w:val="none"/>
        </w:rPr>
      </w:pPr>
    </w:p>
    <w:p w14:paraId="42CE4CD5">
      <w:pPr>
        <w:pStyle w:val="21"/>
        <w:rPr>
          <w:rFonts w:hint="eastAsia" w:ascii="宋体" w:hAnsi="宋体"/>
          <w:bCs/>
          <w:color w:val="auto"/>
          <w:szCs w:val="21"/>
          <w:highlight w:val="none"/>
        </w:rPr>
      </w:pPr>
    </w:p>
    <w:p w14:paraId="71A0F355">
      <w:pPr>
        <w:pStyle w:val="21"/>
        <w:rPr>
          <w:rFonts w:hint="eastAsia" w:ascii="宋体" w:hAnsi="宋体"/>
          <w:bCs/>
          <w:color w:val="auto"/>
          <w:szCs w:val="21"/>
          <w:highlight w:val="none"/>
        </w:rPr>
      </w:pPr>
    </w:p>
    <w:p w14:paraId="16FEFBF2">
      <w:pPr>
        <w:pStyle w:val="21"/>
        <w:rPr>
          <w:rFonts w:hint="eastAsia" w:ascii="宋体" w:hAnsi="宋体"/>
          <w:bCs/>
          <w:color w:val="auto"/>
          <w:szCs w:val="21"/>
          <w:highlight w:val="none"/>
        </w:rPr>
      </w:pPr>
    </w:p>
    <w:p w14:paraId="5E715968">
      <w:pPr>
        <w:pStyle w:val="21"/>
        <w:rPr>
          <w:rFonts w:hint="eastAsia" w:ascii="宋体" w:hAnsi="宋体"/>
          <w:bCs/>
          <w:color w:val="auto"/>
          <w:szCs w:val="21"/>
          <w:highlight w:val="none"/>
        </w:rPr>
      </w:pPr>
    </w:p>
    <w:p w14:paraId="46D188D2">
      <w:pPr>
        <w:pStyle w:val="21"/>
        <w:rPr>
          <w:rFonts w:hint="eastAsia" w:ascii="宋体" w:hAnsi="宋体"/>
          <w:bCs/>
          <w:color w:val="auto"/>
          <w:szCs w:val="21"/>
          <w:highlight w:val="none"/>
        </w:rPr>
      </w:pPr>
    </w:p>
    <w:tbl>
      <w:tblPr>
        <w:tblStyle w:val="36"/>
        <w:tblW w:w="4937" w:type="pct"/>
        <w:tblInd w:w="0" w:type="dxa"/>
        <w:tblLayout w:type="autofit"/>
        <w:tblCellMar>
          <w:top w:w="0" w:type="dxa"/>
          <w:left w:w="108" w:type="dxa"/>
          <w:bottom w:w="0" w:type="dxa"/>
          <w:right w:w="108" w:type="dxa"/>
        </w:tblCellMar>
      </w:tblPr>
      <w:tblGrid>
        <w:gridCol w:w="622"/>
        <w:gridCol w:w="1251"/>
        <w:gridCol w:w="7963"/>
      </w:tblGrid>
      <w:tr w14:paraId="37E14413">
        <w:tblPrEx>
          <w:tblCellMar>
            <w:top w:w="0" w:type="dxa"/>
            <w:left w:w="108" w:type="dxa"/>
            <w:bottom w:w="0" w:type="dxa"/>
            <w:right w:w="108" w:type="dxa"/>
          </w:tblCellMar>
        </w:tblPrEx>
        <w:trPr>
          <w:trHeight w:val="619"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C2D69B" w:themeFill="accent3" w:themeFillTint="99"/>
            <w:vAlign w:val="center"/>
          </w:tcPr>
          <w:p w14:paraId="1F527519">
            <w:pPr>
              <w:spacing w:line="360" w:lineRule="auto"/>
              <w:jc w:val="center"/>
              <w:rPr>
                <w:rFonts w:hint="default" w:asciiTheme="minorEastAsia" w:hAnsiTheme="minorEastAsia" w:eastAsiaTheme="minorEastAsia" w:cstheme="minorEastAsia"/>
                <w:color w:val="auto"/>
                <w:szCs w:val="21"/>
                <w:highlight w:val="none"/>
                <w:lang w:val="en-US"/>
              </w:rPr>
            </w:pPr>
            <w:r>
              <w:rPr>
                <w:rFonts w:hint="eastAsia" w:asciiTheme="minorEastAsia" w:hAnsiTheme="minorEastAsia" w:eastAsiaTheme="minorEastAsia" w:cstheme="minorEastAsia"/>
                <w:color w:val="auto"/>
                <w:szCs w:val="21"/>
                <w:highlight w:val="none"/>
              </w:rPr>
              <w:t>标项</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lang w:eastAsia="zh-CN"/>
              </w:rPr>
              <w:t>：</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广西艺术作品</w:t>
            </w:r>
            <w:r>
              <w:rPr>
                <w:rFonts w:hint="eastAsia" w:ascii="宋体" w:hAnsi="宋体"/>
                <w:color w:val="auto"/>
                <w:szCs w:val="21"/>
                <w:highlight w:val="none"/>
                <w:lang w:val="en-US" w:eastAsia="zh-CN"/>
              </w:rPr>
              <w:t>展览</w:t>
            </w:r>
            <w:r>
              <w:rPr>
                <w:rFonts w:hint="eastAsia" w:ascii="宋体" w:hAnsi="宋体"/>
                <w:color w:val="auto"/>
                <w:szCs w:val="21"/>
                <w:highlight w:val="none"/>
              </w:rPr>
              <w:t>——第十</w:t>
            </w:r>
            <w:r>
              <w:rPr>
                <w:rFonts w:hint="eastAsia" w:ascii="宋体" w:hAnsi="宋体"/>
                <w:color w:val="auto"/>
                <w:szCs w:val="21"/>
                <w:highlight w:val="none"/>
                <w:lang w:eastAsia="zh-CN"/>
              </w:rPr>
              <w:t>三</w:t>
            </w:r>
            <w:r>
              <w:rPr>
                <w:rFonts w:hint="eastAsia" w:ascii="宋体" w:hAnsi="宋体"/>
                <w:color w:val="auto"/>
                <w:szCs w:val="21"/>
                <w:highlight w:val="none"/>
              </w:rPr>
              <w:t>届广西书法篆刻作品展</w:t>
            </w:r>
            <w:r>
              <w:rPr>
                <w:rFonts w:hint="eastAsia" w:ascii="宋体" w:hAnsi="宋体"/>
                <w:color w:val="auto"/>
                <w:szCs w:val="21"/>
                <w:highlight w:val="none"/>
                <w:lang w:eastAsia="zh-CN"/>
              </w:rPr>
              <w:t>项目</w:t>
            </w:r>
            <w:r>
              <w:rPr>
                <w:rFonts w:hint="eastAsia" w:ascii="宋体" w:hAnsi="宋体"/>
                <w:color w:val="auto"/>
                <w:szCs w:val="21"/>
                <w:highlight w:val="none"/>
              </w:rPr>
              <w:t>运营服务</w:t>
            </w:r>
            <w:r>
              <w:rPr>
                <w:rFonts w:hint="eastAsia" w:asciiTheme="minorEastAsia" w:hAnsiTheme="minorEastAsia" w:eastAsiaTheme="minorEastAsia" w:cstheme="minorEastAsia"/>
                <w:color w:val="auto"/>
                <w:szCs w:val="21"/>
                <w:highlight w:val="none"/>
                <w:lang w:val="en-US" w:eastAsia="zh-CN"/>
              </w:rPr>
              <w:t xml:space="preserve"> 评审标准</w:t>
            </w:r>
          </w:p>
        </w:tc>
      </w:tr>
      <w:tr w14:paraId="0DC8C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16" w:type="pct"/>
            <w:noWrap w:val="0"/>
            <w:vAlign w:val="center"/>
          </w:tcPr>
          <w:p w14:paraId="75B58A52">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636" w:type="pct"/>
            <w:noWrap w:val="0"/>
            <w:vAlign w:val="center"/>
          </w:tcPr>
          <w:p w14:paraId="739183AF">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评审因素</w:t>
            </w:r>
          </w:p>
        </w:tc>
        <w:tc>
          <w:tcPr>
            <w:tcW w:w="4046" w:type="pct"/>
            <w:noWrap w:val="0"/>
            <w:vAlign w:val="center"/>
          </w:tcPr>
          <w:p w14:paraId="787D2124">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评分内容与标准</w:t>
            </w:r>
          </w:p>
        </w:tc>
      </w:tr>
      <w:tr w14:paraId="22B8A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6" w:type="pct"/>
            <w:noWrap w:val="0"/>
            <w:vAlign w:val="center"/>
          </w:tcPr>
          <w:p w14:paraId="796B09A9">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36" w:type="pct"/>
            <w:noWrap w:val="0"/>
            <w:vAlign w:val="center"/>
          </w:tcPr>
          <w:p w14:paraId="5CADFCEE">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价格分</w:t>
            </w:r>
            <w:r>
              <w:rPr>
                <w:rFonts w:hint="eastAsia" w:ascii="宋体" w:hAnsi="宋体" w:eastAsia="宋体"/>
                <w:color w:val="auto"/>
                <w:kern w:val="0"/>
                <w:szCs w:val="21"/>
                <w:highlight w:val="none"/>
              </w:rPr>
              <w:t>（满分1</w:t>
            </w:r>
            <w:r>
              <w:rPr>
                <w:rFonts w:hint="eastAsia" w:ascii="宋体" w:hAnsi="宋体" w:eastAsia="宋体"/>
                <w:color w:val="auto"/>
                <w:kern w:val="0"/>
                <w:szCs w:val="21"/>
                <w:highlight w:val="none"/>
                <w:lang w:val="en-US" w:eastAsia="zh-CN"/>
              </w:rPr>
              <w:t>0</w:t>
            </w:r>
            <w:r>
              <w:rPr>
                <w:rFonts w:hint="eastAsia" w:ascii="宋体" w:hAnsi="宋体" w:eastAsia="宋体"/>
                <w:color w:val="auto"/>
                <w:kern w:val="0"/>
                <w:szCs w:val="21"/>
                <w:highlight w:val="none"/>
              </w:rPr>
              <w:t>分）</w:t>
            </w:r>
          </w:p>
        </w:tc>
        <w:tc>
          <w:tcPr>
            <w:tcW w:w="4046" w:type="pct"/>
            <w:noWrap w:val="0"/>
            <w:vAlign w:val="top"/>
          </w:tcPr>
          <w:p w14:paraId="07AC52D2">
            <w:pPr>
              <w:widowControl/>
              <w:wordWrap w:val="0"/>
              <w:overflowPunct w:val="0"/>
              <w:topLinePunct/>
              <w:spacing w:line="360" w:lineRule="auto"/>
              <w:ind w:firstLine="315" w:firstLineChars="150"/>
              <w:rPr>
                <w:rFonts w:hint="eastAsia" w:ascii="宋体" w:hAnsi="宋体" w:eastAsia="宋体" w:cs="Courier New"/>
                <w:bCs/>
                <w:color w:val="auto"/>
                <w:szCs w:val="21"/>
                <w:highlight w:val="none"/>
              </w:rPr>
            </w:pPr>
            <w:r>
              <w:rPr>
                <w:rFonts w:hint="eastAsia" w:ascii="宋体" w:hAnsi="宋体" w:eastAsia="宋体" w:cs="Courier New"/>
                <w:bCs/>
                <w:color w:val="auto"/>
                <w:szCs w:val="21"/>
                <w:highlight w:val="none"/>
              </w:rPr>
              <w:t>（1）评审报价为供应商的报价进行政策性扣除后的价格，评审报价只是作为评审时使用。最终成交人的成交金额等于竞标报价。</w:t>
            </w:r>
          </w:p>
          <w:p w14:paraId="70D6CF8E">
            <w:pPr>
              <w:widowControl/>
              <w:wordWrap w:val="0"/>
              <w:overflowPunct w:val="0"/>
              <w:topLinePunct/>
              <w:spacing w:line="360" w:lineRule="auto"/>
              <w:ind w:firstLine="315" w:firstLineChars="150"/>
              <w:rPr>
                <w:rFonts w:hint="eastAsia" w:ascii="宋体" w:hAnsi="宋体" w:eastAsia="宋体" w:cs="Courier New"/>
                <w:bCs/>
                <w:color w:val="auto"/>
                <w:szCs w:val="21"/>
                <w:highlight w:val="none"/>
              </w:rPr>
            </w:pPr>
            <w:r>
              <w:rPr>
                <w:rFonts w:hint="eastAsia" w:ascii="宋体" w:hAnsi="宋体" w:eastAsia="宋体" w:cs="Courier New"/>
                <w:bCs/>
                <w:color w:val="auto"/>
                <w:szCs w:val="21"/>
                <w:highlight w:val="none"/>
              </w:rPr>
              <w:t>（2）以进入综合评分环节的最低的评审报价为基准价，基准价报价得分为10分。</w:t>
            </w:r>
          </w:p>
          <w:p w14:paraId="66971F6D">
            <w:pPr>
              <w:widowControl/>
              <w:wordWrap w:val="0"/>
              <w:overflowPunct w:val="0"/>
              <w:topLinePunct/>
              <w:spacing w:line="360" w:lineRule="auto"/>
              <w:ind w:firstLine="315" w:firstLineChars="150"/>
              <w:rPr>
                <w:rFonts w:ascii="宋体" w:hAnsi="宋体" w:eastAsia="宋体"/>
                <w:color w:val="auto"/>
                <w:highlight w:val="none"/>
              </w:rPr>
            </w:pPr>
            <w:r>
              <w:rPr>
                <w:rFonts w:hint="eastAsia" w:ascii="宋体" w:hAnsi="宋体" w:eastAsia="宋体" w:cs="Courier New"/>
                <w:bCs/>
                <w:color w:val="auto"/>
                <w:szCs w:val="21"/>
                <w:highlight w:val="none"/>
              </w:rPr>
              <w:t>（3）本项目为</w:t>
            </w:r>
            <w:r>
              <w:rPr>
                <w:rFonts w:hint="eastAsia" w:ascii="宋体" w:hAnsi="宋体" w:eastAsia="宋体"/>
                <w:color w:val="auto"/>
                <w:highlight w:val="none"/>
              </w:rPr>
              <w:t>专门面向中小企业的项目，</w:t>
            </w:r>
            <w:r>
              <w:rPr>
                <w:rFonts w:hint="eastAsia" w:ascii="宋体" w:hAnsi="宋体" w:eastAsia="宋体" w:cs="宋体"/>
                <w:color w:val="auto"/>
                <w:highlight w:val="none"/>
              </w:rPr>
              <w:t>评审</w:t>
            </w:r>
            <w:r>
              <w:rPr>
                <w:rFonts w:hint="eastAsia" w:ascii="宋体" w:hAnsi="宋体" w:eastAsia="宋体"/>
                <w:color w:val="auto"/>
                <w:highlight w:val="none"/>
              </w:rPr>
              <w:t>时所有供应商的报价不予进行政策性价格折扣。</w:t>
            </w:r>
          </w:p>
          <w:p w14:paraId="7B3CEB92">
            <w:pPr>
              <w:widowControl/>
              <w:wordWrap w:val="0"/>
              <w:overflowPunct w:val="0"/>
              <w:topLinePunct/>
              <w:spacing w:line="360" w:lineRule="auto"/>
              <w:ind w:firstLine="315" w:firstLineChars="150"/>
              <w:rPr>
                <w:rFonts w:ascii="宋体" w:hAnsi="宋体" w:eastAsia="宋体" w:cs="Courier New"/>
                <w:bCs/>
                <w:color w:val="auto"/>
                <w:szCs w:val="21"/>
                <w:highlight w:val="none"/>
              </w:rPr>
            </w:pPr>
            <w:r>
              <w:rPr>
                <w:rFonts w:hint="eastAsia" w:ascii="宋体" w:hAnsi="宋体" w:eastAsia="宋体" w:cs="Courier New"/>
                <w:bCs/>
                <w:color w:val="auto"/>
                <w:szCs w:val="21"/>
                <w:highlight w:val="none"/>
              </w:rPr>
              <w:t>按照《关于政府采购支持监狱企业发展有关问题的通知》（财库〔</w:t>
            </w:r>
            <w:r>
              <w:rPr>
                <w:rFonts w:ascii="宋体" w:hAnsi="宋体" w:eastAsia="宋体" w:cs="Courier New"/>
                <w:bCs/>
                <w:color w:val="auto"/>
                <w:szCs w:val="21"/>
                <w:highlight w:val="none"/>
              </w:rPr>
              <w:t>2014</w:t>
            </w:r>
            <w:r>
              <w:rPr>
                <w:rFonts w:hint="eastAsia" w:ascii="宋体" w:hAnsi="宋体" w:eastAsia="宋体" w:cs="Courier New"/>
                <w:bCs/>
                <w:color w:val="auto"/>
                <w:szCs w:val="21"/>
                <w:highlight w:val="none"/>
              </w:rPr>
              <w:t>〕</w:t>
            </w:r>
            <w:r>
              <w:rPr>
                <w:rFonts w:ascii="宋体" w:hAnsi="宋体" w:eastAsia="宋体" w:cs="Courier New"/>
                <w:bCs/>
                <w:color w:val="auto"/>
                <w:szCs w:val="21"/>
                <w:highlight w:val="none"/>
              </w:rPr>
              <w:t xml:space="preserve">68 </w:t>
            </w:r>
            <w:r>
              <w:rPr>
                <w:rFonts w:hint="eastAsia" w:ascii="宋体" w:hAnsi="宋体" w:eastAsia="宋体" w:cs="Courier New"/>
                <w:bCs/>
                <w:color w:val="auto"/>
                <w:szCs w:val="21"/>
                <w:highlight w:val="none"/>
              </w:rPr>
              <w:t>号）认定为监狱企业的，在政府采购活动中，监狱企业视同小型、微型企业。监狱企业参加政府采购活动时，应当提供由省级以上监狱管理局、戒毒管理局（含新疆生产建设兵团）出具的属于监狱企业的证明文件。</w:t>
            </w:r>
          </w:p>
          <w:p w14:paraId="45642E6B">
            <w:pPr>
              <w:widowControl/>
              <w:wordWrap w:val="0"/>
              <w:overflowPunct w:val="0"/>
              <w:topLinePunct/>
              <w:spacing w:line="360" w:lineRule="auto"/>
              <w:ind w:firstLine="315" w:firstLineChars="150"/>
              <w:rPr>
                <w:rFonts w:hint="eastAsia" w:ascii="宋体" w:hAnsi="宋体" w:eastAsia="宋体" w:cs="Courier New"/>
                <w:bCs/>
                <w:color w:val="auto"/>
                <w:szCs w:val="21"/>
                <w:highlight w:val="none"/>
              </w:rPr>
            </w:pPr>
            <w:r>
              <w:rPr>
                <w:rFonts w:hint="eastAsia" w:ascii="宋体" w:hAnsi="宋体" w:eastAsia="宋体" w:cs="Courier New"/>
                <w:bCs/>
                <w:color w:val="auto"/>
                <w:szCs w:val="21"/>
                <w:highlight w:val="none"/>
              </w:rPr>
              <w:t>符合《关于促进残疾人就业政府采购政策的通知》</w:t>
            </w:r>
            <w:r>
              <w:rPr>
                <w:rFonts w:ascii="宋体" w:hAnsi="宋体" w:eastAsia="宋体" w:cs="Courier New"/>
                <w:bCs/>
                <w:color w:val="auto"/>
                <w:szCs w:val="21"/>
                <w:highlight w:val="none"/>
              </w:rPr>
              <w:t>(</w:t>
            </w:r>
            <w:r>
              <w:rPr>
                <w:rFonts w:hint="eastAsia" w:ascii="宋体" w:hAnsi="宋体" w:eastAsia="宋体" w:cs="Courier New"/>
                <w:bCs/>
                <w:color w:val="auto"/>
                <w:szCs w:val="21"/>
                <w:highlight w:val="none"/>
              </w:rPr>
              <w:t>财库〔</w:t>
            </w:r>
            <w:r>
              <w:rPr>
                <w:rFonts w:ascii="宋体" w:hAnsi="宋体" w:eastAsia="宋体" w:cs="Courier New"/>
                <w:bCs/>
                <w:color w:val="auto"/>
                <w:szCs w:val="21"/>
                <w:highlight w:val="none"/>
              </w:rPr>
              <w:t>2017</w:t>
            </w:r>
            <w:r>
              <w:rPr>
                <w:rFonts w:hint="eastAsia" w:ascii="宋体" w:hAnsi="宋体" w:eastAsia="宋体" w:cs="Courier New"/>
                <w:bCs/>
                <w:color w:val="auto"/>
                <w:szCs w:val="21"/>
                <w:highlight w:val="none"/>
              </w:rPr>
              <w:t>〕</w:t>
            </w:r>
            <w:r>
              <w:rPr>
                <w:rFonts w:ascii="宋体" w:hAnsi="宋体" w:eastAsia="宋体" w:cs="Courier New"/>
                <w:bCs/>
                <w:color w:val="auto"/>
                <w:szCs w:val="21"/>
                <w:highlight w:val="none"/>
              </w:rPr>
              <w:t xml:space="preserve">141 </w:t>
            </w:r>
            <w:r>
              <w:rPr>
                <w:rFonts w:hint="eastAsia" w:ascii="宋体" w:hAnsi="宋体" w:eastAsia="宋体" w:cs="Courier New"/>
                <w:bCs/>
                <w:color w:val="auto"/>
                <w:szCs w:val="21"/>
                <w:highlight w:val="none"/>
              </w:rPr>
              <w:t>号</w:t>
            </w:r>
            <w:r>
              <w:rPr>
                <w:rFonts w:ascii="宋体" w:hAnsi="宋体" w:eastAsia="宋体" w:cs="Courier New"/>
                <w:bCs/>
                <w:color w:val="auto"/>
                <w:szCs w:val="21"/>
                <w:highlight w:val="none"/>
              </w:rPr>
              <w:t>)</w:t>
            </w:r>
            <w:r>
              <w:rPr>
                <w:rFonts w:hint="eastAsia" w:ascii="宋体" w:hAnsi="宋体" w:eastAsia="宋体" w:cs="Courier New"/>
                <w:bCs/>
                <w:color w:val="auto"/>
                <w:szCs w:val="21"/>
                <w:highlight w:val="none"/>
              </w:rPr>
              <w:t>规定条件，认定为残疾人福利性单位的，在政府采购活动中，残疾人福利性单位视同小型、微型企业。残疾人福利性单位参加政府采购活动时，应当提供该通知规定的《残疾人福利性单位声明函》，并对声明的真实性负责。成交人为残疾人福利性单位的，随成交结果公告其《残疾人福利性单位声明函》，接受社会监督。</w:t>
            </w:r>
          </w:p>
          <w:p w14:paraId="2C63D209">
            <w:pPr>
              <w:widowControl/>
              <w:wordWrap w:val="0"/>
              <w:overflowPunct w:val="0"/>
              <w:topLinePunct/>
              <w:spacing w:line="360" w:lineRule="auto"/>
              <w:ind w:firstLine="315" w:firstLineChars="150"/>
              <w:rPr>
                <w:rFonts w:hint="eastAsia" w:ascii="宋体" w:hAnsi="宋体" w:eastAsia="宋体" w:cs="Courier New"/>
                <w:bCs/>
                <w:color w:val="auto"/>
                <w:szCs w:val="21"/>
                <w:highlight w:val="none"/>
              </w:rPr>
            </w:pPr>
            <w:r>
              <w:rPr>
                <w:rFonts w:hint="eastAsia" w:ascii="宋体" w:hAnsi="宋体" w:eastAsia="宋体" w:cs="Courier New"/>
                <w:bCs/>
                <w:color w:val="auto"/>
                <w:szCs w:val="21"/>
                <w:highlight w:val="none"/>
              </w:rPr>
              <w:t>（4）价格分计算公式：</w:t>
            </w:r>
          </w:p>
          <w:p w14:paraId="6CE2C32F">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Courier New"/>
                <w:bCs/>
                <w:color w:val="auto"/>
                <w:szCs w:val="21"/>
                <w:highlight w:val="none"/>
              </w:rPr>
              <w:t>某供应商价格分＝基准价／某供应商评审报价金额×10分</w:t>
            </w:r>
          </w:p>
        </w:tc>
      </w:tr>
      <w:tr w14:paraId="63690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6" w:type="pct"/>
            <w:noWrap w:val="0"/>
            <w:vAlign w:val="center"/>
          </w:tcPr>
          <w:p w14:paraId="6DA8AC96">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2</w:t>
            </w:r>
          </w:p>
        </w:tc>
        <w:tc>
          <w:tcPr>
            <w:tcW w:w="636" w:type="pct"/>
            <w:noWrap w:val="0"/>
            <w:vAlign w:val="center"/>
          </w:tcPr>
          <w:p w14:paraId="6C783F9A">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技术分</w:t>
            </w:r>
          </w:p>
        </w:tc>
        <w:tc>
          <w:tcPr>
            <w:tcW w:w="4046" w:type="pct"/>
            <w:noWrap w:val="0"/>
            <w:vAlign w:val="top"/>
          </w:tcPr>
          <w:p w14:paraId="6B5BF007">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bCs/>
                <w:color w:val="auto"/>
                <w:kern w:val="0"/>
                <w:szCs w:val="21"/>
                <w:highlight w:val="none"/>
              </w:rPr>
              <w:t>评分内容与标准</w:t>
            </w:r>
          </w:p>
        </w:tc>
      </w:tr>
      <w:tr w14:paraId="34F0E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16" w:type="pct"/>
            <w:noWrap w:val="0"/>
            <w:vAlign w:val="center"/>
          </w:tcPr>
          <w:p w14:paraId="0813AAEE">
            <w:pPr>
              <w:adjustRightInd w:val="0"/>
              <w:spacing w:line="360" w:lineRule="auto"/>
              <w:ind w:left="-105" w:leftChars="-50" w:right="-105" w:rightChars="-50"/>
              <w:jc w:val="center"/>
              <w:textAlignment w:val="baseline"/>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2.1</w:t>
            </w:r>
          </w:p>
        </w:tc>
        <w:tc>
          <w:tcPr>
            <w:tcW w:w="636" w:type="pct"/>
            <w:noWrap w:val="0"/>
            <w:vAlign w:val="center"/>
          </w:tcPr>
          <w:p w14:paraId="795B87D6">
            <w:pPr>
              <w:wordWrap w:val="0"/>
              <w:topLinePunct/>
              <w:spacing w:line="440" w:lineRule="exact"/>
              <w:jc w:val="center"/>
              <w:outlineLvl w:val="0"/>
              <w:rPr>
                <w:rFonts w:hint="eastAsia" w:ascii="宋体" w:hAnsi="宋体" w:eastAsia="宋体" w:cs="宋体"/>
                <w:bCs/>
                <w:color w:val="auto"/>
                <w:kern w:val="0"/>
                <w:szCs w:val="21"/>
                <w:highlight w:val="none"/>
                <w:lang w:val="en-US" w:eastAsia="zh-CN"/>
              </w:rPr>
            </w:pPr>
            <w:r>
              <w:rPr>
                <w:rFonts w:hint="eastAsia" w:ascii="宋体" w:hAnsi="宋体" w:eastAsia="宋体"/>
                <w:color w:val="auto"/>
                <w:kern w:val="0"/>
                <w:szCs w:val="21"/>
                <w:highlight w:val="none"/>
              </w:rPr>
              <w:t>项目理解（满分15分）</w:t>
            </w:r>
          </w:p>
        </w:tc>
        <w:tc>
          <w:tcPr>
            <w:tcW w:w="4046" w:type="pct"/>
            <w:noWrap w:val="0"/>
            <w:vAlign w:val="center"/>
          </w:tcPr>
          <w:p w14:paraId="3C03E345">
            <w:pPr>
              <w:spacing w:line="360" w:lineRule="auto"/>
              <w:jc w:val="left"/>
              <w:rPr>
                <w:rFonts w:hint="eastAsia" w:ascii="宋体" w:hAnsi="宋体" w:eastAsia="宋体" w:cs="仿宋"/>
                <w:bCs/>
                <w:color w:val="auto"/>
                <w:szCs w:val="21"/>
                <w:highlight w:val="none"/>
              </w:rPr>
            </w:pPr>
            <w:r>
              <w:rPr>
                <w:rFonts w:hint="eastAsia" w:ascii="宋体" w:hAnsi="宋体" w:cs="仿宋"/>
                <w:bCs/>
                <w:color w:val="auto"/>
                <w:szCs w:val="21"/>
                <w:highlight w:val="none"/>
                <w:lang w:val="en-US" w:eastAsia="zh-CN"/>
              </w:rPr>
              <w:t>一</w:t>
            </w:r>
            <w:r>
              <w:rPr>
                <w:rFonts w:hint="eastAsia" w:ascii="宋体" w:hAnsi="宋体" w:eastAsia="宋体" w:cs="仿宋"/>
                <w:bCs/>
                <w:color w:val="auto"/>
                <w:szCs w:val="21"/>
                <w:highlight w:val="none"/>
              </w:rPr>
              <w:t>档（5分）：对项目概况、布展定位与展陈需求理解</w:t>
            </w:r>
            <w:r>
              <w:rPr>
                <w:rFonts w:hint="eastAsia" w:ascii="宋体" w:hAnsi="宋体" w:cs="仿宋"/>
                <w:bCs/>
                <w:color w:val="auto"/>
                <w:szCs w:val="21"/>
                <w:highlight w:val="none"/>
                <w:lang w:val="en-US" w:eastAsia="zh-CN"/>
              </w:rPr>
              <w:t>简单</w:t>
            </w:r>
            <w:r>
              <w:rPr>
                <w:rFonts w:hint="eastAsia" w:ascii="宋体" w:hAnsi="宋体" w:eastAsia="宋体" w:cs="仿宋"/>
                <w:bCs/>
                <w:color w:val="auto"/>
                <w:szCs w:val="21"/>
                <w:highlight w:val="none"/>
              </w:rPr>
              <w:t>，思路不够清晰，但整体的形式方案设计构思表达基本完整；</w:t>
            </w:r>
          </w:p>
          <w:p w14:paraId="715512B5">
            <w:pPr>
              <w:spacing w:line="360" w:lineRule="auto"/>
              <w:jc w:val="left"/>
              <w:rPr>
                <w:rFonts w:hint="eastAsia" w:ascii="宋体" w:hAnsi="宋体" w:eastAsia="宋体" w:cs="仿宋"/>
                <w:bCs/>
                <w:color w:val="auto"/>
                <w:szCs w:val="21"/>
                <w:highlight w:val="none"/>
              </w:rPr>
            </w:pPr>
            <w:r>
              <w:rPr>
                <w:rFonts w:hint="eastAsia" w:ascii="宋体" w:hAnsi="宋体" w:eastAsia="宋体" w:cs="仿宋"/>
                <w:bCs/>
                <w:color w:val="auto"/>
                <w:szCs w:val="21"/>
                <w:highlight w:val="none"/>
              </w:rPr>
              <w:t>二档（10分）：对项目概况、布展定位与展陈需求的理解</w:t>
            </w:r>
            <w:r>
              <w:rPr>
                <w:rFonts w:hint="eastAsia" w:ascii="宋体" w:hAnsi="宋体" w:cs="仿宋"/>
                <w:bCs/>
                <w:color w:val="auto"/>
                <w:szCs w:val="21"/>
                <w:highlight w:val="none"/>
                <w:lang w:val="en-US" w:eastAsia="zh-CN"/>
              </w:rPr>
              <w:t>符合项目要求</w:t>
            </w:r>
            <w:r>
              <w:rPr>
                <w:rFonts w:hint="eastAsia" w:ascii="宋体" w:hAnsi="宋体" w:eastAsia="宋体" w:cs="仿宋"/>
                <w:bCs/>
                <w:color w:val="auto"/>
                <w:szCs w:val="21"/>
                <w:highlight w:val="none"/>
              </w:rPr>
              <w:t>，整体的形式方案设计构思表达清楚、思路清晰，针对本项目的各项重难点工作要求理解准，得10分；</w:t>
            </w:r>
          </w:p>
          <w:p w14:paraId="3DDF5685">
            <w:pPr>
              <w:spacing w:line="360" w:lineRule="auto"/>
              <w:jc w:val="left"/>
              <w:rPr>
                <w:rFonts w:hint="eastAsia" w:ascii="宋体" w:hAnsi="宋体" w:cs="仿宋"/>
                <w:bCs/>
                <w:color w:val="auto"/>
                <w:szCs w:val="21"/>
                <w:highlight w:val="none"/>
                <w:lang w:eastAsia="zh-CN"/>
              </w:rPr>
            </w:pPr>
            <w:r>
              <w:rPr>
                <w:rFonts w:hint="eastAsia" w:ascii="宋体" w:hAnsi="宋体" w:cs="仿宋"/>
                <w:bCs/>
                <w:color w:val="auto"/>
                <w:szCs w:val="21"/>
                <w:highlight w:val="none"/>
                <w:lang w:val="en-US" w:eastAsia="zh-CN"/>
              </w:rPr>
              <w:t>三</w:t>
            </w:r>
            <w:r>
              <w:rPr>
                <w:rFonts w:hint="eastAsia" w:ascii="宋体" w:hAnsi="宋体" w:eastAsia="宋体" w:cs="仿宋"/>
                <w:bCs/>
                <w:color w:val="auto"/>
                <w:szCs w:val="21"/>
                <w:highlight w:val="none"/>
              </w:rPr>
              <w:t>档（15分）：对项目概况、展览内容、布展定位与布展需求的理解非常透彻，整体的形式方案设计构思表达清楚、思路清晰，</w:t>
            </w:r>
            <w:r>
              <w:rPr>
                <w:rFonts w:hint="eastAsia" w:ascii="宋体" w:hAnsi="宋体" w:cs="仿宋"/>
                <w:bCs/>
                <w:color w:val="auto"/>
                <w:szCs w:val="21"/>
                <w:highlight w:val="none"/>
                <w:lang w:val="en-US" w:eastAsia="zh-CN"/>
              </w:rPr>
              <w:t>对项目可能存在的风险提出针对性的风险控制措施</w:t>
            </w:r>
            <w:r>
              <w:rPr>
                <w:rFonts w:hint="eastAsia" w:ascii="宋体" w:hAnsi="宋体" w:eastAsia="宋体" w:cs="仿宋"/>
                <w:bCs/>
                <w:color w:val="auto"/>
                <w:szCs w:val="21"/>
                <w:highlight w:val="none"/>
              </w:rPr>
              <w:t>，针对本项目的各项重难点工作要求理解准确、全面</w:t>
            </w:r>
            <w:r>
              <w:rPr>
                <w:rFonts w:hint="eastAsia" w:ascii="宋体" w:hAnsi="宋体" w:cs="仿宋"/>
                <w:bCs/>
                <w:color w:val="auto"/>
                <w:szCs w:val="21"/>
                <w:highlight w:val="none"/>
                <w:lang w:eastAsia="zh-CN"/>
              </w:rPr>
              <w:t>，</w:t>
            </w:r>
            <w:r>
              <w:rPr>
                <w:rFonts w:hint="eastAsia" w:ascii="宋体" w:hAnsi="宋体" w:eastAsia="宋体" w:cs="仿宋"/>
                <w:bCs/>
                <w:color w:val="auto"/>
                <w:szCs w:val="21"/>
                <w:highlight w:val="none"/>
              </w:rPr>
              <w:t>得15分</w:t>
            </w:r>
            <w:r>
              <w:rPr>
                <w:rFonts w:hint="eastAsia" w:ascii="宋体" w:hAnsi="宋体" w:cs="仿宋"/>
                <w:bCs/>
                <w:color w:val="auto"/>
                <w:szCs w:val="21"/>
                <w:highlight w:val="none"/>
                <w:lang w:eastAsia="zh-CN"/>
              </w:rPr>
              <w:t>。</w:t>
            </w:r>
          </w:p>
          <w:p w14:paraId="2708194E">
            <w:pPr>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Cs w:val="21"/>
                <w:highlight w:val="none"/>
                <w:lang w:val="en-US" w:eastAsia="zh-CN"/>
              </w:rPr>
              <w:t>注：</w:t>
            </w:r>
            <w:r>
              <w:rPr>
                <w:rFonts w:hint="eastAsia" w:ascii="宋体" w:hAnsi="宋体" w:eastAsia="宋体" w:cs="宋体"/>
                <w:color w:val="auto"/>
                <w:szCs w:val="21"/>
                <w:highlight w:val="none"/>
              </w:rPr>
              <w:t>未提供</w:t>
            </w:r>
            <w:r>
              <w:rPr>
                <w:rFonts w:hint="eastAsia" w:ascii="宋体" w:hAnsi="宋体" w:cs="宋体"/>
                <w:color w:val="auto"/>
                <w:szCs w:val="21"/>
                <w:highlight w:val="none"/>
                <w:lang w:val="en-US" w:eastAsia="zh-CN"/>
              </w:rPr>
              <w:t>该项</w:t>
            </w:r>
            <w:r>
              <w:rPr>
                <w:rFonts w:hint="eastAsia" w:ascii="宋体" w:hAnsi="宋体" w:eastAsia="宋体" w:cs="宋体"/>
                <w:color w:val="auto"/>
                <w:szCs w:val="21"/>
                <w:highlight w:val="none"/>
              </w:rPr>
              <w:t>方案</w:t>
            </w:r>
            <w:r>
              <w:rPr>
                <w:rFonts w:hint="eastAsia" w:ascii="宋体" w:hAnsi="宋体" w:cs="宋体"/>
                <w:color w:val="auto"/>
                <w:szCs w:val="21"/>
                <w:highlight w:val="none"/>
                <w:lang w:val="en-US" w:eastAsia="zh-CN"/>
              </w:rPr>
              <w:t>或未达到最低档要求不得分</w:t>
            </w:r>
            <w:r>
              <w:rPr>
                <w:rFonts w:hint="eastAsia" w:ascii="宋体" w:hAnsi="宋体" w:eastAsia="宋体" w:cs="宋体"/>
                <w:color w:val="auto"/>
                <w:szCs w:val="21"/>
                <w:highlight w:val="none"/>
                <w:lang w:eastAsia="zh-CN"/>
              </w:rPr>
              <w:t>。</w:t>
            </w:r>
          </w:p>
        </w:tc>
      </w:tr>
      <w:tr w14:paraId="62EF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16" w:type="pct"/>
            <w:noWrap w:val="0"/>
            <w:vAlign w:val="center"/>
          </w:tcPr>
          <w:p w14:paraId="761718C6">
            <w:pPr>
              <w:adjustRightInd w:val="0"/>
              <w:spacing w:line="360" w:lineRule="auto"/>
              <w:ind w:left="-105" w:leftChars="-50" w:right="-105" w:rightChars="-50"/>
              <w:jc w:val="center"/>
              <w:textAlignment w:val="baseline"/>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2.2</w:t>
            </w:r>
          </w:p>
        </w:tc>
        <w:tc>
          <w:tcPr>
            <w:tcW w:w="636" w:type="pct"/>
            <w:noWrap w:val="0"/>
            <w:vAlign w:val="center"/>
          </w:tcPr>
          <w:p w14:paraId="2D17F8F5">
            <w:pPr>
              <w:adjustRightInd w:val="0"/>
              <w:spacing w:line="360" w:lineRule="auto"/>
              <w:textAlignment w:val="baseline"/>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实施</w:t>
            </w:r>
            <w:r>
              <w:rPr>
                <w:rFonts w:hint="eastAsia" w:ascii="宋体" w:hAnsi="宋体" w:eastAsia="宋体" w:cs="宋体"/>
                <w:bCs/>
                <w:color w:val="auto"/>
                <w:kern w:val="0"/>
                <w:szCs w:val="21"/>
                <w:highlight w:val="none"/>
              </w:rPr>
              <w:t>方案分（满分</w:t>
            </w:r>
            <w:r>
              <w:rPr>
                <w:rFonts w:hint="eastAsia" w:ascii="宋体" w:hAnsi="宋体" w:cs="宋体"/>
                <w:bCs/>
                <w:color w:val="auto"/>
                <w:kern w:val="0"/>
                <w:szCs w:val="21"/>
                <w:highlight w:val="none"/>
                <w:lang w:val="en-US" w:eastAsia="zh-CN"/>
              </w:rPr>
              <w:t>20</w:t>
            </w:r>
            <w:r>
              <w:rPr>
                <w:rFonts w:hint="eastAsia" w:ascii="宋体" w:hAnsi="宋体" w:eastAsia="宋体" w:cs="宋体"/>
                <w:bCs/>
                <w:color w:val="auto"/>
                <w:kern w:val="0"/>
                <w:szCs w:val="21"/>
                <w:highlight w:val="none"/>
              </w:rPr>
              <w:t>分）</w:t>
            </w:r>
          </w:p>
        </w:tc>
        <w:tc>
          <w:tcPr>
            <w:tcW w:w="4046" w:type="pct"/>
            <w:noWrap w:val="0"/>
            <w:vAlign w:val="center"/>
          </w:tcPr>
          <w:p w14:paraId="40F2BD2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一档（</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提供项目实施方案，含有实施流程</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基本满足项目实施要求</w:t>
            </w:r>
            <w:r>
              <w:rPr>
                <w:rFonts w:hint="eastAsia" w:ascii="宋体" w:hAnsi="宋体" w:eastAsia="宋体" w:cs="宋体"/>
                <w:color w:val="auto"/>
                <w:szCs w:val="21"/>
                <w:highlight w:val="none"/>
                <w:lang w:eastAsia="zh-CN"/>
              </w:rPr>
              <w:t>。</w:t>
            </w:r>
          </w:p>
          <w:p w14:paraId="5211F2D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二档（</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提供项目实施方案，包含</w:t>
            </w:r>
            <w:r>
              <w:rPr>
                <w:rFonts w:hint="eastAsia" w:ascii="宋体" w:hAnsi="宋体" w:eastAsia="宋体" w:cs="宋体"/>
                <w:color w:val="auto"/>
                <w:szCs w:val="21"/>
                <w:highlight w:val="none"/>
              </w:rPr>
              <w:t>实施目标、实施步骤、实施进度、人员配置及分工、风险识别和应对策略</w:t>
            </w:r>
            <w:r>
              <w:rPr>
                <w:rFonts w:hint="eastAsia" w:ascii="宋体" w:hAnsi="宋体" w:eastAsia="宋体" w:cs="宋体"/>
                <w:color w:val="auto"/>
                <w:szCs w:val="21"/>
                <w:highlight w:val="none"/>
                <w:lang w:eastAsia="zh-CN"/>
              </w:rPr>
              <w:t>。</w:t>
            </w:r>
          </w:p>
          <w:p w14:paraId="09B3697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三档（</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提供项目实施方案，能描述本项目实施流程，有针对性</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实施方案包含实施目标、实施步骤、实施进度、布展用料方案、</w:t>
            </w:r>
            <w:r>
              <w:rPr>
                <w:rFonts w:hint="eastAsia" w:ascii="宋体" w:hAnsi="宋体" w:cs="宋体"/>
                <w:color w:val="auto"/>
                <w:szCs w:val="21"/>
                <w:highlight w:val="none"/>
                <w:lang w:val="en-US" w:eastAsia="zh-CN"/>
              </w:rPr>
              <w:t>装裱工艺需手工浆糊托底上板、装裱场地达300平米以上、</w:t>
            </w:r>
            <w:r>
              <w:rPr>
                <w:rFonts w:hint="eastAsia" w:ascii="宋体" w:hAnsi="宋体" w:eastAsia="宋体" w:cs="宋体"/>
                <w:color w:val="auto"/>
                <w:szCs w:val="21"/>
                <w:highlight w:val="none"/>
                <w:lang w:val="en-US" w:eastAsia="zh-CN"/>
              </w:rPr>
              <w:t>展览维护方案、人员配置及分工、风险识别和应对策略等，且能展开描述，对服务质量有控制方案和措施。</w:t>
            </w:r>
          </w:p>
          <w:p w14:paraId="5829F75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Cs w:val="21"/>
                <w:highlight w:val="none"/>
                <w:lang w:val="en-US" w:eastAsia="zh-CN"/>
              </w:rPr>
              <w:t>注：</w:t>
            </w:r>
            <w:r>
              <w:rPr>
                <w:rFonts w:hint="eastAsia" w:ascii="宋体" w:hAnsi="宋体" w:eastAsia="宋体" w:cs="宋体"/>
                <w:color w:val="auto"/>
                <w:szCs w:val="21"/>
                <w:highlight w:val="none"/>
              </w:rPr>
              <w:t>未提供</w:t>
            </w:r>
            <w:r>
              <w:rPr>
                <w:rFonts w:hint="eastAsia" w:ascii="宋体" w:hAnsi="宋体" w:cs="宋体"/>
                <w:color w:val="auto"/>
                <w:szCs w:val="21"/>
                <w:highlight w:val="none"/>
                <w:lang w:val="en-US" w:eastAsia="zh-CN"/>
              </w:rPr>
              <w:t>该项</w:t>
            </w:r>
            <w:r>
              <w:rPr>
                <w:rFonts w:hint="eastAsia" w:ascii="宋体" w:hAnsi="宋体" w:eastAsia="宋体" w:cs="宋体"/>
                <w:color w:val="auto"/>
                <w:szCs w:val="21"/>
                <w:highlight w:val="none"/>
              </w:rPr>
              <w:t>方案</w:t>
            </w:r>
            <w:r>
              <w:rPr>
                <w:rFonts w:hint="eastAsia" w:ascii="宋体" w:hAnsi="宋体" w:cs="宋体"/>
                <w:color w:val="auto"/>
                <w:szCs w:val="21"/>
                <w:highlight w:val="none"/>
                <w:lang w:val="en-US" w:eastAsia="zh-CN"/>
              </w:rPr>
              <w:t>或未达到最低档要求不得分</w:t>
            </w:r>
            <w:r>
              <w:rPr>
                <w:rFonts w:hint="eastAsia" w:ascii="宋体" w:hAnsi="宋体" w:eastAsia="宋体" w:cs="宋体"/>
                <w:color w:val="auto"/>
                <w:szCs w:val="21"/>
                <w:highlight w:val="none"/>
                <w:lang w:eastAsia="zh-CN"/>
              </w:rPr>
              <w:t>。</w:t>
            </w:r>
          </w:p>
        </w:tc>
      </w:tr>
      <w:tr w14:paraId="4405E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316" w:type="pct"/>
            <w:noWrap w:val="0"/>
            <w:vAlign w:val="center"/>
          </w:tcPr>
          <w:p w14:paraId="66ACCECD">
            <w:pPr>
              <w:adjustRightInd w:val="0"/>
              <w:spacing w:line="360" w:lineRule="auto"/>
              <w:ind w:left="-105" w:leftChars="-50" w:right="-105" w:rightChars="-50"/>
              <w:jc w:val="center"/>
              <w:textAlignment w:val="baseline"/>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2.</w:t>
            </w:r>
            <w:r>
              <w:rPr>
                <w:rFonts w:hint="eastAsia" w:ascii="宋体" w:hAnsi="宋体" w:cs="宋体"/>
                <w:bCs/>
                <w:color w:val="auto"/>
                <w:kern w:val="0"/>
                <w:szCs w:val="21"/>
                <w:highlight w:val="none"/>
                <w:lang w:val="en-US" w:eastAsia="zh-CN"/>
              </w:rPr>
              <w:t>3</w:t>
            </w:r>
          </w:p>
        </w:tc>
        <w:tc>
          <w:tcPr>
            <w:tcW w:w="636" w:type="pct"/>
            <w:noWrap w:val="0"/>
            <w:vAlign w:val="center"/>
          </w:tcPr>
          <w:p w14:paraId="3C55B00A">
            <w:pPr>
              <w:spacing w:before="156" w:beforeLines="50" w:after="156" w:afterLines="50" w:line="336" w:lineRule="auto"/>
              <w:jc w:val="both"/>
              <w:outlineLvl w:val="1"/>
              <w:rPr>
                <w:rFonts w:hint="eastAsia" w:ascii="宋体" w:hAnsi="宋体" w:eastAsia="宋体" w:cs="宋体"/>
                <w:bCs/>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设计方案与总体效果分（满分</w:t>
            </w:r>
            <w:r>
              <w:rPr>
                <w:rFonts w:hint="eastAsia" w:ascii="宋体" w:hAnsi="宋体" w:cs="宋体"/>
                <w:color w:val="auto"/>
                <w:sz w:val="21"/>
                <w:szCs w:val="21"/>
                <w:highlight w:val="none"/>
                <w:lang w:val="en-US" w:eastAsia="zh-CN" w:bidi="ar-SA"/>
              </w:rPr>
              <w:t>20</w:t>
            </w:r>
            <w:r>
              <w:rPr>
                <w:rFonts w:hint="eastAsia" w:ascii="宋体" w:hAnsi="宋体" w:eastAsia="宋体" w:cs="宋体"/>
                <w:color w:val="auto"/>
                <w:sz w:val="21"/>
                <w:szCs w:val="21"/>
                <w:highlight w:val="none"/>
                <w:lang w:val="en-US" w:eastAsia="zh-CN" w:bidi="ar-SA"/>
              </w:rPr>
              <w:t>分）</w:t>
            </w:r>
          </w:p>
        </w:tc>
        <w:tc>
          <w:tcPr>
            <w:tcW w:w="4046" w:type="pct"/>
            <w:noWrap w:val="0"/>
            <w:vAlign w:val="center"/>
          </w:tcPr>
          <w:p w14:paraId="694F64B6">
            <w:pPr>
              <w:keepNext w:val="0"/>
              <w:keepLines w:val="0"/>
              <w:pageBreakBefore w:val="0"/>
              <w:widowControl w:val="0"/>
              <w:tabs>
                <w:tab w:val="left" w:pos="632"/>
              </w:tab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lang w:val="en-US" w:eastAsia="zh-CN"/>
              </w:rPr>
              <w:t>一档（10分）</w:t>
            </w:r>
            <w:r>
              <w:rPr>
                <w:rFonts w:hint="eastAsia" w:ascii="宋体" w:hAnsi="宋体" w:eastAsia="宋体" w:cs="宋体"/>
                <w:color w:val="auto"/>
                <w:szCs w:val="21"/>
                <w:highlight w:val="none"/>
                <w:u w:val="none"/>
                <w:lang w:val="en-US" w:eastAsia="zh-CN"/>
              </w:rPr>
              <w:t>：设计效果基本符合</w:t>
            </w:r>
            <w:r>
              <w:rPr>
                <w:rFonts w:hint="eastAsia" w:ascii="宋体" w:hAnsi="宋体" w:cs="宋体"/>
                <w:color w:val="auto"/>
                <w:szCs w:val="21"/>
                <w:highlight w:val="none"/>
                <w:u w:val="none"/>
                <w:lang w:val="en-US" w:eastAsia="zh-CN"/>
              </w:rPr>
              <w:t>采购需求</w:t>
            </w:r>
            <w:r>
              <w:rPr>
                <w:rFonts w:hint="eastAsia" w:ascii="宋体" w:hAnsi="宋体" w:eastAsia="宋体" w:cs="宋体"/>
                <w:color w:val="auto"/>
                <w:szCs w:val="21"/>
                <w:highlight w:val="none"/>
                <w:u w:val="none"/>
                <w:lang w:val="en-US" w:eastAsia="zh-CN"/>
              </w:rPr>
              <w:t>的内容和形式，展厅设计能表达展示目的及意义，有设计效果图、施工图</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lang w:val="en-US" w:eastAsia="zh-CN"/>
              </w:rPr>
              <w:t>但设计图纸不够规范齐全，版面不够清晰；</w:t>
            </w:r>
          </w:p>
          <w:p w14:paraId="76CBBBA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二档（</w:t>
            </w:r>
            <w:r>
              <w:rPr>
                <w:rFonts w:hint="eastAsia" w:ascii="宋体" w:hAnsi="宋体" w:cs="宋体"/>
                <w:color w:val="auto"/>
                <w:szCs w:val="21"/>
                <w:highlight w:val="none"/>
                <w:u w:val="none"/>
                <w:lang w:val="en-US" w:eastAsia="zh-CN"/>
              </w:rPr>
              <w:t>15</w:t>
            </w:r>
            <w:r>
              <w:rPr>
                <w:rFonts w:hint="eastAsia" w:ascii="宋体" w:hAnsi="宋体" w:eastAsia="宋体" w:cs="宋体"/>
                <w:color w:val="auto"/>
                <w:szCs w:val="21"/>
                <w:highlight w:val="none"/>
                <w:u w:val="none"/>
                <w:lang w:val="en-US" w:eastAsia="zh-CN"/>
              </w:rPr>
              <w:t>分）：设计效果符合</w:t>
            </w:r>
            <w:r>
              <w:rPr>
                <w:rFonts w:hint="eastAsia" w:ascii="宋体" w:hAnsi="宋体" w:cs="宋体"/>
                <w:color w:val="auto"/>
                <w:szCs w:val="21"/>
                <w:highlight w:val="none"/>
                <w:u w:val="none"/>
                <w:lang w:val="en-US" w:eastAsia="zh-CN"/>
              </w:rPr>
              <w:t>采购需求</w:t>
            </w:r>
            <w:r>
              <w:rPr>
                <w:rFonts w:hint="eastAsia" w:ascii="宋体" w:hAnsi="宋体" w:eastAsia="宋体" w:cs="宋体"/>
                <w:color w:val="auto"/>
                <w:szCs w:val="21"/>
                <w:highlight w:val="none"/>
                <w:u w:val="none"/>
                <w:lang w:val="en-US" w:eastAsia="zh-CN"/>
              </w:rPr>
              <w:t>的内容和形式，展厅设计合理且能准确表达展示目的及意义；效果图、施工图设计方案整体效果切合主题，符合采购人的实际应用场所</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lang w:val="en-US" w:eastAsia="zh-CN"/>
              </w:rPr>
              <w:t>设计图纸规范齐全，版面清晰；</w:t>
            </w:r>
          </w:p>
          <w:p w14:paraId="1CE0BD1F">
            <w:pPr>
              <w:keepNext w:val="0"/>
              <w:keepLines w:val="0"/>
              <w:pageBreakBefore w:val="0"/>
              <w:widowControl w:val="0"/>
              <w:tabs>
                <w:tab w:val="left" w:pos="632"/>
              </w:tab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三档（</w:t>
            </w:r>
            <w:r>
              <w:rPr>
                <w:rFonts w:hint="eastAsia" w:ascii="宋体" w:hAnsi="宋体" w:cs="宋体"/>
                <w:color w:val="auto"/>
                <w:szCs w:val="21"/>
                <w:highlight w:val="none"/>
                <w:u w:val="none"/>
                <w:lang w:val="en-US" w:eastAsia="zh-CN"/>
              </w:rPr>
              <w:t>20</w:t>
            </w:r>
            <w:r>
              <w:rPr>
                <w:rFonts w:hint="eastAsia" w:ascii="宋体" w:hAnsi="宋体" w:eastAsia="宋体" w:cs="宋体"/>
                <w:color w:val="auto"/>
                <w:szCs w:val="21"/>
                <w:highlight w:val="none"/>
                <w:u w:val="none"/>
                <w:lang w:val="en-US" w:eastAsia="zh-CN"/>
              </w:rPr>
              <w:t>分）：设计效果完全符合</w:t>
            </w:r>
            <w:r>
              <w:rPr>
                <w:rFonts w:hint="eastAsia" w:ascii="宋体" w:hAnsi="宋体" w:cs="宋体"/>
                <w:color w:val="auto"/>
                <w:szCs w:val="21"/>
                <w:highlight w:val="none"/>
                <w:u w:val="none"/>
                <w:lang w:val="en-US" w:eastAsia="zh-CN"/>
              </w:rPr>
              <w:t>采购需求</w:t>
            </w:r>
            <w:r>
              <w:rPr>
                <w:rFonts w:hint="eastAsia" w:ascii="宋体" w:hAnsi="宋体" w:eastAsia="宋体" w:cs="宋体"/>
                <w:color w:val="auto"/>
                <w:szCs w:val="21"/>
                <w:highlight w:val="none"/>
                <w:u w:val="none"/>
                <w:lang w:val="en-US" w:eastAsia="zh-CN"/>
              </w:rPr>
              <w:t>的内容和形式，主题鲜明、有针对性，展厅设计合理且能很好地表达展示目的及意义；效果图、施工图设计方案整体效果切合主题，有对场馆的细节展示，步骤清晰，符合</w:t>
            </w:r>
            <w:r>
              <w:rPr>
                <w:rFonts w:hint="eastAsia" w:ascii="宋体" w:hAnsi="宋体" w:cs="宋体"/>
                <w:color w:val="auto"/>
                <w:szCs w:val="21"/>
                <w:highlight w:val="none"/>
                <w:u w:val="none"/>
                <w:lang w:val="en-US" w:eastAsia="zh-CN"/>
              </w:rPr>
              <w:t>展馆的</w:t>
            </w:r>
            <w:r>
              <w:rPr>
                <w:rFonts w:hint="eastAsia" w:ascii="宋体" w:hAnsi="宋体" w:eastAsia="宋体" w:cs="宋体"/>
                <w:color w:val="auto"/>
                <w:szCs w:val="21"/>
                <w:highlight w:val="none"/>
                <w:u w:val="none"/>
                <w:lang w:val="en-US" w:eastAsia="zh-CN"/>
              </w:rPr>
              <w:t>实际施工</w:t>
            </w:r>
            <w:r>
              <w:rPr>
                <w:rFonts w:hint="eastAsia" w:ascii="宋体" w:hAnsi="宋体" w:cs="宋体"/>
                <w:color w:val="auto"/>
                <w:szCs w:val="21"/>
                <w:highlight w:val="none"/>
                <w:u w:val="none"/>
                <w:lang w:val="en-US" w:eastAsia="zh-CN"/>
              </w:rPr>
              <w:t>情况</w:t>
            </w:r>
            <w:r>
              <w:rPr>
                <w:rFonts w:hint="eastAsia" w:ascii="宋体" w:hAnsi="宋体" w:eastAsia="宋体" w:cs="宋体"/>
                <w:color w:val="auto"/>
                <w:szCs w:val="21"/>
                <w:highlight w:val="none"/>
                <w:u w:val="none"/>
                <w:lang w:val="en-US" w:eastAsia="zh-CN"/>
              </w:rPr>
              <w:t>，有利于保障项目顺利实施。设计思路、设计理念、功能定位符合项目实际情况；设计图纸规范齐全，版面清晰；有配套展览海报、</w:t>
            </w:r>
            <w:r>
              <w:rPr>
                <w:rFonts w:hint="eastAsia" w:ascii="宋体" w:hAnsi="宋体" w:cs="宋体"/>
                <w:color w:val="auto"/>
                <w:szCs w:val="21"/>
                <w:highlight w:val="none"/>
                <w:u w:val="none"/>
                <w:lang w:val="en-US" w:eastAsia="zh-CN"/>
              </w:rPr>
              <w:t>户外导视牌、室内立牌、</w:t>
            </w:r>
            <w:r>
              <w:rPr>
                <w:rFonts w:hint="eastAsia" w:ascii="宋体" w:hAnsi="宋体" w:eastAsia="宋体" w:cs="宋体"/>
                <w:color w:val="auto"/>
                <w:szCs w:val="21"/>
                <w:highlight w:val="none"/>
                <w:u w:val="none"/>
                <w:lang w:val="en-US" w:eastAsia="zh-CN"/>
              </w:rPr>
              <w:t>手册等宣传设计。</w:t>
            </w:r>
          </w:p>
          <w:p w14:paraId="5890F136">
            <w:pPr>
              <w:keepNext w:val="0"/>
              <w:keepLines w:val="0"/>
              <w:pageBreakBefore w:val="0"/>
              <w:widowControl w:val="0"/>
              <w:tabs>
                <w:tab w:val="left" w:pos="632"/>
              </w:tab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注：</w:t>
            </w:r>
            <w:r>
              <w:rPr>
                <w:rFonts w:hint="eastAsia" w:ascii="宋体" w:hAnsi="宋体" w:eastAsia="宋体" w:cs="宋体"/>
                <w:color w:val="auto"/>
                <w:szCs w:val="21"/>
                <w:highlight w:val="none"/>
              </w:rPr>
              <w:t>未提供</w:t>
            </w:r>
            <w:r>
              <w:rPr>
                <w:rFonts w:hint="eastAsia" w:ascii="宋体" w:hAnsi="宋体" w:eastAsia="宋体" w:cs="宋体"/>
                <w:color w:val="auto"/>
                <w:szCs w:val="21"/>
                <w:highlight w:val="none"/>
                <w:lang w:eastAsia="zh-CN"/>
              </w:rPr>
              <w:t>设计效果图</w:t>
            </w:r>
            <w:r>
              <w:rPr>
                <w:rFonts w:hint="eastAsia" w:ascii="宋体" w:hAnsi="宋体" w:eastAsia="宋体" w:cs="宋体"/>
                <w:color w:val="auto"/>
                <w:szCs w:val="21"/>
                <w:highlight w:val="none"/>
                <w:lang w:val="en-US" w:eastAsia="zh-CN"/>
              </w:rPr>
              <w:t>和施工图</w:t>
            </w:r>
            <w:r>
              <w:rPr>
                <w:rFonts w:hint="eastAsia" w:ascii="宋体" w:hAnsi="宋体" w:eastAsia="宋体" w:cs="宋体"/>
                <w:color w:val="auto"/>
                <w:szCs w:val="21"/>
                <w:highlight w:val="none"/>
              </w:rPr>
              <w:t>，得0分。</w:t>
            </w:r>
          </w:p>
        </w:tc>
      </w:tr>
      <w:tr w14:paraId="05179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16" w:type="pct"/>
            <w:noWrap w:val="0"/>
            <w:vAlign w:val="center"/>
          </w:tcPr>
          <w:p w14:paraId="417669D6">
            <w:pPr>
              <w:adjustRightInd w:val="0"/>
              <w:spacing w:line="360" w:lineRule="auto"/>
              <w:ind w:left="-105" w:leftChars="-50" w:right="-105" w:rightChars="-50"/>
              <w:jc w:val="center"/>
              <w:textAlignment w:val="baseline"/>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2.4</w:t>
            </w:r>
          </w:p>
        </w:tc>
        <w:tc>
          <w:tcPr>
            <w:tcW w:w="1251" w:type="dxa"/>
            <w:noWrap w:val="0"/>
            <w:vAlign w:val="center"/>
          </w:tcPr>
          <w:p w14:paraId="675B2FE5">
            <w:pPr>
              <w:spacing w:before="156" w:beforeLines="50" w:after="156" w:afterLines="50" w:line="336" w:lineRule="auto"/>
              <w:jc w:val="both"/>
              <w:outlineLvl w:val="1"/>
              <w:rPr>
                <w:rFonts w:hint="eastAsia" w:ascii="宋体" w:hAnsi="宋体" w:eastAsia="宋体"/>
                <w:color w:val="auto"/>
                <w:kern w:val="0"/>
                <w:szCs w:val="21"/>
                <w:highlight w:val="none"/>
              </w:rPr>
            </w:pPr>
            <w:r>
              <w:rPr>
                <w:rFonts w:hint="eastAsia" w:ascii="宋体" w:hAnsi="宋体" w:eastAsia="宋体"/>
                <w:color w:val="auto"/>
                <w:kern w:val="0"/>
                <w:szCs w:val="21"/>
              </w:rPr>
              <w:t>功能及空间规划、动线规划（满分</w:t>
            </w:r>
            <w:r>
              <w:rPr>
                <w:rFonts w:hint="eastAsia" w:ascii="宋体" w:hAnsi="宋体" w:eastAsia="宋体"/>
                <w:color w:val="auto"/>
                <w:kern w:val="0"/>
                <w:szCs w:val="21"/>
                <w:lang w:val="en-US" w:eastAsia="zh-CN"/>
              </w:rPr>
              <w:t>25</w:t>
            </w:r>
            <w:r>
              <w:rPr>
                <w:rFonts w:hint="eastAsia" w:ascii="宋体" w:hAnsi="宋体" w:eastAsia="宋体"/>
                <w:color w:val="auto"/>
                <w:kern w:val="0"/>
                <w:szCs w:val="21"/>
              </w:rPr>
              <w:t>分）</w:t>
            </w:r>
          </w:p>
        </w:tc>
        <w:tc>
          <w:tcPr>
            <w:tcW w:w="7963" w:type="dxa"/>
            <w:noWrap w:val="0"/>
            <w:vAlign w:val="center"/>
          </w:tcPr>
          <w:p w14:paraId="5AC7D58F">
            <w:pPr>
              <w:adjustRightInd/>
              <w:spacing w:line="380" w:lineRule="exact"/>
              <w:jc w:val="left"/>
              <w:textAlignment w:val="auto"/>
              <w:rPr>
                <w:rFonts w:ascii="宋体" w:hAnsi="宋体" w:eastAsia="宋体" w:cs="宋体"/>
                <w:color w:val="auto"/>
                <w:szCs w:val="21"/>
                <w:highlight w:val="none"/>
              </w:rPr>
            </w:pPr>
            <w:r>
              <w:rPr>
                <w:rFonts w:hint="eastAsia" w:ascii="宋体" w:hAnsi="宋体" w:cs="宋体"/>
                <w:color w:val="auto"/>
                <w:szCs w:val="21"/>
                <w:highlight w:val="none"/>
                <w:lang w:val="en-US" w:eastAsia="zh-CN"/>
              </w:rPr>
              <w:t>一</w:t>
            </w:r>
            <w:r>
              <w:rPr>
                <w:rFonts w:hint="eastAsia" w:ascii="宋体" w:hAnsi="宋体" w:eastAsia="宋体" w:cs="宋体"/>
                <w:color w:val="auto"/>
                <w:szCs w:val="21"/>
                <w:highlight w:val="none"/>
              </w:rPr>
              <w:t>档（</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分）：整体空间设计布局规划基本符合要求，设计理念基本合理，基本能满足功能和采购文件要求，但无设计说明，展厅内的参观动线设计基本符合要求，符合展厅主题特点，参观游人动线分析科学性基本符合要求，人流导向基本合理，展览效果基本符合要求，得5分；</w:t>
            </w:r>
          </w:p>
          <w:p w14:paraId="7BE50F00">
            <w:pPr>
              <w:adjustRightInd/>
              <w:spacing w:line="380" w:lineRule="exact"/>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二档（</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0分）：整体空间设计布局规划较为科学、合理，设计较为先进、理念较为新颖，较好地满足功能和采购文件要求，并附有设计说明，展厅内的参观动线设计比较符合展厅主题特点，参观游人动线分析较为科学，人流导向较合理，较好地达到展览效果，得10分；</w:t>
            </w:r>
          </w:p>
          <w:p w14:paraId="6BFC236B">
            <w:pPr>
              <w:adjustRightInd/>
              <w:spacing w:line="380" w:lineRule="exact"/>
              <w:jc w:val="left"/>
              <w:textAlignment w:val="auto"/>
              <w:rPr>
                <w:rFonts w:ascii="宋体" w:hAnsi="宋体" w:eastAsia="宋体" w:cs="宋体"/>
                <w:color w:val="auto"/>
                <w:szCs w:val="21"/>
                <w:highlight w:val="none"/>
              </w:rPr>
            </w:pP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rPr>
              <w:t>档（</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5分）：整体空间设计布局规划高度科学、合理，设计先进、理念新颖，很好地满足功能和采购文件要求，并附有详细设计说明。展厅内的参观动线设计高度符合展厅主题特点，参观游人动线分析科学，人流导向合理，充分考虑人流聚集、疏散的线路，很好地达到展览效果，得15分；</w:t>
            </w:r>
          </w:p>
          <w:p w14:paraId="4B7E8DDC">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w:t>
            </w:r>
            <w:r>
              <w:rPr>
                <w:rFonts w:hint="eastAsia" w:ascii="宋体" w:hAnsi="宋体" w:eastAsia="宋体" w:cs="宋体"/>
                <w:color w:val="auto"/>
                <w:szCs w:val="21"/>
                <w:highlight w:val="none"/>
              </w:rPr>
              <w:t>未提供</w:t>
            </w:r>
            <w:r>
              <w:rPr>
                <w:rFonts w:hint="eastAsia" w:ascii="宋体" w:hAnsi="宋体" w:cs="宋体"/>
                <w:color w:val="auto"/>
                <w:szCs w:val="21"/>
                <w:highlight w:val="none"/>
                <w:lang w:val="en-US" w:eastAsia="zh-CN"/>
              </w:rPr>
              <w:t>该项</w:t>
            </w:r>
            <w:r>
              <w:rPr>
                <w:rFonts w:hint="eastAsia" w:ascii="宋体" w:hAnsi="宋体" w:eastAsia="宋体" w:cs="宋体"/>
                <w:color w:val="auto"/>
                <w:szCs w:val="21"/>
                <w:highlight w:val="none"/>
              </w:rPr>
              <w:t>方案</w:t>
            </w:r>
            <w:r>
              <w:rPr>
                <w:rFonts w:hint="eastAsia" w:ascii="宋体" w:hAnsi="宋体" w:cs="宋体"/>
                <w:color w:val="auto"/>
                <w:szCs w:val="21"/>
                <w:highlight w:val="none"/>
                <w:lang w:val="en-US" w:eastAsia="zh-CN"/>
              </w:rPr>
              <w:t>或未达到最低档要求不得分</w:t>
            </w:r>
            <w:r>
              <w:rPr>
                <w:rFonts w:hint="eastAsia" w:ascii="宋体" w:hAnsi="宋体" w:eastAsia="宋体" w:cs="宋体"/>
                <w:color w:val="auto"/>
                <w:szCs w:val="21"/>
                <w:highlight w:val="none"/>
                <w:lang w:eastAsia="zh-CN"/>
              </w:rPr>
              <w:t>。</w:t>
            </w:r>
          </w:p>
        </w:tc>
      </w:tr>
      <w:tr w14:paraId="1B38A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6" w:type="pct"/>
            <w:noWrap w:val="0"/>
            <w:vAlign w:val="center"/>
          </w:tcPr>
          <w:p w14:paraId="092D4486">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w:t>
            </w:r>
          </w:p>
        </w:tc>
        <w:tc>
          <w:tcPr>
            <w:tcW w:w="636" w:type="pct"/>
            <w:noWrap w:val="0"/>
            <w:vAlign w:val="center"/>
          </w:tcPr>
          <w:p w14:paraId="7AE24522">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商务分</w:t>
            </w:r>
          </w:p>
        </w:tc>
        <w:tc>
          <w:tcPr>
            <w:tcW w:w="4046" w:type="pct"/>
            <w:noWrap w:val="0"/>
            <w:vAlign w:val="center"/>
          </w:tcPr>
          <w:p w14:paraId="0C7F45D5">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bCs/>
                <w:color w:val="auto"/>
                <w:kern w:val="0"/>
                <w:szCs w:val="21"/>
                <w:highlight w:val="none"/>
              </w:rPr>
              <w:t>评分内容与标准</w:t>
            </w:r>
          </w:p>
        </w:tc>
      </w:tr>
      <w:tr w14:paraId="2D1E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6" w:type="pct"/>
            <w:noWrap w:val="0"/>
            <w:vAlign w:val="center"/>
          </w:tcPr>
          <w:p w14:paraId="43E2EB41">
            <w:pPr>
              <w:widowControl/>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3.</w:t>
            </w:r>
            <w:r>
              <w:rPr>
                <w:rFonts w:hint="eastAsia" w:ascii="宋体" w:hAnsi="宋体" w:cs="宋体"/>
                <w:color w:val="auto"/>
                <w:kern w:val="0"/>
                <w:szCs w:val="21"/>
                <w:highlight w:val="none"/>
                <w:lang w:val="en-US" w:eastAsia="zh-CN"/>
              </w:rPr>
              <w:t>1</w:t>
            </w:r>
          </w:p>
        </w:tc>
        <w:tc>
          <w:tcPr>
            <w:tcW w:w="636" w:type="pct"/>
            <w:noWrap w:val="0"/>
            <w:vAlign w:val="center"/>
          </w:tcPr>
          <w:p w14:paraId="0F3BC5B1">
            <w:pPr>
              <w:widowControl/>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业绩</w:t>
            </w:r>
            <w:r>
              <w:rPr>
                <w:rFonts w:hint="eastAsia" w:ascii="宋体" w:hAnsi="宋体" w:eastAsia="宋体" w:cs="宋体"/>
                <w:bCs/>
                <w:color w:val="auto"/>
                <w:szCs w:val="21"/>
                <w:highlight w:val="none"/>
                <w:lang w:eastAsia="zh-CN"/>
              </w:rPr>
              <w:t>分</w:t>
            </w:r>
          </w:p>
          <w:p w14:paraId="29D05B3F">
            <w:pPr>
              <w:widowControl/>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（满分</w:t>
            </w:r>
            <w:r>
              <w:rPr>
                <w:rFonts w:hint="eastAsia" w:ascii="宋体" w:hAnsi="宋体" w:eastAsia="宋体" w:cs="宋体"/>
                <w:bCs/>
                <w:color w:val="auto"/>
                <w:szCs w:val="21"/>
                <w:highlight w:val="none"/>
                <w:lang w:val="en-US" w:eastAsia="zh-CN"/>
              </w:rPr>
              <w:t>10</w:t>
            </w:r>
            <w:r>
              <w:rPr>
                <w:rFonts w:hint="eastAsia" w:ascii="宋体" w:hAnsi="宋体" w:eastAsia="宋体" w:cs="宋体"/>
                <w:bCs/>
                <w:color w:val="auto"/>
                <w:szCs w:val="21"/>
                <w:highlight w:val="none"/>
              </w:rPr>
              <w:t>分）</w:t>
            </w:r>
          </w:p>
        </w:tc>
        <w:tc>
          <w:tcPr>
            <w:tcW w:w="4046" w:type="pct"/>
            <w:noWrap w:val="0"/>
            <w:vAlign w:val="top"/>
          </w:tcPr>
          <w:p w14:paraId="23EE355B">
            <w:pPr>
              <w:widowControl/>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供应商202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年1月1日至响应文件递交截止时间</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具有同类项目业绩</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lang w:val="en-US" w:eastAsia="zh-CN"/>
              </w:rPr>
              <w:t>，每提供一项得2分，满分10分。【注：需在响应文件中提供前述类似项目业绩的合同或者中标（成交）通知书复印件并加盖供应商公章，未按要求提供的不得分】</w:t>
            </w:r>
            <w:r>
              <w:rPr>
                <w:rFonts w:hint="eastAsia" w:ascii="宋体" w:hAnsi="宋体" w:eastAsia="宋体" w:cs="宋体"/>
                <w:color w:val="auto"/>
                <w:szCs w:val="21"/>
                <w:highlight w:val="none"/>
                <w:lang w:eastAsia="zh-CN"/>
              </w:rPr>
              <w:t>。</w:t>
            </w:r>
          </w:p>
        </w:tc>
      </w:tr>
      <w:tr w14:paraId="5CA81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000" w:type="pct"/>
            <w:gridSpan w:val="3"/>
            <w:noWrap w:val="0"/>
            <w:vAlign w:val="top"/>
          </w:tcPr>
          <w:p w14:paraId="25400FAE">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总得分＝1＋2＋3</w:t>
            </w:r>
          </w:p>
        </w:tc>
      </w:tr>
    </w:tbl>
    <w:p w14:paraId="478B96A8">
      <w:pPr>
        <w:pStyle w:val="21"/>
        <w:rPr>
          <w:rFonts w:hint="eastAsia" w:ascii="宋体" w:hAnsi="宋体"/>
          <w:bCs/>
          <w:color w:val="auto"/>
          <w:szCs w:val="21"/>
          <w:highlight w:val="none"/>
        </w:rPr>
      </w:pPr>
    </w:p>
    <w:p w14:paraId="420435EB">
      <w:pPr>
        <w:rPr>
          <w:rFonts w:hint="eastAsia" w:ascii="宋体" w:hAnsi="宋体"/>
          <w:bCs/>
          <w:color w:val="auto"/>
          <w:szCs w:val="21"/>
          <w:highlight w:val="none"/>
        </w:rPr>
      </w:pPr>
      <w:r>
        <w:rPr>
          <w:rFonts w:hint="eastAsia" w:ascii="宋体" w:hAnsi="宋体"/>
          <w:bCs/>
          <w:color w:val="auto"/>
          <w:szCs w:val="21"/>
          <w:highlight w:val="none"/>
        </w:rPr>
        <w:br w:type="page"/>
      </w:r>
    </w:p>
    <w:tbl>
      <w:tblPr>
        <w:tblStyle w:val="36"/>
        <w:tblW w:w="4976" w:type="pct"/>
        <w:tblInd w:w="0" w:type="dxa"/>
        <w:tblLayout w:type="autofit"/>
        <w:tblCellMar>
          <w:top w:w="0" w:type="dxa"/>
          <w:left w:w="108" w:type="dxa"/>
          <w:bottom w:w="0" w:type="dxa"/>
          <w:right w:w="108" w:type="dxa"/>
        </w:tblCellMar>
      </w:tblPr>
      <w:tblGrid>
        <w:gridCol w:w="623"/>
        <w:gridCol w:w="1253"/>
        <w:gridCol w:w="8038"/>
      </w:tblGrid>
      <w:tr w14:paraId="7E2405C0">
        <w:tblPrEx>
          <w:tblCellMar>
            <w:top w:w="0" w:type="dxa"/>
            <w:left w:w="108" w:type="dxa"/>
            <w:bottom w:w="0" w:type="dxa"/>
            <w:right w:w="108" w:type="dxa"/>
          </w:tblCellMar>
        </w:tblPrEx>
        <w:trPr>
          <w:trHeight w:val="619"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C2D69B" w:themeFill="accent3" w:themeFillTint="99"/>
            <w:vAlign w:val="center"/>
          </w:tcPr>
          <w:p w14:paraId="62585884">
            <w:pPr>
              <w:spacing w:line="360" w:lineRule="auto"/>
              <w:jc w:val="center"/>
              <w:rPr>
                <w:rFonts w:hint="default" w:asciiTheme="minorEastAsia" w:hAnsiTheme="minorEastAsia" w:eastAsiaTheme="minorEastAsia" w:cstheme="minorEastAsia"/>
                <w:color w:val="auto"/>
                <w:szCs w:val="21"/>
                <w:highlight w:val="none"/>
                <w:lang w:val="en-US"/>
              </w:rPr>
            </w:pPr>
            <w:r>
              <w:rPr>
                <w:rFonts w:hint="eastAsia" w:asciiTheme="minorEastAsia" w:hAnsiTheme="minorEastAsia" w:eastAsiaTheme="minorEastAsia" w:cstheme="minorEastAsia"/>
                <w:color w:val="auto"/>
                <w:szCs w:val="21"/>
                <w:highlight w:val="none"/>
              </w:rPr>
              <w:t>标项</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lang w:eastAsia="zh-CN"/>
              </w:rPr>
              <w:t>：</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广西艺术作品展览——第</w:t>
            </w:r>
            <w:r>
              <w:rPr>
                <w:rFonts w:hint="eastAsia" w:ascii="宋体" w:hAnsi="宋体"/>
                <w:color w:val="auto"/>
                <w:szCs w:val="21"/>
                <w:highlight w:val="none"/>
                <w:lang w:val="en-US" w:eastAsia="zh-CN"/>
              </w:rPr>
              <w:t>八</w:t>
            </w:r>
            <w:r>
              <w:rPr>
                <w:rFonts w:hint="eastAsia" w:ascii="宋体" w:hAnsi="宋体"/>
                <w:color w:val="auto"/>
                <w:szCs w:val="21"/>
                <w:highlight w:val="none"/>
              </w:rPr>
              <w:t>届摄影作品展览</w:t>
            </w:r>
            <w:r>
              <w:rPr>
                <w:rFonts w:hint="eastAsia" w:asciiTheme="minorEastAsia" w:hAnsiTheme="minorEastAsia" w:eastAsiaTheme="minorEastAsia" w:cstheme="minorEastAsia"/>
                <w:color w:val="auto"/>
                <w:szCs w:val="21"/>
                <w:highlight w:val="none"/>
                <w:lang w:val="en-US" w:eastAsia="zh-CN"/>
              </w:rPr>
              <w:t xml:space="preserve"> 评审标准</w:t>
            </w:r>
          </w:p>
        </w:tc>
      </w:tr>
      <w:tr w14:paraId="0D435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14" w:type="pct"/>
            <w:noWrap w:val="0"/>
            <w:vAlign w:val="center"/>
          </w:tcPr>
          <w:p w14:paraId="4EAD15B6">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632" w:type="pct"/>
            <w:noWrap w:val="0"/>
            <w:vAlign w:val="center"/>
          </w:tcPr>
          <w:p w14:paraId="0FC17C67">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评审因素</w:t>
            </w:r>
          </w:p>
        </w:tc>
        <w:tc>
          <w:tcPr>
            <w:tcW w:w="4053" w:type="pct"/>
            <w:noWrap w:val="0"/>
            <w:vAlign w:val="center"/>
          </w:tcPr>
          <w:p w14:paraId="20212C49">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评分内容与标准</w:t>
            </w:r>
          </w:p>
        </w:tc>
      </w:tr>
      <w:tr w14:paraId="589E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4" w:type="pct"/>
            <w:noWrap w:val="0"/>
            <w:vAlign w:val="center"/>
          </w:tcPr>
          <w:p w14:paraId="32C1BD5D">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32" w:type="pct"/>
            <w:noWrap w:val="0"/>
            <w:vAlign w:val="center"/>
          </w:tcPr>
          <w:p w14:paraId="51D5A837">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价格分</w:t>
            </w:r>
            <w:r>
              <w:rPr>
                <w:rFonts w:hint="eastAsia" w:ascii="宋体" w:hAnsi="宋体" w:eastAsia="宋体"/>
                <w:color w:val="auto"/>
                <w:kern w:val="0"/>
                <w:szCs w:val="21"/>
                <w:highlight w:val="none"/>
              </w:rPr>
              <w:t>（满分1</w:t>
            </w:r>
            <w:r>
              <w:rPr>
                <w:rFonts w:hint="eastAsia" w:ascii="宋体" w:hAnsi="宋体" w:eastAsia="宋体"/>
                <w:color w:val="auto"/>
                <w:kern w:val="0"/>
                <w:szCs w:val="21"/>
                <w:highlight w:val="none"/>
                <w:lang w:val="en-US" w:eastAsia="zh-CN"/>
              </w:rPr>
              <w:t>0</w:t>
            </w:r>
            <w:r>
              <w:rPr>
                <w:rFonts w:hint="eastAsia" w:ascii="宋体" w:hAnsi="宋体" w:eastAsia="宋体"/>
                <w:color w:val="auto"/>
                <w:kern w:val="0"/>
                <w:szCs w:val="21"/>
                <w:highlight w:val="none"/>
              </w:rPr>
              <w:t>分）</w:t>
            </w:r>
          </w:p>
        </w:tc>
        <w:tc>
          <w:tcPr>
            <w:tcW w:w="4053" w:type="pct"/>
            <w:noWrap w:val="0"/>
            <w:vAlign w:val="top"/>
          </w:tcPr>
          <w:p w14:paraId="63476360">
            <w:pPr>
              <w:widowControl/>
              <w:wordWrap w:val="0"/>
              <w:overflowPunct w:val="0"/>
              <w:topLinePunct/>
              <w:spacing w:line="360" w:lineRule="auto"/>
              <w:ind w:firstLine="315" w:firstLineChars="150"/>
              <w:rPr>
                <w:rFonts w:hint="eastAsia" w:ascii="宋体" w:hAnsi="宋体" w:eastAsia="宋体" w:cs="Courier New"/>
                <w:bCs/>
                <w:color w:val="auto"/>
                <w:szCs w:val="21"/>
                <w:highlight w:val="none"/>
              </w:rPr>
            </w:pPr>
            <w:r>
              <w:rPr>
                <w:rFonts w:hint="eastAsia" w:ascii="宋体" w:hAnsi="宋体" w:eastAsia="宋体" w:cs="Courier New"/>
                <w:bCs/>
                <w:color w:val="auto"/>
                <w:szCs w:val="21"/>
                <w:highlight w:val="none"/>
              </w:rPr>
              <w:t>（1）评审报价为供应商的报价进行政策性扣除后的价格，评审报价只是作为评审时使用。最终成交人的成交金额等于竞标报价。</w:t>
            </w:r>
          </w:p>
          <w:p w14:paraId="457F8934">
            <w:pPr>
              <w:widowControl/>
              <w:wordWrap w:val="0"/>
              <w:overflowPunct w:val="0"/>
              <w:topLinePunct/>
              <w:spacing w:line="360" w:lineRule="auto"/>
              <w:ind w:firstLine="315" w:firstLineChars="150"/>
              <w:rPr>
                <w:rFonts w:hint="eastAsia" w:ascii="宋体" w:hAnsi="宋体" w:eastAsia="宋体" w:cs="Courier New"/>
                <w:bCs/>
                <w:color w:val="auto"/>
                <w:szCs w:val="21"/>
                <w:highlight w:val="none"/>
              </w:rPr>
            </w:pPr>
            <w:r>
              <w:rPr>
                <w:rFonts w:hint="eastAsia" w:ascii="宋体" w:hAnsi="宋体" w:eastAsia="宋体" w:cs="Courier New"/>
                <w:bCs/>
                <w:color w:val="auto"/>
                <w:szCs w:val="21"/>
                <w:highlight w:val="none"/>
              </w:rPr>
              <w:t>（2）以进入综合评分环节的最低的评审报价为基准价，基准价报价得分为10分。</w:t>
            </w:r>
          </w:p>
          <w:p w14:paraId="5B29B8C7">
            <w:pPr>
              <w:widowControl/>
              <w:wordWrap w:val="0"/>
              <w:overflowPunct w:val="0"/>
              <w:topLinePunct/>
              <w:spacing w:line="360" w:lineRule="auto"/>
              <w:ind w:firstLine="315" w:firstLineChars="150"/>
              <w:rPr>
                <w:rFonts w:ascii="宋体" w:hAnsi="宋体" w:eastAsia="宋体"/>
                <w:color w:val="auto"/>
                <w:highlight w:val="none"/>
              </w:rPr>
            </w:pPr>
            <w:r>
              <w:rPr>
                <w:rFonts w:hint="eastAsia" w:ascii="宋体" w:hAnsi="宋体" w:eastAsia="宋体" w:cs="Courier New"/>
                <w:bCs/>
                <w:color w:val="auto"/>
                <w:szCs w:val="21"/>
                <w:highlight w:val="none"/>
              </w:rPr>
              <w:t>（3）本项目为</w:t>
            </w:r>
            <w:r>
              <w:rPr>
                <w:rFonts w:hint="eastAsia" w:ascii="宋体" w:hAnsi="宋体" w:eastAsia="宋体"/>
                <w:color w:val="auto"/>
                <w:highlight w:val="none"/>
              </w:rPr>
              <w:t>专门面向中小企业的项目，</w:t>
            </w:r>
            <w:r>
              <w:rPr>
                <w:rFonts w:hint="eastAsia" w:ascii="宋体" w:hAnsi="宋体" w:eastAsia="宋体" w:cs="宋体"/>
                <w:color w:val="auto"/>
                <w:highlight w:val="none"/>
              </w:rPr>
              <w:t>评审</w:t>
            </w:r>
            <w:r>
              <w:rPr>
                <w:rFonts w:hint="eastAsia" w:ascii="宋体" w:hAnsi="宋体" w:eastAsia="宋体"/>
                <w:color w:val="auto"/>
                <w:highlight w:val="none"/>
              </w:rPr>
              <w:t>时所有供应商的报价不予进行政策性价格折扣。</w:t>
            </w:r>
          </w:p>
          <w:p w14:paraId="216C524A">
            <w:pPr>
              <w:widowControl/>
              <w:wordWrap w:val="0"/>
              <w:overflowPunct w:val="0"/>
              <w:topLinePunct/>
              <w:spacing w:line="360" w:lineRule="auto"/>
              <w:ind w:firstLine="315" w:firstLineChars="150"/>
              <w:rPr>
                <w:rFonts w:ascii="宋体" w:hAnsi="宋体" w:eastAsia="宋体" w:cs="Courier New"/>
                <w:bCs/>
                <w:color w:val="auto"/>
                <w:szCs w:val="21"/>
                <w:highlight w:val="none"/>
              </w:rPr>
            </w:pPr>
            <w:r>
              <w:rPr>
                <w:rFonts w:hint="eastAsia" w:ascii="宋体" w:hAnsi="宋体" w:eastAsia="宋体" w:cs="Courier New"/>
                <w:bCs/>
                <w:color w:val="auto"/>
                <w:szCs w:val="21"/>
                <w:highlight w:val="none"/>
              </w:rPr>
              <w:t>按照《关于政府采购支持监狱企业发展有关问题的通知》（财库〔</w:t>
            </w:r>
            <w:r>
              <w:rPr>
                <w:rFonts w:ascii="宋体" w:hAnsi="宋体" w:eastAsia="宋体" w:cs="Courier New"/>
                <w:bCs/>
                <w:color w:val="auto"/>
                <w:szCs w:val="21"/>
                <w:highlight w:val="none"/>
              </w:rPr>
              <w:t>2014</w:t>
            </w:r>
            <w:r>
              <w:rPr>
                <w:rFonts w:hint="eastAsia" w:ascii="宋体" w:hAnsi="宋体" w:eastAsia="宋体" w:cs="Courier New"/>
                <w:bCs/>
                <w:color w:val="auto"/>
                <w:szCs w:val="21"/>
                <w:highlight w:val="none"/>
              </w:rPr>
              <w:t>〕</w:t>
            </w:r>
            <w:r>
              <w:rPr>
                <w:rFonts w:ascii="宋体" w:hAnsi="宋体" w:eastAsia="宋体" w:cs="Courier New"/>
                <w:bCs/>
                <w:color w:val="auto"/>
                <w:szCs w:val="21"/>
                <w:highlight w:val="none"/>
              </w:rPr>
              <w:t xml:space="preserve">68 </w:t>
            </w:r>
            <w:r>
              <w:rPr>
                <w:rFonts w:hint="eastAsia" w:ascii="宋体" w:hAnsi="宋体" w:eastAsia="宋体" w:cs="Courier New"/>
                <w:bCs/>
                <w:color w:val="auto"/>
                <w:szCs w:val="21"/>
                <w:highlight w:val="none"/>
              </w:rPr>
              <w:t>号）认定为监狱企业的，在政府采购活动中，监狱企业视同小型、微型企业。监狱企业参加政府采购活动时，应当提供由省级以上监狱管理局、戒毒管理局（含新疆生产建设兵团）出具的属于监狱企业的证明文件。</w:t>
            </w:r>
          </w:p>
          <w:p w14:paraId="64C57895">
            <w:pPr>
              <w:widowControl/>
              <w:wordWrap w:val="0"/>
              <w:overflowPunct w:val="0"/>
              <w:topLinePunct/>
              <w:spacing w:line="360" w:lineRule="auto"/>
              <w:ind w:firstLine="315" w:firstLineChars="150"/>
              <w:rPr>
                <w:rFonts w:hint="eastAsia" w:ascii="宋体" w:hAnsi="宋体" w:eastAsia="宋体" w:cs="Courier New"/>
                <w:bCs/>
                <w:color w:val="auto"/>
                <w:szCs w:val="21"/>
                <w:highlight w:val="none"/>
              </w:rPr>
            </w:pPr>
            <w:r>
              <w:rPr>
                <w:rFonts w:hint="eastAsia" w:ascii="宋体" w:hAnsi="宋体" w:eastAsia="宋体" w:cs="Courier New"/>
                <w:bCs/>
                <w:color w:val="auto"/>
                <w:szCs w:val="21"/>
                <w:highlight w:val="none"/>
              </w:rPr>
              <w:t>符合《关于促进残疾人就业政府采购政策的通知》</w:t>
            </w:r>
            <w:r>
              <w:rPr>
                <w:rFonts w:ascii="宋体" w:hAnsi="宋体" w:eastAsia="宋体" w:cs="Courier New"/>
                <w:bCs/>
                <w:color w:val="auto"/>
                <w:szCs w:val="21"/>
                <w:highlight w:val="none"/>
              </w:rPr>
              <w:t>(</w:t>
            </w:r>
            <w:r>
              <w:rPr>
                <w:rFonts w:hint="eastAsia" w:ascii="宋体" w:hAnsi="宋体" w:eastAsia="宋体" w:cs="Courier New"/>
                <w:bCs/>
                <w:color w:val="auto"/>
                <w:szCs w:val="21"/>
                <w:highlight w:val="none"/>
              </w:rPr>
              <w:t>财库〔</w:t>
            </w:r>
            <w:r>
              <w:rPr>
                <w:rFonts w:ascii="宋体" w:hAnsi="宋体" w:eastAsia="宋体" w:cs="Courier New"/>
                <w:bCs/>
                <w:color w:val="auto"/>
                <w:szCs w:val="21"/>
                <w:highlight w:val="none"/>
              </w:rPr>
              <w:t>2017</w:t>
            </w:r>
            <w:r>
              <w:rPr>
                <w:rFonts w:hint="eastAsia" w:ascii="宋体" w:hAnsi="宋体" w:eastAsia="宋体" w:cs="Courier New"/>
                <w:bCs/>
                <w:color w:val="auto"/>
                <w:szCs w:val="21"/>
                <w:highlight w:val="none"/>
              </w:rPr>
              <w:t>〕</w:t>
            </w:r>
            <w:r>
              <w:rPr>
                <w:rFonts w:ascii="宋体" w:hAnsi="宋体" w:eastAsia="宋体" w:cs="Courier New"/>
                <w:bCs/>
                <w:color w:val="auto"/>
                <w:szCs w:val="21"/>
                <w:highlight w:val="none"/>
              </w:rPr>
              <w:t xml:space="preserve">141 </w:t>
            </w:r>
            <w:r>
              <w:rPr>
                <w:rFonts w:hint="eastAsia" w:ascii="宋体" w:hAnsi="宋体" w:eastAsia="宋体" w:cs="Courier New"/>
                <w:bCs/>
                <w:color w:val="auto"/>
                <w:szCs w:val="21"/>
                <w:highlight w:val="none"/>
              </w:rPr>
              <w:t>号</w:t>
            </w:r>
            <w:r>
              <w:rPr>
                <w:rFonts w:ascii="宋体" w:hAnsi="宋体" w:eastAsia="宋体" w:cs="Courier New"/>
                <w:bCs/>
                <w:color w:val="auto"/>
                <w:szCs w:val="21"/>
                <w:highlight w:val="none"/>
              </w:rPr>
              <w:t>)</w:t>
            </w:r>
            <w:r>
              <w:rPr>
                <w:rFonts w:hint="eastAsia" w:ascii="宋体" w:hAnsi="宋体" w:eastAsia="宋体" w:cs="Courier New"/>
                <w:bCs/>
                <w:color w:val="auto"/>
                <w:szCs w:val="21"/>
                <w:highlight w:val="none"/>
              </w:rPr>
              <w:t>规定条件，认定为残疾人福利性单位的，在政府采购活动中，残疾人福利性单位视同小型、微型企业。残疾人福利性单位参加政府采购活动时，应当提供该通知规定的《残疾人福利性单位声明函》，并对声明的真实性负责。成交人为残疾人福利性单位的，随成交结果公告其《残疾人福利性单位声明函》，接受社会监督。</w:t>
            </w:r>
          </w:p>
          <w:p w14:paraId="7EECB3DD">
            <w:pPr>
              <w:widowControl/>
              <w:wordWrap w:val="0"/>
              <w:overflowPunct w:val="0"/>
              <w:topLinePunct/>
              <w:spacing w:line="360" w:lineRule="auto"/>
              <w:ind w:firstLine="315" w:firstLineChars="150"/>
              <w:rPr>
                <w:rFonts w:hint="eastAsia" w:ascii="宋体" w:hAnsi="宋体" w:eastAsia="宋体" w:cs="Courier New"/>
                <w:bCs/>
                <w:color w:val="auto"/>
                <w:szCs w:val="21"/>
                <w:highlight w:val="none"/>
              </w:rPr>
            </w:pPr>
            <w:r>
              <w:rPr>
                <w:rFonts w:hint="eastAsia" w:ascii="宋体" w:hAnsi="宋体" w:eastAsia="宋体" w:cs="Courier New"/>
                <w:bCs/>
                <w:color w:val="auto"/>
                <w:szCs w:val="21"/>
                <w:highlight w:val="none"/>
              </w:rPr>
              <w:t>（4）价格分计算公式：</w:t>
            </w:r>
          </w:p>
          <w:p w14:paraId="5B9A57FD">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Courier New"/>
                <w:bCs/>
                <w:color w:val="auto"/>
                <w:szCs w:val="21"/>
                <w:highlight w:val="none"/>
              </w:rPr>
              <w:t>某供应商价格分＝基准价／某供应商评审报价金额×10分</w:t>
            </w:r>
          </w:p>
        </w:tc>
      </w:tr>
      <w:tr w14:paraId="5C1E8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4" w:type="pct"/>
            <w:noWrap w:val="0"/>
            <w:vAlign w:val="center"/>
          </w:tcPr>
          <w:p w14:paraId="5EBA1237">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2</w:t>
            </w:r>
          </w:p>
        </w:tc>
        <w:tc>
          <w:tcPr>
            <w:tcW w:w="632" w:type="pct"/>
            <w:noWrap w:val="0"/>
            <w:vAlign w:val="center"/>
          </w:tcPr>
          <w:p w14:paraId="2A39ACEC">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技术分</w:t>
            </w:r>
          </w:p>
        </w:tc>
        <w:tc>
          <w:tcPr>
            <w:tcW w:w="4053" w:type="pct"/>
            <w:noWrap w:val="0"/>
            <w:vAlign w:val="top"/>
          </w:tcPr>
          <w:p w14:paraId="0032C520">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bCs/>
                <w:color w:val="auto"/>
                <w:kern w:val="0"/>
                <w:szCs w:val="21"/>
                <w:highlight w:val="none"/>
              </w:rPr>
              <w:t>评分内容与标准</w:t>
            </w:r>
          </w:p>
        </w:tc>
      </w:tr>
      <w:tr w14:paraId="4EED3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14" w:type="pct"/>
            <w:noWrap w:val="0"/>
            <w:vAlign w:val="center"/>
          </w:tcPr>
          <w:p w14:paraId="0897EF5E">
            <w:pPr>
              <w:adjustRightInd w:val="0"/>
              <w:spacing w:line="360" w:lineRule="auto"/>
              <w:ind w:left="-105" w:leftChars="-50" w:right="-105" w:rightChars="-50"/>
              <w:jc w:val="center"/>
              <w:textAlignment w:val="baseline"/>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2.1</w:t>
            </w:r>
          </w:p>
        </w:tc>
        <w:tc>
          <w:tcPr>
            <w:tcW w:w="632" w:type="pct"/>
            <w:noWrap w:val="0"/>
            <w:vAlign w:val="center"/>
          </w:tcPr>
          <w:p w14:paraId="2423EF63">
            <w:pPr>
              <w:wordWrap w:val="0"/>
              <w:topLinePunct/>
              <w:spacing w:line="440" w:lineRule="exact"/>
              <w:jc w:val="center"/>
              <w:outlineLvl w:val="0"/>
              <w:rPr>
                <w:rFonts w:hint="eastAsia" w:ascii="宋体" w:hAnsi="宋体" w:eastAsia="宋体" w:cs="宋体"/>
                <w:bCs/>
                <w:color w:val="auto"/>
                <w:kern w:val="0"/>
                <w:szCs w:val="21"/>
                <w:highlight w:val="none"/>
                <w:lang w:val="en-US" w:eastAsia="zh-CN"/>
              </w:rPr>
            </w:pPr>
            <w:r>
              <w:rPr>
                <w:rFonts w:hint="eastAsia" w:ascii="宋体" w:hAnsi="宋体" w:eastAsia="宋体"/>
                <w:color w:val="auto"/>
                <w:kern w:val="0"/>
                <w:szCs w:val="21"/>
                <w:highlight w:val="none"/>
              </w:rPr>
              <w:t>项目理解（满分15分）</w:t>
            </w:r>
          </w:p>
        </w:tc>
        <w:tc>
          <w:tcPr>
            <w:tcW w:w="4053" w:type="pct"/>
            <w:noWrap w:val="0"/>
            <w:vAlign w:val="center"/>
          </w:tcPr>
          <w:p w14:paraId="3160C1DF">
            <w:pPr>
              <w:spacing w:line="360" w:lineRule="auto"/>
              <w:jc w:val="left"/>
              <w:rPr>
                <w:rFonts w:hint="eastAsia" w:ascii="宋体" w:hAnsi="宋体" w:eastAsia="宋体" w:cs="仿宋"/>
                <w:bCs/>
                <w:color w:val="auto"/>
                <w:szCs w:val="21"/>
                <w:highlight w:val="none"/>
              </w:rPr>
            </w:pPr>
            <w:r>
              <w:rPr>
                <w:rFonts w:hint="eastAsia" w:ascii="宋体" w:hAnsi="宋体" w:cs="仿宋"/>
                <w:bCs/>
                <w:color w:val="auto"/>
                <w:szCs w:val="21"/>
                <w:highlight w:val="none"/>
                <w:lang w:val="en-US" w:eastAsia="zh-CN"/>
              </w:rPr>
              <w:t>一</w:t>
            </w:r>
            <w:r>
              <w:rPr>
                <w:rFonts w:hint="eastAsia" w:ascii="宋体" w:hAnsi="宋体" w:eastAsia="宋体" w:cs="仿宋"/>
                <w:bCs/>
                <w:color w:val="auto"/>
                <w:szCs w:val="21"/>
                <w:highlight w:val="none"/>
              </w:rPr>
              <w:t>档（5分）：对项目概况、布展定位与展陈需求理解</w:t>
            </w:r>
            <w:r>
              <w:rPr>
                <w:rFonts w:hint="eastAsia" w:ascii="宋体" w:hAnsi="宋体" w:cs="仿宋"/>
                <w:bCs/>
                <w:color w:val="auto"/>
                <w:szCs w:val="21"/>
                <w:highlight w:val="none"/>
                <w:lang w:val="en-US" w:eastAsia="zh-CN"/>
              </w:rPr>
              <w:t>简单</w:t>
            </w:r>
            <w:r>
              <w:rPr>
                <w:rFonts w:hint="eastAsia" w:ascii="宋体" w:hAnsi="宋体" w:eastAsia="宋体" w:cs="仿宋"/>
                <w:bCs/>
                <w:color w:val="auto"/>
                <w:szCs w:val="21"/>
                <w:highlight w:val="none"/>
              </w:rPr>
              <w:t>，思路不够清晰，但整体的形式方案设计构思表达基本完整；</w:t>
            </w:r>
          </w:p>
          <w:p w14:paraId="2646A89C">
            <w:pPr>
              <w:spacing w:line="360" w:lineRule="auto"/>
              <w:jc w:val="left"/>
              <w:rPr>
                <w:rFonts w:hint="eastAsia" w:ascii="宋体" w:hAnsi="宋体" w:eastAsia="宋体" w:cs="仿宋"/>
                <w:bCs/>
                <w:color w:val="auto"/>
                <w:szCs w:val="21"/>
                <w:highlight w:val="none"/>
              </w:rPr>
            </w:pPr>
            <w:r>
              <w:rPr>
                <w:rFonts w:hint="eastAsia" w:ascii="宋体" w:hAnsi="宋体" w:eastAsia="宋体" w:cs="仿宋"/>
                <w:bCs/>
                <w:color w:val="auto"/>
                <w:szCs w:val="21"/>
                <w:highlight w:val="none"/>
              </w:rPr>
              <w:t>二档（10分）：对项目概况、布展定位与展陈需求的理解</w:t>
            </w:r>
            <w:r>
              <w:rPr>
                <w:rFonts w:hint="eastAsia" w:ascii="宋体" w:hAnsi="宋体" w:cs="仿宋"/>
                <w:bCs/>
                <w:color w:val="auto"/>
                <w:szCs w:val="21"/>
                <w:highlight w:val="none"/>
                <w:lang w:val="en-US" w:eastAsia="zh-CN"/>
              </w:rPr>
              <w:t>符合项目要求</w:t>
            </w:r>
            <w:r>
              <w:rPr>
                <w:rFonts w:hint="eastAsia" w:ascii="宋体" w:hAnsi="宋体" w:eastAsia="宋体" w:cs="仿宋"/>
                <w:bCs/>
                <w:color w:val="auto"/>
                <w:szCs w:val="21"/>
                <w:highlight w:val="none"/>
              </w:rPr>
              <w:t>，整体的形式方案设计构思表达清楚、思路清晰，针对本项目的各项重难点工作要求理解准，得10分；</w:t>
            </w:r>
          </w:p>
          <w:p w14:paraId="4A3106C7">
            <w:pPr>
              <w:spacing w:line="360" w:lineRule="auto"/>
              <w:jc w:val="left"/>
              <w:rPr>
                <w:rFonts w:hint="eastAsia" w:ascii="宋体" w:hAnsi="宋体" w:cs="仿宋"/>
                <w:bCs/>
                <w:color w:val="auto"/>
                <w:szCs w:val="21"/>
                <w:highlight w:val="none"/>
                <w:lang w:eastAsia="zh-CN"/>
              </w:rPr>
            </w:pPr>
            <w:r>
              <w:rPr>
                <w:rFonts w:hint="eastAsia" w:ascii="宋体" w:hAnsi="宋体" w:cs="仿宋"/>
                <w:bCs/>
                <w:color w:val="auto"/>
                <w:szCs w:val="21"/>
                <w:highlight w:val="none"/>
                <w:lang w:val="en-US" w:eastAsia="zh-CN"/>
              </w:rPr>
              <w:t>三</w:t>
            </w:r>
            <w:r>
              <w:rPr>
                <w:rFonts w:hint="eastAsia" w:ascii="宋体" w:hAnsi="宋体" w:eastAsia="宋体" w:cs="仿宋"/>
                <w:bCs/>
                <w:color w:val="auto"/>
                <w:szCs w:val="21"/>
                <w:highlight w:val="none"/>
              </w:rPr>
              <w:t>档（15分）：对项目概况、展览内容、布展定位与布展需求的理解非常透彻，整体的形式方案设计构思表达清楚、思路清晰，</w:t>
            </w:r>
            <w:r>
              <w:rPr>
                <w:rFonts w:hint="eastAsia" w:ascii="宋体" w:hAnsi="宋体" w:cs="仿宋"/>
                <w:bCs/>
                <w:color w:val="auto"/>
                <w:szCs w:val="21"/>
                <w:highlight w:val="none"/>
                <w:lang w:val="en-US" w:eastAsia="zh-CN"/>
              </w:rPr>
              <w:t>对项目可能存在的风险提出针对性的风险控制措施</w:t>
            </w:r>
            <w:r>
              <w:rPr>
                <w:rFonts w:hint="eastAsia" w:ascii="宋体" w:hAnsi="宋体" w:eastAsia="宋体" w:cs="仿宋"/>
                <w:bCs/>
                <w:color w:val="auto"/>
                <w:szCs w:val="21"/>
                <w:highlight w:val="none"/>
              </w:rPr>
              <w:t>，针对本项目的各项重难点工作要求理解准确、全面</w:t>
            </w:r>
            <w:r>
              <w:rPr>
                <w:rFonts w:hint="eastAsia" w:ascii="宋体" w:hAnsi="宋体" w:cs="仿宋"/>
                <w:bCs/>
                <w:color w:val="auto"/>
                <w:szCs w:val="21"/>
                <w:highlight w:val="none"/>
                <w:lang w:eastAsia="zh-CN"/>
              </w:rPr>
              <w:t>，</w:t>
            </w:r>
            <w:r>
              <w:rPr>
                <w:rFonts w:hint="eastAsia" w:ascii="宋体" w:hAnsi="宋体" w:eastAsia="宋体" w:cs="仿宋"/>
                <w:bCs/>
                <w:color w:val="auto"/>
                <w:szCs w:val="21"/>
                <w:highlight w:val="none"/>
              </w:rPr>
              <w:t>得15分</w:t>
            </w:r>
            <w:r>
              <w:rPr>
                <w:rFonts w:hint="eastAsia" w:ascii="宋体" w:hAnsi="宋体" w:cs="仿宋"/>
                <w:bCs/>
                <w:color w:val="auto"/>
                <w:szCs w:val="21"/>
                <w:highlight w:val="none"/>
                <w:lang w:eastAsia="zh-CN"/>
              </w:rPr>
              <w:t>。</w:t>
            </w:r>
          </w:p>
          <w:p w14:paraId="11D964ED">
            <w:pPr>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Cs w:val="21"/>
                <w:highlight w:val="none"/>
                <w:lang w:val="en-US" w:eastAsia="zh-CN"/>
              </w:rPr>
              <w:t>注：</w:t>
            </w:r>
            <w:r>
              <w:rPr>
                <w:rFonts w:hint="eastAsia" w:ascii="宋体" w:hAnsi="宋体" w:eastAsia="宋体" w:cs="宋体"/>
                <w:color w:val="auto"/>
                <w:szCs w:val="21"/>
                <w:highlight w:val="none"/>
              </w:rPr>
              <w:t>未提供</w:t>
            </w:r>
            <w:r>
              <w:rPr>
                <w:rFonts w:hint="eastAsia" w:ascii="宋体" w:hAnsi="宋体" w:cs="宋体"/>
                <w:color w:val="auto"/>
                <w:szCs w:val="21"/>
                <w:highlight w:val="none"/>
                <w:lang w:val="en-US" w:eastAsia="zh-CN"/>
              </w:rPr>
              <w:t>该项</w:t>
            </w:r>
            <w:r>
              <w:rPr>
                <w:rFonts w:hint="eastAsia" w:ascii="宋体" w:hAnsi="宋体" w:eastAsia="宋体" w:cs="宋体"/>
                <w:color w:val="auto"/>
                <w:szCs w:val="21"/>
                <w:highlight w:val="none"/>
              </w:rPr>
              <w:t>方案</w:t>
            </w:r>
            <w:r>
              <w:rPr>
                <w:rFonts w:hint="eastAsia" w:ascii="宋体" w:hAnsi="宋体" w:cs="宋体"/>
                <w:color w:val="auto"/>
                <w:szCs w:val="21"/>
                <w:highlight w:val="none"/>
                <w:lang w:val="en-US" w:eastAsia="zh-CN"/>
              </w:rPr>
              <w:t>或未达到最低档要求不得分</w:t>
            </w:r>
            <w:r>
              <w:rPr>
                <w:rFonts w:hint="eastAsia" w:ascii="宋体" w:hAnsi="宋体" w:eastAsia="宋体" w:cs="宋体"/>
                <w:color w:val="auto"/>
                <w:szCs w:val="21"/>
                <w:highlight w:val="none"/>
                <w:lang w:eastAsia="zh-CN"/>
              </w:rPr>
              <w:t>。</w:t>
            </w:r>
          </w:p>
        </w:tc>
      </w:tr>
      <w:tr w14:paraId="1D2BE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14" w:type="pct"/>
            <w:noWrap w:val="0"/>
            <w:vAlign w:val="center"/>
          </w:tcPr>
          <w:p w14:paraId="48BDE2F6">
            <w:pPr>
              <w:adjustRightInd w:val="0"/>
              <w:spacing w:line="360" w:lineRule="auto"/>
              <w:ind w:left="-105" w:leftChars="-50" w:right="-105" w:rightChars="-50"/>
              <w:jc w:val="center"/>
              <w:textAlignment w:val="baseline"/>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2.2</w:t>
            </w:r>
          </w:p>
        </w:tc>
        <w:tc>
          <w:tcPr>
            <w:tcW w:w="632" w:type="pct"/>
            <w:noWrap w:val="0"/>
            <w:vAlign w:val="center"/>
          </w:tcPr>
          <w:p w14:paraId="22232C0E">
            <w:pPr>
              <w:adjustRightInd w:val="0"/>
              <w:spacing w:line="360" w:lineRule="auto"/>
              <w:textAlignment w:val="baseline"/>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实施</w:t>
            </w:r>
            <w:r>
              <w:rPr>
                <w:rFonts w:hint="eastAsia" w:ascii="宋体" w:hAnsi="宋体" w:eastAsia="宋体" w:cs="宋体"/>
                <w:bCs/>
                <w:color w:val="auto"/>
                <w:kern w:val="0"/>
                <w:szCs w:val="21"/>
                <w:highlight w:val="none"/>
              </w:rPr>
              <w:t>方案分（满分</w:t>
            </w:r>
            <w:r>
              <w:rPr>
                <w:rFonts w:hint="eastAsia" w:ascii="宋体" w:hAnsi="宋体" w:cs="宋体"/>
                <w:bCs/>
                <w:color w:val="auto"/>
                <w:kern w:val="0"/>
                <w:szCs w:val="21"/>
                <w:highlight w:val="none"/>
                <w:lang w:val="en-US" w:eastAsia="zh-CN"/>
              </w:rPr>
              <w:t>20</w:t>
            </w:r>
            <w:r>
              <w:rPr>
                <w:rFonts w:hint="eastAsia" w:ascii="宋体" w:hAnsi="宋体" w:eastAsia="宋体" w:cs="宋体"/>
                <w:bCs/>
                <w:color w:val="auto"/>
                <w:kern w:val="0"/>
                <w:szCs w:val="21"/>
                <w:highlight w:val="none"/>
              </w:rPr>
              <w:t>分）</w:t>
            </w:r>
          </w:p>
        </w:tc>
        <w:tc>
          <w:tcPr>
            <w:tcW w:w="4053" w:type="pct"/>
            <w:noWrap w:val="0"/>
            <w:vAlign w:val="center"/>
          </w:tcPr>
          <w:p w14:paraId="1F1B819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一档（</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提供项目实施方案，含有实施流程</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基本满足项目实施要求</w:t>
            </w:r>
            <w:r>
              <w:rPr>
                <w:rFonts w:hint="eastAsia" w:ascii="宋体" w:hAnsi="宋体" w:eastAsia="宋体" w:cs="宋体"/>
                <w:color w:val="auto"/>
                <w:szCs w:val="21"/>
                <w:highlight w:val="none"/>
                <w:lang w:eastAsia="zh-CN"/>
              </w:rPr>
              <w:t>。</w:t>
            </w:r>
          </w:p>
          <w:p w14:paraId="4C06A58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二档（</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提供项目实施方案，包含</w:t>
            </w:r>
            <w:r>
              <w:rPr>
                <w:rFonts w:hint="eastAsia" w:ascii="宋体" w:hAnsi="宋体" w:eastAsia="宋体" w:cs="宋体"/>
                <w:color w:val="auto"/>
                <w:szCs w:val="21"/>
                <w:highlight w:val="none"/>
              </w:rPr>
              <w:t>实施目标、实施步骤、实施进度、人员配置及分工、风险识别和应对策略</w:t>
            </w:r>
            <w:r>
              <w:rPr>
                <w:rFonts w:hint="eastAsia" w:ascii="宋体" w:hAnsi="宋体" w:eastAsia="宋体" w:cs="宋体"/>
                <w:color w:val="auto"/>
                <w:szCs w:val="21"/>
                <w:highlight w:val="none"/>
                <w:lang w:eastAsia="zh-CN"/>
              </w:rPr>
              <w:t>。</w:t>
            </w:r>
          </w:p>
          <w:p w14:paraId="73899EE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三档（</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提供项目实施方案，能描述本项目实施流程，有针对性</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实施方案包含实施目标、实施步骤、实施进度、布展用料方案、展览维护方案、人员配置及分工、风险识别和应对策略等，且能展开描述，对服务质量有控制方案和措施。</w:t>
            </w:r>
          </w:p>
          <w:p w14:paraId="59DDC3A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Cs w:val="21"/>
                <w:highlight w:val="none"/>
                <w:lang w:val="en-US" w:eastAsia="zh-CN"/>
              </w:rPr>
              <w:t>注：</w:t>
            </w:r>
            <w:r>
              <w:rPr>
                <w:rFonts w:hint="eastAsia" w:ascii="宋体" w:hAnsi="宋体" w:eastAsia="宋体" w:cs="宋体"/>
                <w:color w:val="auto"/>
                <w:szCs w:val="21"/>
                <w:highlight w:val="none"/>
              </w:rPr>
              <w:t>未提供</w:t>
            </w:r>
            <w:r>
              <w:rPr>
                <w:rFonts w:hint="eastAsia" w:ascii="宋体" w:hAnsi="宋体" w:cs="宋体"/>
                <w:color w:val="auto"/>
                <w:szCs w:val="21"/>
                <w:highlight w:val="none"/>
                <w:lang w:val="en-US" w:eastAsia="zh-CN"/>
              </w:rPr>
              <w:t>该项</w:t>
            </w:r>
            <w:r>
              <w:rPr>
                <w:rFonts w:hint="eastAsia" w:ascii="宋体" w:hAnsi="宋体" w:eastAsia="宋体" w:cs="宋体"/>
                <w:color w:val="auto"/>
                <w:szCs w:val="21"/>
                <w:highlight w:val="none"/>
              </w:rPr>
              <w:t>方案</w:t>
            </w:r>
            <w:r>
              <w:rPr>
                <w:rFonts w:hint="eastAsia" w:ascii="宋体" w:hAnsi="宋体" w:cs="宋体"/>
                <w:color w:val="auto"/>
                <w:szCs w:val="21"/>
                <w:highlight w:val="none"/>
                <w:lang w:val="en-US" w:eastAsia="zh-CN"/>
              </w:rPr>
              <w:t>或未达到最低档要求不得分</w:t>
            </w:r>
            <w:r>
              <w:rPr>
                <w:rFonts w:hint="eastAsia" w:ascii="宋体" w:hAnsi="宋体" w:eastAsia="宋体" w:cs="宋体"/>
                <w:color w:val="auto"/>
                <w:szCs w:val="21"/>
                <w:highlight w:val="none"/>
                <w:lang w:eastAsia="zh-CN"/>
              </w:rPr>
              <w:t>。</w:t>
            </w:r>
          </w:p>
        </w:tc>
      </w:tr>
      <w:tr w14:paraId="636C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314" w:type="pct"/>
            <w:noWrap w:val="0"/>
            <w:vAlign w:val="center"/>
          </w:tcPr>
          <w:p w14:paraId="4527E523">
            <w:pPr>
              <w:adjustRightInd w:val="0"/>
              <w:spacing w:line="360" w:lineRule="auto"/>
              <w:ind w:left="-105" w:leftChars="-50" w:right="-105" w:rightChars="-50"/>
              <w:jc w:val="center"/>
              <w:textAlignment w:val="baseline"/>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2.</w:t>
            </w:r>
            <w:r>
              <w:rPr>
                <w:rFonts w:hint="eastAsia" w:ascii="宋体" w:hAnsi="宋体" w:cs="宋体"/>
                <w:bCs/>
                <w:color w:val="auto"/>
                <w:kern w:val="0"/>
                <w:szCs w:val="21"/>
                <w:highlight w:val="none"/>
                <w:lang w:val="en-US" w:eastAsia="zh-CN"/>
              </w:rPr>
              <w:t>3</w:t>
            </w:r>
          </w:p>
        </w:tc>
        <w:tc>
          <w:tcPr>
            <w:tcW w:w="632" w:type="pct"/>
            <w:noWrap w:val="0"/>
            <w:vAlign w:val="center"/>
          </w:tcPr>
          <w:p w14:paraId="7FAFCD79">
            <w:pPr>
              <w:spacing w:before="156" w:beforeLines="50" w:after="156" w:afterLines="50" w:line="336" w:lineRule="auto"/>
              <w:jc w:val="both"/>
              <w:outlineLvl w:val="1"/>
              <w:rPr>
                <w:rFonts w:hint="eastAsia" w:ascii="宋体" w:hAnsi="宋体" w:eastAsia="宋体" w:cs="宋体"/>
                <w:bCs/>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设计方案与总体效果分（满分</w:t>
            </w:r>
            <w:r>
              <w:rPr>
                <w:rFonts w:hint="eastAsia" w:ascii="宋体" w:hAnsi="宋体" w:cs="宋体"/>
                <w:color w:val="auto"/>
                <w:sz w:val="21"/>
                <w:szCs w:val="21"/>
                <w:highlight w:val="none"/>
                <w:lang w:val="en-US" w:eastAsia="zh-CN" w:bidi="ar-SA"/>
              </w:rPr>
              <w:t>20</w:t>
            </w:r>
            <w:r>
              <w:rPr>
                <w:rFonts w:hint="eastAsia" w:ascii="宋体" w:hAnsi="宋体" w:eastAsia="宋体" w:cs="宋体"/>
                <w:color w:val="auto"/>
                <w:sz w:val="21"/>
                <w:szCs w:val="21"/>
                <w:highlight w:val="none"/>
                <w:lang w:val="en-US" w:eastAsia="zh-CN" w:bidi="ar-SA"/>
              </w:rPr>
              <w:t>分）</w:t>
            </w:r>
          </w:p>
        </w:tc>
        <w:tc>
          <w:tcPr>
            <w:tcW w:w="4053" w:type="pct"/>
            <w:noWrap w:val="0"/>
            <w:vAlign w:val="center"/>
          </w:tcPr>
          <w:p w14:paraId="474D398B">
            <w:pPr>
              <w:keepNext w:val="0"/>
              <w:keepLines w:val="0"/>
              <w:pageBreakBefore w:val="0"/>
              <w:widowControl w:val="0"/>
              <w:tabs>
                <w:tab w:val="left" w:pos="632"/>
              </w:tab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lang w:val="en-US" w:eastAsia="zh-CN"/>
              </w:rPr>
              <w:t>一档（10分）</w:t>
            </w:r>
            <w:r>
              <w:rPr>
                <w:rFonts w:hint="eastAsia" w:ascii="宋体" w:hAnsi="宋体" w:eastAsia="宋体" w:cs="宋体"/>
                <w:color w:val="auto"/>
                <w:szCs w:val="21"/>
                <w:highlight w:val="none"/>
                <w:u w:val="none"/>
                <w:lang w:val="en-US" w:eastAsia="zh-CN"/>
              </w:rPr>
              <w:t>：设计效果基本符合</w:t>
            </w:r>
            <w:r>
              <w:rPr>
                <w:rFonts w:hint="eastAsia" w:ascii="宋体" w:hAnsi="宋体" w:cs="宋体"/>
                <w:color w:val="auto"/>
                <w:szCs w:val="21"/>
                <w:highlight w:val="none"/>
                <w:u w:val="none"/>
                <w:lang w:val="en-US" w:eastAsia="zh-CN"/>
              </w:rPr>
              <w:t>采购需求</w:t>
            </w:r>
            <w:r>
              <w:rPr>
                <w:rFonts w:hint="eastAsia" w:ascii="宋体" w:hAnsi="宋体" w:eastAsia="宋体" w:cs="宋体"/>
                <w:color w:val="auto"/>
                <w:szCs w:val="21"/>
                <w:highlight w:val="none"/>
                <w:u w:val="none"/>
                <w:lang w:val="en-US" w:eastAsia="zh-CN"/>
              </w:rPr>
              <w:t>的内容和形式，展厅设计能表达展示目的及意义，有设计效果图、施工图</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lang w:val="en-US" w:eastAsia="zh-CN"/>
              </w:rPr>
              <w:t>但设计图纸不够规范齐全，版面不够清晰；</w:t>
            </w:r>
          </w:p>
          <w:p w14:paraId="39970F8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二档（</w:t>
            </w:r>
            <w:r>
              <w:rPr>
                <w:rFonts w:hint="eastAsia" w:ascii="宋体" w:hAnsi="宋体" w:cs="宋体"/>
                <w:color w:val="auto"/>
                <w:szCs w:val="21"/>
                <w:highlight w:val="none"/>
                <w:u w:val="none"/>
                <w:lang w:val="en-US" w:eastAsia="zh-CN"/>
              </w:rPr>
              <w:t>15</w:t>
            </w:r>
            <w:r>
              <w:rPr>
                <w:rFonts w:hint="eastAsia" w:ascii="宋体" w:hAnsi="宋体" w:eastAsia="宋体" w:cs="宋体"/>
                <w:color w:val="auto"/>
                <w:szCs w:val="21"/>
                <w:highlight w:val="none"/>
                <w:u w:val="none"/>
                <w:lang w:val="en-US" w:eastAsia="zh-CN"/>
              </w:rPr>
              <w:t>分）：设计效果符合</w:t>
            </w:r>
            <w:r>
              <w:rPr>
                <w:rFonts w:hint="eastAsia" w:ascii="宋体" w:hAnsi="宋体" w:cs="宋体"/>
                <w:color w:val="auto"/>
                <w:szCs w:val="21"/>
                <w:highlight w:val="none"/>
                <w:u w:val="none"/>
                <w:lang w:val="en-US" w:eastAsia="zh-CN"/>
              </w:rPr>
              <w:t>采购需求</w:t>
            </w:r>
            <w:r>
              <w:rPr>
                <w:rFonts w:hint="eastAsia" w:ascii="宋体" w:hAnsi="宋体" w:eastAsia="宋体" w:cs="宋体"/>
                <w:color w:val="auto"/>
                <w:szCs w:val="21"/>
                <w:highlight w:val="none"/>
                <w:u w:val="none"/>
                <w:lang w:val="en-US" w:eastAsia="zh-CN"/>
              </w:rPr>
              <w:t>的内容和形式，展厅设计合理且能准确表达展示目的及意义；效果图、施工图设计方案整体效果切合主题，符合采购人的实际应用场所</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lang w:val="en-US" w:eastAsia="zh-CN"/>
              </w:rPr>
              <w:t>设计图纸规范齐全，版面清晰；</w:t>
            </w:r>
          </w:p>
          <w:p w14:paraId="70C5F0C2">
            <w:pPr>
              <w:keepNext w:val="0"/>
              <w:keepLines w:val="0"/>
              <w:pageBreakBefore w:val="0"/>
              <w:widowControl w:val="0"/>
              <w:tabs>
                <w:tab w:val="left" w:pos="632"/>
              </w:tab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三档（</w:t>
            </w:r>
            <w:r>
              <w:rPr>
                <w:rFonts w:hint="eastAsia" w:ascii="宋体" w:hAnsi="宋体" w:cs="宋体"/>
                <w:color w:val="auto"/>
                <w:szCs w:val="21"/>
                <w:highlight w:val="none"/>
                <w:u w:val="none"/>
                <w:lang w:val="en-US" w:eastAsia="zh-CN"/>
              </w:rPr>
              <w:t>20</w:t>
            </w:r>
            <w:r>
              <w:rPr>
                <w:rFonts w:hint="eastAsia" w:ascii="宋体" w:hAnsi="宋体" w:eastAsia="宋体" w:cs="宋体"/>
                <w:color w:val="auto"/>
                <w:szCs w:val="21"/>
                <w:highlight w:val="none"/>
                <w:u w:val="none"/>
                <w:lang w:val="en-US" w:eastAsia="zh-CN"/>
              </w:rPr>
              <w:t>分）：设计效果完全符合</w:t>
            </w:r>
            <w:r>
              <w:rPr>
                <w:rFonts w:hint="eastAsia" w:ascii="宋体" w:hAnsi="宋体" w:cs="宋体"/>
                <w:color w:val="auto"/>
                <w:szCs w:val="21"/>
                <w:highlight w:val="none"/>
                <w:u w:val="none"/>
                <w:lang w:val="en-US" w:eastAsia="zh-CN"/>
              </w:rPr>
              <w:t>采购需求</w:t>
            </w:r>
            <w:r>
              <w:rPr>
                <w:rFonts w:hint="eastAsia" w:ascii="宋体" w:hAnsi="宋体" w:eastAsia="宋体" w:cs="宋体"/>
                <w:color w:val="auto"/>
                <w:szCs w:val="21"/>
                <w:highlight w:val="none"/>
                <w:u w:val="none"/>
                <w:lang w:val="en-US" w:eastAsia="zh-CN"/>
              </w:rPr>
              <w:t>的内容和形式，主题鲜明、有针对性，展厅设计合理且能很好地表达展示目的及意义；效果图、施工图设计方案整体效果切合主题，有对场馆的细节展示，步骤清晰，符合</w:t>
            </w:r>
            <w:r>
              <w:rPr>
                <w:rFonts w:hint="eastAsia" w:ascii="宋体" w:hAnsi="宋体" w:cs="宋体"/>
                <w:color w:val="auto"/>
                <w:szCs w:val="21"/>
                <w:highlight w:val="none"/>
                <w:u w:val="none"/>
                <w:lang w:val="en-US" w:eastAsia="zh-CN"/>
              </w:rPr>
              <w:t>展馆的</w:t>
            </w:r>
            <w:r>
              <w:rPr>
                <w:rFonts w:hint="eastAsia" w:ascii="宋体" w:hAnsi="宋体" w:eastAsia="宋体" w:cs="宋体"/>
                <w:color w:val="auto"/>
                <w:szCs w:val="21"/>
                <w:highlight w:val="none"/>
                <w:u w:val="none"/>
                <w:lang w:val="en-US" w:eastAsia="zh-CN"/>
              </w:rPr>
              <w:t>实际施工</w:t>
            </w:r>
            <w:r>
              <w:rPr>
                <w:rFonts w:hint="eastAsia" w:ascii="宋体" w:hAnsi="宋体" w:cs="宋体"/>
                <w:color w:val="auto"/>
                <w:szCs w:val="21"/>
                <w:highlight w:val="none"/>
                <w:u w:val="none"/>
                <w:lang w:val="en-US" w:eastAsia="zh-CN"/>
              </w:rPr>
              <w:t>情况</w:t>
            </w:r>
            <w:r>
              <w:rPr>
                <w:rFonts w:hint="eastAsia" w:ascii="宋体" w:hAnsi="宋体" w:eastAsia="宋体" w:cs="宋体"/>
                <w:color w:val="auto"/>
                <w:szCs w:val="21"/>
                <w:highlight w:val="none"/>
                <w:u w:val="none"/>
                <w:lang w:val="en-US" w:eastAsia="zh-CN"/>
              </w:rPr>
              <w:t>，有利于保障项目顺利实施。设计思路、设计理念、功能定位符合项目实际情况；设计图纸规范齐全，版面清晰；有配套展览海报、手册等宣传设计。</w:t>
            </w:r>
          </w:p>
          <w:p w14:paraId="49577D79">
            <w:pPr>
              <w:keepNext w:val="0"/>
              <w:keepLines w:val="0"/>
              <w:pageBreakBefore w:val="0"/>
              <w:widowControl w:val="0"/>
              <w:tabs>
                <w:tab w:val="left" w:pos="632"/>
              </w:tab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注：</w:t>
            </w:r>
            <w:r>
              <w:rPr>
                <w:rFonts w:hint="eastAsia" w:ascii="宋体" w:hAnsi="宋体" w:eastAsia="宋体" w:cs="宋体"/>
                <w:color w:val="auto"/>
                <w:szCs w:val="21"/>
                <w:highlight w:val="none"/>
              </w:rPr>
              <w:t>未提供</w:t>
            </w:r>
            <w:r>
              <w:rPr>
                <w:rFonts w:hint="eastAsia" w:ascii="宋体" w:hAnsi="宋体" w:eastAsia="宋体" w:cs="宋体"/>
                <w:color w:val="auto"/>
                <w:szCs w:val="21"/>
                <w:highlight w:val="none"/>
                <w:lang w:eastAsia="zh-CN"/>
              </w:rPr>
              <w:t>设计效果图</w:t>
            </w:r>
            <w:r>
              <w:rPr>
                <w:rFonts w:hint="eastAsia" w:ascii="宋体" w:hAnsi="宋体" w:eastAsia="宋体" w:cs="宋体"/>
                <w:color w:val="auto"/>
                <w:szCs w:val="21"/>
                <w:highlight w:val="none"/>
                <w:lang w:val="en-US" w:eastAsia="zh-CN"/>
              </w:rPr>
              <w:t>和施工图</w:t>
            </w:r>
            <w:r>
              <w:rPr>
                <w:rFonts w:hint="eastAsia" w:ascii="宋体" w:hAnsi="宋体" w:eastAsia="宋体" w:cs="宋体"/>
                <w:color w:val="auto"/>
                <w:szCs w:val="21"/>
                <w:highlight w:val="none"/>
              </w:rPr>
              <w:t>，得0分。</w:t>
            </w:r>
          </w:p>
        </w:tc>
      </w:tr>
      <w:tr w14:paraId="596E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314" w:type="pct"/>
            <w:noWrap w:val="0"/>
            <w:vAlign w:val="center"/>
          </w:tcPr>
          <w:p w14:paraId="76652C12">
            <w:pPr>
              <w:adjustRightInd w:val="0"/>
              <w:spacing w:line="360" w:lineRule="auto"/>
              <w:ind w:left="-105" w:leftChars="-50" w:right="-105" w:rightChars="-50"/>
              <w:jc w:val="center"/>
              <w:textAlignment w:val="baseline"/>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2.4</w:t>
            </w:r>
          </w:p>
        </w:tc>
        <w:tc>
          <w:tcPr>
            <w:tcW w:w="1253" w:type="dxa"/>
            <w:noWrap w:val="0"/>
            <w:vAlign w:val="center"/>
          </w:tcPr>
          <w:p w14:paraId="2E7F2636">
            <w:pPr>
              <w:spacing w:before="156" w:beforeLines="50" w:after="156" w:afterLines="50" w:line="336" w:lineRule="auto"/>
              <w:jc w:val="both"/>
              <w:outlineLvl w:val="1"/>
              <w:rPr>
                <w:rFonts w:hint="eastAsia" w:ascii="宋体" w:hAnsi="宋体" w:eastAsia="宋体"/>
                <w:color w:val="auto"/>
                <w:kern w:val="0"/>
                <w:szCs w:val="21"/>
                <w:highlight w:val="none"/>
              </w:rPr>
            </w:pPr>
            <w:r>
              <w:rPr>
                <w:rFonts w:hint="eastAsia" w:ascii="宋体" w:hAnsi="宋体" w:eastAsia="宋体"/>
                <w:color w:val="auto"/>
                <w:kern w:val="0"/>
                <w:szCs w:val="21"/>
              </w:rPr>
              <w:t>功能及空间规划、动线规划（满分</w:t>
            </w:r>
            <w:r>
              <w:rPr>
                <w:rFonts w:hint="eastAsia" w:ascii="宋体" w:hAnsi="宋体" w:eastAsia="宋体"/>
                <w:color w:val="auto"/>
                <w:kern w:val="0"/>
                <w:szCs w:val="21"/>
                <w:lang w:val="en-US" w:eastAsia="zh-CN"/>
              </w:rPr>
              <w:t>25</w:t>
            </w:r>
            <w:r>
              <w:rPr>
                <w:rFonts w:hint="eastAsia" w:ascii="宋体" w:hAnsi="宋体" w:eastAsia="宋体"/>
                <w:color w:val="auto"/>
                <w:kern w:val="0"/>
                <w:szCs w:val="21"/>
              </w:rPr>
              <w:t>分）</w:t>
            </w:r>
          </w:p>
        </w:tc>
        <w:tc>
          <w:tcPr>
            <w:tcW w:w="8038" w:type="dxa"/>
            <w:noWrap w:val="0"/>
            <w:vAlign w:val="center"/>
          </w:tcPr>
          <w:p w14:paraId="5DEF44BE">
            <w:pPr>
              <w:adjustRightInd/>
              <w:spacing w:line="380" w:lineRule="exact"/>
              <w:jc w:val="left"/>
              <w:textAlignment w:val="auto"/>
              <w:rPr>
                <w:rFonts w:ascii="宋体" w:hAnsi="宋体" w:eastAsia="宋体" w:cs="宋体"/>
                <w:color w:val="auto"/>
                <w:szCs w:val="21"/>
                <w:highlight w:val="none"/>
              </w:rPr>
            </w:pPr>
            <w:r>
              <w:rPr>
                <w:rFonts w:hint="eastAsia" w:ascii="宋体" w:hAnsi="宋体" w:cs="宋体"/>
                <w:color w:val="auto"/>
                <w:szCs w:val="21"/>
                <w:highlight w:val="none"/>
                <w:lang w:val="en-US" w:eastAsia="zh-CN"/>
              </w:rPr>
              <w:t>一</w:t>
            </w:r>
            <w:r>
              <w:rPr>
                <w:rFonts w:hint="eastAsia" w:ascii="宋体" w:hAnsi="宋体" w:eastAsia="宋体" w:cs="宋体"/>
                <w:color w:val="auto"/>
                <w:szCs w:val="21"/>
                <w:highlight w:val="none"/>
              </w:rPr>
              <w:t>档（</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分）：整体空间设计布局规划基本符合要求，设计理念基本合理，基本能满足功能和采购文件要求，但无设计说明，展厅内的参观动线设计基本符合要求，符合展厅主题特点，参观游人动线分析科学性基本符合要求，人流导向基本合理，展览效果基本符合要求，得5分；</w:t>
            </w:r>
          </w:p>
          <w:p w14:paraId="10558291">
            <w:pPr>
              <w:adjustRightInd/>
              <w:spacing w:line="380" w:lineRule="exact"/>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二档（</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0分）：整体空间设计布局规划较为科学、合理，设计较为先进、理念较为新颖，较好地满足功能和采购文件要求，并附有设计说明，展厅内的参观动线设计比较符合展厅主题特点，参观游人动线分析较为科学，人流导向较合理，较好地达到展览效果，得10分；</w:t>
            </w:r>
          </w:p>
          <w:p w14:paraId="6D204BF2">
            <w:pPr>
              <w:adjustRightInd/>
              <w:spacing w:line="380" w:lineRule="exact"/>
              <w:jc w:val="left"/>
              <w:textAlignment w:val="auto"/>
              <w:rPr>
                <w:rFonts w:ascii="宋体" w:hAnsi="宋体" w:eastAsia="宋体" w:cs="宋体"/>
                <w:color w:val="auto"/>
                <w:szCs w:val="21"/>
                <w:highlight w:val="none"/>
              </w:rPr>
            </w:pP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rPr>
              <w:t>档（</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5分）：整体空间设计布局规划高度科学、合理，设计先进、理念新颖，很好地满足功能和采购文件要求，并附有详细设计说明。展厅内的参观动线设计高度符合展厅主题特点，参观游人动线分析科学，人流导向合理，充分考虑人流聚集、疏散的线路，很好地达到展览效果，得15分；</w:t>
            </w:r>
          </w:p>
          <w:p w14:paraId="08A09860">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w:t>
            </w:r>
            <w:r>
              <w:rPr>
                <w:rFonts w:hint="eastAsia" w:ascii="宋体" w:hAnsi="宋体" w:eastAsia="宋体" w:cs="宋体"/>
                <w:color w:val="auto"/>
                <w:szCs w:val="21"/>
                <w:highlight w:val="none"/>
              </w:rPr>
              <w:t>未提供</w:t>
            </w:r>
            <w:r>
              <w:rPr>
                <w:rFonts w:hint="eastAsia" w:ascii="宋体" w:hAnsi="宋体" w:cs="宋体"/>
                <w:color w:val="auto"/>
                <w:szCs w:val="21"/>
                <w:highlight w:val="none"/>
                <w:lang w:val="en-US" w:eastAsia="zh-CN"/>
              </w:rPr>
              <w:t>该项</w:t>
            </w:r>
            <w:r>
              <w:rPr>
                <w:rFonts w:hint="eastAsia" w:ascii="宋体" w:hAnsi="宋体" w:eastAsia="宋体" w:cs="宋体"/>
                <w:color w:val="auto"/>
                <w:szCs w:val="21"/>
                <w:highlight w:val="none"/>
              </w:rPr>
              <w:t>方案</w:t>
            </w:r>
            <w:r>
              <w:rPr>
                <w:rFonts w:hint="eastAsia" w:ascii="宋体" w:hAnsi="宋体" w:cs="宋体"/>
                <w:color w:val="auto"/>
                <w:szCs w:val="21"/>
                <w:highlight w:val="none"/>
                <w:lang w:val="en-US" w:eastAsia="zh-CN"/>
              </w:rPr>
              <w:t>或未达到最低档要求不得分</w:t>
            </w:r>
            <w:r>
              <w:rPr>
                <w:rFonts w:hint="eastAsia" w:ascii="宋体" w:hAnsi="宋体" w:eastAsia="宋体" w:cs="宋体"/>
                <w:color w:val="auto"/>
                <w:szCs w:val="21"/>
                <w:highlight w:val="none"/>
                <w:lang w:eastAsia="zh-CN"/>
              </w:rPr>
              <w:t>。</w:t>
            </w:r>
          </w:p>
        </w:tc>
      </w:tr>
      <w:tr w14:paraId="6E068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 w:type="pct"/>
            <w:noWrap w:val="0"/>
            <w:vAlign w:val="center"/>
          </w:tcPr>
          <w:p w14:paraId="00D7BBE3">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w:t>
            </w:r>
          </w:p>
        </w:tc>
        <w:tc>
          <w:tcPr>
            <w:tcW w:w="632" w:type="pct"/>
            <w:noWrap w:val="0"/>
            <w:vAlign w:val="center"/>
          </w:tcPr>
          <w:p w14:paraId="0B939A3C">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商务分</w:t>
            </w:r>
          </w:p>
        </w:tc>
        <w:tc>
          <w:tcPr>
            <w:tcW w:w="4053" w:type="pct"/>
            <w:noWrap w:val="0"/>
            <w:vAlign w:val="center"/>
          </w:tcPr>
          <w:p w14:paraId="67438482">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bCs/>
                <w:color w:val="auto"/>
                <w:kern w:val="0"/>
                <w:szCs w:val="21"/>
                <w:highlight w:val="none"/>
              </w:rPr>
              <w:t>评分内容与标准</w:t>
            </w:r>
          </w:p>
        </w:tc>
      </w:tr>
      <w:tr w14:paraId="10B14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 w:type="pct"/>
            <w:noWrap w:val="0"/>
            <w:vAlign w:val="center"/>
          </w:tcPr>
          <w:p w14:paraId="6D3893B0">
            <w:pPr>
              <w:widowControl/>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3.</w:t>
            </w:r>
            <w:r>
              <w:rPr>
                <w:rFonts w:hint="eastAsia" w:ascii="宋体" w:hAnsi="宋体" w:cs="宋体"/>
                <w:color w:val="auto"/>
                <w:kern w:val="0"/>
                <w:szCs w:val="21"/>
                <w:highlight w:val="none"/>
                <w:lang w:val="en-US" w:eastAsia="zh-CN"/>
              </w:rPr>
              <w:t>1</w:t>
            </w:r>
          </w:p>
        </w:tc>
        <w:tc>
          <w:tcPr>
            <w:tcW w:w="632" w:type="pct"/>
            <w:noWrap w:val="0"/>
            <w:vAlign w:val="center"/>
          </w:tcPr>
          <w:p w14:paraId="7DCFEB51">
            <w:pPr>
              <w:widowControl/>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业绩</w:t>
            </w:r>
            <w:r>
              <w:rPr>
                <w:rFonts w:hint="eastAsia" w:ascii="宋体" w:hAnsi="宋体" w:eastAsia="宋体" w:cs="宋体"/>
                <w:bCs/>
                <w:color w:val="auto"/>
                <w:szCs w:val="21"/>
                <w:highlight w:val="none"/>
                <w:lang w:eastAsia="zh-CN"/>
              </w:rPr>
              <w:t>分</w:t>
            </w:r>
          </w:p>
          <w:p w14:paraId="42BE1EA9">
            <w:pPr>
              <w:widowControl/>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（满分</w:t>
            </w:r>
            <w:r>
              <w:rPr>
                <w:rFonts w:hint="eastAsia" w:ascii="宋体" w:hAnsi="宋体" w:eastAsia="宋体" w:cs="宋体"/>
                <w:bCs/>
                <w:color w:val="auto"/>
                <w:szCs w:val="21"/>
                <w:highlight w:val="none"/>
                <w:lang w:val="en-US" w:eastAsia="zh-CN"/>
              </w:rPr>
              <w:t>10</w:t>
            </w:r>
            <w:r>
              <w:rPr>
                <w:rFonts w:hint="eastAsia" w:ascii="宋体" w:hAnsi="宋体" w:eastAsia="宋体" w:cs="宋体"/>
                <w:bCs/>
                <w:color w:val="auto"/>
                <w:szCs w:val="21"/>
                <w:highlight w:val="none"/>
              </w:rPr>
              <w:t>分）</w:t>
            </w:r>
          </w:p>
        </w:tc>
        <w:tc>
          <w:tcPr>
            <w:tcW w:w="4053" w:type="pct"/>
            <w:noWrap w:val="0"/>
            <w:vAlign w:val="top"/>
          </w:tcPr>
          <w:p w14:paraId="6F675648">
            <w:pPr>
              <w:widowControl/>
              <w:spacing w:line="360" w:lineRule="auto"/>
              <w:rPr>
                <w:rFonts w:hint="eastAsia" w:ascii="宋体" w:hAnsi="宋体" w:eastAsia="宋体" w:cs="宋体"/>
                <w:color w:val="auto"/>
                <w:kern w:val="0"/>
                <w:szCs w:val="21"/>
                <w:highlight w:val="none"/>
              </w:rPr>
            </w:pPr>
            <w:bookmarkStart w:id="125" w:name="_GoBack"/>
            <w:r>
              <w:rPr>
                <w:rFonts w:hint="eastAsia" w:ascii="宋体" w:hAnsi="宋体" w:eastAsia="宋体" w:cs="宋体"/>
                <w:color w:val="auto"/>
                <w:szCs w:val="21"/>
                <w:highlight w:val="none"/>
                <w:lang w:val="en-US" w:eastAsia="zh-CN"/>
              </w:rPr>
              <w:t>供应商202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年1月1日至响应文件递交截止时间</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具有同类项目业绩</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lang w:val="en-US" w:eastAsia="zh-CN"/>
              </w:rPr>
              <w:t>，每提供一项得2分，满分10分。【注：需在响应文件中提供前述类似项目业绩的合同或者中标（成交）通知书复印件并加盖供应商公章，未按要求提供的不得分】</w:t>
            </w:r>
            <w:r>
              <w:rPr>
                <w:rFonts w:hint="eastAsia" w:ascii="宋体" w:hAnsi="宋体" w:eastAsia="宋体" w:cs="宋体"/>
                <w:color w:val="auto"/>
                <w:szCs w:val="21"/>
                <w:highlight w:val="none"/>
                <w:lang w:eastAsia="zh-CN"/>
              </w:rPr>
              <w:t>。</w:t>
            </w:r>
            <w:bookmarkEnd w:id="125"/>
          </w:p>
        </w:tc>
      </w:tr>
      <w:tr w14:paraId="5D0C8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000" w:type="pct"/>
            <w:gridSpan w:val="3"/>
            <w:noWrap w:val="0"/>
            <w:vAlign w:val="top"/>
          </w:tcPr>
          <w:p w14:paraId="592A6832">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总得分＝1＋2＋3</w:t>
            </w:r>
          </w:p>
        </w:tc>
      </w:tr>
    </w:tbl>
    <w:p w14:paraId="17853DEB">
      <w:pPr>
        <w:spacing w:line="360" w:lineRule="auto"/>
        <w:ind w:firstLine="420" w:firstLineChars="200"/>
        <w:rPr>
          <w:rFonts w:hint="eastAsia" w:ascii="宋体" w:hAnsi="宋体"/>
          <w:bCs/>
          <w:color w:val="auto"/>
          <w:szCs w:val="21"/>
          <w:highlight w:val="none"/>
        </w:rPr>
      </w:pPr>
    </w:p>
    <w:p w14:paraId="3A69BE65">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w:t>
      </w:r>
      <w:r>
        <w:rPr>
          <w:rFonts w:ascii="宋体" w:hAnsi="宋体"/>
          <w:bCs/>
          <w:color w:val="auto"/>
          <w:szCs w:val="21"/>
          <w:highlight w:val="none"/>
        </w:rPr>
        <w:t>.</w:t>
      </w:r>
      <w:r>
        <w:rPr>
          <w:rFonts w:hint="eastAsia" w:ascii="宋体" w:hAnsi="宋体"/>
          <w:bCs/>
          <w:color w:val="auto"/>
          <w:szCs w:val="21"/>
          <w:highlight w:val="none"/>
        </w:rPr>
        <w:t>评审依据：磋商小组将以磋商响应文件为评审依据，对供应商的报价、技术、商务等方面内容按百分制打分。（计分方法按四舍五入取至百分位）</w:t>
      </w:r>
    </w:p>
    <w:p w14:paraId="7B4A149D">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7.</w:t>
      </w:r>
      <w:r>
        <w:rPr>
          <w:rFonts w:hint="eastAsia" w:ascii="宋体" w:hAnsi="宋体"/>
          <w:bCs/>
          <w:color w:val="auto"/>
          <w:szCs w:val="21"/>
          <w:highlight w:val="none"/>
        </w:rPr>
        <w:t>1每分标由磋商小组根据综合评分情况，按照评审得分由高到低顺序推荐3名成交候选供应商，并编写评审报告，</w:t>
      </w:r>
      <w:r>
        <w:rPr>
          <w:rFonts w:hint="eastAsia" w:ascii="宋体" w:hAnsi="宋体" w:cs="宋体"/>
          <w:color w:val="auto"/>
          <w:highlight w:val="none"/>
        </w:rPr>
        <w:t>评审报告</w:t>
      </w:r>
      <w:r>
        <w:rPr>
          <w:rFonts w:hint="eastAsia" w:hAnsi="宋体"/>
          <w:color w:val="auto"/>
          <w:highlight w:val="none"/>
        </w:rPr>
        <w:t>通过电子交易平台向采购人、采购代理机构提交。</w:t>
      </w:r>
      <w:r>
        <w:rPr>
          <w:rFonts w:hint="eastAsia" w:ascii="宋体" w:hAnsi="宋体"/>
          <w:bCs/>
          <w:color w:val="auto"/>
          <w:szCs w:val="21"/>
          <w:highlight w:val="none"/>
        </w:rPr>
        <w:t>符合本章第</w:t>
      </w:r>
      <w:r>
        <w:rPr>
          <w:rFonts w:ascii="宋体" w:hAnsi="宋体"/>
          <w:bCs/>
          <w:color w:val="auto"/>
          <w:szCs w:val="21"/>
          <w:highlight w:val="none"/>
        </w:rPr>
        <w:t>4.3</w:t>
      </w:r>
      <w:r>
        <w:rPr>
          <w:rFonts w:hint="eastAsia" w:ascii="宋体" w:hAnsi="宋体"/>
          <w:bCs/>
          <w:color w:val="auto"/>
          <w:szCs w:val="21"/>
          <w:highlight w:val="none"/>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14:paraId="47D1F24D">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7.2本项目分为分标</w:t>
      </w:r>
      <w:r>
        <w:rPr>
          <w:rFonts w:hint="eastAsia" w:ascii="宋体" w:hAnsi="宋体"/>
          <w:b/>
          <w:color w:val="auto"/>
          <w:szCs w:val="21"/>
          <w:highlight w:val="none"/>
          <w:lang w:val="en-US" w:eastAsia="zh-CN"/>
        </w:rPr>
        <w:t>1</w:t>
      </w:r>
      <w:r>
        <w:rPr>
          <w:rFonts w:hint="eastAsia" w:ascii="宋体" w:hAnsi="宋体"/>
          <w:b/>
          <w:color w:val="auto"/>
          <w:szCs w:val="21"/>
          <w:highlight w:val="none"/>
        </w:rPr>
        <w:t>、分标</w:t>
      </w:r>
      <w:r>
        <w:rPr>
          <w:rFonts w:hint="eastAsia" w:ascii="宋体" w:hAnsi="宋体"/>
          <w:b/>
          <w:color w:val="auto"/>
          <w:szCs w:val="21"/>
          <w:highlight w:val="none"/>
          <w:lang w:val="en-US" w:eastAsia="zh-CN"/>
        </w:rPr>
        <w:t>2</w:t>
      </w:r>
      <w:r>
        <w:rPr>
          <w:rFonts w:hint="eastAsia" w:ascii="宋体" w:hAnsi="宋体"/>
          <w:b/>
          <w:color w:val="auto"/>
          <w:szCs w:val="21"/>
          <w:highlight w:val="none"/>
        </w:rPr>
        <w:t>、分标</w:t>
      </w:r>
      <w:r>
        <w:rPr>
          <w:rFonts w:hint="eastAsia" w:ascii="宋体" w:hAnsi="宋体"/>
          <w:b/>
          <w:color w:val="auto"/>
          <w:szCs w:val="21"/>
          <w:highlight w:val="none"/>
          <w:lang w:val="en-US" w:eastAsia="zh-CN"/>
        </w:rPr>
        <w:t>3、分标4</w:t>
      </w:r>
      <w:r>
        <w:rPr>
          <w:rFonts w:hint="eastAsia" w:ascii="宋体" w:hAnsi="宋体"/>
          <w:b/>
          <w:color w:val="auto"/>
          <w:szCs w:val="21"/>
          <w:highlight w:val="none"/>
        </w:rPr>
        <w:t>，共</w:t>
      </w:r>
      <w:r>
        <w:rPr>
          <w:rFonts w:hint="eastAsia" w:ascii="宋体" w:hAnsi="宋体"/>
          <w:b/>
          <w:color w:val="auto"/>
          <w:szCs w:val="21"/>
          <w:highlight w:val="none"/>
          <w:lang w:val="en-US" w:eastAsia="zh-CN"/>
        </w:rPr>
        <w:t>4</w:t>
      </w:r>
      <w:r>
        <w:rPr>
          <w:rFonts w:hint="eastAsia" w:ascii="宋体" w:hAnsi="宋体"/>
          <w:b/>
          <w:color w:val="auto"/>
          <w:szCs w:val="21"/>
          <w:highlight w:val="none"/>
        </w:rPr>
        <w:t>个分标，一个供应商可同时投多个分标，但其最多只能成为一个分标的成交供应商。评标时按分标</w:t>
      </w:r>
      <w:r>
        <w:rPr>
          <w:rFonts w:hint="eastAsia" w:ascii="宋体" w:hAnsi="宋体"/>
          <w:b/>
          <w:color w:val="auto"/>
          <w:szCs w:val="21"/>
          <w:highlight w:val="none"/>
          <w:lang w:val="en-US" w:eastAsia="zh-CN"/>
        </w:rPr>
        <w:t>1</w:t>
      </w:r>
      <w:r>
        <w:rPr>
          <w:rFonts w:hint="eastAsia" w:ascii="宋体" w:hAnsi="宋体"/>
          <w:b/>
          <w:color w:val="auto"/>
          <w:szCs w:val="21"/>
          <w:highlight w:val="none"/>
        </w:rPr>
        <w:t>、分标</w:t>
      </w:r>
      <w:r>
        <w:rPr>
          <w:rFonts w:hint="eastAsia" w:ascii="宋体" w:hAnsi="宋体"/>
          <w:b/>
          <w:color w:val="auto"/>
          <w:szCs w:val="21"/>
          <w:highlight w:val="none"/>
          <w:lang w:val="en-US" w:eastAsia="zh-CN"/>
        </w:rPr>
        <w:t>2</w:t>
      </w:r>
      <w:r>
        <w:rPr>
          <w:rFonts w:hint="eastAsia" w:ascii="宋体" w:hAnsi="宋体"/>
          <w:b/>
          <w:color w:val="auto"/>
          <w:szCs w:val="21"/>
          <w:highlight w:val="none"/>
        </w:rPr>
        <w:t>、分标</w:t>
      </w:r>
      <w:r>
        <w:rPr>
          <w:rFonts w:hint="eastAsia" w:ascii="宋体" w:hAnsi="宋体"/>
          <w:b/>
          <w:color w:val="auto"/>
          <w:szCs w:val="21"/>
          <w:highlight w:val="none"/>
          <w:lang w:val="en-US" w:eastAsia="zh-CN"/>
        </w:rPr>
        <w:t>3、分标4</w:t>
      </w:r>
      <w:r>
        <w:rPr>
          <w:rFonts w:hint="eastAsia" w:ascii="宋体" w:hAnsi="宋体"/>
          <w:b/>
          <w:color w:val="auto"/>
          <w:szCs w:val="21"/>
          <w:highlight w:val="none"/>
        </w:rPr>
        <w:t>的先后顺序进行评审。</w:t>
      </w:r>
    </w:p>
    <w:p w14:paraId="16748DDA">
      <w:pPr>
        <w:spacing w:line="360" w:lineRule="auto"/>
        <w:ind w:firstLine="420" w:firstLineChars="200"/>
        <w:rPr>
          <w:rFonts w:ascii="宋体" w:hAnsi="宋体"/>
          <w:color w:val="auto"/>
          <w:szCs w:val="21"/>
          <w:highlight w:val="none"/>
        </w:rPr>
      </w:pPr>
      <w:r>
        <w:rPr>
          <w:color w:val="auto"/>
          <w:highlight w:val="none"/>
        </w:rPr>
        <w:br w:type="page"/>
      </w:r>
    </w:p>
    <w:p w14:paraId="3C992FF0">
      <w:pPr>
        <w:rPr>
          <w:color w:val="auto"/>
          <w:highlight w:val="none"/>
        </w:rPr>
      </w:pPr>
    </w:p>
    <w:p w14:paraId="57F6BB37">
      <w:pPr>
        <w:rPr>
          <w:color w:val="auto"/>
          <w:highlight w:val="none"/>
        </w:rPr>
      </w:pPr>
    </w:p>
    <w:p w14:paraId="6A9B52CD">
      <w:pPr>
        <w:rPr>
          <w:color w:val="auto"/>
          <w:highlight w:val="none"/>
        </w:rPr>
      </w:pPr>
    </w:p>
    <w:p w14:paraId="6F484648">
      <w:pPr>
        <w:rPr>
          <w:color w:val="auto"/>
          <w:highlight w:val="none"/>
        </w:rPr>
      </w:pPr>
    </w:p>
    <w:p w14:paraId="7ACDF275">
      <w:pPr>
        <w:rPr>
          <w:color w:val="auto"/>
          <w:highlight w:val="none"/>
        </w:rPr>
      </w:pPr>
    </w:p>
    <w:p w14:paraId="0381A337">
      <w:pPr>
        <w:rPr>
          <w:color w:val="auto"/>
          <w:highlight w:val="none"/>
        </w:rPr>
      </w:pPr>
    </w:p>
    <w:p w14:paraId="63B10D53">
      <w:pPr>
        <w:rPr>
          <w:color w:val="auto"/>
          <w:highlight w:val="none"/>
        </w:rPr>
      </w:pPr>
    </w:p>
    <w:p w14:paraId="00082757">
      <w:pPr>
        <w:rPr>
          <w:color w:val="auto"/>
          <w:highlight w:val="none"/>
        </w:rPr>
      </w:pPr>
    </w:p>
    <w:p w14:paraId="01A20B49">
      <w:pPr>
        <w:rPr>
          <w:color w:val="auto"/>
          <w:highlight w:val="none"/>
        </w:rPr>
      </w:pPr>
    </w:p>
    <w:p w14:paraId="71C5BFDF">
      <w:pPr>
        <w:rPr>
          <w:color w:val="auto"/>
          <w:highlight w:val="none"/>
        </w:rPr>
      </w:pPr>
    </w:p>
    <w:p w14:paraId="07716CF4">
      <w:pPr>
        <w:rPr>
          <w:color w:val="auto"/>
          <w:highlight w:val="none"/>
        </w:rPr>
      </w:pPr>
    </w:p>
    <w:p w14:paraId="293E00ED">
      <w:pPr>
        <w:rPr>
          <w:color w:val="auto"/>
          <w:highlight w:val="none"/>
        </w:rPr>
      </w:pPr>
    </w:p>
    <w:p w14:paraId="6AF0576A">
      <w:pPr>
        <w:rPr>
          <w:color w:val="auto"/>
          <w:highlight w:val="none"/>
        </w:rPr>
      </w:pPr>
    </w:p>
    <w:p w14:paraId="1C70DECB">
      <w:pPr>
        <w:pStyle w:val="3"/>
        <w:jc w:val="center"/>
        <w:rPr>
          <w:color w:val="auto"/>
          <w:highlight w:val="none"/>
        </w:rPr>
      </w:pPr>
      <w:bookmarkStart w:id="68" w:name="_Toc151675540"/>
      <w:r>
        <w:rPr>
          <w:rFonts w:hint="eastAsia"/>
          <w:color w:val="auto"/>
          <w:highlight w:val="none"/>
        </w:rPr>
        <w:t xml:space="preserve">第五章 </w:t>
      </w:r>
      <w:r>
        <w:rPr>
          <w:color w:val="auto"/>
          <w:highlight w:val="none"/>
        </w:rPr>
        <w:t xml:space="preserve"> </w:t>
      </w:r>
      <w:r>
        <w:rPr>
          <w:rFonts w:hint="eastAsia"/>
          <w:color w:val="auto"/>
          <w:highlight w:val="none"/>
        </w:rPr>
        <w:t>响应文件格式</w:t>
      </w:r>
      <w:bookmarkEnd w:id="68"/>
    </w:p>
    <w:p w14:paraId="1DFDDC2A">
      <w:pPr>
        <w:spacing w:line="240" w:lineRule="atLeast"/>
        <w:rPr>
          <w:rFonts w:ascii="宋体" w:hAnsi="宋体"/>
          <w:b/>
          <w:color w:val="auto"/>
          <w:sz w:val="32"/>
          <w:szCs w:val="32"/>
          <w:highlight w:val="none"/>
        </w:rPr>
      </w:pPr>
    </w:p>
    <w:p w14:paraId="1D035285">
      <w:pPr>
        <w:spacing w:line="240" w:lineRule="atLeast"/>
        <w:rPr>
          <w:rFonts w:ascii="宋体" w:hAnsi="宋体"/>
          <w:b/>
          <w:color w:val="auto"/>
          <w:sz w:val="32"/>
          <w:szCs w:val="32"/>
          <w:highlight w:val="none"/>
        </w:rPr>
      </w:pPr>
    </w:p>
    <w:p w14:paraId="29882AE4">
      <w:pPr>
        <w:spacing w:line="240" w:lineRule="atLeast"/>
        <w:rPr>
          <w:rFonts w:ascii="宋体" w:hAnsi="宋体"/>
          <w:b/>
          <w:color w:val="auto"/>
          <w:sz w:val="32"/>
          <w:szCs w:val="32"/>
          <w:highlight w:val="none"/>
        </w:rPr>
      </w:pPr>
    </w:p>
    <w:p w14:paraId="58FEBF4C">
      <w:pPr>
        <w:spacing w:line="240" w:lineRule="atLeast"/>
        <w:rPr>
          <w:rFonts w:ascii="宋体" w:hAnsi="宋体"/>
          <w:b/>
          <w:color w:val="auto"/>
          <w:sz w:val="32"/>
          <w:szCs w:val="32"/>
          <w:highlight w:val="none"/>
        </w:rPr>
      </w:pPr>
    </w:p>
    <w:p w14:paraId="6BDE3A47">
      <w:pPr>
        <w:spacing w:line="240" w:lineRule="atLeast"/>
        <w:rPr>
          <w:rFonts w:ascii="宋体" w:hAnsi="宋体"/>
          <w:b/>
          <w:color w:val="auto"/>
          <w:sz w:val="32"/>
          <w:szCs w:val="32"/>
          <w:highlight w:val="none"/>
        </w:rPr>
      </w:pPr>
    </w:p>
    <w:p w14:paraId="0B48FFDC">
      <w:pPr>
        <w:spacing w:line="240" w:lineRule="atLeast"/>
        <w:rPr>
          <w:rFonts w:ascii="宋体" w:hAnsi="宋体"/>
          <w:b/>
          <w:color w:val="auto"/>
          <w:sz w:val="32"/>
          <w:szCs w:val="32"/>
          <w:highlight w:val="none"/>
        </w:rPr>
      </w:pPr>
    </w:p>
    <w:p w14:paraId="2C07DA93">
      <w:pPr>
        <w:spacing w:line="240" w:lineRule="atLeast"/>
        <w:rPr>
          <w:rFonts w:ascii="宋体" w:hAnsi="宋体"/>
          <w:b/>
          <w:color w:val="auto"/>
          <w:sz w:val="32"/>
          <w:szCs w:val="32"/>
          <w:highlight w:val="none"/>
        </w:rPr>
      </w:pPr>
    </w:p>
    <w:p w14:paraId="049C279B">
      <w:pPr>
        <w:spacing w:line="240" w:lineRule="atLeast"/>
        <w:rPr>
          <w:rFonts w:ascii="宋体" w:hAnsi="宋体"/>
          <w:b/>
          <w:color w:val="auto"/>
          <w:sz w:val="32"/>
          <w:szCs w:val="32"/>
          <w:highlight w:val="none"/>
        </w:rPr>
      </w:pPr>
    </w:p>
    <w:p w14:paraId="79522C04">
      <w:pPr>
        <w:spacing w:line="240" w:lineRule="atLeast"/>
        <w:rPr>
          <w:rFonts w:ascii="宋体" w:hAnsi="宋体"/>
          <w:b/>
          <w:color w:val="auto"/>
          <w:sz w:val="32"/>
          <w:szCs w:val="32"/>
          <w:highlight w:val="none"/>
        </w:rPr>
      </w:pPr>
    </w:p>
    <w:p w14:paraId="7F251532">
      <w:pPr>
        <w:spacing w:line="240" w:lineRule="atLeast"/>
        <w:rPr>
          <w:rFonts w:ascii="宋体" w:hAnsi="宋体"/>
          <w:b/>
          <w:color w:val="auto"/>
          <w:sz w:val="32"/>
          <w:szCs w:val="32"/>
          <w:highlight w:val="none"/>
        </w:rPr>
      </w:pPr>
    </w:p>
    <w:p w14:paraId="174A7998">
      <w:pPr>
        <w:spacing w:line="240" w:lineRule="atLeast"/>
        <w:rPr>
          <w:rFonts w:ascii="宋体" w:hAnsi="宋体"/>
          <w:b/>
          <w:color w:val="auto"/>
          <w:sz w:val="32"/>
          <w:szCs w:val="32"/>
          <w:highlight w:val="none"/>
        </w:rPr>
      </w:pPr>
    </w:p>
    <w:p w14:paraId="3A257BE5">
      <w:pPr>
        <w:rPr>
          <w:color w:val="auto"/>
          <w:highlight w:val="none"/>
        </w:rPr>
      </w:pPr>
    </w:p>
    <w:p w14:paraId="15123511">
      <w:pPr>
        <w:rPr>
          <w:color w:val="auto"/>
          <w:highlight w:val="none"/>
        </w:rPr>
      </w:pPr>
    </w:p>
    <w:p w14:paraId="3478537C">
      <w:pPr>
        <w:snapToGrid w:val="0"/>
        <w:spacing w:before="156" w:beforeLines="50" w:after="50"/>
        <w:jc w:val="center"/>
        <w:rPr>
          <w:rFonts w:ascii="仿宋_GB2312" w:hAnsi="仿宋_GB2312" w:eastAsia="仿宋_GB2312" w:cs="仿宋_GB2312"/>
          <w:bCs/>
          <w:color w:val="auto"/>
          <w:sz w:val="32"/>
          <w:szCs w:val="32"/>
          <w:highlight w:val="none"/>
        </w:rPr>
      </w:pPr>
    </w:p>
    <w:p w14:paraId="34BBDF86">
      <w:pPr>
        <w:rPr>
          <w:b/>
          <w:color w:val="auto"/>
          <w:sz w:val="32"/>
          <w:szCs w:val="32"/>
          <w:highlight w:val="none"/>
        </w:rPr>
      </w:pPr>
      <w:bookmarkStart w:id="69" w:name="_Toc35611438"/>
      <w:bookmarkStart w:id="70" w:name="_Toc31728084"/>
      <w:bookmarkStart w:id="71" w:name="_Toc35611516"/>
      <w:bookmarkStart w:id="72" w:name="_Toc44229899"/>
      <w:bookmarkStart w:id="73" w:name="_Toc31723070"/>
      <w:bookmarkStart w:id="74" w:name="_Toc71366186"/>
      <w:r>
        <w:rPr>
          <w:rFonts w:hint="eastAsia"/>
          <w:b/>
          <w:color w:val="auto"/>
          <w:sz w:val="32"/>
          <w:szCs w:val="32"/>
          <w:highlight w:val="none"/>
        </w:rPr>
        <w:t>一、资格证明文件格式</w:t>
      </w:r>
      <w:bookmarkEnd w:id="69"/>
      <w:bookmarkEnd w:id="70"/>
      <w:bookmarkEnd w:id="71"/>
      <w:bookmarkEnd w:id="72"/>
      <w:bookmarkEnd w:id="73"/>
      <w:bookmarkEnd w:id="74"/>
    </w:p>
    <w:p w14:paraId="50C6FD7B">
      <w:pPr>
        <w:snapToGrid w:val="0"/>
        <w:spacing w:before="156" w:beforeLines="50" w:after="50" w:line="360" w:lineRule="auto"/>
        <w:jc w:val="left"/>
        <w:rPr>
          <w:rFonts w:ascii="宋体" w:hAnsi="宋体"/>
          <w:b/>
          <w:color w:val="auto"/>
          <w:sz w:val="24"/>
          <w:highlight w:val="none"/>
        </w:rPr>
      </w:pPr>
      <w:r>
        <w:rPr>
          <w:rFonts w:hint="eastAsia" w:ascii="宋体" w:hAnsi="宋体"/>
          <w:b/>
          <w:color w:val="auto"/>
          <w:sz w:val="32"/>
          <w:szCs w:val="32"/>
          <w:highlight w:val="none"/>
        </w:rPr>
        <w:t>1.资格证明文件封面格式：</w:t>
      </w:r>
    </w:p>
    <w:p w14:paraId="5748A885">
      <w:pPr>
        <w:snapToGrid w:val="0"/>
        <w:spacing w:before="156" w:beforeLines="50" w:after="50"/>
        <w:jc w:val="center"/>
        <w:rPr>
          <w:rFonts w:ascii="宋体" w:hAnsi="宋体"/>
          <w:color w:val="auto"/>
          <w:sz w:val="44"/>
          <w:szCs w:val="44"/>
          <w:highlight w:val="none"/>
        </w:rPr>
      </w:pPr>
    </w:p>
    <w:p w14:paraId="4B2A246C">
      <w:pPr>
        <w:snapToGrid w:val="0"/>
        <w:spacing w:before="156" w:beforeLines="50" w:after="50"/>
        <w:jc w:val="center"/>
        <w:rPr>
          <w:rFonts w:ascii="宋体" w:hAnsi="宋体"/>
          <w:color w:val="auto"/>
          <w:sz w:val="44"/>
          <w:szCs w:val="44"/>
          <w:highlight w:val="none"/>
        </w:rPr>
      </w:pPr>
      <w:r>
        <w:rPr>
          <w:rFonts w:hint="eastAsia" w:ascii="宋体" w:hAnsi="宋体"/>
          <w:color w:val="auto"/>
          <w:sz w:val="44"/>
          <w:szCs w:val="44"/>
          <w:highlight w:val="none"/>
        </w:rPr>
        <w:t>电子响应文件</w:t>
      </w:r>
    </w:p>
    <w:p w14:paraId="215923A5">
      <w:pPr>
        <w:snapToGrid w:val="0"/>
        <w:spacing w:before="156" w:beforeLines="50" w:after="50"/>
        <w:rPr>
          <w:rFonts w:ascii="宋体" w:hAnsi="宋体"/>
          <w:color w:val="auto"/>
          <w:sz w:val="24"/>
          <w:szCs w:val="20"/>
          <w:highlight w:val="none"/>
        </w:rPr>
      </w:pPr>
    </w:p>
    <w:p w14:paraId="4D6CFFF9">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资格证明文件</w:t>
      </w:r>
    </w:p>
    <w:p w14:paraId="59FE3E70">
      <w:pPr>
        <w:snapToGrid w:val="0"/>
        <w:spacing w:before="156" w:beforeLines="50" w:after="50"/>
        <w:rPr>
          <w:rFonts w:ascii="宋体" w:hAnsi="宋体"/>
          <w:bCs/>
          <w:color w:val="auto"/>
          <w:sz w:val="24"/>
          <w:szCs w:val="20"/>
          <w:highlight w:val="none"/>
        </w:rPr>
      </w:pPr>
    </w:p>
    <w:p w14:paraId="070D97A4">
      <w:pPr>
        <w:snapToGrid w:val="0"/>
        <w:spacing w:before="156" w:beforeLines="50" w:after="50"/>
        <w:rPr>
          <w:rFonts w:ascii="宋体" w:hAnsi="宋体"/>
          <w:bCs/>
          <w:color w:val="auto"/>
          <w:sz w:val="24"/>
          <w:szCs w:val="20"/>
          <w:highlight w:val="none"/>
        </w:rPr>
      </w:pPr>
    </w:p>
    <w:p w14:paraId="0952ECB5">
      <w:pPr>
        <w:snapToGrid w:val="0"/>
        <w:spacing w:before="156" w:beforeLines="50" w:after="50"/>
        <w:rPr>
          <w:rFonts w:ascii="宋体" w:hAnsi="宋体"/>
          <w:bCs/>
          <w:color w:val="auto"/>
          <w:sz w:val="24"/>
          <w:szCs w:val="20"/>
          <w:highlight w:val="none"/>
        </w:rPr>
      </w:pPr>
    </w:p>
    <w:p w14:paraId="0A779CA4">
      <w:pPr>
        <w:snapToGrid w:val="0"/>
        <w:spacing w:before="156" w:beforeLines="50" w:after="50"/>
        <w:rPr>
          <w:rFonts w:ascii="宋体" w:hAnsi="宋体"/>
          <w:bCs/>
          <w:color w:val="auto"/>
          <w:sz w:val="24"/>
          <w:szCs w:val="20"/>
          <w:highlight w:val="none"/>
        </w:rPr>
      </w:pPr>
    </w:p>
    <w:p w14:paraId="2F2F1544">
      <w:pPr>
        <w:snapToGrid w:val="0"/>
        <w:spacing w:before="156" w:beforeLines="50" w:after="50"/>
        <w:rPr>
          <w:rFonts w:ascii="宋体" w:hAnsi="宋体"/>
          <w:bCs/>
          <w:color w:val="auto"/>
          <w:sz w:val="24"/>
          <w:szCs w:val="20"/>
          <w:highlight w:val="none"/>
        </w:rPr>
      </w:pPr>
    </w:p>
    <w:p w14:paraId="2DE2D7C0">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79E0A881">
      <w:pPr>
        <w:snapToGrid w:val="0"/>
        <w:spacing w:before="156" w:beforeLines="50" w:after="50"/>
        <w:ind w:firstLine="720" w:firstLineChars="225"/>
        <w:rPr>
          <w:rFonts w:ascii="宋体" w:hAnsi="宋体" w:cs="仿宋_GB2312"/>
          <w:bCs/>
          <w:color w:val="auto"/>
          <w:sz w:val="32"/>
          <w:szCs w:val="32"/>
          <w:highlight w:val="none"/>
        </w:rPr>
      </w:pPr>
    </w:p>
    <w:p w14:paraId="12407EE9">
      <w:pPr>
        <w:snapToGrid w:val="0"/>
        <w:spacing w:before="156"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34C0F630">
      <w:pPr>
        <w:snapToGrid w:val="0"/>
        <w:spacing w:before="156" w:beforeLines="50" w:after="50"/>
        <w:ind w:firstLine="720" w:firstLineChars="225"/>
        <w:rPr>
          <w:rFonts w:ascii="宋体" w:hAnsi="宋体" w:cs="仿宋_GB2312"/>
          <w:bCs/>
          <w:color w:val="auto"/>
          <w:sz w:val="32"/>
          <w:szCs w:val="32"/>
          <w:highlight w:val="none"/>
        </w:rPr>
      </w:pPr>
    </w:p>
    <w:p w14:paraId="43C7B2BF">
      <w:pPr>
        <w:snapToGrid w:val="0"/>
        <w:spacing w:before="156"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1D505B52">
      <w:pPr>
        <w:snapToGrid w:val="0"/>
        <w:spacing w:before="156" w:beforeLines="50" w:after="50"/>
        <w:ind w:firstLine="720" w:firstLineChars="225"/>
        <w:rPr>
          <w:rFonts w:ascii="宋体" w:hAnsi="宋体" w:cs="仿宋_GB2312"/>
          <w:bCs/>
          <w:color w:val="auto"/>
          <w:sz w:val="32"/>
          <w:szCs w:val="32"/>
          <w:highlight w:val="none"/>
        </w:rPr>
      </w:pPr>
    </w:p>
    <w:p w14:paraId="49CCC17E">
      <w:pPr>
        <w:pStyle w:val="8"/>
        <w:snapToGrid w:val="0"/>
        <w:spacing w:before="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6E9DB5DC">
      <w:pPr>
        <w:snapToGrid w:val="0"/>
        <w:spacing w:before="156" w:beforeLines="50" w:after="50"/>
        <w:ind w:firstLine="640" w:firstLineChars="200"/>
        <w:rPr>
          <w:rFonts w:ascii="宋体" w:hAnsi="宋体" w:cs="仿宋_GB2312"/>
          <w:bCs/>
          <w:color w:val="auto"/>
          <w:sz w:val="32"/>
          <w:szCs w:val="32"/>
          <w:highlight w:val="none"/>
        </w:rPr>
      </w:pPr>
    </w:p>
    <w:p w14:paraId="4521F521">
      <w:pPr>
        <w:pStyle w:val="8"/>
        <w:snapToGrid w:val="0"/>
        <w:spacing w:before="50" w:after="50"/>
        <w:ind w:firstLine="720" w:firstLineChars="225"/>
        <w:rPr>
          <w:rFonts w:ascii="宋体" w:hAnsi="宋体" w:cs="仿宋_GB2312"/>
          <w:bCs/>
          <w:color w:val="auto"/>
          <w:sz w:val="32"/>
          <w:szCs w:val="32"/>
          <w:highlight w:val="none"/>
        </w:rPr>
      </w:pPr>
    </w:p>
    <w:p w14:paraId="0A46D86D">
      <w:pPr>
        <w:pStyle w:val="8"/>
        <w:snapToGrid w:val="0"/>
        <w:spacing w:before="50" w:after="50"/>
        <w:ind w:firstLine="720" w:firstLineChars="225"/>
        <w:rPr>
          <w:rFonts w:ascii="宋体" w:hAnsi="宋体" w:cs="仿宋_GB2312"/>
          <w:bCs/>
          <w:color w:val="auto"/>
          <w:sz w:val="32"/>
          <w:szCs w:val="32"/>
          <w:highlight w:val="none"/>
        </w:rPr>
      </w:pPr>
    </w:p>
    <w:p w14:paraId="0F07DD56">
      <w:pPr>
        <w:pStyle w:val="8"/>
        <w:snapToGrid w:val="0"/>
        <w:spacing w:before="50" w:after="50"/>
        <w:ind w:firstLine="1280" w:firstLineChars="400"/>
        <w:rPr>
          <w:rFonts w:ascii="宋体" w:hAnsi="宋体" w:cs="仿宋_GB2312"/>
          <w:bCs/>
          <w:color w:val="auto"/>
          <w:sz w:val="32"/>
          <w:szCs w:val="32"/>
          <w:highlight w:val="none"/>
        </w:rPr>
      </w:pPr>
    </w:p>
    <w:p w14:paraId="27674502">
      <w:pPr>
        <w:snapToGrid w:val="0"/>
        <w:spacing w:before="156"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年月日</w:t>
      </w:r>
    </w:p>
    <w:p w14:paraId="29EEFCD3">
      <w:pPr>
        <w:snapToGrid w:val="0"/>
        <w:spacing w:before="156" w:beforeLines="50" w:after="50" w:line="360" w:lineRule="auto"/>
        <w:ind w:left="142"/>
        <w:jc w:val="left"/>
        <w:rPr>
          <w:rFonts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377D627A">
      <w:pPr>
        <w:snapToGrid w:val="0"/>
        <w:spacing w:before="156" w:beforeLines="50" w:after="50" w:line="360" w:lineRule="auto"/>
        <w:ind w:firstLine="645"/>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23621AC7">
      <w:pPr>
        <w:snapToGrid w:val="0"/>
        <w:spacing w:before="156" w:beforeLines="50" w:after="50"/>
        <w:rPr>
          <w:rFonts w:ascii="宋体" w:hAnsi="宋体"/>
          <w:color w:val="auto"/>
          <w:sz w:val="24"/>
          <w:szCs w:val="20"/>
          <w:highlight w:val="none"/>
        </w:rPr>
      </w:pPr>
    </w:p>
    <w:p w14:paraId="5F7D7EFE">
      <w:pPr>
        <w:spacing w:line="300" w:lineRule="auto"/>
        <w:rPr>
          <w:rFonts w:ascii="宋体" w:hAnsi="宋体"/>
          <w:color w:val="auto"/>
          <w:szCs w:val="21"/>
          <w:highlight w:val="none"/>
        </w:rPr>
      </w:pPr>
    </w:p>
    <w:p w14:paraId="05F699ED">
      <w:pPr>
        <w:spacing w:line="300" w:lineRule="auto"/>
        <w:rPr>
          <w:rFonts w:ascii="宋体" w:hAnsi="宋体"/>
          <w:color w:val="auto"/>
          <w:szCs w:val="21"/>
          <w:highlight w:val="none"/>
        </w:rPr>
      </w:pPr>
    </w:p>
    <w:p w14:paraId="580B2ECF">
      <w:pPr>
        <w:spacing w:line="300" w:lineRule="auto"/>
        <w:rPr>
          <w:rFonts w:ascii="宋体" w:hAnsi="宋体"/>
          <w:color w:val="auto"/>
          <w:szCs w:val="21"/>
          <w:highlight w:val="none"/>
        </w:rPr>
      </w:pPr>
    </w:p>
    <w:p w14:paraId="027C7BF8">
      <w:pPr>
        <w:spacing w:line="300" w:lineRule="auto"/>
        <w:rPr>
          <w:rFonts w:ascii="宋体" w:hAnsi="宋体"/>
          <w:color w:val="auto"/>
          <w:szCs w:val="21"/>
          <w:highlight w:val="none"/>
        </w:rPr>
      </w:pPr>
    </w:p>
    <w:p w14:paraId="36F4ECB1">
      <w:pPr>
        <w:spacing w:line="300" w:lineRule="auto"/>
        <w:rPr>
          <w:rFonts w:ascii="宋体" w:hAnsi="宋体"/>
          <w:color w:val="auto"/>
          <w:szCs w:val="21"/>
          <w:highlight w:val="none"/>
        </w:rPr>
      </w:pPr>
    </w:p>
    <w:p w14:paraId="3E8EA5F2">
      <w:pPr>
        <w:spacing w:line="300" w:lineRule="auto"/>
        <w:rPr>
          <w:rFonts w:ascii="宋体" w:hAnsi="宋体"/>
          <w:color w:val="auto"/>
          <w:szCs w:val="21"/>
          <w:highlight w:val="none"/>
        </w:rPr>
      </w:pPr>
    </w:p>
    <w:p w14:paraId="711F7DAE">
      <w:pPr>
        <w:spacing w:line="300" w:lineRule="auto"/>
        <w:rPr>
          <w:rFonts w:ascii="宋体" w:hAnsi="宋体"/>
          <w:color w:val="auto"/>
          <w:szCs w:val="21"/>
          <w:highlight w:val="none"/>
        </w:rPr>
      </w:pPr>
    </w:p>
    <w:p w14:paraId="6363AAB2">
      <w:pPr>
        <w:spacing w:line="300" w:lineRule="auto"/>
        <w:rPr>
          <w:rFonts w:ascii="宋体" w:hAnsi="宋体"/>
          <w:color w:val="auto"/>
          <w:szCs w:val="21"/>
          <w:highlight w:val="none"/>
        </w:rPr>
      </w:pPr>
    </w:p>
    <w:p w14:paraId="48650F07">
      <w:pPr>
        <w:spacing w:line="300" w:lineRule="auto"/>
        <w:rPr>
          <w:rFonts w:ascii="宋体" w:hAnsi="宋体"/>
          <w:color w:val="auto"/>
          <w:szCs w:val="21"/>
          <w:highlight w:val="none"/>
        </w:rPr>
      </w:pPr>
    </w:p>
    <w:p w14:paraId="40B0E1C6">
      <w:pPr>
        <w:spacing w:line="300" w:lineRule="auto"/>
        <w:rPr>
          <w:rFonts w:ascii="宋体" w:hAnsi="宋体"/>
          <w:color w:val="auto"/>
          <w:szCs w:val="21"/>
          <w:highlight w:val="none"/>
        </w:rPr>
      </w:pPr>
    </w:p>
    <w:p w14:paraId="4828F06D">
      <w:pPr>
        <w:spacing w:line="300" w:lineRule="auto"/>
        <w:rPr>
          <w:rFonts w:ascii="宋体" w:hAnsi="宋体"/>
          <w:color w:val="auto"/>
          <w:szCs w:val="21"/>
          <w:highlight w:val="none"/>
        </w:rPr>
      </w:pPr>
    </w:p>
    <w:p w14:paraId="5CD6164A">
      <w:pPr>
        <w:spacing w:line="300" w:lineRule="auto"/>
        <w:rPr>
          <w:rFonts w:ascii="宋体" w:hAnsi="宋体"/>
          <w:color w:val="auto"/>
          <w:szCs w:val="21"/>
          <w:highlight w:val="none"/>
        </w:rPr>
      </w:pPr>
    </w:p>
    <w:p w14:paraId="767741AA">
      <w:pPr>
        <w:spacing w:line="300" w:lineRule="auto"/>
        <w:rPr>
          <w:rFonts w:ascii="宋体" w:hAnsi="宋体"/>
          <w:color w:val="auto"/>
          <w:szCs w:val="21"/>
          <w:highlight w:val="none"/>
        </w:rPr>
      </w:pPr>
    </w:p>
    <w:p w14:paraId="2CE1BB6F">
      <w:pPr>
        <w:spacing w:line="300" w:lineRule="auto"/>
        <w:rPr>
          <w:rFonts w:ascii="宋体" w:hAnsi="宋体"/>
          <w:color w:val="auto"/>
          <w:szCs w:val="21"/>
          <w:highlight w:val="none"/>
        </w:rPr>
      </w:pPr>
    </w:p>
    <w:p w14:paraId="25300A1D">
      <w:pPr>
        <w:spacing w:line="300" w:lineRule="auto"/>
        <w:rPr>
          <w:rFonts w:ascii="宋体" w:hAnsi="宋体"/>
          <w:color w:val="auto"/>
          <w:szCs w:val="21"/>
          <w:highlight w:val="none"/>
        </w:rPr>
      </w:pPr>
    </w:p>
    <w:p w14:paraId="2A7049DA">
      <w:pPr>
        <w:spacing w:line="320" w:lineRule="exact"/>
        <w:jc w:val="left"/>
        <w:rPr>
          <w:rFonts w:ascii="宋体" w:hAnsi="宋体"/>
          <w:color w:val="auto"/>
          <w:szCs w:val="21"/>
          <w:highlight w:val="none"/>
        </w:rPr>
      </w:pPr>
      <w:r>
        <w:rPr>
          <w:rFonts w:ascii="宋体" w:hAnsi="宋体"/>
          <w:color w:val="auto"/>
          <w:szCs w:val="21"/>
          <w:highlight w:val="none"/>
        </w:rPr>
        <w:br w:type="page"/>
      </w:r>
    </w:p>
    <w:p w14:paraId="316420BF">
      <w:pPr>
        <w:wordWrap w:val="0"/>
        <w:spacing w:before="156" w:beforeLines="50" w:after="50" w:line="320" w:lineRule="exact"/>
        <w:ind w:right="482" w:firstLine="210" w:firstLineChars="100"/>
        <w:contextualSpacing/>
        <w:jc w:val="center"/>
        <w:rPr>
          <w:rFonts w:ascii="宋体" w:hAnsi="宋体"/>
          <w:color w:val="auto"/>
          <w:szCs w:val="21"/>
          <w:highlight w:val="none"/>
        </w:rPr>
      </w:pPr>
    </w:p>
    <w:p w14:paraId="6593D3AF">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供应商直接控股、管理关系信息表</w:t>
      </w:r>
    </w:p>
    <w:p w14:paraId="6489E0DC">
      <w:pPr>
        <w:snapToGrid w:val="0"/>
        <w:spacing w:before="156" w:beforeLines="50" w:after="50" w:line="360" w:lineRule="auto"/>
        <w:jc w:val="center"/>
        <w:rPr>
          <w:rFonts w:ascii="宋体" w:hAnsi="宋体"/>
          <w:b/>
          <w:color w:val="auto"/>
          <w:sz w:val="24"/>
          <w:highlight w:val="none"/>
        </w:rPr>
      </w:pPr>
    </w:p>
    <w:p w14:paraId="34E9030B">
      <w:pPr>
        <w:spacing w:line="360" w:lineRule="auto"/>
        <w:contextualSpacing/>
        <w:jc w:val="center"/>
        <w:rPr>
          <w:rFonts w:ascii="宋体" w:hAnsi="宋体"/>
          <w:b/>
          <w:color w:val="auto"/>
          <w:sz w:val="32"/>
          <w:szCs w:val="32"/>
          <w:highlight w:val="none"/>
        </w:rPr>
      </w:pPr>
      <w:r>
        <w:rPr>
          <w:rFonts w:hint="eastAsia" w:ascii="宋体" w:hAnsi="宋体"/>
          <w:b/>
          <w:color w:val="auto"/>
          <w:sz w:val="32"/>
          <w:szCs w:val="32"/>
          <w:highlight w:val="none"/>
        </w:rPr>
        <w:t>供应商直接控股股东信息表</w:t>
      </w:r>
    </w:p>
    <w:p w14:paraId="38F54E06">
      <w:pPr>
        <w:spacing w:line="360" w:lineRule="auto"/>
        <w:contextualSpacing/>
        <w:jc w:val="center"/>
        <w:rPr>
          <w:rFonts w:ascii="宋体" w:hAnsi="宋体"/>
          <w:b/>
          <w:color w:val="auto"/>
          <w:sz w:val="24"/>
          <w:highlight w:val="none"/>
        </w:rPr>
      </w:pPr>
    </w:p>
    <w:tbl>
      <w:tblPr>
        <w:tblStyle w:val="36"/>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66F1DFE3">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A8528C">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7F58487">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DB95EA">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BC8026">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59B430A">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15C71F16">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87AAB9">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F308E2">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370D23">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F732194">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6B89DF9">
            <w:pPr>
              <w:widowControl/>
              <w:spacing w:line="360" w:lineRule="auto"/>
              <w:contextualSpacing/>
              <w:jc w:val="center"/>
              <w:rPr>
                <w:rFonts w:ascii="宋体" w:hAnsi="宋体" w:cs="宋体"/>
                <w:color w:val="auto"/>
                <w:kern w:val="0"/>
                <w:sz w:val="24"/>
                <w:highlight w:val="none"/>
              </w:rPr>
            </w:pPr>
          </w:p>
        </w:tc>
      </w:tr>
      <w:tr w14:paraId="068922FF">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4CD703E">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15A384">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70CA37">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2235DF">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F76B23">
            <w:pPr>
              <w:widowControl/>
              <w:spacing w:line="360" w:lineRule="auto"/>
              <w:contextualSpacing/>
              <w:jc w:val="center"/>
              <w:rPr>
                <w:rFonts w:ascii="宋体" w:hAnsi="宋体" w:cs="宋体"/>
                <w:color w:val="auto"/>
                <w:kern w:val="0"/>
                <w:sz w:val="24"/>
                <w:highlight w:val="none"/>
              </w:rPr>
            </w:pPr>
          </w:p>
        </w:tc>
      </w:tr>
      <w:tr w14:paraId="2C3BA519">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92526CD">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19BA711">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71FD0E">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70F9A37">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9F4DC0A">
            <w:pPr>
              <w:widowControl/>
              <w:spacing w:line="360" w:lineRule="auto"/>
              <w:contextualSpacing/>
              <w:jc w:val="center"/>
              <w:rPr>
                <w:rFonts w:ascii="宋体" w:hAnsi="宋体" w:cs="宋体"/>
                <w:color w:val="auto"/>
                <w:kern w:val="0"/>
                <w:sz w:val="24"/>
                <w:highlight w:val="none"/>
              </w:rPr>
            </w:pPr>
          </w:p>
        </w:tc>
      </w:tr>
      <w:tr w14:paraId="2E17FA7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74CE2D">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00CA0EC">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762F1A">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E0C786">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4BEDB3F">
            <w:pPr>
              <w:widowControl/>
              <w:spacing w:line="360" w:lineRule="auto"/>
              <w:contextualSpacing/>
              <w:jc w:val="center"/>
              <w:rPr>
                <w:rFonts w:ascii="宋体" w:hAnsi="宋体" w:cs="宋体"/>
                <w:color w:val="auto"/>
                <w:kern w:val="0"/>
                <w:sz w:val="24"/>
                <w:highlight w:val="none"/>
              </w:rPr>
            </w:pPr>
          </w:p>
        </w:tc>
      </w:tr>
    </w:tbl>
    <w:p w14:paraId="487CA46D">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w:t>
      </w:r>
    </w:p>
    <w:p w14:paraId="0A5DAC8C">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CB5BA69">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59B40770">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79E0DD36">
      <w:pPr>
        <w:spacing w:line="360" w:lineRule="auto"/>
        <w:ind w:firstLine="420" w:firstLineChars="200"/>
        <w:contextualSpacing/>
        <w:jc w:val="left"/>
        <w:rPr>
          <w:rFonts w:ascii="宋体" w:hAnsi="宋体" w:cs="宋体"/>
          <w:color w:val="auto"/>
          <w:szCs w:val="21"/>
          <w:highlight w:val="none"/>
        </w:rPr>
      </w:pPr>
    </w:p>
    <w:p w14:paraId="1B2D80CB">
      <w:pPr>
        <w:spacing w:line="360" w:lineRule="auto"/>
        <w:ind w:firstLine="560" w:firstLineChars="200"/>
        <w:contextualSpacing/>
        <w:jc w:val="left"/>
        <w:rPr>
          <w:rFonts w:ascii="宋体" w:hAnsi="宋体" w:cs="宋体"/>
          <w:color w:val="auto"/>
          <w:sz w:val="28"/>
          <w:szCs w:val="28"/>
          <w:highlight w:val="none"/>
        </w:rPr>
      </w:pPr>
    </w:p>
    <w:p w14:paraId="479A7C31">
      <w:pPr>
        <w:spacing w:line="360" w:lineRule="auto"/>
        <w:ind w:right="480"/>
        <w:contextualSpacing/>
        <w:jc w:val="center"/>
        <w:rPr>
          <w:rFonts w:ascii="宋体" w:hAnsi="宋体"/>
          <w:color w:val="auto"/>
          <w:sz w:val="24"/>
          <w:highlight w:val="none"/>
          <w:u w:val="single"/>
        </w:rPr>
      </w:pPr>
      <w:r>
        <w:rPr>
          <w:rFonts w:hint="eastAsia" w:ascii="宋体" w:hAnsi="宋体"/>
          <w:color w:val="auto"/>
          <w:sz w:val="24"/>
          <w:highlight w:val="none"/>
        </w:rPr>
        <w:t>法定代表人或者委托代理人（签字或者电子签名）：</w:t>
      </w:r>
    </w:p>
    <w:p w14:paraId="0457D6C1">
      <w:pPr>
        <w:spacing w:line="360" w:lineRule="auto"/>
        <w:ind w:right="480" w:firstLine="3360" w:firstLineChars="1400"/>
        <w:contextualSpacing/>
        <w:rPr>
          <w:rFonts w:ascii="宋体" w:hAnsi="宋体"/>
          <w:color w:val="auto"/>
          <w:sz w:val="24"/>
          <w:highlight w:val="none"/>
        </w:rPr>
      </w:pPr>
      <w:r>
        <w:rPr>
          <w:rFonts w:hint="eastAsia" w:ascii="宋体" w:hAnsi="宋体"/>
          <w:color w:val="auto"/>
          <w:sz w:val="24"/>
          <w:highlight w:val="none"/>
        </w:rPr>
        <w:t>供应商（电子签章）：</w:t>
      </w:r>
    </w:p>
    <w:p w14:paraId="0179BF07">
      <w:pPr>
        <w:spacing w:line="360" w:lineRule="auto"/>
        <w:ind w:firstLine="4320" w:firstLineChars="1800"/>
        <w:contextualSpacing/>
        <w:jc w:val="left"/>
        <w:rPr>
          <w:rFonts w:ascii="宋体" w:hAnsi="宋体"/>
          <w:color w:val="auto"/>
          <w:sz w:val="28"/>
          <w:szCs w:val="28"/>
          <w:highlight w:val="none"/>
        </w:rPr>
      </w:pPr>
      <w:r>
        <w:rPr>
          <w:rFonts w:hint="eastAsia" w:ascii="宋体" w:hAnsi="宋体"/>
          <w:color w:val="auto"/>
          <w:sz w:val="24"/>
          <w:highlight w:val="none"/>
        </w:rPr>
        <w:t>年月日</w:t>
      </w:r>
    </w:p>
    <w:p w14:paraId="187648E4">
      <w:pPr>
        <w:snapToGrid w:val="0"/>
        <w:jc w:val="center"/>
        <w:rPr>
          <w:rFonts w:ascii="宋体" w:hAnsi="宋体"/>
          <w:b/>
          <w:color w:val="auto"/>
          <w:sz w:val="28"/>
          <w:szCs w:val="28"/>
          <w:highlight w:val="none"/>
        </w:rPr>
      </w:pPr>
      <w:r>
        <w:rPr>
          <w:rFonts w:ascii="宋体" w:hAnsi="宋体"/>
          <w:b/>
          <w:color w:val="auto"/>
          <w:sz w:val="28"/>
          <w:szCs w:val="28"/>
          <w:highlight w:val="none"/>
        </w:rPr>
        <w:br w:type="page"/>
      </w:r>
    </w:p>
    <w:p w14:paraId="19214165">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供应商直接管理关系信息表</w:t>
      </w:r>
    </w:p>
    <w:p w14:paraId="026E8A59">
      <w:pPr>
        <w:snapToGrid w:val="0"/>
        <w:spacing w:line="360" w:lineRule="auto"/>
        <w:jc w:val="center"/>
        <w:rPr>
          <w:rFonts w:ascii="宋体" w:hAnsi="宋体"/>
          <w:b/>
          <w:color w:val="auto"/>
          <w:sz w:val="24"/>
          <w:highlight w:val="none"/>
        </w:rPr>
      </w:pPr>
    </w:p>
    <w:tbl>
      <w:tblPr>
        <w:tblStyle w:val="36"/>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1CC1C03D">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19080A">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F76E6D">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0D6DFB4">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250427">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2B050886">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8B44FC">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720FD4B">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C6091CF">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D39A8C5">
            <w:pPr>
              <w:widowControl/>
              <w:spacing w:line="360" w:lineRule="auto"/>
              <w:contextualSpacing/>
              <w:jc w:val="center"/>
              <w:rPr>
                <w:rFonts w:ascii="宋体" w:hAnsi="宋体" w:cs="宋体"/>
                <w:color w:val="auto"/>
                <w:kern w:val="0"/>
                <w:sz w:val="24"/>
                <w:highlight w:val="none"/>
              </w:rPr>
            </w:pPr>
          </w:p>
        </w:tc>
      </w:tr>
      <w:tr w14:paraId="7779E6BF">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F9AFE11">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685C7C">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B1C928E">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23B25B">
            <w:pPr>
              <w:widowControl/>
              <w:spacing w:line="360" w:lineRule="auto"/>
              <w:contextualSpacing/>
              <w:jc w:val="center"/>
              <w:rPr>
                <w:rFonts w:ascii="宋体" w:hAnsi="宋体" w:cs="宋体"/>
                <w:color w:val="auto"/>
                <w:kern w:val="0"/>
                <w:sz w:val="24"/>
                <w:highlight w:val="none"/>
              </w:rPr>
            </w:pPr>
          </w:p>
        </w:tc>
      </w:tr>
      <w:tr w14:paraId="0B890D10">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FA36B7">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2BF3F57">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2EA925">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101228">
            <w:pPr>
              <w:widowControl/>
              <w:spacing w:line="360" w:lineRule="auto"/>
              <w:contextualSpacing/>
              <w:jc w:val="center"/>
              <w:rPr>
                <w:rFonts w:ascii="宋体" w:hAnsi="宋体" w:cs="宋体"/>
                <w:color w:val="auto"/>
                <w:kern w:val="0"/>
                <w:sz w:val="24"/>
                <w:highlight w:val="none"/>
              </w:rPr>
            </w:pPr>
          </w:p>
        </w:tc>
      </w:tr>
      <w:tr w14:paraId="72B0FB27">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B5ACD92">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4AD11F3">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33081F9">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5A65B24">
            <w:pPr>
              <w:widowControl/>
              <w:spacing w:line="360" w:lineRule="auto"/>
              <w:contextualSpacing/>
              <w:jc w:val="center"/>
              <w:rPr>
                <w:rFonts w:ascii="宋体" w:hAnsi="宋体" w:cs="宋体"/>
                <w:color w:val="auto"/>
                <w:kern w:val="0"/>
                <w:sz w:val="24"/>
                <w:highlight w:val="none"/>
              </w:rPr>
            </w:pPr>
          </w:p>
        </w:tc>
      </w:tr>
    </w:tbl>
    <w:p w14:paraId="13CAD37B">
      <w:pPr>
        <w:spacing w:line="360" w:lineRule="auto"/>
        <w:contextualSpacing/>
        <w:jc w:val="left"/>
        <w:rPr>
          <w:rFonts w:ascii="宋体" w:hAnsi="宋体"/>
          <w:color w:val="auto"/>
          <w:sz w:val="24"/>
          <w:highlight w:val="none"/>
        </w:rPr>
      </w:pPr>
      <w:r>
        <w:rPr>
          <w:rFonts w:hint="eastAsia" w:ascii="宋体" w:hAnsi="宋体"/>
          <w:color w:val="auto"/>
          <w:sz w:val="24"/>
          <w:highlight w:val="none"/>
        </w:rPr>
        <w:t>注：</w:t>
      </w:r>
    </w:p>
    <w:p w14:paraId="347392EA">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0B0C409F">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31279049">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3.供应商不存在直接管理关系的，则在“直接管理关系单位名称”填“无”。</w:t>
      </w:r>
    </w:p>
    <w:p w14:paraId="3C2DD77D">
      <w:pPr>
        <w:spacing w:line="360" w:lineRule="auto"/>
        <w:contextualSpacing/>
        <w:jc w:val="left"/>
        <w:rPr>
          <w:rFonts w:ascii="宋体" w:hAnsi="宋体"/>
          <w:color w:val="auto"/>
          <w:sz w:val="28"/>
          <w:szCs w:val="28"/>
          <w:highlight w:val="none"/>
        </w:rPr>
      </w:pPr>
    </w:p>
    <w:p w14:paraId="17B5186A">
      <w:pPr>
        <w:spacing w:line="360" w:lineRule="auto"/>
        <w:contextualSpacing/>
        <w:jc w:val="left"/>
        <w:rPr>
          <w:rFonts w:ascii="宋体" w:hAnsi="宋体"/>
          <w:color w:val="auto"/>
          <w:sz w:val="28"/>
          <w:szCs w:val="28"/>
          <w:highlight w:val="none"/>
        </w:rPr>
      </w:pPr>
    </w:p>
    <w:p w14:paraId="3689BBDF">
      <w:pPr>
        <w:spacing w:line="360" w:lineRule="auto"/>
        <w:contextualSpacing/>
        <w:jc w:val="left"/>
        <w:rPr>
          <w:color w:val="auto"/>
          <w:sz w:val="28"/>
          <w:szCs w:val="28"/>
          <w:highlight w:val="none"/>
        </w:rPr>
      </w:pPr>
    </w:p>
    <w:p w14:paraId="0715B1D3">
      <w:pPr>
        <w:spacing w:line="360" w:lineRule="auto"/>
        <w:contextualSpacing/>
        <w:jc w:val="left"/>
        <w:rPr>
          <w:color w:val="auto"/>
          <w:sz w:val="28"/>
          <w:szCs w:val="28"/>
          <w:highlight w:val="none"/>
        </w:rPr>
      </w:pPr>
    </w:p>
    <w:p w14:paraId="2294940A">
      <w:pPr>
        <w:spacing w:line="360" w:lineRule="auto"/>
        <w:contextualSpacing/>
        <w:jc w:val="left"/>
        <w:rPr>
          <w:color w:val="auto"/>
          <w:sz w:val="28"/>
          <w:szCs w:val="28"/>
          <w:highlight w:val="none"/>
        </w:rPr>
      </w:pPr>
    </w:p>
    <w:p w14:paraId="6AF94494">
      <w:pPr>
        <w:spacing w:line="360" w:lineRule="auto"/>
        <w:contextualSpacing/>
        <w:jc w:val="left"/>
        <w:rPr>
          <w:rFonts w:ascii="宋体" w:hAnsi="宋体"/>
          <w:color w:val="auto"/>
          <w:sz w:val="28"/>
          <w:szCs w:val="28"/>
          <w:highlight w:val="none"/>
        </w:rPr>
      </w:pPr>
    </w:p>
    <w:p w14:paraId="39FAC834">
      <w:pPr>
        <w:spacing w:line="360" w:lineRule="auto"/>
        <w:ind w:right="480"/>
        <w:contextualSpacing/>
        <w:jc w:val="center"/>
        <w:rPr>
          <w:rFonts w:ascii="宋体" w:hAnsi="宋体"/>
          <w:color w:val="auto"/>
          <w:sz w:val="24"/>
          <w:highlight w:val="none"/>
          <w:u w:val="single"/>
        </w:rPr>
      </w:pPr>
      <w:r>
        <w:rPr>
          <w:rFonts w:hint="eastAsia" w:ascii="宋体" w:hAnsi="宋体"/>
          <w:color w:val="auto"/>
          <w:sz w:val="24"/>
          <w:highlight w:val="none"/>
        </w:rPr>
        <w:t>法定代表人或者委托代理人（签字或者电子签名）：</w:t>
      </w:r>
    </w:p>
    <w:p w14:paraId="58DDE1D1">
      <w:pPr>
        <w:spacing w:line="360" w:lineRule="auto"/>
        <w:ind w:right="480" w:firstLine="3360" w:firstLineChars="1400"/>
        <w:contextualSpacing/>
        <w:rPr>
          <w:rFonts w:ascii="宋体" w:hAnsi="宋体"/>
          <w:color w:val="auto"/>
          <w:sz w:val="24"/>
          <w:highlight w:val="none"/>
        </w:rPr>
      </w:pPr>
      <w:r>
        <w:rPr>
          <w:rFonts w:hint="eastAsia" w:ascii="宋体" w:hAnsi="宋体"/>
          <w:color w:val="auto"/>
          <w:sz w:val="24"/>
          <w:highlight w:val="none"/>
        </w:rPr>
        <w:t>供应商（电子签章）：</w:t>
      </w:r>
    </w:p>
    <w:p w14:paraId="10AE881F">
      <w:pPr>
        <w:spacing w:line="360" w:lineRule="auto"/>
        <w:ind w:firstLine="4320" w:firstLineChars="1800"/>
        <w:contextualSpacing/>
        <w:jc w:val="left"/>
        <w:rPr>
          <w:rFonts w:ascii="宋体" w:hAnsi="宋体"/>
          <w:color w:val="auto"/>
          <w:sz w:val="28"/>
          <w:szCs w:val="28"/>
          <w:highlight w:val="none"/>
        </w:rPr>
      </w:pPr>
      <w:r>
        <w:rPr>
          <w:rFonts w:hint="eastAsia" w:ascii="宋体" w:hAnsi="宋体"/>
          <w:color w:val="auto"/>
          <w:sz w:val="24"/>
          <w:highlight w:val="none"/>
        </w:rPr>
        <w:t>年月日</w:t>
      </w:r>
    </w:p>
    <w:p w14:paraId="661D17E2">
      <w:pPr>
        <w:spacing w:line="320" w:lineRule="exact"/>
        <w:jc w:val="center"/>
        <w:rPr>
          <w:rFonts w:ascii="宋体" w:hAnsi="宋体"/>
          <w:b/>
          <w:color w:val="auto"/>
          <w:sz w:val="32"/>
          <w:szCs w:val="32"/>
          <w:highlight w:val="none"/>
        </w:rPr>
      </w:pPr>
      <w:r>
        <w:rPr>
          <w:rFonts w:ascii="宋体" w:hAnsi="宋体"/>
          <w:color w:val="auto"/>
          <w:sz w:val="28"/>
          <w:szCs w:val="28"/>
          <w:highlight w:val="none"/>
        </w:rPr>
        <w:br w:type="page"/>
      </w:r>
      <w:r>
        <w:rPr>
          <w:rFonts w:hint="eastAsia" w:ascii="宋体" w:hAnsi="宋体"/>
          <w:b/>
          <w:color w:val="auto"/>
          <w:sz w:val="32"/>
          <w:szCs w:val="32"/>
          <w:highlight w:val="none"/>
        </w:rPr>
        <w:t>竞标声明</w:t>
      </w:r>
    </w:p>
    <w:p w14:paraId="756E953E">
      <w:pPr>
        <w:spacing w:line="320" w:lineRule="exact"/>
        <w:jc w:val="center"/>
        <w:rPr>
          <w:rFonts w:ascii="宋体" w:hAnsi="宋体"/>
          <w:color w:val="auto"/>
          <w:sz w:val="24"/>
          <w:szCs w:val="20"/>
          <w:highlight w:val="none"/>
        </w:rPr>
      </w:pPr>
    </w:p>
    <w:p w14:paraId="049C6858">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439C16F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p>
    <w:p w14:paraId="024822D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74C6E80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06943A2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45D3B36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43907D4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4972FEB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17AC8CE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4849B78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157D5B8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3C54CBF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DE2B82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6D828C7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08AC76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FD7C3F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5192C7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2D584E8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C3E901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135081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30CAD54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E9B37BA">
      <w:pPr>
        <w:pStyle w:val="23"/>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7.与本磋商有关的一切正式往来信函请寄：邮政编号：</w:t>
      </w:r>
    </w:p>
    <w:p w14:paraId="56B1FD8E">
      <w:pPr>
        <w:pStyle w:val="23"/>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电话/传真：电子邮箱：</w:t>
      </w:r>
    </w:p>
    <w:p w14:paraId="0B36F842">
      <w:pPr>
        <w:pStyle w:val="20"/>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开户银行：帐号：</w:t>
      </w:r>
    </w:p>
    <w:p w14:paraId="39F2CD33">
      <w:pPr>
        <w:pStyle w:val="20"/>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1CC0C26E">
      <w:pPr>
        <w:pStyle w:val="20"/>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19B15376">
      <w:pPr>
        <w:spacing w:line="360" w:lineRule="auto"/>
        <w:contextualSpacing/>
        <w:jc w:val="left"/>
        <w:rPr>
          <w:rFonts w:ascii="宋体" w:hAnsi="宋体"/>
          <w:b/>
          <w:color w:val="auto"/>
          <w:sz w:val="24"/>
          <w:highlight w:val="none"/>
        </w:rPr>
      </w:pPr>
      <w:r>
        <w:rPr>
          <w:rFonts w:hint="eastAsia" w:ascii="宋体" w:hAnsi="宋体" w:cs="宋体"/>
          <w:b/>
          <w:color w:val="auto"/>
          <w:sz w:val="24"/>
          <w:highlight w:val="none"/>
        </w:rPr>
        <w:t>注：</w:t>
      </w:r>
      <w:r>
        <w:rPr>
          <w:rFonts w:hint="eastAsia" w:ascii="宋体" w:hAnsi="宋体"/>
          <w:b/>
          <w:color w:val="auto"/>
          <w:sz w:val="24"/>
          <w:highlight w:val="none"/>
        </w:rPr>
        <w:t>如为联合体竞标，盖章处须加盖联合体牵头人电子签章并由联合体牵头人法定代表人分别签字或者盖章或者电子签名，否则响应文件按无效处理。</w:t>
      </w:r>
    </w:p>
    <w:p w14:paraId="20FABB18">
      <w:pPr>
        <w:spacing w:line="360" w:lineRule="auto"/>
        <w:contextualSpacing/>
        <w:jc w:val="left"/>
        <w:rPr>
          <w:rFonts w:ascii="宋体" w:hAnsi="宋体" w:cs="宋体"/>
          <w:color w:val="auto"/>
          <w:szCs w:val="21"/>
          <w:highlight w:val="none"/>
        </w:rPr>
      </w:pPr>
    </w:p>
    <w:p w14:paraId="4645B5A9">
      <w:pPr>
        <w:spacing w:line="360" w:lineRule="auto"/>
        <w:ind w:firstLine="1575" w:firstLineChars="750"/>
        <w:contextualSpacing/>
        <w:rPr>
          <w:color w:val="auto"/>
          <w:highlight w:val="none"/>
        </w:rPr>
      </w:pPr>
      <w:r>
        <w:rPr>
          <w:rFonts w:hint="eastAsia"/>
          <w:color w:val="auto"/>
          <w:highlight w:val="none"/>
        </w:rPr>
        <w:t>法定代表人（</w:t>
      </w:r>
      <w:r>
        <w:rPr>
          <w:rFonts w:hint="eastAsia" w:ascii="宋体" w:hAnsi="宋体"/>
          <w:color w:val="auto"/>
          <w:sz w:val="24"/>
          <w:highlight w:val="none"/>
        </w:rPr>
        <w:t>签字或者盖章或者电子签名</w:t>
      </w:r>
      <w:r>
        <w:rPr>
          <w:rFonts w:hint="eastAsia"/>
          <w:color w:val="auto"/>
          <w:highlight w:val="none"/>
        </w:rPr>
        <w:t>）：</w:t>
      </w:r>
    </w:p>
    <w:p w14:paraId="291B863E">
      <w:pPr>
        <w:spacing w:line="360" w:lineRule="auto"/>
        <w:ind w:firstLine="3780" w:firstLineChars="1800"/>
        <w:contextualSpacing/>
        <w:rPr>
          <w:rFonts w:ascii="宋体" w:hAnsi="宋体" w:cs="宋体"/>
          <w:color w:val="auto"/>
          <w:szCs w:val="21"/>
          <w:highlight w:val="none"/>
          <w:u w:val="single"/>
        </w:rPr>
      </w:pPr>
      <w:r>
        <w:rPr>
          <w:rFonts w:hint="eastAsia"/>
          <w:color w:val="auto"/>
          <w:highlight w:val="none"/>
        </w:rPr>
        <w:t>供应商（电子签章）：</w:t>
      </w:r>
    </w:p>
    <w:p w14:paraId="180C3957">
      <w:pPr>
        <w:pStyle w:val="20"/>
        <w:tabs>
          <w:tab w:val="left" w:pos="939"/>
        </w:tabs>
        <w:spacing w:line="360" w:lineRule="auto"/>
        <w:ind w:left="0" w:leftChars="0" w:firstLine="3780" w:firstLineChars="1800"/>
        <w:rPr>
          <w:color w:val="auto"/>
          <w:sz w:val="24"/>
          <w:highlight w:val="none"/>
        </w:rPr>
      </w:pPr>
      <w:r>
        <w:rPr>
          <w:rFonts w:hint="eastAsia"/>
          <w:color w:val="auto"/>
          <w:highlight w:val="none"/>
        </w:rPr>
        <w:t>年月日</w:t>
      </w:r>
    </w:p>
    <w:p w14:paraId="549733B7">
      <w:pPr>
        <w:pStyle w:val="8"/>
        <w:overflowPunct w:val="0"/>
        <w:spacing w:line="520" w:lineRule="exact"/>
        <w:ind w:firstLine="0"/>
        <w:jc w:val="center"/>
        <w:rPr>
          <w:rFonts w:ascii="方正小标宋简体" w:hAnsi="方正小标宋简体" w:eastAsia="方正小标宋简体" w:cs="方正小标宋简体"/>
          <w:color w:val="auto"/>
          <w:sz w:val="44"/>
          <w:szCs w:val="44"/>
          <w:highlight w:val="none"/>
        </w:rPr>
      </w:pPr>
      <w:r>
        <w:rPr>
          <w:rFonts w:hint="eastAsia"/>
          <w:color w:val="auto"/>
          <w:sz w:val="24"/>
          <w:highlight w:val="none"/>
        </w:rPr>
        <w:br w:type="page"/>
      </w:r>
      <w:r>
        <w:rPr>
          <w:rFonts w:hint="eastAsia" w:ascii="方正小标宋简体" w:hAnsi="方正小标宋简体" w:eastAsia="方正小标宋简体" w:cs="方正小标宋简体"/>
          <w:color w:val="auto"/>
          <w:sz w:val="44"/>
          <w:szCs w:val="44"/>
          <w:highlight w:val="none"/>
        </w:rPr>
        <w:t>联合体竞标协议书</w:t>
      </w:r>
    </w:p>
    <w:p w14:paraId="6B9395D3">
      <w:pPr>
        <w:pStyle w:val="8"/>
        <w:overflowPunct w:val="0"/>
        <w:spacing w:line="360" w:lineRule="auto"/>
        <w:ind w:firstLine="0"/>
        <w:rPr>
          <w:rFonts w:ascii="宋体" w:hAnsi="宋体"/>
          <w:color w:val="auto"/>
          <w:sz w:val="24"/>
          <w:szCs w:val="24"/>
          <w:highlight w:val="none"/>
        </w:rPr>
      </w:pPr>
    </w:p>
    <w:p w14:paraId="62CDFA3C">
      <w:pPr>
        <w:pStyle w:val="8"/>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（所有成员单位名称）自愿组成（联合体名称）联合体，共同参加（项目名称）采购项目竞标。现就联合体竞标事宜订立如下协议。</w:t>
      </w:r>
    </w:p>
    <w:p w14:paraId="14138FDF">
      <w:pPr>
        <w:pStyle w:val="8"/>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1.</w:t>
      </w:r>
      <w:r>
        <w:rPr>
          <w:rFonts w:hint="eastAsia" w:ascii="宋体" w:hAnsi="宋体" w:cs="仿宋_GB2312"/>
          <w:color w:val="auto"/>
          <w:sz w:val="24"/>
          <w:szCs w:val="24"/>
          <w:highlight w:val="none"/>
          <w:u w:val="single"/>
        </w:rPr>
        <w:tab/>
      </w:r>
      <w:r>
        <w:rPr>
          <w:rFonts w:hint="eastAsia" w:ascii="宋体" w:hAnsi="宋体" w:cs="仿宋_GB2312"/>
          <w:color w:val="auto"/>
          <w:sz w:val="24"/>
          <w:szCs w:val="24"/>
          <w:highlight w:val="none"/>
        </w:rPr>
        <w:t>（某成员单位名称）为（联合体名称）牵头人。</w:t>
      </w:r>
    </w:p>
    <w:p w14:paraId="7BE54B9B">
      <w:pPr>
        <w:pStyle w:val="8"/>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416B01CC">
      <w:pPr>
        <w:pStyle w:val="8"/>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3.联合体牵头人在本项目中签署和盖章的一切文件和处理的一切事宜，联合体各成员均予以承认。联合体各成员将严格按照磋商文件、响应文件和合同的要求全面履行义务，并向采购人承担连带责任。</w:t>
      </w:r>
    </w:p>
    <w:p w14:paraId="268D6A6A">
      <w:pPr>
        <w:pStyle w:val="8"/>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4.联合体各成员单位内部的职责分工如下：。</w:t>
      </w:r>
    </w:p>
    <w:p w14:paraId="595FF0EC">
      <w:pPr>
        <w:pStyle w:val="8"/>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5.本</w:t>
      </w:r>
      <w:r>
        <w:rPr>
          <w:rFonts w:hint="eastAsia" w:ascii="宋体" w:hAnsi="宋体" w:cs="仿宋_GB2312"/>
          <w:color w:val="auto"/>
          <w:spacing w:val="-6"/>
          <w:sz w:val="24"/>
          <w:szCs w:val="24"/>
          <w:highlight w:val="none"/>
        </w:rPr>
        <w:t>协议书自所有成员单位法定代表人（单位负责人）或者其委托代理人签字或者盖单位章之日起生效，合同履行完毕后自动失效。</w:t>
      </w:r>
    </w:p>
    <w:p w14:paraId="6ABC51CF">
      <w:pPr>
        <w:pStyle w:val="8"/>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6.本协议书一式</w:t>
      </w:r>
      <w:r>
        <w:rPr>
          <w:rFonts w:hint="eastAsia" w:ascii="宋体" w:hAnsi="宋体" w:cs="仿宋_GB2312"/>
          <w:color w:val="auto"/>
          <w:sz w:val="24"/>
          <w:szCs w:val="24"/>
          <w:highlight w:val="none"/>
          <w:u w:val="single"/>
        </w:rPr>
        <w:tab/>
      </w:r>
      <w:r>
        <w:rPr>
          <w:rFonts w:hint="eastAsia" w:ascii="宋体" w:hAnsi="宋体" w:cs="仿宋_GB2312"/>
          <w:color w:val="auto"/>
          <w:sz w:val="24"/>
          <w:szCs w:val="24"/>
          <w:highlight w:val="none"/>
        </w:rPr>
        <w:t>份，联合体成员和采购人各执一份。</w:t>
      </w:r>
    </w:p>
    <w:p w14:paraId="03538E34">
      <w:pPr>
        <w:pStyle w:val="8"/>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注：本协议书应附法定代表人身份证明书；有委托代理的，应附权委托书（格式自拟）。</w:t>
      </w:r>
    </w:p>
    <w:p w14:paraId="721593F1">
      <w:pPr>
        <w:pStyle w:val="8"/>
        <w:overflowPunct w:val="0"/>
        <w:spacing w:line="360" w:lineRule="auto"/>
        <w:ind w:firstLineChars="175"/>
        <w:contextualSpacing/>
        <w:rPr>
          <w:rFonts w:ascii="宋体" w:hAnsi="宋体" w:cs="仿宋_GB2312"/>
          <w:color w:val="auto"/>
          <w:sz w:val="24"/>
          <w:szCs w:val="24"/>
          <w:highlight w:val="none"/>
        </w:rPr>
      </w:pPr>
    </w:p>
    <w:p w14:paraId="1F4C0F04">
      <w:pPr>
        <w:pStyle w:val="8"/>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联合体牵头人名称（电子签章）：</w:t>
      </w:r>
    </w:p>
    <w:p w14:paraId="35D4F22D">
      <w:pPr>
        <w:pStyle w:val="8"/>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42EA5FEB">
      <w:pPr>
        <w:pStyle w:val="8"/>
        <w:overflowPunct w:val="0"/>
        <w:spacing w:line="360" w:lineRule="auto"/>
        <w:ind w:firstLine="0"/>
        <w:contextualSpacing/>
        <w:rPr>
          <w:rFonts w:ascii="宋体" w:hAnsi="宋体" w:cs="仿宋_GB2312"/>
          <w:color w:val="auto"/>
          <w:sz w:val="24"/>
          <w:szCs w:val="24"/>
          <w:highlight w:val="none"/>
        </w:rPr>
      </w:pPr>
    </w:p>
    <w:p w14:paraId="62CE1B62">
      <w:pPr>
        <w:pStyle w:val="8"/>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联合体成员名称（盖公章或者电子签章）：</w:t>
      </w:r>
    </w:p>
    <w:p w14:paraId="16DB4888">
      <w:pPr>
        <w:pStyle w:val="8"/>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5188666E">
      <w:pPr>
        <w:pStyle w:val="8"/>
        <w:overflowPunct w:val="0"/>
        <w:spacing w:line="360" w:lineRule="auto"/>
        <w:ind w:firstLine="0"/>
        <w:contextualSpacing/>
        <w:rPr>
          <w:rFonts w:ascii="宋体" w:hAnsi="宋体" w:cs="仿宋_GB2312"/>
          <w:color w:val="auto"/>
          <w:sz w:val="24"/>
          <w:szCs w:val="24"/>
          <w:highlight w:val="none"/>
        </w:rPr>
      </w:pPr>
    </w:p>
    <w:p w14:paraId="760937A4">
      <w:pPr>
        <w:pStyle w:val="8"/>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联合体成员名称（盖公章或者电子签章）：</w:t>
      </w:r>
    </w:p>
    <w:p w14:paraId="53CAFC18">
      <w:pPr>
        <w:pStyle w:val="8"/>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5CD7EA83">
      <w:pPr>
        <w:pStyle w:val="8"/>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w:t>
      </w:r>
    </w:p>
    <w:p w14:paraId="268CFB10">
      <w:pPr>
        <w:spacing w:line="360" w:lineRule="auto"/>
        <w:ind w:right="480" w:firstLine="240" w:firstLineChars="100"/>
        <w:contextualSpacing/>
        <w:jc w:val="center"/>
        <w:rPr>
          <w:rFonts w:ascii="宋体" w:hAnsi="宋体" w:cs="仿宋_GB2312"/>
          <w:color w:val="auto"/>
          <w:sz w:val="24"/>
          <w:highlight w:val="none"/>
        </w:rPr>
      </w:pPr>
    </w:p>
    <w:p w14:paraId="5F05AD7E">
      <w:pPr>
        <w:spacing w:line="360" w:lineRule="auto"/>
        <w:ind w:right="480" w:firstLine="240" w:firstLineChars="100"/>
        <w:contextualSpacing/>
        <w:jc w:val="center"/>
        <w:rPr>
          <w:rFonts w:ascii="宋体" w:hAnsi="宋体"/>
          <w:b/>
          <w:bCs/>
          <w:color w:val="auto"/>
          <w:sz w:val="32"/>
          <w:szCs w:val="32"/>
          <w:highlight w:val="none"/>
        </w:rPr>
      </w:pPr>
      <w:r>
        <w:rPr>
          <w:rFonts w:hint="eastAsia" w:ascii="宋体" w:hAnsi="宋体" w:cs="仿宋_GB2312"/>
          <w:color w:val="auto"/>
          <w:sz w:val="24"/>
          <w:highlight w:val="none"/>
        </w:rPr>
        <w:t>年</w:t>
      </w:r>
      <w:r>
        <w:rPr>
          <w:rFonts w:hint="eastAsia" w:ascii="宋体" w:hAnsi="宋体" w:cs="仿宋_GB2312"/>
          <w:color w:val="auto"/>
          <w:sz w:val="24"/>
          <w:highlight w:val="none"/>
        </w:rPr>
        <w:tab/>
      </w:r>
      <w:r>
        <w:rPr>
          <w:rFonts w:hint="eastAsia" w:ascii="宋体" w:hAnsi="宋体" w:cs="仿宋_GB2312"/>
          <w:color w:val="auto"/>
          <w:sz w:val="24"/>
          <w:highlight w:val="none"/>
        </w:rPr>
        <w:t>月</w:t>
      </w:r>
      <w:r>
        <w:rPr>
          <w:rFonts w:hint="eastAsia" w:ascii="宋体" w:hAnsi="宋体" w:cs="仿宋_GB2312"/>
          <w:color w:val="auto"/>
          <w:sz w:val="24"/>
          <w:highlight w:val="none"/>
        </w:rPr>
        <w:tab/>
      </w:r>
      <w:r>
        <w:rPr>
          <w:rFonts w:hint="eastAsia" w:ascii="宋体" w:hAnsi="宋体" w:cs="仿宋_GB2312"/>
          <w:color w:val="auto"/>
          <w:sz w:val="24"/>
          <w:highlight w:val="none"/>
        </w:rPr>
        <w:t>日</w:t>
      </w:r>
    </w:p>
    <w:p w14:paraId="4C69417C">
      <w:pPr>
        <w:jc w:val="center"/>
        <w:rPr>
          <w:rFonts w:ascii="方正小标宋简体" w:hAnsi="方正小标宋简体" w:eastAsia="方正小标宋简体" w:cs="方正小标宋简体"/>
          <w:color w:val="auto"/>
          <w:sz w:val="44"/>
          <w:szCs w:val="44"/>
          <w:highlight w:val="none"/>
        </w:rPr>
      </w:pPr>
      <w:r>
        <w:rPr>
          <w:rFonts w:ascii="宋体" w:hAnsi="宋体"/>
          <w:b/>
          <w:bCs/>
          <w:color w:val="auto"/>
          <w:sz w:val="32"/>
          <w:szCs w:val="32"/>
          <w:highlight w:val="none"/>
        </w:rPr>
        <w:br w:type="page"/>
      </w:r>
      <w:bookmarkStart w:id="75" w:name="_Toc71365926"/>
      <w:r>
        <w:rPr>
          <w:rFonts w:hint="eastAsia" w:ascii="方正小标宋简体" w:hAnsi="方正小标宋简体" w:eastAsia="方正小标宋简体" w:cs="方正小标宋简体"/>
          <w:color w:val="auto"/>
          <w:sz w:val="44"/>
          <w:szCs w:val="44"/>
          <w:highlight w:val="none"/>
        </w:rPr>
        <w:t>中小企业声明函（服务）</w:t>
      </w:r>
      <w:bookmarkEnd w:id="75"/>
    </w:p>
    <w:p w14:paraId="6B89AAA5">
      <w:pPr>
        <w:spacing w:before="2" w:line="500" w:lineRule="exact"/>
        <w:ind w:firstLine="708" w:firstLineChars="294"/>
        <w:rPr>
          <w:rFonts w:ascii="宋体" w:hAnsi="宋体" w:cs="宋体"/>
          <w:b/>
          <w:bCs/>
          <w:color w:val="auto"/>
          <w:sz w:val="24"/>
          <w:highlight w:val="none"/>
        </w:rPr>
      </w:pPr>
    </w:p>
    <w:p w14:paraId="1F09EAFA">
      <w:pPr>
        <w:pStyle w:val="17"/>
        <w:spacing w:line="500" w:lineRule="exact"/>
        <w:ind w:right="142" w:firstLine="705" w:firstLineChars="294"/>
        <w:rPr>
          <w:rFonts w:ascii="宋体" w:hAnsi="宋体"/>
          <w:color w:val="auto"/>
          <w:sz w:val="24"/>
          <w:highlight w:val="none"/>
        </w:rPr>
      </w:pPr>
      <w:r>
        <w:rPr>
          <w:rFonts w:hint="eastAsia" w:ascii="宋体" w:hAnsi="宋体"/>
          <w:color w:val="auto"/>
          <w:sz w:val="24"/>
          <w:highlight w:val="none"/>
        </w:rPr>
        <w:t>本公司（联合体）郑重声明，根据《政府采购促进中小企业发展管理办法》（财库﹝2020﹞46号）的规定，本公司（联合体）参加</w:t>
      </w:r>
      <w:r>
        <w:rPr>
          <w:rFonts w:hint="eastAsia" w:ascii="宋体" w:hAnsi="宋体"/>
          <w:color w:val="auto"/>
          <w:sz w:val="24"/>
          <w:highlight w:val="none"/>
          <w:u w:val="single"/>
        </w:rPr>
        <w:t>（单位名称）</w:t>
      </w:r>
      <w:r>
        <w:rPr>
          <w:rFonts w:hint="eastAsia" w:ascii="宋体" w:hAnsi="宋体"/>
          <w:color w:val="auto"/>
          <w:sz w:val="24"/>
          <w:highlight w:val="none"/>
        </w:rPr>
        <w:t>的</w:t>
      </w:r>
      <w:r>
        <w:rPr>
          <w:rFonts w:hint="eastAsia" w:ascii="宋体" w:hAnsi="宋体"/>
          <w:color w:val="auto"/>
          <w:sz w:val="24"/>
          <w:highlight w:val="none"/>
          <w:u w:val="single"/>
        </w:rPr>
        <w:t>（项目名称）</w:t>
      </w:r>
      <w:r>
        <w:rPr>
          <w:rFonts w:hint="eastAsia" w:ascii="宋体" w:hAnsi="宋体"/>
          <w:color w:val="auto"/>
          <w:sz w:val="24"/>
          <w:highlight w:val="none"/>
        </w:rPr>
        <w:t>采购活动，服务全部由符合政策要求的中小企业承接。相关企业（含联合体中的中小企业、签订分包意向协议的中小企业）的具体情况如下：</w:t>
      </w:r>
    </w:p>
    <w:p w14:paraId="6C719BA8">
      <w:pPr>
        <w:tabs>
          <w:tab w:val="left" w:pos="1384"/>
          <w:tab w:val="left" w:pos="4562"/>
          <w:tab w:val="left" w:pos="6803"/>
        </w:tabs>
        <w:spacing w:before="13" w:line="500" w:lineRule="exact"/>
        <w:ind w:right="142" w:firstLine="772" w:firstLineChars="322"/>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u w:val="single"/>
        </w:rPr>
        <w:t>（标的名称）</w:t>
      </w:r>
      <w:r>
        <w:rPr>
          <w:rFonts w:hint="eastAsia" w:ascii="宋体" w:hAnsi="宋体"/>
          <w:color w:val="auto"/>
          <w:sz w:val="24"/>
          <w:highlight w:val="none"/>
        </w:rPr>
        <w:t>，属于</w:t>
      </w:r>
      <w:r>
        <w:rPr>
          <w:rFonts w:hint="eastAsia" w:ascii="宋体" w:hAnsi="宋体"/>
          <w:color w:val="auto"/>
          <w:sz w:val="24"/>
          <w:highlight w:val="none"/>
          <w:u w:val="single"/>
        </w:rPr>
        <w:t>（采购文件中明确的所属行业）</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万元，属于</w:t>
      </w:r>
      <w:r>
        <w:rPr>
          <w:rFonts w:hint="eastAsia" w:ascii="宋体" w:hAnsi="宋体"/>
          <w:color w:val="auto"/>
          <w:sz w:val="24"/>
          <w:highlight w:val="none"/>
          <w:u w:val="single"/>
        </w:rPr>
        <w:t>（中型企业、小型企业、微型企业）</w:t>
      </w:r>
      <w:r>
        <w:rPr>
          <w:rFonts w:hint="eastAsia" w:ascii="宋体" w:hAnsi="宋体"/>
          <w:color w:val="auto"/>
          <w:sz w:val="24"/>
          <w:highlight w:val="none"/>
        </w:rPr>
        <w:t>；</w:t>
      </w:r>
    </w:p>
    <w:p w14:paraId="217D8196">
      <w:pPr>
        <w:tabs>
          <w:tab w:val="left" w:pos="1065"/>
          <w:tab w:val="left" w:pos="4262"/>
          <w:tab w:val="left" w:pos="6477"/>
        </w:tabs>
        <w:spacing w:before="20" w:line="500" w:lineRule="exact"/>
        <w:ind w:right="84" w:firstLine="772" w:firstLineChars="322"/>
        <w:rPr>
          <w:rFonts w:ascii="宋体" w:hAnsi="宋体"/>
          <w:color w:val="auto"/>
          <w:sz w:val="24"/>
          <w:highlight w:val="none"/>
          <w:u w:val="single"/>
        </w:rPr>
      </w:pPr>
      <w:r>
        <w:rPr>
          <w:rFonts w:hint="eastAsia" w:ascii="宋体" w:hAnsi="宋体"/>
          <w:color w:val="auto"/>
          <w:sz w:val="24"/>
          <w:highlight w:val="none"/>
        </w:rPr>
        <w:t>2.</w:t>
      </w:r>
      <w:r>
        <w:rPr>
          <w:rFonts w:hint="eastAsia" w:ascii="宋体" w:hAnsi="宋体"/>
          <w:color w:val="auto"/>
          <w:sz w:val="24"/>
          <w:highlight w:val="none"/>
          <w:u w:val="single"/>
        </w:rPr>
        <w:t>（标的名称）</w:t>
      </w:r>
      <w:r>
        <w:rPr>
          <w:rFonts w:hint="eastAsia" w:ascii="宋体" w:hAnsi="宋体"/>
          <w:color w:val="auto"/>
          <w:sz w:val="24"/>
          <w:highlight w:val="none"/>
        </w:rPr>
        <w:t>，属于</w:t>
      </w:r>
      <w:r>
        <w:rPr>
          <w:rFonts w:hint="eastAsia" w:ascii="宋体" w:hAnsi="宋体"/>
          <w:color w:val="auto"/>
          <w:sz w:val="24"/>
          <w:highlight w:val="none"/>
          <w:u w:val="single"/>
        </w:rPr>
        <w:t>（采购文件中明确的所属行业）</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万元，属于</w:t>
      </w:r>
      <w:r>
        <w:rPr>
          <w:rFonts w:hint="eastAsia" w:ascii="宋体" w:hAnsi="宋体"/>
          <w:color w:val="auto"/>
          <w:sz w:val="24"/>
          <w:highlight w:val="none"/>
          <w:u w:val="single"/>
        </w:rPr>
        <w:t>（中型企业、小型企业、微型企业）</w:t>
      </w:r>
      <w:r>
        <w:rPr>
          <w:rFonts w:hint="eastAsia" w:ascii="宋体" w:hAnsi="宋体"/>
          <w:color w:val="auto"/>
          <w:sz w:val="24"/>
          <w:highlight w:val="none"/>
        </w:rPr>
        <w:t>；</w:t>
      </w:r>
    </w:p>
    <w:p w14:paraId="61875AD1">
      <w:pPr>
        <w:pStyle w:val="17"/>
        <w:spacing w:before="34" w:line="500" w:lineRule="exact"/>
        <w:ind w:right="142" w:firstLine="705" w:firstLineChars="294"/>
        <w:rPr>
          <w:rFonts w:ascii="宋体" w:hAnsi="宋体"/>
          <w:color w:val="auto"/>
          <w:sz w:val="24"/>
          <w:highlight w:val="none"/>
        </w:rPr>
      </w:pPr>
      <w:r>
        <w:rPr>
          <w:rFonts w:hint="eastAsia" w:ascii="宋体" w:hAnsi="宋体"/>
          <w:color w:val="auto"/>
          <w:sz w:val="24"/>
          <w:highlight w:val="none"/>
        </w:rPr>
        <w:t>……</w:t>
      </w:r>
    </w:p>
    <w:p w14:paraId="591DCE7F">
      <w:pPr>
        <w:pStyle w:val="17"/>
        <w:spacing w:before="34" w:line="500" w:lineRule="exact"/>
        <w:ind w:right="142" w:firstLine="705" w:firstLineChars="294"/>
        <w:rPr>
          <w:rFonts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14:paraId="19BDA583">
      <w:pPr>
        <w:pStyle w:val="17"/>
        <w:spacing w:before="25" w:line="500" w:lineRule="exact"/>
        <w:ind w:right="142" w:firstLine="705" w:firstLineChars="294"/>
        <w:rPr>
          <w:rFonts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14:paraId="32EC60FA">
      <w:pPr>
        <w:pStyle w:val="17"/>
        <w:spacing w:before="56" w:line="500" w:lineRule="exact"/>
        <w:ind w:right="1808" w:firstLine="705" w:firstLineChars="294"/>
        <w:rPr>
          <w:rFonts w:ascii="宋体" w:hAnsi="宋体"/>
          <w:color w:val="auto"/>
          <w:sz w:val="24"/>
          <w:highlight w:val="none"/>
        </w:rPr>
      </w:pPr>
    </w:p>
    <w:p w14:paraId="4A6C9A51">
      <w:pPr>
        <w:pStyle w:val="17"/>
        <w:spacing w:before="56" w:line="500" w:lineRule="exact"/>
        <w:ind w:right="650" w:firstLine="5625" w:firstLineChars="2344"/>
        <w:rPr>
          <w:rFonts w:ascii="宋体" w:hAnsi="宋体"/>
          <w:color w:val="auto"/>
          <w:sz w:val="24"/>
          <w:highlight w:val="none"/>
        </w:rPr>
      </w:pPr>
      <w:r>
        <w:rPr>
          <w:rFonts w:hint="eastAsia" w:ascii="宋体" w:hAnsi="宋体"/>
          <w:color w:val="auto"/>
          <w:sz w:val="24"/>
          <w:highlight w:val="none"/>
        </w:rPr>
        <w:t>企业名称（章）：</w:t>
      </w:r>
    </w:p>
    <w:p w14:paraId="4547D51D">
      <w:pPr>
        <w:pStyle w:val="17"/>
        <w:spacing w:before="56" w:line="500" w:lineRule="exact"/>
        <w:ind w:right="1808" w:firstLine="5625" w:firstLineChars="2344"/>
        <w:rPr>
          <w:rFonts w:ascii="宋体" w:hAnsi="宋体"/>
          <w:color w:val="auto"/>
          <w:sz w:val="24"/>
          <w:highlight w:val="none"/>
        </w:rPr>
      </w:pPr>
      <w:r>
        <w:rPr>
          <w:rFonts w:hint="eastAsia" w:ascii="宋体" w:hAnsi="宋体"/>
          <w:color w:val="auto"/>
          <w:sz w:val="24"/>
          <w:highlight w:val="none"/>
        </w:rPr>
        <w:t>日期：</w:t>
      </w:r>
    </w:p>
    <w:p w14:paraId="34886DBD">
      <w:pPr>
        <w:spacing w:line="520" w:lineRule="exact"/>
        <w:jc w:val="left"/>
        <w:rPr>
          <w:rFonts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5915A2F5">
      <w:pPr>
        <w:spacing w:line="520" w:lineRule="exact"/>
        <w:jc w:val="center"/>
        <w:rPr>
          <w:rFonts w:ascii="仿宋_GB2312" w:hAnsi="仿宋_GB2312" w:eastAsia="仿宋_GB2312" w:cs="仿宋_GB2312"/>
          <w:color w:val="auto"/>
          <w:sz w:val="32"/>
          <w:szCs w:val="32"/>
          <w:highlight w:val="none"/>
        </w:rPr>
      </w:pPr>
      <w:r>
        <w:rPr>
          <w:rFonts w:hint="eastAsia" w:ascii="宋体" w:hAns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残疾人福利性单位声明函</w:t>
      </w:r>
    </w:p>
    <w:p w14:paraId="1AFA4452">
      <w:pPr>
        <w:spacing w:line="360" w:lineRule="auto"/>
        <w:rPr>
          <w:rFonts w:ascii="仿宋_GB2312" w:hAnsi="仿宋_GB2312" w:eastAsia="仿宋_GB2312" w:cs="仿宋_GB2312"/>
          <w:color w:val="auto"/>
          <w:sz w:val="32"/>
          <w:szCs w:val="32"/>
          <w:highlight w:val="none"/>
        </w:rPr>
      </w:pPr>
    </w:p>
    <w:p w14:paraId="71ABC16E">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F6E691A">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6EA3F015">
      <w:pPr>
        <w:spacing w:line="360" w:lineRule="auto"/>
        <w:rPr>
          <w:rFonts w:ascii="宋体" w:hAnsi="宋体" w:cs="仿宋_GB2312"/>
          <w:color w:val="auto"/>
          <w:sz w:val="24"/>
          <w:highlight w:val="none"/>
        </w:rPr>
      </w:pPr>
    </w:p>
    <w:p w14:paraId="4F158A32">
      <w:pPr>
        <w:spacing w:line="360" w:lineRule="auto"/>
        <w:rPr>
          <w:rFonts w:ascii="宋体" w:hAnsi="宋体" w:cs="仿宋_GB2312"/>
          <w:color w:val="auto"/>
          <w:sz w:val="24"/>
          <w:highlight w:val="none"/>
        </w:rPr>
      </w:pPr>
    </w:p>
    <w:p w14:paraId="5508CD15">
      <w:pPr>
        <w:spacing w:line="360" w:lineRule="auto"/>
        <w:rPr>
          <w:rFonts w:ascii="宋体" w:hAnsi="宋体" w:cs="仿宋_GB2312"/>
          <w:color w:val="auto"/>
          <w:sz w:val="24"/>
          <w:highlight w:val="none"/>
        </w:rPr>
      </w:pPr>
    </w:p>
    <w:p w14:paraId="10853E21">
      <w:pPr>
        <w:spacing w:line="360" w:lineRule="auto"/>
        <w:ind w:firstLine="2400" w:firstLineChars="1000"/>
        <w:rPr>
          <w:rFonts w:ascii="宋体" w:hAnsi="宋体" w:cs="仿宋_GB2312"/>
          <w:color w:val="auto"/>
          <w:sz w:val="24"/>
          <w:highlight w:val="none"/>
        </w:rPr>
      </w:pPr>
      <w:r>
        <w:rPr>
          <w:rFonts w:hint="eastAsia" w:ascii="宋体" w:hAnsi="宋体" w:cs="仿宋_GB2312"/>
          <w:color w:val="auto"/>
          <w:sz w:val="24"/>
          <w:highlight w:val="none"/>
        </w:rPr>
        <w:t>单位名称（盖章）：</w:t>
      </w:r>
    </w:p>
    <w:p w14:paraId="60222D47">
      <w:pPr>
        <w:spacing w:line="360" w:lineRule="auto"/>
        <w:ind w:firstLine="3600" w:firstLineChars="1500"/>
        <w:rPr>
          <w:rFonts w:ascii="宋体" w:hAnsi="宋体" w:cs="仿宋_GB2312"/>
          <w:color w:val="auto"/>
          <w:sz w:val="24"/>
          <w:highlight w:val="none"/>
        </w:rPr>
      </w:pPr>
      <w:r>
        <w:rPr>
          <w:rFonts w:hint="eastAsia" w:ascii="宋体" w:hAnsi="宋体" w:cs="仿宋_GB2312"/>
          <w:color w:val="auto"/>
          <w:sz w:val="24"/>
          <w:highlight w:val="none"/>
        </w:rPr>
        <w:t>日期：</w:t>
      </w:r>
    </w:p>
    <w:p w14:paraId="58A6FAFD">
      <w:pPr>
        <w:spacing w:line="360" w:lineRule="auto"/>
        <w:rPr>
          <w:rFonts w:ascii="宋体" w:hAnsi="宋体" w:cs="仿宋_GB2312"/>
          <w:color w:val="auto"/>
          <w:sz w:val="24"/>
          <w:highlight w:val="none"/>
        </w:rPr>
      </w:pPr>
    </w:p>
    <w:p w14:paraId="1DBFDED4">
      <w:pPr>
        <w:spacing w:line="360" w:lineRule="auto"/>
        <w:rPr>
          <w:rFonts w:ascii="宋体" w:hAnsi="宋体" w:cs="仿宋_GB2312"/>
          <w:color w:val="auto"/>
          <w:sz w:val="24"/>
          <w:highlight w:val="none"/>
        </w:rPr>
      </w:pPr>
    </w:p>
    <w:p w14:paraId="60CACBFB">
      <w:pPr>
        <w:spacing w:line="360" w:lineRule="auto"/>
        <w:rPr>
          <w:rFonts w:ascii="宋体" w:hAnsi="宋体" w:cs="仿宋_GB2312"/>
          <w:color w:val="auto"/>
          <w:sz w:val="24"/>
          <w:highlight w:val="none"/>
        </w:rPr>
      </w:pPr>
    </w:p>
    <w:p w14:paraId="44C9F9E6">
      <w:pPr>
        <w:spacing w:line="360" w:lineRule="auto"/>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582C86E2">
      <w:pPr>
        <w:spacing w:line="360" w:lineRule="auto"/>
        <w:ind w:right="420"/>
        <w:contextualSpacing/>
        <w:jc w:val="left"/>
        <w:rPr>
          <w:rFonts w:ascii="宋体" w:hAnsi="宋体"/>
          <w:b/>
          <w:bCs/>
          <w:color w:val="auto"/>
          <w:sz w:val="32"/>
          <w:szCs w:val="32"/>
          <w:highlight w:val="none"/>
        </w:rPr>
      </w:pPr>
    </w:p>
    <w:p w14:paraId="05DFBD4D">
      <w:pPr>
        <w:spacing w:line="360" w:lineRule="auto"/>
        <w:ind w:right="420"/>
        <w:contextualSpacing/>
        <w:jc w:val="left"/>
        <w:rPr>
          <w:rFonts w:ascii="宋体" w:hAnsi="宋体"/>
          <w:b/>
          <w:bCs/>
          <w:color w:val="auto"/>
          <w:sz w:val="32"/>
          <w:szCs w:val="32"/>
          <w:highlight w:val="none"/>
        </w:rPr>
      </w:pPr>
    </w:p>
    <w:p w14:paraId="5C7E6BDB">
      <w:pPr>
        <w:pStyle w:val="47"/>
        <w:ind w:firstLine="480"/>
        <w:rPr>
          <w:color w:val="auto"/>
          <w:highlight w:val="none"/>
        </w:rPr>
      </w:pPr>
    </w:p>
    <w:p w14:paraId="14A11C73">
      <w:pPr>
        <w:rPr>
          <w:color w:val="auto"/>
          <w:highlight w:val="none"/>
        </w:rPr>
      </w:pPr>
    </w:p>
    <w:p w14:paraId="040C52AB">
      <w:pPr>
        <w:pStyle w:val="47"/>
        <w:ind w:firstLine="480"/>
        <w:rPr>
          <w:color w:val="auto"/>
          <w:highlight w:val="none"/>
        </w:rPr>
      </w:pPr>
    </w:p>
    <w:p w14:paraId="03D80469">
      <w:pPr>
        <w:rPr>
          <w:color w:val="auto"/>
          <w:highlight w:val="none"/>
        </w:rPr>
      </w:pPr>
    </w:p>
    <w:p w14:paraId="57A33841">
      <w:pPr>
        <w:pStyle w:val="47"/>
        <w:ind w:firstLine="480"/>
        <w:rPr>
          <w:color w:val="auto"/>
          <w:highlight w:val="none"/>
        </w:rPr>
      </w:pPr>
    </w:p>
    <w:p w14:paraId="032D3D3B">
      <w:pPr>
        <w:rPr>
          <w:color w:val="auto"/>
          <w:highlight w:val="none"/>
        </w:rPr>
      </w:pPr>
    </w:p>
    <w:p w14:paraId="7B0AEA2C">
      <w:pPr>
        <w:pStyle w:val="47"/>
        <w:ind w:firstLine="480"/>
        <w:rPr>
          <w:color w:val="auto"/>
          <w:highlight w:val="none"/>
        </w:rPr>
      </w:pPr>
    </w:p>
    <w:p w14:paraId="35030C5B">
      <w:pPr>
        <w:rPr>
          <w:color w:val="auto"/>
          <w:highlight w:val="none"/>
        </w:rPr>
      </w:pPr>
    </w:p>
    <w:p w14:paraId="53770F66">
      <w:pPr>
        <w:spacing w:line="360" w:lineRule="auto"/>
        <w:ind w:right="420"/>
        <w:contextualSpacing/>
        <w:jc w:val="left"/>
        <w:rPr>
          <w:rFonts w:ascii="宋体" w:hAnsi="宋体"/>
          <w:b/>
          <w:bCs/>
          <w:color w:val="auto"/>
          <w:sz w:val="32"/>
          <w:szCs w:val="32"/>
          <w:highlight w:val="none"/>
        </w:rPr>
      </w:pPr>
    </w:p>
    <w:p w14:paraId="092FB7BE">
      <w:pPr>
        <w:spacing w:line="360" w:lineRule="auto"/>
        <w:ind w:right="420"/>
        <w:contextualSpacing/>
        <w:jc w:val="left"/>
        <w:rPr>
          <w:rFonts w:ascii="宋体" w:hAnsi="宋体"/>
          <w:b/>
          <w:color w:val="auto"/>
          <w:sz w:val="32"/>
          <w:szCs w:val="32"/>
          <w:highlight w:val="none"/>
        </w:rPr>
      </w:pPr>
      <w:r>
        <w:rPr>
          <w:rFonts w:hint="eastAsia" w:ascii="宋体" w:hAnsi="宋体"/>
          <w:b/>
          <w:bCs/>
          <w:color w:val="auto"/>
          <w:sz w:val="32"/>
          <w:szCs w:val="32"/>
          <w:highlight w:val="none"/>
        </w:rPr>
        <w:t>二、</w:t>
      </w:r>
      <w:r>
        <w:rPr>
          <w:rFonts w:hint="eastAsia" w:ascii="宋体" w:hAnsi="宋体"/>
          <w:b/>
          <w:color w:val="auto"/>
          <w:sz w:val="32"/>
          <w:szCs w:val="32"/>
          <w:highlight w:val="none"/>
        </w:rPr>
        <w:t>报价文件格式</w:t>
      </w:r>
    </w:p>
    <w:p w14:paraId="53E06CBA">
      <w:pPr>
        <w:snapToGrid w:val="0"/>
        <w:spacing w:before="156"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1.报价文件封面格式</w:t>
      </w:r>
    </w:p>
    <w:p w14:paraId="2D46D325">
      <w:pPr>
        <w:snapToGrid w:val="0"/>
        <w:spacing w:before="156" w:beforeLines="50" w:after="50"/>
        <w:rPr>
          <w:rFonts w:ascii="宋体" w:hAnsi="宋体"/>
          <w:bCs/>
          <w:color w:val="auto"/>
          <w:sz w:val="32"/>
          <w:szCs w:val="20"/>
          <w:highlight w:val="none"/>
        </w:rPr>
      </w:pPr>
    </w:p>
    <w:p w14:paraId="0D6FAB1D">
      <w:pPr>
        <w:snapToGrid w:val="0"/>
        <w:spacing w:before="156" w:beforeLines="50" w:after="50"/>
        <w:jc w:val="center"/>
        <w:rPr>
          <w:rFonts w:ascii="宋体" w:hAnsi="宋体"/>
          <w:color w:val="auto"/>
          <w:sz w:val="24"/>
          <w:szCs w:val="20"/>
          <w:highlight w:val="none"/>
        </w:rPr>
      </w:pPr>
      <w:r>
        <w:rPr>
          <w:rFonts w:hint="eastAsia" w:ascii="宋体" w:hAnsi="宋体"/>
          <w:color w:val="auto"/>
          <w:sz w:val="44"/>
          <w:szCs w:val="44"/>
          <w:highlight w:val="none"/>
        </w:rPr>
        <w:t>电子响应文件</w:t>
      </w:r>
    </w:p>
    <w:p w14:paraId="35DCBA44">
      <w:pPr>
        <w:snapToGrid w:val="0"/>
        <w:spacing w:before="156" w:beforeLines="50" w:after="50"/>
        <w:rPr>
          <w:rFonts w:ascii="宋体" w:hAnsi="宋体"/>
          <w:color w:val="auto"/>
          <w:sz w:val="24"/>
          <w:szCs w:val="20"/>
          <w:highlight w:val="none"/>
        </w:rPr>
      </w:pPr>
    </w:p>
    <w:p w14:paraId="0C4E21B6">
      <w:pPr>
        <w:snapToGrid w:val="0"/>
        <w:spacing w:before="156" w:beforeLines="50" w:after="50"/>
        <w:rPr>
          <w:rFonts w:ascii="宋体" w:hAnsi="宋体"/>
          <w:color w:val="auto"/>
          <w:sz w:val="24"/>
          <w:szCs w:val="20"/>
          <w:highlight w:val="none"/>
        </w:rPr>
      </w:pPr>
    </w:p>
    <w:p w14:paraId="75E92474">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报价文件</w:t>
      </w:r>
    </w:p>
    <w:p w14:paraId="2BD89D3E">
      <w:pPr>
        <w:snapToGrid w:val="0"/>
        <w:spacing w:before="156" w:beforeLines="50" w:after="50"/>
        <w:rPr>
          <w:rFonts w:ascii="宋体" w:hAnsi="宋体"/>
          <w:bCs/>
          <w:color w:val="auto"/>
          <w:sz w:val="24"/>
          <w:szCs w:val="20"/>
          <w:highlight w:val="none"/>
        </w:rPr>
      </w:pPr>
    </w:p>
    <w:p w14:paraId="3C270547">
      <w:pPr>
        <w:snapToGrid w:val="0"/>
        <w:spacing w:before="156" w:beforeLines="50" w:after="50"/>
        <w:rPr>
          <w:rFonts w:ascii="宋体" w:hAnsi="宋体"/>
          <w:bCs/>
          <w:color w:val="auto"/>
          <w:sz w:val="24"/>
          <w:szCs w:val="20"/>
          <w:highlight w:val="none"/>
        </w:rPr>
      </w:pPr>
    </w:p>
    <w:p w14:paraId="1CE3CACB">
      <w:pPr>
        <w:snapToGrid w:val="0"/>
        <w:spacing w:before="156" w:beforeLines="50" w:after="50"/>
        <w:rPr>
          <w:rFonts w:ascii="宋体" w:hAnsi="宋体"/>
          <w:bCs/>
          <w:color w:val="auto"/>
          <w:sz w:val="24"/>
          <w:szCs w:val="20"/>
          <w:highlight w:val="none"/>
        </w:rPr>
      </w:pPr>
    </w:p>
    <w:p w14:paraId="73EA66ED">
      <w:pPr>
        <w:snapToGrid w:val="0"/>
        <w:spacing w:before="156" w:beforeLines="50" w:after="50"/>
        <w:rPr>
          <w:rFonts w:ascii="宋体" w:hAnsi="宋体"/>
          <w:bCs/>
          <w:color w:val="auto"/>
          <w:sz w:val="24"/>
          <w:szCs w:val="20"/>
          <w:highlight w:val="none"/>
        </w:rPr>
      </w:pPr>
    </w:p>
    <w:p w14:paraId="59EF1E0B">
      <w:pPr>
        <w:snapToGrid w:val="0"/>
        <w:spacing w:before="156" w:beforeLines="50" w:after="50"/>
        <w:rPr>
          <w:rFonts w:ascii="宋体" w:hAnsi="宋体"/>
          <w:bCs/>
          <w:color w:val="auto"/>
          <w:sz w:val="24"/>
          <w:szCs w:val="20"/>
          <w:highlight w:val="none"/>
        </w:rPr>
      </w:pPr>
    </w:p>
    <w:p w14:paraId="10C2A96C">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5431B9AA">
      <w:pPr>
        <w:snapToGrid w:val="0"/>
        <w:spacing w:before="156" w:beforeLines="50" w:after="50"/>
        <w:ind w:firstLine="720" w:firstLineChars="225"/>
        <w:rPr>
          <w:rFonts w:ascii="宋体" w:hAnsi="宋体" w:cs="仿宋_GB2312"/>
          <w:bCs/>
          <w:color w:val="auto"/>
          <w:sz w:val="32"/>
          <w:szCs w:val="32"/>
          <w:highlight w:val="none"/>
        </w:rPr>
      </w:pPr>
    </w:p>
    <w:p w14:paraId="59786FF8">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50592713">
      <w:pPr>
        <w:snapToGrid w:val="0"/>
        <w:spacing w:before="156" w:beforeLines="50" w:after="50"/>
        <w:ind w:firstLine="720" w:firstLineChars="225"/>
        <w:rPr>
          <w:rFonts w:ascii="宋体" w:hAnsi="宋体" w:cs="仿宋_GB2312"/>
          <w:bCs/>
          <w:color w:val="auto"/>
          <w:sz w:val="32"/>
          <w:szCs w:val="32"/>
          <w:highlight w:val="none"/>
        </w:rPr>
      </w:pPr>
    </w:p>
    <w:p w14:paraId="56132F14">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00C38812">
      <w:pPr>
        <w:snapToGrid w:val="0"/>
        <w:spacing w:before="156" w:beforeLines="50" w:after="50"/>
        <w:ind w:firstLine="720" w:firstLineChars="225"/>
        <w:rPr>
          <w:rFonts w:ascii="宋体" w:hAnsi="宋体" w:cs="仿宋_GB2312"/>
          <w:bCs/>
          <w:color w:val="auto"/>
          <w:sz w:val="32"/>
          <w:szCs w:val="32"/>
          <w:highlight w:val="none"/>
        </w:rPr>
      </w:pPr>
    </w:p>
    <w:p w14:paraId="30CB00FE">
      <w:pPr>
        <w:pStyle w:val="8"/>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57C28D53">
      <w:pPr>
        <w:pStyle w:val="8"/>
        <w:snapToGrid w:val="0"/>
        <w:spacing w:before="50" w:after="50"/>
        <w:ind w:firstLine="640" w:firstLineChars="200"/>
        <w:rPr>
          <w:rFonts w:ascii="宋体" w:hAnsi="宋体" w:cs="仿宋_GB2312"/>
          <w:bCs/>
          <w:color w:val="auto"/>
          <w:sz w:val="32"/>
          <w:szCs w:val="32"/>
          <w:highlight w:val="none"/>
        </w:rPr>
      </w:pPr>
    </w:p>
    <w:p w14:paraId="3EC6E9A1">
      <w:pPr>
        <w:pStyle w:val="8"/>
        <w:snapToGrid w:val="0"/>
        <w:spacing w:before="50" w:after="50"/>
        <w:ind w:firstLine="720" w:firstLineChars="225"/>
        <w:rPr>
          <w:rFonts w:ascii="宋体" w:hAnsi="宋体" w:cs="仿宋_GB2312"/>
          <w:bCs/>
          <w:color w:val="auto"/>
          <w:sz w:val="32"/>
          <w:szCs w:val="32"/>
          <w:highlight w:val="none"/>
        </w:rPr>
      </w:pPr>
    </w:p>
    <w:p w14:paraId="6D227D52">
      <w:pPr>
        <w:pStyle w:val="8"/>
        <w:snapToGrid w:val="0"/>
        <w:spacing w:before="50" w:after="50"/>
        <w:ind w:firstLine="0"/>
        <w:rPr>
          <w:rFonts w:ascii="宋体" w:hAnsi="宋体" w:cs="仿宋_GB2312"/>
          <w:bCs/>
          <w:color w:val="auto"/>
          <w:sz w:val="32"/>
          <w:szCs w:val="32"/>
          <w:highlight w:val="none"/>
        </w:rPr>
      </w:pPr>
    </w:p>
    <w:p w14:paraId="16A33A26">
      <w:pPr>
        <w:pStyle w:val="8"/>
        <w:snapToGrid w:val="0"/>
        <w:spacing w:before="50" w:after="50"/>
        <w:ind w:firstLine="1280" w:firstLineChars="400"/>
        <w:rPr>
          <w:rFonts w:ascii="宋体" w:hAnsi="宋体" w:cs="仿宋_GB2312"/>
          <w:bCs/>
          <w:color w:val="auto"/>
          <w:sz w:val="32"/>
          <w:szCs w:val="32"/>
          <w:highlight w:val="none"/>
        </w:rPr>
      </w:pPr>
    </w:p>
    <w:p w14:paraId="6259544F">
      <w:pPr>
        <w:snapToGrid w:val="0"/>
        <w:spacing w:before="156"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年月日</w:t>
      </w:r>
    </w:p>
    <w:p w14:paraId="41B4A239">
      <w:pPr>
        <w:snapToGrid w:val="0"/>
        <w:spacing w:before="156" w:beforeLines="50" w:after="50" w:line="360" w:lineRule="auto"/>
        <w:ind w:left="142"/>
        <w:jc w:val="left"/>
        <w:rPr>
          <w:rFonts w:ascii="宋体" w:hAnsi="宋体"/>
          <w:b/>
          <w:bCs/>
          <w:color w:val="auto"/>
          <w:sz w:val="24"/>
          <w:highlight w:val="none"/>
        </w:rPr>
      </w:pPr>
      <w:r>
        <w:rPr>
          <w:rFonts w:hint="eastAsia" w:ascii="宋体" w:hAnsi="宋体"/>
          <w:color w:val="auto"/>
          <w:szCs w:val="21"/>
          <w:highlight w:val="none"/>
        </w:rPr>
        <w:br w:type="page"/>
      </w:r>
      <w:r>
        <w:rPr>
          <w:rFonts w:hint="eastAsia" w:ascii="宋体" w:hAnsi="宋体"/>
          <w:b/>
          <w:bCs/>
          <w:color w:val="auto"/>
          <w:sz w:val="32"/>
          <w:szCs w:val="32"/>
          <w:highlight w:val="none"/>
        </w:rPr>
        <w:t>2.报价文件目录</w:t>
      </w:r>
    </w:p>
    <w:p w14:paraId="59D79407">
      <w:pPr>
        <w:pStyle w:val="23"/>
        <w:spacing w:line="500" w:lineRule="exact"/>
        <w:jc w:val="center"/>
        <w:rPr>
          <w:rFonts w:ascii="方正小标宋简体" w:hAnsi="方正小标宋简体" w:eastAsia="方正小标宋简体" w:cs="方正小标宋简体"/>
          <w:bCs/>
          <w:color w:val="auto"/>
          <w:kern w:val="2"/>
          <w:sz w:val="44"/>
          <w:szCs w:val="44"/>
          <w:highlight w:val="none"/>
        </w:rPr>
      </w:pPr>
      <w:r>
        <w:rPr>
          <w:rFonts w:hint="eastAsia" w:hAnsi="宋体"/>
          <w:color w:val="auto"/>
          <w:sz w:val="32"/>
          <w:szCs w:val="32"/>
          <w:highlight w:val="none"/>
        </w:rPr>
        <w:t>根据磋商文件规定及供应商提供的材料自行编写目录（部分格式后附）。</w:t>
      </w:r>
      <w:r>
        <w:rPr>
          <w:rFonts w:hAnsi="宋体"/>
          <w:b/>
          <w:bCs/>
          <w:color w:val="auto"/>
          <w:sz w:val="32"/>
          <w:szCs w:val="32"/>
          <w:highlight w:val="none"/>
        </w:rPr>
        <w:br w:type="page"/>
      </w:r>
      <w:r>
        <w:rPr>
          <w:rFonts w:hint="eastAsia" w:ascii="方正小标宋简体" w:hAnsi="方正小标宋简体" w:eastAsia="方正小标宋简体" w:cs="方正小标宋简体"/>
          <w:bCs/>
          <w:color w:val="auto"/>
          <w:kern w:val="2"/>
          <w:sz w:val="44"/>
          <w:szCs w:val="44"/>
          <w:highlight w:val="none"/>
        </w:rPr>
        <w:t>响应函</w:t>
      </w:r>
    </w:p>
    <w:p w14:paraId="1EA11943">
      <w:pPr>
        <w:pStyle w:val="23"/>
        <w:spacing w:line="500" w:lineRule="exact"/>
        <w:rPr>
          <w:rFonts w:hAnsi="宋体" w:cs="宋体"/>
          <w:color w:val="auto"/>
          <w:sz w:val="32"/>
          <w:highlight w:val="none"/>
        </w:rPr>
      </w:pPr>
    </w:p>
    <w:p w14:paraId="256CEBCE">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[采购组织机构]：</w:t>
      </w:r>
    </w:p>
    <w:p w14:paraId="64717F3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我方已仔细阅读了贵方组织的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项目</w:t>
      </w:r>
      <w:r>
        <w:rPr>
          <w:rFonts w:hint="eastAsia" w:ascii="宋体" w:hAnsi="宋体" w:cs="宋体"/>
          <w:color w:val="auto"/>
          <w:sz w:val="24"/>
          <w:highlight w:val="none"/>
          <w:u w:val="single"/>
        </w:rPr>
        <w:t>（项目编号）</w:t>
      </w:r>
      <w:r>
        <w:rPr>
          <w:rFonts w:hint="eastAsia" w:ascii="宋体" w:hAnsi="宋体" w:cs="宋体"/>
          <w:color w:val="auto"/>
          <w:sz w:val="24"/>
          <w:highlight w:val="none"/>
        </w:rPr>
        <w:t>的竞争性磋商采购文件的全部内容，现正式递交下述文件参加贵方组织的本次政府采购活动：</w:t>
      </w:r>
    </w:p>
    <w:p w14:paraId="7AC04DE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一、报价文件电子版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份（包含按“第二章 供应商须知”提交的全部文件）；</w:t>
      </w:r>
    </w:p>
    <w:p w14:paraId="7A75F4F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二、技术文件电子版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份（包含按“第二章 供应商须知”提交的全部文件）；商务文件电子版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份（包含按“第二章 供应商须知”提交的全部文件）；（商务技术文件已合并装订成册）</w:t>
      </w:r>
    </w:p>
    <w:p w14:paraId="704458F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三、资格证明文件电子版（包含按“第二章供应商须知”提交的全部文件）；</w:t>
      </w:r>
    </w:p>
    <w:p w14:paraId="0FE4D48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据此函，签字人兹宣布：</w:t>
      </w:r>
    </w:p>
    <w:p w14:paraId="1395537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1、我方愿意以</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的竞标报价，提供本项目竞争性磋商采购文件第三章“采购需求”中</w:t>
      </w:r>
      <w:r>
        <w:rPr>
          <w:rFonts w:hint="eastAsia" w:ascii="宋体" w:hAnsi="宋体" w:cs="宋体"/>
          <w:color w:val="auto"/>
          <w:sz w:val="24"/>
          <w:highlight w:val="none"/>
          <w:u w:val="none"/>
          <w:lang w:val="en-US" w:eastAsia="zh-CN"/>
        </w:rPr>
        <w:t>分标</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相应的采购内容：</w:t>
      </w:r>
    </w:p>
    <w:p w14:paraId="49D9517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2、我方同意自本项目竞争性磋商采购文件采购公告规定的递交响应文件截止时间起遵循本响应函，并承诺在“第二章 供应商须知”规定的响应有效期内不修改、撤销响应文件。</w:t>
      </w:r>
    </w:p>
    <w:p w14:paraId="02D5D2B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3、我方在此声明，所递交的响应文件及有关资料内容完整、真实和准确。</w:t>
      </w:r>
    </w:p>
    <w:p w14:paraId="4B19FCD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4、如本项目采购内容涉及须符合国家强制规定的，我方承诺我方本次竞标均符合国家有关强制规定。</w:t>
      </w:r>
    </w:p>
    <w:p w14:paraId="2A55167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19940EC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6、我方已详细审核竞争性磋商采购文件，我方知道必须放弃提出含糊不清或误解问题的权利。</w:t>
      </w:r>
    </w:p>
    <w:p w14:paraId="4667895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7、我方承诺满足竞争性磋商采购文件第六章“合同文本”的条款，承担完成合同的责任和义务。</w:t>
      </w:r>
    </w:p>
    <w:p w14:paraId="12F2AEC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8、我方同意应贵方要求提供与本竞标有关的任何数据或资料。若贵方需要，我方愿意提供我方作出的一切承诺的证明材料。</w:t>
      </w:r>
    </w:p>
    <w:p w14:paraId="61BD766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9、我方完全理解贵方不一定接受响应报价最低的竞标人为成交供应商的行为。</w:t>
      </w:r>
    </w:p>
    <w:p w14:paraId="02E9B23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96EC123">
      <w:pPr>
        <w:spacing w:line="360" w:lineRule="auto"/>
        <w:ind w:firstLine="480" w:firstLineChars="200"/>
        <w:contextualSpacing/>
        <w:rPr>
          <w:rFonts w:ascii="宋体" w:hAnsi="宋体" w:cs="宋体"/>
          <w:color w:val="auto"/>
          <w:sz w:val="24"/>
          <w:highlight w:val="none"/>
        </w:rPr>
      </w:pPr>
    </w:p>
    <w:p w14:paraId="2BB25A8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 提供虚假材料谋取中标、成交的；</w:t>
      </w:r>
    </w:p>
    <w:p w14:paraId="0D14FDE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 采取不正当手段诋毁、排挤其他供应商的；</w:t>
      </w:r>
    </w:p>
    <w:p w14:paraId="310ED23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 与采购人、其他供应商或者采购代理机构恶意串通的；</w:t>
      </w:r>
    </w:p>
    <w:p w14:paraId="28E8BF9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 向采购人、采购代理机构行贿或者提供其他不正当利益的；</w:t>
      </w:r>
    </w:p>
    <w:p w14:paraId="4093305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 在采购过程中与采购人进行协商磋商的；</w:t>
      </w:r>
    </w:p>
    <w:p w14:paraId="74FA50E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 拒绝有关部门监督检查或提供虚假情况的。</w:t>
      </w:r>
    </w:p>
    <w:p w14:paraId="5B01B86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11.与本磋商有关的一切正式往来信函请寄：</w:t>
      </w:r>
    </w:p>
    <w:p w14:paraId="031436C7">
      <w:pPr>
        <w:pStyle w:val="23"/>
        <w:spacing w:line="360" w:lineRule="auto"/>
        <w:ind w:firstLine="420"/>
        <w:rPr>
          <w:rFonts w:hAnsi="宋体" w:cs="宋体"/>
          <w:color w:val="auto"/>
          <w:sz w:val="24"/>
          <w:szCs w:val="24"/>
          <w:highlight w:val="none"/>
        </w:rPr>
      </w:pPr>
      <w:r>
        <w:rPr>
          <w:rFonts w:hint="eastAsia" w:hAnsi="宋体" w:cs="宋体"/>
          <w:color w:val="auto"/>
          <w:sz w:val="24"/>
          <w:szCs w:val="24"/>
          <w:highlight w:val="none"/>
        </w:rPr>
        <w:t>地址：</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1B164E22">
      <w:pPr>
        <w:pStyle w:val="23"/>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电话：</w:t>
      </w:r>
      <w:r>
        <w:rPr>
          <w:rFonts w:hint="eastAsia" w:hAnsi="宋体" w:cs="宋体"/>
          <w:color w:val="auto"/>
          <w:sz w:val="24"/>
          <w:szCs w:val="24"/>
          <w:highlight w:val="none"/>
          <w:u w:val="single"/>
        </w:rPr>
        <w:t xml:space="preserve">                                      　　　　　　　　　</w:t>
      </w:r>
    </w:p>
    <w:p w14:paraId="3E020BCB">
      <w:pPr>
        <w:pStyle w:val="23"/>
        <w:spacing w:line="360" w:lineRule="auto"/>
        <w:ind w:firstLine="420"/>
        <w:rPr>
          <w:rFonts w:hAnsi="宋体" w:cs="宋体"/>
          <w:color w:val="auto"/>
          <w:sz w:val="24"/>
          <w:szCs w:val="24"/>
          <w:highlight w:val="none"/>
        </w:rPr>
      </w:pPr>
      <w:r>
        <w:rPr>
          <w:rFonts w:hint="eastAsia" w:hAnsi="宋体" w:cs="宋体"/>
          <w:color w:val="auto"/>
          <w:sz w:val="24"/>
          <w:szCs w:val="24"/>
          <w:highlight w:val="none"/>
        </w:rPr>
        <w:t>传真：</w:t>
      </w:r>
      <w:r>
        <w:rPr>
          <w:rFonts w:hint="eastAsia" w:hAnsi="宋体" w:cs="宋体"/>
          <w:color w:val="auto"/>
          <w:sz w:val="24"/>
          <w:szCs w:val="24"/>
          <w:highlight w:val="none"/>
          <w:u w:val="single"/>
        </w:rPr>
        <w:t>　　　　　　　　　　　　　　　　　　　　　　　　　　　　</w:t>
      </w:r>
    </w:p>
    <w:p w14:paraId="5F9B7A1F">
      <w:pPr>
        <w:pStyle w:val="23"/>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邮政编码：</w:t>
      </w:r>
      <w:r>
        <w:rPr>
          <w:rFonts w:hint="eastAsia" w:hAnsi="宋体" w:cs="宋体"/>
          <w:color w:val="auto"/>
          <w:sz w:val="24"/>
          <w:szCs w:val="24"/>
          <w:highlight w:val="none"/>
          <w:u w:val="single"/>
        </w:rPr>
        <w:t xml:space="preserve">                                                    </w:t>
      </w:r>
    </w:p>
    <w:p w14:paraId="7DA32EEF">
      <w:pPr>
        <w:pStyle w:val="23"/>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开户名称：</w:t>
      </w:r>
      <w:r>
        <w:rPr>
          <w:rFonts w:hint="eastAsia" w:hAnsi="宋体" w:cs="宋体"/>
          <w:color w:val="auto"/>
          <w:sz w:val="24"/>
          <w:szCs w:val="24"/>
          <w:highlight w:val="none"/>
          <w:u w:val="single"/>
        </w:rPr>
        <w:t xml:space="preserve">                                                    </w:t>
      </w:r>
    </w:p>
    <w:p w14:paraId="0404AB2D">
      <w:pPr>
        <w:pStyle w:val="23"/>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开户银行：</w:t>
      </w:r>
      <w:r>
        <w:rPr>
          <w:rFonts w:hint="eastAsia" w:hAnsi="宋体" w:cs="宋体"/>
          <w:color w:val="auto"/>
          <w:sz w:val="24"/>
          <w:szCs w:val="24"/>
          <w:highlight w:val="none"/>
          <w:u w:val="single"/>
        </w:rPr>
        <w:t xml:space="preserve">                                                    </w:t>
      </w:r>
    </w:p>
    <w:p w14:paraId="105D7205">
      <w:pPr>
        <w:pStyle w:val="23"/>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银行账号：</w:t>
      </w:r>
      <w:r>
        <w:rPr>
          <w:rFonts w:hint="eastAsia" w:hAnsi="宋体" w:cs="宋体"/>
          <w:color w:val="auto"/>
          <w:sz w:val="24"/>
          <w:szCs w:val="24"/>
          <w:highlight w:val="none"/>
          <w:u w:val="single"/>
        </w:rPr>
        <w:t xml:space="preserve">                                                    </w:t>
      </w:r>
    </w:p>
    <w:p w14:paraId="18682C2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特此承诺。</w:t>
      </w:r>
    </w:p>
    <w:p w14:paraId="05CF1CC2">
      <w:pPr>
        <w:spacing w:line="360" w:lineRule="auto"/>
        <w:ind w:firstLine="480" w:firstLineChars="200"/>
        <w:contextualSpacing/>
        <w:rPr>
          <w:rFonts w:ascii="宋体" w:hAnsi="宋体" w:cs="宋体"/>
          <w:color w:val="auto"/>
          <w:sz w:val="24"/>
          <w:highlight w:val="none"/>
        </w:rPr>
      </w:pPr>
    </w:p>
    <w:p w14:paraId="68E8C18B">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供应商名称（电子签章）：</w:t>
      </w:r>
    </w:p>
    <w:p w14:paraId="1578B800">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日期：   年  月   日</w:t>
      </w:r>
    </w:p>
    <w:p w14:paraId="1759470A">
      <w:pPr>
        <w:spacing w:line="520" w:lineRule="exact"/>
        <w:jc w:val="center"/>
        <w:rPr>
          <w:rFonts w:ascii="方正小标宋简体" w:hAnsi="方正小标宋简体" w:eastAsia="方正小标宋简体" w:cs="方正小标宋简体"/>
          <w:bCs/>
          <w:color w:val="auto"/>
          <w:sz w:val="44"/>
          <w:szCs w:val="44"/>
          <w:highlight w:val="none"/>
        </w:rPr>
      </w:pPr>
    </w:p>
    <w:p w14:paraId="67F71470">
      <w:pP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br w:type="page"/>
      </w:r>
    </w:p>
    <w:p w14:paraId="7567292C">
      <w:pPr>
        <w:spacing w:line="520" w:lineRule="exact"/>
        <w:jc w:val="center"/>
        <w:rPr>
          <w:rFonts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磋商报价表</w:t>
      </w:r>
    </w:p>
    <w:p w14:paraId="72631173">
      <w:pPr>
        <w:spacing w:line="440" w:lineRule="exact"/>
        <w:jc w:val="center"/>
        <w:rPr>
          <w:rFonts w:ascii="方正小标宋简体" w:hAnsi="方正小标宋简体" w:eastAsia="方正小标宋简体" w:cs="方正小标宋简体"/>
          <w:bCs/>
          <w:color w:val="auto"/>
          <w:sz w:val="32"/>
          <w:szCs w:val="32"/>
          <w:highlight w:val="none"/>
        </w:rPr>
      </w:pPr>
    </w:p>
    <w:p w14:paraId="7C26E7F9">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项目名称：</w:t>
      </w:r>
    </w:p>
    <w:p w14:paraId="6822D251">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项目编号：</w:t>
      </w:r>
    </w:p>
    <w:p w14:paraId="3CEF0FC4">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分标（如有）：</w:t>
      </w:r>
    </w:p>
    <w:p w14:paraId="1D7FB934">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p>
    <w:tbl>
      <w:tblPr>
        <w:tblStyle w:val="36"/>
        <w:tblW w:w="4996"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2968"/>
        <w:gridCol w:w="669"/>
        <w:gridCol w:w="669"/>
        <w:gridCol w:w="2397"/>
        <w:gridCol w:w="1290"/>
        <w:gridCol w:w="1326"/>
      </w:tblGrid>
      <w:tr w14:paraId="522E3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319" w:type="pct"/>
            <w:tcBorders>
              <w:top w:val="single" w:color="auto" w:sz="4" w:space="0"/>
              <w:left w:val="single" w:color="auto" w:sz="4" w:space="0"/>
              <w:bottom w:val="single" w:color="auto" w:sz="4" w:space="0"/>
              <w:right w:val="single" w:color="auto" w:sz="4" w:space="0"/>
            </w:tcBorders>
            <w:vAlign w:val="center"/>
          </w:tcPr>
          <w:p w14:paraId="0CA72627">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序号</w:t>
            </w:r>
          </w:p>
        </w:tc>
        <w:tc>
          <w:tcPr>
            <w:tcW w:w="1491" w:type="pct"/>
            <w:tcBorders>
              <w:top w:val="single" w:color="auto" w:sz="4" w:space="0"/>
              <w:left w:val="single" w:color="auto" w:sz="4" w:space="0"/>
              <w:bottom w:val="single" w:color="auto" w:sz="4" w:space="0"/>
              <w:right w:val="single" w:color="auto" w:sz="4" w:space="0"/>
            </w:tcBorders>
            <w:vAlign w:val="center"/>
          </w:tcPr>
          <w:p w14:paraId="79F9B431">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标的名称</w:t>
            </w:r>
          </w:p>
        </w:tc>
        <w:tc>
          <w:tcPr>
            <w:tcW w:w="336" w:type="pct"/>
            <w:tcBorders>
              <w:top w:val="single" w:color="auto" w:sz="4" w:space="0"/>
              <w:left w:val="single" w:color="auto" w:sz="4" w:space="0"/>
              <w:bottom w:val="single" w:color="auto" w:sz="4" w:space="0"/>
              <w:right w:val="single" w:color="auto" w:sz="4" w:space="0"/>
            </w:tcBorders>
            <w:vAlign w:val="center"/>
          </w:tcPr>
          <w:p w14:paraId="0ADDBA47">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数量</w:t>
            </w:r>
          </w:p>
        </w:tc>
        <w:tc>
          <w:tcPr>
            <w:tcW w:w="336" w:type="pct"/>
            <w:tcBorders>
              <w:top w:val="single" w:color="auto" w:sz="4" w:space="0"/>
              <w:left w:val="single" w:color="auto" w:sz="4" w:space="0"/>
              <w:bottom w:val="single" w:color="auto" w:sz="4" w:space="0"/>
              <w:right w:val="single" w:color="auto" w:sz="4" w:space="0"/>
            </w:tcBorders>
            <w:vAlign w:val="center"/>
          </w:tcPr>
          <w:p w14:paraId="180AEBAC">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单位</w:t>
            </w:r>
          </w:p>
        </w:tc>
        <w:tc>
          <w:tcPr>
            <w:tcW w:w="1204" w:type="pct"/>
            <w:tcBorders>
              <w:top w:val="single" w:color="auto" w:sz="4" w:space="0"/>
              <w:left w:val="single" w:color="auto" w:sz="4" w:space="0"/>
              <w:bottom w:val="single" w:color="auto" w:sz="4" w:space="0"/>
              <w:right w:val="single" w:color="auto" w:sz="4" w:space="0"/>
            </w:tcBorders>
            <w:vAlign w:val="center"/>
          </w:tcPr>
          <w:p w14:paraId="4E59D030">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单价</w:t>
            </w:r>
          </w:p>
        </w:tc>
        <w:tc>
          <w:tcPr>
            <w:tcW w:w="648" w:type="pct"/>
            <w:tcBorders>
              <w:top w:val="single" w:color="auto" w:sz="4" w:space="0"/>
              <w:left w:val="single" w:color="auto" w:sz="4" w:space="0"/>
              <w:bottom w:val="single" w:color="auto" w:sz="4" w:space="0"/>
              <w:right w:val="single" w:color="auto" w:sz="4" w:space="0"/>
            </w:tcBorders>
            <w:vAlign w:val="center"/>
          </w:tcPr>
          <w:p w14:paraId="217DAE71">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总价</w:t>
            </w:r>
          </w:p>
        </w:tc>
        <w:tc>
          <w:tcPr>
            <w:tcW w:w="661" w:type="pct"/>
            <w:tcBorders>
              <w:top w:val="single" w:color="auto" w:sz="4" w:space="0"/>
              <w:left w:val="single" w:color="auto" w:sz="4" w:space="0"/>
              <w:bottom w:val="single" w:color="auto" w:sz="4" w:space="0"/>
              <w:right w:val="single" w:color="auto" w:sz="4" w:space="0"/>
            </w:tcBorders>
            <w:vAlign w:val="center"/>
          </w:tcPr>
          <w:p w14:paraId="5CFF0A9A">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备注</w:t>
            </w:r>
          </w:p>
        </w:tc>
      </w:tr>
      <w:tr w14:paraId="6A6F2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319" w:type="pct"/>
            <w:tcBorders>
              <w:top w:val="single" w:color="auto" w:sz="4" w:space="0"/>
              <w:left w:val="single" w:color="auto" w:sz="4" w:space="0"/>
              <w:bottom w:val="single" w:color="auto" w:sz="4" w:space="0"/>
              <w:right w:val="single" w:color="auto" w:sz="4" w:space="0"/>
            </w:tcBorders>
            <w:vAlign w:val="center"/>
          </w:tcPr>
          <w:p w14:paraId="3AA07E79">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1</w:t>
            </w:r>
          </w:p>
        </w:tc>
        <w:tc>
          <w:tcPr>
            <w:tcW w:w="1491" w:type="pct"/>
            <w:tcBorders>
              <w:top w:val="single" w:color="auto" w:sz="4" w:space="0"/>
              <w:left w:val="single" w:color="auto" w:sz="4" w:space="0"/>
              <w:bottom w:val="single" w:color="auto" w:sz="4" w:space="0"/>
              <w:right w:val="single" w:color="auto" w:sz="4" w:space="0"/>
            </w:tcBorders>
            <w:vAlign w:val="center"/>
          </w:tcPr>
          <w:p w14:paraId="6DB2DDA8">
            <w:pPr>
              <w:spacing w:line="360" w:lineRule="auto"/>
              <w:contextualSpacing/>
              <w:rPr>
                <w:rFonts w:ascii="宋体" w:hAnsi="宋体" w:cs="宋体"/>
                <w:color w:val="auto"/>
                <w:sz w:val="24"/>
                <w:highlight w:val="none"/>
              </w:rPr>
            </w:pPr>
          </w:p>
        </w:tc>
        <w:tc>
          <w:tcPr>
            <w:tcW w:w="336" w:type="pct"/>
            <w:tcBorders>
              <w:top w:val="single" w:color="auto" w:sz="4" w:space="0"/>
              <w:left w:val="single" w:color="auto" w:sz="4" w:space="0"/>
              <w:bottom w:val="single" w:color="auto" w:sz="4" w:space="0"/>
              <w:right w:val="single" w:color="auto" w:sz="4" w:space="0"/>
            </w:tcBorders>
            <w:vAlign w:val="center"/>
          </w:tcPr>
          <w:p w14:paraId="118A5C78">
            <w:pPr>
              <w:spacing w:line="360" w:lineRule="auto"/>
              <w:contextualSpacing/>
              <w:jc w:val="center"/>
              <w:rPr>
                <w:rFonts w:ascii="宋体" w:hAnsi="宋体" w:cs="宋体"/>
                <w:color w:val="auto"/>
                <w:sz w:val="24"/>
                <w:highlight w:val="none"/>
              </w:rPr>
            </w:pPr>
          </w:p>
        </w:tc>
        <w:tc>
          <w:tcPr>
            <w:tcW w:w="336" w:type="pct"/>
            <w:tcBorders>
              <w:top w:val="single" w:color="auto" w:sz="4" w:space="0"/>
              <w:left w:val="single" w:color="auto" w:sz="4" w:space="0"/>
              <w:bottom w:val="single" w:color="auto" w:sz="4" w:space="0"/>
              <w:right w:val="single" w:color="auto" w:sz="4" w:space="0"/>
            </w:tcBorders>
          </w:tcPr>
          <w:p w14:paraId="10F6D1D2">
            <w:pPr>
              <w:spacing w:line="360" w:lineRule="auto"/>
              <w:contextualSpacing/>
              <w:rPr>
                <w:rFonts w:ascii="宋体" w:hAnsi="宋体" w:cs="宋体"/>
                <w:color w:val="auto"/>
                <w:sz w:val="24"/>
                <w:highlight w:val="none"/>
              </w:rPr>
            </w:pPr>
          </w:p>
        </w:tc>
        <w:tc>
          <w:tcPr>
            <w:tcW w:w="1204" w:type="pct"/>
            <w:tcBorders>
              <w:top w:val="single" w:color="auto" w:sz="4" w:space="0"/>
              <w:left w:val="single" w:color="auto" w:sz="4" w:space="0"/>
              <w:bottom w:val="single" w:color="auto" w:sz="4" w:space="0"/>
              <w:right w:val="single" w:color="auto" w:sz="4" w:space="0"/>
            </w:tcBorders>
          </w:tcPr>
          <w:p w14:paraId="7EFEA5F2">
            <w:pPr>
              <w:spacing w:line="360" w:lineRule="auto"/>
              <w:contextualSpacing/>
              <w:rPr>
                <w:rFonts w:ascii="宋体" w:hAnsi="宋体" w:cs="宋体"/>
                <w:color w:val="auto"/>
                <w:sz w:val="24"/>
                <w:highlight w:val="none"/>
              </w:rPr>
            </w:pPr>
          </w:p>
        </w:tc>
        <w:tc>
          <w:tcPr>
            <w:tcW w:w="648" w:type="pct"/>
            <w:tcBorders>
              <w:top w:val="single" w:color="auto" w:sz="4" w:space="0"/>
              <w:left w:val="single" w:color="auto" w:sz="4" w:space="0"/>
              <w:bottom w:val="single" w:color="auto" w:sz="4" w:space="0"/>
              <w:right w:val="single" w:color="auto" w:sz="4" w:space="0"/>
            </w:tcBorders>
          </w:tcPr>
          <w:p w14:paraId="5D22FB3D">
            <w:pPr>
              <w:spacing w:line="360" w:lineRule="auto"/>
              <w:contextualSpacing/>
              <w:rPr>
                <w:rFonts w:ascii="宋体" w:hAnsi="宋体" w:cs="宋体"/>
                <w:color w:val="auto"/>
                <w:sz w:val="24"/>
                <w:highlight w:val="none"/>
              </w:rPr>
            </w:pPr>
          </w:p>
        </w:tc>
        <w:tc>
          <w:tcPr>
            <w:tcW w:w="661" w:type="pct"/>
            <w:tcBorders>
              <w:top w:val="single" w:color="auto" w:sz="4" w:space="0"/>
              <w:left w:val="single" w:color="auto" w:sz="4" w:space="0"/>
              <w:bottom w:val="single" w:color="auto" w:sz="4" w:space="0"/>
              <w:right w:val="single" w:color="auto" w:sz="4" w:space="0"/>
            </w:tcBorders>
            <w:vAlign w:val="center"/>
          </w:tcPr>
          <w:p w14:paraId="33C65492">
            <w:pPr>
              <w:spacing w:line="360" w:lineRule="auto"/>
              <w:contextualSpacing/>
              <w:rPr>
                <w:rFonts w:ascii="宋体" w:hAnsi="宋体" w:cs="宋体"/>
                <w:color w:val="auto"/>
                <w:sz w:val="24"/>
                <w:highlight w:val="none"/>
              </w:rPr>
            </w:pPr>
          </w:p>
        </w:tc>
      </w:tr>
      <w:tr w14:paraId="6A733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319" w:type="pct"/>
            <w:tcBorders>
              <w:top w:val="single" w:color="auto" w:sz="4" w:space="0"/>
              <w:left w:val="single" w:color="auto" w:sz="4" w:space="0"/>
              <w:bottom w:val="single" w:color="auto" w:sz="4" w:space="0"/>
              <w:right w:val="single" w:color="auto" w:sz="4" w:space="0"/>
            </w:tcBorders>
            <w:vAlign w:val="center"/>
          </w:tcPr>
          <w:p w14:paraId="742B1931">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2</w:t>
            </w:r>
          </w:p>
        </w:tc>
        <w:tc>
          <w:tcPr>
            <w:tcW w:w="1491" w:type="pct"/>
            <w:tcBorders>
              <w:top w:val="single" w:color="auto" w:sz="4" w:space="0"/>
              <w:left w:val="single" w:color="auto" w:sz="4" w:space="0"/>
              <w:bottom w:val="single" w:color="auto" w:sz="4" w:space="0"/>
              <w:right w:val="single" w:color="auto" w:sz="4" w:space="0"/>
            </w:tcBorders>
            <w:vAlign w:val="center"/>
          </w:tcPr>
          <w:p w14:paraId="0025BB95">
            <w:pPr>
              <w:spacing w:line="360" w:lineRule="auto"/>
              <w:contextualSpacing/>
              <w:rPr>
                <w:rFonts w:ascii="宋体" w:hAnsi="宋体" w:cs="宋体"/>
                <w:color w:val="auto"/>
                <w:sz w:val="24"/>
                <w:highlight w:val="none"/>
              </w:rPr>
            </w:pPr>
          </w:p>
        </w:tc>
        <w:tc>
          <w:tcPr>
            <w:tcW w:w="336" w:type="pct"/>
            <w:tcBorders>
              <w:top w:val="single" w:color="auto" w:sz="4" w:space="0"/>
              <w:left w:val="single" w:color="auto" w:sz="4" w:space="0"/>
              <w:bottom w:val="single" w:color="auto" w:sz="4" w:space="0"/>
              <w:right w:val="single" w:color="auto" w:sz="4" w:space="0"/>
            </w:tcBorders>
            <w:vAlign w:val="center"/>
          </w:tcPr>
          <w:p w14:paraId="70CF8A3B">
            <w:pPr>
              <w:spacing w:line="360" w:lineRule="auto"/>
              <w:contextualSpacing/>
              <w:jc w:val="center"/>
              <w:rPr>
                <w:rFonts w:ascii="宋体" w:hAnsi="宋体" w:cs="宋体"/>
                <w:color w:val="auto"/>
                <w:sz w:val="24"/>
                <w:highlight w:val="none"/>
              </w:rPr>
            </w:pPr>
          </w:p>
        </w:tc>
        <w:tc>
          <w:tcPr>
            <w:tcW w:w="336" w:type="pct"/>
            <w:tcBorders>
              <w:top w:val="single" w:color="auto" w:sz="4" w:space="0"/>
              <w:left w:val="single" w:color="auto" w:sz="4" w:space="0"/>
              <w:bottom w:val="single" w:color="auto" w:sz="4" w:space="0"/>
              <w:right w:val="single" w:color="auto" w:sz="4" w:space="0"/>
            </w:tcBorders>
          </w:tcPr>
          <w:p w14:paraId="483A2DB2">
            <w:pPr>
              <w:spacing w:line="360" w:lineRule="auto"/>
              <w:contextualSpacing/>
              <w:rPr>
                <w:rFonts w:ascii="宋体" w:hAnsi="宋体" w:cs="宋体"/>
                <w:color w:val="auto"/>
                <w:sz w:val="24"/>
                <w:highlight w:val="none"/>
              </w:rPr>
            </w:pPr>
          </w:p>
        </w:tc>
        <w:tc>
          <w:tcPr>
            <w:tcW w:w="1204" w:type="pct"/>
            <w:tcBorders>
              <w:top w:val="single" w:color="auto" w:sz="4" w:space="0"/>
              <w:left w:val="single" w:color="auto" w:sz="4" w:space="0"/>
              <w:bottom w:val="single" w:color="auto" w:sz="4" w:space="0"/>
              <w:right w:val="single" w:color="auto" w:sz="4" w:space="0"/>
            </w:tcBorders>
          </w:tcPr>
          <w:p w14:paraId="534FD8C8">
            <w:pPr>
              <w:spacing w:line="360" w:lineRule="auto"/>
              <w:contextualSpacing/>
              <w:rPr>
                <w:rFonts w:ascii="宋体" w:hAnsi="宋体" w:cs="宋体"/>
                <w:color w:val="auto"/>
                <w:sz w:val="24"/>
                <w:highlight w:val="none"/>
              </w:rPr>
            </w:pPr>
          </w:p>
        </w:tc>
        <w:tc>
          <w:tcPr>
            <w:tcW w:w="648" w:type="pct"/>
            <w:tcBorders>
              <w:top w:val="single" w:color="auto" w:sz="4" w:space="0"/>
              <w:left w:val="single" w:color="auto" w:sz="4" w:space="0"/>
              <w:bottom w:val="single" w:color="auto" w:sz="4" w:space="0"/>
              <w:right w:val="single" w:color="auto" w:sz="4" w:space="0"/>
            </w:tcBorders>
          </w:tcPr>
          <w:p w14:paraId="62933415">
            <w:pPr>
              <w:spacing w:line="360" w:lineRule="auto"/>
              <w:contextualSpacing/>
              <w:rPr>
                <w:rFonts w:ascii="宋体" w:hAnsi="宋体" w:cs="宋体"/>
                <w:color w:val="auto"/>
                <w:sz w:val="24"/>
                <w:highlight w:val="none"/>
              </w:rPr>
            </w:pPr>
          </w:p>
        </w:tc>
        <w:tc>
          <w:tcPr>
            <w:tcW w:w="661" w:type="pct"/>
            <w:tcBorders>
              <w:top w:val="single" w:color="auto" w:sz="4" w:space="0"/>
              <w:left w:val="single" w:color="auto" w:sz="4" w:space="0"/>
              <w:bottom w:val="single" w:color="auto" w:sz="4" w:space="0"/>
              <w:right w:val="single" w:color="auto" w:sz="4" w:space="0"/>
            </w:tcBorders>
            <w:vAlign w:val="center"/>
          </w:tcPr>
          <w:p w14:paraId="6903AC2C">
            <w:pPr>
              <w:spacing w:line="360" w:lineRule="auto"/>
              <w:contextualSpacing/>
              <w:rPr>
                <w:rFonts w:ascii="宋体" w:hAnsi="宋体" w:cs="宋体"/>
                <w:color w:val="auto"/>
                <w:sz w:val="24"/>
                <w:highlight w:val="none"/>
              </w:rPr>
            </w:pPr>
          </w:p>
        </w:tc>
      </w:tr>
      <w:tr w14:paraId="60BDC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000" w:type="pct"/>
            <w:gridSpan w:val="7"/>
            <w:tcBorders>
              <w:top w:val="single" w:color="auto" w:sz="4" w:space="0"/>
              <w:left w:val="single" w:color="auto" w:sz="4" w:space="0"/>
              <w:bottom w:val="single" w:color="auto" w:sz="4" w:space="0"/>
              <w:right w:val="single" w:color="auto" w:sz="4" w:space="0"/>
            </w:tcBorders>
            <w:vAlign w:val="center"/>
          </w:tcPr>
          <w:p w14:paraId="22BDB113">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合计金额大写：人民币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bl>
    <w:p w14:paraId="5C5C7A77">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 xml:space="preserve">注: </w:t>
      </w:r>
    </w:p>
    <w:p w14:paraId="3D5AB252">
      <w:pPr>
        <w:spacing w:line="360" w:lineRule="auto"/>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rPr>
        <w:t>1. 供应商的报价表必须加盖供应商电子签章并由法定代表人或者委托代理人签字或者电子签名，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3FCE919D">
      <w:pPr>
        <w:spacing w:line="360" w:lineRule="auto"/>
        <w:ind w:firstLine="480" w:firstLineChars="200"/>
        <w:contextualSpacing/>
        <w:jc w:val="left"/>
        <w:rPr>
          <w:rFonts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color w:val="auto"/>
          <w:sz w:val="24"/>
          <w:highlight w:val="none"/>
        </w:rPr>
        <w:t>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14:paraId="0363047D">
      <w:pPr>
        <w:spacing w:line="360" w:lineRule="auto"/>
        <w:ind w:firstLine="480" w:firstLineChars="200"/>
        <w:contextualSpacing/>
        <w:jc w:val="left"/>
        <w:rPr>
          <w:rFonts w:ascii="宋体" w:hAnsi="宋体" w:cs="仿宋_GB2312"/>
          <w:b/>
          <w:color w:val="auto"/>
          <w:sz w:val="24"/>
          <w:highlight w:val="none"/>
        </w:rPr>
      </w:pPr>
      <w:r>
        <w:rPr>
          <w:rFonts w:ascii="宋体" w:hAnsi="宋体" w:cs="仿宋_GB2312"/>
          <w:color w:val="auto"/>
          <w:sz w:val="24"/>
          <w:highlight w:val="none"/>
        </w:rPr>
        <w:t>3</w:t>
      </w:r>
      <w:r>
        <w:rPr>
          <w:rFonts w:hint="eastAsia" w:ascii="宋体" w:hAnsi="宋体" w:cs="仿宋_GB2312"/>
          <w:color w:val="auto"/>
          <w:sz w:val="24"/>
          <w:highlight w:val="none"/>
        </w:rPr>
        <w:t>.如为联合体竞标，“供应商名称”处必须列明联合体各方名称，标注联合体牵头人名称，</w:t>
      </w:r>
      <w:r>
        <w:rPr>
          <w:rFonts w:hint="eastAsia" w:ascii="宋体" w:hAnsi="宋体" w:cs="仿宋_GB2312"/>
          <w:b/>
          <w:color w:val="auto"/>
          <w:sz w:val="24"/>
          <w:highlight w:val="none"/>
        </w:rPr>
        <w:t>否则其响应文件按无效响应处理。</w:t>
      </w:r>
    </w:p>
    <w:p w14:paraId="143B50F7">
      <w:pPr>
        <w:spacing w:line="360" w:lineRule="auto"/>
        <w:ind w:firstLine="480" w:firstLineChars="200"/>
        <w:contextualSpacing/>
        <w:jc w:val="left"/>
        <w:rPr>
          <w:rFonts w:ascii="宋体" w:hAnsi="宋体" w:cs="仿宋_GB2312"/>
          <w:color w:val="auto"/>
          <w:sz w:val="24"/>
          <w:highlight w:val="none"/>
        </w:rPr>
      </w:pPr>
      <w:r>
        <w:rPr>
          <w:rFonts w:ascii="宋体" w:hAnsi="宋体" w:cs="仿宋_GB2312"/>
          <w:color w:val="auto"/>
          <w:sz w:val="24"/>
          <w:highlight w:val="none"/>
        </w:rPr>
        <w:t>4</w:t>
      </w:r>
      <w:r>
        <w:rPr>
          <w:rFonts w:hint="eastAsia" w:ascii="宋体" w:hAnsi="宋体" w:cs="仿宋_GB2312"/>
          <w:color w:val="auto"/>
          <w:sz w:val="24"/>
          <w:highlight w:val="none"/>
        </w:rPr>
        <w:t>. 如为联合体竞标，</w:t>
      </w:r>
      <w:r>
        <w:rPr>
          <w:rFonts w:hint="eastAsia" w:ascii="宋体" w:hAnsi="宋体"/>
          <w:color w:val="auto"/>
          <w:spacing w:val="-6"/>
          <w:sz w:val="24"/>
          <w:highlight w:val="none"/>
        </w:rPr>
        <w:t>盖章处须加盖联合体牵头人电子签章</w:t>
      </w:r>
      <w:r>
        <w:rPr>
          <w:rFonts w:hint="eastAsia" w:ascii="宋体" w:hAnsi="宋体" w:cs="仿宋_GB2312"/>
          <w:color w:val="auto"/>
          <w:sz w:val="24"/>
          <w:highlight w:val="none"/>
        </w:rPr>
        <w:t>，</w:t>
      </w:r>
      <w:r>
        <w:rPr>
          <w:rFonts w:hint="eastAsia" w:ascii="宋体" w:hAnsi="宋体" w:cs="仿宋_GB2312"/>
          <w:b/>
          <w:color w:val="auto"/>
          <w:sz w:val="24"/>
          <w:highlight w:val="none"/>
        </w:rPr>
        <w:t>否则其响应文件按无效处理。</w:t>
      </w:r>
    </w:p>
    <w:p w14:paraId="231B1F2B">
      <w:pPr>
        <w:spacing w:line="360" w:lineRule="auto"/>
        <w:ind w:firstLine="480" w:firstLineChars="200"/>
        <w:contextualSpacing/>
        <w:rPr>
          <w:rFonts w:ascii="宋体" w:hAnsi="宋体" w:cs="仿宋_GB2312"/>
          <w:color w:val="auto"/>
          <w:sz w:val="24"/>
          <w:highlight w:val="none"/>
        </w:rPr>
      </w:pPr>
      <w:r>
        <w:rPr>
          <w:rFonts w:ascii="宋体" w:hAnsi="宋体" w:cs="仿宋_GB2312"/>
          <w:color w:val="auto"/>
          <w:sz w:val="24"/>
          <w:highlight w:val="none"/>
        </w:rPr>
        <w:t>5</w:t>
      </w:r>
      <w:r>
        <w:rPr>
          <w:rFonts w:hint="eastAsia" w:ascii="宋体" w:hAnsi="宋体" w:cs="仿宋_GB2312"/>
          <w:color w:val="auto"/>
          <w:sz w:val="24"/>
          <w:highlight w:val="none"/>
        </w:rPr>
        <w:t>.</w:t>
      </w:r>
      <w:r>
        <w:rPr>
          <w:rFonts w:hint="eastAsia" w:ascii="宋体" w:hAnsi="宋体" w:cs="仿宋_GB2312"/>
          <w:color w:val="auto"/>
          <w:spacing w:val="-6"/>
          <w:sz w:val="24"/>
          <w:highlight w:val="none"/>
        </w:rPr>
        <w:t>如有多分标，分别列明各分标的报价表，</w:t>
      </w:r>
      <w:r>
        <w:rPr>
          <w:rFonts w:hint="eastAsia" w:ascii="宋体" w:hAnsi="宋体" w:cs="仿宋_GB2312"/>
          <w:b/>
          <w:color w:val="auto"/>
          <w:spacing w:val="-6"/>
          <w:sz w:val="24"/>
          <w:highlight w:val="none"/>
        </w:rPr>
        <w:t>否则其响应文件按无效响应处理。</w:t>
      </w:r>
    </w:p>
    <w:p w14:paraId="2F0BF8B7">
      <w:pPr>
        <w:spacing w:line="360" w:lineRule="auto"/>
        <w:ind w:right="-817" w:rightChars="-389"/>
        <w:contextualSpacing/>
        <w:rPr>
          <w:rFonts w:ascii="宋体" w:hAnsi="宋体" w:cs="仿宋_GB2312"/>
          <w:color w:val="auto"/>
          <w:sz w:val="24"/>
          <w:highlight w:val="none"/>
        </w:rPr>
      </w:pPr>
    </w:p>
    <w:p w14:paraId="60D29649">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0E028EC9">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供应商（电子签章）：</w:t>
      </w:r>
    </w:p>
    <w:p w14:paraId="0931CB4F">
      <w:pPr>
        <w:spacing w:line="360" w:lineRule="auto"/>
        <w:ind w:right="-817" w:rightChars="-389" w:firstLine="4080" w:firstLineChars="1700"/>
        <w:contextualSpacing/>
        <w:rPr>
          <w:rFonts w:ascii="宋体" w:hAnsi="宋体" w:cs="仿宋_GB2312"/>
          <w:b/>
          <w:color w:val="auto"/>
          <w:sz w:val="24"/>
          <w:highlight w:val="none"/>
        </w:rPr>
      </w:pPr>
      <w:r>
        <w:rPr>
          <w:rFonts w:hint="eastAsia" w:ascii="宋体" w:hAnsi="宋体" w:cs="仿宋_GB2312"/>
          <w:color w:val="auto"/>
          <w:sz w:val="24"/>
          <w:highlight w:val="none"/>
        </w:rPr>
        <w:t>日期：年月日</w:t>
      </w:r>
    </w:p>
    <w:p w14:paraId="406ADFA7">
      <w:pPr>
        <w:spacing w:line="360" w:lineRule="auto"/>
        <w:ind w:right="420"/>
        <w:contextualSpacing/>
        <w:jc w:val="left"/>
        <w:rPr>
          <w:rFonts w:ascii="宋体" w:hAnsi="宋体"/>
          <w:b/>
          <w:color w:val="auto"/>
          <w:sz w:val="32"/>
          <w:szCs w:val="32"/>
          <w:highlight w:val="none"/>
        </w:rPr>
      </w:pPr>
      <w:r>
        <w:rPr>
          <w:rFonts w:ascii="宋体" w:hAnsi="宋体"/>
          <w:b/>
          <w:bCs/>
          <w:color w:val="auto"/>
          <w:sz w:val="32"/>
          <w:szCs w:val="32"/>
          <w:highlight w:val="none"/>
        </w:rPr>
        <w:br w:type="page"/>
      </w:r>
      <w:r>
        <w:rPr>
          <w:rFonts w:hint="eastAsia" w:ascii="宋体" w:hAnsi="宋体"/>
          <w:b/>
          <w:bCs/>
          <w:color w:val="auto"/>
          <w:sz w:val="32"/>
          <w:szCs w:val="32"/>
          <w:highlight w:val="none"/>
        </w:rPr>
        <w:t>三、</w:t>
      </w:r>
      <w:r>
        <w:rPr>
          <w:rFonts w:hint="eastAsia" w:ascii="宋体" w:hAnsi="宋体"/>
          <w:b/>
          <w:color w:val="auto"/>
          <w:sz w:val="32"/>
          <w:szCs w:val="32"/>
          <w:highlight w:val="none"/>
        </w:rPr>
        <w:t>商务技术文件格式</w:t>
      </w:r>
    </w:p>
    <w:p w14:paraId="7B10C725">
      <w:pPr>
        <w:snapToGrid w:val="0"/>
        <w:spacing w:before="156"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1.商务技术文件封面格式</w:t>
      </w:r>
    </w:p>
    <w:p w14:paraId="4EDF1E27">
      <w:pPr>
        <w:snapToGrid w:val="0"/>
        <w:spacing w:before="156" w:beforeLines="50" w:after="50"/>
        <w:rPr>
          <w:rFonts w:ascii="宋体" w:hAnsi="宋体"/>
          <w:bCs/>
          <w:color w:val="auto"/>
          <w:sz w:val="32"/>
          <w:szCs w:val="20"/>
          <w:highlight w:val="none"/>
        </w:rPr>
      </w:pPr>
    </w:p>
    <w:p w14:paraId="4B9E8826">
      <w:pPr>
        <w:snapToGrid w:val="0"/>
        <w:spacing w:before="156" w:beforeLines="50" w:after="50"/>
        <w:jc w:val="center"/>
        <w:rPr>
          <w:rFonts w:ascii="宋体" w:hAnsi="宋体"/>
          <w:color w:val="auto"/>
          <w:sz w:val="24"/>
          <w:szCs w:val="20"/>
          <w:highlight w:val="none"/>
        </w:rPr>
      </w:pPr>
      <w:r>
        <w:rPr>
          <w:rFonts w:hint="eastAsia" w:ascii="宋体" w:hAnsi="宋体"/>
          <w:color w:val="auto"/>
          <w:sz w:val="44"/>
          <w:szCs w:val="44"/>
          <w:highlight w:val="none"/>
        </w:rPr>
        <w:t>电子响应文件</w:t>
      </w:r>
    </w:p>
    <w:p w14:paraId="152F4202">
      <w:pPr>
        <w:snapToGrid w:val="0"/>
        <w:spacing w:before="156" w:beforeLines="50" w:after="50"/>
        <w:rPr>
          <w:rFonts w:ascii="宋体" w:hAnsi="宋体"/>
          <w:color w:val="auto"/>
          <w:sz w:val="24"/>
          <w:szCs w:val="20"/>
          <w:highlight w:val="none"/>
        </w:rPr>
      </w:pPr>
    </w:p>
    <w:p w14:paraId="08CC44D4">
      <w:pPr>
        <w:snapToGrid w:val="0"/>
        <w:spacing w:before="156" w:beforeLines="50" w:after="50"/>
        <w:rPr>
          <w:rFonts w:ascii="宋体" w:hAnsi="宋体"/>
          <w:color w:val="auto"/>
          <w:sz w:val="24"/>
          <w:szCs w:val="20"/>
          <w:highlight w:val="none"/>
        </w:rPr>
      </w:pPr>
    </w:p>
    <w:p w14:paraId="2C487879">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商务技术文件</w:t>
      </w:r>
    </w:p>
    <w:p w14:paraId="1A7BBC14">
      <w:pPr>
        <w:snapToGrid w:val="0"/>
        <w:spacing w:before="156" w:beforeLines="50" w:after="50"/>
        <w:rPr>
          <w:rFonts w:ascii="宋体" w:hAnsi="宋体"/>
          <w:bCs/>
          <w:color w:val="auto"/>
          <w:sz w:val="24"/>
          <w:szCs w:val="20"/>
          <w:highlight w:val="none"/>
        </w:rPr>
      </w:pPr>
    </w:p>
    <w:p w14:paraId="36B5871E">
      <w:pPr>
        <w:snapToGrid w:val="0"/>
        <w:spacing w:before="156" w:beforeLines="50" w:after="50"/>
        <w:rPr>
          <w:rFonts w:ascii="宋体" w:hAnsi="宋体"/>
          <w:bCs/>
          <w:color w:val="auto"/>
          <w:sz w:val="24"/>
          <w:szCs w:val="20"/>
          <w:highlight w:val="none"/>
        </w:rPr>
      </w:pPr>
    </w:p>
    <w:p w14:paraId="2B2FA908">
      <w:pPr>
        <w:snapToGrid w:val="0"/>
        <w:spacing w:before="156" w:beforeLines="50" w:after="50"/>
        <w:rPr>
          <w:rFonts w:ascii="宋体" w:hAnsi="宋体"/>
          <w:bCs/>
          <w:color w:val="auto"/>
          <w:sz w:val="24"/>
          <w:szCs w:val="20"/>
          <w:highlight w:val="none"/>
        </w:rPr>
      </w:pPr>
    </w:p>
    <w:p w14:paraId="4DAD4B46">
      <w:pPr>
        <w:snapToGrid w:val="0"/>
        <w:spacing w:before="156" w:beforeLines="50" w:after="50"/>
        <w:rPr>
          <w:rFonts w:ascii="宋体" w:hAnsi="宋体"/>
          <w:bCs/>
          <w:color w:val="auto"/>
          <w:sz w:val="24"/>
          <w:szCs w:val="20"/>
          <w:highlight w:val="none"/>
        </w:rPr>
      </w:pPr>
    </w:p>
    <w:p w14:paraId="73D2E10A">
      <w:pPr>
        <w:snapToGrid w:val="0"/>
        <w:spacing w:before="156" w:beforeLines="50" w:after="50"/>
        <w:rPr>
          <w:rFonts w:ascii="宋体" w:hAnsi="宋体"/>
          <w:bCs/>
          <w:color w:val="auto"/>
          <w:sz w:val="24"/>
          <w:szCs w:val="20"/>
          <w:highlight w:val="none"/>
        </w:rPr>
      </w:pPr>
    </w:p>
    <w:p w14:paraId="51432FF9">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5467CD37">
      <w:pPr>
        <w:snapToGrid w:val="0"/>
        <w:spacing w:before="156" w:beforeLines="50" w:after="50"/>
        <w:ind w:firstLine="720" w:firstLineChars="225"/>
        <w:rPr>
          <w:rFonts w:ascii="宋体" w:hAnsi="宋体" w:cs="仿宋_GB2312"/>
          <w:bCs/>
          <w:color w:val="auto"/>
          <w:sz w:val="32"/>
          <w:szCs w:val="32"/>
          <w:highlight w:val="none"/>
        </w:rPr>
      </w:pPr>
    </w:p>
    <w:p w14:paraId="45AF3492">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0544148A">
      <w:pPr>
        <w:snapToGrid w:val="0"/>
        <w:spacing w:before="156" w:beforeLines="50" w:after="50"/>
        <w:ind w:firstLine="720" w:firstLineChars="225"/>
        <w:rPr>
          <w:rFonts w:ascii="宋体" w:hAnsi="宋体" w:cs="仿宋_GB2312"/>
          <w:bCs/>
          <w:color w:val="auto"/>
          <w:sz w:val="32"/>
          <w:szCs w:val="32"/>
          <w:highlight w:val="none"/>
        </w:rPr>
      </w:pPr>
    </w:p>
    <w:p w14:paraId="726643E6">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7FF3E9C8">
      <w:pPr>
        <w:snapToGrid w:val="0"/>
        <w:spacing w:before="156" w:beforeLines="50" w:after="50"/>
        <w:ind w:firstLine="720" w:firstLineChars="225"/>
        <w:rPr>
          <w:rFonts w:ascii="宋体" w:hAnsi="宋体" w:cs="仿宋_GB2312"/>
          <w:bCs/>
          <w:color w:val="auto"/>
          <w:sz w:val="32"/>
          <w:szCs w:val="32"/>
          <w:highlight w:val="none"/>
        </w:rPr>
      </w:pPr>
    </w:p>
    <w:p w14:paraId="73289A3C">
      <w:pPr>
        <w:pStyle w:val="8"/>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500F0928">
      <w:pPr>
        <w:pStyle w:val="8"/>
        <w:snapToGrid w:val="0"/>
        <w:spacing w:before="50" w:after="50"/>
        <w:ind w:firstLine="640" w:firstLineChars="200"/>
        <w:rPr>
          <w:rFonts w:ascii="宋体" w:hAnsi="宋体" w:cs="仿宋_GB2312"/>
          <w:bCs/>
          <w:color w:val="auto"/>
          <w:sz w:val="32"/>
          <w:szCs w:val="32"/>
          <w:highlight w:val="none"/>
        </w:rPr>
      </w:pPr>
    </w:p>
    <w:p w14:paraId="2B73B2A4">
      <w:pPr>
        <w:pStyle w:val="8"/>
        <w:snapToGrid w:val="0"/>
        <w:spacing w:before="50" w:after="50"/>
        <w:ind w:firstLine="720" w:firstLineChars="225"/>
        <w:rPr>
          <w:rFonts w:ascii="宋体" w:hAnsi="宋体" w:cs="仿宋_GB2312"/>
          <w:bCs/>
          <w:color w:val="auto"/>
          <w:sz w:val="32"/>
          <w:szCs w:val="32"/>
          <w:highlight w:val="none"/>
        </w:rPr>
      </w:pPr>
    </w:p>
    <w:p w14:paraId="6508DA9F">
      <w:pPr>
        <w:pStyle w:val="8"/>
        <w:snapToGrid w:val="0"/>
        <w:spacing w:before="50" w:after="50"/>
        <w:ind w:firstLine="0"/>
        <w:rPr>
          <w:rFonts w:ascii="宋体" w:hAnsi="宋体" w:cs="仿宋_GB2312"/>
          <w:bCs/>
          <w:color w:val="auto"/>
          <w:sz w:val="32"/>
          <w:szCs w:val="32"/>
          <w:highlight w:val="none"/>
        </w:rPr>
      </w:pPr>
    </w:p>
    <w:p w14:paraId="75DF6D63">
      <w:pPr>
        <w:pStyle w:val="8"/>
        <w:snapToGrid w:val="0"/>
        <w:spacing w:before="50" w:after="50"/>
        <w:ind w:firstLine="1280" w:firstLineChars="400"/>
        <w:rPr>
          <w:rFonts w:ascii="宋体" w:hAnsi="宋体" w:cs="仿宋_GB2312"/>
          <w:bCs/>
          <w:color w:val="auto"/>
          <w:sz w:val="32"/>
          <w:szCs w:val="32"/>
          <w:highlight w:val="none"/>
        </w:rPr>
      </w:pPr>
    </w:p>
    <w:p w14:paraId="77716C3C">
      <w:pPr>
        <w:snapToGrid w:val="0"/>
        <w:spacing w:before="156"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年月日</w:t>
      </w:r>
    </w:p>
    <w:p w14:paraId="6EAED57B">
      <w:pPr>
        <w:snapToGrid w:val="0"/>
        <w:spacing w:before="156" w:beforeLines="50" w:after="50" w:line="360" w:lineRule="auto"/>
        <w:ind w:right="480" w:firstLine="240" w:firstLineChars="100"/>
        <w:jc w:val="left"/>
        <w:rPr>
          <w:rFonts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60870D56">
      <w:pPr>
        <w:snapToGrid w:val="0"/>
        <w:spacing w:before="156" w:beforeLines="50" w:after="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3FDD34E7">
      <w:pPr>
        <w:spacing w:line="400" w:lineRule="exact"/>
        <w:rPr>
          <w:rFonts w:ascii="仿宋_GB2312" w:hAnsi="仿宋_GB2312" w:eastAsia="仿宋_GB2312" w:cs="仿宋_GB2312"/>
          <w:color w:val="auto"/>
          <w:sz w:val="32"/>
          <w:szCs w:val="32"/>
          <w:highlight w:val="none"/>
        </w:rPr>
      </w:pPr>
    </w:p>
    <w:p w14:paraId="51EDBB4F">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4C06CAD7">
      <w:pPr>
        <w:spacing w:line="360" w:lineRule="auto"/>
        <w:ind w:firstLine="640" w:firstLineChars="200"/>
        <w:contextualSpacing/>
        <w:rPr>
          <w:rFonts w:ascii="仿宋_GB2312" w:hAnsi="仿宋_GB2312" w:eastAsia="仿宋_GB2312" w:cs="仿宋_GB2312"/>
          <w:color w:val="auto"/>
          <w:sz w:val="32"/>
          <w:szCs w:val="32"/>
          <w:highlight w:val="none"/>
        </w:rPr>
      </w:pPr>
    </w:p>
    <w:p w14:paraId="6FC2D658">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4E6B3339">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1.不同供应商的响应文件由同一单位或者个人编制；</w:t>
      </w:r>
    </w:p>
    <w:p w14:paraId="75D41CDE">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41BADB07">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49A1B83D">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33D4AC34">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5827AD93">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2514622C">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4C935FA0">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6091A4B9">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364DCDF8">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7E3A2423">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220FACDA">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7E2F2B9D">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6610BED7">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76CF6BC7">
      <w:pPr>
        <w:spacing w:line="360" w:lineRule="auto"/>
        <w:ind w:firstLine="480" w:firstLineChars="200"/>
        <w:contextualSpacing/>
        <w:rPr>
          <w:rFonts w:ascii="宋体" w:hAnsi="宋体" w:cs="仿宋_GB2312"/>
          <w:color w:val="auto"/>
          <w:sz w:val="24"/>
          <w:highlight w:val="none"/>
        </w:rPr>
      </w:pPr>
    </w:p>
    <w:p w14:paraId="2FB46700">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2790F439">
      <w:pPr>
        <w:spacing w:line="360" w:lineRule="auto"/>
        <w:contextualSpacing/>
        <w:rPr>
          <w:rFonts w:ascii="宋体" w:hAnsi="宋体" w:cs="仿宋_GB2312"/>
          <w:color w:val="auto"/>
          <w:sz w:val="24"/>
          <w:highlight w:val="none"/>
        </w:rPr>
      </w:pPr>
    </w:p>
    <w:p w14:paraId="2C5682A0">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供应商（电子签章）：</w:t>
      </w:r>
    </w:p>
    <w:p w14:paraId="2ED66593">
      <w:pPr>
        <w:spacing w:line="360" w:lineRule="auto"/>
        <w:ind w:firstLine="480" w:firstLineChars="200"/>
        <w:contextualSpacing/>
        <w:jc w:val="center"/>
        <w:rPr>
          <w:rFonts w:ascii="仿宋_GB2312" w:hAnsi="仿宋_GB2312" w:eastAsia="仿宋_GB2312" w:cs="仿宋_GB2312"/>
          <w:color w:val="auto"/>
          <w:sz w:val="32"/>
          <w:szCs w:val="32"/>
          <w:highlight w:val="none"/>
        </w:rPr>
      </w:pPr>
      <w:r>
        <w:rPr>
          <w:rFonts w:hint="eastAsia" w:ascii="宋体" w:hAnsi="宋体" w:cs="仿宋_GB2312"/>
          <w:color w:val="auto"/>
          <w:sz w:val="24"/>
          <w:highlight w:val="none"/>
        </w:rPr>
        <w:t>年月日</w:t>
      </w:r>
    </w:p>
    <w:p w14:paraId="54D5902B">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法定代表人证明书</w:t>
      </w:r>
    </w:p>
    <w:p w14:paraId="63602897">
      <w:pPr>
        <w:spacing w:line="360" w:lineRule="auto"/>
        <w:ind w:left="540"/>
        <w:contextualSpacing/>
        <w:rPr>
          <w:rFonts w:ascii="仿宋_GB2312" w:hAnsi="仿宋_GB2312" w:eastAsia="仿宋_GB2312" w:cs="仿宋_GB2312"/>
          <w:color w:val="auto"/>
          <w:sz w:val="32"/>
          <w:szCs w:val="32"/>
          <w:highlight w:val="none"/>
        </w:rPr>
      </w:pPr>
    </w:p>
    <w:p w14:paraId="01C5297A">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p>
    <w:p w14:paraId="2BF6911A">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地址：</w:t>
      </w:r>
    </w:p>
    <w:p w14:paraId="3899BC97">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姓名：性别：</w:t>
      </w:r>
    </w:p>
    <w:p w14:paraId="64D02DB0">
      <w:pPr>
        <w:spacing w:line="360" w:lineRule="auto"/>
        <w:ind w:left="540"/>
        <w:contextualSpacing/>
        <w:rPr>
          <w:rFonts w:ascii="宋体" w:hAnsi="宋体" w:cs="仿宋_GB2312"/>
          <w:color w:val="auto"/>
          <w:sz w:val="24"/>
          <w:highlight w:val="none"/>
          <w:u w:val="single"/>
        </w:rPr>
      </w:pPr>
      <w:r>
        <w:rPr>
          <w:rFonts w:hint="eastAsia" w:ascii="宋体" w:hAnsi="宋体" w:cs="仿宋_GB2312"/>
          <w:color w:val="auto"/>
          <w:sz w:val="24"/>
          <w:highlight w:val="none"/>
        </w:rPr>
        <w:t>年龄：职务：</w:t>
      </w:r>
    </w:p>
    <w:p w14:paraId="2AFAD3BC">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身份证号码：</w:t>
      </w:r>
    </w:p>
    <w:p w14:paraId="01D923B0">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45DC5260">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特此证明。</w:t>
      </w:r>
    </w:p>
    <w:p w14:paraId="28AE7A7D">
      <w:pPr>
        <w:spacing w:line="360" w:lineRule="auto"/>
        <w:ind w:left="540"/>
        <w:contextualSpacing/>
        <w:rPr>
          <w:rFonts w:ascii="宋体" w:hAnsi="宋体" w:cs="仿宋_GB2312"/>
          <w:color w:val="auto"/>
          <w:sz w:val="24"/>
          <w:highlight w:val="none"/>
        </w:rPr>
      </w:pPr>
    </w:p>
    <w:p w14:paraId="3A4DC015">
      <w:pPr>
        <w:spacing w:line="360" w:lineRule="auto"/>
        <w:ind w:left="540"/>
        <w:contextualSpacing/>
        <w:rPr>
          <w:rFonts w:ascii="宋体" w:hAnsi="宋体" w:cs="仿宋_GB2312"/>
          <w:color w:val="auto"/>
          <w:sz w:val="24"/>
          <w:highlight w:val="none"/>
        </w:rPr>
      </w:pPr>
    </w:p>
    <w:p w14:paraId="6E150A33">
      <w:pPr>
        <w:spacing w:line="360" w:lineRule="auto"/>
        <w:ind w:left="540"/>
        <w:contextualSpacing/>
        <w:rPr>
          <w:rFonts w:ascii="宋体" w:hAnsi="宋体" w:cs="仿宋_GB2312"/>
          <w:color w:val="auto"/>
          <w:sz w:val="24"/>
          <w:highlight w:val="none"/>
        </w:rPr>
      </w:pPr>
    </w:p>
    <w:p w14:paraId="09942205">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5FC63758">
      <w:pPr>
        <w:spacing w:line="360" w:lineRule="auto"/>
        <w:ind w:left="540"/>
        <w:contextualSpacing/>
        <w:rPr>
          <w:rFonts w:ascii="宋体" w:hAnsi="宋体" w:cs="仿宋_GB2312"/>
          <w:color w:val="auto"/>
          <w:sz w:val="24"/>
          <w:highlight w:val="none"/>
        </w:rPr>
      </w:pPr>
    </w:p>
    <w:p w14:paraId="76493A15">
      <w:pPr>
        <w:spacing w:line="360" w:lineRule="auto"/>
        <w:ind w:left="540"/>
        <w:contextualSpacing/>
        <w:jc w:val="right"/>
        <w:rPr>
          <w:rFonts w:ascii="宋体" w:hAnsi="宋体" w:cs="仿宋_GB2312"/>
          <w:color w:val="auto"/>
          <w:sz w:val="24"/>
          <w:highlight w:val="none"/>
        </w:rPr>
      </w:pPr>
      <w:r>
        <w:rPr>
          <w:rFonts w:hint="eastAsia" w:ascii="宋体" w:hAnsi="宋体" w:cs="仿宋_GB2312"/>
          <w:color w:val="auto"/>
          <w:sz w:val="24"/>
          <w:highlight w:val="none"/>
        </w:rPr>
        <w:t>供应商（电子签章）：</w:t>
      </w:r>
    </w:p>
    <w:p w14:paraId="279AA4B6">
      <w:pPr>
        <w:spacing w:line="360" w:lineRule="auto"/>
        <w:ind w:firstLine="4080" w:firstLineChars="1700"/>
        <w:contextualSpacing/>
        <w:jc w:val="right"/>
        <w:rPr>
          <w:rFonts w:ascii="宋体" w:hAnsi="宋体" w:cs="仿宋_GB2312"/>
          <w:color w:val="auto"/>
          <w:sz w:val="24"/>
          <w:highlight w:val="none"/>
        </w:rPr>
      </w:pPr>
      <w:r>
        <w:rPr>
          <w:rFonts w:hint="eastAsia" w:ascii="宋体" w:hAnsi="宋体" w:cs="仿宋_GB2312"/>
          <w:color w:val="auto"/>
          <w:sz w:val="24"/>
          <w:highlight w:val="none"/>
        </w:rPr>
        <w:t>年月日</w:t>
      </w:r>
    </w:p>
    <w:p w14:paraId="188F6BF3">
      <w:pPr>
        <w:spacing w:line="360" w:lineRule="auto"/>
        <w:contextualSpacing/>
        <w:jc w:val="center"/>
        <w:rPr>
          <w:rFonts w:ascii="宋体" w:hAnsi="宋体" w:cs="仿宋_GB2312"/>
          <w:b/>
          <w:color w:val="auto"/>
          <w:sz w:val="24"/>
          <w:highlight w:val="none"/>
        </w:rPr>
      </w:pPr>
    </w:p>
    <w:p w14:paraId="20C3DCF1">
      <w:pPr>
        <w:spacing w:line="360" w:lineRule="auto"/>
        <w:contextualSpacing/>
        <w:jc w:val="left"/>
        <w:rPr>
          <w:rFonts w:ascii="宋体" w:hAnsi="宋体" w:cs="仿宋_GB2312"/>
          <w:color w:val="auto"/>
          <w:sz w:val="24"/>
          <w:highlight w:val="none"/>
        </w:rPr>
      </w:pPr>
    </w:p>
    <w:p w14:paraId="20BED3E3">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注：自然人竞标的无需提供，联合体竞标的只需牵头人出具。</w:t>
      </w:r>
    </w:p>
    <w:p w14:paraId="24B7E978">
      <w:pPr>
        <w:adjustRightInd w:val="0"/>
        <w:snapToGrid w:val="0"/>
        <w:spacing w:line="300" w:lineRule="auto"/>
        <w:jc w:val="left"/>
        <w:rPr>
          <w:rFonts w:ascii="宋体" w:hAnsi="宋体"/>
          <w:b/>
          <w:color w:val="auto"/>
          <w:szCs w:val="21"/>
          <w:highlight w:val="none"/>
        </w:rPr>
      </w:pPr>
    </w:p>
    <w:p w14:paraId="53817401">
      <w:pPr>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p>
    <w:p w14:paraId="0B21D221">
      <w:pPr>
        <w:spacing w:line="520" w:lineRule="exact"/>
        <w:jc w:val="center"/>
        <w:rPr>
          <w:rFonts w:ascii="方正小标宋简体" w:hAnsi="方正小标宋简体" w:eastAsia="方正小标宋简体" w:cs="方正小标宋简体"/>
          <w:color w:val="auto"/>
          <w:sz w:val="44"/>
          <w:szCs w:val="44"/>
          <w:highlight w:val="none"/>
        </w:rPr>
      </w:pPr>
      <w:bookmarkStart w:id="76" w:name="_Hlk65853643"/>
      <w:r>
        <w:rPr>
          <w:rFonts w:hint="eastAsia" w:ascii="方正小标宋简体" w:hAnsi="方正小标宋简体" w:eastAsia="方正小标宋简体" w:cs="方正小标宋简体"/>
          <w:color w:val="auto"/>
          <w:sz w:val="44"/>
          <w:szCs w:val="44"/>
          <w:highlight w:val="none"/>
        </w:rPr>
        <w:t>授权委托书</w:t>
      </w:r>
    </w:p>
    <w:p w14:paraId="70ECA84F">
      <w:pPr>
        <w:spacing w:line="520" w:lineRule="exact"/>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（非联合体竞标格式）</w:t>
      </w:r>
    </w:p>
    <w:p w14:paraId="3A6F5E74">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115C12A4">
      <w:pPr>
        <w:spacing w:line="520" w:lineRule="exact"/>
        <w:rPr>
          <w:rFonts w:ascii="仿宋_GB2312" w:hAnsi="仿宋_GB2312" w:eastAsia="仿宋_GB2312" w:cs="仿宋_GB2312"/>
          <w:color w:val="auto"/>
          <w:sz w:val="32"/>
          <w:szCs w:val="32"/>
          <w:highlight w:val="none"/>
        </w:rPr>
      </w:pPr>
    </w:p>
    <w:p w14:paraId="7657D55D">
      <w:pPr>
        <w:spacing w:line="360" w:lineRule="auto"/>
        <w:rPr>
          <w:rFonts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22A21F78">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（姓名）</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sym w:font="Wingdings 2" w:char="00A3"/>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（姓名）</w:t>
      </w:r>
      <w:r>
        <w:rPr>
          <w:rFonts w:hint="eastAsia" w:ascii="宋体" w:hAnsi="宋体" w:cs="仿宋_GB2312"/>
          <w:color w:val="auto"/>
          <w:sz w:val="24"/>
          <w:highlight w:val="none"/>
        </w:rPr>
        <w:t>以我方的名义参加项目的竞标活动，并代表我方全权办理针对上述项目的所有采购程序和环节的具体事务和签署相关文件。</w:t>
      </w:r>
    </w:p>
    <w:p w14:paraId="0DAEFBBE">
      <w:pPr>
        <w:spacing w:line="360" w:lineRule="auto"/>
        <w:rPr>
          <w:rFonts w:ascii="宋体" w:hAnsi="宋体" w:cs="仿宋_GB2312"/>
          <w:color w:val="auto"/>
          <w:sz w:val="24"/>
          <w:highlight w:val="none"/>
        </w:rPr>
      </w:pPr>
      <w:r>
        <w:rPr>
          <w:rFonts w:hint="eastAsia" w:ascii="宋体" w:hAnsi="宋体" w:cs="仿宋_GB2312"/>
          <w:color w:val="auto"/>
          <w:sz w:val="24"/>
          <w:highlight w:val="none"/>
        </w:rPr>
        <w:t>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p>
    <w:p w14:paraId="6C0B5670">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1A1E2FBD">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5D86EBED">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70F3B907">
      <w:pPr>
        <w:spacing w:line="360" w:lineRule="auto"/>
        <w:rPr>
          <w:rFonts w:ascii="宋体" w:hAnsi="宋体" w:cs="仿宋_GB2312"/>
          <w:color w:val="auto"/>
          <w:sz w:val="24"/>
          <w:highlight w:val="none"/>
        </w:rPr>
      </w:pPr>
    </w:p>
    <w:p w14:paraId="63449E84">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）：法定代表人（签字或者盖章或者电子签名）：</w:t>
      </w:r>
    </w:p>
    <w:p w14:paraId="747ADDBF">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委托代理人身份证号码：</w:t>
      </w:r>
    </w:p>
    <w:p w14:paraId="2A99910C">
      <w:pPr>
        <w:spacing w:line="360" w:lineRule="auto"/>
        <w:contextualSpacing/>
        <w:rPr>
          <w:rFonts w:ascii="宋体" w:hAnsi="宋体" w:cs="仿宋_GB2312"/>
          <w:color w:val="auto"/>
          <w:sz w:val="24"/>
          <w:highlight w:val="none"/>
        </w:rPr>
      </w:pPr>
    </w:p>
    <w:p w14:paraId="50274E54">
      <w:pPr>
        <w:spacing w:line="360" w:lineRule="auto"/>
        <w:rPr>
          <w:rFonts w:ascii="宋体" w:hAnsi="宋体" w:cs="仿宋_GB2312"/>
          <w:color w:val="auto"/>
          <w:sz w:val="24"/>
          <w:highlight w:val="none"/>
        </w:rPr>
      </w:pPr>
      <w:r>
        <w:rPr>
          <w:rFonts w:hint="eastAsia" w:ascii="宋体" w:hAnsi="宋体" w:cs="仿宋_GB2312"/>
          <w:color w:val="auto"/>
          <w:sz w:val="24"/>
          <w:highlight w:val="none"/>
        </w:rPr>
        <w:t>供应商（电子签章）：</w:t>
      </w:r>
    </w:p>
    <w:p w14:paraId="34A2FB0C">
      <w:pPr>
        <w:spacing w:line="360" w:lineRule="auto"/>
        <w:rPr>
          <w:rFonts w:ascii="宋体" w:hAnsi="宋体" w:cs="仿宋_GB2312"/>
          <w:color w:val="auto"/>
          <w:sz w:val="24"/>
          <w:highlight w:val="none"/>
        </w:rPr>
      </w:pPr>
      <w:r>
        <w:rPr>
          <w:rFonts w:hint="eastAsia" w:ascii="宋体" w:hAnsi="宋体" w:cs="仿宋_GB2312"/>
          <w:color w:val="auto"/>
          <w:sz w:val="24"/>
          <w:highlight w:val="none"/>
        </w:rPr>
        <w:t>年月日</w:t>
      </w:r>
    </w:p>
    <w:p w14:paraId="2F46C1F2">
      <w:pPr>
        <w:spacing w:line="360" w:lineRule="auto"/>
        <w:rPr>
          <w:rFonts w:ascii="宋体" w:hAnsi="宋体" w:cs="仿宋_GB2312"/>
          <w:color w:val="auto"/>
          <w:sz w:val="24"/>
          <w:highlight w:val="none"/>
        </w:rPr>
      </w:pPr>
    </w:p>
    <w:p w14:paraId="710F4CE3">
      <w:pPr>
        <w:spacing w:line="360" w:lineRule="auto"/>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496F2260">
      <w:pPr>
        <w:spacing w:line="360" w:lineRule="auto"/>
        <w:ind w:firstLine="480" w:firstLineChars="200"/>
        <w:jc w:val="left"/>
        <w:rPr>
          <w:rFonts w:ascii="宋体" w:hAnsi="宋体" w:cs="仿宋_GB2312"/>
          <w:color w:val="auto"/>
          <w:sz w:val="24"/>
          <w:highlight w:val="none"/>
        </w:rPr>
      </w:pPr>
      <w:r>
        <w:rPr>
          <w:rFonts w:ascii="宋体" w:hAnsi="宋体" w:cs="仿宋_GB2312"/>
          <w:color w:val="auto"/>
          <w:sz w:val="24"/>
          <w:highlight w:val="none"/>
        </w:rPr>
        <w:t>2.</w:t>
      </w:r>
      <w:bookmarkStart w:id="77" w:name="_Hlk65853109"/>
      <w:bookmarkStart w:id="78" w:name="_Hlk65853542"/>
      <w:r>
        <w:rPr>
          <w:rFonts w:hint="eastAsia" w:ascii="宋体" w:hAnsi="宋体" w:cs="仿宋_GB2312"/>
          <w:color w:val="auto"/>
          <w:sz w:val="24"/>
          <w:highlight w:val="none"/>
        </w:rPr>
        <w:t>法人、其他组织竞标时“我方”是指“我单位”，自然人竞标时“我方”是指“本人”。</w:t>
      </w:r>
      <w:bookmarkEnd w:id="77"/>
    </w:p>
    <w:bookmarkEnd w:id="78"/>
    <w:p w14:paraId="652A8B15">
      <w:pPr>
        <w:spacing w:line="360" w:lineRule="auto"/>
        <w:ind w:firstLine="420" w:firstLineChars="200"/>
        <w:jc w:val="left"/>
        <w:rPr>
          <w:rFonts w:ascii="仿宋_GB2312" w:hAnsi="仿宋_GB2312" w:eastAsia="仿宋_GB2312" w:cs="仿宋_GB2312"/>
          <w:color w:val="auto"/>
          <w:szCs w:val="21"/>
          <w:highlight w:val="none"/>
        </w:rPr>
      </w:pPr>
    </w:p>
    <w:p w14:paraId="6143E77D">
      <w:pPr>
        <w:spacing w:line="500" w:lineRule="exact"/>
        <w:jc w:val="center"/>
        <w:rPr>
          <w:rFonts w:ascii="方正小标宋简体" w:hAnsi="方正小标宋简体" w:eastAsia="方正小标宋简体" w:cs="方正小标宋简体"/>
          <w:color w:val="auto"/>
          <w:sz w:val="44"/>
          <w:szCs w:val="44"/>
          <w:highlight w:val="none"/>
        </w:rPr>
      </w:pPr>
      <w:r>
        <w:rPr>
          <w:rFonts w:ascii="仿宋_GB2312" w:hAnsi="仿宋_GB2312" w:eastAsia="仿宋_GB2312" w:cs="仿宋_GB2312"/>
          <w:color w:val="auto"/>
          <w:szCs w:val="21"/>
          <w:highlight w:val="none"/>
        </w:rPr>
        <w:br w:type="page"/>
      </w:r>
      <w:r>
        <w:rPr>
          <w:rFonts w:hint="eastAsia" w:ascii="方正小标宋简体" w:hAnsi="方正小标宋简体" w:eastAsia="方正小标宋简体" w:cs="方正小标宋简体"/>
          <w:color w:val="auto"/>
          <w:sz w:val="44"/>
          <w:szCs w:val="44"/>
          <w:highlight w:val="none"/>
        </w:rPr>
        <w:t>授权委托书</w:t>
      </w:r>
    </w:p>
    <w:p w14:paraId="5D8B1132">
      <w:pPr>
        <w:spacing w:line="500" w:lineRule="exact"/>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（联合体竞标格式）</w:t>
      </w:r>
    </w:p>
    <w:p w14:paraId="654C0469">
      <w:pPr>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7BCABF87">
      <w:pPr>
        <w:spacing w:line="500" w:lineRule="exact"/>
        <w:jc w:val="center"/>
        <w:rPr>
          <w:rFonts w:ascii="方正小标宋简体" w:hAnsi="方正小标宋简体" w:eastAsia="方正小标宋简体" w:cs="方正小标宋简体"/>
          <w:color w:val="auto"/>
          <w:sz w:val="44"/>
          <w:szCs w:val="44"/>
          <w:highlight w:val="none"/>
        </w:rPr>
      </w:pPr>
    </w:p>
    <w:p w14:paraId="62265E35">
      <w:pPr>
        <w:spacing w:line="500" w:lineRule="exact"/>
        <w:jc w:val="center"/>
        <w:rPr>
          <w:rFonts w:ascii="仿宋_GB2312" w:hAnsi="仿宋_GB2312" w:eastAsia="仿宋_GB2312" w:cs="仿宋_GB2312"/>
          <w:color w:val="auto"/>
          <w:sz w:val="32"/>
          <w:szCs w:val="32"/>
          <w:highlight w:val="none"/>
        </w:rPr>
      </w:pPr>
    </w:p>
    <w:p w14:paraId="745B7E5D">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14:paraId="12EF50EB">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我方对委托代理人的</w:t>
      </w:r>
      <w:r>
        <w:rPr>
          <w:rFonts w:hint="eastAsia" w:ascii="宋体" w:hAnsi="宋体"/>
          <w:color w:val="auto"/>
          <w:sz w:val="24"/>
          <w:highlight w:val="none"/>
        </w:rPr>
        <w:t>签字或者电子签名</w:t>
      </w:r>
      <w:r>
        <w:rPr>
          <w:rFonts w:hint="eastAsia" w:ascii="宋体" w:hAnsi="宋体" w:cs="仿宋_GB2312"/>
          <w:color w:val="auto"/>
          <w:sz w:val="24"/>
          <w:highlight w:val="none"/>
        </w:rPr>
        <w:t>事项负全部责任。</w:t>
      </w:r>
    </w:p>
    <w:p w14:paraId="0A119883">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6B32F5F8">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18E593F8">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5FAA6E5C">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牵头人法定代表人（签字或者盖章或者电子签名）：</w:t>
      </w:r>
    </w:p>
    <w:p w14:paraId="72ED0B72">
      <w:pPr>
        <w:spacing w:line="360" w:lineRule="auto"/>
        <w:ind w:firstLine="3120" w:firstLineChars="1300"/>
        <w:contextualSpacing/>
        <w:rPr>
          <w:rFonts w:ascii="宋体" w:hAnsi="宋体" w:cs="仿宋_GB2312"/>
          <w:color w:val="auto"/>
          <w:sz w:val="24"/>
          <w:highlight w:val="none"/>
        </w:rPr>
      </w:pPr>
      <w:r>
        <w:rPr>
          <w:rFonts w:hint="eastAsia" w:ascii="宋体" w:hAnsi="宋体" w:cs="仿宋_GB2312"/>
          <w:color w:val="auto"/>
          <w:sz w:val="24"/>
          <w:highlight w:val="none"/>
        </w:rPr>
        <w:t>牵头人（电子签章）：</w:t>
      </w:r>
    </w:p>
    <w:p w14:paraId="6697A40C">
      <w:pPr>
        <w:spacing w:line="360" w:lineRule="auto"/>
        <w:ind w:firstLine="3840" w:firstLineChars="1600"/>
        <w:contextualSpacing/>
        <w:rPr>
          <w:rFonts w:ascii="宋体" w:hAnsi="宋体" w:cs="仿宋_GB2312"/>
          <w:color w:val="auto"/>
          <w:sz w:val="24"/>
          <w:highlight w:val="none"/>
        </w:rPr>
      </w:pPr>
      <w:r>
        <w:rPr>
          <w:rFonts w:hint="eastAsia" w:ascii="宋体" w:hAnsi="宋体" w:cs="仿宋_GB2312"/>
          <w:color w:val="auto"/>
          <w:sz w:val="24"/>
          <w:highlight w:val="none"/>
        </w:rPr>
        <w:t>日期：年月日</w:t>
      </w:r>
    </w:p>
    <w:p w14:paraId="4F6ED8B6">
      <w:pPr>
        <w:spacing w:line="360" w:lineRule="auto"/>
        <w:contextualSpacing/>
        <w:rPr>
          <w:rFonts w:ascii="宋体" w:hAnsi="宋体" w:cs="仿宋_GB2312"/>
          <w:color w:val="auto"/>
          <w:sz w:val="24"/>
          <w:highlight w:val="none"/>
        </w:rPr>
      </w:pPr>
    </w:p>
    <w:p w14:paraId="35E6B652">
      <w:pPr>
        <w:spacing w:line="360" w:lineRule="auto"/>
        <w:ind w:firstLine="3120" w:firstLineChars="1300"/>
        <w:contextualSpacing/>
        <w:rPr>
          <w:rFonts w:ascii="宋体" w:hAnsi="宋体" w:cs="仿宋_GB2312"/>
          <w:color w:val="auto"/>
          <w:sz w:val="24"/>
          <w:highlight w:val="none"/>
        </w:rPr>
      </w:pPr>
      <w:r>
        <w:rPr>
          <w:rFonts w:hint="eastAsia" w:ascii="宋体" w:hAnsi="宋体" w:cs="仿宋_GB2312"/>
          <w:color w:val="auto"/>
          <w:sz w:val="24"/>
          <w:highlight w:val="none"/>
        </w:rPr>
        <w:t>被授权人（签字或者电子签名）：</w:t>
      </w:r>
    </w:p>
    <w:p w14:paraId="10C9DC59">
      <w:pPr>
        <w:spacing w:line="360" w:lineRule="auto"/>
        <w:ind w:firstLine="3840" w:firstLineChars="1600"/>
        <w:contextualSpacing/>
        <w:rPr>
          <w:rFonts w:ascii="宋体" w:hAnsi="宋体" w:cs="仿宋_GB2312"/>
          <w:color w:val="auto"/>
          <w:sz w:val="24"/>
          <w:highlight w:val="none"/>
        </w:rPr>
      </w:pPr>
      <w:r>
        <w:rPr>
          <w:rFonts w:hint="eastAsia" w:ascii="宋体" w:hAnsi="宋体" w:cs="仿宋_GB2312"/>
          <w:color w:val="auto"/>
          <w:sz w:val="24"/>
          <w:highlight w:val="none"/>
        </w:rPr>
        <w:t>日期：年月日</w:t>
      </w:r>
    </w:p>
    <w:p w14:paraId="20A442F9">
      <w:pPr>
        <w:spacing w:line="360" w:lineRule="auto"/>
        <w:contextualSpacing/>
        <w:rPr>
          <w:rFonts w:ascii="宋体" w:hAnsi="宋体" w:cs="仿宋_GB2312"/>
          <w:color w:val="auto"/>
          <w:sz w:val="24"/>
          <w:highlight w:val="none"/>
        </w:rPr>
      </w:pPr>
    </w:p>
    <w:p w14:paraId="2E0B609A">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10E07ECE">
      <w:pPr>
        <w:spacing w:line="360" w:lineRule="auto"/>
        <w:ind w:firstLine="480" w:firstLineChars="200"/>
        <w:jc w:val="left"/>
        <w:rPr>
          <w:rFonts w:ascii="宋体" w:hAnsi="宋体" w:cs="仿宋_GB2312"/>
          <w:color w:val="auto"/>
          <w:spacing w:val="-11"/>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法人、其他组织竞标时“我方”是指“我单位”，自然人竞标时“我方”是指“本人”。</w:t>
      </w:r>
    </w:p>
    <w:bookmarkEnd w:id="76"/>
    <w:p w14:paraId="19EF2971">
      <w:pPr>
        <w:spacing w:line="500" w:lineRule="exact"/>
        <w:jc w:val="center"/>
        <w:rPr>
          <w:rFonts w:ascii="方正小标宋简体" w:hAnsi="方正小标宋简体" w:eastAsia="方正小标宋简体" w:cs="方正小标宋简体"/>
          <w:bCs/>
          <w:color w:val="auto"/>
          <w:sz w:val="44"/>
          <w:szCs w:val="44"/>
          <w:highlight w:val="none"/>
        </w:rPr>
      </w:pPr>
      <w:r>
        <w:rPr>
          <w:rFonts w:hint="eastAsia" w:ascii="仿宋_GB2312" w:hAnsi="仿宋_GB2312" w:eastAsia="仿宋_GB2312" w:cs="仿宋_GB2312"/>
          <w:color w:val="auto"/>
          <w:sz w:val="32"/>
          <w:szCs w:val="32"/>
          <w:highlight w:val="none"/>
        </w:rPr>
        <w:br w:type="page"/>
      </w:r>
      <w:r>
        <w:rPr>
          <w:rFonts w:hint="eastAsia" w:ascii="方正小标宋简体" w:hAnsi="方正小标宋简体" w:eastAsia="方正小标宋简体" w:cs="方正小标宋简体"/>
          <w:bCs/>
          <w:color w:val="auto"/>
          <w:sz w:val="44"/>
          <w:szCs w:val="44"/>
          <w:highlight w:val="none"/>
        </w:rPr>
        <w:t>商务要求偏离表</w:t>
      </w:r>
    </w:p>
    <w:p w14:paraId="1494EC93">
      <w:pPr>
        <w:spacing w:line="360" w:lineRule="auto"/>
        <w:contextualSpacing/>
        <w:jc w:val="left"/>
        <w:rPr>
          <w:rFonts w:ascii="宋体" w:hAnsi="宋体"/>
          <w:color w:val="auto"/>
          <w:sz w:val="24"/>
          <w:highlight w:val="none"/>
        </w:rPr>
      </w:pPr>
    </w:p>
    <w:p w14:paraId="7E902037">
      <w:pPr>
        <w:pStyle w:val="23"/>
        <w:spacing w:line="360" w:lineRule="auto"/>
        <w:contextualSpacing/>
        <w:rPr>
          <w:rFonts w:hAnsi="宋体" w:cs="仿宋_GB2312"/>
          <w:color w:val="auto"/>
          <w:sz w:val="24"/>
          <w:szCs w:val="24"/>
          <w:highlight w:val="none"/>
        </w:rPr>
      </w:pPr>
      <w:r>
        <w:rPr>
          <w:rFonts w:hint="eastAsia" w:hAnsi="宋体" w:cs="仿宋_GB2312"/>
          <w:color w:val="auto"/>
          <w:sz w:val="24"/>
          <w:szCs w:val="24"/>
          <w:highlight w:val="none"/>
        </w:rPr>
        <w:t>所竞分标：</w:t>
      </w:r>
    </w:p>
    <w:p w14:paraId="635927DB">
      <w:pPr>
        <w:spacing w:line="360" w:lineRule="auto"/>
        <w:contextualSpacing/>
        <w:jc w:val="left"/>
        <w:rPr>
          <w:rFonts w:ascii="宋体" w:hAnsi="宋体" w:cs="仿宋_GB2312"/>
          <w:color w:val="auto"/>
          <w:sz w:val="24"/>
          <w:highlight w:val="none"/>
          <w:u w:val="single"/>
        </w:rPr>
      </w:pPr>
    </w:p>
    <w:tbl>
      <w:tblPr>
        <w:tblStyle w:val="36"/>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9"/>
        <w:gridCol w:w="1089"/>
        <w:gridCol w:w="2668"/>
        <w:gridCol w:w="2350"/>
        <w:gridCol w:w="2112"/>
      </w:tblGrid>
      <w:tr w14:paraId="0CEF0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89" w:type="dxa"/>
            <w:tcBorders>
              <w:top w:val="single" w:color="auto" w:sz="4" w:space="0"/>
              <w:left w:val="single" w:color="auto" w:sz="4" w:space="0"/>
              <w:bottom w:val="single" w:color="auto" w:sz="4" w:space="0"/>
              <w:right w:val="single" w:color="auto" w:sz="4" w:space="0"/>
            </w:tcBorders>
            <w:vAlign w:val="center"/>
          </w:tcPr>
          <w:p w14:paraId="68AE1635">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序号</w:t>
            </w:r>
          </w:p>
        </w:tc>
        <w:tc>
          <w:tcPr>
            <w:tcW w:w="1089" w:type="dxa"/>
            <w:tcBorders>
              <w:top w:val="single" w:color="auto" w:sz="4" w:space="0"/>
              <w:left w:val="single" w:color="auto" w:sz="4" w:space="0"/>
              <w:bottom w:val="single" w:color="auto" w:sz="4" w:space="0"/>
              <w:right w:val="single" w:color="auto" w:sz="4" w:space="0"/>
            </w:tcBorders>
            <w:vAlign w:val="center"/>
          </w:tcPr>
          <w:p w14:paraId="750E0F92">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57649BDB">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6C36250C">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14:paraId="73C44B31">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偏离说明</w:t>
            </w:r>
          </w:p>
        </w:tc>
      </w:tr>
      <w:tr w14:paraId="7A5BC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089" w:type="dxa"/>
            <w:tcBorders>
              <w:top w:val="single" w:color="auto" w:sz="4" w:space="0"/>
              <w:left w:val="single" w:color="auto" w:sz="4" w:space="0"/>
              <w:bottom w:val="single" w:color="auto" w:sz="4" w:space="0"/>
              <w:right w:val="single" w:color="auto" w:sz="4" w:space="0"/>
            </w:tcBorders>
            <w:vAlign w:val="center"/>
          </w:tcPr>
          <w:p w14:paraId="78BF64AA">
            <w:pPr>
              <w:jc w:val="center"/>
              <w:rPr>
                <w:rFonts w:ascii="宋体" w:hAnsi="宋体"/>
                <w:color w:val="auto"/>
                <w:sz w:val="24"/>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14:paraId="3035360F">
            <w:pPr>
              <w:jc w:val="center"/>
              <w:rPr>
                <w:rFonts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3BA66DA5">
            <w:pPr>
              <w:spacing w:line="360" w:lineRule="auto"/>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0C7E0770">
            <w:pPr>
              <w:spacing w:line="360" w:lineRule="auto"/>
              <w:contextualSpacing/>
              <w:jc w:val="center"/>
              <w:rPr>
                <w:rFonts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7AB3D6D1">
            <w:pPr>
              <w:spacing w:line="360" w:lineRule="auto"/>
              <w:contextualSpacing/>
              <w:jc w:val="center"/>
              <w:rPr>
                <w:rFonts w:ascii="宋体" w:hAnsi="宋体" w:cs="仿宋_GB2312"/>
                <w:color w:val="auto"/>
                <w:sz w:val="24"/>
                <w:highlight w:val="none"/>
              </w:rPr>
            </w:pPr>
          </w:p>
        </w:tc>
      </w:tr>
      <w:tr w14:paraId="71840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089" w:type="dxa"/>
            <w:tcBorders>
              <w:top w:val="single" w:color="auto" w:sz="4" w:space="0"/>
              <w:left w:val="single" w:color="auto" w:sz="4" w:space="0"/>
              <w:bottom w:val="single" w:color="auto" w:sz="4" w:space="0"/>
              <w:right w:val="single" w:color="auto" w:sz="4" w:space="0"/>
            </w:tcBorders>
            <w:vAlign w:val="center"/>
          </w:tcPr>
          <w:p w14:paraId="70C3874F">
            <w:pPr>
              <w:jc w:val="center"/>
              <w:rPr>
                <w:rFonts w:ascii="宋体" w:hAnsi="宋体"/>
                <w:color w:val="auto"/>
                <w:sz w:val="24"/>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14:paraId="6EF4BF8C">
            <w:pPr>
              <w:jc w:val="center"/>
              <w:rPr>
                <w:rFonts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4426337B">
            <w:pPr>
              <w:spacing w:line="360" w:lineRule="auto"/>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4599F10D">
            <w:pPr>
              <w:spacing w:line="360" w:lineRule="auto"/>
              <w:ind w:left="43"/>
              <w:contextualSpacing/>
              <w:jc w:val="center"/>
              <w:rPr>
                <w:rFonts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3DF8B60B">
            <w:pPr>
              <w:spacing w:line="360" w:lineRule="auto"/>
              <w:ind w:left="43"/>
              <w:contextualSpacing/>
              <w:jc w:val="center"/>
              <w:rPr>
                <w:rFonts w:ascii="宋体" w:hAnsi="宋体" w:cs="仿宋_GB2312"/>
                <w:color w:val="auto"/>
                <w:sz w:val="24"/>
                <w:highlight w:val="none"/>
              </w:rPr>
            </w:pPr>
          </w:p>
        </w:tc>
      </w:tr>
      <w:tr w14:paraId="6CBF8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9" w:type="dxa"/>
            <w:tcBorders>
              <w:top w:val="single" w:color="auto" w:sz="4" w:space="0"/>
              <w:left w:val="single" w:color="auto" w:sz="4" w:space="0"/>
              <w:bottom w:val="single" w:color="auto" w:sz="4" w:space="0"/>
              <w:right w:val="single" w:color="auto" w:sz="4" w:space="0"/>
            </w:tcBorders>
            <w:vAlign w:val="center"/>
          </w:tcPr>
          <w:p w14:paraId="3831DD42">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w:t>
            </w:r>
          </w:p>
        </w:tc>
        <w:tc>
          <w:tcPr>
            <w:tcW w:w="1089" w:type="dxa"/>
            <w:tcBorders>
              <w:top w:val="single" w:color="auto" w:sz="4" w:space="0"/>
              <w:left w:val="single" w:color="auto" w:sz="4" w:space="0"/>
              <w:bottom w:val="single" w:color="auto" w:sz="4" w:space="0"/>
              <w:right w:val="single" w:color="auto" w:sz="4" w:space="0"/>
            </w:tcBorders>
            <w:vAlign w:val="center"/>
          </w:tcPr>
          <w:p w14:paraId="4E437DC7">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14:paraId="52FBCFFC">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w:t>
            </w:r>
          </w:p>
        </w:tc>
        <w:tc>
          <w:tcPr>
            <w:tcW w:w="2350" w:type="dxa"/>
            <w:tcBorders>
              <w:top w:val="single" w:color="auto" w:sz="4" w:space="0"/>
              <w:left w:val="single" w:color="auto" w:sz="4" w:space="0"/>
              <w:bottom w:val="single" w:color="auto" w:sz="4" w:space="0"/>
              <w:right w:val="single" w:color="auto" w:sz="4" w:space="0"/>
            </w:tcBorders>
            <w:vAlign w:val="center"/>
          </w:tcPr>
          <w:p w14:paraId="6A7085A3">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w:t>
            </w:r>
          </w:p>
        </w:tc>
        <w:tc>
          <w:tcPr>
            <w:tcW w:w="2112" w:type="dxa"/>
            <w:tcBorders>
              <w:top w:val="single" w:color="auto" w:sz="4" w:space="0"/>
              <w:left w:val="single" w:color="auto" w:sz="4" w:space="0"/>
              <w:bottom w:val="single" w:color="auto" w:sz="4" w:space="0"/>
              <w:right w:val="single" w:color="auto" w:sz="4" w:space="0"/>
            </w:tcBorders>
            <w:vAlign w:val="center"/>
          </w:tcPr>
          <w:p w14:paraId="4263DE1B">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w:t>
            </w:r>
          </w:p>
        </w:tc>
      </w:tr>
    </w:tbl>
    <w:p w14:paraId="0E886DB0">
      <w:pPr>
        <w:pStyle w:val="16"/>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注：</w:t>
      </w:r>
    </w:p>
    <w:p w14:paraId="09452CB3">
      <w:pPr>
        <w:pStyle w:val="16"/>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1. 说明：应对照磋商文件“第三章采购需求”中的商务</w:t>
      </w:r>
      <w:r>
        <w:rPr>
          <w:rFonts w:hint="eastAsia" w:ascii="宋体" w:hAnsi="宋体"/>
          <w:color w:val="auto"/>
          <w:kern w:val="0"/>
          <w:sz w:val="24"/>
          <w:szCs w:val="24"/>
          <w:highlight w:val="none"/>
          <w:lang w:val="en-US" w:eastAsia="zh-CN"/>
        </w:rPr>
        <w:t>要求</w:t>
      </w:r>
      <w:r>
        <w:rPr>
          <w:rFonts w:hint="eastAsia" w:ascii="宋体" w:hAnsi="宋体"/>
          <w:color w:val="auto"/>
          <w:kern w:val="0"/>
          <w:sz w:val="24"/>
          <w:szCs w:val="24"/>
          <w:highlight w:val="none"/>
        </w:rPr>
        <w:t>逐条作出明确响应，并作出偏离说明。</w:t>
      </w:r>
    </w:p>
    <w:p w14:paraId="5A8F3A37">
      <w:pPr>
        <w:spacing w:line="360" w:lineRule="auto"/>
        <w:contextualSpacing/>
        <w:jc w:val="left"/>
        <w:rPr>
          <w:rFonts w:ascii="宋体" w:hAnsi="宋体" w:cs="仿宋_GB2312"/>
          <w:color w:val="auto"/>
          <w:sz w:val="24"/>
          <w:highlight w:val="none"/>
          <w:u w:val="single"/>
        </w:rPr>
      </w:pPr>
      <w:r>
        <w:rPr>
          <w:rFonts w:hint="eastAsia" w:ascii="宋体" w:hAnsi="宋体"/>
          <w:color w:val="auto"/>
          <w:kern w:val="0"/>
          <w:sz w:val="24"/>
          <w:highlight w:val="none"/>
        </w:rPr>
        <w:t>2.供应商应根据自身的承诺，对照磋商文件要求在“偏离说明”中注明“正偏离”、“负偏离”或者“无偏离”。既不属于“正偏离”也不属于“负偏离”即为“无偏离”。</w:t>
      </w:r>
    </w:p>
    <w:p w14:paraId="1671F6A2">
      <w:pPr>
        <w:spacing w:line="360" w:lineRule="auto"/>
        <w:ind w:right="-817" w:rightChars="-389"/>
        <w:contextualSpacing/>
        <w:rPr>
          <w:rFonts w:ascii="宋体" w:hAnsi="宋体" w:cs="仿宋_GB2312"/>
          <w:color w:val="auto"/>
          <w:sz w:val="24"/>
          <w:highlight w:val="none"/>
        </w:rPr>
      </w:pPr>
    </w:p>
    <w:p w14:paraId="52D9F50C">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35445398">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供应商（电子签章）：</w:t>
      </w:r>
    </w:p>
    <w:p w14:paraId="0F034FEF">
      <w:pPr>
        <w:spacing w:line="360" w:lineRule="auto"/>
        <w:ind w:right="-817" w:rightChars="-389" w:firstLine="4080" w:firstLineChars="1700"/>
        <w:contextualSpacing/>
        <w:rPr>
          <w:rFonts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日期：年月日</w:t>
      </w:r>
    </w:p>
    <w:p w14:paraId="17E2E942">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636ED487">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37F7B729">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5A539BB8">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6F56B177">
      <w:pPr>
        <w:adjustRightInd w:val="0"/>
        <w:snapToGrid w:val="0"/>
        <w:spacing w:line="520" w:lineRule="exact"/>
        <w:rPr>
          <w:rFonts w:ascii="宋体" w:hAnsi="宋体"/>
          <w:color w:val="auto"/>
          <w:szCs w:val="21"/>
          <w:highlight w:val="none"/>
          <w:u w:val="single"/>
        </w:rPr>
      </w:pPr>
    </w:p>
    <w:p w14:paraId="6AE7BBC9">
      <w:pPr>
        <w:adjustRightInd w:val="0"/>
        <w:snapToGrid w:val="0"/>
        <w:spacing w:line="300" w:lineRule="auto"/>
        <w:jc w:val="center"/>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技术要求偏离表</w:t>
      </w:r>
    </w:p>
    <w:p w14:paraId="52F766C2">
      <w:pPr>
        <w:spacing w:line="520" w:lineRule="exact"/>
        <w:rPr>
          <w:rFonts w:ascii="仿宋_GB2312" w:hAnsi="仿宋_GB2312" w:eastAsia="仿宋_GB2312" w:cs="仿宋_GB2312"/>
          <w:color w:val="auto"/>
          <w:sz w:val="32"/>
          <w:szCs w:val="32"/>
          <w:highlight w:val="none"/>
        </w:rPr>
      </w:pPr>
    </w:p>
    <w:p w14:paraId="30871702">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采购项目编号：</w:t>
      </w:r>
    </w:p>
    <w:p w14:paraId="644752EA">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采购项目名称：</w:t>
      </w:r>
    </w:p>
    <w:p w14:paraId="1361FF58">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分标号：</w:t>
      </w:r>
    </w:p>
    <w:tbl>
      <w:tblPr>
        <w:tblStyle w:val="36"/>
        <w:tblW w:w="81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6"/>
        <w:gridCol w:w="3038"/>
        <w:gridCol w:w="2734"/>
        <w:gridCol w:w="1492"/>
      </w:tblGrid>
      <w:tr w14:paraId="3E8D04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43113FE6">
            <w:pPr>
              <w:pStyle w:val="19"/>
              <w:spacing w:line="360" w:lineRule="auto"/>
              <w:ind w:firstLine="0" w:firstLineChars="0"/>
              <w:contextualSpacing/>
              <w:jc w:val="center"/>
              <w:rPr>
                <w:rFonts w:ascii="宋体" w:hAnsi="宋体" w:eastAsia="宋体" w:cs="仿宋_GB2312"/>
                <w:color w:val="auto"/>
                <w:kern w:val="2"/>
                <w:sz w:val="24"/>
                <w:szCs w:val="24"/>
                <w:highlight w:val="none"/>
              </w:rPr>
            </w:pPr>
            <w:bookmarkStart w:id="79" w:name="_Toc295404981"/>
            <w:bookmarkStart w:id="80" w:name="_Toc383699906"/>
            <w:bookmarkStart w:id="81" w:name="_Toc173211900"/>
            <w:bookmarkStart w:id="82" w:name="_Toc254970729"/>
            <w:bookmarkStart w:id="83" w:name="_Toc173066401"/>
            <w:bookmarkStart w:id="84" w:name="_Toc297193185"/>
            <w:bookmarkStart w:id="85" w:name="_Toc254970588"/>
            <w:bookmarkStart w:id="86" w:name="_Toc373333689"/>
            <w:bookmarkStart w:id="87" w:name="_Toc301781611"/>
            <w:r>
              <w:rPr>
                <w:rFonts w:hint="eastAsia" w:ascii="宋体" w:hAnsi="宋体" w:eastAsia="宋体" w:cs="仿宋_GB2312"/>
                <w:color w:val="auto"/>
                <w:kern w:val="2"/>
                <w:sz w:val="24"/>
                <w:szCs w:val="24"/>
                <w:highlight w:val="none"/>
              </w:rPr>
              <w:t>序号</w:t>
            </w:r>
            <w:bookmarkEnd w:id="79"/>
            <w:bookmarkEnd w:id="80"/>
            <w:bookmarkEnd w:id="81"/>
            <w:bookmarkEnd w:id="82"/>
            <w:bookmarkEnd w:id="83"/>
            <w:bookmarkEnd w:id="84"/>
            <w:bookmarkEnd w:id="85"/>
            <w:bookmarkEnd w:id="86"/>
            <w:bookmarkEnd w:id="87"/>
          </w:p>
        </w:tc>
        <w:tc>
          <w:tcPr>
            <w:tcW w:w="3038" w:type="dxa"/>
            <w:tcBorders>
              <w:left w:val="single" w:color="auto" w:sz="4" w:space="0"/>
            </w:tcBorders>
            <w:vAlign w:val="center"/>
          </w:tcPr>
          <w:p w14:paraId="36E8C47F">
            <w:pPr>
              <w:pStyle w:val="19"/>
              <w:spacing w:line="360" w:lineRule="auto"/>
              <w:ind w:firstLine="0" w:firstLineChars="0"/>
              <w:contextualSpacing/>
              <w:jc w:val="center"/>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rPr>
              <w:t>磋商文件</w:t>
            </w:r>
            <w:r>
              <w:rPr>
                <w:rFonts w:hint="eastAsia" w:ascii="宋体" w:hAnsi="宋体" w:eastAsia="宋体" w:cs="仿宋_GB2312"/>
                <w:color w:val="auto"/>
                <w:kern w:val="2"/>
                <w:sz w:val="24"/>
                <w:szCs w:val="24"/>
                <w:highlight w:val="none"/>
                <w:lang w:val="en-US" w:eastAsia="zh-CN"/>
              </w:rPr>
              <w:t>服务内容及要求</w:t>
            </w:r>
          </w:p>
        </w:tc>
        <w:tc>
          <w:tcPr>
            <w:tcW w:w="2734" w:type="dxa"/>
            <w:vAlign w:val="center"/>
          </w:tcPr>
          <w:p w14:paraId="6F3D579B">
            <w:pPr>
              <w:pStyle w:val="19"/>
              <w:spacing w:line="360" w:lineRule="auto"/>
              <w:ind w:firstLine="0" w:firstLineChars="0"/>
              <w:contextualSpacing/>
              <w:jc w:val="center"/>
              <w:rPr>
                <w:rFonts w:ascii="宋体" w:hAnsi="宋体" w:eastAsia="宋体" w:cs="仿宋_GB2312"/>
                <w:color w:val="auto"/>
                <w:kern w:val="2"/>
                <w:sz w:val="24"/>
                <w:szCs w:val="24"/>
                <w:highlight w:val="none"/>
              </w:rPr>
            </w:pPr>
            <w:bookmarkStart w:id="88" w:name="_Toc295404983"/>
            <w:bookmarkStart w:id="89" w:name="_Toc297193187"/>
            <w:bookmarkStart w:id="90" w:name="_Toc301781613"/>
            <w:bookmarkStart w:id="91" w:name="_Toc383699908"/>
            <w:bookmarkStart w:id="92" w:name="_Toc254970731"/>
            <w:bookmarkStart w:id="93" w:name="_Toc173066403"/>
            <w:bookmarkStart w:id="94" w:name="_Toc373333691"/>
            <w:bookmarkStart w:id="95" w:name="_Toc173211902"/>
            <w:bookmarkStart w:id="96" w:name="_Toc254970590"/>
            <w:r>
              <w:rPr>
                <w:rFonts w:hint="eastAsia" w:ascii="宋体" w:hAnsi="宋体" w:eastAsia="宋体" w:cs="仿宋_GB2312"/>
                <w:color w:val="auto"/>
                <w:kern w:val="2"/>
                <w:sz w:val="24"/>
                <w:szCs w:val="24"/>
                <w:highlight w:val="none"/>
              </w:rPr>
              <w:t>竞标响应</w:t>
            </w:r>
            <w:bookmarkEnd w:id="88"/>
            <w:bookmarkEnd w:id="89"/>
            <w:bookmarkEnd w:id="90"/>
            <w:bookmarkEnd w:id="91"/>
            <w:bookmarkEnd w:id="92"/>
            <w:bookmarkEnd w:id="93"/>
            <w:bookmarkEnd w:id="94"/>
            <w:bookmarkEnd w:id="95"/>
            <w:bookmarkEnd w:id="96"/>
          </w:p>
        </w:tc>
        <w:tc>
          <w:tcPr>
            <w:tcW w:w="1492" w:type="dxa"/>
            <w:vAlign w:val="center"/>
          </w:tcPr>
          <w:p w14:paraId="4B111D70">
            <w:pPr>
              <w:pStyle w:val="19"/>
              <w:spacing w:line="360" w:lineRule="auto"/>
              <w:ind w:firstLine="0" w:firstLineChars="0"/>
              <w:contextualSpacing/>
              <w:jc w:val="center"/>
              <w:rPr>
                <w:rFonts w:ascii="宋体" w:hAnsi="宋体" w:eastAsia="宋体" w:cs="仿宋_GB2312"/>
                <w:color w:val="auto"/>
                <w:kern w:val="2"/>
                <w:sz w:val="24"/>
                <w:szCs w:val="24"/>
                <w:highlight w:val="none"/>
              </w:rPr>
            </w:pPr>
            <w:bookmarkStart w:id="97" w:name="_Toc173066404"/>
            <w:bookmarkStart w:id="98" w:name="_Toc295404984"/>
            <w:bookmarkStart w:id="99" w:name="_Toc383699909"/>
            <w:bookmarkStart w:id="100" w:name="_Toc254970732"/>
            <w:bookmarkStart w:id="101" w:name="_Toc297193188"/>
            <w:bookmarkStart w:id="102" w:name="_Toc373333692"/>
            <w:bookmarkStart w:id="103" w:name="_Toc173211903"/>
            <w:bookmarkStart w:id="104" w:name="_Toc301781614"/>
            <w:bookmarkStart w:id="105" w:name="_Toc254970591"/>
            <w:r>
              <w:rPr>
                <w:rFonts w:hint="eastAsia" w:ascii="宋体" w:hAnsi="宋体" w:eastAsia="宋体" w:cs="仿宋_GB2312"/>
                <w:color w:val="auto"/>
                <w:kern w:val="2"/>
                <w:sz w:val="24"/>
                <w:szCs w:val="24"/>
                <w:highlight w:val="none"/>
              </w:rPr>
              <w:t>偏离</w:t>
            </w:r>
            <w:bookmarkEnd w:id="97"/>
            <w:bookmarkEnd w:id="98"/>
            <w:bookmarkEnd w:id="99"/>
            <w:bookmarkEnd w:id="100"/>
            <w:bookmarkEnd w:id="101"/>
            <w:bookmarkEnd w:id="102"/>
            <w:bookmarkEnd w:id="103"/>
            <w:bookmarkEnd w:id="104"/>
            <w:bookmarkEnd w:id="105"/>
            <w:bookmarkStart w:id="106" w:name="_Toc173211904"/>
            <w:bookmarkStart w:id="107" w:name="_Toc301781615"/>
            <w:bookmarkStart w:id="108" w:name="_Toc297193189"/>
            <w:bookmarkStart w:id="109" w:name="_Toc254970592"/>
            <w:bookmarkStart w:id="110" w:name="_Toc383699910"/>
            <w:bookmarkStart w:id="111" w:name="_Toc373333693"/>
            <w:bookmarkStart w:id="112" w:name="_Toc295404985"/>
            <w:bookmarkStart w:id="113" w:name="_Toc173066405"/>
            <w:bookmarkStart w:id="114" w:name="_Toc254970733"/>
            <w:r>
              <w:rPr>
                <w:rFonts w:hint="eastAsia" w:ascii="宋体" w:hAnsi="宋体" w:eastAsia="宋体" w:cs="仿宋_GB2312"/>
                <w:color w:val="auto"/>
                <w:kern w:val="2"/>
                <w:sz w:val="24"/>
                <w:szCs w:val="24"/>
                <w:highlight w:val="none"/>
              </w:rPr>
              <w:t>说明</w:t>
            </w:r>
            <w:bookmarkEnd w:id="106"/>
            <w:bookmarkEnd w:id="107"/>
            <w:bookmarkEnd w:id="108"/>
            <w:bookmarkEnd w:id="109"/>
            <w:bookmarkEnd w:id="110"/>
            <w:bookmarkEnd w:id="111"/>
            <w:bookmarkEnd w:id="112"/>
            <w:bookmarkEnd w:id="113"/>
            <w:bookmarkEnd w:id="114"/>
          </w:p>
        </w:tc>
      </w:tr>
      <w:tr w14:paraId="5C3F61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714A2790">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3A397697">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30179D71">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141B597F">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r>
      <w:tr w14:paraId="09FFEC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70FF5E63">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1704E2E8">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31530D12">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2EEA7F99">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r>
      <w:tr w14:paraId="550189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3E3B081D">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64A544DF">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608AD469">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3D22CCDF">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r>
      <w:tr w14:paraId="1765C9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3CC60B60">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0E0047EF">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414F3034">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083FFA1D">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r>
      <w:tr w14:paraId="491410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5C425275">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5BB1A3F5">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020BD4A2">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1FAE84EA">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r>
      <w:tr w14:paraId="60B18C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6" w:type="dxa"/>
            <w:vAlign w:val="center"/>
          </w:tcPr>
          <w:p w14:paraId="59C27BE1">
            <w:pPr>
              <w:pStyle w:val="19"/>
              <w:spacing w:line="360" w:lineRule="auto"/>
              <w:ind w:firstLine="0" w:firstLineChars="0"/>
              <w:contextualSpacing/>
              <w:jc w:val="center"/>
              <w:rPr>
                <w:rFonts w:ascii="宋体" w:hAnsi="宋体" w:eastAsia="宋体" w:cs="仿宋_GB2312"/>
                <w:color w:val="auto"/>
                <w:kern w:val="2"/>
                <w:sz w:val="24"/>
                <w:szCs w:val="24"/>
                <w:highlight w:val="none"/>
              </w:rPr>
            </w:pPr>
            <w:bookmarkStart w:id="115" w:name="_Toc254970743"/>
            <w:bookmarkStart w:id="116" w:name="_Toc301781621"/>
            <w:bookmarkStart w:id="117" w:name="_Toc173211914"/>
            <w:bookmarkStart w:id="118" w:name="_Toc254970602"/>
            <w:bookmarkStart w:id="119" w:name="_Toc297193195"/>
            <w:bookmarkStart w:id="120" w:name="_Toc373333699"/>
            <w:bookmarkStart w:id="121" w:name="_Toc173066415"/>
            <w:bookmarkStart w:id="122" w:name="_Toc383699916"/>
            <w:bookmarkStart w:id="123" w:name="_Toc295404991"/>
            <w:r>
              <w:rPr>
                <w:rFonts w:hint="eastAsia" w:ascii="宋体" w:hAnsi="宋体" w:eastAsia="宋体" w:cs="仿宋_GB2312"/>
                <w:color w:val="auto"/>
                <w:kern w:val="2"/>
                <w:sz w:val="24"/>
                <w:szCs w:val="24"/>
                <w:highlight w:val="none"/>
              </w:rPr>
              <w:t>…</w:t>
            </w:r>
            <w:bookmarkEnd w:id="115"/>
            <w:bookmarkEnd w:id="116"/>
            <w:bookmarkEnd w:id="117"/>
            <w:bookmarkEnd w:id="118"/>
            <w:bookmarkEnd w:id="119"/>
            <w:bookmarkEnd w:id="120"/>
            <w:bookmarkEnd w:id="121"/>
            <w:bookmarkEnd w:id="122"/>
            <w:bookmarkEnd w:id="123"/>
          </w:p>
        </w:tc>
        <w:tc>
          <w:tcPr>
            <w:tcW w:w="3038" w:type="dxa"/>
            <w:tcBorders>
              <w:left w:val="single" w:color="auto" w:sz="4" w:space="0"/>
            </w:tcBorders>
            <w:vAlign w:val="center"/>
          </w:tcPr>
          <w:p w14:paraId="7A7BD19C">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32E18999">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tcBorders>
              <w:right w:val="single" w:color="auto" w:sz="4" w:space="0"/>
            </w:tcBorders>
            <w:vAlign w:val="center"/>
          </w:tcPr>
          <w:p w14:paraId="37275008">
            <w:pPr>
              <w:pStyle w:val="19"/>
              <w:spacing w:line="360" w:lineRule="auto"/>
              <w:ind w:firstLine="0" w:firstLineChars="0"/>
              <w:contextualSpacing/>
              <w:jc w:val="center"/>
              <w:rPr>
                <w:rFonts w:ascii="宋体" w:hAnsi="宋体" w:eastAsia="宋体" w:cs="仿宋_GB2312"/>
                <w:color w:val="auto"/>
                <w:kern w:val="2"/>
                <w:sz w:val="24"/>
                <w:szCs w:val="24"/>
                <w:highlight w:val="none"/>
              </w:rPr>
            </w:pPr>
          </w:p>
        </w:tc>
      </w:tr>
    </w:tbl>
    <w:p w14:paraId="5F294402">
      <w:pPr>
        <w:adjustRightInd w:val="0"/>
        <w:spacing w:line="360" w:lineRule="auto"/>
        <w:contextualSpacing/>
        <w:rPr>
          <w:rFonts w:ascii="宋体" w:hAnsi="宋体" w:cs="仿宋_GB2312"/>
          <w:color w:val="auto"/>
          <w:sz w:val="24"/>
          <w:highlight w:val="none"/>
        </w:rPr>
      </w:pPr>
    </w:p>
    <w:p w14:paraId="7DC8A0B8">
      <w:pPr>
        <w:pStyle w:val="19"/>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49A843F6">
      <w:pPr>
        <w:pStyle w:val="19"/>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 说明：应对照磋商文件“第三章采购需求”中的</w:t>
      </w:r>
      <w:r>
        <w:rPr>
          <w:rFonts w:hint="eastAsia" w:ascii="宋体" w:hAnsi="宋体" w:eastAsia="宋体" w:cs="仿宋_GB2312"/>
          <w:color w:val="auto"/>
          <w:sz w:val="24"/>
          <w:szCs w:val="24"/>
          <w:highlight w:val="none"/>
          <w:lang w:val="en-US" w:eastAsia="zh-CN"/>
        </w:rPr>
        <w:t>服务内容及要求</w:t>
      </w:r>
      <w:r>
        <w:rPr>
          <w:rFonts w:hint="eastAsia" w:ascii="宋体" w:hAnsi="宋体" w:eastAsia="宋体" w:cs="仿宋_GB2312"/>
          <w:color w:val="auto"/>
          <w:sz w:val="24"/>
          <w:szCs w:val="24"/>
          <w:highlight w:val="none"/>
        </w:rPr>
        <w:t>逐条作出明确响应，并作出偏离说明。</w:t>
      </w:r>
    </w:p>
    <w:p w14:paraId="584CB748">
      <w:pPr>
        <w:pStyle w:val="19"/>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2.供应商应根据自身的承诺，对照磋商文件要求，在“偏离说明”中注明“正偏离”、“负偏离”或者“无偏离”。既不属于“正偏离”也不属于“负偏离”即为“无偏离”。</w:t>
      </w:r>
    </w:p>
    <w:p w14:paraId="42F31DB2">
      <w:pPr>
        <w:spacing w:line="360" w:lineRule="auto"/>
        <w:ind w:right="-817" w:rightChars="-389"/>
        <w:contextualSpacing/>
        <w:rPr>
          <w:rFonts w:ascii="宋体" w:hAnsi="宋体" w:cs="仿宋_GB2312"/>
          <w:color w:val="auto"/>
          <w:sz w:val="24"/>
          <w:highlight w:val="none"/>
        </w:rPr>
      </w:pPr>
    </w:p>
    <w:p w14:paraId="2DFEDF79">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33539816">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供应商（电子签章）：</w:t>
      </w:r>
    </w:p>
    <w:p w14:paraId="79A51233">
      <w:pPr>
        <w:spacing w:line="360" w:lineRule="auto"/>
        <w:ind w:right="-817" w:rightChars="-389"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rPr>
        <w:t>日期：年月日</w:t>
      </w:r>
    </w:p>
    <w:p w14:paraId="6E72BAF0">
      <w:pPr>
        <w:snapToGrid w:val="0"/>
        <w:spacing w:before="156" w:beforeLines="50" w:after="50"/>
        <w:ind w:left="142"/>
        <w:jc w:val="left"/>
        <w:rPr>
          <w:rFonts w:ascii="宋体" w:hAnsi="宋体"/>
          <w:b/>
          <w:color w:val="auto"/>
          <w:sz w:val="24"/>
          <w:highlight w:val="none"/>
        </w:rPr>
      </w:pPr>
      <w:r>
        <w:rPr>
          <w:rFonts w:ascii="宋体" w:hAnsi="宋体" w:cs="仿宋_GB2312"/>
          <w:color w:val="auto"/>
          <w:sz w:val="24"/>
          <w:highlight w:val="none"/>
        </w:rPr>
        <w:br w:type="page"/>
      </w:r>
      <w:r>
        <w:rPr>
          <w:rFonts w:hint="eastAsia" w:ascii="宋体" w:hAnsi="宋体"/>
          <w:b/>
          <w:color w:val="auto"/>
          <w:sz w:val="24"/>
          <w:highlight w:val="none"/>
        </w:rPr>
        <w:t>项目实施人员一览表格式</w:t>
      </w:r>
    </w:p>
    <w:p w14:paraId="33803BE7">
      <w:pPr>
        <w:snapToGrid w:val="0"/>
        <w:spacing w:before="156" w:beforeLines="50" w:after="50"/>
        <w:ind w:left="142"/>
        <w:jc w:val="left"/>
        <w:rPr>
          <w:rFonts w:ascii="宋体" w:hAnsi="宋体"/>
          <w:b/>
          <w:color w:val="auto"/>
          <w:sz w:val="24"/>
          <w:highlight w:val="none"/>
        </w:rPr>
      </w:pPr>
    </w:p>
    <w:p w14:paraId="5F2CFCD9">
      <w:pPr>
        <w:spacing w:line="360" w:lineRule="auto"/>
        <w:ind w:left="142"/>
        <w:contextualSpacing/>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tbl>
      <w:tblPr>
        <w:tblStyle w:val="36"/>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589"/>
        <w:gridCol w:w="1036"/>
        <w:gridCol w:w="1247"/>
        <w:gridCol w:w="1787"/>
        <w:gridCol w:w="3094"/>
        <w:gridCol w:w="1608"/>
      </w:tblGrid>
      <w:tr w14:paraId="12235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trPr>
        <w:tc>
          <w:tcPr>
            <w:tcW w:w="296" w:type="pct"/>
            <w:vAlign w:val="center"/>
          </w:tcPr>
          <w:p w14:paraId="126EF45E">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序号</w:t>
            </w:r>
          </w:p>
        </w:tc>
        <w:tc>
          <w:tcPr>
            <w:tcW w:w="296" w:type="pct"/>
            <w:vAlign w:val="center"/>
          </w:tcPr>
          <w:p w14:paraId="6A8D534F">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姓名</w:t>
            </w:r>
          </w:p>
        </w:tc>
        <w:tc>
          <w:tcPr>
            <w:tcW w:w="520" w:type="pct"/>
            <w:vAlign w:val="center"/>
          </w:tcPr>
          <w:p w14:paraId="5FB53E15">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职务</w:t>
            </w:r>
          </w:p>
        </w:tc>
        <w:tc>
          <w:tcPr>
            <w:tcW w:w="626" w:type="pct"/>
            <w:vAlign w:val="center"/>
          </w:tcPr>
          <w:p w14:paraId="3057F267">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学历</w:t>
            </w:r>
          </w:p>
        </w:tc>
        <w:tc>
          <w:tcPr>
            <w:tcW w:w="897" w:type="pct"/>
            <w:vAlign w:val="center"/>
          </w:tcPr>
          <w:p w14:paraId="03FDD8D6">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相关工作经验年限</w:t>
            </w:r>
          </w:p>
        </w:tc>
        <w:tc>
          <w:tcPr>
            <w:tcW w:w="1553" w:type="pct"/>
            <w:vAlign w:val="center"/>
          </w:tcPr>
          <w:p w14:paraId="08020F9C">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807" w:type="pct"/>
            <w:vAlign w:val="center"/>
          </w:tcPr>
          <w:p w14:paraId="438DDD58">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证书编号</w:t>
            </w:r>
          </w:p>
        </w:tc>
      </w:tr>
      <w:tr w14:paraId="0D11D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96" w:type="pct"/>
            <w:vAlign w:val="center"/>
          </w:tcPr>
          <w:p w14:paraId="5C9099D6">
            <w:pPr>
              <w:spacing w:line="360" w:lineRule="auto"/>
              <w:contextualSpacing/>
              <w:jc w:val="center"/>
              <w:rPr>
                <w:rFonts w:ascii="宋体" w:hAnsi="宋体"/>
                <w:color w:val="auto"/>
                <w:sz w:val="24"/>
                <w:szCs w:val="20"/>
                <w:highlight w:val="none"/>
              </w:rPr>
            </w:pPr>
          </w:p>
        </w:tc>
        <w:tc>
          <w:tcPr>
            <w:tcW w:w="296" w:type="pct"/>
            <w:vAlign w:val="center"/>
          </w:tcPr>
          <w:p w14:paraId="133CBD46">
            <w:pPr>
              <w:spacing w:line="360" w:lineRule="auto"/>
              <w:contextualSpacing/>
              <w:jc w:val="center"/>
              <w:rPr>
                <w:rFonts w:ascii="宋体" w:hAnsi="宋体"/>
                <w:color w:val="auto"/>
                <w:sz w:val="24"/>
                <w:szCs w:val="20"/>
                <w:highlight w:val="none"/>
              </w:rPr>
            </w:pPr>
          </w:p>
        </w:tc>
        <w:tc>
          <w:tcPr>
            <w:tcW w:w="520" w:type="pct"/>
            <w:vAlign w:val="center"/>
          </w:tcPr>
          <w:p w14:paraId="441D83C1">
            <w:pPr>
              <w:spacing w:line="360" w:lineRule="auto"/>
              <w:contextualSpacing/>
              <w:jc w:val="center"/>
              <w:rPr>
                <w:rFonts w:ascii="宋体" w:hAnsi="宋体"/>
                <w:color w:val="auto"/>
                <w:sz w:val="24"/>
                <w:szCs w:val="20"/>
                <w:highlight w:val="none"/>
              </w:rPr>
            </w:pPr>
          </w:p>
        </w:tc>
        <w:tc>
          <w:tcPr>
            <w:tcW w:w="626" w:type="pct"/>
            <w:vAlign w:val="center"/>
          </w:tcPr>
          <w:p w14:paraId="309972EC">
            <w:pPr>
              <w:spacing w:line="360" w:lineRule="auto"/>
              <w:contextualSpacing/>
              <w:jc w:val="center"/>
              <w:rPr>
                <w:rFonts w:ascii="宋体" w:hAnsi="宋体"/>
                <w:color w:val="auto"/>
                <w:sz w:val="24"/>
                <w:szCs w:val="20"/>
                <w:highlight w:val="none"/>
              </w:rPr>
            </w:pPr>
          </w:p>
        </w:tc>
        <w:tc>
          <w:tcPr>
            <w:tcW w:w="897" w:type="pct"/>
            <w:vAlign w:val="center"/>
          </w:tcPr>
          <w:p w14:paraId="5ED1ECEF">
            <w:pPr>
              <w:spacing w:line="360" w:lineRule="auto"/>
              <w:contextualSpacing/>
              <w:jc w:val="center"/>
              <w:rPr>
                <w:rFonts w:ascii="宋体" w:hAnsi="宋体"/>
                <w:color w:val="auto"/>
                <w:sz w:val="24"/>
                <w:szCs w:val="20"/>
                <w:highlight w:val="none"/>
              </w:rPr>
            </w:pPr>
          </w:p>
        </w:tc>
        <w:tc>
          <w:tcPr>
            <w:tcW w:w="1553" w:type="pct"/>
            <w:vAlign w:val="center"/>
          </w:tcPr>
          <w:p w14:paraId="57E6BC93">
            <w:pPr>
              <w:spacing w:line="360" w:lineRule="auto"/>
              <w:contextualSpacing/>
              <w:jc w:val="center"/>
              <w:rPr>
                <w:rFonts w:ascii="宋体" w:hAnsi="宋体"/>
                <w:color w:val="auto"/>
                <w:sz w:val="24"/>
                <w:szCs w:val="20"/>
                <w:highlight w:val="none"/>
              </w:rPr>
            </w:pPr>
          </w:p>
        </w:tc>
        <w:tc>
          <w:tcPr>
            <w:tcW w:w="807" w:type="pct"/>
            <w:vAlign w:val="center"/>
          </w:tcPr>
          <w:p w14:paraId="32F5BDBC">
            <w:pPr>
              <w:spacing w:line="360" w:lineRule="auto"/>
              <w:contextualSpacing/>
              <w:jc w:val="center"/>
              <w:rPr>
                <w:rFonts w:ascii="宋体" w:hAnsi="宋体"/>
                <w:color w:val="auto"/>
                <w:sz w:val="24"/>
                <w:szCs w:val="20"/>
                <w:highlight w:val="none"/>
              </w:rPr>
            </w:pPr>
          </w:p>
        </w:tc>
      </w:tr>
      <w:tr w14:paraId="7B9A2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96" w:type="pct"/>
            <w:vAlign w:val="center"/>
          </w:tcPr>
          <w:p w14:paraId="1575809D">
            <w:pPr>
              <w:spacing w:line="360" w:lineRule="auto"/>
              <w:contextualSpacing/>
              <w:jc w:val="center"/>
              <w:rPr>
                <w:rFonts w:ascii="宋体" w:hAnsi="宋体"/>
                <w:color w:val="auto"/>
                <w:sz w:val="24"/>
                <w:szCs w:val="20"/>
                <w:highlight w:val="none"/>
              </w:rPr>
            </w:pPr>
          </w:p>
        </w:tc>
        <w:tc>
          <w:tcPr>
            <w:tcW w:w="296" w:type="pct"/>
            <w:vAlign w:val="center"/>
          </w:tcPr>
          <w:p w14:paraId="71D26C00">
            <w:pPr>
              <w:spacing w:line="360" w:lineRule="auto"/>
              <w:contextualSpacing/>
              <w:jc w:val="center"/>
              <w:rPr>
                <w:rFonts w:ascii="宋体" w:hAnsi="宋体"/>
                <w:color w:val="auto"/>
                <w:sz w:val="24"/>
                <w:szCs w:val="20"/>
                <w:highlight w:val="none"/>
              </w:rPr>
            </w:pPr>
          </w:p>
        </w:tc>
        <w:tc>
          <w:tcPr>
            <w:tcW w:w="520" w:type="pct"/>
            <w:vAlign w:val="center"/>
          </w:tcPr>
          <w:p w14:paraId="2126A64C">
            <w:pPr>
              <w:spacing w:line="360" w:lineRule="auto"/>
              <w:contextualSpacing/>
              <w:jc w:val="center"/>
              <w:rPr>
                <w:rFonts w:ascii="宋体" w:hAnsi="宋体"/>
                <w:color w:val="auto"/>
                <w:sz w:val="24"/>
                <w:szCs w:val="20"/>
                <w:highlight w:val="none"/>
              </w:rPr>
            </w:pPr>
          </w:p>
        </w:tc>
        <w:tc>
          <w:tcPr>
            <w:tcW w:w="626" w:type="pct"/>
            <w:vAlign w:val="center"/>
          </w:tcPr>
          <w:p w14:paraId="4C8EE0F9">
            <w:pPr>
              <w:spacing w:line="360" w:lineRule="auto"/>
              <w:contextualSpacing/>
              <w:jc w:val="center"/>
              <w:rPr>
                <w:rFonts w:ascii="宋体" w:hAnsi="宋体"/>
                <w:color w:val="auto"/>
                <w:sz w:val="24"/>
                <w:szCs w:val="20"/>
                <w:highlight w:val="none"/>
              </w:rPr>
            </w:pPr>
          </w:p>
        </w:tc>
        <w:tc>
          <w:tcPr>
            <w:tcW w:w="897" w:type="pct"/>
            <w:vAlign w:val="center"/>
          </w:tcPr>
          <w:p w14:paraId="4F0C42B1">
            <w:pPr>
              <w:spacing w:line="360" w:lineRule="auto"/>
              <w:contextualSpacing/>
              <w:jc w:val="center"/>
              <w:rPr>
                <w:rFonts w:ascii="宋体" w:hAnsi="宋体"/>
                <w:color w:val="auto"/>
                <w:sz w:val="24"/>
                <w:szCs w:val="20"/>
                <w:highlight w:val="none"/>
              </w:rPr>
            </w:pPr>
          </w:p>
        </w:tc>
        <w:tc>
          <w:tcPr>
            <w:tcW w:w="1553" w:type="pct"/>
            <w:vAlign w:val="center"/>
          </w:tcPr>
          <w:p w14:paraId="5A675AEE">
            <w:pPr>
              <w:spacing w:line="360" w:lineRule="auto"/>
              <w:contextualSpacing/>
              <w:jc w:val="center"/>
              <w:rPr>
                <w:rFonts w:ascii="宋体" w:hAnsi="宋体"/>
                <w:color w:val="auto"/>
                <w:sz w:val="24"/>
                <w:szCs w:val="20"/>
                <w:highlight w:val="none"/>
              </w:rPr>
            </w:pPr>
          </w:p>
        </w:tc>
        <w:tc>
          <w:tcPr>
            <w:tcW w:w="807" w:type="pct"/>
            <w:vAlign w:val="center"/>
          </w:tcPr>
          <w:p w14:paraId="40CC1417">
            <w:pPr>
              <w:spacing w:line="360" w:lineRule="auto"/>
              <w:contextualSpacing/>
              <w:jc w:val="center"/>
              <w:rPr>
                <w:rFonts w:ascii="宋体" w:hAnsi="宋体"/>
                <w:color w:val="auto"/>
                <w:sz w:val="24"/>
                <w:szCs w:val="20"/>
                <w:highlight w:val="none"/>
              </w:rPr>
            </w:pPr>
          </w:p>
        </w:tc>
      </w:tr>
      <w:tr w14:paraId="5AFB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96" w:type="pct"/>
            <w:vAlign w:val="center"/>
          </w:tcPr>
          <w:p w14:paraId="7CDDBD6D">
            <w:pPr>
              <w:spacing w:line="360" w:lineRule="auto"/>
              <w:contextualSpacing/>
              <w:jc w:val="center"/>
              <w:rPr>
                <w:rFonts w:ascii="宋体" w:hAnsi="宋体"/>
                <w:color w:val="auto"/>
                <w:sz w:val="24"/>
                <w:szCs w:val="20"/>
                <w:highlight w:val="none"/>
              </w:rPr>
            </w:pPr>
          </w:p>
        </w:tc>
        <w:tc>
          <w:tcPr>
            <w:tcW w:w="296" w:type="pct"/>
            <w:vAlign w:val="center"/>
          </w:tcPr>
          <w:p w14:paraId="4DD99F54">
            <w:pPr>
              <w:spacing w:line="360" w:lineRule="auto"/>
              <w:contextualSpacing/>
              <w:jc w:val="center"/>
              <w:rPr>
                <w:rFonts w:ascii="宋体" w:hAnsi="宋体"/>
                <w:color w:val="auto"/>
                <w:sz w:val="24"/>
                <w:szCs w:val="20"/>
                <w:highlight w:val="none"/>
              </w:rPr>
            </w:pPr>
          </w:p>
        </w:tc>
        <w:tc>
          <w:tcPr>
            <w:tcW w:w="520" w:type="pct"/>
            <w:vAlign w:val="center"/>
          </w:tcPr>
          <w:p w14:paraId="48CBADF9">
            <w:pPr>
              <w:spacing w:line="360" w:lineRule="auto"/>
              <w:contextualSpacing/>
              <w:jc w:val="center"/>
              <w:rPr>
                <w:rFonts w:ascii="宋体" w:hAnsi="宋体"/>
                <w:color w:val="auto"/>
                <w:sz w:val="24"/>
                <w:szCs w:val="20"/>
                <w:highlight w:val="none"/>
              </w:rPr>
            </w:pPr>
          </w:p>
        </w:tc>
        <w:tc>
          <w:tcPr>
            <w:tcW w:w="626" w:type="pct"/>
            <w:vAlign w:val="center"/>
          </w:tcPr>
          <w:p w14:paraId="162EB873">
            <w:pPr>
              <w:spacing w:line="360" w:lineRule="auto"/>
              <w:contextualSpacing/>
              <w:jc w:val="center"/>
              <w:rPr>
                <w:rFonts w:ascii="宋体" w:hAnsi="宋体"/>
                <w:color w:val="auto"/>
                <w:sz w:val="24"/>
                <w:szCs w:val="20"/>
                <w:highlight w:val="none"/>
              </w:rPr>
            </w:pPr>
          </w:p>
        </w:tc>
        <w:tc>
          <w:tcPr>
            <w:tcW w:w="897" w:type="pct"/>
            <w:vAlign w:val="center"/>
          </w:tcPr>
          <w:p w14:paraId="1D445B8E">
            <w:pPr>
              <w:spacing w:line="360" w:lineRule="auto"/>
              <w:contextualSpacing/>
              <w:jc w:val="center"/>
              <w:rPr>
                <w:rFonts w:ascii="宋体" w:hAnsi="宋体"/>
                <w:color w:val="auto"/>
                <w:sz w:val="24"/>
                <w:szCs w:val="20"/>
                <w:highlight w:val="none"/>
              </w:rPr>
            </w:pPr>
          </w:p>
        </w:tc>
        <w:tc>
          <w:tcPr>
            <w:tcW w:w="1553" w:type="pct"/>
            <w:vAlign w:val="center"/>
          </w:tcPr>
          <w:p w14:paraId="026605E0">
            <w:pPr>
              <w:spacing w:line="360" w:lineRule="auto"/>
              <w:contextualSpacing/>
              <w:jc w:val="center"/>
              <w:rPr>
                <w:rFonts w:ascii="宋体" w:hAnsi="宋体"/>
                <w:color w:val="auto"/>
                <w:sz w:val="24"/>
                <w:szCs w:val="20"/>
                <w:highlight w:val="none"/>
              </w:rPr>
            </w:pPr>
          </w:p>
        </w:tc>
        <w:tc>
          <w:tcPr>
            <w:tcW w:w="807" w:type="pct"/>
            <w:vAlign w:val="center"/>
          </w:tcPr>
          <w:p w14:paraId="4D7432C2">
            <w:pPr>
              <w:spacing w:line="360" w:lineRule="auto"/>
              <w:contextualSpacing/>
              <w:jc w:val="center"/>
              <w:rPr>
                <w:rFonts w:ascii="宋体" w:hAnsi="宋体"/>
                <w:color w:val="auto"/>
                <w:sz w:val="24"/>
                <w:szCs w:val="20"/>
                <w:highlight w:val="none"/>
              </w:rPr>
            </w:pPr>
          </w:p>
        </w:tc>
      </w:tr>
    </w:tbl>
    <w:p w14:paraId="41066890">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注：1.在填写时，如本表格不适合供应商的实际情况，可根据本表格式自行制表填写。</w:t>
      </w:r>
    </w:p>
    <w:p w14:paraId="53813B78">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2.需提供相关证明材料</w:t>
      </w:r>
    </w:p>
    <w:p w14:paraId="0139EE70">
      <w:pPr>
        <w:spacing w:line="360" w:lineRule="auto"/>
        <w:contextualSpacing/>
        <w:rPr>
          <w:rFonts w:ascii="宋体" w:hAnsi="宋体"/>
          <w:color w:val="auto"/>
          <w:sz w:val="24"/>
          <w:highlight w:val="none"/>
        </w:rPr>
      </w:pPr>
    </w:p>
    <w:p w14:paraId="6AB272D1">
      <w:pPr>
        <w:spacing w:line="360" w:lineRule="auto"/>
        <w:contextualSpacing/>
        <w:rPr>
          <w:rFonts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p>
    <w:p w14:paraId="49EB6C5F">
      <w:pPr>
        <w:spacing w:line="360" w:lineRule="auto"/>
        <w:contextualSpacing/>
        <w:jc w:val="left"/>
        <w:rPr>
          <w:rFonts w:ascii="宋体" w:hAnsi="宋体"/>
          <w:color w:val="auto"/>
          <w:spacing w:val="20"/>
          <w:sz w:val="24"/>
          <w:highlight w:val="none"/>
        </w:rPr>
      </w:pPr>
      <w:r>
        <w:rPr>
          <w:rFonts w:hint="eastAsia" w:ascii="宋体" w:hAnsi="宋体"/>
          <w:color w:val="auto"/>
          <w:spacing w:val="20"/>
          <w:sz w:val="24"/>
          <w:highlight w:val="none"/>
        </w:rPr>
        <w:t>供应商（电子签章）：</w:t>
      </w:r>
    </w:p>
    <w:p w14:paraId="3FD3733E">
      <w:pPr>
        <w:spacing w:line="360" w:lineRule="auto"/>
        <w:contextualSpacing/>
        <w:jc w:val="left"/>
        <w:rPr>
          <w:rFonts w:ascii="宋体" w:hAnsi="宋体"/>
          <w:color w:val="auto"/>
          <w:sz w:val="24"/>
          <w:szCs w:val="20"/>
          <w:highlight w:val="none"/>
        </w:rPr>
      </w:pPr>
      <w:r>
        <w:rPr>
          <w:rFonts w:hint="eastAsia" w:ascii="宋体" w:hAnsi="宋体"/>
          <w:color w:val="auto"/>
          <w:spacing w:val="20"/>
          <w:sz w:val="24"/>
          <w:highlight w:val="none"/>
        </w:rPr>
        <w:t>日期：</w:t>
      </w:r>
    </w:p>
    <w:p w14:paraId="5F526D8A">
      <w:pPr>
        <w:snapToGrid w:val="0"/>
        <w:spacing w:before="50" w:after="50" w:line="360" w:lineRule="auto"/>
        <w:ind w:right="-817" w:rightChars="-389" w:firstLine="5461" w:firstLineChars="1700"/>
        <w:rPr>
          <w:rFonts w:ascii="仿宋_GB2312" w:hAnsi="仿宋_GB2312" w:eastAsia="仿宋_GB2312" w:cs="仿宋_GB2312"/>
          <w:b/>
          <w:color w:val="auto"/>
          <w:sz w:val="32"/>
          <w:szCs w:val="32"/>
          <w:highlight w:val="none"/>
        </w:rPr>
      </w:pPr>
    </w:p>
    <w:p w14:paraId="3F7A4A8F">
      <w:pPr>
        <w:rPr>
          <w:rFonts w:ascii="宋体" w:hAnsi="宋体"/>
          <w:b/>
          <w:color w:val="auto"/>
          <w:sz w:val="24"/>
          <w:highlight w:val="none"/>
        </w:rPr>
      </w:pPr>
      <w:r>
        <w:rPr>
          <w:rFonts w:hint="eastAsia" w:ascii="宋体" w:hAnsi="宋体"/>
          <w:b/>
          <w:color w:val="auto"/>
          <w:sz w:val="24"/>
          <w:highlight w:val="none"/>
        </w:rPr>
        <w:br w:type="page"/>
      </w:r>
    </w:p>
    <w:p w14:paraId="4622B02D">
      <w:pPr>
        <w:snapToGrid w:val="0"/>
        <w:spacing w:before="156" w:beforeLines="50" w:after="50"/>
        <w:ind w:left="142"/>
        <w:jc w:val="left"/>
        <w:rPr>
          <w:rFonts w:ascii="宋体" w:hAnsi="宋体"/>
          <w:b/>
          <w:color w:val="auto"/>
          <w:sz w:val="24"/>
          <w:highlight w:val="none"/>
        </w:rPr>
      </w:pPr>
      <w:r>
        <w:rPr>
          <w:rFonts w:hint="eastAsia" w:ascii="宋体" w:hAnsi="宋体"/>
          <w:b/>
          <w:color w:val="auto"/>
          <w:sz w:val="24"/>
          <w:highlight w:val="none"/>
        </w:rPr>
        <w:t>供应商业绩证明材料</w:t>
      </w:r>
    </w:p>
    <w:p w14:paraId="5334F4AF">
      <w:pPr>
        <w:pStyle w:val="28"/>
        <w:snapToGrid w:val="0"/>
        <w:ind w:left="480" w:hanging="480"/>
        <w:rPr>
          <w:rFonts w:ascii="宋体" w:hAnsi="宋体"/>
          <w:color w:val="auto"/>
          <w:sz w:val="24"/>
          <w:highlight w:val="none"/>
        </w:rPr>
      </w:pPr>
    </w:p>
    <w:p w14:paraId="6E62AE64">
      <w:pPr>
        <w:spacing w:line="360" w:lineRule="auto"/>
        <w:ind w:left="142"/>
        <w:contextualSpacing/>
        <w:jc w:val="center"/>
        <w:rPr>
          <w:rFonts w:ascii="宋体" w:hAnsi="宋体"/>
          <w:b/>
          <w:color w:val="auto"/>
          <w:sz w:val="32"/>
          <w:szCs w:val="32"/>
          <w:highlight w:val="none"/>
        </w:rPr>
      </w:pPr>
      <w:r>
        <w:rPr>
          <w:rFonts w:hint="eastAsia" w:ascii="宋体" w:hAnsi="宋体"/>
          <w:b/>
          <w:color w:val="auto"/>
          <w:sz w:val="32"/>
          <w:szCs w:val="32"/>
          <w:highlight w:val="none"/>
        </w:rPr>
        <w:t xml:space="preserve">供应商业绩情况一览表 </w:t>
      </w:r>
    </w:p>
    <w:tbl>
      <w:tblPr>
        <w:tblStyle w:val="3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492"/>
        <w:gridCol w:w="2067"/>
        <w:gridCol w:w="2067"/>
        <w:gridCol w:w="1668"/>
        <w:gridCol w:w="1668"/>
      </w:tblGrid>
      <w:tr w14:paraId="365BB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23" w:hRule="atLeast"/>
        </w:trPr>
        <w:tc>
          <w:tcPr>
            <w:tcW w:w="1250" w:type="pct"/>
            <w:tcBorders>
              <w:top w:val="single" w:color="auto" w:sz="4" w:space="0"/>
              <w:left w:val="single" w:color="auto" w:sz="4" w:space="0"/>
              <w:bottom w:val="single" w:color="auto" w:sz="4" w:space="0"/>
              <w:right w:val="single" w:color="auto" w:sz="4" w:space="0"/>
            </w:tcBorders>
            <w:vAlign w:val="center"/>
          </w:tcPr>
          <w:p w14:paraId="129F9D02">
            <w:pPr>
              <w:snapToGrid w:val="0"/>
              <w:jc w:val="center"/>
              <w:rPr>
                <w:rFonts w:ascii="宋体" w:hAnsi="宋体"/>
                <w:color w:val="auto"/>
                <w:sz w:val="24"/>
                <w:highlight w:val="none"/>
              </w:rPr>
            </w:pPr>
            <w:r>
              <w:rPr>
                <w:rFonts w:hint="eastAsia" w:ascii="宋体" w:hAnsi="宋体"/>
                <w:color w:val="auto"/>
                <w:sz w:val="24"/>
                <w:highlight w:val="none"/>
              </w:rPr>
              <w:t>采购人名称</w:t>
            </w:r>
          </w:p>
        </w:tc>
        <w:tc>
          <w:tcPr>
            <w:tcW w:w="1037" w:type="pct"/>
            <w:tcBorders>
              <w:top w:val="single" w:color="auto" w:sz="4" w:space="0"/>
              <w:left w:val="single" w:color="auto" w:sz="4" w:space="0"/>
              <w:bottom w:val="single" w:color="auto" w:sz="4" w:space="0"/>
              <w:right w:val="single" w:color="auto" w:sz="4" w:space="0"/>
            </w:tcBorders>
            <w:vAlign w:val="center"/>
          </w:tcPr>
          <w:p w14:paraId="20475759">
            <w:pPr>
              <w:snapToGrid w:val="0"/>
              <w:jc w:val="center"/>
              <w:rPr>
                <w:rFonts w:ascii="宋体" w:hAnsi="宋体"/>
                <w:color w:val="auto"/>
                <w:sz w:val="24"/>
                <w:highlight w:val="none"/>
              </w:rPr>
            </w:pPr>
            <w:r>
              <w:rPr>
                <w:rFonts w:hint="eastAsia" w:ascii="宋体" w:hAnsi="宋体"/>
                <w:color w:val="auto"/>
                <w:sz w:val="24"/>
                <w:highlight w:val="none"/>
              </w:rPr>
              <w:t>项目名称</w:t>
            </w:r>
          </w:p>
        </w:tc>
        <w:tc>
          <w:tcPr>
            <w:tcW w:w="1037" w:type="pct"/>
            <w:tcBorders>
              <w:top w:val="single" w:color="auto" w:sz="4" w:space="0"/>
              <w:left w:val="single" w:color="auto" w:sz="4" w:space="0"/>
              <w:bottom w:val="single" w:color="auto" w:sz="4" w:space="0"/>
              <w:right w:val="single" w:color="auto" w:sz="4" w:space="0"/>
            </w:tcBorders>
            <w:vAlign w:val="center"/>
          </w:tcPr>
          <w:p w14:paraId="12A3387F">
            <w:pPr>
              <w:snapToGrid w:val="0"/>
              <w:jc w:val="center"/>
              <w:rPr>
                <w:rFonts w:ascii="宋体" w:hAnsi="宋体"/>
                <w:color w:val="auto"/>
                <w:sz w:val="24"/>
                <w:highlight w:val="none"/>
              </w:rPr>
            </w:pPr>
            <w:r>
              <w:rPr>
                <w:rFonts w:hint="eastAsia" w:ascii="宋体" w:hAnsi="宋体"/>
                <w:color w:val="auto"/>
                <w:sz w:val="24"/>
                <w:highlight w:val="none"/>
              </w:rPr>
              <w:t>合同金额</w:t>
            </w:r>
          </w:p>
          <w:p w14:paraId="42209A1C">
            <w:pPr>
              <w:snapToGrid w:val="0"/>
              <w:jc w:val="center"/>
              <w:rPr>
                <w:rFonts w:ascii="宋体" w:hAnsi="宋体"/>
                <w:color w:val="auto"/>
                <w:sz w:val="24"/>
                <w:highlight w:val="none"/>
              </w:rPr>
            </w:pPr>
            <w:r>
              <w:rPr>
                <w:rFonts w:hint="eastAsia" w:ascii="宋体" w:hAnsi="宋体"/>
                <w:color w:val="auto"/>
                <w:sz w:val="24"/>
                <w:highlight w:val="none"/>
              </w:rPr>
              <w:t>（万元）</w:t>
            </w:r>
          </w:p>
        </w:tc>
        <w:tc>
          <w:tcPr>
            <w:tcW w:w="837" w:type="pct"/>
            <w:tcBorders>
              <w:top w:val="single" w:color="auto" w:sz="4" w:space="0"/>
              <w:left w:val="single" w:color="auto" w:sz="4" w:space="0"/>
              <w:right w:val="single" w:color="auto" w:sz="4" w:space="0"/>
            </w:tcBorders>
            <w:vAlign w:val="center"/>
          </w:tcPr>
          <w:p w14:paraId="1813AE6E">
            <w:pPr>
              <w:snapToGrid w:val="0"/>
              <w:jc w:val="center"/>
              <w:rPr>
                <w:rFonts w:ascii="宋体" w:hAnsi="宋体"/>
                <w:color w:val="auto"/>
                <w:sz w:val="24"/>
                <w:highlight w:val="none"/>
              </w:rPr>
            </w:pPr>
            <w:r>
              <w:rPr>
                <w:rFonts w:hint="eastAsia" w:ascii="宋体" w:hAnsi="宋体"/>
                <w:color w:val="auto"/>
                <w:sz w:val="24"/>
                <w:highlight w:val="none"/>
              </w:rPr>
              <w:t>采购人联系人及联系电话</w:t>
            </w:r>
          </w:p>
        </w:tc>
        <w:tc>
          <w:tcPr>
            <w:tcW w:w="837" w:type="pct"/>
            <w:tcBorders>
              <w:top w:val="single" w:color="auto" w:sz="4" w:space="0"/>
              <w:left w:val="single" w:color="auto" w:sz="4" w:space="0"/>
              <w:bottom w:val="single" w:color="auto" w:sz="4" w:space="0"/>
              <w:right w:val="single" w:color="auto" w:sz="4" w:space="0"/>
            </w:tcBorders>
            <w:vAlign w:val="center"/>
          </w:tcPr>
          <w:p w14:paraId="122ACC53">
            <w:pPr>
              <w:snapToGrid w:val="0"/>
              <w:jc w:val="center"/>
              <w:rPr>
                <w:rFonts w:ascii="宋体" w:hAnsi="宋体"/>
                <w:color w:val="auto"/>
                <w:sz w:val="24"/>
                <w:highlight w:val="none"/>
              </w:rPr>
            </w:pPr>
            <w:r>
              <w:rPr>
                <w:rFonts w:hint="eastAsia" w:ascii="宋体" w:hAnsi="宋体"/>
                <w:color w:val="auto"/>
                <w:sz w:val="24"/>
                <w:highlight w:val="none"/>
              </w:rPr>
              <w:t>中标（成交）通知书或合同签订日期</w:t>
            </w:r>
          </w:p>
        </w:tc>
      </w:tr>
      <w:tr w14:paraId="0D4B3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tcPr>
          <w:p w14:paraId="00D5DBAA">
            <w:pPr>
              <w:snapToGrid w:val="0"/>
              <w:jc w:val="left"/>
              <w:rPr>
                <w:rFonts w:ascii="宋体" w:hAnsi="宋体"/>
                <w:color w:val="auto"/>
                <w:sz w:val="24"/>
                <w:highlight w:val="none"/>
              </w:rPr>
            </w:pPr>
          </w:p>
        </w:tc>
        <w:tc>
          <w:tcPr>
            <w:tcW w:w="1037" w:type="pct"/>
            <w:tcBorders>
              <w:top w:val="single" w:color="auto" w:sz="4" w:space="0"/>
              <w:left w:val="single" w:color="auto" w:sz="4" w:space="0"/>
              <w:bottom w:val="single" w:color="auto" w:sz="4" w:space="0"/>
              <w:right w:val="single" w:color="auto" w:sz="4" w:space="0"/>
            </w:tcBorders>
          </w:tcPr>
          <w:p w14:paraId="14B5EBC8">
            <w:pPr>
              <w:snapToGrid w:val="0"/>
              <w:jc w:val="left"/>
              <w:rPr>
                <w:rFonts w:ascii="宋体" w:hAnsi="宋体"/>
                <w:color w:val="auto"/>
                <w:sz w:val="24"/>
                <w:highlight w:val="none"/>
              </w:rPr>
            </w:pPr>
          </w:p>
        </w:tc>
        <w:tc>
          <w:tcPr>
            <w:tcW w:w="1037" w:type="pct"/>
            <w:tcBorders>
              <w:top w:val="single" w:color="auto" w:sz="4" w:space="0"/>
              <w:left w:val="single" w:color="auto" w:sz="4" w:space="0"/>
              <w:bottom w:val="single" w:color="auto" w:sz="4" w:space="0"/>
              <w:right w:val="single" w:color="auto" w:sz="4" w:space="0"/>
            </w:tcBorders>
          </w:tcPr>
          <w:p w14:paraId="525946BC">
            <w:pPr>
              <w:snapToGrid w:val="0"/>
              <w:jc w:val="left"/>
              <w:rPr>
                <w:rFonts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tcPr>
          <w:p w14:paraId="4CC7D924">
            <w:pPr>
              <w:snapToGrid w:val="0"/>
              <w:jc w:val="left"/>
              <w:rPr>
                <w:rFonts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tcPr>
          <w:p w14:paraId="456F76C6">
            <w:pPr>
              <w:snapToGrid w:val="0"/>
              <w:jc w:val="left"/>
              <w:rPr>
                <w:rFonts w:ascii="宋体" w:hAnsi="宋体"/>
                <w:color w:val="auto"/>
                <w:sz w:val="24"/>
                <w:highlight w:val="none"/>
              </w:rPr>
            </w:pPr>
          </w:p>
        </w:tc>
      </w:tr>
      <w:tr w14:paraId="538B7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4C4DE67E">
            <w:pPr>
              <w:snapToGrid w:val="0"/>
              <w:spacing w:before="50" w:after="156" w:afterLines="50"/>
              <w:jc w:val="left"/>
              <w:rPr>
                <w:rFonts w:ascii="宋体" w:hAnsi="宋体"/>
                <w:color w:val="auto"/>
                <w:sz w:val="24"/>
                <w:highlight w:val="none"/>
              </w:rPr>
            </w:pPr>
          </w:p>
        </w:tc>
        <w:tc>
          <w:tcPr>
            <w:tcW w:w="1037" w:type="pct"/>
            <w:tcBorders>
              <w:top w:val="single" w:color="auto" w:sz="4" w:space="0"/>
              <w:left w:val="single" w:color="auto" w:sz="4" w:space="0"/>
              <w:bottom w:val="single" w:color="auto" w:sz="4" w:space="0"/>
              <w:right w:val="single" w:color="auto" w:sz="4" w:space="0"/>
            </w:tcBorders>
          </w:tcPr>
          <w:p w14:paraId="6C8F94A0">
            <w:pPr>
              <w:snapToGrid w:val="0"/>
              <w:spacing w:before="50" w:after="156" w:afterLines="50"/>
              <w:jc w:val="left"/>
              <w:rPr>
                <w:rFonts w:ascii="宋体" w:hAnsi="宋体"/>
                <w:color w:val="auto"/>
                <w:sz w:val="24"/>
                <w:highlight w:val="none"/>
              </w:rPr>
            </w:pPr>
          </w:p>
        </w:tc>
        <w:tc>
          <w:tcPr>
            <w:tcW w:w="1037" w:type="pct"/>
            <w:tcBorders>
              <w:top w:val="single" w:color="auto" w:sz="4" w:space="0"/>
              <w:left w:val="single" w:color="auto" w:sz="4" w:space="0"/>
              <w:bottom w:val="single" w:color="auto" w:sz="4" w:space="0"/>
              <w:right w:val="single" w:color="auto" w:sz="4" w:space="0"/>
            </w:tcBorders>
          </w:tcPr>
          <w:p w14:paraId="7AB22D20">
            <w:pPr>
              <w:snapToGrid w:val="0"/>
              <w:spacing w:before="50" w:after="156" w:afterLines="50"/>
              <w:jc w:val="left"/>
              <w:rPr>
                <w:rFonts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tcPr>
          <w:p w14:paraId="44A3A535">
            <w:pPr>
              <w:snapToGrid w:val="0"/>
              <w:spacing w:before="50" w:after="156" w:afterLines="50"/>
              <w:jc w:val="left"/>
              <w:rPr>
                <w:rFonts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tcPr>
          <w:p w14:paraId="3F64845E">
            <w:pPr>
              <w:snapToGrid w:val="0"/>
              <w:spacing w:before="50" w:after="156" w:afterLines="50"/>
              <w:jc w:val="left"/>
              <w:rPr>
                <w:rFonts w:ascii="宋体" w:hAnsi="宋体"/>
                <w:color w:val="auto"/>
                <w:sz w:val="24"/>
                <w:highlight w:val="none"/>
              </w:rPr>
            </w:pPr>
          </w:p>
        </w:tc>
      </w:tr>
      <w:tr w14:paraId="053AD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tcPr>
          <w:p w14:paraId="40BACB17">
            <w:pPr>
              <w:snapToGrid w:val="0"/>
              <w:spacing w:before="50" w:after="156" w:afterLines="50"/>
              <w:jc w:val="left"/>
              <w:rPr>
                <w:rFonts w:ascii="宋体" w:hAnsi="宋体"/>
                <w:color w:val="auto"/>
                <w:sz w:val="24"/>
                <w:highlight w:val="none"/>
              </w:rPr>
            </w:pPr>
          </w:p>
        </w:tc>
        <w:tc>
          <w:tcPr>
            <w:tcW w:w="1037" w:type="pct"/>
            <w:tcBorders>
              <w:top w:val="single" w:color="auto" w:sz="4" w:space="0"/>
              <w:left w:val="single" w:color="auto" w:sz="4" w:space="0"/>
              <w:bottom w:val="single" w:color="auto" w:sz="4" w:space="0"/>
              <w:right w:val="single" w:color="auto" w:sz="4" w:space="0"/>
            </w:tcBorders>
          </w:tcPr>
          <w:p w14:paraId="0E478365">
            <w:pPr>
              <w:snapToGrid w:val="0"/>
              <w:spacing w:before="50" w:after="156" w:afterLines="50"/>
              <w:jc w:val="left"/>
              <w:rPr>
                <w:rFonts w:ascii="宋体" w:hAnsi="宋体"/>
                <w:color w:val="auto"/>
                <w:sz w:val="24"/>
                <w:highlight w:val="none"/>
              </w:rPr>
            </w:pPr>
          </w:p>
        </w:tc>
        <w:tc>
          <w:tcPr>
            <w:tcW w:w="1037" w:type="pct"/>
            <w:tcBorders>
              <w:top w:val="single" w:color="auto" w:sz="4" w:space="0"/>
              <w:left w:val="single" w:color="auto" w:sz="4" w:space="0"/>
              <w:bottom w:val="single" w:color="auto" w:sz="4" w:space="0"/>
              <w:right w:val="single" w:color="auto" w:sz="4" w:space="0"/>
            </w:tcBorders>
          </w:tcPr>
          <w:p w14:paraId="2E6B1B30">
            <w:pPr>
              <w:snapToGrid w:val="0"/>
              <w:spacing w:before="50" w:after="156" w:afterLines="50"/>
              <w:jc w:val="left"/>
              <w:rPr>
                <w:rFonts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tcPr>
          <w:p w14:paraId="4B29417E">
            <w:pPr>
              <w:snapToGrid w:val="0"/>
              <w:spacing w:before="50" w:after="156" w:afterLines="50"/>
              <w:jc w:val="left"/>
              <w:rPr>
                <w:rFonts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tcPr>
          <w:p w14:paraId="04CC2F19">
            <w:pPr>
              <w:snapToGrid w:val="0"/>
              <w:spacing w:before="50" w:after="156" w:afterLines="50"/>
              <w:jc w:val="left"/>
              <w:rPr>
                <w:rFonts w:ascii="宋体" w:hAnsi="宋体"/>
                <w:color w:val="auto"/>
                <w:sz w:val="24"/>
                <w:highlight w:val="none"/>
              </w:rPr>
            </w:pPr>
          </w:p>
        </w:tc>
      </w:tr>
      <w:tr w14:paraId="4D0652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3B48276F">
            <w:pPr>
              <w:snapToGrid w:val="0"/>
              <w:spacing w:before="50" w:after="156" w:afterLines="50"/>
              <w:jc w:val="left"/>
              <w:rPr>
                <w:rFonts w:ascii="宋体" w:hAnsi="宋体"/>
                <w:color w:val="auto"/>
                <w:sz w:val="24"/>
                <w:highlight w:val="none"/>
              </w:rPr>
            </w:pPr>
          </w:p>
        </w:tc>
        <w:tc>
          <w:tcPr>
            <w:tcW w:w="1037" w:type="pct"/>
            <w:tcBorders>
              <w:top w:val="single" w:color="auto" w:sz="4" w:space="0"/>
              <w:left w:val="single" w:color="auto" w:sz="4" w:space="0"/>
              <w:bottom w:val="single" w:color="auto" w:sz="4" w:space="0"/>
              <w:right w:val="single" w:color="auto" w:sz="4" w:space="0"/>
            </w:tcBorders>
          </w:tcPr>
          <w:p w14:paraId="7ABC77AC">
            <w:pPr>
              <w:snapToGrid w:val="0"/>
              <w:spacing w:before="50" w:after="156" w:afterLines="50"/>
              <w:jc w:val="left"/>
              <w:rPr>
                <w:rFonts w:ascii="宋体" w:hAnsi="宋体"/>
                <w:color w:val="auto"/>
                <w:sz w:val="24"/>
                <w:highlight w:val="none"/>
              </w:rPr>
            </w:pPr>
          </w:p>
        </w:tc>
        <w:tc>
          <w:tcPr>
            <w:tcW w:w="1037" w:type="pct"/>
            <w:tcBorders>
              <w:top w:val="single" w:color="auto" w:sz="4" w:space="0"/>
              <w:left w:val="single" w:color="auto" w:sz="4" w:space="0"/>
              <w:bottom w:val="single" w:color="auto" w:sz="4" w:space="0"/>
              <w:right w:val="single" w:color="auto" w:sz="4" w:space="0"/>
            </w:tcBorders>
          </w:tcPr>
          <w:p w14:paraId="5FA23896">
            <w:pPr>
              <w:snapToGrid w:val="0"/>
              <w:spacing w:before="50" w:after="156" w:afterLines="50"/>
              <w:jc w:val="left"/>
              <w:rPr>
                <w:rFonts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tcPr>
          <w:p w14:paraId="2B6E1CC0">
            <w:pPr>
              <w:snapToGrid w:val="0"/>
              <w:spacing w:before="50" w:after="156" w:afterLines="50"/>
              <w:jc w:val="left"/>
              <w:rPr>
                <w:rFonts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tcPr>
          <w:p w14:paraId="13174868">
            <w:pPr>
              <w:snapToGrid w:val="0"/>
              <w:spacing w:before="50" w:after="156" w:afterLines="50"/>
              <w:jc w:val="left"/>
              <w:rPr>
                <w:rFonts w:ascii="宋体" w:hAnsi="宋体"/>
                <w:color w:val="auto"/>
                <w:sz w:val="24"/>
                <w:highlight w:val="none"/>
              </w:rPr>
            </w:pPr>
          </w:p>
        </w:tc>
      </w:tr>
      <w:tr w14:paraId="7A737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39D17A19">
            <w:pPr>
              <w:snapToGrid w:val="0"/>
              <w:spacing w:before="50" w:after="156" w:afterLines="50"/>
              <w:jc w:val="left"/>
              <w:rPr>
                <w:rFonts w:ascii="宋体" w:hAnsi="宋体"/>
                <w:color w:val="auto"/>
                <w:sz w:val="24"/>
                <w:highlight w:val="none"/>
              </w:rPr>
            </w:pPr>
          </w:p>
        </w:tc>
        <w:tc>
          <w:tcPr>
            <w:tcW w:w="1037" w:type="pct"/>
            <w:tcBorders>
              <w:top w:val="single" w:color="auto" w:sz="4" w:space="0"/>
              <w:left w:val="single" w:color="auto" w:sz="4" w:space="0"/>
              <w:bottom w:val="single" w:color="auto" w:sz="4" w:space="0"/>
              <w:right w:val="single" w:color="auto" w:sz="4" w:space="0"/>
            </w:tcBorders>
          </w:tcPr>
          <w:p w14:paraId="33E50F03">
            <w:pPr>
              <w:snapToGrid w:val="0"/>
              <w:spacing w:before="50" w:after="156" w:afterLines="50"/>
              <w:jc w:val="left"/>
              <w:rPr>
                <w:rFonts w:ascii="宋体" w:hAnsi="宋体"/>
                <w:color w:val="auto"/>
                <w:sz w:val="24"/>
                <w:highlight w:val="none"/>
              </w:rPr>
            </w:pPr>
          </w:p>
        </w:tc>
        <w:tc>
          <w:tcPr>
            <w:tcW w:w="1037" w:type="pct"/>
            <w:tcBorders>
              <w:top w:val="single" w:color="auto" w:sz="4" w:space="0"/>
              <w:left w:val="single" w:color="auto" w:sz="4" w:space="0"/>
              <w:bottom w:val="single" w:color="auto" w:sz="4" w:space="0"/>
              <w:right w:val="single" w:color="auto" w:sz="4" w:space="0"/>
            </w:tcBorders>
          </w:tcPr>
          <w:p w14:paraId="6C079972">
            <w:pPr>
              <w:snapToGrid w:val="0"/>
              <w:spacing w:before="50" w:after="156" w:afterLines="50"/>
              <w:jc w:val="left"/>
              <w:rPr>
                <w:rFonts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tcPr>
          <w:p w14:paraId="43664D00">
            <w:pPr>
              <w:snapToGrid w:val="0"/>
              <w:spacing w:before="50" w:after="156" w:afterLines="50"/>
              <w:jc w:val="left"/>
              <w:rPr>
                <w:rFonts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tcPr>
          <w:p w14:paraId="6A589151">
            <w:pPr>
              <w:snapToGrid w:val="0"/>
              <w:spacing w:before="50" w:after="156" w:afterLines="50"/>
              <w:jc w:val="left"/>
              <w:rPr>
                <w:rFonts w:ascii="宋体" w:hAnsi="宋体"/>
                <w:color w:val="auto"/>
                <w:sz w:val="24"/>
                <w:highlight w:val="none"/>
              </w:rPr>
            </w:pPr>
          </w:p>
        </w:tc>
      </w:tr>
    </w:tbl>
    <w:p w14:paraId="71692581">
      <w:pPr>
        <w:pStyle w:val="14"/>
        <w:contextualSpacing/>
        <w:rPr>
          <w:rFonts w:ascii="宋体" w:hAnsi="宋体" w:eastAsia="宋体"/>
          <w:color w:val="auto"/>
          <w:sz w:val="24"/>
          <w:szCs w:val="24"/>
          <w:highlight w:val="none"/>
        </w:rPr>
      </w:pPr>
    </w:p>
    <w:p w14:paraId="578A16B1">
      <w:pPr>
        <w:pStyle w:val="14"/>
        <w:contextualSpacing/>
        <w:jc w:val="left"/>
        <w:rPr>
          <w:rFonts w:ascii="宋体" w:hAnsi="宋体" w:eastAsia="宋体"/>
          <w:color w:val="auto"/>
          <w:sz w:val="24"/>
          <w:szCs w:val="24"/>
          <w:highlight w:val="none"/>
        </w:rPr>
      </w:pPr>
      <w:r>
        <w:rPr>
          <w:rFonts w:hint="eastAsia" w:ascii="宋体" w:hAnsi="宋体" w:eastAsia="宋体"/>
          <w:color w:val="auto"/>
          <w:sz w:val="24"/>
          <w:szCs w:val="24"/>
          <w:highlight w:val="none"/>
        </w:rPr>
        <w:t>注：</w:t>
      </w:r>
      <w:r>
        <w:rPr>
          <w:rFonts w:hint="eastAsia" w:ascii="宋体" w:hAnsi="宋体" w:eastAsia="宋体"/>
          <w:color w:val="auto"/>
          <w:sz w:val="24"/>
          <w:highlight w:val="none"/>
        </w:rPr>
        <w:t>供应商</w:t>
      </w:r>
      <w:r>
        <w:rPr>
          <w:rFonts w:hint="eastAsia" w:ascii="宋体" w:hAnsi="宋体"/>
          <w:color w:val="auto"/>
          <w:sz w:val="24"/>
          <w:highlight w:val="none"/>
        </w:rPr>
        <w:t>根据评标标准具体要求附业绩证明材料。</w:t>
      </w:r>
    </w:p>
    <w:p w14:paraId="0217123C">
      <w:pPr>
        <w:pStyle w:val="14"/>
        <w:contextualSpacing/>
        <w:jc w:val="left"/>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法定代表人（负责人）或者委托代理人（签字或者电子签名）：</w:t>
      </w:r>
      <w:r>
        <w:rPr>
          <w:rFonts w:hint="eastAsia" w:ascii="宋体" w:hAnsi="宋体" w:eastAsia="宋体"/>
          <w:color w:val="auto"/>
          <w:sz w:val="24"/>
          <w:szCs w:val="24"/>
          <w:highlight w:val="none"/>
          <w:u w:val="single"/>
        </w:rPr>
        <w:t>　　　　　</w:t>
      </w:r>
    </w:p>
    <w:p w14:paraId="4F8DF021">
      <w:pPr>
        <w:spacing w:line="360" w:lineRule="auto"/>
        <w:ind w:right="480"/>
        <w:contextualSpacing/>
        <w:jc w:val="left"/>
        <w:rPr>
          <w:rFonts w:ascii="宋体" w:hAnsi="宋体"/>
          <w:color w:val="auto"/>
          <w:sz w:val="24"/>
          <w:szCs w:val="20"/>
          <w:highlight w:val="none"/>
        </w:rPr>
      </w:pPr>
      <w:r>
        <w:rPr>
          <w:rFonts w:hint="eastAsia" w:ascii="宋体" w:hAnsi="宋体" w:cs="Arial"/>
          <w:color w:val="auto"/>
          <w:sz w:val="24"/>
          <w:highlight w:val="none"/>
        </w:rPr>
        <w:t xml:space="preserve">供应商名称（电子签章）：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月    日</w:t>
      </w:r>
    </w:p>
    <w:p w14:paraId="31A2D42F">
      <w:pPr>
        <w:spacing w:line="300" w:lineRule="auto"/>
        <w:rPr>
          <w:rFonts w:ascii="宋体" w:hAnsi="宋体"/>
          <w:color w:val="auto"/>
          <w:szCs w:val="21"/>
          <w:highlight w:val="none"/>
        </w:rPr>
      </w:pPr>
      <w:r>
        <w:rPr>
          <w:rFonts w:ascii="宋体" w:hAnsi="宋体"/>
          <w:b/>
          <w:bCs/>
          <w:color w:val="auto"/>
          <w:sz w:val="24"/>
          <w:highlight w:val="none"/>
        </w:rPr>
        <w:br w:type="page"/>
      </w:r>
      <w:r>
        <w:rPr>
          <w:rFonts w:hint="eastAsia" w:ascii="宋体" w:hAnsi="宋体"/>
          <w:b/>
          <w:bCs/>
          <w:color w:val="auto"/>
          <w:sz w:val="24"/>
          <w:highlight w:val="none"/>
        </w:rPr>
        <w:t>其他文书、文件格式</w:t>
      </w:r>
    </w:p>
    <w:p w14:paraId="1A3103AF">
      <w:pPr>
        <w:spacing w:line="360" w:lineRule="auto"/>
        <w:jc w:val="center"/>
        <w:rPr>
          <w:rFonts w:ascii="宋体" w:hAnsi="宋体" w:cs="仿宋_GB2312"/>
          <w:color w:val="auto"/>
          <w:sz w:val="24"/>
          <w:highlight w:val="none"/>
        </w:rPr>
      </w:pPr>
    </w:p>
    <w:p w14:paraId="366247AE">
      <w:pPr>
        <w:spacing w:line="360" w:lineRule="auto"/>
        <w:jc w:val="center"/>
        <w:rPr>
          <w:rFonts w:ascii="宋体" w:hAnsi="宋体"/>
          <w:b/>
          <w:bCs/>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质疑函（格式）</w:t>
      </w:r>
    </w:p>
    <w:p w14:paraId="0811D854">
      <w:pPr>
        <w:pStyle w:val="23"/>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一、质疑供应商基本信息：</w:t>
      </w:r>
    </w:p>
    <w:p w14:paraId="4E39CB4D">
      <w:pPr>
        <w:pStyle w:val="23"/>
        <w:spacing w:line="360" w:lineRule="auto"/>
        <w:ind w:firstLine="480" w:firstLineChars="200"/>
        <w:contextualSpacing/>
        <w:rPr>
          <w:rFonts w:hAnsi="宋体"/>
          <w:bCs/>
          <w:color w:val="auto"/>
          <w:sz w:val="24"/>
          <w:szCs w:val="24"/>
          <w:highlight w:val="none"/>
          <w:u w:val="single"/>
        </w:rPr>
      </w:pPr>
      <w:r>
        <w:rPr>
          <w:rFonts w:hint="eastAsia" w:hAnsi="宋体"/>
          <w:bCs/>
          <w:color w:val="auto"/>
          <w:sz w:val="24"/>
          <w:szCs w:val="24"/>
          <w:highlight w:val="none"/>
        </w:rPr>
        <w:t>质疑供应商：</w:t>
      </w:r>
    </w:p>
    <w:p w14:paraId="08F1E708">
      <w:pPr>
        <w:pStyle w:val="23"/>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487BDAB0">
      <w:pPr>
        <w:pStyle w:val="23"/>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Ansi="宋体"/>
          <w:bCs/>
          <w:color w:val="auto"/>
          <w:sz w:val="24"/>
          <w:szCs w:val="24"/>
          <w:highlight w:val="none"/>
        </w:rPr>
        <w:t>联系电话</w:t>
      </w:r>
      <w:r>
        <w:rPr>
          <w:rFonts w:hint="eastAsia" w:hAnsi="宋体"/>
          <w:bCs/>
          <w:color w:val="auto"/>
          <w:sz w:val="24"/>
          <w:szCs w:val="24"/>
          <w:highlight w:val="none"/>
        </w:rPr>
        <w:t>：</w:t>
      </w:r>
    </w:p>
    <w:p w14:paraId="58F1CF6F">
      <w:pPr>
        <w:pStyle w:val="23"/>
        <w:spacing w:line="360" w:lineRule="auto"/>
        <w:ind w:firstLine="480" w:firstLineChars="200"/>
        <w:contextualSpacing/>
        <w:rPr>
          <w:rFonts w:hAnsi="宋体"/>
          <w:bCs/>
          <w:color w:val="auto"/>
          <w:sz w:val="24"/>
          <w:szCs w:val="24"/>
          <w:highlight w:val="none"/>
        </w:rPr>
      </w:pPr>
      <w:r>
        <w:rPr>
          <w:rFonts w:hint="eastAsia" w:hAnsi="宋体"/>
          <w:bCs/>
          <w:color w:val="auto"/>
          <w:sz w:val="24"/>
          <w:szCs w:val="24"/>
          <w:highlight w:val="none"/>
        </w:rPr>
        <w:t>授权代表：</w:t>
      </w:r>
    </w:p>
    <w:p w14:paraId="30B1BFCA">
      <w:pPr>
        <w:pStyle w:val="23"/>
        <w:spacing w:line="360" w:lineRule="auto"/>
        <w:ind w:firstLine="480" w:firstLineChars="200"/>
        <w:contextualSpacing/>
        <w:rPr>
          <w:rFonts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p>
    <w:p w14:paraId="6B03D864">
      <w:pPr>
        <w:pStyle w:val="23"/>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002F892C">
      <w:pPr>
        <w:pStyle w:val="23"/>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二、质疑项目基本情况：</w:t>
      </w:r>
    </w:p>
    <w:p w14:paraId="68ACEB61">
      <w:pPr>
        <w:pStyle w:val="23"/>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p>
    <w:p w14:paraId="129B55A0">
      <w:pPr>
        <w:pStyle w:val="23"/>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p>
    <w:p w14:paraId="2D31582A">
      <w:pPr>
        <w:pStyle w:val="23"/>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采购人名称：</w:t>
      </w:r>
    </w:p>
    <w:p w14:paraId="35278CB2">
      <w:pPr>
        <w:pStyle w:val="23"/>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w:t>
      </w:r>
    </w:p>
    <w:p w14:paraId="4178A9F3">
      <w:pPr>
        <w:pStyle w:val="23"/>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□采购文件采购文件获取日期：</w:t>
      </w:r>
    </w:p>
    <w:p w14:paraId="169FCFD2">
      <w:pPr>
        <w:pStyle w:val="23"/>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□采购过程</w:t>
      </w:r>
    </w:p>
    <w:p w14:paraId="079A92E9">
      <w:pPr>
        <w:pStyle w:val="23"/>
        <w:spacing w:line="360" w:lineRule="auto"/>
        <w:ind w:left="25" w:leftChars="12" w:firstLine="352" w:firstLineChars="147"/>
        <w:contextualSpacing/>
        <w:rPr>
          <w:rFonts w:hAnsi="宋体"/>
          <w:bCs/>
          <w:color w:val="auto"/>
          <w:sz w:val="24"/>
          <w:szCs w:val="24"/>
          <w:highlight w:val="none"/>
          <w:u w:val="single"/>
        </w:rPr>
      </w:pPr>
      <w:r>
        <w:rPr>
          <w:rFonts w:hint="eastAsia" w:hAnsi="宋体"/>
          <w:color w:val="auto"/>
          <w:sz w:val="24"/>
          <w:szCs w:val="24"/>
          <w:highlight w:val="none"/>
        </w:rPr>
        <w:t>□成交结果</w:t>
      </w:r>
    </w:p>
    <w:p w14:paraId="4C4FEAE2">
      <w:pPr>
        <w:pStyle w:val="23"/>
        <w:spacing w:line="360" w:lineRule="auto"/>
        <w:ind w:left="25" w:leftChars="12" w:firstLine="472" w:firstLineChars="196"/>
        <w:contextualSpacing/>
        <w:rPr>
          <w:rFonts w:hAnsi="宋体"/>
          <w:b/>
          <w:color w:val="auto"/>
          <w:sz w:val="24"/>
          <w:szCs w:val="24"/>
          <w:highlight w:val="none"/>
        </w:rPr>
      </w:pPr>
      <w:r>
        <w:rPr>
          <w:rFonts w:hint="eastAsia" w:hAnsi="宋体"/>
          <w:b/>
          <w:color w:val="auto"/>
          <w:sz w:val="24"/>
          <w:szCs w:val="24"/>
          <w:highlight w:val="none"/>
        </w:rPr>
        <w:t>三、质疑事项具体内容</w:t>
      </w:r>
    </w:p>
    <w:p w14:paraId="10DCAECF">
      <w:pPr>
        <w:pStyle w:val="23"/>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质疑事项1：</w:t>
      </w:r>
    </w:p>
    <w:p w14:paraId="533DF912">
      <w:pPr>
        <w:pStyle w:val="23"/>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事实依据：</w:t>
      </w:r>
    </w:p>
    <w:p w14:paraId="099C4670">
      <w:pPr>
        <w:pStyle w:val="23"/>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法律依据：</w:t>
      </w:r>
    </w:p>
    <w:p w14:paraId="54130091">
      <w:pPr>
        <w:pStyle w:val="23"/>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质疑事项2</w:t>
      </w:r>
    </w:p>
    <w:p w14:paraId="484CFE20">
      <w:pPr>
        <w:pStyle w:val="23"/>
        <w:spacing w:line="360" w:lineRule="auto"/>
        <w:ind w:left="25" w:leftChars="12" w:firstLine="472" w:firstLineChars="197"/>
        <w:contextualSpacing/>
        <w:rPr>
          <w:rFonts w:hAnsi="宋体"/>
          <w:color w:val="auto"/>
          <w:sz w:val="24"/>
          <w:szCs w:val="24"/>
          <w:highlight w:val="none"/>
        </w:rPr>
      </w:pPr>
      <w:r>
        <w:rPr>
          <w:rFonts w:hAnsi="宋体"/>
          <w:color w:val="auto"/>
          <w:sz w:val="24"/>
          <w:szCs w:val="24"/>
          <w:highlight w:val="none"/>
        </w:rPr>
        <w:t>……</w:t>
      </w:r>
    </w:p>
    <w:p w14:paraId="6A8FF541">
      <w:pPr>
        <w:pStyle w:val="23"/>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四、与质疑事项相关的质疑请求：</w:t>
      </w:r>
    </w:p>
    <w:p w14:paraId="2987DD0B">
      <w:pPr>
        <w:pStyle w:val="23"/>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请求：</w:t>
      </w:r>
    </w:p>
    <w:p w14:paraId="70A722B5">
      <w:pPr>
        <w:pStyle w:val="23"/>
        <w:spacing w:line="360" w:lineRule="auto"/>
        <w:ind w:left="25" w:leftChars="12" w:firstLine="352" w:firstLineChars="147"/>
        <w:contextualSpacing/>
        <w:rPr>
          <w:rFonts w:hAnsi="宋体"/>
          <w:color w:val="auto"/>
          <w:sz w:val="24"/>
          <w:szCs w:val="24"/>
          <w:highlight w:val="none"/>
        </w:rPr>
      </w:pPr>
    </w:p>
    <w:p w14:paraId="74670086">
      <w:pPr>
        <w:pStyle w:val="23"/>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签字（签章）：公章：</w:t>
      </w:r>
    </w:p>
    <w:p w14:paraId="5094C8A0">
      <w:pPr>
        <w:pStyle w:val="23"/>
        <w:spacing w:line="360" w:lineRule="auto"/>
        <w:ind w:firstLine="480" w:firstLineChars="200"/>
        <w:contextualSpacing/>
        <w:rPr>
          <w:rFonts w:hAnsi="宋体"/>
          <w:b/>
          <w:color w:val="auto"/>
          <w:sz w:val="24"/>
          <w:szCs w:val="24"/>
          <w:highlight w:val="none"/>
        </w:rPr>
      </w:pPr>
      <w:r>
        <w:rPr>
          <w:rFonts w:hint="eastAsia" w:hAnsi="宋体"/>
          <w:color w:val="auto"/>
          <w:sz w:val="24"/>
          <w:szCs w:val="24"/>
          <w:highlight w:val="none"/>
        </w:rPr>
        <w:t>日期：</w:t>
      </w:r>
    </w:p>
    <w:p w14:paraId="29B2A8E6">
      <w:pPr>
        <w:pStyle w:val="23"/>
        <w:spacing w:line="360" w:lineRule="auto"/>
        <w:contextualSpacing/>
        <w:rPr>
          <w:rFonts w:hAnsi="宋体"/>
          <w:b/>
          <w:color w:val="auto"/>
          <w:sz w:val="24"/>
          <w:szCs w:val="24"/>
          <w:highlight w:val="none"/>
        </w:rPr>
      </w:pPr>
      <w:r>
        <w:rPr>
          <w:rFonts w:hint="eastAsia" w:hAnsi="宋体"/>
          <w:b/>
          <w:color w:val="auto"/>
          <w:sz w:val="24"/>
          <w:szCs w:val="24"/>
          <w:highlight w:val="none"/>
        </w:rPr>
        <w:t>说明：</w:t>
      </w:r>
    </w:p>
    <w:p w14:paraId="14EA698E">
      <w:pPr>
        <w:pStyle w:val="23"/>
        <w:spacing w:line="360" w:lineRule="auto"/>
        <w:ind w:left="25" w:leftChars="12" w:firstLine="354" w:firstLineChars="147"/>
        <w:contextualSpacing/>
        <w:rPr>
          <w:rFonts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2B74EC3B">
      <w:pPr>
        <w:pStyle w:val="23"/>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5DD014E">
      <w:pPr>
        <w:pStyle w:val="23"/>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2E465695">
      <w:pPr>
        <w:pStyle w:val="23"/>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4.质疑函的质疑请求应与质疑事项相关。</w:t>
      </w:r>
    </w:p>
    <w:p w14:paraId="2F9FBFE9">
      <w:pPr>
        <w:pStyle w:val="23"/>
        <w:spacing w:line="360" w:lineRule="auto"/>
        <w:ind w:left="25" w:leftChars="12" w:firstLine="354" w:firstLineChars="147"/>
        <w:contextualSpacing/>
        <w:rPr>
          <w:rFonts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53359FBD">
      <w:pPr>
        <w:pStyle w:val="23"/>
        <w:snapToGrid w:val="0"/>
        <w:rPr>
          <w:b/>
          <w:color w:val="auto"/>
          <w:sz w:val="24"/>
          <w:szCs w:val="24"/>
          <w:highlight w:val="none"/>
        </w:rPr>
      </w:pPr>
    </w:p>
    <w:p w14:paraId="530609CA">
      <w:pPr>
        <w:rPr>
          <w:color w:val="auto"/>
          <w:sz w:val="32"/>
          <w:szCs w:val="40"/>
          <w:highlight w:val="none"/>
        </w:rPr>
      </w:pPr>
    </w:p>
    <w:p w14:paraId="191F6E55">
      <w:pPr>
        <w:rPr>
          <w:color w:val="auto"/>
          <w:sz w:val="32"/>
          <w:szCs w:val="40"/>
          <w:highlight w:val="none"/>
        </w:rPr>
      </w:pPr>
    </w:p>
    <w:p w14:paraId="77D124A6">
      <w:pPr>
        <w:rPr>
          <w:color w:val="auto"/>
          <w:sz w:val="32"/>
          <w:szCs w:val="40"/>
          <w:highlight w:val="none"/>
        </w:rPr>
      </w:pPr>
    </w:p>
    <w:p w14:paraId="52D9A9CD">
      <w:pPr>
        <w:rPr>
          <w:color w:val="auto"/>
          <w:sz w:val="32"/>
          <w:szCs w:val="40"/>
          <w:highlight w:val="none"/>
        </w:rPr>
      </w:pPr>
    </w:p>
    <w:p w14:paraId="48E9E8BB">
      <w:pPr>
        <w:rPr>
          <w:color w:val="auto"/>
          <w:sz w:val="32"/>
          <w:szCs w:val="40"/>
          <w:highlight w:val="none"/>
        </w:rPr>
      </w:pPr>
    </w:p>
    <w:p w14:paraId="3DB4E7A0">
      <w:pPr>
        <w:rPr>
          <w:color w:val="auto"/>
          <w:sz w:val="32"/>
          <w:szCs w:val="40"/>
          <w:highlight w:val="none"/>
        </w:rPr>
      </w:pPr>
    </w:p>
    <w:p w14:paraId="2CA3D578">
      <w:pPr>
        <w:rPr>
          <w:color w:val="auto"/>
          <w:sz w:val="32"/>
          <w:szCs w:val="40"/>
          <w:highlight w:val="none"/>
        </w:rPr>
      </w:pPr>
    </w:p>
    <w:p w14:paraId="02CDA487">
      <w:pPr>
        <w:rPr>
          <w:color w:val="auto"/>
          <w:sz w:val="32"/>
          <w:szCs w:val="40"/>
          <w:highlight w:val="none"/>
        </w:rPr>
      </w:pPr>
    </w:p>
    <w:p w14:paraId="45F163A7">
      <w:pPr>
        <w:rPr>
          <w:color w:val="auto"/>
          <w:sz w:val="32"/>
          <w:szCs w:val="40"/>
          <w:highlight w:val="none"/>
        </w:rPr>
      </w:pPr>
    </w:p>
    <w:p w14:paraId="207BC1D8">
      <w:pPr>
        <w:rPr>
          <w:color w:val="auto"/>
          <w:sz w:val="32"/>
          <w:szCs w:val="40"/>
          <w:highlight w:val="none"/>
        </w:rPr>
      </w:pPr>
    </w:p>
    <w:p w14:paraId="0A06A1D3">
      <w:pPr>
        <w:rPr>
          <w:color w:val="auto"/>
          <w:sz w:val="32"/>
          <w:szCs w:val="40"/>
          <w:highlight w:val="none"/>
        </w:rPr>
      </w:pPr>
    </w:p>
    <w:p w14:paraId="52B2AC88">
      <w:pPr>
        <w:rPr>
          <w:color w:val="auto"/>
          <w:sz w:val="32"/>
          <w:szCs w:val="40"/>
          <w:highlight w:val="none"/>
        </w:rPr>
      </w:pPr>
    </w:p>
    <w:p w14:paraId="578F1DCB">
      <w:pPr>
        <w:rPr>
          <w:color w:val="auto"/>
          <w:sz w:val="32"/>
          <w:szCs w:val="40"/>
          <w:highlight w:val="none"/>
        </w:rPr>
      </w:pPr>
    </w:p>
    <w:p w14:paraId="182B1AE9">
      <w:pPr>
        <w:rPr>
          <w:color w:val="auto"/>
          <w:sz w:val="32"/>
          <w:szCs w:val="40"/>
          <w:highlight w:val="none"/>
        </w:rPr>
      </w:pPr>
    </w:p>
    <w:p w14:paraId="5F77E554">
      <w:pPr>
        <w:pStyle w:val="47"/>
        <w:ind w:firstLine="480"/>
        <w:rPr>
          <w:color w:val="auto"/>
          <w:highlight w:val="none"/>
        </w:rPr>
      </w:pPr>
    </w:p>
    <w:p w14:paraId="548B2F07">
      <w:pPr>
        <w:rPr>
          <w:color w:val="auto"/>
          <w:highlight w:val="none"/>
        </w:rPr>
      </w:pPr>
    </w:p>
    <w:p w14:paraId="70E801AF">
      <w:pPr>
        <w:spacing w:line="360" w:lineRule="auto"/>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51ECED8E">
      <w:pPr>
        <w:pStyle w:val="23"/>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318D13B2">
      <w:pPr>
        <w:pStyle w:val="23"/>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供应商：</w:t>
      </w:r>
    </w:p>
    <w:p w14:paraId="25149243">
      <w:pPr>
        <w:pStyle w:val="23"/>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5B8046A4">
      <w:pPr>
        <w:pStyle w:val="23"/>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法定代表人/主要负责人：</w:t>
      </w:r>
    </w:p>
    <w:p w14:paraId="3F840D41">
      <w:pPr>
        <w:pStyle w:val="23"/>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p>
    <w:p w14:paraId="079E39D8">
      <w:pPr>
        <w:pStyle w:val="23"/>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授权代表：</w:t>
      </w:r>
      <w:r>
        <w:rPr>
          <w:rFonts w:hAnsi="宋体"/>
          <w:bCs/>
          <w:color w:val="auto"/>
          <w:sz w:val="24"/>
          <w:szCs w:val="24"/>
          <w:highlight w:val="none"/>
        </w:rPr>
        <w:t>联系</w:t>
      </w:r>
      <w:r>
        <w:rPr>
          <w:rFonts w:hint="eastAsia" w:hAnsi="宋体"/>
          <w:bCs/>
          <w:color w:val="auto"/>
          <w:sz w:val="24"/>
          <w:szCs w:val="24"/>
          <w:highlight w:val="none"/>
        </w:rPr>
        <w:t>电话：</w:t>
      </w:r>
    </w:p>
    <w:p w14:paraId="64959D5A">
      <w:pPr>
        <w:pStyle w:val="23"/>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p>
    <w:p w14:paraId="08C53E26">
      <w:pPr>
        <w:pStyle w:val="23"/>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p>
    <w:p w14:paraId="785F9D6E">
      <w:pPr>
        <w:pStyle w:val="23"/>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被投诉人1：</w:t>
      </w:r>
    </w:p>
    <w:p w14:paraId="167CEE8A">
      <w:pPr>
        <w:pStyle w:val="23"/>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地址：</w:t>
      </w:r>
    </w:p>
    <w:p w14:paraId="6DD89706">
      <w:pPr>
        <w:pStyle w:val="23"/>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p>
    <w:p w14:paraId="202B1DC5">
      <w:pPr>
        <w:pStyle w:val="23"/>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联系人：</w:t>
      </w:r>
      <w:r>
        <w:rPr>
          <w:rFonts w:hAnsi="宋体"/>
          <w:bCs/>
          <w:color w:val="auto"/>
          <w:sz w:val="24"/>
          <w:szCs w:val="24"/>
          <w:highlight w:val="none"/>
        </w:rPr>
        <w:t>联系</w:t>
      </w:r>
      <w:r>
        <w:rPr>
          <w:rFonts w:hint="eastAsia" w:hAnsi="宋体"/>
          <w:bCs/>
          <w:color w:val="auto"/>
          <w:sz w:val="24"/>
          <w:szCs w:val="24"/>
          <w:highlight w:val="none"/>
        </w:rPr>
        <w:t>电话：</w:t>
      </w:r>
    </w:p>
    <w:p w14:paraId="2713B4F9">
      <w:pPr>
        <w:pStyle w:val="23"/>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被投诉人2：</w:t>
      </w:r>
    </w:p>
    <w:p w14:paraId="6B524FBC">
      <w:pPr>
        <w:pStyle w:val="23"/>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w:t>
      </w:r>
    </w:p>
    <w:p w14:paraId="560A712F">
      <w:pPr>
        <w:pStyle w:val="23"/>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相关供应商：</w:t>
      </w:r>
    </w:p>
    <w:p w14:paraId="39CC3D9A">
      <w:pPr>
        <w:pStyle w:val="23"/>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1E7CF565">
      <w:pPr>
        <w:pStyle w:val="23"/>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联系人：</w:t>
      </w:r>
      <w:r>
        <w:rPr>
          <w:rFonts w:hAnsi="宋体"/>
          <w:bCs/>
          <w:color w:val="auto"/>
          <w:sz w:val="24"/>
          <w:szCs w:val="24"/>
          <w:highlight w:val="none"/>
        </w:rPr>
        <w:t>联系</w:t>
      </w:r>
      <w:r>
        <w:rPr>
          <w:rFonts w:hint="eastAsia" w:hAnsi="宋体"/>
          <w:bCs/>
          <w:color w:val="auto"/>
          <w:sz w:val="24"/>
          <w:szCs w:val="24"/>
          <w:highlight w:val="none"/>
        </w:rPr>
        <w:t>电话：</w:t>
      </w:r>
    </w:p>
    <w:p w14:paraId="64146CB2">
      <w:pPr>
        <w:pStyle w:val="23"/>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二、投诉项目基本情况：</w:t>
      </w:r>
    </w:p>
    <w:p w14:paraId="64AD36BC">
      <w:pPr>
        <w:pStyle w:val="23"/>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p>
    <w:p w14:paraId="0B70A3E3">
      <w:pPr>
        <w:pStyle w:val="23"/>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p>
    <w:p w14:paraId="6A2E3C4D">
      <w:pPr>
        <w:pStyle w:val="23"/>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采购人名称：</w:t>
      </w:r>
    </w:p>
    <w:p w14:paraId="32E3A2B8">
      <w:pPr>
        <w:pStyle w:val="23"/>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代理机构名称：</w:t>
      </w:r>
    </w:p>
    <w:p w14:paraId="59E2A2DE">
      <w:pPr>
        <w:pStyle w:val="23"/>
        <w:spacing w:line="360" w:lineRule="auto"/>
        <w:ind w:left="25" w:leftChars="12" w:firstLine="472" w:firstLineChars="197"/>
        <w:rPr>
          <w:rFonts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p>
    <w:p w14:paraId="203C4A2F">
      <w:pPr>
        <w:pStyle w:val="23"/>
        <w:spacing w:line="360" w:lineRule="auto"/>
        <w:ind w:left="25" w:leftChars="12" w:firstLine="472" w:firstLineChars="197"/>
        <w:rPr>
          <w:rFonts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p>
    <w:p w14:paraId="38A21F6B">
      <w:pPr>
        <w:pStyle w:val="23"/>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三、质疑基本情况</w:t>
      </w:r>
    </w:p>
    <w:p w14:paraId="38F8E2D0">
      <w:pPr>
        <w:pStyle w:val="23"/>
        <w:spacing w:line="360" w:lineRule="auto"/>
        <w:ind w:firstLine="480" w:firstLineChars="200"/>
        <w:rPr>
          <w:rFonts w:hAnsi="宋体"/>
          <w:color w:val="auto"/>
          <w:sz w:val="24"/>
          <w:szCs w:val="24"/>
          <w:highlight w:val="none"/>
        </w:rPr>
      </w:pPr>
      <w:r>
        <w:rPr>
          <w:rFonts w:hint="eastAsia" w:hAnsi="宋体"/>
          <w:color w:val="auto"/>
          <w:sz w:val="24"/>
          <w:szCs w:val="24"/>
          <w:highlight w:val="none"/>
        </w:rPr>
        <w:t>投诉人于年月日，向提出质疑，质疑事项为：</w:t>
      </w:r>
    </w:p>
    <w:p w14:paraId="1B01C0EB">
      <w:pPr>
        <w:pStyle w:val="23"/>
        <w:spacing w:line="360" w:lineRule="auto"/>
        <w:ind w:firstLine="241"/>
        <w:rPr>
          <w:rFonts w:hAnsi="宋体"/>
          <w:bCs/>
          <w:color w:val="auto"/>
          <w:sz w:val="24"/>
          <w:szCs w:val="24"/>
          <w:highlight w:val="none"/>
          <w:u w:val="single"/>
        </w:rPr>
      </w:pPr>
    </w:p>
    <w:p w14:paraId="348ADE76">
      <w:pPr>
        <w:pStyle w:val="23"/>
        <w:spacing w:line="360" w:lineRule="auto"/>
        <w:ind w:firstLine="241"/>
        <w:rPr>
          <w:rFonts w:hAnsi="宋体"/>
          <w:bCs/>
          <w:color w:val="auto"/>
          <w:sz w:val="24"/>
          <w:szCs w:val="24"/>
          <w:highlight w:val="none"/>
          <w:u w:val="single"/>
        </w:rPr>
      </w:pPr>
    </w:p>
    <w:p w14:paraId="6D64DE27">
      <w:pPr>
        <w:pStyle w:val="23"/>
        <w:spacing w:line="360" w:lineRule="auto"/>
        <w:ind w:firstLine="480" w:firstLineChars="200"/>
        <w:rPr>
          <w:rFonts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rPr>
        <w:t>年月日，</w:t>
      </w:r>
      <w:r>
        <w:rPr>
          <w:rFonts w:hint="eastAsia" w:hAnsi="宋体"/>
          <w:bCs/>
          <w:color w:val="auto"/>
          <w:sz w:val="24"/>
          <w:szCs w:val="24"/>
          <w:highlight w:val="none"/>
        </w:rPr>
        <w:t>就质疑事项作出了答复/没有在法定期限内作出答复。</w:t>
      </w:r>
    </w:p>
    <w:p w14:paraId="745917A0">
      <w:pPr>
        <w:pStyle w:val="23"/>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四、投诉事项具体内容</w:t>
      </w:r>
    </w:p>
    <w:p w14:paraId="22A6B9C4">
      <w:pPr>
        <w:pStyle w:val="23"/>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投诉事项1：</w:t>
      </w:r>
    </w:p>
    <w:p w14:paraId="116CF4AF">
      <w:pPr>
        <w:pStyle w:val="23"/>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事实依据：</w:t>
      </w:r>
    </w:p>
    <w:p w14:paraId="14058135">
      <w:pPr>
        <w:pStyle w:val="23"/>
        <w:spacing w:line="360" w:lineRule="auto"/>
        <w:ind w:left="25" w:leftChars="12" w:firstLine="472" w:firstLineChars="197"/>
        <w:rPr>
          <w:rFonts w:hAnsi="宋体"/>
          <w:color w:val="auto"/>
          <w:sz w:val="24"/>
          <w:szCs w:val="24"/>
          <w:highlight w:val="none"/>
        </w:rPr>
      </w:pPr>
    </w:p>
    <w:p w14:paraId="34A8E0BD">
      <w:pPr>
        <w:pStyle w:val="23"/>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法律依据：</w:t>
      </w:r>
    </w:p>
    <w:p w14:paraId="02A5A4F9">
      <w:pPr>
        <w:pStyle w:val="23"/>
        <w:spacing w:line="360" w:lineRule="auto"/>
        <w:ind w:left="25" w:leftChars="12" w:firstLine="352" w:firstLineChars="147"/>
        <w:rPr>
          <w:rFonts w:hAnsi="宋体"/>
          <w:bCs/>
          <w:color w:val="auto"/>
          <w:sz w:val="24"/>
          <w:szCs w:val="24"/>
          <w:highlight w:val="none"/>
          <w:u w:val="single"/>
        </w:rPr>
      </w:pPr>
    </w:p>
    <w:p w14:paraId="2E0E7470">
      <w:pPr>
        <w:pStyle w:val="23"/>
        <w:spacing w:line="360" w:lineRule="auto"/>
        <w:ind w:left="25" w:leftChars="12" w:firstLine="472" w:firstLineChars="197"/>
        <w:rPr>
          <w:rFonts w:hAnsi="宋体"/>
          <w:bCs/>
          <w:color w:val="auto"/>
          <w:sz w:val="24"/>
          <w:szCs w:val="24"/>
          <w:highlight w:val="none"/>
        </w:rPr>
      </w:pPr>
      <w:r>
        <w:rPr>
          <w:rFonts w:hint="eastAsia" w:hAnsi="宋体"/>
          <w:color w:val="auto"/>
          <w:sz w:val="24"/>
          <w:szCs w:val="24"/>
          <w:highlight w:val="none"/>
        </w:rPr>
        <w:t xml:space="preserve">投诉事项2  </w:t>
      </w:r>
    </w:p>
    <w:p w14:paraId="0546C7D1">
      <w:pPr>
        <w:pStyle w:val="23"/>
        <w:spacing w:line="360" w:lineRule="auto"/>
        <w:ind w:left="25" w:leftChars="12" w:firstLine="472" w:firstLineChars="197"/>
        <w:rPr>
          <w:rFonts w:hAnsi="宋体"/>
          <w:bCs/>
          <w:color w:val="auto"/>
          <w:sz w:val="24"/>
          <w:szCs w:val="24"/>
          <w:highlight w:val="none"/>
        </w:rPr>
      </w:pPr>
      <w:r>
        <w:rPr>
          <w:rFonts w:hAnsi="宋体"/>
          <w:bCs/>
          <w:color w:val="auto"/>
          <w:sz w:val="24"/>
          <w:szCs w:val="24"/>
          <w:highlight w:val="none"/>
        </w:rPr>
        <w:t>……</w:t>
      </w:r>
    </w:p>
    <w:p w14:paraId="20CA06E4">
      <w:pPr>
        <w:pStyle w:val="23"/>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五、与投诉事项相关的投诉请求：</w:t>
      </w:r>
    </w:p>
    <w:p w14:paraId="01FD56DD">
      <w:pPr>
        <w:pStyle w:val="23"/>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p>
    <w:p w14:paraId="13CB1B07">
      <w:pPr>
        <w:pStyle w:val="23"/>
        <w:spacing w:line="360" w:lineRule="auto"/>
        <w:ind w:left="25" w:leftChars="12" w:firstLine="352" w:firstLineChars="147"/>
        <w:rPr>
          <w:rFonts w:hAnsi="宋体"/>
          <w:color w:val="auto"/>
          <w:sz w:val="24"/>
          <w:szCs w:val="24"/>
          <w:highlight w:val="none"/>
        </w:rPr>
      </w:pPr>
    </w:p>
    <w:p w14:paraId="226AB591">
      <w:pPr>
        <w:pStyle w:val="23"/>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签字（签章）：公章：</w:t>
      </w:r>
    </w:p>
    <w:p w14:paraId="613770FD">
      <w:pPr>
        <w:pStyle w:val="23"/>
        <w:spacing w:line="360" w:lineRule="auto"/>
        <w:ind w:left="25" w:leftChars="12" w:firstLine="352" w:firstLineChars="147"/>
        <w:rPr>
          <w:rFonts w:hAnsi="宋体"/>
          <w:color w:val="auto"/>
          <w:sz w:val="24"/>
          <w:szCs w:val="24"/>
          <w:highlight w:val="none"/>
        </w:rPr>
      </w:pPr>
    </w:p>
    <w:p w14:paraId="2A21AAE1">
      <w:pPr>
        <w:pStyle w:val="23"/>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14:paraId="167D217A">
      <w:pPr>
        <w:pStyle w:val="23"/>
        <w:spacing w:line="360" w:lineRule="auto"/>
        <w:ind w:left="25" w:leftChars="12" w:firstLine="475" w:firstLineChars="197"/>
        <w:rPr>
          <w:rFonts w:hAnsi="宋体"/>
          <w:b/>
          <w:color w:val="auto"/>
          <w:sz w:val="24"/>
          <w:szCs w:val="24"/>
          <w:highlight w:val="none"/>
        </w:rPr>
      </w:pPr>
    </w:p>
    <w:p w14:paraId="4E2ADE29">
      <w:pPr>
        <w:pStyle w:val="23"/>
        <w:snapToGrid w:val="0"/>
        <w:spacing w:line="360" w:lineRule="auto"/>
        <w:rPr>
          <w:rFonts w:hAnsi="宋体"/>
          <w:b/>
          <w:color w:val="auto"/>
          <w:sz w:val="24"/>
          <w:szCs w:val="24"/>
          <w:highlight w:val="none"/>
        </w:rPr>
      </w:pPr>
      <w:r>
        <w:rPr>
          <w:rFonts w:hint="eastAsia" w:hAnsi="宋体"/>
          <w:b/>
          <w:color w:val="auto"/>
          <w:sz w:val="24"/>
          <w:szCs w:val="24"/>
          <w:highlight w:val="none"/>
        </w:rPr>
        <w:t>说明：</w:t>
      </w:r>
    </w:p>
    <w:p w14:paraId="215DDC97">
      <w:pPr>
        <w:pStyle w:val="23"/>
        <w:spacing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0942A1A4">
      <w:pPr>
        <w:pStyle w:val="23"/>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DEEAB86">
      <w:pPr>
        <w:pStyle w:val="23"/>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1F00A740">
      <w:pPr>
        <w:pStyle w:val="23"/>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3745E02F">
      <w:pPr>
        <w:pStyle w:val="23"/>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5.投诉书的投诉请求应与投诉事项相关。</w:t>
      </w:r>
    </w:p>
    <w:p w14:paraId="0E81082F">
      <w:pPr>
        <w:pStyle w:val="23"/>
        <w:spacing w:line="360" w:lineRule="auto"/>
        <w:ind w:left="25" w:leftChars="12" w:firstLine="354" w:firstLineChars="147"/>
        <w:rPr>
          <w:rFonts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5710BFD2">
      <w:pPr>
        <w:pStyle w:val="3"/>
        <w:jc w:val="center"/>
        <w:rPr>
          <w:color w:val="auto"/>
          <w:highlight w:val="none"/>
        </w:rPr>
      </w:pPr>
      <w:bookmarkStart w:id="124" w:name="_Toc151675541"/>
      <w:r>
        <w:rPr>
          <w:rFonts w:hint="eastAsia"/>
          <w:color w:val="auto"/>
          <w:highlight w:val="none"/>
        </w:rPr>
        <w:t xml:space="preserve">第六章 </w:t>
      </w:r>
      <w:r>
        <w:rPr>
          <w:color w:val="auto"/>
          <w:highlight w:val="none"/>
        </w:rPr>
        <w:t xml:space="preserve"> </w:t>
      </w:r>
      <w:r>
        <w:rPr>
          <w:rFonts w:hint="eastAsia"/>
          <w:color w:val="auto"/>
          <w:highlight w:val="none"/>
        </w:rPr>
        <w:t>合同文本</w:t>
      </w:r>
      <w:bookmarkEnd w:id="124"/>
    </w:p>
    <w:p w14:paraId="43C58DDA">
      <w:pPr>
        <w:spacing w:line="520" w:lineRule="exact"/>
        <w:rPr>
          <w:rFonts w:ascii="宋体" w:hAnsi="宋体" w:cs="Courier New"/>
          <w:b/>
          <w:color w:val="auto"/>
          <w:sz w:val="32"/>
          <w:szCs w:val="32"/>
          <w:highlight w:val="none"/>
        </w:rPr>
      </w:pPr>
    </w:p>
    <w:p w14:paraId="58285E5E">
      <w:pPr>
        <w:snapToGrid w:val="0"/>
        <w:spacing w:line="400" w:lineRule="exact"/>
        <w:jc w:val="center"/>
        <w:rPr>
          <w:rFonts w:cs="宋体"/>
          <w:b/>
          <w:bCs/>
          <w:color w:val="auto"/>
          <w:sz w:val="32"/>
          <w:szCs w:val="32"/>
          <w:highlight w:val="none"/>
        </w:rPr>
      </w:pPr>
      <w:r>
        <w:rPr>
          <w:rFonts w:hint="eastAsia" w:cs="宋体"/>
          <w:b/>
          <w:bCs/>
          <w:color w:val="auto"/>
          <w:sz w:val="32"/>
          <w:szCs w:val="32"/>
          <w:highlight w:val="none"/>
        </w:rPr>
        <w:t>《广西壮族自治区政府采购合同》</w:t>
      </w:r>
    </w:p>
    <w:p w14:paraId="6FEC1174">
      <w:pPr>
        <w:spacing w:line="520" w:lineRule="exact"/>
        <w:rPr>
          <w:rFonts w:ascii="宋体" w:hAnsi="宋体" w:cs="Courier New"/>
          <w:b/>
          <w:color w:val="auto"/>
          <w:sz w:val="32"/>
          <w:szCs w:val="32"/>
          <w:highlight w:val="none"/>
        </w:rPr>
      </w:pPr>
    </w:p>
    <w:p w14:paraId="20CCDC65">
      <w:pPr>
        <w:snapToGrid w:val="0"/>
        <w:spacing w:line="360" w:lineRule="exact"/>
        <w:ind w:right="480"/>
        <w:jc w:val="left"/>
        <w:rPr>
          <w:rFonts w:ascii="宋体" w:hAnsi="宋体" w:cs="宋体"/>
          <w:bCs/>
          <w:color w:val="auto"/>
          <w:sz w:val="24"/>
          <w:highlight w:val="none"/>
          <w:u w:val="single"/>
        </w:rPr>
      </w:pPr>
      <w:r>
        <w:rPr>
          <w:rFonts w:hint="eastAsia" w:ascii="宋体" w:hAnsi="宋体" w:cs="宋体"/>
          <w:bCs/>
          <w:color w:val="auto"/>
          <w:sz w:val="24"/>
          <w:highlight w:val="none"/>
        </w:rPr>
        <w:t xml:space="preserve">合同编号：                                           </w:t>
      </w:r>
    </w:p>
    <w:p w14:paraId="213E91D0">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采购单位（甲方）：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97EF880">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供 应 商（乙方）：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3EE8129">
      <w:pPr>
        <w:snapToGrid w:val="0"/>
        <w:spacing w:line="440" w:lineRule="exact"/>
        <w:jc w:val="left"/>
        <w:rPr>
          <w:rFonts w:ascii="宋体" w:hAnsi="宋体" w:cs="宋体"/>
          <w:color w:val="auto"/>
          <w:sz w:val="24"/>
          <w:highlight w:val="none"/>
          <w:u w:val="single"/>
        </w:rPr>
      </w:pPr>
      <w:r>
        <w:rPr>
          <w:rFonts w:hint="eastAsia" w:ascii="宋体" w:hAnsi="宋体" w:cs="宋体"/>
          <w:color w:val="auto"/>
          <w:spacing w:val="-20"/>
          <w:sz w:val="24"/>
          <w:highlight w:val="none"/>
        </w:rPr>
        <w:t>采购计划号：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w:t>
      </w:r>
      <w:r>
        <w:rPr>
          <w:rFonts w:hint="eastAsia" w:ascii="宋体" w:hAnsi="宋体" w:cs="宋体"/>
          <w:color w:val="auto"/>
          <w:spacing w:val="-20"/>
          <w:sz w:val="24"/>
          <w:highlight w:val="none"/>
        </w:rPr>
        <w:t>编号：</w:t>
      </w:r>
      <w:r>
        <w:rPr>
          <w:rFonts w:hint="eastAsia" w:ascii="宋体" w:hAnsi="宋体" w:cs="宋体"/>
          <w:color w:val="auto"/>
          <w:sz w:val="24"/>
          <w:highlight w:val="none"/>
          <w:u w:val="single"/>
        </w:rPr>
        <w:t xml:space="preserve">                       </w:t>
      </w:r>
    </w:p>
    <w:p w14:paraId="473ED1CF">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701F0D69">
      <w:pPr>
        <w:snapToGrid w:val="0"/>
        <w:spacing w:line="360" w:lineRule="exact"/>
        <w:rPr>
          <w:rFonts w:ascii="宋体" w:hAnsi="宋体" w:cs="宋体"/>
          <w:color w:val="auto"/>
          <w:sz w:val="24"/>
          <w:highlight w:val="none"/>
          <w:u w:val="single"/>
        </w:rPr>
      </w:pPr>
      <w:r>
        <w:rPr>
          <w:rFonts w:hint="eastAsia" w:ascii="宋体" w:hAnsi="宋体" w:cs="宋体"/>
          <w:color w:val="auto"/>
          <w:sz w:val="24"/>
          <w:highlight w:val="none"/>
        </w:rPr>
        <w:t>签订地点：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签订时间：</w:t>
      </w:r>
      <w:r>
        <w:rPr>
          <w:rFonts w:hint="eastAsia" w:ascii="宋体" w:hAnsi="宋体" w:cs="宋体"/>
          <w:color w:val="auto"/>
          <w:sz w:val="24"/>
          <w:highlight w:val="none"/>
          <w:u w:val="single"/>
        </w:rPr>
        <w:t xml:space="preserve">       年   月  日 </w:t>
      </w:r>
    </w:p>
    <w:p w14:paraId="169ACAB4">
      <w:pPr>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14:paraId="20FC8F23">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根据《中华人民共和国政府采购法》、《政府采购货物和服务招标投标管理办法》、《中华人民共和国民法典》等法律、法规规定，按照采购文件规定和乙方响应文件及其承诺，甲乙双方签订本合同。</w:t>
      </w:r>
    </w:p>
    <w:p w14:paraId="6E20A432">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第一条 合同标的</w:t>
      </w:r>
    </w:p>
    <w:p w14:paraId="54965E32">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1.服务内容一览表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560"/>
        <w:gridCol w:w="1233"/>
        <w:gridCol w:w="1095"/>
        <w:gridCol w:w="975"/>
        <w:gridCol w:w="3185"/>
      </w:tblGrid>
      <w:tr w14:paraId="78BF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009" w:type="dxa"/>
            <w:vAlign w:val="center"/>
          </w:tcPr>
          <w:p w14:paraId="61EA384A">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560" w:type="dxa"/>
            <w:vAlign w:val="center"/>
          </w:tcPr>
          <w:p w14:paraId="79196D50">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233" w:type="dxa"/>
            <w:vAlign w:val="center"/>
          </w:tcPr>
          <w:p w14:paraId="7EA94B28">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服务内容</w:t>
            </w:r>
          </w:p>
        </w:tc>
        <w:tc>
          <w:tcPr>
            <w:tcW w:w="1095" w:type="dxa"/>
            <w:vAlign w:val="center"/>
          </w:tcPr>
          <w:p w14:paraId="5B79DA59">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975" w:type="dxa"/>
            <w:vAlign w:val="center"/>
          </w:tcPr>
          <w:p w14:paraId="51D6F0E7">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单位</w:t>
            </w:r>
          </w:p>
        </w:tc>
        <w:tc>
          <w:tcPr>
            <w:tcW w:w="3185" w:type="dxa"/>
            <w:vAlign w:val="center"/>
          </w:tcPr>
          <w:p w14:paraId="5671BC71">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金额（元）</w:t>
            </w:r>
          </w:p>
        </w:tc>
      </w:tr>
      <w:tr w14:paraId="3819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09" w:type="dxa"/>
            <w:vAlign w:val="center"/>
          </w:tcPr>
          <w:p w14:paraId="217DD318">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560" w:type="dxa"/>
            <w:vAlign w:val="center"/>
          </w:tcPr>
          <w:p w14:paraId="2A13910E">
            <w:pPr>
              <w:snapToGrid w:val="0"/>
              <w:spacing w:line="400" w:lineRule="exact"/>
              <w:jc w:val="center"/>
              <w:rPr>
                <w:rFonts w:ascii="宋体" w:hAnsi="宋体" w:cs="宋体"/>
                <w:color w:val="auto"/>
                <w:sz w:val="24"/>
                <w:highlight w:val="none"/>
              </w:rPr>
            </w:pPr>
          </w:p>
        </w:tc>
        <w:tc>
          <w:tcPr>
            <w:tcW w:w="1233" w:type="dxa"/>
            <w:vAlign w:val="center"/>
          </w:tcPr>
          <w:p w14:paraId="0ED92E31">
            <w:pPr>
              <w:snapToGrid w:val="0"/>
              <w:spacing w:line="400" w:lineRule="exact"/>
              <w:jc w:val="center"/>
              <w:rPr>
                <w:rFonts w:ascii="宋体" w:hAnsi="宋体" w:cs="宋体"/>
                <w:color w:val="auto"/>
                <w:sz w:val="24"/>
                <w:highlight w:val="none"/>
              </w:rPr>
            </w:pPr>
          </w:p>
        </w:tc>
        <w:tc>
          <w:tcPr>
            <w:tcW w:w="1095" w:type="dxa"/>
            <w:vAlign w:val="center"/>
          </w:tcPr>
          <w:p w14:paraId="55A48C18">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975" w:type="dxa"/>
            <w:vAlign w:val="center"/>
          </w:tcPr>
          <w:p w14:paraId="57EF030D">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项</w:t>
            </w:r>
          </w:p>
        </w:tc>
        <w:tc>
          <w:tcPr>
            <w:tcW w:w="3185" w:type="dxa"/>
            <w:vAlign w:val="center"/>
          </w:tcPr>
          <w:p w14:paraId="0C1F730B">
            <w:pPr>
              <w:snapToGrid w:val="0"/>
              <w:spacing w:line="400" w:lineRule="exact"/>
              <w:jc w:val="center"/>
              <w:rPr>
                <w:rFonts w:ascii="宋体" w:hAnsi="宋体" w:cs="宋体"/>
                <w:color w:val="auto"/>
                <w:sz w:val="24"/>
                <w:highlight w:val="none"/>
              </w:rPr>
            </w:pPr>
          </w:p>
        </w:tc>
      </w:tr>
      <w:tr w14:paraId="4BF9B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057" w:type="dxa"/>
            <w:gridSpan w:val="6"/>
            <w:vAlign w:val="center"/>
          </w:tcPr>
          <w:p w14:paraId="0B1B93A1">
            <w:pPr>
              <w:snapToGrid w:val="0"/>
              <w:spacing w:line="400" w:lineRule="exact"/>
              <w:jc w:val="left"/>
              <w:rPr>
                <w:rFonts w:ascii="宋体" w:hAnsi="宋体" w:cs="宋体"/>
                <w:color w:val="auto"/>
                <w:sz w:val="24"/>
                <w:highlight w:val="none"/>
              </w:rPr>
            </w:pPr>
            <w:r>
              <w:rPr>
                <w:rFonts w:hint="eastAsia" w:ascii="宋体" w:hAnsi="宋体" w:cs="宋体"/>
                <w:color w:val="auto"/>
                <w:sz w:val="24"/>
                <w:highlight w:val="none"/>
              </w:rPr>
              <w:t xml:space="preserve">人民币合计金额（大写）                          （小写）            </w:t>
            </w:r>
          </w:p>
        </w:tc>
      </w:tr>
    </w:tbl>
    <w:p w14:paraId="7350A1DA">
      <w:pPr>
        <w:pStyle w:val="23"/>
        <w:spacing w:line="440" w:lineRule="exact"/>
        <w:ind w:firstLine="480" w:firstLineChars="200"/>
        <w:jc w:val="left"/>
        <w:rPr>
          <w:rFonts w:hAnsi="宋体" w:cs="宋体"/>
          <w:b/>
          <w:color w:val="auto"/>
          <w:sz w:val="24"/>
          <w:szCs w:val="24"/>
          <w:highlight w:val="none"/>
        </w:rPr>
      </w:pPr>
      <w:r>
        <w:rPr>
          <w:rFonts w:hint="eastAsia" w:hAnsi="宋体" w:cs="宋体"/>
          <w:color w:val="auto"/>
          <w:sz w:val="24"/>
          <w:szCs w:val="24"/>
          <w:highlight w:val="none"/>
        </w:rPr>
        <w:t xml:space="preserve">2.合同合计金额包括服务、备件、专用工具、安装调试、检验、技术培训、技术资料、包装、运输、税金等类似服务内容的全部费用。如采购文件对其另有规定的，从其规定。 </w:t>
      </w:r>
    </w:p>
    <w:p w14:paraId="63613BD1">
      <w:pPr>
        <w:snapToGrid w:val="0"/>
        <w:spacing w:line="440" w:lineRule="exact"/>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第二条  质量保证</w:t>
      </w:r>
    </w:p>
    <w:p w14:paraId="7372434B">
      <w:pPr>
        <w:pStyle w:val="23"/>
        <w:spacing w:line="44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1.乙方所提供的服务内容必须与采购文件、投标（响应）文件及其承诺相一致且符合相应的服务规范及标准。</w:t>
      </w:r>
    </w:p>
    <w:p w14:paraId="0CA53CC1">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2.乙方提供不符合采购文件、投标（响应）文件及其承诺和本合同规定的服务内容，甲方有权拒绝接受。</w:t>
      </w:r>
    </w:p>
    <w:p w14:paraId="290A2061">
      <w:pPr>
        <w:snapToGrid w:val="0"/>
        <w:spacing w:line="440" w:lineRule="exact"/>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第三条  权利保证</w:t>
      </w:r>
    </w:p>
    <w:p w14:paraId="6F7EF16B">
      <w:pPr>
        <w:pStyle w:val="23"/>
        <w:spacing w:line="44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1.乙方应保证所提供的服务在使用时不会侵犯任何第三方的专利权、商标权、工业设计权或其他权利。</w:t>
      </w:r>
    </w:p>
    <w:p w14:paraId="31D5B0A7">
      <w:pPr>
        <w:pStyle w:val="23"/>
        <w:spacing w:line="44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2.乙方应按采购文件规定的时间向甲方提供服务的有关技术资料。</w:t>
      </w:r>
    </w:p>
    <w:p w14:paraId="5A2A0EAE">
      <w:pPr>
        <w:pStyle w:val="23"/>
        <w:spacing w:line="44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如有泄漏，乙方需承担相应的法律责任。</w:t>
      </w:r>
    </w:p>
    <w:p w14:paraId="74C9CE0B">
      <w:pPr>
        <w:pStyle w:val="23"/>
        <w:spacing w:line="44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4.如采购项目涉及采购标的的知识产权归属的，产权归属为：</w:t>
      </w:r>
      <w:r>
        <w:rPr>
          <w:rFonts w:hint="eastAsia" w:hAnsi="宋体" w:cs="宋体"/>
          <w:color w:val="auto"/>
          <w:sz w:val="24"/>
          <w:szCs w:val="24"/>
          <w:highlight w:val="none"/>
          <w:u w:val="single"/>
        </w:rPr>
        <w:t>甲方所有</w:t>
      </w:r>
      <w:r>
        <w:rPr>
          <w:rFonts w:hint="eastAsia" w:hAnsi="宋体" w:cs="宋体"/>
          <w:color w:val="auto"/>
          <w:sz w:val="24"/>
          <w:szCs w:val="24"/>
          <w:highlight w:val="none"/>
        </w:rPr>
        <w:t>。</w:t>
      </w:r>
    </w:p>
    <w:p w14:paraId="0BBE9D0B">
      <w:pPr>
        <w:pStyle w:val="23"/>
        <w:spacing w:line="44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5.如果甲方在使用乙方提供的服务时，受到第三方提出的侵犯其知识产权的起诉，给甲方造成经济损失的，乙方应当赔偿甲方的经济损失。</w:t>
      </w:r>
    </w:p>
    <w:p w14:paraId="45C9C420">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第四条  服务期限、服务内容和验收</w:t>
      </w:r>
    </w:p>
    <w:p w14:paraId="50B2F521">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1.服务期限：</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 xml:space="preserve">。服务地点： </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w:t>
      </w:r>
    </w:p>
    <w:p w14:paraId="05E7409E">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2.乙方应按投标（响应）文件的承诺向甲方提供相应的服务，并提供所服务内容的相关技术资料。</w:t>
      </w:r>
    </w:p>
    <w:p w14:paraId="14948028">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3.乙方提供不符合投标（响应）文件和本合同规定的服务成果，甲方有权拒绝接受。</w:t>
      </w:r>
    </w:p>
    <w:p w14:paraId="53EB0EEC">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4.乙方完成服务后应及时书面通知甲方进行验收，验收合格后由甲乙双方签署验收单并加盖采购人公章，甲乙双方各执一份。</w:t>
      </w:r>
    </w:p>
    <w:p w14:paraId="769E3381">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5.甲乙双方应按照《广西壮族自治区政府采购项目履约验收管理办法》、采购文件、双方政府采购合同、投标（响应）文件验收。</w:t>
      </w:r>
    </w:p>
    <w:p w14:paraId="6A3940CB">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6.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14:paraId="457B3F71">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7.甲方在初步验收或者最终验收过程中如发现乙方提供的服务成果不满足响应文件及本合同规定的，可暂缓向乙方付款，直到乙方及时完善并提交相应的服务成果且经甲方验收合格后，方可办理付款。</w:t>
      </w:r>
    </w:p>
    <w:p w14:paraId="774915F1">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8.甲方验收时以书面形式提出异议的，乙方应自收到甲方书面异议后五个工作日内及时予以解决，否则甲方有权不出具服务验收合格单。</w:t>
      </w:r>
    </w:p>
    <w:p w14:paraId="47A0DD88">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 xml:space="preserve">第五条  履约保证金   </w:t>
      </w:r>
    </w:p>
    <w:p w14:paraId="132DDB65">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本合同履约保证金金额：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C1C421E">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第六条  税费</w:t>
      </w:r>
    </w:p>
    <w:p w14:paraId="44001ACF">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14:paraId="36A741FF">
      <w:pPr>
        <w:snapToGrid w:val="0"/>
        <w:spacing w:line="440" w:lineRule="exact"/>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第七条  付款方式</w:t>
      </w:r>
    </w:p>
    <w:p w14:paraId="3DC50025">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1.资金性质：</w:t>
      </w:r>
      <w:r>
        <w:rPr>
          <w:rFonts w:hint="eastAsia" w:ascii="宋体" w:hAnsi="宋体" w:cs="宋体"/>
          <w:color w:val="auto"/>
          <w:sz w:val="24"/>
          <w:highlight w:val="none"/>
          <w:u w:val="single"/>
        </w:rPr>
        <w:t>财政性资金</w:t>
      </w:r>
      <w:r>
        <w:rPr>
          <w:rFonts w:hint="eastAsia" w:ascii="宋体" w:hAnsi="宋体" w:cs="宋体"/>
          <w:color w:val="auto"/>
          <w:sz w:val="24"/>
          <w:highlight w:val="none"/>
        </w:rPr>
        <w:t>。</w:t>
      </w:r>
    </w:p>
    <w:p w14:paraId="73EFD3C5">
      <w:pPr>
        <w:snapToGrid w:val="0"/>
        <w:spacing w:line="440" w:lineRule="exact"/>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2.付款方式：</w:t>
      </w:r>
      <w:r>
        <w:rPr>
          <w:rFonts w:hint="eastAsia" w:ascii="宋体" w:hAnsi="宋体" w:cs="宋体"/>
          <w:color w:val="auto"/>
          <w:sz w:val="24"/>
          <w:highlight w:val="none"/>
          <w:u w:val="single"/>
        </w:rPr>
        <w:t xml:space="preserve">          </w:t>
      </w:r>
    </w:p>
    <w:p w14:paraId="426BFA08">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3.货款支付形式为：</w:t>
      </w:r>
      <w:r>
        <w:rPr>
          <w:rFonts w:hint="eastAsia" w:ascii="宋体" w:hAnsi="宋体" w:cs="宋体"/>
          <w:color w:val="auto"/>
          <w:sz w:val="24"/>
          <w:highlight w:val="none"/>
          <w:u w:val="single"/>
        </w:rPr>
        <w:t>转账</w:t>
      </w:r>
      <w:r>
        <w:rPr>
          <w:rFonts w:hint="eastAsia" w:ascii="宋体" w:hAnsi="宋体" w:cs="宋体"/>
          <w:color w:val="auto"/>
          <w:sz w:val="24"/>
          <w:highlight w:val="none"/>
        </w:rPr>
        <w:t>。</w:t>
      </w:r>
    </w:p>
    <w:p w14:paraId="662925FF">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第八条  违约责任</w:t>
      </w:r>
    </w:p>
    <w:p w14:paraId="1DF3CB41">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1.乙方提供的服务如侵犯了第三方合法权益而引发的任何纠纷或诉讼，均由乙方负责交涉并承担全部责任。</w:t>
      </w:r>
    </w:p>
    <w:p w14:paraId="274AD8EB">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2.乙方未按本合同和投标（响应）文件中规定的服务承诺提供服务或所提供的服务质量不合格的，乙方应按本合同合计金额 5% 向甲方支付违约金并赔偿甲方经济损失。</w:t>
      </w:r>
    </w:p>
    <w:p w14:paraId="3DA2CB6A">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3.乙方有其它违约行为的，每发生一次按违约货款额5%收取违约金。乙方因违约给甲方造成的损失的，应向甲方赔偿全部经济损失（包括但不限于委托人的直接损失、预期利益损失、为索赔支出的费用、律师费、诉讼费、公证费、鉴定费等）。</w:t>
      </w:r>
    </w:p>
    <w:p w14:paraId="2F5B590E">
      <w:pPr>
        <w:snapToGrid w:val="0"/>
        <w:spacing w:line="440" w:lineRule="exact"/>
        <w:ind w:firstLine="480" w:firstLineChars="200"/>
        <w:jc w:val="left"/>
        <w:rPr>
          <w:rFonts w:ascii="宋体" w:hAnsi="宋体" w:cs="宋体"/>
          <w:b/>
          <w:color w:val="auto"/>
          <w:sz w:val="24"/>
          <w:highlight w:val="none"/>
        </w:rPr>
      </w:pPr>
      <w:r>
        <w:rPr>
          <w:rFonts w:hint="eastAsia" w:ascii="宋体" w:hAnsi="宋体" w:cs="宋体"/>
          <w:bCs/>
          <w:color w:val="auto"/>
          <w:sz w:val="24"/>
          <w:highlight w:val="none"/>
        </w:rPr>
        <w:t>4.未经甲方书面同意，乙方不得转让其应履行的合同义务。若乙方违反该条约定，甲方有权解除合同。甲方因此解除合同的，有权不予支付任何款项给乙方，已经支付的，乙方应当自甲方要求返还之日起5日内予以返还，此外乙方还应支付合同总价15%的违约金给甲方并赔偿甲方经济损失。若甲方没有因此解除合同，甲方有权要求乙方支付合同总价15%的违约金给甲方并赔偿甲方经济损失，并要求乙方继续履行合同约定的义务。</w:t>
      </w:r>
    </w:p>
    <w:p w14:paraId="24A1434A">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第九条  不可抗力事件处理</w:t>
      </w:r>
    </w:p>
    <w:p w14:paraId="13720F12">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1.在合同有效期内，任何一方因不可抗力事件导致不能履行合同，则合同履行期可延长，其延长期与不可抗力影响期相同。</w:t>
      </w:r>
    </w:p>
    <w:p w14:paraId="00E62A4F">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2.不可抗力事件发生后，应立即书面通知对方，并寄送有关权威机构出具的证明。</w:t>
      </w:r>
    </w:p>
    <w:p w14:paraId="277770B1">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3.不可抗力事件延续一百二十天以上，双方应通过友好协商，确定是否继续履行合同。</w:t>
      </w:r>
    </w:p>
    <w:p w14:paraId="49DD8EB6">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第十条  合同争议解决</w:t>
      </w:r>
    </w:p>
    <w:p w14:paraId="483ACB6C">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1.因履行本合同引起的或与本合同有关的争议，甲乙双方应首先通过友好协商解决，如果协商不能解决，可向甲方所在地人民法院提起诉讼。</w:t>
      </w:r>
    </w:p>
    <w:p w14:paraId="335BC7F0">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2.诉讼期间，本合同继续履行。</w:t>
      </w:r>
    </w:p>
    <w:p w14:paraId="62983836">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第十一条  合同生效及其它</w:t>
      </w:r>
    </w:p>
    <w:p w14:paraId="1D59332E">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1．合同经双方法定代表人或授权代表签字并加盖单位公章后生效。</w:t>
      </w:r>
    </w:p>
    <w:p w14:paraId="5D91BB55">
      <w:pPr>
        <w:snapToGrid w:val="0"/>
        <w:spacing w:line="440" w:lineRule="exact"/>
        <w:ind w:firstLine="480" w:firstLineChars="200"/>
        <w:jc w:val="left"/>
        <w:rPr>
          <w:rFonts w:ascii="宋体" w:hAnsi="宋体" w:cs="宋体"/>
          <w:bCs/>
          <w:color w:val="auto"/>
          <w:kern w:val="21"/>
          <w:sz w:val="24"/>
          <w:highlight w:val="none"/>
        </w:rPr>
      </w:pPr>
      <w:r>
        <w:rPr>
          <w:rFonts w:hint="eastAsia" w:ascii="宋体" w:hAnsi="宋体" w:cs="宋体"/>
          <w:bCs/>
          <w:color w:val="auto"/>
          <w:kern w:val="21"/>
          <w:sz w:val="24"/>
          <w:highlight w:val="none"/>
        </w:rPr>
        <w:t>2．合同执行中涉及采购资金和采购内容修改或补充的，须经财政部门审批，并签书面补充协议报财政部门备案，方可作为主合同不可分割的一部分。</w:t>
      </w:r>
    </w:p>
    <w:p w14:paraId="5D24427C">
      <w:pPr>
        <w:snapToGrid w:val="0"/>
        <w:spacing w:line="440" w:lineRule="exact"/>
        <w:ind w:firstLine="480" w:firstLineChars="200"/>
        <w:jc w:val="left"/>
        <w:rPr>
          <w:rFonts w:ascii="宋体" w:hAnsi="宋体" w:cs="宋体"/>
          <w:b/>
          <w:color w:val="auto"/>
          <w:kern w:val="21"/>
          <w:sz w:val="24"/>
          <w:highlight w:val="none"/>
        </w:rPr>
      </w:pPr>
      <w:r>
        <w:rPr>
          <w:rFonts w:hint="eastAsia" w:ascii="宋体" w:hAnsi="宋体" w:cs="宋体"/>
          <w:bCs/>
          <w:color w:val="auto"/>
          <w:kern w:val="21"/>
          <w:sz w:val="24"/>
          <w:highlight w:val="none"/>
        </w:rPr>
        <w:t>3．本合同未尽事宜，由双方协商，签订补充协议。</w:t>
      </w:r>
    </w:p>
    <w:p w14:paraId="1F364162">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第十二条  签订本合同依据</w:t>
      </w:r>
    </w:p>
    <w:p w14:paraId="0152ADD4">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1.采购文件；</w:t>
      </w:r>
    </w:p>
    <w:p w14:paraId="35EB716D">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2.乙方提供的投标</w:t>
      </w:r>
      <w:r>
        <w:rPr>
          <w:rFonts w:hint="eastAsia" w:ascii="宋体" w:hAnsi="宋体" w:cs="宋体"/>
          <w:color w:val="auto"/>
          <w:sz w:val="24"/>
          <w:highlight w:val="none"/>
        </w:rPr>
        <w:t>（响应）</w:t>
      </w:r>
      <w:r>
        <w:rPr>
          <w:rFonts w:hint="eastAsia" w:ascii="宋体" w:hAnsi="宋体" w:cs="宋体"/>
          <w:bCs/>
          <w:color w:val="auto"/>
          <w:sz w:val="24"/>
          <w:highlight w:val="none"/>
        </w:rPr>
        <w:t>文件；</w:t>
      </w:r>
    </w:p>
    <w:p w14:paraId="783BD820">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3.投标资格声明函（竞标声明函）；</w:t>
      </w:r>
    </w:p>
    <w:p w14:paraId="73F94A02">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4.中标（成交）通知书。</w:t>
      </w:r>
    </w:p>
    <w:p w14:paraId="52530B48">
      <w:pPr>
        <w:snapToGrid w:val="0"/>
        <w:spacing w:line="440" w:lineRule="exact"/>
        <w:ind w:firstLine="482" w:firstLineChars="200"/>
        <w:jc w:val="left"/>
        <w:rPr>
          <w:rFonts w:ascii="宋体" w:hAnsi="宋体" w:cs="宋体"/>
          <w:bCs/>
          <w:color w:val="auto"/>
          <w:sz w:val="24"/>
          <w:highlight w:val="none"/>
        </w:rPr>
      </w:pPr>
      <w:r>
        <w:rPr>
          <w:rFonts w:hint="eastAsia" w:ascii="宋体" w:hAnsi="宋体" w:cs="宋体"/>
          <w:b/>
          <w:color w:val="auto"/>
          <w:sz w:val="24"/>
          <w:highlight w:val="none"/>
        </w:rPr>
        <w:t xml:space="preserve">第十三条 </w:t>
      </w:r>
      <w:r>
        <w:rPr>
          <w:rFonts w:hint="eastAsia" w:ascii="宋体" w:hAnsi="宋体" w:cs="宋体"/>
          <w:bCs/>
          <w:color w:val="auto"/>
          <w:sz w:val="24"/>
          <w:highlight w:val="none"/>
        </w:rPr>
        <w:t>本合同一式六份，具有同等法律效力。政府采购监督管理部门、采购代理机构各一份，甲方二份，乙方二份。</w:t>
      </w:r>
    </w:p>
    <w:p w14:paraId="6496423D">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本合同经甲乙双方法定代表人或授权代表签字并加盖单位公章后生效。</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4688"/>
      </w:tblGrid>
      <w:tr w14:paraId="1FB08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4437" w:type="dxa"/>
            <w:tcBorders>
              <w:top w:val="single" w:color="auto" w:sz="4" w:space="0"/>
              <w:left w:val="single" w:color="auto" w:sz="4" w:space="0"/>
              <w:bottom w:val="single" w:color="auto" w:sz="4" w:space="0"/>
              <w:right w:val="single" w:color="auto" w:sz="4" w:space="0"/>
            </w:tcBorders>
            <w:vAlign w:val="center"/>
          </w:tcPr>
          <w:p w14:paraId="38B49A1C">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 xml:space="preserve">甲方（章）           </w:t>
            </w:r>
          </w:p>
        </w:tc>
        <w:tc>
          <w:tcPr>
            <w:tcW w:w="4688" w:type="dxa"/>
            <w:tcBorders>
              <w:top w:val="single" w:color="auto" w:sz="4" w:space="0"/>
              <w:left w:val="nil"/>
              <w:bottom w:val="single" w:color="auto" w:sz="4" w:space="0"/>
              <w:right w:val="single" w:color="auto" w:sz="4" w:space="0"/>
            </w:tcBorders>
            <w:vAlign w:val="center"/>
          </w:tcPr>
          <w:p w14:paraId="6A318E73">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 xml:space="preserve">乙方（章）              </w:t>
            </w:r>
          </w:p>
        </w:tc>
      </w:tr>
      <w:tr w14:paraId="1067C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4437" w:type="dxa"/>
            <w:tcBorders>
              <w:top w:val="single" w:color="auto" w:sz="4" w:space="0"/>
              <w:left w:val="single" w:color="auto" w:sz="4" w:space="0"/>
              <w:bottom w:val="single" w:color="auto" w:sz="4" w:space="0"/>
              <w:right w:val="single" w:color="auto" w:sz="4" w:space="0"/>
            </w:tcBorders>
            <w:vAlign w:val="center"/>
          </w:tcPr>
          <w:p w14:paraId="71205E00">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单位地址：</w:t>
            </w:r>
          </w:p>
        </w:tc>
        <w:tc>
          <w:tcPr>
            <w:tcW w:w="4688" w:type="dxa"/>
            <w:tcBorders>
              <w:top w:val="single" w:color="auto" w:sz="4" w:space="0"/>
              <w:left w:val="nil"/>
              <w:bottom w:val="single" w:color="auto" w:sz="4" w:space="0"/>
              <w:right w:val="single" w:color="auto" w:sz="4" w:space="0"/>
            </w:tcBorders>
            <w:vAlign w:val="center"/>
          </w:tcPr>
          <w:p w14:paraId="54D6446B">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单位地址：</w:t>
            </w:r>
          </w:p>
        </w:tc>
      </w:tr>
      <w:tr w14:paraId="61562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437" w:type="dxa"/>
            <w:tcBorders>
              <w:top w:val="single" w:color="auto" w:sz="4" w:space="0"/>
              <w:left w:val="single" w:color="auto" w:sz="4" w:space="0"/>
              <w:bottom w:val="single" w:color="auto" w:sz="4" w:space="0"/>
              <w:right w:val="single" w:color="auto" w:sz="4" w:space="0"/>
            </w:tcBorders>
            <w:vAlign w:val="center"/>
          </w:tcPr>
          <w:p w14:paraId="15A76113">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法定代表人：</w:t>
            </w:r>
          </w:p>
        </w:tc>
        <w:tc>
          <w:tcPr>
            <w:tcW w:w="4688" w:type="dxa"/>
            <w:tcBorders>
              <w:top w:val="single" w:color="auto" w:sz="4" w:space="0"/>
              <w:left w:val="nil"/>
              <w:bottom w:val="single" w:color="auto" w:sz="4" w:space="0"/>
              <w:right w:val="single" w:color="auto" w:sz="4" w:space="0"/>
            </w:tcBorders>
            <w:vAlign w:val="center"/>
          </w:tcPr>
          <w:p w14:paraId="585A2E38">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法定代表人：</w:t>
            </w:r>
          </w:p>
        </w:tc>
      </w:tr>
      <w:tr w14:paraId="522F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4437" w:type="dxa"/>
            <w:tcBorders>
              <w:top w:val="single" w:color="auto" w:sz="4" w:space="0"/>
              <w:left w:val="single" w:color="auto" w:sz="4" w:space="0"/>
              <w:bottom w:val="single" w:color="auto" w:sz="4" w:space="0"/>
              <w:right w:val="single" w:color="auto" w:sz="4" w:space="0"/>
            </w:tcBorders>
            <w:vAlign w:val="center"/>
          </w:tcPr>
          <w:p w14:paraId="787633E3">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委托代理人：</w:t>
            </w:r>
          </w:p>
        </w:tc>
        <w:tc>
          <w:tcPr>
            <w:tcW w:w="4688" w:type="dxa"/>
            <w:tcBorders>
              <w:top w:val="single" w:color="auto" w:sz="4" w:space="0"/>
              <w:left w:val="nil"/>
              <w:bottom w:val="single" w:color="auto" w:sz="4" w:space="0"/>
              <w:right w:val="single" w:color="auto" w:sz="4" w:space="0"/>
            </w:tcBorders>
            <w:vAlign w:val="center"/>
          </w:tcPr>
          <w:p w14:paraId="3310324F">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委托代理人</w:t>
            </w:r>
          </w:p>
        </w:tc>
      </w:tr>
      <w:tr w14:paraId="5DD96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4437" w:type="dxa"/>
            <w:tcBorders>
              <w:top w:val="single" w:color="auto" w:sz="4" w:space="0"/>
              <w:left w:val="single" w:color="auto" w:sz="4" w:space="0"/>
              <w:bottom w:val="single" w:color="auto" w:sz="4" w:space="0"/>
              <w:right w:val="single" w:color="auto" w:sz="4" w:space="0"/>
            </w:tcBorders>
            <w:vAlign w:val="center"/>
          </w:tcPr>
          <w:p w14:paraId="2BC717DA">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电话：</w:t>
            </w:r>
          </w:p>
        </w:tc>
        <w:tc>
          <w:tcPr>
            <w:tcW w:w="4688" w:type="dxa"/>
            <w:tcBorders>
              <w:top w:val="single" w:color="auto" w:sz="4" w:space="0"/>
              <w:left w:val="nil"/>
              <w:bottom w:val="single" w:color="auto" w:sz="4" w:space="0"/>
              <w:right w:val="single" w:color="auto" w:sz="4" w:space="0"/>
            </w:tcBorders>
            <w:vAlign w:val="center"/>
          </w:tcPr>
          <w:p w14:paraId="335619A3">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电话：</w:t>
            </w:r>
          </w:p>
        </w:tc>
      </w:tr>
      <w:tr w14:paraId="044D1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437" w:type="dxa"/>
            <w:tcBorders>
              <w:top w:val="single" w:color="auto" w:sz="4" w:space="0"/>
              <w:left w:val="single" w:color="auto" w:sz="4" w:space="0"/>
              <w:bottom w:val="single" w:color="auto" w:sz="4" w:space="0"/>
              <w:right w:val="single" w:color="auto" w:sz="4" w:space="0"/>
            </w:tcBorders>
            <w:vAlign w:val="center"/>
          </w:tcPr>
          <w:p w14:paraId="38A76791">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电子邮箱：</w:t>
            </w:r>
          </w:p>
        </w:tc>
        <w:tc>
          <w:tcPr>
            <w:tcW w:w="4688" w:type="dxa"/>
            <w:tcBorders>
              <w:top w:val="single" w:color="auto" w:sz="4" w:space="0"/>
              <w:left w:val="nil"/>
              <w:bottom w:val="single" w:color="auto" w:sz="4" w:space="0"/>
              <w:right w:val="single" w:color="auto" w:sz="4" w:space="0"/>
            </w:tcBorders>
            <w:vAlign w:val="center"/>
          </w:tcPr>
          <w:p w14:paraId="08789EB6">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电子邮箱：</w:t>
            </w:r>
          </w:p>
        </w:tc>
      </w:tr>
      <w:tr w14:paraId="6392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437" w:type="dxa"/>
            <w:tcBorders>
              <w:top w:val="single" w:color="auto" w:sz="4" w:space="0"/>
              <w:left w:val="single" w:color="auto" w:sz="4" w:space="0"/>
              <w:bottom w:val="single" w:color="auto" w:sz="4" w:space="0"/>
              <w:right w:val="single" w:color="auto" w:sz="4" w:space="0"/>
            </w:tcBorders>
            <w:vAlign w:val="center"/>
          </w:tcPr>
          <w:p w14:paraId="563A539F">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开户银行：</w:t>
            </w:r>
          </w:p>
        </w:tc>
        <w:tc>
          <w:tcPr>
            <w:tcW w:w="4688" w:type="dxa"/>
            <w:tcBorders>
              <w:top w:val="single" w:color="auto" w:sz="4" w:space="0"/>
              <w:left w:val="nil"/>
              <w:bottom w:val="single" w:color="auto" w:sz="4" w:space="0"/>
              <w:right w:val="single" w:color="auto" w:sz="4" w:space="0"/>
            </w:tcBorders>
            <w:vAlign w:val="center"/>
          </w:tcPr>
          <w:p w14:paraId="75A9BC9F">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开户银行：</w:t>
            </w:r>
          </w:p>
        </w:tc>
      </w:tr>
      <w:tr w14:paraId="3E46A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437" w:type="dxa"/>
            <w:tcBorders>
              <w:top w:val="single" w:color="auto" w:sz="4" w:space="0"/>
              <w:left w:val="single" w:color="auto" w:sz="4" w:space="0"/>
              <w:bottom w:val="single" w:color="auto" w:sz="4" w:space="0"/>
              <w:right w:val="single" w:color="auto" w:sz="4" w:space="0"/>
            </w:tcBorders>
            <w:vAlign w:val="center"/>
          </w:tcPr>
          <w:p w14:paraId="21EBF085">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账号：</w:t>
            </w:r>
          </w:p>
        </w:tc>
        <w:tc>
          <w:tcPr>
            <w:tcW w:w="4688" w:type="dxa"/>
            <w:tcBorders>
              <w:top w:val="single" w:color="auto" w:sz="4" w:space="0"/>
              <w:left w:val="nil"/>
              <w:bottom w:val="single" w:color="auto" w:sz="4" w:space="0"/>
              <w:right w:val="single" w:color="auto" w:sz="4" w:space="0"/>
            </w:tcBorders>
            <w:vAlign w:val="center"/>
          </w:tcPr>
          <w:p w14:paraId="6E0CE73E">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账号：</w:t>
            </w:r>
          </w:p>
        </w:tc>
      </w:tr>
      <w:tr w14:paraId="5214D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437" w:type="dxa"/>
            <w:tcBorders>
              <w:top w:val="single" w:color="auto" w:sz="4" w:space="0"/>
              <w:left w:val="single" w:color="auto" w:sz="4" w:space="0"/>
              <w:bottom w:val="single" w:color="auto" w:sz="4" w:space="0"/>
              <w:right w:val="single" w:color="auto" w:sz="4" w:space="0"/>
            </w:tcBorders>
            <w:vAlign w:val="center"/>
          </w:tcPr>
          <w:p w14:paraId="6BCD9608">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邮政编码：</w:t>
            </w:r>
          </w:p>
        </w:tc>
        <w:tc>
          <w:tcPr>
            <w:tcW w:w="4688" w:type="dxa"/>
            <w:tcBorders>
              <w:top w:val="single" w:color="auto" w:sz="4" w:space="0"/>
              <w:left w:val="nil"/>
              <w:bottom w:val="single" w:color="auto" w:sz="4" w:space="0"/>
              <w:right w:val="single" w:color="auto" w:sz="4" w:space="0"/>
            </w:tcBorders>
            <w:vAlign w:val="center"/>
          </w:tcPr>
          <w:p w14:paraId="6FD8E087">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邮政编码：</w:t>
            </w:r>
          </w:p>
        </w:tc>
      </w:tr>
      <w:tr w14:paraId="338F3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25" w:type="dxa"/>
            <w:gridSpan w:val="2"/>
            <w:tcBorders>
              <w:top w:val="single" w:color="auto" w:sz="4" w:space="0"/>
              <w:left w:val="single" w:color="auto" w:sz="4" w:space="0"/>
              <w:bottom w:val="single" w:color="auto" w:sz="4" w:space="0"/>
              <w:right w:val="single" w:color="auto" w:sz="4" w:space="0"/>
            </w:tcBorders>
          </w:tcPr>
          <w:p w14:paraId="05879699">
            <w:pPr>
              <w:snapToGrid w:val="0"/>
              <w:spacing w:line="360" w:lineRule="exact"/>
              <w:ind w:firstLine="720" w:firstLineChars="300"/>
              <w:jc w:val="right"/>
              <w:rPr>
                <w:rFonts w:ascii="宋体" w:hAnsi="宋体" w:cs="宋体"/>
                <w:color w:val="auto"/>
                <w:sz w:val="24"/>
                <w:highlight w:val="none"/>
              </w:rPr>
            </w:pPr>
            <w:r>
              <w:rPr>
                <w:rFonts w:hint="eastAsia" w:ascii="宋体" w:hAnsi="宋体" w:cs="宋体"/>
                <w:color w:val="auto"/>
                <w:sz w:val="24"/>
                <w:highlight w:val="none"/>
              </w:rPr>
              <w:t xml:space="preserve">  签订日期：    年    月    日</w:t>
            </w:r>
          </w:p>
        </w:tc>
      </w:tr>
    </w:tbl>
    <w:p w14:paraId="6E540F9C">
      <w:pPr>
        <w:snapToGrid w:val="0"/>
        <w:spacing w:line="400" w:lineRule="exact"/>
        <w:ind w:left="120" w:hanging="120" w:hangingChars="200"/>
        <w:rPr>
          <w:rFonts w:ascii="方正小标宋简体" w:hAnsi="方正小标宋简体" w:eastAsia="方正小标宋简体" w:cs="方正小标宋简体"/>
          <w:color w:val="auto"/>
          <w:sz w:val="6"/>
          <w:szCs w:val="6"/>
          <w:highlight w:val="none"/>
        </w:rPr>
      </w:pPr>
    </w:p>
    <w:sectPr>
      <w:pgSz w:w="11906" w:h="16838"/>
      <w:pgMar w:top="1440" w:right="1080" w:bottom="1440" w:left="108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7C0CF0B-9A7B-4853-986C-4CADC4DD184B}"/>
  </w:font>
  <w:font w:name="黑体">
    <w:panose1 w:val="02010609060101010101"/>
    <w:charset w:val="86"/>
    <w:family w:val="auto"/>
    <w:pitch w:val="default"/>
    <w:sig w:usb0="800002BF" w:usb1="38CF7CFA" w:usb2="00000016" w:usb3="00000000" w:csb0="00040001" w:csb1="00000000"/>
    <w:embedRegular r:id="rId2" w:fontKey="{55DA2B82-9BCD-4F1E-8903-4627F4BC370A}"/>
  </w:font>
  <w:font w:name="Courier New">
    <w:panose1 w:val="02070309020205020404"/>
    <w:charset w:val="01"/>
    <w:family w:val="modern"/>
    <w:pitch w:val="default"/>
    <w:sig w:usb0="E0002EFF" w:usb1="C0007843" w:usb2="00000009" w:usb3="00000000" w:csb0="400001FF" w:csb1="FFFF0000"/>
    <w:embedRegular r:id="rId3" w:fontKey="{4961F0DB-1188-4F93-B7E6-83E49B6AAFF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4" w:fontKey="{05B7EE44-054F-47BE-AF51-2458A3E0F133}"/>
  </w:font>
  <w:font w:name="Tahoma">
    <w:panose1 w:val="020B0604030504040204"/>
    <w:charset w:val="00"/>
    <w:family w:val="swiss"/>
    <w:pitch w:val="default"/>
    <w:sig w:usb0="E1002EFF" w:usb1="C000605B" w:usb2="00000029" w:usb3="00000000" w:csb0="200101FF" w:csb1="20280000"/>
    <w:embedRegular r:id="rId5" w:fontKey="{B97A82F0-4FFA-4500-890D-809996310D39}"/>
  </w:font>
  <w:font w:name="仿宋">
    <w:panose1 w:val="02010609060101010101"/>
    <w:charset w:val="86"/>
    <w:family w:val="modern"/>
    <w:pitch w:val="default"/>
    <w:sig w:usb0="800002BF" w:usb1="38CF7CFA" w:usb2="00000016" w:usb3="00000000" w:csb0="00040001" w:csb1="00000000"/>
    <w:embedRegular r:id="rId6" w:fontKey="{2873F5C4-85F1-4619-900A-19618ABD11CA}"/>
  </w:font>
  <w:font w:name="Helvetica">
    <w:altName w:val="Arial"/>
    <w:panose1 w:val="020B0604020202020204"/>
    <w:charset w:val="00"/>
    <w:family w:val="swiss"/>
    <w:pitch w:val="default"/>
    <w:sig w:usb0="00000000" w:usb1="00000000" w:usb2="00000009" w:usb3="00000000" w:csb0="000001FF" w:csb1="00000000"/>
  </w:font>
  <w:font w:name="华文新魏">
    <w:panose1 w:val="02010800040101010101"/>
    <w:charset w:val="86"/>
    <w:family w:val="auto"/>
    <w:pitch w:val="default"/>
    <w:sig w:usb0="00000001" w:usb1="080F0000" w:usb2="00000000" w:usb3="00000000" w:csb0="00040000" w:csb1="00000000"/>
    <w:embedRegular r:id="rId7" w:fontKey="{400C2DC0-EFED-4360-887F-D25791308031}"/>
  </w:font>
  <w:font w:name="Segoe UI Symbol">
    <w:panose1 w:val="020B0502040204020203"/>
    <w:charset w:val="00"/>
    <w:family w:val="swiss"/>
    <w:pitch w:val="default"/>
    <w:sig w:usb0="800001E3" w:usb1="1200FFEF" w:usb2="00040000" w:usb3="04000000" w:csb0="00000001" w:csb1="40000000"/>
    <w:embedRegular r:id="rId8" w:fontKey="{88BE916E-BBF4-462B-9CDE-8FD58715F932}"/>
  </w:font>
  <w:font w:name="微软雅黑">
    <w:panose1 w:val="020B0503020204020204"/>
    <w:charset w:val="86"/>
    <w:family w:val="swiss"/>
    <w:pitch w:val="default"/>
    <w:sig w:usb0="80000287" w:usb1="2ACF3C50" w:usb2="00000016" w:usb3="00000000" w:csb0="0004001F" w:csb1="00000000"/>
    <w:embedRegular r:id="rId9" w:fontKey="{279A69CD-7799-4606-B482-7A05D06A2EAE}"/>
  </w:font>
  <w:font w:name="___WRD_EMBED_SUB_45">
    <w:altName w:val="宋体"/>
    <w:panose1 w:val="00000000000000000000"/>
    <w:charset w:val="86"/>
    <w:family w:val="modern"/>
    <w:pitch w:val="default"/>
    <w:sig w:usb0="00000000" w:usb1="00000000" w:usb2="00000000" w:usb3="00000000" w:csb0="00040000" w:csb1="00000000"/>
    <w:embedRegular r:id="rId10" w:fontKey="{0D333500-928E-46F3-988F-E91107AF5EA5}"/>
  </w:font>
  <w:font w:name="方正小标宋简体">
    <w:panose1 w:val="02000000000000000000"/>
    <w:charset w:val="86"/>
    <w:family w:val="script"/>
    <w:pitch w:val="default"/>
    <w:sig w:usb0="00000001" w:usb1="08000000" w:usb2="00000000" w:usb3="00000000" w:csb0="00040000" w:csb1="00000000"/>
    <w:embedRegular r:id="rId11" w:fontKey="{9BAB6412-6DFC-4548-9FA8-5CB625476C93}"/>
  </w:font>
  <w:font w:name="Wingdings 2">
    <w:panose1 w:val="05020102010507070707"/>
    <w:charset w:val="02"/>
    <w:family w:val="roman"/>
    <w:pitch w:val="default"/>
    <w:sig w:usb0="00000000" w:usb1="00000000" w:usb2="00000000" w:usb3="00000000" w:csb0="80000000" w:csb1="00000000"/>
    <w:embedRegular r:id="rId12" w:fontKey="{A27034E1-2129-4717-B64A-1C6254899E76}"/>
  </w:font>
  <w:font w:name="WPSEMBED2">
    <w:panose1 w:val="02010800040101010101"/>
    <w:charset w:val="86"/>
    <w:family w:val="auto"/>
    <w:pitch w:val="default"/>
    <w:sig w:usb0="00000001" w:usb1="080F0000" w:usb2="00000000" w:usb3="00000000" w:csb0="00040000" w:csb1="00000000"/>
  </w:font>
  <w:font w:name="WPSEMBED1">
    <w:panose1 w:val="02010609030101010101"/>
    <w:charset w:val="86"/>
    <w:family w:val="auto"/>
    <w:pitch w:val="default"/>
    <w:sig w:usb0="00000001" w:usb1="080E0000" w:usb2="00000000" w:usb3="00000000" w:csb0="00040000" w:csb1="00000000"/>
  </w:font>
  <w:font w:name="WPSEMBED3">
    <w:panose1 w:val="02000000000000000000"/>
    <w:charset w:val="86"/>
    <w:family w:val="auto"/>
    <w:pitch w:val="default"/>
    <w:sig w:usb0="00000001" w:usb1="08000000" w:usb2="00000000" w:usb3="00000000" w:csb0="00040000" w:csb1="00000000"/>
  </w:font>
  <w:font w:name="WPSEMBED4">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704D4">
    <w:pPr>
      <w:pStyle w:val="2"/>
      <w:tabs>
        <w:tab w:val="center" w:pos="4439"/>
        <w:tab w:val="clear" w:pos="4153"/>
      </w:tabs>
      <w:jc w:val="both"/>
    </w:pPr>
  </w:p>
  <w:p w14:paraId="2BDBB0F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E6A76">
    <w:pPr>
      <w:pStyle w:val="2"/>
      <w:tabs>
        <w:tab w:val="center" w:pos="443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3035"/>
              <wp:effectExtent l="0" t="0" r="0" b="0"/>
              <wp:wrapNone/>
              <wp:docPr id="4" name="文本框 5124"/>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a:effectLst/>
                    </wps:spPr>
                    <wps:txbx>
                      <w:txbxContent>
                        <w:p w14:paraId="021675F6"/>
                      </w:txbxContent>
                    </wps:txbx>
                    <wps:bodyPr wrap="none" lIns="0" tIns="0" rIns="0" bIns="0" anchor="t" anchorCtr="0">
                      <a:spAutoFit/>
                    </wps:bodyPr>
                  </wps:wsp>
                </a:graphicData>
              </a:graphic>
            </wp:anchor>
          </w:drawing>
        </mc:Choice>
        <mc:Fallback>
          <w:pict>
            <v:shape id="文本框 5124" o:spid="_x0000_s1026" o:spt="202" type="#_x0000_t202" style="position:absolute;left:0pt;margin-top:0pt;height:12.05pt;width:9.05pt;mso-position-horizontal:center;mso-position-horizontal-relative:margin;mso-wrap-style:none;z-index:25165926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JBU+a0AAAAAMBAAAPAAAAAAAAAAEAIAAA&#10;ACIAAABkcnMvZG93bnJldi54bWxQSwECFAAUAAAACACHTuJAWTzIctsBAAC1AwAADgAAAAAAAAAB&#10;ACAAAAAfAQAAZHJzL2Uyb0RvYy54bWxQSwUGAAAAAAYABgBZAQAAbAUAAAAA&#10;">
              <v:fill on="f" focussize="0,0"/>
              <v:stroke on="f"/>
              <v:imagedata o:title=""/>
              <o:lock v:ext="edit" aspectratio="f"/>
              <v:textbox inset="0mm,0mm,0mm,0mm" style="mso-fit-shape-to-text:t;">
                <w:txbxContent>
                  <w:p w14:paraId="021675F6"/>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A5300">
    <w:pPr>
      <w:pStyle w:val="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B10E82">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5B10E82">
                    <w:pPr>
                      <w:pStyle w:val="2"/>
                    </w:pPr>
                    <w:r>
                      <w:fldChar w:fldCharType="begin"/>
                    </w:r>
                    <w:r>
                      <w:instrText xml:space="preserve"> PAGE  \* MERGEFORMAT </w:instrText>
                    </w:r>
                    <w:r>
                      <w:fldChar w:fldCharType="separate"/>
                    </w:r>
                    <w:r>
                      <w:t>2</w:t>
                    </w:r>
                    <w:r>
                      <w:fldChar w:fldCharType="end"/>
                    </w:r>
                  </w:p>
                </w:txbxContent>
              </v:textbox>
            </v:shape>
          </w:pict>
        </mc:Fallback>
      </mc:AlternateContent>
    </w:r>
  </w:p>
  <w:p w14:paraId="5C2CC2E7">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76818">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85853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585853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97E2F">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C50C1">
    <w:pPr>
      <w:pStyle w:val="2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32D5D"/>
    <w:multiLevelType w:val="multilevel"/>
    <w:tmpl w:val="2A232D5D"/>
    <w:lvl w:ilvl="0" w:tentative="0">
      <w:start w:val="1"/>
      <w:numFmt w:val="decimal"/>
      <w:pStyle w:val="110"/>
      <w:lvlText w:val="%1."/>
      <w:lvlJc w:val="left"/>
      <w:pPr>
        <w:ind w:left="0" w:firstLine="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EFDCB13"/>
    <w:multiLevelType w:val="singleLevel"/>
    <w:tmpl w:val="2EFDCB13"/>
    <w:lvl w:ilvl="0" w:tentative="0">
      <w:start w:val="2"/>
      <w:numFmt w:val="chineseCounting"/>
      <w:suff w:val="nothing"/>
      <w:lvlText w:val="（%1）"/>
      <w:lvlJc w:val="left"/>
      <w:rPr>
        <w:rFonts w:hint="eastAsia"/>
      </w:rPr>
    </w:lvl>
  </w:abstractNum>
  <w:abstractNum w:abstractNumId="2">
    <w:nsid w:val="339A5395"/>
    <w:multiLevelType w:val="multilevel"/>
    <w:tmpl w:val="339A5395"/>
    <w:lvl w:ilvl="0" w:tentative="0">
      <w:start w:val="1"/>
      <w:numFmt w:val="decimal"/>
      <w:pStyle w:val="109"/>
      <w:lvlText w:val="%1)"/>
      <w:lvlJc w:val="left"/>
      <w:pPr>
        <w:ind w:left="0" w:firstLine="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D5557BB"/>
    <w:multiLevelType w:val="multilevel"/>
    <w:tmpl w:val="5D5557BB"/>
    <w:lvl w:ilvl="0" w:tentative="0">
      <w:start w:val="1"/>
      <w:numFmt w:val="decimal"/>
      <w:pStyle w:val="107"/>
      <w:lvlText w:val="%1."/>
      <w:lvlJc w:val="left"/>
      <w:pPr>
        <w:ind w:left="0" w:firstLine="0"/>
      </w:p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4">
    <w:nsid w:val="69233C06"/>
    <w:multiLevelType w:val="multilevel"/>
    <w:tmpl w:val="69233C06"/>
    <w:lvl w:ilvl="0" w:tentative="0">
      <w:start w:val="1"/>
      <w:numFmt w:val="bullet"/>
      <w:pStyle w:val="108"/>
      <w:lvlText w:val=""/>
      <w:lvlJc w:val="left"/>
      <w:pPr>
        <w:ind w:left="0" w:firstLine="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3173AD"/>
    <w:multiLevelType w:val="multilevel"/>
    <w:tmpl w:val="6B3173AD"/>
    <w:lvl w:ilvl="0" w:tentative="0">
      <w:start w:val="1"/>
      <w:numFmt w:val="decimal"/>
      <w:pStyle w:val="111"/>
      <w:lvlText w:val="%1)"/>
      <w:lvlJc w:val="left"/>
      <w:pPr>
        <w:ind w:left="0" w:firstLine="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1EF22EB"/>
    <w:multiLevelType w:val="multilevel"/>
    <w:tmpl w:val="71EF22EB"/>
    <w:lvl w:ilvl="0" w:tentative="0">
      <w:start w:val="1"/>
      <w:numFmt w:val="bullet"/>
      <w:pStyle w:val="112"/>
      <w:lvlText w:val=""/>
      <w:lvlJc w:val="left"/>
      <w:pPr>
        <w:ind w:left="0" w:firstLine="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num w:numId="1">
    <w:abstractNumId w:val="3"/>
  </w:num>
  <w:num w:numId="2">
    <w:abstractNumId w:val="4"/>
  </w:num>
  <w:num w:numId="3">
    <w:abstractNumId w:val="2"/>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djYWIxMWVkNjI4MzFjNzBhOWRiZGU2ZmRjN2JjZWIifQ=="/>
  </w:docVars>
  <w:rsids>
    <w:rsidRoot w:val="00F34B14"/>
    <w:rsid w:val="000002E0"/>
    <w:rsid w:val="00000672"/>
    <w:rsid w:val="00001013"/>
    <w:rsid w:val="00001799"/>
    <w:rsid w:val="00001AF2"/>
    <w:rsid w:val="00001ECA"/>
    <w:rsid w:val="00002D29"/>
    <w:rsid w:val="00003B93"/>
    <w:rsid w:val="0000474D"/>
    <w:rsid w:val="00005FDF"/>
    <w:rsid w:val="0000644A"/>
    <w:rsid w:val="000070B3"/>
    <w:rsid w:val="000076B8"/>
    <w:rsid w:val="000109DC"/>
    <w:rsid w:val="00010D39"/>
    <w:rsid w:val="0001172C"/>
    <w:rsid w:val="00011BC9"/>
    <w:rsid w:val="00012053"/>
    <w:rsid w:val="00012854"/>
    <w:rsid w:val="00012C21"/>
    <w:rsid w:val="00012EA6"/>
    <w:rsid w:val="00013359"/>
    <w:rsid w:val="000139CF"/>
    <w:rsid w:val="00013AA4"/>
    <w:rsid w:val="00013DFE"/>
    <w:rsid w:val="000141EA"/>
    <w:rsid w:val="0001469F"/>
    <w:rsid w:val="00016ABC"/>
    <w:rsid w:val="000177DB"/>
    <w:rsid w:val="000179C9"/>
    <w:rsid w:val="00017CCC"/>
    <w:rsid w:val="00020227"/>
    <w:rsid w:val="00020263"/>
    <w:rsid w:val="000203B7"/>
    <w:rsid w:val="00020455"/>
    <w:rsid w:val="00020813"/>
    <w:rsid w:val="000215D0"/>
    <w:rsid w:val="00021813"/>
    <w:rsid w:val="000220B2"/>
    <w:rsid w:val="0002264C"/>
    <w:rsid w:val="00022731"/>
    <w:rsid w:val="00022792"/>
    <w:rsid w:val="00023E38"/>
    <w:rsid w:val="00024463"/>
    <w:rsid w:val="00025461"/>
    <w:rsid w:val="00025636"/>
    <w:rsid w:val="00025E36"/>
    <w:rsid w:val="00026855"/>
    <w:rsid w:val="00026886"/>
    <w:rsid w:val="0002785D"/>
    <w:rsid w:val="000279D2"/>
    <w:rsid w:val="000307BE"/>
    <w:rsid w:val="000329E0"/>
    <w:rsid w:val="000352E9"/>
    <w:rsid w:val="00035494"/>
    <w:rsid w:val="00035DD6"/>
    <w:rsid w:val="00036125"/>
    <w:rsid w:val="00036A07"/>
    <w:rsid w:val="0003780B"/>
    <w:rsid w:val="00040571"/>
    <w:rsid w:val="00040973"/>
    <w:rsid w:val="0004156E"/>
    <w:rsid w:val="00041713"/>
    <w:rsid w:val="00042B13"/>
    <w:rsid w:val="0004440C"/>
    <w:rsid w:val="00046B5E"/>
    <w:rsid w:val="000470CB"/>
    <w:rsid w:val="000509D9"/>
    <w:rsid w:val="000512AF"/>
    <w:rsid w:val="00051ACB"/>
    <w:rsid w:val="000533E7"/>
    <w:rsid w:val="00055D41"/>
    <w:rsid w:val="00056EF6"/>
    <w:rsid w:val="00057CD6"/>
    <w:rsid w:val="00060DCE"/>
    <w:rsid w:val="000610E3"/>
    <w:rsid w:val="000614F3"/>
    <w:rsid w:val="000623B4"/>
    <w:rsid w:val="00062405"/>
    <w:rsid w:val="000634A7"/>
    <w:rsid w:val="00063B0B"/>
    <w:rsid w:val="00063F81"/>
    <w:rsid w:val="00064847"/>
    <w:rsid w:val="00065E08"/>
    <w:rsid w:val="00066C2B"/>
    <w:rsid w:val="000673E2"/>
    <w:rsid w:val="000677E3"/>
    <w:rsid w:val="00067EF1"/>
    <w:rsid w:val="0007063F"/>
    <w:rsid w:val="000707FD"/>
    <w:rsid w:val="00070949"/>
    <w:rsid w:val="000711E4"/>
    <w:rsid w:val="00071E9B"/>
    <w:rsid w:val="000720A1"/>
    <w:rsid w:val="000724D9"/>
    <w:rsid w:val="00072AED"/>
    <w:rsid w:val="00073F47"/>
    <w:rsid w:val="00074604"/>
    <w:rsid w:val="0007492F"/>
    <w:rsid w:val="00074ED8"/>
    <w:rsid w:val="00075B7E"/>
    <w:rsid w:val="00077ACA"/>
    <w:rsid w:val="00077C70"/>
    <w:rsid w:val="000802FA"/>
    <w:rsid w:val="00080468"/>
    <w:rsid w:val="00080FD3"/>
    <w:rsid w:val="000813B5"/>
    <w:rsid w:val="0008191E"/>
    <w:rsid w:val="00081AFA"/>
    <w:rsid w:val="00081BA3"/>
    <w:rsid w:val="00081D2E"/>
    <w:rsid w:val="00081F89"/>
    <w:rsid w:val="00082619"/>
    <w:rsid w:val="00082D02"/>
    <w:rsid w:val="0008381A"/>
    <w:rsid w:val="00083871"/>
    <w:rsid w:val="00083AD2"/>
    <w:rsid w:val="00083B91"/>
    <w:rsid w:val="00084104"/>
    <w:rsid w:val="0008473C"/>
    <w:rsid w:val="00084BB3"/>
    <w:rsid w:val="0008520B"/>
    <w:rsid w:val="000857DE"/>
    <w:rsid w:val="000860BD"/>
    <w:rsid w:val="00086286"/>
    <w:rsid w:val="000871B8"/>
    <w:rsid w:val="00087B0A"/>
    <w:rsid w:val="000916DA"/>
    <w:rsid w:val="00091AAB"/>
    <w:rsid w:val="00092442"/>
    <w:rsid w:val="000929EF"/>
    <w:rsid w:val="00092C26"/>
    <w:rsid w:val="000933BE"/>
    <w:rsid w:val="00093B37"/>
    <w:rsid w:val="0009560F"/>
    <w:rsid w:val="0009588E"/>
    <w:rsid w:val="000959EE"/>
    <w:rsid w:val="00096DB9"/>
    <w:rsid w:val="00097183"/>
    <w:rsid w:val="000972CB"/>
    <w:rsid w:val="00097608"/>
    <w:rsid w:val="000A0E76"/>
    <w:rsid w:val="000A0F35"/>
    <w:rsid w:val="000A1175"/>
    <w:rsid w:val="000A13F3"/>
    <w:rsid w:val="000A23B1"/>
    <w:rsid w:val="000A2B0E"/>
    <w:rsid w:val="000A398F"/>
    <w:rsid w:val="000A448C"/>
    <w:rsid w:val="000A509C"/>
    <w:rsid w:val="000A54A7"/>
    <w:rsid w:val="000A5A17"/>
    <w:rsid w:val="000A5DF3"/>
    <w:rsid w:val="000A6007"/>
    <w:rsid w:val="000A65A6"/>
    <w:rsid w:val="000A70E3"/>
    <w:rsid w:val="000A7275"/>
    <w:rsid w:val="000A7A12"/>
    <w:rsid w:val="000A7A72"/>
    <w:rsid w:val="000A7DAC"/>
    <w:rsid w:val="000A7F5C"/>
    <w:rsid w:val="000B1202"/>
    <w:rsid w:val="000B1801"/>
    <w:rsid w:val="000B1D0C"/>
    <w:rsid w:val="000B2273"/>
    <w:rsid w:val="000B2BC6"/>
    <w:rsid w:val="000B2D03"/>
    <w:rsid w:val="000B37F2"/>
    <w:rsid w:val="000B3815"/>
    <w:rsid w:val="000B3C7B"/>
    <w:rsid w:val="000B3E68"/>
    <w:rsid w:val="000B4321"/>
    <w:rsid w:val="000B4AC4"/>
    <w:rsid w:val="000B6A6B"/>
    <w:rsid w:val="000B6C95"/>
    <w:rsid w:val="000B79FC"/>
    <w:rsid w:val="000C1679"/>
    <w:rsid w:val="000C1DAF"/>
    <w:rsid w:val="000C1EE3"/>
    <w:rsid w:val="000C3AE7"/>
    <w:rsid w:val="000C3CC9"/>
    <w:rsid w:val="000C446C"/>
    <w:rsid w:val="000C59C6"/>
    <w:rsid w:val="000C59FD"/>
    <w:rsid w:val="000C6DE4"/>
    <w:rsid w:val="000C7202"/>
    <w:rsid w:val="000D0A89"/>
    <w:rsid w:val="000D1389"/>
    <w:rsid w:val="000D1798"/>
    <w:rsid w:val="000D2626"/>
    <w:rsid w:val="000D411D"/>
    <w:rsid w:val="000D4589"/>
    <w:rsid w:val="000D4809"/>
    <w:rsid w:val="000D73DD"/>
    <w:rsid w:val="000E1C51"/>
    <w:rsid w:val="000E28AB"/>
    <w:rsid w:val="000E2E3E"/>
    <w:rsid w:val="000E3583"/>
    <w:rsid w:val="000E3AF0"/>
    <w:rsid w:val="000E4E04"/>
    <w:rsid w:val="000E5C8B"/>
    <w:rsid w:val="000E693B"/>
    <w:rsid w:val="000E6D5C"/>
    <w:rsid w:val="000E6EC9"/>
    <w:rsid w:val="000E70B4"/>
    <w:rsid w:val="000E725F"/>
    <w:rsid w:val="000E7B62"/>
    <w:rsid w:val="000F0E1E"/>
    <w:rsid w:val="000F1A1B"/>
    <w:rsid w:val="000F2A95"/>
    <w:rsid w:val="000F3281"/>
    <w:rsid w:val="000F32FD"/>
    <w:rsid w:val="000F3733"/>
    <w:rsid w:val="000F5F8B"/>
    <w:rsid w:val="000F6153"/>
    <w:rsid w:val="000F64AA"/>
    <w:rsid w:val="000F74C6"/>
    <w:rsid w:val="000F7AF4"/>
    <w:rsid w:val="000F7C33"/>
    <w:rsid w:val="000F7F0C"/>
    <w:rsid w:val="001004D6"/>
    <w:rsid w:val="00101D1B"/>
    <w:rsid w:val="00102676"/>
    <w:rsid w:val="00103646"/>
    <w:rsid w:val="00103918"/>
    <w:rsid w:val="00104185"/>
    <w:rsid w:val="00104897"/>
    <w:rsid w:val="00104EDE"/>
    <w:rsid w:val="00104F54"/>
    <w:rsid w:val="00105CDA"/>
    <w:rsid w:val="00106BEE"/>
    <w:rsid w:val="001070E4"/>
    <w:rsid w:val="0010711C"/>
    <w:rsid w:val="00107368"/>
    <w:rsid w:val="00107BDF"/>
    <w:rsid w:val="00107C74"/>
    <w:rsid w:val="001104B2"/>
    <w:rsid w:val="0011091C"/>
    <w:rsid w:val="00111266"/>
    <w:rsid w:val="001112EB"/>
    <w:rsid w:val="0011247D"/>
    <w:rsid w:val="00112C88"/>
    <w:rsid w:val="0011352D"/>
    <w:rsid w:val="00113678"/>
    <w:rsid w:val="00113A7D"/>
    <w:rsid w:val="00113C3E"/>
    <w:rsid w:val="00114202"/>
    <w:rsid w:val="00114254"/>
    <w:rsid w:val="0011465D"/>
    <w:rsid w:val="00115E11"/>
    <w:rsid w:val="00115EEE"/>
    <w:rsid w:val="00115F56"/>
    <w:rsid w:val="00116CA9"/>
    <w:rsid w:val="00116F38"/>
    <w:rsid w:val="001170A4"/>
    <w:rsid w:val="00117AE7"/>
    <w:rsid w:val="00117B85"/>
    <w:rsid w:val="00117CBD"/>
    <w:rsid w:val="0012006A"/>
    <w:rsid w:val="001203BD"/>
    <w:rsid w:val="00121979"/>
    <w:rsid w:val="00122064"/>
    <w:rsid w:val="001223BF"/>
    <w:rsid w:val="00123CCB"/>
    <w:rsid w:val="00124341"/>
    <w:rsid w:val="00124492"/>
    <w:rsid w:val="00124B12"/>
    <w:rsid w:val="001250A0"/>
    <w:rsid w:val="001263B8"/>
    <w:rsid w:val="001268D1"/>
    <w:rsid w:val="00127F8A"/>
    <w:rsid w:val="00130217"/>
    <w:rsid w:val="00130783"/>
    <w:rsid w:val="00130A47"/>
    <w:rsid w:val="00130FB0"/>
    <w:rsid w:val="00132B47"/>
    <w:rsid w:val="001337F8"/>
    <w:rsid w:val="001348B4"/>
    <w:rsid w:val="001351CB"/>
    <w:rsid w:val="00135530"/>
    <w:rsid w:val="00135947"/>
    <w:rsid w:val="001359A2"/>
    <w:rsid w:val="00135F92"/>
    <w:rsid w:val="00136020"/>
    <w:rsid w:val="00136445"/>
    <w:rsid w:val="00136A9C"/>
    <w:rsid w:val="00137389"/>
    <w:rsid w:val="00140132"/>
    <w:rsid w:val="00141C3A"/>
    <w:rsid w:val="00141C9C"/>
    <w:rsid w:val="00142344"/>
    <w:rsid w:val="00142351"/>
    <w:rsid w:val="0014277F"/>
    <w:rsid w:val="001434BE"/>
    <w:rsid w:val="00143AAD"/>
    <w:rsid w:val="00144050"/>
    <w:rsid w:val="00144369"/>
    <w:rsid w:val="0014479F"/>
    <w:rsid w:val="001452B4"/>
    <w:rsid w:val="00145320"/>
    <w:rsid w:val="001476D3"/>
    <w:rsid w:val="0014786A"/>
    <w:rsid w:val="001509CF"/>
    <w:rsid w:val="00150D1D"/>
    <w:rsid w:val="001525AA"/>
    <w:rsid w:val="00152A87"/>
    <w:rsid w:val="00152AC1"/>
    <w:rsid w:val="00153BB5"/>
    <w:rsid w:val="00154396"/>
    <w:rsid w:val="00154518"/>
    <w:rsid w:val="00156359"/>
    <w:rsid w:val="00156DD6"/>
    <w:rsid w:val="0016086E"/>
    <w:rsid w:val="001609B9"/>
    <w:rsid w:val="00160D0C"/>
    <w:rsid w:val="00160DD1"/>
    <w:rsid w:val="00161172"/>
    <w:rsid w:val="0016186C"/>
    <w:rsid w:val="00161998"/>
    <w:rsid w:val="00161E65"/>
    <w:rsid w:val="00162597"/>
    <w:rsid w:val="001629AF"/>
    <w:rsid w:val="001629FD"/>
    <w:rsid w:val="0016428A"/>
    <w:rsid w:val="001647C9"/>
    <w:rsid w:val="00165627"/>
    <w:rsid w:val="00166033"/>
    <w:rsid w:val="001661A3"/>
    <w:rsid w:val="00166F19"/>
    <w:rsid w:val="00167226"/>
    <w:rsid w:val="0016782B"/>
    <w:rsid w:val="0016784D"/>
    <w:rsid w:val="00167853"/>
    <w:rsid w:val="00167887"/>
    <w:rsid w:val="00172CA8"/>
    <w:rsid w:val="00173256"/>
    <w:rsid w:val="001737B9"/>
    <w:rsid w:val="00173B0E"/>
    <w:rsid w:val="00173E03"/>
    <w:rsid w:val="0017512C"/>
    <w:rsid w:val="001756AF"/>
    <w:rsid w:val="0017586A"/>
    <w:rsid w:val="00175BA6"/>
    <w:rsid w:val="00176CA7"/>
    <w:rsid w:val="00176D0C"/>
    <w:rsid w:val="00176F8E"/>
    <w:rsid w:val="001778C5"/>
    <w:rsid w:val="00177E56"/>
    <w:rsid w:val="00177F0A"/>
    <w:rsid w:val="00180DA0"/>
    <w:rsid w:val="00181014"/>
    <w:rsid w:val="00181EAD"/>
    <w:rsid w:val="00182862"/>
    <w:rsid w:val="00184F57"/>
    <w:rsid w:val="00185091"/>
    <w:rsid w:val="00185544"/>
    <w:rsid w:val="00185617"/>
    <w:rsid w:val="00186FE1"/>
    <w:rsid w:val="00187A14"/>
    <w:rsid w:val="0019171E"/>
    <w:rsid w:val="00192368"/>
    <w:rsid w:val="001923A0"/>
    <w:rsid w:val="001928B1"/>
    <w:rsid w:val="00192AE9"/>
    <w:rsid w:val="00193537"/>
    <w:rsid w:val="00193846"/>
    <w:rsid w:val="00195379"/>
    <w:rsid w:val="00195424"/>
    <w:rsid w:val="001955FF"/>
    <w:rsid w:val="00197EDD"/>
    <w:rsid w:val="001A02B3"/>
    <w:rsid w:val="001A04BB"/>
    <w:rsid w:val="001A08D0"/>
    <w:rsid w:val="001A194B"/>
    <w:rsid w:val="001A1B39"/>
    <w:rsid w:val="001A2120"/>
    <w:rsid w:val="001A28C6"/>
    <w:rsid w:val="001A2E69"/>
    <w:rsid w:val="001A3C34"/>
    <w:rsid w:val="001A3EDE"/>
    <w:rsid w:val="001A4222"/>
    <w:rsid w:val="001A50EA"/>
    <w:rsid w:val="001A5E24"/>
    <w:rsid w:val="001A661D"/>
    <w:rsid w:val="001A6795"/>
    <w:rsid w:val="001A681D"/>
    <w:rsid w:val="001A6B27"/>
    <w:rsid w:val="001A6D8B"/>
    <w:rsid w:val="001A6DAA"/>
    <w:rsid w:val="001A7717"/>
    <w:rsid w:val="001A793A"/>
    <w:rsid w:val="001B125A"/>
    <w:rsid w:val="001B1EBA"/>
    <w:rsid w:val="001B2142"/>
    <w:rsid w:val="001B2F2B"/>
    <w:rsid w:val="001B327A"/>
    <w:rsid w:val="001B35DE"/>
    <w:rsid w:val="001B3A13"/>
    <w:rsid w:val="001B3F5C"/>
    <w:rsid w:val="001B49C7"/>
    <w:rsid w:val="001B57C9"/>
    <w:rsid w:val="001B59FF"/>
    <w:rsid w:val="001B6512"/>
    <w:rsid w:val="001B65D7"/>
    <w:rsid w:val="001B6752"/>
    <w:rsid w:val="001B6768"/>
    <w:rsid w:val="001B6F1F"/>
    <w:rsid w:val="001B7ECC"/>
    <w:rsid w:val="001C025B"/>
    <w:rsid w:val="001C115F"/>
    <w:rsid w:val="001C1EAB"/>
    <w:rsid w:val="001C25A7"/>
    <w:rsid w:val="001C2775"/>
    <w:rsid w:val="001C318C"/>
    <w:rsid w:val="001C35C4"/>
    <w:rsid w:val="001C3613"/>
    <w:rsid w:val="001C4287"/>
    <w:rsid w:val="001C4479"/>
    <w:rsid w:val="001C5190"/>
    <w:rsid w:val="001C6081"/>
    <w:rsid w:val="001C73EB"/>
    <w:rsid w:val="001C7B48"/>
    <w:rsid w:val="001D0CFB"/>
    <w:rsid w:val="001D1A0D"/>
    <w:rsid w:val="001D343C"/>
    <w:rsid w:val="001D56E2"/>
    <w:rsid w:val="001D58A1"/>
    <w:rsid w:val="001D58C2"/>
    <w:rsid w:val="001D5A8A"/>
    <w:rsid w:val="001D61CA"/>
    <w:rsid w:val="001D6E87"/>
    <w:rsid w:val="001D735E"/>
    <w:rsid w:val="001D73C8"/>
    <w:rsid w:val="001D7BC6"/>
    <w:rsid w:val="001E129E"/>
    <w:rsid w:val="001E175C"/>
    <w:rsid w:val="001E1B0E"/>
    <w:rsid w:val="001E1C7C"/>
    <w:rsid w:val="001E3B63"/>
    <w:rsid w:val="001E544E"/>
    <w:rsid w:val="001E55ED"/>
    <w:rsid w:val="001E5607"/>
    <w:rsid w:val="001E5A94"/>
    <w:rsid w:val="001E66C7"/>
    <w:rsid w:val="001E7D7E"/>
    <w:rsid w:val="001F1107"/>
    <w:rsid w:val="001F13FD"/>
    <w:rsid w:val="001F18F9"/>
    <w:rsid w:val="001F24F3"/>
    <w:rsid w:val="001F2A2E"/>
    <w:rsid w:val="001F3356"/>
    <w:rsid w:val="001F3A05"/>
    <w:rsid w:val="001F3C63"/>
    <w:rsid w:val="001F4460"/>
    <w:rsid w:val="001F68CB"/>
    <w:rsid w:val="001F6C96"/>
    <w:rsid w:val="001F711A"/>
    <w:rsid w:val="001F75B0"/>
    <w:rsid w:val="0020057C"/>
    <w:rsid w:val="0020083C"/>
    <w:rsid w:val="00200CE5"/>
    <w:rsid w:val="00200F7C"/>
    <w:rsid w:val="002014DB"/>
    <w:rsid w:val="0020150B"/>
    <w:rsid w:val="00201E12"/>
    <w:rsid w:val="00202295"/>
    <w:rsid w:val="00203122"/>
    <w:rsid w:val="002033B5"/>
    <w:rsid w:val="0020382C"/>
    <w:rsid w:val="0020437A"/>
    <w:rsid w:val="0020454C"/>
    <w:rsid w:val="00204740"/>
    <w:rsid w:val="002048C7"/>
    <w:rsid w:val="00205129"/>
    <w:rsid w:val="0020521F"/>
    <w:rsid w:val="0020532C"/>
    <w:rsid w:val="002062C1"/>
    <w:rsid w:val="002114C7"/>
    <w:rsid w:val="0021302C"/>
    <w:rsid w:val="00213B1C"/>
    <w:rsid w:val="00213F1E"/>
    <w:rsid w:val="00214202"/>
    <w:rsid w:val="002148E3"/>
    <w:rsid w:val="0021492A"/>
    <w:rsid w:val="0021552D"/>
    <w:rsid w:val="002156AE"/>
    <w:rsid w:val="00215E99"/>
    <w:rsid w:val="0022054D"/>
    <w:rsid w:val="0022107B"/>
    <w:rsid w:val="00223DDB"/>
    <w:rsid w:val="00223FA4"/>
    <w:rsid w:val="00223FB0"/>
    <w:rsid w:val="0022405A"/>
    <w:rsid w:val="00224067"/>
    <w:rsid w:val="0022421C"/>
    <w:rsid w:val="00224C4A"/>
    <w:rsid w:val="00224E83"/>
    <w:rsid w:val="00225664"/>
    <w:rsid w:val="002261E9"/>
    <w:rsid w:val="0022663D"/>
    <w:rsid w:val="00226A46"/>
    <w:rsid w:val="00226CB3"/>
    <w:rsid w:val="00227C56"/>
    <w:rsid w:val="00227F2D"/>
    <w:rsid w:val="00231851"/>
    <w:rsid w:val="0023186A"/>
    <w:rsid w:val="002319FB"/>
    <w:rsid w:val="00231B89"/>
    <w:rsid w:val="00231F11"/>
    <w:rsid w:val="00231F5E"/>
    <w:rsid w:val="00232FF3"/>
    <w:rsid w:val="002346B4"/>
    <w:rsid w:val="00234F6E"/>
    <w:rsid w:val="002355BE"/>
    <w:rsid w:val="002358EA"/>
    <w:rsid w:val="00236578"/>
    <w:rsid w:val="00236DE9"/>
    <w:rsid w:val="00237342"/>
    <w:rsid w:val="002377AE"/>
    <w:rsid w:val="00237810"/>
    <w:rsid w:val="00237D5A"/>
    <w:rsid w:val="00240D75"/>
    <w:rsid w:val="002415AE"/>
    <w:rsid w:val="00241D3C"/>
    <w:rsid w:val="00242109"/>
    <w:rsid w:val="00243189"/>
    <w:rsid w:val="002439AB"/>
    <w:rsid w:val="00243C19"/>
    <w:rsid w:val="00244AE8"/>
    <w:rsid w:val="00244DC9"/>
    <w:rsid w:val="00245587"/>
    <w:rsid w:val="00245F2B"/>
    <w:rsid w:val="002466CD"/>
    <w:rsid w:val="00247F3A"/>
    <w:rsid w:val="00250122"/>
    <w:rsid w:val="0025024D"/>
    <w:rsid w:val="00250755"/>
    <w:rsid w:val="00250E5A"/>
    <w:rsid w:val="00251043"/>
    <w:rsid w:val="00251423"/>
    <w:rsid w:val="00251C4A"/>
    <w:rsid w:val="0025271C"/>
    <w:rsid w:val="0025277A"/>
    <w:rsid w:val="002530AC"/>
    <w:rsid w:val="002533CD"/>
    <w:rsid w:val="002535EA"/>
    <w:rsid w:val="00254AF9"/>
    <w:rsid w:val="00254EAB"/>
    <w:rsid w:val="002557AF"/>
    <w:rsid w:val="0025589C"/>
    <w:rsid w:val="00255B62"/>
    <w:rsid w:val="002566B1"/>
    <w:rsid w:val="00256D0F"/>
    <w:rsid w:val="002575E3"/>
    <w:rsid w:val="00257A74"/>
    <w:rsid w:val="00257C5D"/>
    <w:rsid w:val="002603C1"/>
    <w:rsid w:val="002609A1"/>
    <w:rsid w:val="002612B1"/>
    <w:rsid w:val="00262416"/>
    <w:rsid w:val="00265A12"/>
    <w:rsid w:val="00265C2F"/>
    <w:rsid w:val="00266165"/>
    <w:rsid w:val="00266F2C"/>
    <w:rsid w:val="0027125E"/>
    <w:rsid w:val="00271767"/>
    <w:rsid w:val="00272293"/>
    <w:rsid w:val="002723B3"/>
    <w:rsid w:val="002723C8"/>
    <w:rsid w:val="00273C2A"/>
    <w:rsid w:val="00273CBE"/>
    <w:rsid w:val="002746B1"/>
    <w:rsid w:val="00274BAD"/>
    <w:rsid w:val="002750C2"/>
    <w:rsid w:val="002807B0"/>
    <w:rsid w:val="00282D56"/>
    <w:rsid w:val="002835B0"/>
    <w:rsid w:val="00283C74"/>
    <w:rsid w:val="0028407E"/>
    <w:rsid w:val="0028410F"/>
    <w:rsid w:val="00284572"/>
    <w:rsid w:val="002850AA"/>
    <w:rsid w:val="00285221"/>
    <w:rsid w:val="00286FB5"/>
    <w:rsid w:val="00287763"/>
    <w:rsid w:val="00290606"/>
    <w:rsid w:val="002909B2"/>
    <w:rsid w:val="00291D6D"/>
    <w:rsid w:val="00291FF1"/>
    <w:rsid w:val="00292AA2"/>
    <w:rsid w:val="00293361"/>
    <w:rsid w:val="00294C86"/>
    <w:rsid w:val="00294F10"/>
    <w:rsid w:val="002952B1"/>
    <w:rsid w:val="00295D11"/>
    <w:rsid w:val="00296FB6"/>
    <w:rsid w:val="002971D8"/>
    <w:rsid w:val="002A0001"/>
    <w:rsid w:val="002A0BD9"/>
    <w:rsid w:val="002A0C3A"/>
    <w:rsid w:val="002A0DF8"/>
    <w:rsid w:val="002A0F1C"/>
    <w:rsid w:val="002A1130"/>
    <w:rsid w:val="002A1880"/>
    <w:rsid w:val="002A23B7"/>
    <w:rsid w:val="002A2763"/>
    <w:rsid w:val="002A3A57"/>
    <w:rsid w:val="002A4B4F"/>
    <w:rsid w:val="002A57A8"/>
    <w:rsid w:val="002A6DEF"/>
    <w:rsid w:val="002A770B"/>
    <w:rsid w:val="002A7F9C"/>
    <w:rsid w:val="002B013E"/>
    <w:rsid w:val="002B058D"/>
    <w:rsid w:val="002B0C16"/>
    <w:rsid w:val="002B2456"/>
    <w:rsid w:val="002B2799"/>
    <w:rsid w:val="002B2891"/>
    <w:rsid w:val="002B2AC5"/>
    <w:rsid w:val="002B32ED"/>
    <w:rsid w:val="002B3528"/>
    <w:rsid w:val="002B3539"/>
    <w:rsid w:val="002B4395"/>
    <w:rsid w:val="002B4532"/>
    <w:rsid w:val="002B4DD9"/>
    <w:rsid w:val="002B5042"/>
    <w:rsid w:val="002B69CC"/>
    <w:rsid w:val="002B6D71"/>
    <w:rsid w:val="002C03AE"/>
    <w:rsid w:val="002C0C1C"/>
    <w:rsid w:val="002C16AE"/>
    <w:rsid w:val="002C362C"/>
    <w:rsid w:val="002C41BF"/>
    <w:rsid w:val="002C54C2"/>
    <w:rsid w:val="002C5D34"/>
    <w:rsid w:val="002C60BB"/>
    <w:rsid w:val="002C6131"/>
    <w:rsid w:val="002C661A"/>
    <w:rsid w:val="002D0D6F"/>
    <w:rsid w:val="002D1796"/>
    <w:rsid w:val="002D25FC"/>
    <w:rsid w:val="002D4AC6"/>
    <w:rsid w:val="002D59BF"/>
    <w:rsid w:val="002D5BF5"/>
    <w:rsid w:val="002D5EE8"/>
    <w:rsid w:val="002D7360"/>
    <w:rsid w:val="002D7648"/>
    <w:rsid w:val="002D7C80"/>
    <w:rsid w:val="002E109C"/>
    <w:rsid w:val="002E193E"/>
    <w:rsid w:val="002E1A94"/>
    <w:rsid w:val="002E1D55"/>
    <w:rsid w:val="002E26C4"/>
    <w:rsid w:val="002E2734"/>
    <w:rsid w:val="002E30A5"/>
    <w:rsid w:val="002E47E4"/>
    <w:rsid w:val="002E4BF9"/>
    <w:rsid w:val="002E4D61"/>
    <w:rsid w:val="002E68A7"/>
    <w:rsid w:val="002E6E6C"/>
    <w:rsid w:val="002E6E76"/>
    <w:rsid w:val="002F016E"/>
    <w:rsid w:val="002F051C"/>
    <w:rsid w:val="002F0522"/>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0F23"/>
    <w:rsid w:val="00302AFC"/>
    <w:rsid w:val="00302EFC"/>
    <w:rsid w:val="00303243"/>
    <w:rsid w:val="00303BCC"/>
    <w:rsid w:val="00303F2B"/>
    <w:rsid w:val="00303F8D"/>
    <w:rsid w:val="003047EB"/>
    <w:rsid w:val="0030572D"/>
    <w:rsid w:val="0030586A"/>
    <w:rsid w:val="0030622D"/>
    <w:rsid w:val="00306811"/>
    <w:rsid w:val="00306F32"/>
    <w:rsid w:val="003074C5"/>
    <w:rsid w:val="00307A3C"/>
    <w:rsid w:val="00307FA4"/>
    <w:rsid w:val="00310290"/>
    <w:rsid w:val="00310CC1"/>
    <w:rsid w:val="003119D1"/>
    <w:rsid w:val="00312504"/>
    <w:rsid w:val="00312B89"/>
    <w:rsid w:val="00313026"/>
    <w:rsid w:val="00313913"/>
    <w:rsid w:val="0031421F"/>
    <w:rsid w:val="00314B31"/>
    <w:rsid w:val="00315A65"/>
    <w:rsid w:val="003165D7"/>
    <w:rsid w:val="0031666B"/>
    <w:rsid w:val="00316ABE"/>
    <w:rsid w:val="00317247"/>
    <w:rsid w:val="00317A77"/>
    <w:rsid w:val="00317BA7"/>
    <w:rsid w:val="003202F6"/>
    <w:rsid w:val="00320BE2"/>
    <w:rsid w:val="00321886"/>
    <w:rsid w:val="00321EDC"/>
    <w:rsid w:val="00322ACB"/>
    <w:rsid w:val="00322D02"/>
    <w:rsid w:val="00323694"/>
    <w:rsid w:val="00323BE7"/>
    <w:rsid w:val="00324C3A"/>
    <w:rsid w:val="00324D63"/>
    <w:rsid w:val="003255AF"/>
    <w:rsid w:val="003256EB"/>
    <w:rsid w:val="003259DB"/>
    <w:rsid w:val="0032795B"/>
    <w:rsid w:val="0033025D"/>
    <w:rsid w:val="003303CD"/>
    <w:rsid w:val="003314D9"/>
    <w:rsid w:val="00331653"/>
    <w:rsid w:val="00331939"/>
    <w:rsid w:val="00331A48"/>
    <w:rsid w:val="00331BCC"/>
    <w:rsid w:val="00331C2F"/>
    <w:rsid w:val="003330C9"/>
    <w:rsid w:val="0033364C"/>
    <w:rsid w:val="00334415"/>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4737"/>
    <w:rsid w:val="00354AE9"/>
    <w:rsid w:val="00355C0D"/>
    <w:rsid w:val="003566A9"/>
    <w:rsid w:val="00356988"/>
    <w:rsid w:val="003569D3"/>
    <w:rsid w:val="00356CE9"/>
    <w:rsid w:val="003570BB"/>
    <w:rsid w:val="00357128"/>
    <w:rsid w:val="003573D1"/>
    <w:rsid w:val="0035755E"/>
    <w:rsid w:val="00357A80"/>
    <w:rsid w:val="003608ED"/>
    <w:rsid w:val="00361441"/>
    <w:rsid w:val="00361B8B"/>
    <w:rsid w:val="00363F39"/>
    <w:rsid w:val="003640FC"/>
    <w:rsid w:val="0036445C"/>
    <w:rsid w:val="00364627"/>
    <w:rsid w:val="00364AB0"/>
    <w:rsid w:val="00364D71"/>
    <w:rsid w:val="003667B0"/>
    <w:rsid w:val="003667DD"/>
    <w:rsid w:val="00366B48"/>
    <w:rsid w:val="0036766E"/>
    <w:rsid w:val="00367764"/>
    <w:rsid w:val="00370316"/>
    <w:rsid w:val="00370DC7"/>
    <w:rsid w:val="00371CBD"/>
    <w:rsid w:val="00371F20"/>
    <w:rsid w:val="003721E3"/>
    <w:rsid w:val="00372B98"/>
    <w:rsid w:val="003737B7"/>
    <w:rsid w:val="003740CC"/>
    <w:rsid w:val="00374163"/>
    <w:rsid w:val="003745F4"/>
    <w:rsid w:val="0037491A"/>
    <w:rsid w:val="00374E79"/>
    <w:rsid w:val="0037529A"/>
    <w:rsid w:val="00375388"/>
    <w:rsid w:val="00375559"/>
    <w:rsid w:val="00375FB9"/>
    <w:rsid w:val="00376170"/>
    <w:rsid w:val="003761B2"/>
    <w:rsid w:val="00376851"/>
    <w:rsid w:val="00376FA2"/>
    <w:rsid w:val="00377133"/>
    <w:rsid w:val="00377A3B"/>
    <w:rsid w:val="00377E3C"/>
    <w:rsid w:val="00380874"/>
    <w:rsid w:val="00380BBE"/>
    <w:rsid w:val="00381BF4"/>
    <w:rsid w:val="00381D70"/>
    <w:rsid w:val="0038235E"/>
    <w:rsid w:val="003829D0"/>
    <w:rsid w:val="0038326A"/>
    <w:rsid w:val="00383D5E"/>
    <w:rsid w:val="0038444F"/>
    <w:rsid w:val="003861F0"/>
    <w:rsid w:val="00387051"/>
    <w:rsid w:val="003870BF"/>
    <w:rsid w:val="00387ECF"/>
    <w:rsid w:val="00390133"/>
    <w:rsid w:val="0039021B"/>
    <w:rsid w:val="00390429"/>
    <w:rsid w:val="003906A0"/>
    <w:rsid w:val="00391682"/>
    <w:rsid w:val="003923D5"/>
    <w:rsid w:val="003931AF"/>
    <w:rsid w:val="0039366C"/>
    <w:rsid w:val="00393EC8"/>
    <w:rsid w:val="003943CC"/>
    <w:rsid w:val="00394E3C"/>
    <w:rsid w:val="00395C11"/>
    <w:rsid w:val="00395E42"/>
    <w:rsid w:val="0039621E"/>
    <w:rsid w:val="00396409"/>
    <w:rsid w:val="00396A2D"/>
    <w:rsid w:val="00396FC3"/>
    <w:rsid w:val="003A1431"/>
    <w:rsid w:val="003A1A94"/>
    <w:rsid w:val="003A204E"/>
    <w:rsid w:val="003A2D25"/>
    <w:rsid w:val="003A5101"/>
    <w:rsid w:val="003A5728"/>
    <w:rsid w:val="003A60E7"/>
    <w:rsid w:val="003A66A3"/>
    <w:rsid w:val="003A7092"/>
    <w:rsid w:val="003A72A1"/>
    <w:rsid w:val="003A7611"/>
    <w:rsid w:val="003A7D1F"/>
    <w:rsid w:val="003B0B6A"/>
    <w:rsid w:val="003B10E3"/>
    <w:rsid w:val="003B22F7"/>
    <w:rsid w:val="003B29CF"/>
    <w:rsid w:val="003B3A90"/>
    <w:rsid w:val="003B3D01"/>
    <w:rsid w:val="003B534F"/>
    <w:rsid w:val="003B7A79"/>
    <w:rsid w:val="003B7D00"/>
    <w:rsid w:val="003C0FE1"/>
    <w:rsid w:val="003C151A"/>
    <w:rsid w:val="003C350C"/>
    <w:rsid w:val="003C3733"/>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268"/>
    <w:rsid w:val="003E1904"/>
    <w:rsid w:val="003E285E"/>
    <w:rsid w:val="003E3124"/>
    <w:rsid w:val="003E3300"/>
    <w:rsid w:val="003E43D3"/>
    <w:rsid w:val="003E48E1"/>
    <w:rsid w:val="003E50F4"/>
    <w:rsid w:val="003E59BB"/>
    <w:rsid w:val="003E6225"/>
    <w:rsid w:val="003E65AC"/>
    <w:rsid w:val="003E66AE"/>
    <w:rsid w:val="003E72B9"/>
    <w:rsid w:val="003E7612"/>
    <w:rsid w:val="003E7ED4"/>
    <w:rsid w:val="003F0E52"/>
    <w:rsid w:val="003F0F6B"/>
    <w:rsid w:val="003F1331"/>
    <w:rsid w:val="003F1FC6"/>
    <w:rsid w:val="003F1FE3"/>
    <w:rsid w:val="003F2359"/>
    <w:rsid w:val="003F3232"/>
    <w:rsid w:val="003F335D"/>
    <w:rsid w:val="003F3865"/>
    <w:rsid w:val="003F38AC"/>
    <w:rsid w:val="003F3D55"/>
    <w:rsid w:val="003F44E2"/>
    <w:rsid w:val="003F4632"/>
    <w:rsid w:val="003F47BA"/>
    <w:rsid w:val="003F4FE6"/>
    <w:rsid w:val="003F5638"/>
    <w:rsid w:val="003F6617"/>
    <w:rsid w:val="003F7F03"/>
    <w:rsid w:val="00402332"/>
    <w:rsid w:val="004025C2"/>
    <w:rsid w:val="00403195"/>
    <w:rsid w:val="004033A9"/>
    <w:rsid w:val="00403E55"/>
    <w:rsid w:val="0040407C"/>
    <w:rsid w:val="0040416C"/>
    <w:rsid w:val="004041CA"/>
    <w:rsid w:val="00404681"/>
    <w:rsid w:val="00405445"/>
    <w:rsid w:val="00405AC1"/>
    <w:rsid w:val="00406923"/>
    <w:rsid w:val="0040763D"/>
    <w:rsid w:val="00410D17"/>
    <w:rsid w:val="00412AA9"/>
    <w:rsid w:val="00413442"/>
    <w:rsid w:val="00413821"/>
    <w:rsid w:val="00413BA5"/>
    <w:rsid w:val="004141A3"/>
    <w:rsid w:val="00414909"/>
    <w:rsid w:val="00415503"/>
    <w:rsid w:val="0041582F"/>
    <w:rsid w:val="00416112"/>
    <w:rsid w:val="00417296"/>
    <w:rsid w:val="00417A1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10F2"/>
    <w:rsid w:val="004322D6"/>
    <w:rsid w:val="00432589"/>
    <w:rsid w:val="00432A94"/>
    <w:rsid w:val="00432C95"/>
    <w:rsid w:val="00432F1D"/>
    <w:rsid w:val="00433827"/>
    <w:rsid w:val="00433A40"/>
    <w:rsid w:val="00434B70"/>
    <w:rsid w:val="004360C8"/>
    <w:rsid w:val="004365DF"/>
    <w:rsid w:val="00436823"/>
    <w:rsid w:val="004371D5"/>
    <w:rsid w:val="0044006B"/>
    <w:rsid w:val="0044033F"/>
    <w:rsid w:val="00440630"/>
    <w:rsid w:val="004417EC"/>
    <w:rsid w:val="00441F0F"/>
    <w:rsid w:val="00442965"/>
    <w:rsid w:val="004432B6"/>
    <w:rsid w:val="00444157"/>
    <w:rsid w:val="0044417C"/>
    <w:rsid w:val="00444DB3"/>
    <w:rsid w:val="00445023"/>
    <w:rsid w:val="00445617"/>
    <w:rsid w:val="00445A2F"/>
    <w:rsid w:val="004462D6"/>
    <w:rsid w:val="0044684E"/>
    <w:rsid w:val="00446F22"/>
    <w:rsid w:val="00447E4E"/>
    <w:rsid w:val="0045019F"/>
    <w:rsid w:val="004503A4"/>
    <w:rsid w:val="004504E4"/>
    <w:rsid w:val="00450555"/>
    <w:rsid w:val="004506FA"/>
    <w:rsid w:val="00450B54"/>
    <w:rsid w:val="00450DC6"/>
    <w:rsid w:val="004516A5"/>
    <w:rsid w:val="00451E9C"/>
    <w:rsid w:val="0045280F"/>
    <w:rsid w:val="004535AE"/>
    <w:rsid w:val="0045422B"/>
    <w:rsid w:val="0045444D"/>
    <w:rsid w:val="0045463A"/>
    <w:rsid w:val="00454AC9"/>
    <w:rsid w:val="00455050"/>
    <w:rsid w:val="004554A3"/>
    <w:rsid w:val="00455A6E"/>
    <w:rsid w:val="00455EAD"/>
    <w:rsid w:val="004561E1"/>
    <w:rsid w:val="004578EB"/>
    <w:rsid w:val="004604D5"/>
    <w:rsid w:val="00460697"/>
    <w:rsid w:val="0046117B"/>
    <w:rsid w:val="00461FC2"/>
    <w:rsid w:val="00464AB7"/>
    <w:rsid w:val="00464BE6"/>
    <w:rsid w:val="00464EA0"/>
    <w:rsid w:val="00465DE5"/>
    <w:rsid w:val="00466EE8"/>
    <w:rsid w:val="00467EF8"/>
    <w:rsid w:val="00470385"/>
    <w:rsid w:val="00471AC3"/>
    <w:rsid w:val="00472429"/>
    <w:rsid w:val="004725E5"/>
    <w:rsid w:val="00472751"/>
    <w:rsid w:val="00473128"/>
    <w:rsid w:val="00475078"/>
    <w:rsid w:val="00475767"/>
    <w:rsid w:val="004779A0"/>
    <w:rsid w:val="00480857"/>
    <w:rsid w:val="004808E3"/>
    <w:rsid w:val="00481016"/>
    <w:rsid w:val="0048204C"/>
    <w:rsid w:val="004821BB"/>
    <w:rsid w:val="0048237A"/>
    <w:rsid w:val="004826FE"/>
    <w:rsid w:val="004827D5"/>
    <w:rsid w:val="00482AF2"/>
    <w:rsid w:val="004830C9"/>
    <w:rsid w:val="00483347"/>
    <w:rsid w:val="00483E2E"/>
    <w:rsid w:val="00484B69"/>
    <w:rsid w:val="00485406"/>
    <w:rsid w:val="0048590F"/>
    <w:rsid w:val="004863CA"/>
    <w:rsid w:val="00486D60"/>
    <w:rsid w:val="00491FA1"/>
    <w:rsid w:val="00492A25"/>
    <w:rsid w:val="004938A3"/>
    <w:rsid w:val="0049392E"/>
    <w:rsid w:val="0049558B"/>
    <w:rsid w:val="00496350"/>
    <w:rsid w:val="0049797C"/>
    <w:rsid w:val="004A0D52"/>
    <w:rsid w:val="004A1405"/>
    <w:rsid w:val="004A15BD"/>
    <w:rsid w:val="004A1E28"/>
    <w:rsid w:val="004A1FC6"/>
    <w:rsid w:val="004A2E5F"/>
    <w:rsid w:val="004A38C2"/>
    <w:rsid w:val="004A3C03"/>
    <w:rsid w:val="004A3DB7"/>
    <w:rsid w:val="004A463B"/>
    <w:rsid w:val="004A5088"/>
    <w:rsid w:val="004A5255"/>
    <w:rsid w:val="004A6B28"/>
    <w:rsid w:val="004A6CB0"/>
    <w:rsid w:val="004A70FF"/>
    <w:rsid w:val="004A7398"/>
    <w:rsid w:val="004A7EDE"/>
    <w:rsid w:val="004B0D93"/>
    <w:rsid w:val="004B1FA4"/>
    <w:rsid w:val="004B29AC"/>
    <w:rsid w:val="004B2B0B"/>
    <w:rsid w:val="004B35DF"/>
    <w:rsid w:val="004B3627"/>
    <w:rsid w:val="004B4922"/>
    <w:rsid w:val="004B4BFE"/>
    <w:rsid w:val="004B57DF"/>
    <w:rsid w:val="004B5976"/>
    <w:rsid w:val="004B722E"/>
    <w:rsid w:val="004B72E8"/>
    <w:rsid w:val="004B7E4F"/>
    <w:rsid w:val="004C01A5"/>
    <w:rsid w:val="004C0412"/>
    <w:rsid w:val="004C2138"/>
    <w:rsid w:val="004C3940"/>
    <w:rsid w:val="004C51FD"/>
    <w:rsid w:val="004C65A8"/>
    <w:rsid w:val="004C6689"/>
    <w:rsid w:val="004D0196"/>
    <w:rsid w:val="004D139A"/>
    <w:rsid w:val="004D14DC"/>
    <w:rsid w:val="004D17C6"/>
    <w:rsid w:val="004D2858"/>
    <w:rsid w:val="004D2E49"/>
    <w:rsid w:val="004D35BA"/>
    <w:rsid w:val="004D38E5"/>
    <w:rsid w:val="004D3C5A"/>
    <w:rsid w:val="004D449A"/>
    <w:rsid w:val="004D4701"/>
    <w:rsid w:val="004D47C7"/>
    <w:rsid w:val="004D4B2B"/>
    <w:rsid w:val="004D4F35"/>
    <w:rsid w:val="004D51EE"/>
    <w:rsid w:val="004D5D45"/>
    <w:rsid w:val="004D618D"/>
    <w:rsid w:val="004D62A9"/>
    <w:rsid w:val="004D6FC3"/>
    <w:rsid w:val="004D7476"/>
    <w:rsid w:val="004D7716"/>
    <w:rsid w:val="004E0306"/>
    <w:rsid w:val="004E0572"/>
    <w:rsid w:val="004E1641"/>
    <w:rsid w:val="004E1818"/>
    <w:rsid w:val="004E1990"/>
    <w:rsid w:val="004E25A8"/>
    <w:rsid w:val="004E3279"/>
    <w:rsid w:val="004E3930"/>
    <w:rsid w:val="004E3ED9"/>
    <w:rsid w:val="004E5866"/>
    <w:rsid w:val="004E6097"/>
    <w:rsid w:val="004E61EF"/>
    <w:rsid w:val="004E63C6"/>
    <w:rsid w:val="004E76A7"/>
    <w:rsid w:val="004E7B03"/>
    <w:rsid w:val="004F0064"/>
    <w:rsid w:val="004F06AC"/>
    <w:rsid w:val="004F0B05"/>
    <w:rsid w:val="004F0E50"/>
    <w:rsid w:val="004F1D2A"/>
    <w:rsid w:val="004F243F"/>
    <w:rsid w:val="004F252C"/>
    <w:rsid w:val="004F36A3"/>
    <w:rsid w:val="004F3E0C"/>
    <w:rsid w:val="004F4308"/>
    <w:rsid w:val="004F49E3"/>
    <w:rsid w:val="004F7160"/>
    <w:rsid w:val="004F7DD0"/>
    <w:rsid w:val="00500258"/>
    <w:rsid w:val="00500B2D"/>
    <w:rsid w:val="00501A99"/>
    <w:rsid w:val="005026DA"/>
    <w:rsid w:val="00503180"/>
    <w:rsid w:val="005038A4"/>
    <w:rsid w:val="005048D1"/>
    <w:rsid w:val="00504CD4"/>
    <w:rsid w:val="0050524B"/>
    <w:rsid w:val="00505450"/>
    <w:rsid w:val="00505FC6"/>
    <w:rsid w:val="00506449"/>
    <w:rsid w:val="00506C5E"/>
    <w:rsid w:val="00507C85"/>
    <w:rsid w:val="005100B7"/>
    <w:rsid w:val="005105DE"/>
    <w:rsid w:val="005113C9"/>
    <w:rsid w:val="00511D0F"/>
    <w:rsid w:val="00512050"/>
    <w:rsid w:val="00512055"/>
    <w:rsid w:val="0051280C"/>
    <w:rsid w:val="00512842"/>
    <w:rsid w:val="005128BE"/>
    <w:rsid w:val="0051356F"/>
    <w:rsid w:val="00513E7C"/>
    <w:rsid w:val="005140BB"/>
    <w:rsid w:val="00514FBE"/>
    <w:rsid w:val="00514FD9"/>
    <w:rsid w:val="0051550A"/>
    <w:rsid w:val="0051608F"/>
    <w:rsid w:val="00516480"/>
    <w:rsid w:val="00520EF8"/>
    <w:rsid w:val="005210F7"/>
    <w:rsid w:val="00521753"/>
    <w:rsid w:val="005222B3"/>
    <w:rsid w:val="0052239D"/>
    <w:rsid w:val="005224EE"/>
    <w:rsid w:val="00522879"/>
    <w:rsid w:val="00523BB1"/>
    <w:rsid w:val="00524B23"/>
    <w:rsid w:val="0052570E"/>
    <w:rsid w:val="005260CD"/>
    <w:rsid w:val="00526265"/>
    <w:rsid w:val="0052655D"/>
    <w:rsid w:val="005265E0"/>
    <w:rsid w:val="00526BC3"/>
    <w:rsid w:val="00526FA3"/>
    <w:rsid w:val="00530064"/>
    <w:rsid w:val="00531761"/>
    <w:rsid w:val="0053248F"/>
    <w:rsid w:val="005327AB"/>
    <w:rsid w:val="00533307"/>
    <w:rsid w:val="0053332A"/>
    <w:rsid w:val="0053358A"/>
    <w:rsid w:val="00534668"/>
    <w:rsid w:val="00534DDD"/>
    <w:rsid w:val="00534F6B"/>
    <w:rsid w:val="00535291"/>
    <w:rsid w:val="00535A94"/>
    <w:rsid w:val="00537874"/>
    <w:rsid w:val="0053795F"/>
    <w:rsid w:val="00537D3D"/>
    <w:rsid w:val="00540112"/>
    <w:rsid w:val="00540511"/>
    <w:rsid w:val="00540578"/>
    <w:rsid w:val="00540808"/>
    <w:rsid w:val="0054080E"/>
    <w:rsid w:val="00540D1A"/>
    <w:rsid w:val="00540DE5"/>
    <w:rsid w:val="00540EA1"/>
    <w:rsid w:val="00541E5A"/>
    <w:rsid w:val="0054358E"/>
    <w:rsid w:val="00543AF4"/>
    <w:rsid w:val="00543F53"/>
    <w:rsid w:val="00544191"/>
    <w:rsid w:val="0054440C"/>
    <w:rsid w:val="00544838"/>
    <w:rsid w:val="005448EC"/>
    <w:rsid w:val="00544C0A"/>
    <w:rsid w:val="00544F39"/>
    <w:rsid w:val="005457FB"/>
    <w:rsid w:val="00545891"/>
    <w:rsid w:val="00546B96"/>
    <w:rsid w:val="00546F90"/>
    <w:rsid w:val="00547EFB"/>
    <w:rsid w:val="00550192"/>
    <w:rsid w:val="005522F2"/>
    <w:rsid w:val="00552D0F"/>
    <w:rsid w:val="005531DF"/>
    <w:rsid w:val="00553874"/>
    <w:rsid w:val="00553DCE"/>
    <w:rsid w:val="00554577"/>
    <w:rsid w:val="00554AD8"/>
    <w:rsid w:val="00554F78"/>
    <w:rsid w:val="00555DA1"/>
    <w:rsid w:val="00556BF7"/>
    <w:rsid w:val="00556E53"/>
    <w:rsid w:val="00556F1B"/>
    <w:rsid w:val="00557F60"/>
    <w:rsid w:val="00560244"/>
    <w:rsid w:val="00560E2E"/>
    <w:rsid w:val="00561730"/>
    <w:rsid w:val="00561B97"/>
    <w:rsid w:val="00562149"/>
    <w:rsid w:val="005640EB"/>
    <w:rsid w:val="005666A4"/>
    <w:rsid w:val="00566791"/>
    <w:rsid w:val="00567B5D"/>
    <w:rsid w:val="00570757"/>
    <w:rsid w:val="00573733"/>
    <w:rsid w:val="00573F8B"/>
    <w:rsid w:val="00574554"/>
    <w:rsid w:val="00574E06"/>
    <w:rsid w:val="005751BB"/>
    <w:rsid w:val="005751CF"/>
    <w:rsid w:val="00576089"/>
    <w:rsid w:val="005764B1"/>
    <w:rsid w:val="00576852"/>
    <w:rsid w:val="005769E3"/>
    <w:rsid w:val="00576D06"/>
    <w:rsid w:val="005779E4"/>
    <w:rsid w:val="00580EC7"/>
    <w:rsid w:val="0058289C"/>
    <w:rsid w:val="005836C7"/>
    <w:rsid w:val="0058408E"/>
    <w:rsid w:val="005844C3"/>
    <w:rsid w:val="00585374"/>
    <w:rsid w:val="005854CA"/>
    <w:rsid w:val="00585FAB"/>
    <w:rsid w:val="00586E74"/>
    <w:rsid w:val="00587916"/>
    <w:rsid w:val="00590B77"/>
    <w:rsid w:val="00590D9A"/>
    <w:rsid w:val="005913A3"/>
    <w:rsid w:val="00591A5A"/>
    <w:rsid w:val="005940D4"/>
    <w:rsid w:val="00594A7B"/>
    <w:rsid w:val="0059580E"/>
    <w:rsid w:val="00595D90"/>
    <w:rsid w:val="00596A6F"/>
    <w:rsid w:val="00596FCE"/>
    <w:rsid w:val="00597771"/>
    <w:rsid w:val="005A11BC"/>
    <w:rsid w:val="005A1525"/>
    <w:rsid w:val="005A1E17"/>
    <w:rsid w:val="005A2254"/>
    <w:rsid w:val="005A252B"/>
    <w:rsid w:val="005A2A8F"/>
    <w:rsid w:val="005A3008"/>
    <w:rsid w:val="005A3204"/>
    <w:rsid w:val="005A3341"/>
    <w:rsid w:val="005A3C3D"/>
    <w:rsid w:val="005A46EC"/>
    <w:rsid w:val="005A5EAE"/>
    <w:rsid w:val="005A6407"/>
    <w:rsid w:val="005A726C"/>
    <w:rsid w:val="005A7ED7"/>
    <w:rsid w:val="005B0458"/>
    <w:rsid w:val="005B07EC"/>
    <w:rsid w:val="005B2285"/>
    <w:rsid w:val="005B2B11"/>
    <w:rsid w:val="005B32A4"/>
    <w:rsid w:val="005B3371"/>
    <w:rsid w:val="005B338D"/>
    <w:rsid w:val="005B33A1"/>
    <w:rsid w:val="005B3852"/>
    <w:rsid w:val="005B3BAF"/>
    <w:rsid w:val="005B4DA3"/>
    <w:rsid w:val="005B5BEE"/>
    <w:rsid w:val="005B77D2"/>
    <w:rsid w:val="005C0195"/>
    <w:rsid w:val="005C019B"/>
    <w:rsid w:val="005C08D0"/>
    <w:rsid w:val="005C1603"/>
    <w:rsid w:val="005C1AED"/>
    <w:rsid w:val="005C2136"/>
    <w:rsid w:val="005C30F5"/>
    <w:rsid w:val="005C3840"/>
    <w:rsid w:val="005C51A5"/>
    <w:rsid w:val="005C557A"/>
    <w:rsid w:val="005C566F"/>
    <w:rsid w:val="005C5C47"/>
    <w:rsid w:val="005C61DD"/>
    <w:rsid w:val="005C6438"/>
    <w:rsid w:val="005C6B8B"/>
    <w:rsid w:val="005C727F"/>
    <w:rsid w:val="005C76FB"/>
    <w:rsid w:val="005D02E3"/>
    <w:rsid w:val="005D1F34"/>
    <w:rsid w:val="005D2C1F"/>
    <w:rsid w:val="005D34B2"/>
    <w:rsid w:val="005D3B54"/>
    <w:rsid w:val="005D40CD"/>
    <w:rsid w:val="005D4979"/>
    <w:rsid w:val="005D6B59"/>
    <w:rsid w:val="005D784B"/>
    <w:rsid w:val="005E03E4"/>
    <w:rsid w:val="005E0454"/>
    <w:rsid w:val="005E05F6"/>
    <w:rsid w:val="005E1B9D"/>
    <w:rsid w:val="005E1BDA"/>
    <w:rsid w:val="005E2442"/>
    <w:rsid w:val="005E3111"/>
    <w:rsid w:val="005E3CA0"/>
    <w:rsid w:val="005E3F85"/>
    <w:rsid w:val="005E472F"/>
    <w:rsid w:val="005E4A5F"/>
    <w:rsid w:val="005E516A"/>
    <w:rsid w:val="005E57B0"/>
    <w:rsid w:val="005E5B01"/>
    <w:rsid w:val="005E6D3B"/>
    <w:rsid w:val="005E7538"/>
    <w:rsid w:val="005E7D97"/>
    <w:rsid w:val="005F009E"/>
    <w:rsid w:val="005F0DF1"/>
    <w:rsid w:val="005F1516"/>
    <w:rsid w:val="005F1A6F"/>
    <w:rsid w:val="005F229E"/>
    <w:rsid w:val="005F2564"/>
    <w:rsid w:val="005F3822"/>
    <w:rsid w:val="005F4635"/>
    <w:rsid w:val="005F4900"/>
    <w:rsid w:val="005F4E52"/>
    <w:rsid w:val="005F5D0C"/>
    <w:rsid w:val="005F6D58"/>
    <w:rsid w:val="005F7383"/>
    <w:rsid w:val="0060058E"/>
    <w:rsid w:val="006009F6"/>
    <w:rsid w:val="00600C9D"/>
    <w:rsid w:val="00602A3C"/>
    <w:rsid w:val="00603CBD"/>
    <w:rsid w:val="00603EFD"/>
    <w:rsid w:val="0060475B"/>
    <w:rsid w:val="00604BED"/>
    <w:rsid w:val="00604FB6"/>
    <w:rsid w:val="006052E4"/>
    <w:rsid w:val="00605387"/>
    <w:rsid w:val="00605E40"/>
    <w:rsid w:val="00606302"/>
    <w:rsid w:val="00606C59"/>
    <w:rsid w:val="006076FD"/>
    <w:rsid w:val="00610357"/>
    <w:rsid w:val="0061077B"/>
    <w:rsid w:val="00610811"/>
    <w:rsid w:val="0061143F"/>
    <w:rsid w:val="006114D8"/>
    <w:rsid w:val="00612F5F"/>
    <w:rsid w:val="00613553"/>
    <w:rsid w:val="00613601"/>
    <w:rsid w:val="00613791"/>
    <w:rsid w:val="006150D6"/>
    <w:rsid w:val="00615245"/>
    <w:rsid w:val="0061590D"/>
    <w:rsid w:val="00615AAB"/>
    <w:rsid w:val="00617EEE"/>
    <w:rsid w:val="00620A1F"/>
    <w:rsid w:val="0062114B"/>
    <w:rsid w:val="0062169D"/>
    <w:rsid w:val="0062181E"/>
    <w:rsid w:val="006218DD"/>
    <w:rsid w:val="0062211B"/>
    <w:rsid w:val="00622BB7"/>
    <w:rsid w:val="00622C1E"/>
    <w:rsid w:val="00623389"/>
    <w:rsid w:val="00623DAA"/>
    <w:rsid w:val="00623FAF"/>
    <w:rsid w:val="006265C4"/>
    <w:rsid w:val="0062678A"/>
    <w:rsid w:val="006270AF"/>
    <w:rsid w:val="00632950"/>
    <w:rsid w:val="00634367"/>
    <w:rsid w:val="00635C0A"/>
    <w:rsid w:val="00636CE3"/>
    <w:rsid w:val="00640082"/>
    <w:rsid w:val="00640291"/>
    <w:rsid w:val="00640CE0"/>
    <w:rsid w:val="00640EFE"/>
    <w:rsid w:val="00641573"/>
    <w:rsid w:val="00641D6D"/>
    <w:rsid w:val="00641FAC"/>
    <w:rsid w:val="00642B2C"/>
    <w:rsid w:val="00643664"/>
    <w:rsid w:val="00643CAA"/>
    <w:rsid w:val="00644740"/>
    <w:rsid w:val="00644F16"/>
    <w:rsid w:val="006455EB"/>
    <w:rsid w:val="006456C2"/>
    <w:rsid w:val="00645A65"/>
    <w:rsid w:val="00646959"/>
    <w:rsid w:val="00646A71"/>
    <w:rsid w:val="006477F0"/>
    <w:rsid w:val="006478E4"/>
    <w:rsid w:val="00650475"/>
    <w:rsid w:val="0065171A"/>
    <w:rsid w:val="00652680"/>
    <w:rsid w:val="00653CDE"/>
    <w:rsid w:val="00654585"/>
    <w:rsid w:val="0065566E"/>
    <w:rsid w:val="00655A89"/>
    <w:rsid w:val="00655AB6"/>
    <w:rsid w:val="00655EFA"/>
    <w:rsid w:val="00656061"/>
    <w:rsid w:val="00656281"/>
    <w:rsid w:val="0065636A"/>
    <w:rsid w:val="00657003"/>
    <w:rsid w:val="00660238"/>
    <w:rsid w:val="006602EF"/>
    <w:rsid w:val="00660B0C"/>
    <w:rsid w:val="00661277"/>
    <w:rsid w:val="006619E0"/>
    <w:rsid w:val="00663FEA"/>
    <w:rsid w:val="00664803"/>
    <w:rsid w:val="006657C5"/>
    <w:rsid w:val="006661A4"/>
    <w:rsid w:val="00666AC0"/>
    <w:rsid w:val="00666C51"/>
    <w:rsid w:val="006670E0"/>
    <w:rsid w:val="006671B8"/>
    <w:rsid w:val="00667275"/>
    <w:rsid w:val="00667532"/>
    <w:rsid w:val="0066783E"/>
    <w:rsid w:val="00667E53"/>
    <w:rsid w:val="006706C3"/>
    <w:rsid w:val="006711C4"/>
    <w:rsid w:val="006713AB"/>
    <w:rsid w:val="00672CA5"/>
    <w:rsid w:val="00673711"/>
    <w:rsid w:val="00673F82"/>
    <w:rsid w:val="00674F74"/>
    <w:rsid w:val="0067508F"/>
    <w:rsid w:val="00677576"/>
    <w:rsid w:val="0068051E"/>
    <w:rsid w:val="00680B9D"/>
    <w:rsid w:val="00681F13"/>
    <w:rsid w:val="0068231C"/>
    <w:rsid w:val="00682332"/>
    <w:rsid w:val="00682344"/>
    <w:rsid w:val="00682F28"/>
    <w:rsid w:val="00683515"/>
    <w:rsid w:val="00683804"/>
    <w:rsid w:val="00684842"/>
    <w:rsid w:val="006854D9"/>
    <w:rsid w:val="006859AA"/>
    <w:rsid w:val="00685BD6"/>
    <w:rsid w:val="00687116"/>
    <w:rsid w:val="006878A6"/>
    <w:rsid w:val="00687D5F"/>
    <w:rsid w:val="00690437"/>
    <w:rsid w:val="00690830"/>
    <w:rsid w:val="00690DC3"/>
    <w:rsid w:val="00690E65"/>
    <w:rsid w:val="006911B7"/>
    <w:rsid w:val="00691387"/>
    <w:rsid w:val="0069188E"/>
    <w:rsid w:val="00691974"/>
    <w:rsid w:val="00692BF6"/>
    <w:rsid w:val="00692CE6"/>
    <w:rsid w:val="00693186"/>
    <w:rsid w:val="00693381"/>
    <w:rsid w:val="00693B6C"/>
    <w:rsid w:val="006942AE"/>
    <w:rsid w:val="00694C82"/>
    <w:rsid w:val="00695421"/>
    <w:rsid w:val="00697626"/>
    <w:rsid w:val="00697BD3"/>
    <w:rsid w:val="00697DFA"/>
    <w:rsid w:val="006A16D5"/>
    <w:rsid w:val="006A1772"/>
    <w:rsid w:val="006A1780"/>
    <w:rsid w:val="006A21DD"/>
    <w:rsid w:val="006A26C6"/>
    <w:rsid w:val="006A3302"/>
    <w:rsid w:val="006A3B28"/>
    <w:rsid w:val="006A4FEE"/>
    <w:rsid w:val="006A5549"/>
    <w:rsid w:val="006A703E"/>
    <w:rsid w:val="006A7721"/>
    <w:rsid w:val="006A7BE3"/>
    <w:rsid w:val="006A7D32"/>
    <w:rsid w:val="006B01D1"/>
    <w:rsid w:val="006B0DF4"/>
    <w:rsid w:val="006B16EA"/>
    <w:rsid w:val="006B1780"/>
    <w:rsid w:val="006B21DC"/>
    <w:rsid w:val="006B224E"/>
    <w:rsid w:val="006B376E"/>
    <w:rsid w:val="006B4589"/>
    <w:rsid w:val="006B5157"/>
    <w:rsid w:val="006B610E"/>
    <w:rsid w:val="006B6805"/>
    <w:rsid w:val="006B6C07"/>
    <w:rsid w:val="006B6DE0"/>
    <w:rsid w:val="006C10A8"/>
    <w:rsid w:val="006C16C3"/>
    <w:rsid w:val="006C2187"/>
    <w:rsid w:val="006C27D9"/>
    <w:rsid w:val="006C32F4"/>
    <w:rsid w:val="006C3C54"/>
    <w:rsid w:val="006C4657"/>
    <w:rsid w:val="006C4B6B"/>
    <w:rsid w:val="006C4CE1"/>
    <w:rsid w:val="006C4F9F"/>
    <w:rsid w:val="006C5FE5"/>
    <w:rsid w:val="006C71A2"/>
    <w:rsid w:val="006C73EC"/>
    <w:rsid w:val="006D0C1D"/>
    <w:rsid w:val="006D28F3"/>
    <w:rsid w:val="006D2E9D"/>
    <w:rsid w:val="006D4A4E"/>
    <w:rsid w:val="006D4C42"/>
    <w:rsid w:val="006D4F79"/>
    <w:rsid w:val="006D5389"/>
    <w:rsid w:val="006D53A2"/>
    <w:rsid w:val="006D5809"/>
    <w:rsid w:val="006D607E"/>
    <w:rsid w:val="006D6E12"/>
    <w:rsid w:val="006D70CB"/>
    <w:rsid w:val="006D715C"/>
    <w:rsid w:val="006D7363"/>
    <w:rsid w:val="006D774E"/>
    <w:rsid w:val="006E04A1"/>
    <w:rsid w:val="006E0754"/>
    <w:rsid w:val="006E2668"/>
    <w:rsid w:val="006E2D39"/>
    <w:rsid w:val="006E2FE9"/>
    <w:rsid w:val="006E32B0"/>
    <w:rsid w:val="006E348E"/>
    <w:rsid w:val="006E396A"/>
    <w:rsid w:val="006E3D63"/>
    <w:rsid w:val="006E42EC"/>
    <w:rsid w:val="006E58BF"/>
    <w:rsid w:val="006E5DD8"/>
    <w:rsid w:val="006E5EA1"/>
    <w:rsid w:val="006E6DEE"/>
    <w:rsid w:val="006E7D4B"/>
    <w:rsid w:val="006F018A"/>
    <w:rsid w:val="006F0760"/>
    <w:rsid w:val="006F11E2"/>
    <w:rsid w:val="006F168D"/>
    <w:rsid w:val="006F2574"/>
    <w:rsid w:val="006F3231"/>
    <w:rsid w:val="006F3DE3"/>
    <w:rsid w:val="006F4787"/>
    <w:rsid w:val="006F61D8"/>
    <w:rsid w:val="006F62B7"/>
    <w:rsid w:val="006F70BC"/>
    <w:rsid w:val="006F726C"/>
    <w:rsid w:val="006F7E7C"/>
    <w:rsid w:val="0070174E"/>
    <w:rsid w:val="007018DB"/>
    <w:rsid w:val="00701DE6"/>
    <w:rsid w:val="00702740"/>
    <w:rsid w:val="0070381B"/>
    <w:rsid w:val="0070676B"/>
    <w:rsid w:val="0070796C"/>
    <w:rsid w:val="007106C8"/>
    <w:rsid w:val="007109BB"/>
    <w:rsid w:val="00710EBF"/>
    <w:rsid w:val="007110B8"/>
    <w:rsid w:val="0071209F"/>
    <w:rsid w:val="007125A2"/>
    <w:rsid w:val="00713DD9"/>
    <w:rsid w:val="00713F79"/>
    <w:rsid w:val="007148A8"/>
    <w:rsid w:val="00716AC8"/>
    <w:rsid w:val="00716E54"/>
    <w:rsid w:val="0072033C"/>
    <w:rsid w:val="00720B1B"/>
    <w:rsid w:val="00721062"/>
    <w:rsid w:val="00721E5D"/>
    <w:rsid w:val="007229D4"/>
    <w:rsid w:val="007230F8"/>
    <w:rsid w:val="007233F4"/>
    <w:rsid w:val="00723F12"/>
    <w:rsid w:val="00724044"/>
    <w:rsid w:val="007248D3"/>
    <w:rsid w:val="00724DF8"/>
    <w:rsid w:val="00725137"/>
    <w:rsid w:val="007252DA"/>
    <w:rsid w:val="00725378"/>
    <w:rsid w:val="00727A43"/>
    <w:rsid w:val="00727FF2"/>
    <w:rsid w:val="00730550"/>
    <w:rsid w:val="00730C2A"/>
    <w:rsid w:val="00731434"/>
    <w:rsid w:val="00731E59"/>
    <w:rsid w:val="00732022"/>
    <w:rsid w:val="00732337"/>
    <w:rsid w:val="007323E0"/>
    <w:rsid w:val="00732911"/>
    <w:rsid w:val="00733721"/>
    <w:rsid w:val="00733DE2"/>
    <w:rsid w:val="00734142"/>
    <w:rsid w:val="007352EA"/>
    <w:rsid w:val="00737267"/>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89C"/>
    <w:rsid w:val="00747DE2"/>
    <w:rsid w:val="007502D0"/>
    <w:rsid w:val="007504BF"/>
    <w:rsid w:val="007506CD"/>
    <w:rsid w:val="0075267F"/>
    <w:rsid w:val="007526EC"/>
    <w:rsid w:val="00753C48"/>
    <w:rsid w:val="00754250"/>
    <w:rsid w:val="00754FE4"/>
    <w:rsid w:val="00755216"/>
    <w:rsid w:val="00756236"/>
    <w:rsid w:val="00756271"/>
    <w:rsid w:val="00756348"/>
    <w:rsid w:val="00756521"/>
    <w:rsid w:val="0075656A"/>
    <w:rsid w:val="00756AB7"/>
    <w:rsid w:val="0076106D"/>
    <w:rsid w:val="00761863"/>
    <w:rsid w:val="007623FB"/>
    <w:rsid w:val="00762517"/>
    <w:rsid w:val="00763240"/>
    <w:rsid w:val="0076376A"/>
    <w:rsid w:val="007648AD"/>
    <w:rsid w:val="0076504E"/>
    <w:rsid w:val="00765437"/>
    <w:rsid w:val="007656D8"/>
    <w:rsid w:val="00767BFD"/>
    <w:rsid w:val="00767EA0"/>
    <w:rsid w:val="0077068F"/>
    <w:rsid w:val="00771439"/>
    <w:rsid w:val="00771EDF"/>
    <w:rsid w:val="00772A90"/>
    <w:rsid w:val="00772F8D"/>
    <w:rsid w:val="0077408D"/>
    <w:rsid w:val="00774270"/>
    <w:rsid w:val="007743F6"/>
    <w:rsid w:val="0077478A"/>
    <w:rsid w:val="00775679"/>
    <w:rsid w:val="0077574F"/>
    <w:rsid w:val="00775823"/>
    <w:rsid w:val="00777153"/>
    <w:rsid w:val="007777CC"/>
    <w:rsid w:val="00777B32"/>
    <w:rsid w:val="0078051E"/>
    <w:rsid w:val="00781089"/>
    <w:rsid w:val="00782B59"/>
    <w:rsid w:val="007838F3"/>
    <w:rsid w:val="007856FE"/>
    <w:rsid w:val="00785F46"/>
    <w:rsid w:val="007865F4"/>
    <w:rsid w:val="00786D5C"/>
    <w:rsid w:val="00786E96"/>
    <w:rsid w:val="00787BB6"/>
    <w:rsid w:val="00787BEB"/>
    <w:rsid w:val="00787DFF"/>
    <w:rsid w:val="00787F93"/>
    <w:rsid w:val="00791E6D"/>
    <w:rsid w:val="00791EB5"/>
    <w:rsid w:val="0079343F"/>
    <w:rsid w:val="00793696"/>
    <w:rsid w:val="007955DA"/>
    <w:rsid w:val="00796CDD"/>
    <w:rsid w:val="00796DDF"/>
    <w:rsid w:val="00796F65"/>
    <w:rsid w:val="007A11C2"/>
    <w:rsid w:val="007A18BB"/>
    <w:rsid w:val="007A2714"/>
    <w:rsid w:val="007A27DD"/>
    <w:rsid w:val="007A338C"/>
    <w:rsid w:val="007A41BF"/>
    <w:rsid w:val="007A490A"/>
    <w:rsid w:val="007A7B95"/>
    <w:rsid w:val="007B0297"/>
    <w:rsid w:val="007B02FA"/>
    <w:rsid w:val="007B0F53"/>
    <w:rsid w:val="007B21AE"/>
    <w:rsid w:val="007B2570"/>
    <w:rsid w:val="007B3113"/>
    <w:rsid w:val="007B3304"/>
    <w:rsid w:val="007B3BF0"/>
    <w:rsid w:val="007B5FE6"/>
    <w:rsid w:val="007B7490"/>
    <w:rsid w:val="007C007F"/>
    <w:rsid w:val="007C03B6"/>
    <w:rsid w:val="007C0525"/>
    <w:rsid w:val="007C13F7"/>
    <w:rsid w:val="007C1D77"/>
    <w:rsid w:val="007C218D"/>
    <w:rsid w:val="007C2D28"/>
    <w:rsid w:val="007C3E22"/>
    <w:rsid w:val="007C4801"/>
    <w:rsid w:val="007C58C1"/>
    <w:rsid w:val="007C6218"/>
    <w:rsid w:val="007C6484"/>
    <w:rsid w:val="007C67C6"/>
    <w:rsid w:val="007C76F4"/>
    <w:rsid w:val="007C78BE"/>
    <w:rsid w:val="007C7A5D"/>
    <w:rsid w:val="007C7E59"/>
    <w:rsid w:val="007D0476"/>
    <w:rsid w:val="007D0B91"/>
    <w:rsid w:val="007D0FE7"/>
    <w:rsid w:val="007D1452"/>
    <w:rsid w:val="007D1563"/>
    <w:rsid w:val="007D1FC5"/>
    <w:rsid w:val="007D3DCB"/>
    <w:rsid w:val="007D460C"/>
    <w:rsid w:val="007D4996"/>
    <w:rsid w:val="007D4AD3"/>
    <w:rsid w:val="007D5D19"/>
    <w:rsid w:val="007D5FDC"/>
    <w:rsid w:val="007D6176"/>
    <w:rsid w:val="007D69CD"/>
    <w:rsid w:val="007D6C3F"/>
    <w:rsid w:val="007D6D68"/>
    <w:rsid w:val="007E1015"/>
    <w:rsid w:val="007E194F"/>
    <w:rsid w:val="007E32DA"/>
    <w:rsid w:val="007E4998"/>
    <w:rsid w:val="007E4A9C"/>
    <w:rsid w:val="007E567C"/>
    <w:rsid w:val="007E6914"/>
    <w:rsid w:val="007E7A0F"/>
    <w:rsid w:val="007E7F78"/>
    <w:rsid w:val="007F0179"/>
    <w:rsid w:val="007F01BC"/>
    <w:rsid w:val="007F1326"/>
    <w:rsid w:val="007F17AF"/>
    <w:rsid w:val="007F2C13"/>
    <w:rsid w:val="007F2CEC"/>
    <w:rsid w:val="007F2ED1"/>
    <w:rsid w:val="007F3435"/>
    <w:rsid w:val="007F505D"/>
    <w:rsid w:val="007F531B"/>
    <w:rsid w:val="007F55DE"/>
    <w:rsid w:val="007F762D"/>
    <w:rsid w:val="007F78F0"/>
    <w:rsid w:val="007F78FF"/>
    <w:rsid w:val="008001C5"/>
    <w:rsid w:val="00800F6C"/>
    <w:rsid w:val="00801065"/>
    <w:rsid w:val="00802C0B"/>
    <w:rsid w:val="00805040"/>
    <w:rsid w:val="008051FC"/>
    <w:rsid w:val="008055A9"/>
    <w:rsid w:val="008056C4"/>
    <w:rsid w:val="008057FD"/>
    <w:rsid w:val="00805D8B"/>
    <w:rsid w:val="0081010F"/>
    <w:rsid w:val="00810472"/>
    <w:rsid w:val="00810BB6"/>
    <w:rsid w:val="00810E8E"/>
    <w:rsid w:val="00812C44"/>
    <w:rsid w:val="008135E1"/>
    <w:rsid w:val="00813779"/>
    <w:rsid w:val="00813E26"/>
    <w:rsid w:val="0081481D"/>
    <w:rsid w:val="00814BE8"/>
    <w:rsid w:val="00814F6E"/>
    <w:rsid w:val="00815ADF"/>
    <w:rsid w:val="00815B84"/>
    <w:rsid w:val="00816342"/>
    <w:rsid w:val="008166F6"/>
    <w:rsid w:val="00816BE9"/>
    <w:rsid w:val="00817113"/>
    <w:rsid w:val="00817D10"/>
    <w:rsid w:val="00822518"/>
    <w:rsid w:val="008226F5"/>
    <w:rsid w:val="00823FC6"/>
    <w:rsid w:val="00824189"/>
    <w:rsid w:val="00824306"/>
    <w:rsid w:val="0082465B"/>
    <w:rsid w:val="00825C74"/>
    <w:rsid w:val="00825CFA"/>
    <w:rsid w:val="00826AB9"/>
    <w:rsid w:val="00826E0E"/>
    <w:rsid w:val="00827D11"/>
    <w:rsid w:val="00827E0F"/>
    <w:rsid w:val="00827F6E"/>
    <w:rsid w:val="00830DD8"/>
    <w:rsid w:val="00831758"/>
    <w:rsid w:val="008317D9"/>
    <w:rsid w:val="00831AEC"/>
    <w:rsid w:val="0083279F"/>
    <w:rsid w:val="00832CE9"/>
    <w:rsid w:val="008334DB"/>
    <w:rsid w:val="00833B7F"/>
    <w:rsid w:val="00833E8E"/>
    <w:rsid w:val="00834906"/>
    <w:rsid w:val="00836075"/>
    <w:rsid w:val="00836417"/>
    <w:rsid w:val="00837526"/>
    <w:rsid w:val="008407A7"/>
    <w:rsid w:val="0084322B"/>
    <w:rsid w:val="00843F81"/>
    <w:rsid w:val="00844087"/>
    <w:rsid w:val="008444DE"/>
    <w:rsid w:val="008448F1"/>
    <w:rsid w:val="0084519E"/>
    <w:rsid w:val="00845CAE"/>
    <w:rsid w:val="008462C5"/>
    <w:rsid w:val="008462FA"/>
    <w:rsid w:val="00846370"/>
    <w:rsid w:val="00846873"/>
    <w:rsid w:val="008477E7"/>
    <w:rsid w:val="00847C2B"/>
    <w:rsid w:val="00850272"/>
    <w:rsid w:val="008506B9"/>
    <w:rsid w:val="0085086F"/>
    <w:rsid w:val="00851822"/>
    <w:rsid w:val="008518D6"/>
    <w:rsid w:val="00851C16"/>
    <w:rsid w:val="00851D27"/>
    <w:rsid w:val="008532BF"/>
    <w:rsid w:val="008539B2"/>
    <w:rsid w:val="00853BF4"/>
    <w:rsid w:val="00854294"/>
    <w:rsid w:val="00854295"/>
    <w:rsid w:val="0085572E"/>
    <w:rsid w:val="0085788B"/>
    <w:rsid w:val="00857A9E"/>
    <w:rsid w:val="00857DE2"/>
    <w:rsid w:val="0086003D"/>
    <w:rsid w:val="00861521"/>
    <w:rsid w:val="008631A2"/>
    <w:rsid w:val="00863A8E"/>
    <w:rsid w:val="0086407F"/>
    <w:rsid w:val="008645E3"/>
    <w:rsid w:val="00864E79"/>
    <w:rsid w:val="0086572B"/>
    <w:rsid w:val="00866615"/>
    <w:rsid w:val="0086661F"/>
    <w:rsid w:val="00866A0D"/>
    <w:rsid w:val="00866DB5"/>
    <w:rsid w:val="0086701D"/>
    <w:rsid w:val="0086702B"/>
    <w:rsid w:val="008672E2"/>
    <w:rsid w:val="0086784E"/>
    <w:rsid w:val="00867FFD"/>
    <w:rsid w:val="008709D1"/>
    <w:rsid w:val="0087121C"/>
    <w:rsid w:val="00871FD2"/>
    <w:rsid w:val="00872084"/>
    <w:rsid w:val="00872827"/>
    <w:rsid w:val="00872A32"/>
    <w:rsid w:val="0087377C"/>
    <w:rsid w:val="008743E3"/>
    <w:rsid w:val="00874911"/>
    <w:rsid w:val="008754E4"/>
    <w:rsid w:val="00876EAE"/>
    <w:rsid w:val="00880106"/>
    <w:rsid w:val="00880F95"/>
    <w:rsid w:val="00882B44"/>
    <w:rsid w:val="008838AD"/>
    <w:rsid w:val="00885BC9"/>
    <w:rsid w:val="008864B3"/>
    <w:rsid w:val="008865E5"/>
    <w:rsid w:val="008871B0"/>
    <w:rsid w:val="00890B57"/>
    <w:rsid w:val="008916BA"/>
    <w:rsid w:val="00891A93"/>
    <w:rsid w:val="00891F64"/>
    <w:rsid w:val="0089217C"/>
    <w:rsid w:val="00892790"/>
    <w:rsid w:val="00893261"/>
    <w:rsid w:val="00893671"/>
    <w:rsid w:val="00895838"/>
    <w:rsid w:val="00895A1E"/>
    <w:rsid w:val="00895A72"/>
    <w:rsid w:val="00895CDF"/>
    <w:rsid w:val="00895DF6"/>
    <w:rsid w:val="00896679"/>
    <w:rsid w:val="00896D8C"/>
    <w:rsid w:val="008973B2"/>
    <w:rsid w:val="008A0FC9"/>
    <w:rsid w:val="008A1956"/>
    <w:rsid w:val="008A1A7C"/>
    <w:rsid w:val="008A248A"/>
    <w:rsid w:val="008A2CE2"/>
    <w:rsid w:val="008A392F"/>
    <w:rsid w:val="008A3BEC"/>
    <w:rsid w:val="008A40D3"/>
    <w:rsid w:val="008A469C"/>
    <w:rsid w:val="008A50FB"/>
    <w:rsid w:val="008A51D1"/>
    <w:rsid w:val="008A5DCE"/>
    <w:rsid w:val="008A75D3"/>
    <w:rsid w:val="008B05DD"/>
    <w:rsid w:val="008B07B8"/>
    <w:rsid w:val="008B17E8"/>
    <w:rsid w:val="008B2C45"/>
    <w:rsid w:val="008B2E7C"/>
    <w:rsid w:val="008B399A"/>
    <w:rsid w:val="008B45F0"/>
    <w:rsid w:val="008B4A70"/>
    <w:rsid w:val="008B502F"/>
    <w:rsid w:val="008B6DFC"/>
    <w:rsid w:val="008B7227"/>
    <w:rsid w:val="008C02FB"/>
    <w:rsid w:val="008C04E0"/>
    <w:rsid w:val="008C191C"/>
    <w:rsid w:val="008C1DA4"/>
    <w:rsid w:val="008C2138"/>
    <w:rsid w:val="008C29B0"/>
    <w:rsid w:val="008C2CD5"/>
    <w:rsid w:val="008C3618"/>
    <w:rsid w:val="008C39E7"/>
    <w:rsid w:val="008C43AD"/>
    <w:rsid w:val="008C6118"/>
    <w:rsid w:val="008C6214"/>
    <w:rsid w:val="008C6341"/>
    <w:rsid w:val="008C653D"/>
    <w:rsid w:val="008C731F"/>
    <w:rsid w:val="008C74D9"/>
    <w:rsid w:val="008D19DA"/>
    <w:rsid w:val="008D2050"/>
    <w:rsid w:val="008D3B2D"/>
    <w:rsid w:val="008D4819"/>
    <w:rsid w:val="008D58D9"/>
    <w:rsid w:val="008D5AD4"/>
    <w:rsid w:val="008D5E24"/>
    <w:rsid w:val="008D695E"/>
    <w:rsid w:val="008D6DD5"/>
    <w:rsid w:val="008D6E59"/>
    <w:rsid w:val="008D7155"/>
    <w:rsid w:val="008D76E0"/>
    <w:rsid w:val="008D7A3C"/>
    <w:rsid w:val="008E08F5"/>
    <w:rsid w:val="008E0B29"/>
    <w:rsid w:val="008E141A"/>
    <w:rsid w:val="008E1A44"/>
    <w:rsid w:val="008E28E6"/>
    <w:rsid w:val="008E3232"/>
    <w:rsid w:val="008E3674"/>
    <w:rsid w:val="008E3B6C"/>
    <w:rsid w:val="008E3DE7"/>
    <w:rsid w:val="008E5227"/>
    <w:rsid w:val="008E562C"/>
    <w:rsid w:val="008E6540"/>
    <w:rsid w:val="008E77D4"/>
    <w:rsid w:val="008E7ADD"/>
    <w:rsid w:val="008F091F"/>
    <w:rsid w:val="008F17B2"/>
    <w:rsid w:val="008F22B3"/>
    <w:rsid w:val="008F357B"/>
    <w:rsid w:val="008F44CA"/>
    <w:rsid w:val="008F49D3"/>
    <w:rsid w:val="008F5921"/>
    <w:rsid w:val="008F6519"/>
    <w:rsid w:val="008F7012"/>
    <w:rsid w:val="008F7ADA"/>
    <w:rsid w:val="008F7B17"/>
    <w:rsid w:val="00900042"/>
    <w:rsid w:val="0090034B"/>
    <w:rsid w:val="0090087C"/>
    <w:rsid w:val="00901121"/>
    <w:rsid w:val="00901547"/>
    <w:rsid w:val="00902623"/>
    <w:rsid w:val="00902A67"/>
    <w:rsid w:val="00902C5E"/>
    <w:rsid w:val="00904BE4"/>
    <w:rsid w:val="0090504A"/>
    <w:rsid w:val="009051F5"/>
    <w:rsid w:val="00905221"/>
    <w:rsid w:val="00905664"/>
    <w:rsid w:val="0090596F"/>
    <w:rsid w:val="00905A7C"/>
    <w:rsid w:val="00905D7E"/>
    <w:rsid w:val="00907037"/>
    <w:rsid w:val="00907259"/>
    <w:rsid w:val="00910C5D"/>
    <w:rsid w:val="0091112C"/>
    <w:rsid w:val="0091160A"/>
    <w:rsid w:val="00912E04"/>
    <w:rsid w:val="00913258"/>
    <w:rsid w:val="00913851"/>
    <w:rsid w:val="00913BB0"/>
    <w:rsid w:val="0091456C"/>
    <w:rsid w:val="00914C58"/>
    <w:rsid w:val="00914D7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6E66"/>
    <w:rsid w:val="00927028"/>
    <w:rsid w:val="0092756F"/>
    <w:rsid w:val="00927763"/>
    <w:rsid w:val="00927A2D"/>
    <w:rsid w:val="00927B37"/>
    <w:rsid w:val="009321B1"/>
    <w:rsid w:val="009327F0"/>
    <w:rsid w:val="00932ED7"/>
    <w:rsid w:val="0093422D"/>
    <w:rsid w:val="0093483B"/>
    <w:rsid w:val="00934CF9"/>
    <w:rsid w:val="00934DD7"/>
    <w:rsid w:val="0093555C"/>
    <w:rsid w:val="00935CB2"/>
    <w:rsid w:val="009369A9"/>
    <w:rsid w:val="00936CF7"/>
    <w:rsid w:val="00937783"/>
    <w:rsid w:val="00937EAD"/>
    <w:rsid w:val="00937F28"/>
    <w:rsid w:val="00940FE1"/>
    <w:rsid w:val="00941474"/>
    <w:rsid w:val="00942306"/>
    <w:rsid w:val="009424B8"/>
    <w:rsid w:val="009432E2"/>
    <w:rsid w:val="00944668"/>
    <w:rsid w:val="00944DC6"/>
    <w:rsid w:val="0094545B"/>
    <w:rsid w:val="00945644"/>
    <w:rsid w:val="0094579F"/>
    <w:rsid w:val="009458B0"/>
    <w:rsid w:val="00945B52"/>
    <w:rsid w:val="00945B7A"/>
    <w:rsid w:val="00945F05"/>
    <w:rsid w:val="00946348"/>
    <w:rsid w:val="00946D8A"/>
    <w:rsid w:val="00947224"/>
    <w:rsid w:val="00947797"/>
    <w:rsid w:val="009478A2"/>
    <w:rsid w:val="009533BD"/>
    <w:rsid w:val="009536FB"/>
    <w:rsid w:val="00953808"/>
    <w:rsid w:val="009539A6"/>
    <w:rsid w:val="00954032"/>
    <w:rsid w:val="00954537"/>
    <w:rsid w:val="0095472D"/>
    <w:rsid w:val="00955342"/>
    <w:rsid w:val="00955FBB"/>
    <w:rsid w:val="0095694B"/>
    <w:rsid w:val="00956BD5"/>
    <w:rsid w:val="00956D84"/>
    <w:rsid w:val="009577B5"/>
    <w:rsid w:val="0095789E"/>
    <w:rsid w:val="009608E6"/>
    <w:rsid w:val="00960F57"/>
    <w:rsid w:val="00961C90"/>
    <w:rsid w:val="00965443"/>
    <w:rsid w:val="00965954"/>
    <w:rsid w:val="00965A21"/>
    <w:rsid w:val="00965E55"/>
    <w:rsid w:val="0096608E"/>
    <w:rsid w:val="00966522"/>
    <w:rsid w:val="00966C33"/>
    <w:rsid w:val="00970F18"/>
    <w:rsid w:val="00971CF1"/>
    <w:rsid w:val="00971F5D"/>
    <w:rsid w:val="0097206B"/>
    <w:rsid w:val="009721E9"/>
    <w:rsid w:val="00973772"/>
    <w:rsid w:val="009739F8"/>
    <w:rsid w:val="00974C8A"/>
    <w:rsid w:val="0097560A"/>
    <w:rsid w:val="00975E1E"/>
    <w:rsid w:val="00975E70"/>
    <w:rsid w:val="009761DE"/>
    <w:rsid w:val="009766FA"/>
    <w:rsid w:val="009779D8"/>
    <w:rsid w:val="00977CD6"/>
    <w:rsid w:val="0098048B"/>
    <w:rsid w:val="00980908"/>
    <w:rsid w:val="00980DF9"/>
    <w:rsid w:val="00981CD8"/>
    <w:rsid w:val="0098243D"/>
    <w:rsid w:val="00982D26"/>
    <w:rsid w:val="00983B6E"/>
    <w:rsid w:val="00983FE5"/>
    <w:rsid w:val="009849E9"/>
    <w:rsid w:val="00984AFF"/>
    <w:rsid w:val="009859E4"/>
    <w:rsid w:val="00985D7F"/>
    <w:rsid w:val="00987812"/>
    <w:rsid w:val="00990225"/>
    <w:rsid w:val="00991307"/>
    <w:rsid w:val="00991FAA"/>
    <w:rsid w:val="00992A13"/>
    <w:rsid w:val="00994AAD"/>
    <w:rsid w:val="00995150"/>
    <w:rsid w:val="009951A4"/>
    <w:rsid w:val="00995D67"/>
    <w:rsid w:val="00997613"/>
    <w:rsid w:val="009A013B"/>
    <w:rsid w:val="009A02F4"/>
    <w:rsid w:val="009A06BF"/>
    <w:rsid w:val="009A0D17"/>
    <w:rsid w:val="009A1FD8"/>
    <w:rsid w:val="009A2494"/>
    <w:rsid w:val="009A32B1"/>
    <w:rsid w:val="009A33A3"/>
    <w:rsid w:val="009A36F2"/>
    <w:rsid w:val="009A383D"/>
    <w:rsid w:val="009A3BCA"/>
    <w:rsid w:val="009A3C81"/>
    <w:rsid w:val="009A40C3"/>
    <w:rsid w:val="009A40D5"/>
    <w:rsid w:val="009A5268"/>
    <w:rsid w:val="009A56B1"/>
    <w:rsid w:val="009A57D0"/>
    <w:rsid w:val="009A6559"/>
    <w:rsid w:val="009A68FC"/>
    <w:rsid w:val="009A6CE4"/>
    <w:rsid w:val="009A7514"/>
    <w:rsid w:val="009A7E7A"/>
    <w:rsid w:val="009B0925"/>
    <w:rsid w:val="009B1584"/>
    <w:rsid w:val="009B18F0"/>
    <w:rsid w:val="009B1F4C"/>
    <w:rsid w:val="009B2471"/>
    <w:rsid w:val="009B2515"/>
    <w:rsid w:val="009B2A25"/>
    <w:rsid w:val="009B314F"/>
    <w:rsid w:val="009B439C"/>
    <w:rsid w:val="009B49A1"/>
    <w:rsid w:val="009B4A6C"/>
    <w:rsid w:val="009B4B06"/>
    <w:rsid w:val="009B4DA8"/>
    <w:rsid w:val="009B519A"/>
    <w:rsid w:val="009B620C"/>
    <w:rsid w:val="009B6753"/>
    <w:rsid w:val="009B676C"/>
    <w:rsid w:val="009B6A26"/>
    <w:rsid w:val="009B6B20"/>
    <w:rsid w:val="009B6BD0"/>
    <w:rsid w:val="009B73B6"/>
    <w:rsid w:val="009C079D"/>
    <w:rsid w:val="009C0D70"/>
    <w:rsid w:val="009C13D1"/>
    <w:rsid w:val="009C2913"/>
    <w:rsid w:val="009C2BD4"/>
    <w:rsid w:val="009C3001"/>
    <w:rsid w:val="009C5AFE"/>
    <w:rsid w:val="009C6606"/>
    <w:rsid w:val="009C6CE5"/>
    <w:rsid w:val="009C6D50"/>
    <w:rsid w:val="009C7547"/>
    <w:rsid w:val="009D05EC"/>
    <w:rsid w:val="009D18D4"/>
    <w:rsid w:val="009D1FCF"/>
    <w:rsid w:val="009D2F60"/>
    <w:rsid w:val="009D3485"/>
    <w:rsid w:val="009D3A2E"/>
    <w:rsid w:val="009D5ADE"/>
    <w:rsid w:val="009D5BAC"/>
    <w:rsid w:val="009D5C56"/>
    <w:rsid w:val="009D6265"/>
    <w:rsid w:val="009D64BD"/>
    <w:rsid w:val="009D6CB1"/>
    <w:rsid w:val="009E0286"/>
    <w:rsid w:val="009E153F"/>
    <w:rsid w:val="009E18C5"/>
    <w:rsid w:val="009E277F"/>
    <w:rsid w:val="009E322A"/>
    <w:rsid w:val="009E393E"/>
    <w:rsid w:val="009E444E"/>
    <w:rsid w:val="009E4968"/>
    <w:rsid w:val="009E663C"/>
    <w:rsid w:val="009E684A"/>
    <w:rsid w:val="009E6BB1"/>
    <w:rsid w:val="009E6DB2"/>
    <w:rsid w:val="009E6E14"/>
    <w:rsid w:val="009E71FF"/>
    <w:rsid w:val="009E794A"/>
    <w:rsid w:val="009E7C14"/>
    <w:rsid w:val="009F0494"/>
    <w:rsid w:val="009F0CD9"/>
    <w:rsid w:val="009F1A79"/>
    <w:rsid w:val="009F1F57"/>
    <w:rsid w:val="009F2DDD"/>
    <w:rsid w:val="009F2F84"/>
    <w:rsid w:val="009F3447"/>
    <w:rsid w:val="009F4D20"/>
    <w:rsid w:val="009F65F4"/>
    <w:rsid w:val="009F676B"/>
    <w:rsid w:val="009F6D2D"/>
    <w:rsid w:val="009F6D54"/>
    <w:rsid w:val="009F7758"/>
    <w:rsid w:val="009F7F7D"/>
    <w:rsid w:val="00A004DF"/>
    <w:rsid w:val="00A00FD5"/>
    <w:rsid w:val="00A012C0"/>
    <w:rsid w:val="00A019A8"/>
    <w:rsid w:val="00A01B03"/>
    <w:rsid w:val="00A01B89"/>
    <w:rsid w:val="00A022EE"/>
    <w:rsid w:val="00A02C66"/>
    <w:rsid w:val="00A02C84"/>
    <w:rsid w:val="00A0464C"/>
    <w:rsid w:val="00A050BB"/>
    <w:rsid w:val="00A0521B"/>
    <w:rsid w:val="00A054E0"/>
    <w:rsid w:val="00A05D91"/>
    <w:rsid w:val="00A0740B"/>
    <w:rsid w:val="00A07ED3"/>
    <w:rsid w:val="00A1067B"/>
    <w:rsid w:val="00A10CA8"/>
    <w:rsid w:val="00A11042"/>
    <w:rsid w:val="00A12260"/>
    <w:rsid w:val="00A12579"/>
    <w:rsid w:val="00A12CDC"/>
    <w:rsid w:val="00A133D8"/>
    <w:rsid w:val="00A15655"/>
    <w:rsid w:val="00A160B0"/>
    <w:rsid w:val="00A1740C"/>
    <w:rsid w:val="00A17904"/>
    <w:rsid w:val="00A20069"/>
    <w:rsid w:val="00A21787"/>
    <w:rsid w:val="00A2244D"/>
    <w:rsid w:val="00A2253D"/>
    <w:rsid w:val="00A2267F"/>
    <w:rsid w:val="00A22CDB"/>
    <w:rsid w:val="00A247B8"/>
    <w:rsid w:val="00A2495A"/>
    <w:rsid w:val="00A24C7A"/>
    <w:rsid w:val="00A24D85"/>
    <w:rsid w:val="00A24D8F"/>
    <w:rsid w:val="00A25B8B"/>
    <w:rsid w:val="00A2689F"/>
    <w:rsid w:val="00A26ECA"/>
    <w:rsid w:val="00A27461"/>
    <w:rsid w:val="00A27D67"/>
    <w:rsid w:val="00A30ABC"/>
    <w:rsid w:val="00A32760"/>
    <w:rsid w:val="00A3297E"/>
    <w:rsid w:val="00A33B74"/>
    <w:rsid w:val="00A3467F"/>
    <w:rsid w:val="00A34B4C"/>
    <w:rsid w:val="00A35030"/>
    <w:rsid w:val="00A3551A"/>
    <w:rsid w:val="00A35F6F"/>
    <w:rsid w:val="00A366A0"/>
    <w:rsid w:val="00A37209"/>
    <w:rsid w:val="00A37584"/>
    <w:rsid w:val="00A376E8"/>
    <w:rsid w:val="00A37EE0"/>
    <w:rsid w:val="00A37F8E"/>
    <w:rsid w:val="00A41537"/>
    <w:rsid w:val="00A41737"/>
    <w:rsid w:val="00A42B8F"/>
    <w:rsid w:val="00A42D15"/>
    <w:rsid w:val="00A42D8E"/>
    <w:rsid w:val="00A43254"/>
    <w:rsid w:val="00A43896"/>
    <w:rsid w:val="00A43951"/>
    <w:rsid w:val="00A43A26"/>
    <w:rsid w:val="00A447A0"/>
    <w:rsid w:val="00A459F5"/>
    <w:rsid w:val="00A45FC0"/>
    <w:rsid w:val="00A46B74"/>
    <w:rsid w:val="00A47BF7"/>
    <w:rsid w:val="00A47ECC"/>
    <w:rsid w:val="00A50171"/>
    <w:rsid w:val="00A50444"/>
    <w:rsid w:val="00A504FA"/>
    <w:rsid w:val="00A5102E"/>
    <w:rsid w:val="00A5132E"/>
    <w:rsid w:val="00A51375"/>
    <w:rsid w:val="00A51533"/>
    <w:rsid w:val="00A531D4"/>
    <w:rsid w:val="00A54572"/>
    <w:rsid w:val="00A569A4"/>
    <w:rsid w:val="00A571A5"/>
    <w:rsid w:val="00A575B8"/>
    <w:rsid w:val="00A619BB"/>
    <w:rsid w:val="00A61BC6"/>
    <w:rsid w:val="00A61C60"/>
    <w:rsid w:val="00A61E78"/>
    <w:rsid w:val="00A61ECB"/>
    <w:rsid w:val="00A6410C"/>
    <w:rsid w:val="00A64604"/>
    <w:rsid w:val="00A647B1"/>
    <w:rsid w:val="00A64DEF"/>
    <w:rsid w:val="00A654D2"/>
    <w:rsid w:val="00A654F3"/>
    <w:rsid w:val="00A665DF"/>
    <w:rsid w:val="00A66767"/>
    <w:rsid w:val="00A67CB9"/>
    <w:rsid w:val="00A67FCC"/>
    <w:rsid w:val="00A70AA5"/>
    <w:rsid w:val="00A70C03"/>
    <w:rsid w:val="00A71256"/>
    <w:rsid w:val="00A7217B"/>
    <w:rsid w:val="00A722D7"/>
    <w:rsid w:val="00A723A3"/>
    <w:rsid w:val="00A73861"/>
    <w:rsid w:val="00A739A6"/>
    <w:rsid w:val="00A740ED"/>
    <w:rsid w:val="00A749A9"/>
    <w:rsid w:val="00A74C29"/>
    <w:rsid w:val="00A74C62"/>
    <w:rsid w:val="00A75EF9"/>
    <w:rsid w:val="00A7657C"/>
    <w:rsid w:val="00A8311C"/>
    <w:rsid w:val="00A835D0"/>
    <w:rsid w:val="00A83754"/>
    <w:rsid w:val="00A849A0"/>
    <w:rsid w:val="00A84C5F"/>
    <w:rsid w:val="00A84CFA"/>
    <w:rsid w:val="00A85930"/>
    <w:rsid w:val="00A861BE"/>
    <w:rsid w:val="00A863F7"/>
    <w:rsid w:val="00A86604"/>
    <w:rsid w:val="00A87519"/>
    <w:rsid w:val="00A9246D"/>
    <w:rsid w:val="00A92B11"/>
    <w:rsid w:val="00A92CCA"/>
    <w:rsid w:val="00A93BD0"/>
    <w:rsid w:val="00A93CC2"/>
    <w:rsid w:val="00A94D4B"/>
    <w:rsid w:val="00A9509F"/>
    <w:rsid w:val="00A95F11"/>
    <w:rsid w:val="00A974CC"/>
    <w:rsid w:val="00AA1738"/>
    <w:rsid w:val="00AA1D03"/>
    <w:rsid w:val="00AA2001"/>
    <w:rsid w:val="00AA2B5C"/>
    <w:rsid w:val="00AA32D2"/>
    <w:rsid w:val="00AA3B8B"/>
    <w:rsid w:val="00AA4016"/>
    <w:rsid w:val="00AA4C1F"/>
    <w:rsid w:val="00AA5328"/>
    <w:rsid w:val="00AA536E"/>
    <w:rsid w:val="00AA5393"/>
    <w:rsid w:val="00AA63D4"/>
    <w:rsid w:val="00AB01C2"/>
    <w:rsid w:val="00AB03FD"/>
    <w:rsid w:val="00AB2000"/>
    <w:rsid w:val="00AB38CB"/>
    <w:rsid w:val="00AB3BEC"/>
    <w:rsid w:val="00AB44E4"/>
    <w:rsid w:val="00AB4AEB"/>
    <w:rsid w:val="00AB4E5F"/>
    <w:rsid w:val="00AB5352"/>
    <w:rsid w:val="00AB56AE"/>
    <w:rsid w:val="00AB62D5"/>
    <w:rsid w:val="00AB65B5"/>
    <w:rsid w:val="00AB68D5"/>
    <w:rsid w:val="00AB6DCD"/>
    <w:rsid w:val="00AB6EE0"/>
    <w:rsid w:val="00AC166D"/>
    <w:rsid w:val="00AC17A2"/>
    <w:rsid w:val="00AC272D"/>
    <w:rsid w:val="00AC40B7"/>
    <w:rsid w:val="00AC531F"/>
    <w:rsid w:val="00AC58DF"/>
    <w:rsid w:val="00AC5B36"/>
    <w:rsid w:val="00AC6104"/>
    <w:rsid w:val="00AC6377"/>
    <w:rsid w:val="00AC66A4"/>
    <w:rsid w:val="00AC6CB1"/>
    <w:rsid w:val="00AC6D38"/>
    <w:rsid w:val="00AC75E9"/>
    <w:rsid w:val="00AC7D6D"/>
    <w:rsid w:val="00AD0091"/>
    <w:rsid w:val="00AD23EF"/>
    <w:rsid w:val="00AD2662"/>
    <w:rsid w:val="00AD307B"/>
    <w:rsid w:val="00AD4014"/>
    <w:rsid w:val="00AD41B3"/>
    <w:rsid w:val="00AD5721"/>
    <w:rsid w:val="00AD69F0"/>
    <w:rsid w:val="00AD7127"/>
    <w:rsid w:val="00AD730C"/>
    <w:rsid w:val="00AE0FC2"/>
    <w:rsid w:val="00AE123A"/>
    <w:rsid w:val="00AE1539"/>
    <w:rsid w:val="00AE28A7"/>
    <w:rsid w:val="00AE2A98"/>
    <w:rsid w:val="00AE2CF2"/>
    <w:rsid w:val="00AE3012"/>
    <w:rsid w:val="00AE3297"/>
    <w:rsid w:val="00AE33A6"/>
    <w:rsid w:val="00AE3513"/>
    <w:rsid w:val="00AE3729"/>
    <w:rsid w:val="00AE4A3E"/>
    <w:rsid w:val="00AE4CCE"/>
    <w:rsid w:val="00AE5C6A"/>
    <w:rsid w:val="00AE7280"/>
    <w:rsid w:val="00AF01FA"/>
    <w:rsid w:val="00AF033A"/>
    <w:rsid w:val="00AF162F"/>
    <w:rsid w:val="00AF1658"/>
    <w:rsid w:val="00AF1699"/>
    <w:rsid w:val="00AF1FD3"/>
    <w:rsid w:val="00AF2910"/>
    <w:rsid w:val="00AF34B8"/>
    <w:rsid w:val="00AF3896"/>
    <w:rsid w:val="00AF39C9"/>
    <w:rsid w:val="00AF3FC2"/>
    <w:rsid w:val="00AF4DEC"/>
    <w:rsid w:val="00B003FF"/>
    <w:rsid w:val="00B0098A"/>
    <w:rsid w:val="00B00A5F"/>
    <w:rsid w:val="00B029B8"/>
    <w:rsid w:val="00B02F60"/>
    <w:rsid w:val="00B02F94"/>
    <w:rsid w:val="00B032B8"/>
    <w:rsid w:val="00B03B58"/>
    <w:rsid w:val="00B04721"/>
    <w:rsid w:val="00B04935"/>
    <w:rsid w:val="00B04B15"/>
    <w:rsid w:val="00B04B46"/>
    <w:rsid w:val="00B0523D"/>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014"/>
    <w:rsid w:val="00B20F18"/>
    <w:rsid w:val="00B21516"/>
    <w:rsid w:val="00B21A37"/>
    <w:rsid w:val="00B21D23"/>
    <w:rsid w:val="00B21F62"/>
    <w:rsid w:val="00B22418"/>
    <w:rsid w:val="00B22CE0"/>
    <w:rsid w:val="00B23738"/>
    <w:rsid w:val="00B23BEF"/>
    <w:rsid w:val="00B247BB"/>
    <w:rsid w:val="00B2504A"/>
    <w:rsid w:val="00B2519B"/>
    <w:rsid w:val="00B25EE6"/>
    <w:rsid w:val="00B307D6"/>
    <w:rsid w:val="00B3115A"/>
    <w:rsid w:val="00B3178B"/>
    <w:rsid w:val="00B31825"/>
    <w:rsid w:val="00B31A5C"/>
    <w:rsid w:val="00B32265"/>
    <w:rsid w:val="00B3276D"/>
    <w:rsid w:val="00B3344B"/>
    <w:rsid w:val="00B33B06"/>
    <w:rsid w:val="00B33C19"/>
    <w:rsid w:val="00B34608"/>
    <w:rsid w:val="00B35684"/>
    <w:rsid w:val="00B35A15"/>
    <w:rsid w:val="00B35B45"/>
    <w:rsid w:val="00B35CA6"/>
    <w:rsid w:val="00B36165"/>
    <w:rsid w:val="00B36A99"/>
    <w:rsid w:val="00B42264"/>
    <w:rsid w:val="00B42DDF"/>
    <w:rsid w:val="00B434B2"/>
    <w:rsid w:val="00B43D45"/>
    <w:rsid w:val="00B459AF"/>
    <w:rsid w:val="00B468F2"/>
    <w:rsid w:val="00B469DE"/>
    <w:rsid w:val="00B47286"/>
    <w:rsid w:val="00B47EB4"/>
    <w:rsid w:val="00B50234"/>
    <w:rsid w:val="00B51BF4"/>
    <w:rsid w:val="00B52C68"/>
    <w:rsid w:val="00B5372B"/>
    <w:rsid w:val="00B5384B"/>
    <w:rsid w:val="00B542FE"/>
    <w:rsid w:val="00B55A1B"/>
    <w:rsid w:val="00B561DB"/>
    <w:rsid w:val="00B56DF9"/>
    <w:rsid w:val="00B56E80"/>
    <w:rsid w:val="00B571F1"/>
    <w:rsid w:val="00B600BD"/>
    <w:rsid w:val="00B604A2"/>
    <w:rsid w:val="00B60E4E"/>
    <w:rsid w:val="00B61274"/>
    <w:rsid w:val="00B61DCE"/>
    <w:rsid w:val="00B62188"/>
    <w:rsid w:val="00B62F79"/>
    <w:rsid w:val="00B62F82"/>
    <w:rsid w:val="00B6306A"/>
    <w:rsid w:val="00B633AB"/>
    <w:rsid w:val="00B635E3"/>
    <w:rsid w:val="00B6567B"/>
    <w:rsid w:val="00B662FF"/>
    <w:rsid w:val="00B66679"/>
    <w:rsid w:val="00B70145"/>
    <w:rsid w:val="00B701D1"/>
    <w:rsid w:val="00B71293"/>
    <w:rsid w:val="00B71A92"/>
    <w:rsid w:val="00B721D8"/>
    <w:rsid w:val="00B730CA"/>
    <w:rsid w:val="00B732EA"/>
    <w:rsid w:val="00B73747"/>
    <w:rsid w:val="00B747C5"/>
    <w:rsid w:val="00B74F2F"/>
    <w:rsid w:val="00B753ED"/>
    <w:rsid w:val="00B758E7"/>
    <w:rsid w:val="00B7665F"/>
    <w:rsid w:val="00B769BC"/>
    <w:rsid w:val="00B770F7"/>
    <w:rsid w:val="00B77349"/>
    <w:rsid w:val="00B7761E"/>
    <w:rsid w:val="00B77953"/>
    <w:rsid w:val="00B80A3D"/>
    <w:rsid w:val="00B80B04"/>
    <w:rsid w:val="00B81103"/>
    <w:rsid w:val="00B821E4"/>
    <w:rsid w:val="00B823E0"/>
    <w:rsid w:val="00B8260D"/>
    <w:rsid w:val="00B82B78"/>
    <w:rsid w:val="00B82DE9"/>
    <w:rsid w:val="00B838FD"/>
    <w:rsid w:val="00B845B4"/>
    <w:rsid w:val="00B84662"/>
    <w:rsid w:val="00B84C74"/>
    <w:rsid w:val="00B84CE9"/>
    <w:rsid w:val="00B85191"/>
    <w:rsid w:val="00B858A1"/>
    <w:rsid w:val="00B85FEC"/>
    <w:rsid w:val="00B864A3"/>
    <w:rsid w:val="00B86728"/>
    <w:rsid w:val="00B86C2A"/>
    <w:rsid w:val="00B8759A"/>
    <w:rsid w:val="00B902A5"/>
    <w:rsid w:val="00B90420"/>
    <w:rsid w:val="00B90848"/>
    <w:rsid w:val="00B91146"/>
    <w:rsid w:val="00B913E4"/>
    <w:rsid w:val="00B91DB9"/>
    <w:rsid w:val="00B91FF3"/>
    <w:rsid w:val="00B925F8"/>
    <w:rsid w:val="00B93EFE"/>
    <w:rsid w:val="00B944B9"/>
    <w:rsid w:val="00B94956"/>
    <w:rsid w:val="00B949EB"/>
    <w:rsid w:val="00B94C7F"/>
    <w:rsid w:val="00B94E93"/>
    <w:rsid w:val="00B956B5"/>
    <w:rsid w:val="00B95956"/>
    <w:rsid w:val="00B96DF2"/>
    <w:rsid w:val="00B96E18"/>
    <w:rsid w:val="00B96F5A"/>
    <w:rsid w:val="00B970CA"/>
    <w:rsid w:val="00BA0B39"/>
    <w:rsid w:val="00BA0CB2"/>
    <w:rsid w:val="00BA0E26"/>
    <w:rsid w:val="00BA138B"/>
    <w:rsid w:val="00BA305B"/>
    <w:rsid w:val="00BA31BF"/>
    <w:rsid w:val="00BA3C0F"/>
    <w:rsid w:val="00BA3FC7"/>
    <w:rsid w:val="00BA478B"/>
    <w:rsid w:val="00BA4ABD"/>
    <w:rsid w:val="00BA4BB4"/>
    <w:rsid w:val="00BA5224"/>
    <w:rsid w:val="00BA575E"/>
    <w:rsid w:val="00BA76B7"/>
    <w:rsid w:val="00BA7E3B"/>
    <w:rsid w:val="00BB078D"/>
    <w:rsid w:val="00BB079C"/>
    <w:rsid w:val="00BB0D7A"/>
    <w:rsid w:val="00BB10E1"/>
    <w:rsid w:val="00BB2471"/>
    <w:rsid w:val="00BB3035"/>
    <w:rsid w:val="00BB366E"/>
    <w:rsid w:val="00BB39C1"/>
    <w:rsid w:val="00BB3DF5"/>
    <w:rsid w:val="00BB3EA7"/>
    <w:rsid w:val="00BB5D16"/>
    <w:rsid w:val="00BB6180"/>
    <w:rsid w:val="00BB64CA"/>
    <w:rsid w:val="00BB69E6"/>
    <w:rsid w:val="00BB6DC3"/>
    <w:rsid w:val="00BB7323"/>
    <w:rsid w:val="00BB7BE5"/>
    <w:rsid w:val="00BC07C8"/>
    <w:rsid w:val="00BC08BD"/>
    <w:rsid w:val="00BC11E8"/>
    <w:rsid w:val="00BC1B7A"/>
    <w:rsid w:val="00BC2C17"/>
    <w:rsid w:val="00BC3ACD"/>
    <w:rsid w:val="00BC3B20"/>
    <w:rsid w:val="00BC3EE4"/>
    <w:rsid w:val="00BC4577"/>
    <w:rsid w:val="00BC588C"/>
    <w:rsid w:val="00BC6E73"/>
    <w:rsid w:val="00BC74D3"/>
    <w:rsid w:val="00BD0014"/>
    <w:rsid w:val="00BD01D8"/>
    <w:rsid w:val="00BD255F"/>
    <w:rsid w:val="00BD2895"/>
    <w:rsid w:val="00BD4236"/>
    <w:rsid w:val="00BD483B"/>
    <w:rsid w:val="00BD51F9"/>
    <w:rsid w:val="00BD5977"/>
    <w:rsid w:val="00BD5CD4"/>
    <w:rsid w:val="00BD5D1D"/>
    <w:rsid w:val="00BD65D9"/>
    <w:rsid w:val="00BD6DF3"/>
    <w:rsid w:val="00BD6E09"/>
    <w:rsid w:val="00BD6EF9"/>
    <w:rsid w:val="00BE0ACB"/>
    <w:rsid w:val="00BE1C07"/>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22E9"/>
    <w:rsid w:val="00BF3AFD"/>
    <w:rsid w:val="00BF4342"/>
    <w:rsid w:val="00BF4704"/>
    <w:rsid w:val="00BF4A1A"/>
    <w:rsid w:val="00BF4FFC"/>
    <w:rsid w:val="00BF5050"/>
    <w:rsid w:val="00BF50D1"/>
    <w:rsid w:val="00BF5422"/>
    <w:rsid w:val="00BF59B1"/>
    <w:rsid w:val="00BF606A"/>
    <w:rsid w:val="00BF6163"/>
    <w:rsid w:val="00BF6625"/>
    <w:rsid w:val="00BF6A78"/>
    <w:rsid w:val="00BF7114"/>
    <w:rsid w:val="00BF7695"/>
    <w:rsid w:val="00BF79B4"/>
    <w:rsid w:val="00BF7C61"/>
    <w:rsid w:val="00C01427"/>
    <w:rsid w:val="00C014C7"/>
    <w:rsid w:val="00C01CD4"/>
    <w:rsid w:val="00C031CF"/>
    <w:rsid w:val="00C047AB"/>
    <w:rsid w:val="00C04895"/>
    <w:rsid w:val="00C058AF"/>
    <w:rsid w:val="00C075B6"/>
    <w:rsid w:val="00C1066D"/>
    <w:rsid w:val="00C124C1"/>
    <w:rsid w:val="00C128AE"/>
    <w:rsid w:val="00C12BA8"/>
    <w:rsid w:val="00C13094"/>
    <w:rsid w:val="00C136D6"/>
    <w:rsid w:val="00C13D5B"/>
    <w:rsid w:val="00C141D7"/>
    <w:rsid w:val="00C14329"/>
    <w:rsid w:val="00C1711B"/>
    <w:rsid w:val="00C17AE2"/>
    <w:rsid w:val="00C20140"/>
    <w:rsid w:val="00C20537"/>
    <w:rsid w:val="00C20E7C"/>
    <w:rsid w:val="00C20F27"/>
    <w:rsid w:val="00C215CF"/>
    <w:rsid w:val="00C2244B"/>
    <w:rsid w:val="00C22711"/>
    <w:rsid w:val="00C2280A"/>
    <w:rsid w:val="00C22B0D"/>
    <w:rsid w:val="00C22BFF"/>
    <w:rsid w:val="00C23522"/>
    <w:rsid w:val="00C240C1"/>
    <w:rsid w:val="00C244A1"/>
    <w:rsid w:val="00C24AED"/>
    <w:rsid w:val="00C250D0"/>
    <w:rsid w:val="00C252AC"/>
    <w:rsid w:val="00C25B30"/>
    <w:rsid w:val="00C25C0F"/>
    <w:rsid w:val="00C26567"/>
    <w:rsid w:val="00C26923"/>
    <w:rsid w:val="00C27214"/>
    <w:rsid w:val="00C27597"/>
    <w:rsid w:val="00C27E5E"/>
    <w:rsid w:val="00C30382"/>
    <w:rsid w:val="00C30772"/>
    <w:rsid w:val="00C30D6F"/>
    <w:rsid w:val="00C31063"/>
    <w:rsid w:val="00C31B7E"/>
    <w:rsid w:val="00C32024"/>
    <w:rsid w:val="00C322D1"/>
    <w:rsid w:val="00C3242A"/>
    <w:rsid w:val="00C33201"/>
    <w:rsid w:val="00C33A39"/>
    <w:rsid w:val="00C341D1"/>
    <w:rsid w:val="00C34619"/>
    <w:rsid w:val="00C348D9"/>
    <w:rsid w:val="00C35D01"/>
    <w:rsid w:val="00C360B3"/>
    <w:rsid w:val="00C368FB"/>
    <w:rsid w:val="00C37027"/>
    <w:rsid w:val="00C373BF"/>
    <w:rsid w:val="00C37B19"/>
    <w:rsid w:val="00C4031E"/>
    <w:rsid w:val="00C40993"/>
    <w:rsid w:val="00C41349"/>
    <w:rsid w:val="00C413CB"/>
    <w:rsid w:val="00C42752"/>
    <w:rsid w:val="00C42973"/>
    <w:rsid w:val="00C46B95"/>
    <w:rsid w:val="00C4712A"/>
    <w:rsid w:val="00C5034F"/>
    <w:rsid w:val="00C50830"/>
    <w:rsid w:val="00C52479"/>
    <w:rsid w:val="00C5266E"/>
    <w:rsid w:val="00C52C59"/>
    <w:rsid w:val="00C533F8"/>
    <w:rsid w:val="00C5349E"/>
    <w:rsid w:val="00C539FF"/>
    <w:rsid w:val="00C544BD"/>
    <w:rsid w:val="00C54D3D"/>
    <w:rsid w:val="00C55127"/>
    <w:rsid w:val="00C55A30"/>
    <w:rsid w:val="00C56384"/>
    <w:rsid w:val="00C60F8C"/>
    <w:rsid w:val="00C61424"/>
    <w:rsid w:val="00C61794"/>
    <w:rsid w:val="00C62A48"/>
    <w:rsid w:val="00C62AC4"/>
    <w:rsid w:val="00C62B59"/>
    <w:rsid w:val="00C62F96"/>
    <w:rsid w:val="00C631E1"/>
    <w:rsid w:val="00C638D8"/>
    <w:rsid w:val="00C63A43"/>
    <w:rsid w:val="00C63AE7"/>
    <w:rsid w:val="00C63D26"/>
    <w:rsid w:val="00C6540A"/>
    <w:rsid w:val="00C668A1"/>
    <w:rsid w:val="00C67223"/>
    <w:rsid w:val="00C67A83"/>
    <w:rsid w:val="00C707B8"/>
    <w:rsid w:val="00C712AC"/>
    <w:rsid w:val="00C71C15"/>
    <w:rsid w:val="00C71F3D"/>
    <w:rsid w:val="00C72F53"/>
    <w:rsid w:val="00C74035"/>
    <w:rsid w:val="00C748EA"/>
    <w:rsid w:val="00C75F32"/>
    <w:rsid w:val="00C77818"/>
    <w:rsid w:val="00C778A2"/>
    <w:rsid w:val="00C8063F"/>
    <w:rsid w:val="00C81282"/>
    <w:rsid w:val="00C827B4"/>
    <w:rsid w:val="00C83214"/>
    <w:rsid w:val="00C8329F"/>
    <w:rsid w:val="00C84F8A"/>
    <w:rsid w:val="00C85BA4"/>
    <w:rsid w:val="00C8618F"/>
    <w:rsid w:val="00C8625D"/>
    <w:rsid w:val="00C8744E"/>
    <w:rsid w:val="00C90372"/>
    <w:rsid w:val="00C9041F"/>
    <w:rsid w:val="00C9166B"/>
    <w:rsid w:val="00C91945"/>
    <w:rsid w:val="00C91A45"/>
    <w:rsid w:val="00C91FB4"/>
    <w:rsid w:val="00C92150"/>
    <w:rsid w:val="00C92328"/>
    <w:rsid w:val="00C92D42"/>
    <w:rsid w:val="00C92F22"/>
    <w:rsid w:val="00C938C2"/>
    <w:rsid w:val="00C93F8A"/>
    <w:rsid w:val="00C94EA1"/>
    <w:rsid w:val="00C95745"/>
    <w:rsid w:val="00C95902"/>
    <w:rsid w:val="00C962E3"/>
    <w:rsid w:val="00C978E2"/>
    <w:rsid w:val="00C97997"/>
    <w:rsid w:val="00CA0284"/>
    <w:rsid w:val="00CA10A2"/>
    <w:rsid w:val="00CA1D83"/>
    <w:rsid w:val="00CA1ED3"/>
    <w:rsid w:val="00CA25C0"/>
    <w:rsid w:val="00CA3451"/>
    <w:rsid w:val="00CA35C6"/>
    <w:rsid w:val="00CA4948"/>
    <w:rsid w:val="00CA52F9"/>
    <w:rsid w:val="00CA5368"/>
    <w:rsid w:val="00CA568B"/>
    <w:rsid w:val="00CA573A"/>
    <w:rsid w:val="00CA5C58"/>
    <w:rsid w:val="00CB19D7"/>
    <w:rsid w:val="00CB19FE"/>
    <w:rsid w:val="00CB1C3F"/>
    <w:rsid w:val="00CB2364"/>
    <w:rsid w:val="00CB2580"/>
    <w:rsid w:val="00CB304C"/>
    <w:rsid w:val="00CB3933"/>
    <w:rsid w:val="00CB5010"/>
    <w:rsid w:val="00CB53E8"/>
    <w:rsid w:val="00CB594A"/>
    <w:rsid w:val="00CB5CB2"/>
    <w:rsid w:val="00CB6979"/>
    <w:rsid w:val="00CB722D"/>
    <w:rsid w:val="00CB7DDE"/>
    <w:rsid w:val="00CC0A3D"/>
    <w:rsid w:val="00CC1F5E"/>
    <w:rsid w:val="00CC2840"/>
    <w:rsid w:val="00CC2A24"/>
    <w:rsid w:val="00CC2FF0"/>
    <w:rsid w:val="00CC3C53"/>
    <w:rsid w:val="00CC3D24"/>
    <w:rsid w:val="00CC3F91"/>
    <w:rsid w:val="00CC47EE"/>
    <w:rsid w:val="00CC4ACD"/>
    <w:rsid w:val="00CC4B0A"/>
    <w:rsid w:val="00CC4ED8"/>
    <w:rsid w:val="00CC544A"/>
    <w:rsid w:val="00CC57EA"/>
    <w:rsid w:val="00CC5954"/>
    <w:rsid w:val="00CC629B"/>
    <w:rsid w:val="00CC6C4E"/>
    <w:rsid w:val="00CD009D"/>
    <w:rsid w:val="00CD05A2"/>
    <w:rsid w:val="00CD29D4"/>
    <w:rsid w:val="00CD2B5C"/>
    <w:rsid w:val="00CD2FF3"/>
    <w:rsid w:val="00CD3323"/>
    <w:rsid w:val="00CD38F5"/>
    <w:rsid w:val="00CD3BF2"/>
    <w:rsid w:val="00CD437E"/>
    <w:rsid w:val="00CD4AAC"/>
    <w:rsid w:val="00CD5DAD"/>
    <w:rsid w:val="00CD72C5"/>
    <w:rsid w:val="00CD79A7"/>
    <w:rsid w:val="00CD7FAD"/>
    <w:rsid w:val="00CE0789"/>
    <w:rsid w:val="00CE0E8D"/>
    <w:rsid w:val="00CE1A03"/>
    <w:rsid w:val="00CE2346"/>
    <w:rsid w:val="00CE25B2"/>
    <w:rsid w:val="00CE3529"/>
    <w:rsid w:val="00CE35C8"/>
    <w:rsid w:val="00CE3962"/>
    <w:rsid w:val="00CE3C3D"/>
    <w:rsid w:val="00CE4D0A"/>
    <w:rsid w:val="00CE4D1A"/>
    <w:rsid w:val="00CE4E8A"/>
    <w:rsid w:val="00CE5105"/>
    <w:rsid w:val="00CE56BD"/>
    <w:rsid w:val="00CE5EC0"/>
    <w:rsid w:val="00CE68AD"/>
    <w:rsid w:val="00CE6F9B"/>
    <w:rsid w:val="00CE6F9F"/>
    <w:rsid w:val="00CE781A"/>
    <w:rsid w:val="00CE7B08"/>
    <w:rsid w:val="00CE7D52"/>
    <w:rsid w:val="00CF0AB7"/>
    <w:rsid w:val="00CF1D74"/>
    <w:rsid w:val="00CF2BE2"/>
    <w:rsid w:val="00CF3DEB"/>
    <w:rsid w:val="00CF55F9"/>
    <w:rsid w:val="00CF7074"/>
    <w:rsid w:val="00CF7495"/>
    <w:rsid w:val="00CF7D8D"/>
    <w:rsid w:val="00D01CF9"/>
    <w:rsid w:val="00D0334D"/>
    <w:rsid w:val="00D0374D"/>
    <w:rsid w:val="00D06D7B"/>
    <w:rsid w:val="00D06DA5"/>
    <w:rsid w:val="00D07191"/>
    <w:rsid w:val="00D07F1D"/>
    <w:rsid w:val="00D10558"/>
    <w:rsid w:val="00D10E7D"/>
    <w:rsid w:val="00D11D4D"/>
    <w:rsid w:val="00D11DB1"/>
    <w:rsid w:val="00D126DC"/>
    <w:rsid w:val="00D12B03"/>
    <w:rsid w:val="00D13E70"/>
    <w:rsid w:val="00D13EE7"/>
    <w:rsid w:val="00D15FCD"/>
    <w:rsid w:val="00D16C58"/>
    <w:rsid w:val="00D17019"/>
    <w:rsid w:val="00D17FC8"/>
    <w:rsid w:val="00D2015B"/>
    <w:rsid w:val="00D20B44"/>
    <w:rsid w:val="00D21168"/>
    <w:rsid w:val="00D2438C"/>
    <w:rsid w:val="00D2585A"/>
    <w:rsid w:val="00D259B0"/>
    <w:rsid w:val="00D259C2"/>
    <w:rsid w:val="00D25C88"/>
    <w:rsid w:val="00D26471"/>
    <w:rsid w:val="00D26C3F"/>
    <w:rsid w:val="00D27185"/>
    <w:rsid w:val="00D3028A"/>
    <w:rsid w:val="00D30AC5"/>
    <w:rsid w:val="00D31618"/>
    <w:rsid w:val="00D33488"/>
    <w:rsid w:val="00D33AB3"/>
    <w:rsid w:val="00D33F24"/>
    <w:rsid w:val="00D34160"/>
    <w:rsid w:val="00D346B8"/>
    <w:rsid w:val="00D34DCA"/>
    <w:rsid w:val="00D35AC8"/>
    <w:rsid w:val="00D35E80"/>
    <w:rsid w:val="00D36165"/>
    <w:rsid w:val="00D36F87"/>
    <w:rsid w:val="00D37E4E"/>
    <w:rsid w:val="00D411EC"/>
    <w:rsid w:val="00D417D8"/>
    <w:rsid w:val="00D41CAB"/>
    <w:rsid w:val="00D41F78"/>
    <w:rsid w:val="00D42E6C"/>
    <w:rsid w:val="00D4351C"/>
    <w:rsid w:val="00D43B80"/>
    <w:rsid w:val="00D440FE"/>
    <w:rsid w:val="00D44988"/>
    <w:rsid w:val="00D45B4C"/>
    <w:rsid w:val="00D45BA4"/>
    <w:rsid w:val="00D471AF"/>
    <w:rsid w:val="00D471E2"/>
    <w:rsid w:val="00D4724F"/>
    <w:rsid w:val="00D50519"/>
    <w:rsid w:val="00D50779"/>
    <w:rsid w:val="00D51601"/>
    <w:rsid w:val="00D51ECB"/>
    <w:rsid w:val="00D5264C"/>
    <w:rsid w:val="00D52BBC"/>
    <w:rsid w:val="00D537FE"/>
    <w:rsid w:val="00D53BE5"/>
    <w:rsid w:val="00D53CC9"/>
    <w:rsid w:val="00D54A6A"/>
    <w:rsid w:val="00D54B8F"/>
    <w:rsid w:val="00D55848"/>
    <w:rsid w:val="00D55951"/>
    <w:rsid w:val="00D559F0"/>
    <w:rsid w:val="00D55BCC"/>
    <w:rsid w:val="00D5650F"/>
    <w:rsid w:val="00D57EB6"/>
    <w:rsid w:val="00D608C0"/>
    <w:rsid w:val="00D60BC2"/>
    <w:rsid w:val="00D60D6D"/>
    <w:rsid w:val="00D6128C"/>
    <w:rsid w:val="00D63B22"/>
    <w:rsid w:val="00D63C98"/>
    <w:rsid w:val="00D63EA5"/>
    <w:rsid w:val="00D66D8B"/>
    <w:rsid w:val="00D70849"/>
    <w:rsid w:val="00D71B08"/>
    <w:rsid w:val="00D72297"/>
    <w:rsid w:val="00D726FF"/>
    <w:rsid w:val="00D72A1C"/>
    <w:rsid w:val="00D7308F"/>
    <w:rsid w:val="00D7313E"/>
    <w:rsid w:val="00D73580"/>
    <w:rsid w:val="00D73802"/>
    <w:rsid w:val="00D73C2C"/>
    <w:rsid w:val="00D73D52"/>
    <w:rsid w:val="00D745E7"/>
    <w:rsid w:val="00D75758"/>
    <w:rsid w:val="00D75FDA"/>
    <w:rsid w:val="00D774ED"/>
    <w:rsid w:val="00D777C3"/>
    <w:rsid w:val="00D7797C"/>
    <w:rsid w:val="00D77C44"/>
    <w:rsid w:val="00D77F88"/>
    <w:rsid w:val="00D81AFA"/>
    <w:rsid w:val="00D81EAA"/>
    <w:rsid w:val="00D81F04"/>
    <w:rsid w:val="00D81FE2"/>
    <w:rsid w:val="00D8259F"/>
    <w:rsid w:val="00D825F2"/>
    <w:rsid w:val="00D8285C"/>
    <w:rsid w:val="00D828B1"/>
    <w:rsid w:val="00D82A55"/>
    <w:rsid w:val="00D830F8"/>
    <w:rsid w:val="00D83D49"/>
    <w:rsid w:val="00D84181"/>
    <w:rsid w:val="00D846AD"/>
    <w:rsid w:val="00D84754"/>
    <w:rsid w:val="00D84F27"/>
    <w:rsid w:val="00D853F0"/>
    <w:rsid w:val="00D85862"/>
    <w:rsid w:val="00D86A52"/>
    <w:rsid w:val="00D86C88"/>
    <w:rsid w:val="00D86D47"/>
    <w:rsid w:val="00D8710C"/>
    <w:rsid w:val="00D873C6"/>
    <w:rsid w:val="00D9074A"/>
    <w:rsid w:val="00D9099E"/>
    <w:rsid w:val="00D9193A"/>
    <w:rsid w:val="00D91DED"/>
    <w:rsid w:val="00D923B2"/>
    <w:rsid w:val="00D92463"/>
    <w:rsid w:val="00D936B5"/>
    <w:rsid w:val="00D93E64"/>
    <w:rsid w:val="00D93F64"/>
    <w:rsid w:val="00D94CA4"/>
    <w:rsid w:val="00D95E99"/>
    <w:rsid w:val="00D965D5"/>
    <w:rsid w:val="00D96D7E"/>
    <w:rsid w:val="00D97DA2"/>
    <w:rsid w:val="00DA0485"/>
    <w:rsid w:val="00DA1A3A"/>
    <w:rsid w:val="00DA2351"/>
    <w:rsid w:val="00DA249E"/>
    <w:rsid w:val="00DA2D3D"/>
    <w:rsid w:val="00DA3855"/>
    <w:rsid w:val="00DA39BA"/>
    <w:rsid w:val="00DA3FBF"/>
    <w:rsid w:val="00DA4C30"/>
    <w:rsid w:val="00DA641B"/>
    <w:rsid w:val="00DA6A44"/>
    <w:rsid w:val="00DA6EF0"/>
    <w:rsid w:val="00DA7A3C"/>
    <w:rsid w:val="00DB069C"/>
    <w:rsid w:val="00DB145E"/>
    <w:rsid w:val="00DB1966"/>
    <w:rsid w:val="00DB19CB"/>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1445"/>
    <w:rsid w:val="00DC21D8"/>
    <w:rsid w:val="00DC282A"/>
    <w:rsid w:val="00DC2DE8"/>
    <w:rsid w:val="00DC34DC"/>
    <w:rsid w:val="00DC3780"/>
    <w:rsid w:val="00DC3ADA"/>
    <w:rsid w:val="00DC3CC6"/>
    <w:rsid w:val="00DC3F55"/>
    <w:rsid w:val="00DC468B"/>
    <w:rsid w:val="00DC4782"/>
    <w:rsid w:val="00DC488D"/>
    <w:rsid w:val="00DC514A"/>
    <w:rsid w:val="00DC67B1"/>
    <w:rsid w:val="00DC7FBC"/>
    <w:rsid w:val="00DD0019"/>
    <w:rsid w:val="00DD132B"/>
    <w:rsid w:val="00DD1725"/>
    <w:rsid w:val="00DD2159"/>
    <w:rsid w:val="00DD218B"/>
    <w:rsid w:val="00DD2A18"/>
    <w:rsid w:val="00DD3044"/>
    <w:rsid w:val="00DD3737"/>
    <w:rsid w:val="00DD3985"/>
    <w:rsid w:val="00DD3FEE"/>
    <w:rsid w:val="00DD4676"/>
    <w:rsid w:val="00DD61E8"/>
    <w:rsid w:val="00DD62C0"/>
    <w:rsid w:val="00DD64DE"/>
    <w:rsid w:val="00DD66DE"/>
    <w:rsid w:val="00DD7859"/>
    <w:rsid w:val="00DD7B41"/>
    <w:rsid w:val="00DE0784"/>
    <w:rsid w:val="00DE0A1D"/>
    <w:rsid w:val="00DE15B2"/>
    <w:rsid w:val="00DE1A9A"/>
    <w:rsid w:val="00DE2108"/>
    <w:rsid w:val="00DE2800"/>
    <w:rsid w:val="00DE3D2C"/>
    <w:rsid w:val="00DE4513"/>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5267"/>
    <w:rsid w:val="00DF53F0"/>
    <w:rsid w:val="00DF5F38"/>
    <w:rsid w:val="00DF6608"/>
    <w:rsid w:val="00DF6CCC"/>
    <w:rsid w:val="00DF6D0C"/>
    <w:rsid w:val="00DF6F64"/>
    <w:rsid w:val="00DF721E"/>
    <w:rsid w:val="00DF7549"/>
    <w:rsid w:val="00DF7B8A"/>
    <w:rsid w:val="00DF7C87"/>
    <w:rsid w:val="00E009B0"/>
    <w:rsid w:val="00E00A12"/>
    <w:rsid w:val="00E00B39"/>
    <w:rsid w:val="00E00C49"/>
    <w:rsid w:val="00E01A8B"/>
    <w:rsid w:val="00E01C9C"/>
    <w:rsid w:val="00E0219D"/>
    <w:rsid w:val="00E03662"/>
    <w:rsid w:val="00E04B0B"/>
    <w:rsid w:val="00E04BF4"/>
    <w:rsid w:val="00E04C0F"/>
    <w:rsid w:val="00E0570B"/>
    <w:rsid w:val="00E069C5"/>
    <w:rsid w:val="00E10913"/>
    <w:rsid w:val="00E10B87"/>
    <w:rsid w:val="00E121CE"/>
    <w:rsid w:val="00E12209"/>
    <w:rsid w:val="00E1478B"/>
    <w:rsid w:val="00E14FAC"/>
    <w:rsid w:val="00E15007"/>
    <w:rsid w:val="00E16277"/>
    <w:rsid w:val="00E16EC7"/>
    <w:rsid w:val="00E17DCC"/>
    <w:rsid w:val="00E21832"/>
    <w:rsid w:val="00E219CE"/>
    <w:rsid w:val="00E21D93"/>
    <w:rsid w:val="00E22D2A"/>
    <w:rsid w:val="00E24071"/>
    <w:rsid w:val="00E24DCA"/>
    <w:rsid w:val="00E24EBC"/>
    <w:rsid w:val="00E2522C"/>
    <w:rsid w:val="00E2552F"/>
    <w:rsid w:val="00E2599B"/>
    <w:rsid w:val="00E2710C"/>
    <w:rsid w:val="00E272BD"/>
    <w:rsid w:val="00E27428"/>
    <w:rsid w:val="00E305B4"/>
    <w:rsid w:val="00E3132E"/>
    <w:rsid w:val="00E31AFA"/>
    <w:rsid w:val="00E31CB7"/>
    <w:rsid w:val="00E324EE"/>
    <w:rsid w:val="00E34DB1"/>
    <w:rsid w:val="00E35931"/>
    <w:rsid w:val="00E359FF"/>
    <w:rsid w:val="00E3699A"/>
    <w:rsid w:val="00E402C5"/>
    <w:rsid w:val="00E402F4"/>
    <w:rsid w:val="00E405F1"/>
    <w:rsid w:val="00E40F9A"/>
    <w:rsid w:val="00E417DB"/>
    <w:rsid w:val="00E43054"/>
    <w:rsid w:val="00E43655"/>
    <w:rsid w:val="00E44440"/>
    <w:rsid w:val="00E46013"/>
    <w:rsid w:val="00E47099"/>
    <w:rsid w:val="00E47284"/>
    <w:rsid w:val="00E477C3"/>
    <w:rsid w:val="00E51E16"/>
    <w:rsid w:val="00E52DED"/>
    <w:rsid w:val="00E53730"/>
    <w:rsid w:val="00E5438D"/>
    <w:rsid w:val="00E54511"/>
    <w:rsid w:val="00E54E50"/>
    <w:rsid w:val="00E55288"/>
    <w:rsid w:val="00E55DD1"/>
    <w:rsid w:val="00E57577"/>
    <w:rsid w:val="00E57593"/>
    <w:rsid w:val="00E619AA"/>
    <w:rsid w:val="00E62043"/>
    <w:rsid w:val="00E626B9"/>
    <w:rsid w:val="00E627C9"/>
    <w:rsid w:val="00E62EB6"/>
    <w:rsid w:val="00E630F3"/>
    <w:rsid w:val="00E6330F"/>
    <w:rsid w:val="00E6332F"/>
    <w:rsid w:val="00E637C9"/>
    <w:rsid w:val="00E6402D"/>
    <w:rsid w:val="00E6680A"/>
    <w:rsid w:val="00E66F0D"/>
    <w:rsid w:val="00E67747"/>
    <w:rsid w:val="00E70615"/>
    <w:rsid w:val="00E7161E"/>
    <w:rsid w:val="00E7207B"/>
    <w:rsid w:val="00E721A3"/>
    <w:rsid w:val="00E7347A"/>
    <w:rsid w:val="00E7507A"/>
    <w:rsid w:val="00E75A47"/>
    <w:rsid w:val="00E75BB6"/>
    <w:rsid w:val="00E75D8C"/>
    <w:rsid w:val="00E777F2"/>
    <w:rsid w:val="00E802C9"/>
    <w:rsid w:val="00E804B4"/>
    <w:rsid w:val="00E80BFB"/>
    <w:rsid w:val="00E80EC2"/>
    <w:rsid w:val="00E80F0A"/>
    <w:rsid w:val="00E814F9"/>
    <w:rsid w:val="00E815D4"/>
    <w:rsid w:val="00E8291B"/>
    <w:rsid w:val="00E82E70"/>
    <w:rsid w:val="00E82F92"/>
    <w:rsid w:val="00E830C6"/>
    <w:rsid w:val="00E8395F"/>
    <w:rsid w:val="00E8410F"/>
    <w:rsid w:val="00E849D7"/>
    <w:rsid w:val="00E85E41"/>
    <w:rsid w:val="00E85E95"/>
    <w:rsid w:val="00E85EA1"/>
    <w:rsid w:val="00E86703"/>
    <w:rsid w:val="00E900DA"/>
    <w:rsid w:val="00E91044"/>
    <w:rsid w:val="00E910D3"/>
    <w:rsid w:val="00E92097"/>
    <w:rsid w:val="00E92154"/>
    <w:rsid w:val="00E923CF"/>
    <w:rsid w:val="00E93685"/>
    <w:rsid w:val="00E93B65"/>
    <w:rsid w:val="00E93C8C"/>
    <w:rsid w:val="00E95111"/>
    <w:rsid w:val="00E95FDF"/>
    <w:rsid w:val="00E96ED8"/>
    <w:rsid w:val="00E97B69"/>
    <w:rsid w:val="00EA14C8"/>
    <w:rsid w:val="00EA2110"/>
    <w:rsid w:val="00EA283A"/>
    <w:rsid w:val="00EA2AE0"/>
    <w:rsid w:val="00EA2C90"/>
    <w:rsid w:val="00EA2E07"/>
    <w:rsid w:val="00EA383B"/>
    <w:rsid w:val="00EA48F3"/>
    <w:rsid w:val="00EA60BF"/>
    <w:rsid w:val="00EA7365"/>
    <w:rsid w:val="00EA763F"/>
    <w:rsid w:val="00EA77E9"/>
    <w:rsid w:val="00EB05D0"/>
    <w:rsid w:val="00EB1151"/>
    <w:rsid w:val="00EB11DF"/>
    <w:rsid w:val="00EB1D49"/>
    <w:rsid w:val="00EB23D9"/>
    <w:rsid w:val="00EB39A0"/>
    <w:rsid w:val="00EB430A"/>
    <w:rsid w:val="00EB5447"/>
    <w:rsid w:val="00EB559F"/>
    <w:rsid w:val="00EB566C"/>
    <w:rsid w:val="00EB5A18"/>
    <w:rsid w:val="00EB5DDB"/>
    <w:rsid w:val="00EB5F3D"/>
    <w:rsid w:val="00EB6A88"/>
    <w:rsid w:val="00EB6C97"/>
    <w:rsid w:val="00EB778A"/>
    <w:rsid w:val="00EC1CEB"/>
    <w:rsid w:val="00EC1DC0"/>
    <w:rsid w:val="00EC1DC2"/>
    <w:rsid w:val="00EC1E09"/>
    <w:rsid w:val="00EC210E"/>
    <w:rsid w:val="00EC21EC"/>
    <w:rsid w:val="00EC24B8"/>
    <w:rsid w:val="00EC268C"/>
    <w:rsid w:val="00EC2CCB"/>
    <w:rsid w:val="00EC3692"/>
    <w:rsid w:val="00EC3753"/>
    <w:rsid w:val="00EC4E71"/>
    <w:rsid w:val="00EC5F1C"/>
    <w:rsid w:val="00EC740C"/>
    <w:rsid w:val="00EC7F06"/>
    <w:rsid w:val="00ED0365"/>
    <w:rsid w:val="00ED0865"/>
    <w:rsid w:val="00ED0C1C"/>
    <w:rsid w:val="00ED0D3F"/>
    <w:rsid w:val="00ED1C60"/>
    <w:rsid w:val="00ED2EB9"/>
    <w:rsid w:val="00ED3722"/>
    <w:rsid w:val="00ED3A31"/>
    <w:rsid w:val="00ED4469"/>
    <w:rsid w:val="00ED5424"/>
    <w:rsid w:val="00ED5B5C"/>
    <w:rsid w:val="00ED5F23"/>
    <w:rsid w:val="00ED6A17"/>
    <w:rsid w:val="00ED6DC0"/>
    <w:rsid w:val="00ED73D6"/>
    <w:rsid w:val="00ED7A7A"/>
    <w:rsid w:val="00EE0327"/>
    <w:rsid w:val="00EE038C"/>
    <w:rsid w:val="00EE0A71"/>
    <w:rsid w:val="00EE10A9"/>
    <w:rsid w:val="00EE15B3"/>
    <w:rsid w:val="00EE1985"/>
    <w:rsid w:val="00EE28C5"/>
    <w:rsid w:val="00EE2F09"/>
    <w:rsid w:val="00EE47C5"/>
    <w:rsid w:val="00EE490C"/>
    <w:rsid w:val="00EE4E57"/>
    <w:rsid w:val="00EE5738"/>
    <w:rsid w:val="00EE58BD"/>
    <w:rsid w:val="00EE5E59"/>
    <w:rsid w:val="00EE73D0"/>
    <w:rsid w:val="00EE76AC"/>
    <w:rsid w:val="00EE7CB0"/>
    <w:rsid w:val="00EF08A8"/>
    <w:rsid w:val="00EF167B"/>
    <w:rsid w:val="00EF186B"/>
    <w:rsid w:val="00EF2496"/>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3A85"/>
    <w:rsid w:val="00F0459B"/>
    <w:rsid w:val="00F04E15"/>
    <w:rsid w:val="00F05DF3"/>
    <w:rsid w:val="00F06829"/>
    <w:rsid w:val="00F069EA"/>
    <w:rsid w:val="00F070E5"/>
    <w:rsid w:val="00F07DDE"/>
    <w:rsid w:val="00F11675"/>
    <w:rsid w:val="00F123DA"/>
    <w:rsid w:val="00F12557"/>
    <w:rsid w:val="00F12A99"/>
    <w:rsid w:val="00F12C04"/>
    <w:rsid w:val="00F13599"/>
    <w:rsid w:val="00F13B28"/>
    <w:rsid w:val="00F14C13"/>
    <w:rsid w:val="00F156A0"/>
    <w:rsid w:val="00F15730"/>
    <w:rsid w:val="00F176A6"/>
    <w:rsid w:val="00F202C2"/>
    <w:rsid w:val="00F212F6"/>
    <w:rsid w:val="00F2260B"/>
    <w:rsid w:val="00F22756"/>
    <w:rsid w:val="00F2282D"/>
    <w:rsid w:val="00F23248"/>
    <w:rsid w:val="00F23890"/>
    <w:rsid w:val="00F2504D"/>
    <w:rsid w:val="00F2637F"/>
    <w:rsid w:val="00F268F7"/>
    <w:rsid w:val="00F30043"/>
    <w:rsid w:val="00F30B83"/>
    <w:rsid w:val="00F30BDB"/>
    <w:rsid w:val="00F30CF8"/>
    <w:rsid w:val="00F31EDF"/>
    <w:rsid w:val="00F32CDE"/>
    <w:rsid w:val="00F32D4C"/>
    <w:rsid w:val="00F3327E"/>
    <w:rsid w:val="00F338C3"/>
    <w:rsid w:val="00F34B14"/>
    <w:rsid w:val="00F34F58"/>
    <w:rsid w:val="00F35DA7"/>
    <w:rsid w:val="00F36619"/>
    <w:rsid w:val="00F36A6A"/>
    <w:rsid w:val="00F40101"/>
    <w:rsid w:val="00F404F7"/>
    <w:rsid w:val="00F40CCA"/>
    <w:rsid w:val="00F42D97"/>
    <w:rsid w:val="00F42FCF"/>
    <w:rsid w:val="00F436B2"/>
    <w:rsid w:val="00F43813"/>
    <w:rsid w:val="00F43FEE"/>
    <w:rsid w:val="00F4492F"/>
    <w:rsid w:val="00F44DFD"/>
    <w:rsid w:val="00F45A72"/>
    <w:rsid w:val="00F46723"/>
    <w:rsid w:val="00F4706D"/>
    <w:rsid w:val="00F476E1"/>
    <w:rsid w:val="00F47D1D"/>
    <w:rsid w:val="00F47F29"/>
    <w:rsid w:val="00F50016"/>
    <w:rsid w:val="00F5118A"/>
    <w:rsid w:val="00F51A21"/>
    <w:rsid w:val="00F52614"/>
    <w:rsid w:val="00F52742"/>
    <w:rsid w:val="00F5276E"/>
    <w:rsid w:val="00F52E9F"/>
    <w:rsid w:val="00F53304"/>
    <w:rsid w:val="00F53B81"/>
    <w:rsid w:val="00F540FE"/>
    <w:rsid w:val="00F5459A"/>
    <w:rsid w:val="00F556FF"/>
    <w:rsid w:val="00F55D12"/>
    <w:rsid w:val="00F5687F"/>
    <w:rsid w:val="00F56A6D"/>
    <w:rsid w:val="00F56D3F"/>
    <w:rsid w:val="00F575C7"/>
    <w:rsid w:val="00F57FD0"/>
    <w:rsid w:val="00F60305"/>
    <w:rsid w:val="00F61725"/>
    <w:rsid w:val="00F61B12"/>
    <w:rsid w:val="00F61C70"/>
    <w:rsid w:val="00F63264"/>
    <w:rsid w:val="00F634E4"/>
    <w:rsid w:val="00F6379E"/>
    <w:rsid w:val="00F64047"/>
    <w:rsid w:val="00F65171"/>
    <w:rsid w:val="00F6560D"/>
    <w:rsid w:val="00F67844"/>
    <w:rsid w:val="00F67AFD"/>
    <w:rsid w:val="00F70799"/>
    <w:rsid w:val="00F70A8B"/>
    <w:rsid w:val="00F70B8D"/>
    <w:rsid w:val="00F712A2"/>
    <w:rsid w:val="00F7138B"/>
    <w:rsid w:val="00F7162F"/>
    <w:rsid w:val="00F71936"/>
    <w:rsid w:val="00F724FB"/>
    <w:rsid w:val="00F726B8"/>
    <w:rsid w:val="00F72A26"/>
    <w:rsid w:val="00F733C3"/>
    <w:rsid w:val="00F738BE"/>
    <w:rsid w:val="00F746A1"/>
    <w:rsid w:val="00F74820"/>
    <w:rsid w:val="00F756DD"/>
    <w:rsid w:val="00F77F4E"/>
    <w:rsid w:val="00F80047"/>
    <w:rsid w:val="00F800C7"/>
    <w:rsid w:val="00F80AA9"/>
    <w:rsid w:val="00F8104D"/>
    <w:rsid w:val="00F8153F"/>
    <w:rsid w:val="00F81587"/>
    <w:rsid w:val="00F8288F"/>
    <w:rsid w:val="00F8376E"/>
    <w:rsid w:val="00F83C52"/>
    <w:rsid w:val="00F84802"/>
    <w:rsid w:val="00F84BF9"/>
    <w:rsid w:val="00F85B72"/>
    <w:rsid w:val="00F86540"/>
    <w:rsid w:val="00F865CE"/>
    <w:rsid w:val="00F8766F"/>
    <w:rsid w:val="00F87D5C"/>
    <w:rsid w:val="00F90282"/>
    <w:rsid w:val="00F91082"/>
    <w:rsid w:val="00F9116D"/>
    <w:rsid w:val="00F91342"/>
    <w:rsid w:val="00F9194D"/>
    <w:rsid w:val="00F91A9A"/>
    <w:rsid w:val="00F92634"/>
    <w:rsid w:val="00F926D6"/>
    <w:rsid w:val="00F933F3"/>
    <w:rsid w:val="00F93ABB"/>
    <w:rsid w:val="00F94213"/>
    <w:rsid w:val="00F94D79"/>
    <w:rsid w:val="00F9658C"/>
    <w:rsid w:val="00F96EEB"/>
    <w:rsid w:val="00F97A7F"/>
    <w:rsid w:val="00F97CD0"/>
    <w:rsid w:val="00FA0889"/>
    <w:rsid w:val="00FA16E7"/>
    <w:rsid w:val="00FA31C7"/>
    <w:rsid w:val="00FA42E4"/>
    <w:rsid w:val="00FA472D"/>
    <w:rsid w:val="00FA681F"/>
    <w:rsid w:val="00FA6CBC"/>
    <w:rsid w:val="00FB05D9"/>
    <w:rsid w:val="00FB0CBF"/>
    <w:rsid w:val="00FB18F6"/>
    <w:rsid w:val="00FB286A"/>
    <w:rsid w:val="00FB2A52"/>
    <w:rsid w:val="00FB3F92"/>
    <w:rsid w:val="00FB52C7"/>
    <w:rsid w:val="00FB57DC"/>
    <w:rsid w:val="00FB6E19"/>
    <w:rsid w:val="00FB71F6"/>
    <w:rsid w:val="00FC07AF"/>
    <w:rsid w:val="00FC0AF8"/>
    <w:rsid w:val="00FC0B69"/>
    <w:rsid w:val="00FC1483"/>
    <w:rsid w:val="00FC1C47"/>
    <w:rsid w:val="00FC3102"/>
    <w:rsid w:val="00FC39ED"/>
    <w:rsid w:val="00FC4195"/>
    <w:rsid w:val="00FC4419"/>
    <w:rsid w:val="00FC47E2"/>
    <w:rsid w:val="00FC4AA5"/>
    <w:rsid w:val="00FC4B88"/>
    <w:rsid w:val="00FC4BB8"/>
    <w:rsid w:val="00FC5148"/>
    <w:rsid w:val="00FC6524"/>
    <w:rsid w:val="00FC6B58"/>
    <w:rsid w:val="00FC75AC"/>
    <w:rsid w:val="00FC7984"/>
    <w:rsid w:val="00FD01BF"/>
    <w:rsid w:val="00FD0525"/>
    <w:rsid w:val="00FD0AB7"/>
    <w:rsid w:val="00FD297D"/>
    <w:rsid w:val="00FD2D13"/>
    <w:rsid w:val="00FD374D"/>
    <w:rsid w:val="00FD3B00"/>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9D2"/>
    <w:rsid w:val="00FF1C9B"/>
    <w:rsid w:val="00FF1D49"/>
    <w:rsid w:val="00FF203B"/>
    <w:rsid w:val="00FF2562"/>
    <w:rsid w:val="00FF3A41"/>
    <w:rsid w:val="00FF3E5B"/>
    <w:rsid w:val="00FF57E4"/>
    <w:rsid w:val="00FF78E5"/>
    <w:rsid w:val="012C5FAF"/>
    <w:rsid w:val="01AF3D99"/>
    <w:rsid w:val="01CA63E4"/>
    <w:rsid w:val="02511F9D"/>
    <w:rsid w:val="02F519EC"/>
    <w:rsid w:val="039739BA"/>
    <w:rsid w:val="03A314B8"/>
    <w:rsid w:val="03D82B98"/>
    <w:rsid w:val="03F83E8B"/>
    <w:rsid w:val="04297968"/>
    <w:rsid w:val="04ED0B8D"/>
    <w:rsid w:val="05C56868"/>
    <w:rsid w:val="0677683B"/>
    <w:rsid w:val="06C11320"/>
    <w:rsid w:val="07A539BD"/>
    <w:rsid w:val="07A97B94"/>
    <w:rsid w:val="07B602B4"/>
    <w:rsid w:val="07B72767"/>
    <w:rsid w:val="08077E72"/>
    <w:rsid w:val="0881693C"/>
    <w:rsid w:val="08882DD0"/>
    <w:rsid w:val="08D3640D"/>
    <w:rsid w:val="09224C05"/>
    <w:rsid w:val="09390F9C"/>
    <w:rsid w:val="09CC2AAC"/>
    <w:rsid w:val="0A652D3E"/>
    <w:rsid w:val="0AB964B3"/>
    <w:rsid w:val="0B2014EC"/>
    <w:rsid w:val="0B326F2A"/>
    <w:rsid w:val="0B7B218C"/>
    <w:rsid w:val="0C1E2888"/>
    <w:rsid w:val="0C7475E3"/>
    <w:rsid w:val="0C92213C"/>
    <w:rsid w:val="0CC2027E"/>
    <w:rsid w:val="0CDB05AD"/>
    <w:rsid w:val="0CEC743A"/>
    <w:rsid w:val="0D626DEB"/>
    <w:rsid w:val="0D84032B"/>
    <w:rsid w:val="0F2A74C4"/>
    <w:rsid w:val="0F401BB1"/>
    <w:rsid w:val="101166A5"/>
    <w:rsid w:val="10377635"/>
    <w:rsid w:val="106E2403"/>
    <w:rsid w:val="10A27F31"/>
    <w:rsid w:val="113F6753"/>
    <w:rsid w:val="11927058"/>
    <w:rsid w:val="120E171E"/>
    <w:rsid w:val="12273735"/>
    <w:rsid w:val="12555A0E"/>
    <w:rsid w:val="128E4665"/>
    <w:rsid w:val="1350083E"/>
    <w:rsid w:val="13AF4F03"/>
    <w:rsid w:val="14535BB2"/>
    <w:rsid w:val="14736E66"/>
    <w:rsid w:val="147F458F"/>
    <w:rsid w:val="14AB6523"/>
    <w:rsid w:val="1534169A"/>
    <w:rsid w:val="156606F9"/>
    <w:rsid w:val="15C03E03"/>
    <w:rsid w:val="162A25EB"/>
    <w:rsid w:val="16503754"/>
    <w:rsid w:val="16735895"/>
    <w:rsid w:val="168416B6"/>
    <w:rsid w:val="169D5FDA"/>
    <w:rsid w:val="16D60144"/>
    <w:rsid w:val="16FD2A55"/>
    <w:rsid w:val="17067C1A"/>
    <w:rsid w:val="17366761"/>
    <w:rsid w:val="177C01F0"/>
    <w:rsid w:val="179E3EFA"/>
    <w:rsid w:val="17CE6630"/>
    <w:rsid w:val="18763A29"/>
    <w:rsid w:val="188B7BF3"/>
    <w:rsid w:val="189866C8"/>
    <w:rsid w:val="18A047F4"/>
    <w:rsid w:val="19E22711"/>
    <w:rsid w:val="19F3015E"/>
    <w:rsid w:val="1A024DB2"/>
    <w:rsid w:val="1A331062"/>
    <w:rsid w:val="1AFF0AFE"/>
    <w:rsid w:val="1B48113B"/>
    <w:rsid w:val="1B4F19F8"/>
    <w:rsid w:val="1D3F6E25"/>
    <w:rsid w:val="1D58102D"/>
    <w:rsid w:val="1DC5EDA9"/>
    <w:rsid w:val="1ECC44FA"/>
    <w:rsid w:val="1F063325"/>
    <w:rsid w:val="1FBC5DF5"/>
    <w:rsid w:val="1FF90588"/>
    <w:rsid w:val="206C78B8"/>
    <w:rsid w:val="20C3623F"/>
    <w:rsid w:val="21206B6D"/>
    <w:rsid w:val="21781212"/>
    <w:rsid w:val="21B83F86"/>
    <w:rsid w:val="21DD4C3A"/>
    <w:rsid w:val="221178A8"/>
    <w:rsid w:val="221213CF"/>
    <w:rsid w:val="22327A92"/>
    <w:rsid w:val="231D53A2"/>
    <w:rsid w:val="233A0AA7"/>
    <w:rsid w:val="236D5383"/>
    <w:rsid w:val="23B7504C"/>
    <w:rsid w:val="24205E37"/>
    <w:rsid w:val="24571307"/>
    <w:rsid w:val="25110A2A"/>
    <w:rsid w:val="256C0944"/>
    <w:rsid w:val="25BD151C"/>
    <w:rsid w:val="26446DE3"/>
    <w:rsid w:val="26877DFE"/>
    <w:rsid w:val="269669E7"/>
    <w:rsid w:val="26A270C1"/>
    <w:rsid w:val="26D7699F"/>
    <w:rsid w:val="273A5E93"/>
    <w:rsid w:val="27F52125"/>
    <w:rsid w:val="27F71EE5"/>
    <w:rsid w:val="28E92E68"/>
    <w:rsid w:val="291C739B"/>
    <w:rsid w:val="29D75F7F"/>
    <w:rsid w:val="2A8B3E7B"/>
    <w:rsid w:val="2B774624"/>
    <w:rsid w:val="2B992020"/>
    <w:rsid w:val="2C7A72BE"/>
    <w:rsid w:val="2C9A7D75"/>
    <w:rsid w:val="2CC17412"/>
    <w:rsid w:val="2D003A0D"/>
    <w:rsid w:val="2D6F0CD7"/>
    <w:rsid w:val="2D7C1E99"/>
    <w:rsid w:val="2DB42E85"/>
    <w:rsid w:val="2E9976CE"/>
    <w:rsid w:val="2EEE1493"/>
    <w:rsid w:val="2EF01DEE"/>
    <w:rsid w:val="2F401D3C"/>
    <w:rsid w:val="2F5B24E1"/>
    <w:rsid w:val="2FA95C88"/>
    <w:rsid w:val="2FAD51C6"/>
    <w:rsid w:val="2FE542C2"/>
    <w:rsid w:val="3041370F"/>
    <w:rsid w:val="307526DC"/>
    <w:rsid w:val="30965447"/>
    <w:rsid w:val="30B87FED"/>
    <w:rsid w:val="30D1056E"/>
    <w:rsid w:val="312B50A3"/>
    <w:rsid w:val="31894FD2"/>
    <w:rsid w:val="32453A27"/>
    <w:rsid w:val="32586D8C"/>
    <w:rsid w:val="3263064A"/>
    <w:rsid w:val="32A43132"/>
    <w:rsid w:val="32AC0C06"/>
    <w:rsid w:val="33344EF5"/>
    <w:rsid w:val="333539E1"/>
    <w:rsid w:val="33C7652A"/>
    <w:rsid w:val="3537750C"/>
    <w:rsid w:val="3537798C"/>
    <w:rsid w:val="35C13FC9"/>
    <w:rsid w:val="35CB2A79"/>
    <w:rsid w:val="36372B05"/>
    <w:rsid w:val="364257B6"/>
    <w:rsid w:val="369211E9"/>
    <w:rsid w:val="37054F3D"/>
    <w:rsid w:val="371655CD"/>
    <w:rsid w:val="3786388E"/>
    <w:rsid w:val="37C354C8"/>
    <w:rsid w:val="37EA5922"/>
    <w:rsid w:val="37FF4918"/>
    <w:rsid w:val="38276B93"/>
    <w:rsid w:val="382E58B8"/>
    <w:rsid w:val="384168A5"/>
    <w:rsid w:val="386542F3"/>
    <w:rsid w:val="386E1496"/>
    <w:rsid w:val="38AB7BD0"/>
    <w:rsid w:val="38AC3431"/>
    <w:rsid w:val="38F35768"/>
    <w:rsid w:val="392F2E16"/>
    <w:rsid w:val="39B03534"/>
    <w:rsid w:val="39E00529"/>
    <w:rsid w:val="3A0B64A7"/>
    <w:rsid w:val="3A574DDA"/>
    <w:rsid w:val="3ABB5E89"/>
    <w:rsid w:val="3AD3075A"/>
    <w:rsid w:val="3AF74C02"/>
    <w:rsid w:val="3BF7D70D"/>
    <w:rsid w:val="3C0059A5"/>
    <w:rsid w:val="3C134E78"/>
    <w:rsid w:val="3D3003AC"/>
    <w:rsid w:val="3D55DB30"/>
    <w:rsid w:val="3D924493"/>
    <w:rsid w:val="3DA71EF4"/>
    <w:rsid w:val="3DC24C44"/>
    <w:rsid w:val="3DF6345D"/>
    <w:rsid w:val="3E1804B4"/>
    <w:rsid w:val="3E2B5515"/>
    <w:rsid w:val="3E4D4F28"/>
    <w:rsid w:val="3E93461E"/>
    <w:rsid w:val="3EB66C42"/>
    <w:rsid w:val="3ED92EC4"/>
    <w:rsid w:val="3EE13701"/>
    <w:rsid w:val="3F1A4BB3"/>
    <w:rsid w:val="3F23643C"/>
    <w:rsid w:val="3F632CDC"/>
    <w:rsid w:val="3F9116F6"/>
    <w:rsid w:val="3FBF6807"/>
    <w:rsid w:val="40192BA6"/>
    <w:rsid w:val="40572841"/>
    <w:rsid w:val="40E1539F"/>
    <w:rsid w:val="40F83E05"/>
    <w:rsid w:val="414859BC"/>
    <w:rsid w:val="416C57BC"/>
    <w:rsid w:val="41766EA9"/>
    <w:rsid w:val="42550A18"/>
    <w:rsid w:val="429D496A"/>
    <w:rsid w:val="42F473A1"/>
    <w:rsid w:val="432924BB"/>
    <w:rsid w:val="432D5ABE"/>
    <w:rsid w:val="437217EA"/>
    <w:rsid w:val="43AB7156"/>
    <w:rsid w:val="43D32954"/>
    <w:rsid w:val="441E62C0"/>
    <w:rsid w:val="44735DBE"/>
    <w:rsid w:val="449235DA"/>
    <w:rsid w:val="44BF09B5"/>
    <w:rsid w:val="45325D14"/>
    <w:rsid w:val="45343151"/>
    <w:rsid w:val="45811C7C"/>
    <w:rsid w:val="45906116"/>
    <w:rsid w:val="45931B8C"/>
    <w:rsid w:val="45AF648D"/>
    <w:rsid w:val="45DC3E93"/>
    <w:rsid w:val="45EF2552"/>
    <w:rsid w:val="466D7AE1"/>
    <w:rsid w:val="468B3EFB"/>
    <w:rsid w:val="470A6193"/>
    <w:rsid w:val="471524DB"/>
    <w:rsid w:val="47385210"/>
    <w:rsid w:val="474B49F8"/>
    <w:rsid w:val="474C436F"/>
    <w:rsid w:val="475510F8"/>
    <w:rsid w:val="4764092B"/>
    <w:rsid w:val="47940848"/>
    <w:rsid w:val="47DC4F5C"/>
    <w:rsid w:val="480D0DB2"/>
    <w:rsid w:val="482577C1"/>
    <w:rsid w:val="484B5E2B"/>
    <w:rsid w:val="488D26D1"/>
    <w:rsid w:val="48B40671"/>
    <w:rsid w:val="48E35283"/>
    <w:rsid w:val="497E14BA"/>
    <w:rsid w:val="499B5738"/>
    <w:rsid w:val="499F244D"/>
    <w:rsid w:val="4A076B07"/>
    <w:rsid w:val="4A0D193D"/>
    <w:rsid w:val="4A473705"/>
    <w:rsid w:val="4A523067"/>
    <w:rsid w:val="4A973F3F"/>
    <w:rsid w:val="4AEB59AA"/>
    <w:rsid w:val="4AF96BC7"/>
    <w:rsid w:val="4B5C0D0B"/>
    <w:rsid w:val="4B862A85"/>
    <w:rsid w:val="4B8F37A5"/>
    <w:rsid w:val="4C952A0B"/>
    <w:rsid w:val="4CEF36E2"/>
    <w:rsid w:val="4CEF4DC5"/>
    <w:rsid w:val="4E257655"/>
    <w:rsid w:val="4F0C47F7"/>
    <w:rsid w:val="4F372380"/>
    <w:rsid w:val="4F372FFB"/>
    <w:rsid w:val="4F6B2677"/>
    <w:rsid w:val="4F982BE8"/>
    <w:rsid w:val="5025116D"/>
    <w:rsid w:val="504B3A3A"/>
    <w:rsid w:val="50511EF8"/>
    <w:rsid w:val="505748CA"/>
    <w:rsid w:val="511F56AD"/>
    <w:rsid w:val="51FC0EF6"/>
    <w:rsid w:val="52395ECD"/>
    <w:rsid w:val="527A0585"/>
    <w:rsid w:val="52C10D75"/>
    <w:rsid w:val="52C654DE"/>
    <w:rsid w:val="52F43F1F"/>
    <w:rsid w:val="53C27FF8"/>
    <w:rsid w:val="54074D86"/>
    <w:rsid w:val="54693094"/>
    <w:rsid w:val="54806794"/>
    <w:rsid w:val="549E1A80"/>
    <w:rsid w:val="54AC796B"/>
    <w:rsid w:val="54C658F4"/>
    <w:rsid w:val="550C4BD7"/>
    <w:rsid w:val="554C1D56"/>
    <w:rsid w:val="55572986"/>
    <w:rsid w:val="56403B91"/>
    <w:rsid w:val="565340FA"/>
    <w:rsid w:val="56AC0BBA"/>
    <w:rsid w:val="56AD2D63"/>
    <w:rsid w:val="56AD5F59"/>
    <w:rsid w:val="56C60774"/>
    <w:rsid w:val="57041B21"/>
    <w:rsid w:val="578710DA"/>
    <w:rsid w:val="57B12A52"/>
    <w:rsid w:val="57FE765E"/>
    <w:rsid w:val="58185D08"/>
    <w:rsid w:val="58462D6F"/>
    <w:rsid w:val="58494A08"/>
    <w:rsid w:val="598A6CBB"/>
    <w:rsid w:val="59E94924"/>
    <w:rsid w:val="5A2F2CC8"/>
    <w:rsid w:val="5B143D77"/>
    <w:rsid w:val="5BF2638F"/>
    <w:rsid w:val="5C10702D"/>
    <w:rsid w:val="5C152601"/>
    <w:rsid w:val="5C591F03"/>
    <w:rsid w:val="5C8A1B2F"/>
    <w:rsid w:val="5CE17AD2"/>
    <w:rsid w:val="5D2F32EF"/>
    <w:rsid w:val="5D717703"/>
    <w:rsid w:val="5D835406"/>
    <w:rsid w:val="5E580BAB"/>
    <w:rsid w:val="5EA37071"/>
    <w:rsid w:val="5ECA51B2"/>
    <w:rsid w:val="5F561B72"/>
    <w:rsid w:val="60166ED1"/>
    <w:rsid w:val="606007BB"/>
    <w:rsid w:val="6067606B"/>
    <w:rsid w:val="60AC7F66"/>
    <w:rsid w:val="60DA7449"/>
    <w:rsid w:val="611020A4"/>
    <w:rsid w:val="61B81D1A"/>
    <w:rsid w:val="61BF10D9"/>
    <w:rsid w:val="623A031E"/>
    <w:rsid w:val="62782477"/>
    <w:rsid w:val="62AC22DC"/>
    <w:rsid w:val="631B787A"/>
    <w:rsid w:val="63A22BFD"/>
    <w:rsid w:val="647F358F"/>
    <w:rsid w:val="64E45EF7"/>
    <w:rsid w:val="64F74FD4"/>
    <w:rsid w:val="6553458D"/>
    <w:rsid w:val="660145E4"/>
    <w:rsid w:val="6691014E"/>
    <w:rsid w:val="66955BDE"/>
    <w:rsid w:val="66C87CCE"/>
    <w:rsid w:val="677435B2"/>
    <w:rsid w:val="67753E1B"/>
    <w:rsid w:val="67955138"/>
    <w:rsid w:val="67EF75F1"/>
    <w:rsid w:val="68375939"/>
    <w:rsid w:val="684F4F11"/>
    <w:rsid w:val="69124F16"/>
    <w:rsid w:val="699566AD"/>
    <w:rsid w:val="69CD5C14"/>
    <w:rsid w:val="69CF0D33"/>
    <w:rsid w:val="6A1324E4"/>
    <w:rsid w:val="6A327C15"/>
    <w:rsid w:val="6A3E2228"/>
    <w:rsid w:val="6A6E1A38"/>
    <w:rsid w:val="6AD054F4"/>
    <w:rsid w:val="6B9946B3"/>
    <w:rsid w:val="6BE518DA"/>
    <w:rsid w:val="6C276F3A"/>
    <w:rsid w:val="6C7007C7"/>
    <w:rsid w:val="6C701104"/>
    <w:rsid w:val="6C896FE9"/>
    <w:rsid w:val="6D3A623C"/>
    <w:rsid w:val="6DE76850"/>
    <w:rsid w:val="6E220F6C"/>
    <w:rsid w:val="6E714157"/>
    <w:rsid w:val="6F090932"/>
    <w:rsid w:val="6FB20BD4"/>
    <w:rsid w:val="6FBA59BE"/>
    <w:rsid w:val="6FBD48A6"/>
    <w:rsid w:val="6FE6A766"/>
    <w:rsid w:val="6FFB5CAF"/>
    <w:rsid w:val="70296B3E"/>
    <w:rsid w:val="702E1F53"/>
    <w:rsid w:val="70611204"/>
    <w:rsid w:val="70C86B24"/>
    <w:rsid w:val="7165620F"/>
    <w:rsid w:val="717039F8"/>
    <w:rsid w:val="71A41DC6"/>
    <w:rsid w:val="71F320E9"/>
    <w:rsid w:val="72417E26"/>
    <w:rsid w:val="72A742F2"/>
    <w:rsid w:val="72B56F40"/>
    <w:rsid w:val="735A6BC8"/>
    <w:rsid w:val="737541F2"/>
    <w:rsid w:val="746226B4"/>
    <w:rsid w:val="74844CAB"/>
    <w:rsid w:val="74D13AD5"/>
    <w:rsid w:val="74FA2C30"/>
    <w:rsid w:val="754D5C4B"/>
    <w:rsid w:val="75D8714D"/>
    <w:rsid w:val="761622C0"/>
    <w:rsid w:val="767A7E6A"/>
    <w:rsid w:val="769D1266"/>
    <w:rsid w:val="76C240A7"/>
    <w:rsid w:val="76DA416A"/>
    <w:rsid w:val="775246B7"/>
    <w:rsid w:val="77A954CC"/>
    <w:rsid w:val="781E69D1"/>
    <w:rsid w:val="784C72E1"/>
    <w:rsid w:val="7901747F"/>
    <w:rsid w:val="79392CCD"/>
    <w:rsid w:val="79DB2155"/>
    <w:rsid w:val="7A263B6B"/>
    <w:rsid w:val="7AEE489F"/>
    <w:rsid w:val="7AF46346"/>
    <w:rsid w:val="7B0F5EBF"/>
    <w:rsid w:val="7B130FB9"/>
    <w:rsid w:val="7B18614D"/>
    <w:rsid w:val="7B3F72EA"/>
    <w:rsid w:val="7B8B41D9"/>
    <w:rsid w:val="7B9D0B8F"/>
    <w:rsid w:val="7BD71E38"/>
    <w:rsid w:val="7BF64EDE"/>
    <w:rsid w:val="7C400C1E"/>
    <w:rsid w:val="7C4265B5"/>
    <w:rsid w:val="7D1F9B15"/>
    <w:rsid w:val="7DD11708"/>
    <w:rsid w:val="7DEE4A4F"/>
    <w:rsid w:val="7DFA2715"/>
    <w:rsid w:val="7EAE6230"/>
    <w:rsid w:val="7EBD579E"/>
    <w:rsid w:val="7EC167BD"/>
    <w:rsid w:val="7EEF4B84"/>
    <w:rsid w:val="7EF35613"/>
    <w:rsid w:val="7EF5C355"/>
    <w:rsid w:val="7F272D9E"/>
    <w:rsid w:val="7FC900BF"/>
    <w:rsid w:val="B3EC9A3F"/>
    <w:rsid w:val="B93F27DE"/>
    <w:rsid w:val="BAFE33D7"/>
    <w:rsid w:val="D3EC9DBF"/>
    <w:rsid w:val="D6F71C33"/>
    <w:rsid w:val="D7FF16CB"/>
    <w:rsid w:val="DEF6AC2E"/>
    <w:rsid w:val="E6CFF7DE"/>
    <w:rsid w:val="E7FE0352"/>
    <w:rsid w:val="EE6F0811"/>
    <w:rsid w:val="EFDD103F"/>
    <w:rsid w:val="F5DF0600"/>
    <w:rsid w:val="F5EEEF7F"/>
    <w:rsid w:val="F9ABFCB9"/>
    <w:rsid w:val="FD69E651"/>
    <w:rsid w:val="FEDB963E"/>
    <w:rsid w:val="FF9D1C6C"/>
    <w:rsid w:val="FFFF43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name="Body Text First Indent"/>
    <w:lsdException w:qFormat="1" w:uiPriority="99" w:semiHidden="0" w:name="Body Text First Indent 2"/>
    <w:lsdException w:uiPriority="99" w:name="Note Heading"/>
    <w:lsdException w:qFormat="1" w:uiPriority="0" w:name="Body Text 2"/>
    <w:lsdException w:qFormat="1" w:uiPriority="99" w:semiHidden="0" w:name="Body Text 3"/>
    <w:lsdException w:uiPriority="99" w:name="Body Text Indent 2"/>
    <w:lsdException w:uiPriority="99" w:name="Body Text Indent 3"/>
    <w:lsdException w:qFormat="1" w:unhideWhenUsed="0" w:uiPriority="99"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0"/>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84"/>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8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8"/>
    <w:link w:val="51"/>
    <w:qFormat/>
    <w:uiPriority w:val="9"/>
    <w:pPr>
      <w:keepNext/>
      <w:keepLines/>
      <w:spacing w:before="280" w:after="290" w:line="376" w:lineRule="auto"/>
      <w:outlineLvl w:val="4"/>
    </w:pPr>
    <w:rPr>
      <w:b/>
      <w:bCs/>
      <w:sz w:val="28"/>
      <w:szCs w:val="28"/>
    </w:rPr>
  </w:style>
  <w:style w:type="paragraph" w:styleId="9">
    <w:name w:val="heading 6"/>
    <w:basedOn w:val="1"/>
    <w:next w:val="1"/>
    <w:link w:val="92"/>
    <w:semiHidden/>
    <w:unhideWhenUsed/>
    <w:qFormat/>
    <w:uiPriority w:val="9"/>
    <w:pPr>
      <w:keepNext/>
      <w:keepLines/>
      <w:spacing w:before="240" w:after="64" w:line="316" w:lineRule="auto"/>
      <w:ind w:left="1151"/>
      <w:outlineLvl w:val="5"/>
    </w:pPr>
    <w:rPr>
      <w:rFonts w:ascii="Arial" w:hAnsi="Arial" w:eastAsia="黑体" w:cstheme="minorBidi"/>
      <w:b/>
      <w:sz w:val="24"/>
    </w:rPr>
  </w:style>
  <w:style w:type="paragraph" w:styleId="10">
    <w:name w:val="heading 7"/>
    <w:basedOn w:val="1"/>
    <w:next w:val="1"/>
    <w:link w:val="93"/>
    <w:semiHidden/>
    <w:unhideWhenUsed/>
    <w:qFormat/>
    <w:uiPriority w:val="9"/>
    <w:pPr>
      <w:keepNext/>
      <w:keepLines/>
      <w:spacing w:before="240" w:after="64" w:line="316" w:lineRule="auto"/>
      <w:ind w:left="1296"/>
      <w:outlineLvl w:val="6"/>
    </w:pPr>
    <w:rPr>
      <w:rFonts w:cstheme="minorBidi"/>
      <w:b/>
      <w:sz w:val="24"/>
    </w:rPr>
  </w:style>
  <w:style w:type="paragraph" w:styleId="11">
    <w:name w:val="heading 8"/>
    <w:basedOn w:val="1"/>
    <w:next w:val="1"/>
    <w:link w:val="52"/>
    <w:qFormat/>
    <w:uiPriority w:val="9"/>
    <w:pPr>
      <w:keepNext/>
      <w:keepLines/>
      <w:spacing w:before="240" w:after="64" w:line="320" w:lineRule="auto"/>
      <w:outlineLvl w:val="7"/>
    </w:pPr>
    <w:rPr>
      <w:rFonts w:ascii="等线 Light" w:hAnsi="等线 Light" w:eastAsia="等线 Light"/>
      <w:sz w:val="24"/>
    </w:rPr>
  </w:style>
  <w:style w:type="paragraph" w:styleId="12">
    <w:name w:val="heading 9"/>
    <w:basedOn w:val="1"/>
    <w:next w:val="1"/>
    <w:link w:val="94"/>
    <w:semiHidden/>
    <w:unhideWhenUsed/>
    <w:qFormat/>
    <w:uiPriority w:val="9"/>
    <w:pPr>
      <w:keepNext/>
      <w:keepLines/>
      <w:spacing w:before="240" w:after="64" w:line="316" w:lineRule="auto"/>
      <w:ind w:left="1583"/>
      <w:outlineLvl w:val="8"/>
    </w:pPr>
    <w:rPr>
      <w:rFonts w:ascii="Arial" w:hAnsi="Arial" w:eastAsia="黑体" w:cstheme="minorBidi"/>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59"/>
    <w:unhideWhenUsed/>
    <w:qFormat/>
    <w:uiPriority w:val="99"/>
    <w:pPr>
      <w:tabs>
        <w:tab w:val="center" w:pos="4153"/>
        <w:tab w:val="right" w:pos="8306"/>
      </w:tabs>
      <w:snapToGrid w:val="0"/>
      <w:jc w:val="left"/>
    </w:pPr>
    <w:rPr>
      <w:kern w:val="0"/>
      <w:sz w:val="18"/>
      <w:szCs w:val="18"/>
    </w:rPr>
  </w:style>
  <w:style w:type="paragraph" w:styleId="8">
    <w:name w:val="Normal Indent"/>
    <w:basedOn w:val="1"/>
    <w:qFormat/>
    <w:uiPriority w:val="0"/>
    <w:pPr>
      <w:ind w:firstLine="420"/>
    </w:pPr>
    <w:rPr>
      <w:szCs w:val="20"/>
    </w:r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semiHidden/>
    <w:unhideWhenUsed/>
    <w:qFormat/>
    <w:uiPriority w:val="35"/>
    <w:pPr>
      <w:spacing w:line="360" w:lineRule="auto"/>
      <w:jc w:val="center"/>
    </w:pPr>
    <w:rPr>
      <w:rFonts w:eastAsia="黑体" w:asciiTheme="majorHAnsi" w:hAnsiTheme="majorHAnsi" w:cstheme="majorBidi"/>
      <w:sz w:val="20"/>
      <w:szCs w:val="20"/>
    </w:rPr>
  </w:style>
  <w:style w:type="paragraph" w:styleId="15">
    <w:name w:val="annotation text"/>
    <w:basedOn w:val="1"/>
    <w:link w:val="53"/>
    <w:qFormat/>
    <w:uiPriority w:val="0"/>
    <w:pPr>
      <w:jc w:val="left"/>
    </w:pPr>
  </w:style>
  <w:style w:type="paragraph" w:styleId="16">
    <w:name w:val="Body Text 3"/>
    <w:basedOn w:val="1"/>
    <w:link w:val="54"/>
    <w:unhideWhenUsed/>
    <w:qFormat/>
    <w:uiPriority w:val="99"/>
    <w:pPr>
      <w:spacing w:after="120"/>
    </w:pPr>
    <w:rPr>
      <w:sz w:val="16"/>
      <w:szCs w:val="16"/>
    </w:rPr>
  </w:style>
  <w:style w:type="paragraph" w:styleId="17">
    <w:name w:val="Body Text"/>
    <w:basedOn w:val="1"/>
    <w:next w:val="18"/>
    <w:link w:val="55"/>
    <w:unhideWhenUsed/>
    <w:qFormat/>
    <w:uiPriority w:val="0"/>
    <w:pPr>
      <w:spacing w:after="120"/>
    </w:pPr>
  </w:style>
  <w:style w:type="paragraph" w:customStyle="1" w:styleId="18">
    <w:name w:val="Default"/>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styleId="19">
    <w:name w:val="Body Text Indent"/>
    <w:basedOn w:val="1"/>
    <w:link w:val="56"/>
    <w:qFormat/>
    <w:uiPriority w:val="0"/>
    <w:pPr>
      <w:ind w:firstLine="830" w:firstLineChars="352"/>
    </w:pPr>
    <w:rPr>
      <w:rFonts w:ascii="仿宋_GB2312" w:eastAsia="仿宋_GB2312"/>
      <w:kern w:val="0"/>
      <w:sz w:val="32"/>
      <w:szCs w:val="20"/>
    </w:rPr>
  </w:style>
  <w:style w:type="paragraph" w:styleId="20">
    <w:name w:val="List 2"/>
    <w:basedOn w:val="1"/>
    <w:unhideWhenUsed/>
    <w:qFormat/>
    <w:uiPriority w:val="99"/>
    <w:pPr>
      <w:ind w:left="100" w:leftChars="200" w:hanging="200" w:hangingChars="200"/>
      <w:contextualSpacing/>
    </w:pPr>
  </w:style>
  <w:style w:type="paragraph" w:styleId="21">
    <w:name w:val="Block Text"/>
    <w:basedOn w:val="1"/>
    <w:qFormat/>
    <w:uiPriority w:val="99"/>
    <w:pPr>
      <w:spacing w:line="240" w:lineRule="auto"/>
      <w:ind w:right="33"/>
      <w:textAlignment w:val="baseline"/>
    </w:pPr>
    <w:rPr>
      <w:kern w:val="0"/>
      <w:szCs w:val="20"/>
    </w:rPr>
  </w:style>
  <w:style w:type="paragraph" w:styleId="22">
    <w:name w:val="toc 3"/>
    <w:basedOn w:val="1"/>
    <w:next w:val="1"/>
    <w:semiHidden/>
    <w:unhideWhenUsed/>
    <w:qFormat/>
    <w:uiPriority w:val="39"/>
    <w:pPr>
      <w:spacing w:line="360" w:lineRule="auto"/>
      <w:ind w:left="400" w:leftChars="400" w:firstLine="560" w:firstLineChars="200"/>
    </w:pPr>
    <w:rPr>
      <w:rFonts w:eastAsia="黑体" w:cstheme="minorBidi"/>
      <w:sz w:val="28"/>
    </w:rPr>
  </w:style>
  <w:style w:type="paragraph" w:styleId="23">
    <w:name w:val="Plain Text"/>
    <w:basedOn w:val="1"/>
    <w:link w:val="57"/>
    <w:qFormat/>
    <w:uiPriority w:val="0"/>
    <w:rPr>
      <w:rFonts w:ascii="宋体" w:hAnsi="Courier New"/>
      <w:kern w:val="0"/>
      <w:sz w:val="20"/>
      <w:szCs w:val="21"/>
    </w:rPr>
  </w:style>
  <w:style w:type="paragraph" w:styleId="24">
    <w:name w:val="Date"/>
    <w:basedOn w:val="1"/>
    <w:next w:val="1"/>
    <w:link w:val="58"/>
    <w:unhideWhenUsed/>
    <w:qFormat/>
    <w:uiPriority w:val="99"/>
    <w:pPr>
      <w:ind w:left="100" w:leftChars="2500"/>
    </w:pPr>
  </w:style>
  <w:style w:type="paragraph" w:styleId="25">
    <w:name w:val="Balloon Text"/>
    <w:basedOn w:val="1"/>
    <w:link w:val="98"/>
    <w:semiHidden/>
    <w:qFormat/>
    <w:uiPriority w:val="99"/>
    <w:rPr>
      <w:sz w:val="18"/>
      <w:szCs w:val="18"/>
    </w:rPr>
  </w:style>
  <w:style w:type="paragraph" w:styleId="26">
    <w:name w:val="header"/>
    <w:basedOn w:val="1"/>
    <w:link w:val="6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unhideWhenUsed/>
    <w:qFormat/>
    <w:uiPriority w:val="39"/>
  </w:style>
  <w:style w:type="paragraph" w:styleId="28">
    <w:name w:val="List"/>
    <w:basedOn w:val="1"/>
    <w:qFormat/>
    <w:uiPriority w:val="0"/>
    <w:pPr>
      <w:ind w:left="200" w:hanging="200" w:hangingChars="200"/>
    </w:pPr>
    <w:rPr>
      <w:sz w:val="28"/>
    </w:rPr>
  </w:style>
  <w:style w:type="paragraph" w:styleId="29">
    <w:name w:val="toc 2"/>
    <w:basedOn w:val="1"/>
    <w:next w:val="1"/>
    <w:unhideWhenUsed/>
    <w:qFormat/>
    <w:uiPriority w:val="39"/>
    <w:pPr>
      <w:tabs>
        <w:tab w:val="right" w:leader="dot" w:pos="8296"/>
      </w:tabs>
      <w:ind w:left="420" w:leftChars="200"/>
    </w:pPr>
  </w:style>
  <w:style w:type="paragraph" w:styleId="30">
    <w:name w:val="Body Text 2"/>
    <w:basedOn w:val="1"/>
    <w:link w:val="97"/>
    <w:semiHidden/>
    <w:unhideWhenUsed/>
    <w:qFormat/>
    <w:uiPriority w:val="0"/>
    <w:pPr>
      <w:spacing w:after="120" w:line="480" w:lineRule="auto"/>
      <w:ind w:firstLine="560" w:firstLineChars="200"/>
    </w:pPr>
    <w:rPr>
      <w:rFonts w:cstheme="minorBidi"/>
      <w:sz w:val="28"/>
    </w:rPr>
  </w:style>
  <w:style w:type="paragraph" w:styleId="31">
    <w:name w:val="HTML Preformatted"/>
    <w:basedOn w:val="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2">
    <w:name w:val="Normal (Web)"/>
    <w:basedOn w:val="1"/>
    <w:unhideWhenUsed/>
    <w:qFormat/>
    <w:uiPriority w:val="99"/>
    <w:rPr>
      <w:rFonts w:ascii="Calibri" w:hAnsi="Calibri"/>
      <w:kern w:val="0"/>
      <w:sz w:val="24"/>
    </w:rPr>
  </w:style>
  <w:style w:type="paragraph" w:styleId="33">
    <w:name w:val="annotation subject"/>
    <w:basedOn w:val="15"/>
    <w:next w:val="15"/>
    <w:link w:val="61"/>
    <w:qFormat/>
    <w:uiPriority w:val="99"/>
    <w:rPr>
      <w:b/>
      <w:bCs/>
    </w:rPr>
  </w:style>
  <w:style w:type="paragraph" w:styleId="34">
    <w:name w:val="Body Text First Indent"/>
    <w:basedOn w:val="17"/>
    <w:link w:val="96"/>
    <w:semiHidden/>
    <w:unhideWhenUsed/>
    <w:qFormat/>
    <w:uiPriority w:val="0"/>
    <w:pPr>
      <w:spacing w:line="360" w:lineRule="auto"/>
      <w:ind w:firstLine="420" w:firstLineChars="100"/>
    </w:pPr>
    <w:rPr>
      <w:rFonts w:cstheme="minorBidi"/>
      <w:sz w:val="28"/>
    </w:rPr>
  </w:style>
  <w:style w:type="paragraph" w:styleId="35">
    <w:name w:val="Body Text First Indent 2"/>
    <w:basedOn w:val="19"/>
    <w:next w:val="1"/>
    <w:unhideWhenUsed/>
    <w:qFormat/>
    <w:uiPriority w:val="99"/>
    <w:pPr>
      <w:spacing w:after="120"/>
      <w:ind w:left="420" w:leftChars="200" w:firstLine="420" w:firstLineChars="200"/>
    </w:pPr>
    <w:rPr>
      <w:rFonts w:ascii="Times New Roman" w:eastAsia="宋体"/>
      <w:kern w:val="2"/>
      <w:sz w:val="21"/>
      <w:szCs w:val="24"/>
    </w:rPr>
  </w:style>
  <w:style w:type="table" w:styleId="37">
    <w:name w:val="Table Grid"/>
    <w:basedOn w:val="36"/>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Strong"/>
    <w:basedOn w:val="38"/>
    <w:qFormat/>
    <w:uiPriority w:val="22"/>
    <w:rPr>
      <w:b/>
    </w:rPr>
  </w:style>
  <w:style w:type="character" w:styleId="40">
    <w:name w:val="endnote reference"/>
    <w:unhideWhenUsed/>
    <w:qFormat/>
    <w:uiPriority w:val="99"/>
    <w:rPr>
      <w:vertAlign w:val="superscript"/>
    </w:rPr>
  </w:style>
  <w:style w:type="character" w:styleId="41">
    <w:name w:val="page number"/>
    <w:basedOn w:val="38"/>
    <w:semiHidden/>
    <w:unhideWhenUsed/>
    <w:qFormat/>
    <w:uiPriority w:val="99"/>
    <w:rPr>
      <w:rFonts w:hint="default" w:ascii="Times New Roman" w:hAnsi="Times New Roman" w:eastAsia="宋体" w:cs="Times New Roman"/>
      <w:color w:val="auto"/>
      <w:sz w:val="21"/>
    </w:rPr>
  </w:style>
  <w:style w:type="character" w:styleId="42">
    <w:name w:val="FollowedHyperlink"/>
    <w:basedOn w:val="38"/>
    <w:semiHidden/>
    <w:unhideWhenUsed/>
    <w:qFormat/>
    <w:uiPriority w:val="99"/>
    <w:rPr>
      <w:color w:val="800080" w:themeColor="followedHyperlink"/>
      <w:u w:val="single"/>
      <w14:textFill>
        <w14:solidFill>
          <w14:schemeClr w14:val="folHlink"/>
        </w14:solidFill>
      </w14:textFill>
    </w:rPr>
  </w:style>
  <w:style w:type="character" w:styleId="43">
    <w:name w:val="Hyperlink"/>
    <w:unhideWhenUsed/>
    <w:qFormat/>
    <w:uiPriority w:val="99"/>
    <w:rPr>
      <w:color w:val="0000FF"/>
      <w:u w:val="single"/>
    </w:rPr>
  </w:style>
  <w:style w:type="character" w:styleId="44">
    <w:name w:val="annotation reference"/>
    <w:qFormat/>
    <w:uiPriority w:val="99"/>
    <w:rPr>
      <w:sz w:val="21"/>
      <w:szCs w:val="21"/>
    </w:rPr>
  </w:style>
  <w:style w:type="character" w:styleId="45">
    <w:name w:val="HTML Sample"/>
    <w:basedOn w:val="38"/>
    <w:semiHidden/>
    <w:unhideWhenUsed/>
    <w:qFormat/>
    <w:uiPriority w:val="99"/>
    <w:rPr>
      <w:rFonts w:ascii="Courier New" w:hAnsi="Courier New"/>
    </w:rPr>
  </w:style>
  <w:style w:type="paragraph" w:customStyle="1" w:styleId="46">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paragraph" w:customStyle="1" w:styleId="47">
    <w:name w:val="段"/>
    <w:next w:val="1"/>
    <w:qFormat/>
    <w:uiPriority w:val="99"/>
    <w:pPr>
      <w:autoSpaceDE w:val="0"/>
      <w:autoSpaceDN w:val="0"/>
      <w:adjustRightInd w:val="0"/>
      <w:snapToGrid w:val="0"/>
      <w:spacing w:line="360" w:lineRule="auto"/>
      <w:ind w:firstLine="200" w:firstLineChars="200"/>
      <w:jc w:val="both"/>
    </w:pPr>
    <w:rPr>
      <w:rFonts w:ascii="宋体" w:hAnsiTheme="minorHAnsi" w:eastAsiaTheme="minorEastAsia" w:cstheme="minorBidi"/>
      <w:sz w:val="24"/>
      <w:szCs w:val="22"/>
      <w:lang w:val="en-US" w:eastAsia="zh-CN" w:bidi="ar-SA"/>
    </w:rPr>
  </w:style>
  <w:style w:type="character" w:customStyle="1" w:styleId="48">
    <w:name w:val="标题 2 Char"/>
    <w:qFormat/>
    <w:uiPriority w:val="9"/>
    <w:rPr>
      <w:rFonts w:ascii="Cambria" w:hAnsi="Cambria" w:eastAsia="宋体" w:cs="Times New Roman"/>
      <w:b/>
      <w:bCs/>
      <w:kern w:val="2"/>
      <w:sz w:val="32"/>
      <w:szCs w:val="32"/>
    </w:rPr>
  </w:style>
  <w:style w:type="character" w:customStyle="1" w:styleId="49">
    <w:name w:val="标题 1 字符"/>
    <w:link w:val="3"/>
    <w:qFormat/>
    <w:uiPriority w:val="9"/>
    <w:rPr>
      <w:b/>
      <w:bCs/>
      <w:kern w:val="44"/>
      <w:sz w:val="44"/>
      <w:szCs w:val="44"/>
    </w:rPr>
  </w:style>
  <w:style w:type="character" w:customStyle="1" w:styleId="50">
    <w:name w:val="标题 2 字符"/>
    <w:link w:val="4"/>
    <w:qFormat/>
    <w:uiPriority w:val="9"/>
    <w:rPr>
      <w:rFonts w:ascii="Cambria" w:hAnsi="Cambria" w:eastAsia="宋体" w:cs="Times New Roman"/>
      <w:b/>
      <w:bCs/>
      <w:kern w:val="2"/>
      <w:sz w:val="32"/>
      <w:szCs w:val="32"/>
    </w:rPr>
  </w:style>
  <w:style w:type="character" w:customStyle="1" w:styleId="51">
    <w:name w:val="标题 5 字符"/>
    <w:link w:val="7"/>
    <w:semiHidden/>
    <w:qFormat/>
    <w:uiPriority w:val="9"/>
    <w:rPr>
      <w:rFonts w:ascii="Times New Roman" w:hAnsi="Times New Roman"/>
      <w:b/>
      <w:bCs/>
      <w:kern w:val="2"/>
      <w:sz w:val="28"/>
      <w:szCs w:val="28"/>
    </w:rPr>
  </w:style>
  <w:style w:type="character" w:customStyle="1" w:styleId="52">
    <w:name w:val="标题 8 字符"/>
    <w:link w:val="11"/>
    <w:semiHidden/>
    <w:qFormat/>
    <w:uiPriority w:val="9"/>
    <w:rPr>
      <w:rFonts w:ascii="等线 Light" w:hAnsi="等线 Light" w:eastAsia="等线 Light" w:cs="Times New Roman"/>
      <w:kern w:val="2"/>
      <w:sz w:val="24"/>
      <w:szCs w:val="24"/>
    </w:rPr>
  </w:style>
  <w:style w:type="character" w:customStyle="1" w:styleId="53">
    <w:name w:val="批注文字 字符2"/>
    <w:link w:val="15"/>
    <w:qFormat/>
    <w:uiPriority w:val="0"/>
    <w:rPr>
      <w:rFonts w:ascii="Times New Roman" w:hAnsi="Times New Roman"/>
      <w:kern w:val="2"/>
      <w:sz w:val="21"/>
      <w:szCs w:val="24"/>
    </w:rPr>
  </w:style>
  <w:style w:type="character" w:customStyle="1" w:styleId="54">
    <w:name w:val="正文文本 3 字符"/>
    <w:link w:val="16"/>
    <w:semiHidden/>
    <w:qFormat/>
    <w:uiPriority w:val="99"/>
    <w:rPr>
      <w:kern w:val="2"/>
      <w:sz w:val="16"/>
      <w:szCs w:val="16"/>
    </w:rPr>
  </w:style>
  <w:style w:type="character" w:customStyle="1" w:styleId="55">
    <w:name w:val="正文文本 字符1"/>
    <w:link w:val="17"/>
    <w:qFormat/>
    <w:uiPriority w:val="0"/>
    <w:rPr>
      <w:rFonts w:ascii="Times New Roman" w:hAnsi="Times New Roman"/>
      <w:kern w:val="2"/>
      <w:sz w:val="21"/>
      <w:szCs w:val="24"/>
    </w:rPr>
  </w:style>
  <w:style w:type="character" w:customStyle="1" w:styleId="56">
    <w:name w:val="正文文本缩进 字符"/>
    <w:link w:val="19"/>
    <w:qFormat/>
    <w:uiPriority w:val="0"/>
    <w:rPr>
      <w:rFonts w:ascii="仿宋_GB2312" w:hAnsi="Times New Roman" w:eastAsia="仿宋_GB2312" w:cs="Times New Roman"/>
      <w:sz w:val="32"/>
      <w:szCs w:val="20"/>
    </w:rPr>
  </w:style>
  <w:style w:type="character" w:customStyle="1" w:styleId="57">
    <w:name w:val="纯文本 字符3"/>
    <w:link w:val="23"/>
    <w:qFormat/>
    <w:uiPriority w:val="0"/>
    <w:rPr>
      <w:rFonts w:ascii="宋体" w:hAnsi="Courier New" w:eastAsia="宋体" w:cs="Courier New"/>
      <w:szCs w:val="21"/>
    </w:rPr>
  </w:style>
  <w:style w:type="character" w:customStyle="1" w:styleId="58">
    <w:name w:val="日期 字符"/>
    <w:link w:val="24"/>
    <w:semiHidden/>
    <w:qFormat/>
    <w:uiPriority w:val="99"/>
    <w:rPr>
      <w:rFonts w:ascii="Times New Roman" w:hAnsi="Times New Roman"/>
      <w:kern w:val="2"/>
      <w:sz w:val="21"/>
      <w:szCs w:val="24"/>
    </w:rPr>
  </w:style>
  <w:style w:type="character" w:customStyle="1" w:styleId="59">
    <w:name w:val="页脚 字符"/>
    <w:link w:val="2"/>
    <w:qFormat/>
    <w:uiPriority w:val="99"/>
    <w:rPr>
      <w:sz w:val="18"/>
      <w:szCs w:val="18"/>
    </w:rPr>
  </w:style>
  <w:style w:type="character" w:customStyle="1" w:styleId="60">
    <w:name w:val="页眉 字符"/>
    <w:link w:val="26"/>
    <w:qFormat/>
    <w:uiPriority w:val="99"/>
    <w:rPr>
      <w:sz w:val="18"/>
      <w:szCs w:val="18"/>
    </w:rPr>
  </w:style>
  <w:style w:type="character" w:customStyle="1" w:styleId="61">
    <w:name w:val="批注主题 字符"/>
    <w:link w:val="33"/>
    <w:qFormat/>
    <w:uiPriority w:val="99"/>
    <w:rPr>
      <w:rFonts w:ascii="Times New Roman" w:hAnsi="Times New Roman"/>
      <w:b/>
      <w:bCs/>
      <w:kern w:val="2"/>
      <w:sz w:val="21"/>
      <w:szCs w:val="24"/>
    </w:rPr>
  </w:style>
  <w:style w:type="character" w:customStyle="1" w:styleId="62">
    <w:name w:val="纯文本 字符2"/>
    <w:qFormat/>
    <w:uiPriority w:val="0"/>
    <w:rPr>
      <w:rFonts w:ascii="宋体" w:hAnsi="Courier New" w:eastAsia="宋体" w:cs="Courier New"/>
      <w:szCs w:val="21"/>
    </w:rPr>
  </w:style>
  <w:style w:type="character" w:customStyle="1" w:styleId="63">
    <w:name w:val="标题 1 字符1"/>
    <w:qFormat/>
    <w:uiPriority w:val="0"/>
    <w:rPr>
      <w:b/>
      <w:bCs/>
      <w:kern w:val="44"/>
      <w:sz w:val="44"/>
      <w:szCs w:val="44"/>
    </w:rPr>
  </w:style>
  <w:style w:type="character" w:customStyle="1" w:styleId="64">
    <w:name w:val="正文2 Char Char"/>
    <w:link w:val="65"/>
    <w:qFormat/>
    <w:uiPriority w:val="0"/>
    <w:rPr>
      <w:kern w:val="2"/>
      <w:sz w:val="24"/>
    </w:rPr>
  </w:style>
  <w:style w:type="paragraph" w:customStyle="1" w:styleId="65">
    <w:name w:val="正文2"/>
    <w:basedOn w:val="1"/>
    <w:link w:val="64"/>
    <w:qFormat/>
    <w:uiPriority w:val="0"/>
    <w:pPr>
      <w:adjustRightInd w:val="0"/>
      <w:spacing w:before="156" w:line="360" w:lineRule="auto"/>
      <w:ind w:firstLine="510" w:firstLineChars="200"/>
    </w:pPr>
    <w:rPr>
      <w:sz w:val="24"/>
      <w:szCs w:val="20"/>
    </w:rPr>
  </w:style>
  <w:style w:type="character" w:customStyle="1" w:styleId="66">
    <w:name w:val="纯文本 字符1"/>
    <w:qFormat/>
    <w:uiPriority w:val="99"/>
    <w:rPr>
      <w:rFonts w:ascii="宋体" w:hAnsi="Courier New"/>
    </w:rPr>
  </w:style>
  <w:style w:type="character" w:customStyle="1" w:styleId="67">
    <w:name w:val="批注文字 Char2"/>
    <w:qFormat/>
    <w:uiPriority w:val="0"/>
    <w:rPr>
      <w:rFonts w:ascii="Times New Roman" w:hAnsi="Times New Roman"/>
      <w:kern w:val="2"/>
      <w:sz w:val="21"/>
      <w:szCs w:val="24"/>
    </w:rPr>
  </w:style>
  <w:style w:type="character" w:customStyle="1" w:styleId="68">
    <w:name w:val="纯文本 字符"/>
    <w:qFormat/>
    <w:uiPriority w:val="0"/>
    <w:rPr>
      <w:rFonts w:ascii="宋体" w:hAnsi="Courier New" w:eastAsia="宋体" w:cs="Courier New"/>
      <w:szCs w:val="21"/>
    </w:rPr>
  </w:style>
  <w:style w:type="character" w:customStyle="1" w:styleId="69">
    <w:name w:val="textcontents"/>
    <w:qFormat/>
    <w:uiPriority w:val="0"/>
  </w:style>
  <w:style w:type="character" w:customStyle="1" w:styleId="70">
    <w:name w:val="apple-style-span"/>
    <w:qFormat/>
    <w:uiPriority w:val="0"/>
  </w:style>
  <w:style w:type="character" w:customStyle="1" w:styleId="71">
    <w:name w:val="批注文字 Char"/>
    <w:qFormat/>
    <w:uiPriority w:val="0"/>
    <w:rPr>
      <w:rFonts w:ascii="Times New Roman" w:hAnsi="Times New Roman"/>
      <w:kern w:val="2"/>
      <w:sz w:val="21"/>
      <w:szCs w:val="24"/>
    </w:rPr>
  </w:style>
  <w:style w:type="character" w:customStyle="1" w:styleId="72">
    <w:name w:val="正文文本 字符"/>
    <w:qFormat/>
    <w:uiPriority w:val="0"/>
    <w:rPr>
      <w:rFonts w:ascii="Times New Roman" w:hAnsi="Times New Roman"/>
      <w:kern w:val="2"/>
      <w:sz w:val="21"/>
      <w:szCs w:val="24"/>
    </w:rPr>
  </w:style>
  <w:style w:type="character" w:customStyle="1" w:styleId="73">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4">
    <w:name w:val="纯文本 Char"/>
    <w:qFormat/>
    <w:uiPriority w:val="0"/>
    <w:rPr>
      <w:rFonts w:ascii="宋体" w:hAnsi="Courier New" w:eastAsia="宋体" w:cs="Courier New"/>
      <w:szCs w:val="21"/>
    </w:rPr>
  </w:style>
  <w:style w:type="character" w:customStyle="1" w:styleId="75">
    <w:name w:val="标题 8 Char"/>
    <w:qFormat/>
    <w:uiPriority w:val="0"/>
    <w:rPr>
      <w:rFonts w:ascii="Arial" w:hAnsi="Arial" w:eastAsia="黑体"/>
      <w:kern w:val="2"/>
      <w:sz w:val="24"/>
      <w:szCs w:val="24"/>
    </w:rPr>
  </w:style>
  <w:style w:type="character" w:customStyle="1" w:styleId="76">
    <w:name w:val="批注文字 字符"/>
    <w:qFormat/>
    <w:uiPriority w:val="99"/>
    <w:rPr>
      <w:rFonts w:ascii="Times New Roman" w:hAnsi="Times New Roman"/>
      <w:kern w:val="2"/>
      <w:sz w:val="21"/>
      <w:szCs w:val="24"/>
    </w:rPr>
  </w:style>
  <w:style w:type="character" w:customStyle="1" w:styleId="77">
    <w:name w:val="批注文字 字符1"/>
    <w:qFormat/>
    <w:uiPriority w:val="0"/>
    <w:rPr>
      <w:rFonts w:ascii="Times New Roman" w:hAnsi="Times New Roman"/>
      <w:kern w:val="2"/>
      <w:sz w:val="21"/>
      <w:szCs w:val="24"/>
    </w:rPr>
  </w:style>
  <w:style w:type="character" w:customStyle="1" w:styleId="78">
    <w:name w:val="正文文本 Char"/>
    <w:qFormat/>
    <w:uiPriority w:val="0"/>
    <w:rPr>
      <w:rFonts w:ascii="Times New Roman" w:hAnsi="Times New Roman"/>
      <w:kern w:val="2"/>
      <w:sz w:val="21"/>
      <w:szCs w:val="24"/>
    </w:rPr>
  </w:style>
  <w:style w:type="paragraph" w:customStyle="1" w:styleId="79">
    <w:name w:val="默认段落字体 Para Char Char Char Char Char Char Char Char Char1 Char Char Char Char"/>
    <w:basedOn w:val="1"/>
    <w:qFormat/>
    <w:uiPriority w:val="0"/>
    <w:rPr>
      <w:rFonts w:ascii="Tahoma" w:hAnsi="Tahoma"/>
      <w:sz w:val="24"/>
      <w:szCs w:val="20"/>
    </w:rPr>
  </w:style>
  <w:style w:type="paragraph" w:customStyle="1" w:styleId="80">
    <w:name w:val="Table Paragraph"/>
    <w:basedOn w:val="1"/>
    <w:qFormat/>
    <w:uiPriority w:val="1"/>
    <w:pPr>
      <w:jc w:val="left"/>
    </w:pPr>
    <w:rPr>
      <w:rFonts w:ascii="Calibri" w:hAnsi="Calibri"/>
      <w:kern w:val="0"/>
      <w:sz w:val="22"/>
      <w:szCs w:val="22"/>
      <w:lang w:eastAsia="en-US"/>
    </w:rPr>
  </w:style>
  <w:style w:type="paragraph" w:customStyle="1" w:styleId="8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82">
    <w:name w:val="列出段落1"/>
    <w:basedOn w:val="1"/>
    <w:qFormat/>
    <w:uiPriority w:val="34"/>
    <w:pPr>
      <w:ind w:firstLine="420" w:firstLineChars="200"/>
    </w:pPr>
  </w:style>
  <w:style w:type="paragraph" w:customStyle="1" w:styleId="83">
    <w:name w:val="列出段落2"/>
    <w:basedOn w:val="1"/>
    <w:qFormat/>
    <w:uiPriority w:val="34"/>
    <w:pPr>
      <w:ind w:firstLine="420" w:firstLineChars="200"/>
    </w:pPr>
    <w:rPr>
      <w:rFonts w:ascii="Calibri" w:hAnsi="Calibri"/>
    </w:rPr>
  </w:style>
  <w:style w:type="character" w:customStyle="1" w:styleId="84">
    <w:name w:val="标题 3 字符"/>
    <w:basedOn w:val="38"/>
    <w:link w:val="5"/>
    <w:semiHidden/>
    <w:qFormat/>
    <w:uiPriority w:val="9"/>
    <w:rPr>
      <w:b/>
      <w:bCs/>
      <w:kern w:val="2"/>
      <w:sz w:val="32"/>
      <w:szCs w:val="32"/>
    </w:rPr>
  </w:style>
  <w:style w:type="character" w:customStyle="1" w:styleId="85">
    <w:name w:val="标题 4 字符"/>
    <w:basedOn w:val="38"/>
    <w:link w:val="6"/>
    <w:semiHidden/>
    <w:qFormat/>
    <w:uiPriority w:val="9"/>
    <w:rPr>
      <w:rFonts w:asciiTheme="majorHAnsi" w:hAnsiTheme="majorHAnsi" w:eastAsiaTheme="majorEastAsia" w:cstheme="majorBidi"/>
      <w:b/>
      <w:bCs/>
      <w:kern w:val="2"/>
      <w:sz w:val="28"/>
      <w:szCs w:val="28"/>
    </w:rPr>
  </w:style>
  <w:style w:type="character" w:customStyle="1" w:styleId="86">
    <w:name w:val="*正文 Char Char"/>
    <w:link w:val="87"/>
    <w:qFormat/>
    <w:locked/>
    <w:uiPriority w:val="0"/>
    <w:rPr>
      <w:rFonts w:ascii="宋体" w:hAnsi="宋体" w:eastAsia="仿宋_GB2312"/>
      <w:sz w:val="28"/>
      <w:szCs w:val="24"/>
    </w:rPr>
  </w:style>
  <w:style w:type="paragraph" w:customStyle="1" w:styleId="87">
    <w:name w:val="*正文"/>
    <w:basedOn w:val="1"/>
    <w:link w:val="86"/>
    <w:qFormat/>
    <w:uiPriority w:val="0"/>
    <w:pPr>
      <w:widowControl/>
      <w:spacing w:line="360" w:lineRule="auto"/>
      <w:ind w:firstLine="200" w:firstLineChars="200"/>
      <w:jc w:val="left"/>
    </w:pPr>
    <w:rPr>
      <w:rFonts w:ascii="宋体" w:hAnsi="宋体" w:eastAsia="仿宋_GB2312"/>
      <w:kern w:val="0"/>
      <w:sz w:val="28"/>
    </w:rPr>
  </w:style>
  <w:style w:type="character" w:customStyle="1" w:styleId="88">
    <w:name w:val="正正正文 Char"/>
    <w:link w:val="89"/>
    <w:qFormat/>
    <w:locked/>
    <w:uiPriority w:val="0"/>
    <w:rPr>
      <w:rFonts w:ascii="仿宋" w:hAnsi="仿宋" w:eastAsia="仿宋"/>
      <w:sz w:val="28"/>
      <w:szCs w:val="28"/>
    </w:rPr>
  </w:style>
  <w:style w:type="paragraph" w:customStyle="1" w:styleId="89">
    <w:name w:val="正正正文"/>
    <w:basedOn w:val="1"/>
    <w:link w:val="88"/>
    <w:qFormat/>
    <w:uiPriority w:val="0"/>
    <w:pPr>
      <w:spacing w:line="560" w:lineRule="exact"/>
      <w:ind w:firstLine="200" w:firstLineChars="200"/>
    </w:pPr>
    <w:rPr>
      <w:rFonts w:ascii="仿宋" w:hAnsi="仿宋" w:eastAsia="仿宋"/>
      <w:kern w:val="0"/>
      <w:sz w:val="28"/>
      <w:szCs w:val="28"/>
    </w:rPr>
  </w:style>
  <w:style w:type="character" w:customStyle="1" w:styleId="90">
    <w:name w:val="列表段落 字符2"/>
    <w:link w:val="91"/>
    <w:qFormat/>
    <w:locked/>
    <w:uiPriority w:val="0"/>
    <w:rPr>
      <w:rFonts w:ascii="Calibri" w:hAnsi="Calibri" w:cs="Calibri"/>
      <w:kern w:val="2"/>
      <w:sz w:val="21"/>
      <w:szCs w:val="22"/>
    </w:rPr>
  </w:style>
  <w:style w:type="paragraph" w:customStyle="1" w:styleId="91">
    <w:name w:val="列表段落1"/>
    <w:basedOn w:val="1"/>
    <w:link w:val="90"/>
    <w:qFormat/>
    <w:uiPriority w:val="0"/>
    <w:pPr>
      <w:widowControl/>
      <w:ind w:firstLine="420" w:firstLineChars="200"/>
      <w:jc w:val="left"/>
    </w:pPr>
    <w:rPr>
      <w:rFonts w:ascii="Calibri" w:hAnsi="Calibri" w:cs="Calibri"/>
      <w:szCs w:val="22"/>
    </w:rPr>
  </w:style>
  <w:style w:type="character" w:customStyle="1" w:styleId="92">
    <w:name w:val="标题 6 字符"/>
    <w:basedOn w:val="38"/>
    <w:link w:val="9"/>
    <w:semiHidden/>
    <w:qFormat/>
    <w:uiPriority w:val="9"/>
    <w:rPr>
      <w:rFonts w:ascii="Arial" w:hAnsi="Arial" w:eastAsia="黑体" w:cstheme="minorBidi"/>
      <w:b/>
      <w:kern w:val="2"/>
      <w:sz w:val="24"/>
      <w:szCs w:val="24"/>
    </w:rPr>
  </w:style>
  <w:style w:type="character" w:customStyle="1" w:styleId="93">
    <w:name w:val="标题 7 字符"/>
    <w:basedOn w:val="38"/>
    <w:link w:val="10"/>
    <w:semiHidden/>
    <w:qFormat/>
    <w:uiPriority w:val="9"/>
    <w:rPr>
      <w:rFonts w:cstheme="minorBidi"/>
      <w:b/>
      <w:kern w:val="2"/>
      <w:sz w:val="24"/>
      <w:szCs w:val="24"/>
    </w:rPr>
  </w:style>
  <w:style w:type="character" w:customStyle="1" w:styleId="94">
    <w:name w:val="标题 9 字符"/>
    <w:basedOn w:val="38"/>
    <w:link w:val="12"/>
    <w:semiHidden/>
    <w:qFormat/>
    <w:uiPriority w:val="9"/>
    <w:rPr>
      <w:rFonts w:ascii="Arial" w:hAnsi="Arial" w:eastAsia="黑体" w:cstheme="minorBidi"/>
      <w:kern w:val="2"/>
      <w:sz w:val="21"/>
      <w:szCs w:val="24"/>
    </w:rPr>
  </w:style>
  <w:style w:type="paragraph" w:customStyle="1" w:styleId="95">
    <w:name w:val="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96">
    <w:name w:val="正文文本首行缩进 字符"/>
    <w:basedOn w:val="55"/>
    <w:link w:val="34"/>
    <w:semiHidden/>
    <w:qFormat/>
    <w:uiPriority w:val="0"/>
    <w:rPr>
      <w:rFonts w:ascii="Times New Roman" w:hAnsi="Times New Roman" w:cstheme="minorBidi"/>
      <w:kern w:val="2"/>
      <w:sz w:val="28"/>
      <w:szCs w:val="24"/>
    </w:rPr>
  </w:style>
  <w:style w:type="character" w:customStyle="1" w:styleId="97">
    <w:name w:val="正文文本 2 字符"/>
    <w:basedOn w:val="38"/>
    <w:link w:val="30"/>
    <w:semiHidden/>
    <w:qFormat/>
    <w:uiPriority w:val="0"/>
    <w:rPr>
      <w:rFonts w:cstheme="minorBidi"/>
      <w:kern w:val="2"/>
      <w:sz w:val="28"/>
      <w:szCs w:val="24"/>
    </w:rPr>
  </w:style>
  <w:style w:type="character" w:customStyle="1" w:styleId="98">
    <w:name w:val="批注框文本 字符"/>
    <w:basedOn w:val="38"/>
    <w:link w:val="25"/>
    <w:semiHidden/>
    <w:qFormat/>
    <w:uiPriority w:val="99"/>
    <w:rPr>
      <w:kern w:val="2"/>
      <w:sz w:val="18"/>
      <w:szCs w:val="18"/>
    </w:rPr>
  </w:style>
  <w:style w:type="paragraph" w:customStyle="1" w:styleId="99">
    <w:name w:val="01-项目名称"/>
    <w:basedOn w:val="1"/>
    <w:next w:val="1"/>
    <w:qFormat/>
    <w:uiPriority w:val="0"/>
    <w:pPr>
      <w:snapToGrid w:val="0"/>
      <w:spacing w:line="360" w:lineRule="auto"/>
      <w:ind w:firstLine="560" w:firstLineChars="200"/>
      <w:jc w:val="center"/>
    </w:pPr>
    <w:rPr>
      <w:rFonts w:cstheme="minorBidi"/>
      <w:b/>
      <w:sz w:val="44"/>
    </w:rPr>
  </w:style>
  <w:style w:type="paragraph" w:customStyle="1" w:styleId="100">
    <w:name w:val="02-公司名称时间"/>
    <w:basedOn w:val="1"/>
    <w:next w:val="1"/>
    <w:qFormat/>
    <w:uiPriority w:val="0"/>
    <w:pPr>
      <w:snapToGrid w:val="0"/>
      <w:spacing w:line="360" w:lineRule="auto"/>
      <w:ind w:firstLine="560" w:firstLineChars="200"/>
      <w:jc w:val="center"/>
    </w:pPr>
    <w:rPr>
      <w:rFonts w:cstheme="minorBidi"/>
      <w:b/>
      <w:sz w:val="32"/>
    </w:rPr>
  </w:style>
  <w:style w:type="paragraph" w:customStyle="1" w:styleId="101">
    <w:name w:val="03-目录两字"/>
    <w:basedOn w:val="1"/>
    <w:next w:val="1"/>
    <w:qFormat/>
    <w:uiPriority w:val="0"/>
    <w:pPr>
      <w:snapToGrid w:val="0"/>
      <w:spacing w:line="360" w:lineRule="auto"/>
      <w:ind w:firstLine="560" w:firstLineChars="200"/>
      <w:jc w:val="center"/>
    </w:pPr>
    <w:rPr>
      <w:rFonts w:cstheme="minorBidi"/>
      <w:b/>
      <w:sz w:val="28"/>
    </w:rPr>
  </w:style>
  <w:style w:type="paragraph" w:customStyle="1" w:styleId="102">
    <w:name w:val="12-图片"/>
    <w:basedOn w:val="1"/>
    <w:next w:val="1"/>
    <w:qFormat/>
    <w:uiPriority w:val="0"/>
    <w:pPr>
      <w:snapToGrid w:val="0"/>
      <w:spacing w:beforeLines="50" w:afterLines="50" w:line="360" w:lineRule="auto"/>
      <w:ind w:firstLine="560" w:firstLineChars="200"/>
      <w:jc w:val="center"/>
    </w:pPr>
    <w:rPr>
      <w:rFonts w:cstheme="minorBidi"/>
      <w:sz w:val="28"/>
    </w:rPr>
  </w:style>
  <w:style w:type="paragraph" w:customStyle="1" w:styleId="103">
    <w:name w:val="13-表格整体"/>
    <w:basedOn w:val="1"/>
    <w:qFormat/>
    <w:uiPriority w:val="0"/>
    <w:pPr>
      <w:snapToGrid w:val="0"/>
      <w:spacing w:beforeLines="50" w:afterLines="50" w:line="360" w:lineRule="auto"/>
      <w:ind w:firstLine="560" w:firstLineChars="200"/>
    </w:pPr>
    <w:rPr>
      <w:rFonts w:cstheme="minorBidi"/>
      <w:sz w:val="28"/>
    </w:rPr>
  </w:style>
  <w:style w:type="paragraph" w:customStyle="1" w:styleId="104">
    <w:name w:val="15-图片题注"/>
    <w:basedOn w:val="1"/>
    <w:next w:val="1"/>
    <w:qFormat/>
    <w:uiPriority w:val="0"/>
    <w:pPr>
      <w:snapToGrid w:val="0"/>
      <w:spacing w:beforeLines="50" w:afterLines="50" w:line="360" w:lineRule="auto"/>
      <w:ind w:firstLine="560" w:firstLineChars="200"/>
      <w:jc w:val="center"/>
    </w:pPr>
    <w:rPr>
      <w:rFonts w:cstheme="minorBidi"/>
      <w:sz w:val="28"/>
    </w:rPr>
  </w:style>
  <w:style w:type="paragraph" w:customStyle="1" w:styleId="105">
    <w:name w:val="14-表格首行"/>
    <w:basedOn w:val="103"/>
    <w:next w:val="103"/>
    <w:qFormat/>
    <w:uiPriority w:val="0"/>
    <w:pPr>
      <w:jc w:val="center"/>
    </w:pPr>
    <w:rPr>
      <w:b/>
    </w:rPr>
  </w:style>
  <w:style w:type="paragraph" w:customStyle="1" w:styleId="106">
    <w:name w:val="05-正文加粗"/>
    <w:basedOn w:val="1"/>
    <w:next w:val="1"/>
    <w:qFormat/>
    <w:uiPriority w:val="0"/>
    <w:pPr>
      <w:snapToGrid w:val="0"/>
      <w:spacing w:line="360" w:lineRule="auto"/>
      <w:ind w:firstLine="200" w:firstLineChars="200"/>
    </w:pPr>
    <w:rPr>
      <w:rFonts w:cstheme="minorBidi"/>
      <w:b/>
      <w:sz w:val="24"/>
    </w:rPr>
  </w:style>
  <w:style w:type="paragraph" w:customStyle="1" w:styleId="107">
    <w:name w:val="06-编号"/>
    <w:basedOn w:val="1"/>
    <w:next w:val="1"/>
    <w:qFormat/>
    <w:uiPriority w:val="0"/>
    <w:pPr>
      <w:numPr>
        <w:ilvl w:val="0"/>
        <w:numId w:val="1"/>
      </w:numPr>
      <w:snapToGrid w:val="0"/>
      <w:spacing w:line="360" w:lineRule="auto"/>
      <w:ind w:firstLine="200" w:firstLineChars="200"/>
    </w:pPr>
    <w:rPr>
      <w:rFonts w:cstheme="minorBidi"/>
      <w:sz w:val="24"/>
    </w:rPr>
  </w:style>
  <w:style w:type="paragraph" w:customStyle="1" w:styleId="108">
    <w:name w:val="10-列表-圆点"/>
    <w:basedOn w:val="1"/>
    <w:next w:val="1"/>
    <w:qFormat/>
    <w:uiPriority w:val="0"/>
    <w:pPr>
      <w:numPr>
        <w:ilvl w:val="0"/>
        <w:numId w:val="2"/>
      </w:numPr>
      <w:snapToGrid w:val="0"/>
      <w:spacing w:line="360" w:lineRule="auto"/>
      <w:ind w:left="400" w:leftChars="200" w:hanging="200" w:hangingChars="200"/>
    </w:pPr>
    <w:rPr>
      <w:rFonts w:cstheme="minorBidi"/>
      <w:sz w:val="24"/>
    </w:rPr>
  </w:style>
  <w:style w:type="paragraph" w:customStyle="1" w:styleId="109">
    <w:name w:val="08-编号-括号"/>
    <w:basedOn w:val="1"/>
    <w:next w:val="1"/>
    <w:qFormat/>
    <w:uiPriority w:val="0"/>
    <w:pPr>
      <w:numPr>
        <w:ilvl w:val="0"/>
        <w:numId w:val="3"/>
      </w:numPr>
      <w:snapToGrid w:val="0"/>
      <w:spacing w:line="360" w:lineRule="auto"/>
      <w:ind w:firstLine="200" w:firstLineChars="200"/>
    </w:pPr>
    <w:rPr>
      <w:rFonts w:cstheme="minorBidi"/>
      <w:sz w:val="24"/>
    </w:rPr>
  </w:style>
  <w:style w:type="paragraph" w:customStyle="1" w:styleId="110">
    <w:name w:val="07-编号加粗"/>
    <w:basedOn w:val="1"/>
    <w:next w:val="1"/>
    <w:qFormat/>
    <w:uiPriority w:val="0"/>
    <w:pPr>
      <w:numPr>
        <w:ilvl w:val="0"/>
        <w:numId w:val="4"/>
      </w:numPr>
      <w:snapToGrid w:val="0"/>
      <w:spacing w:line="360" w:lineRule="auto"/>
      <w:ind w:firstLine="200" w:firstLineChars="200"/>
    </w:pPr>
    <w:rPr>
      <w:rFonts w:cstheme="minorBidi"/>
      <w:b/>
      <w:sz w:val="24"/>
    </w:rPr>
  </w:style>
  <w:style w:type="paragraph" w:customStyle="1" w:styleId="111">
    <w:name w:val="09-编号加粗-括号"/>
    <w:basedOn w:val="1"/>
    <w:next w:val="1"/>
    <w:qFormat/>
    <w:uiPriority w:val="0"/>
    <w:pPr>
      <w:numPr>
        <w:ilvl w:val="0"/>
        <w:numId w:val="5"/>
      </w:numPr>
      <w:snapToGrid w:val="0"/>
      <w:spacing w:line="360" w:lineRule="auto"/>
      <w:ind w:firstLine="200" w:firstLineChars="200"/>
    </w:pPr>
    <w:rPr>
      <w:rFonts w:cstheme="minorBidi"/>
      <w:b/>
      <w:sz w:val="24"/>
    </w:rPr>
  </w:style>
  <w:style w:type="paragraph" w:customStyle="1" w:styleId="112">
    <w:name w:val="11-列表-箭头"/>
    <w:basedOn w:val="1"/>
    <w:next w:val="1"/>
    <w:qFormat/>
    <w:uiPriority w:val="0"/>
    <w:pPr>
      <w:numPr>
        <w:ilvl w:val="0"/>
        <w:numId w:val="6"/>
      </w:numPr>
      <w:snapToGrid w:val="0"/>
      <w:spacing w:line="360" w:lineRule="auto"/>
      <w:ind w:left="400" w:leftChars="200" w:hanging="200" w:hangingChars="200"/>
    </w:pPr>
    <w:rPr>
      <w:rFonts w:cstheme="minorBidi"/>
      <w:sz w:val="24"/>
    </w:rPr>
  </w:style>
  <w:style w:type="paragraph" w:customStyle="1" w:styleId="113">
    <w:name w:val="16-表格题注"/>
    <w:basedOn w:val="1"/>
    <w:next w:val="1"/>
    <w:qFormat/>
    <w:uiPriority w:val="0"/>
    <w:pPr>
      <w:snapToGrid w:val="0"/>
      <w:spacing w:beforeLines="50" w:afterLines="50" w:line="360" w:lineRule="auto"/>
      <w:ind w:firstLine="560" w:firstLineChars="200"/>
      <w:jc w:val="center"/>
    </w:pPr>
    <w:rPr>
      <w:rFonts w:cstheme="minorBidi"/>
      <w:b/>
      <w:sz w:val="28"/>
    </w:rPr>
  </w:style>
  <w:style w:type="character" w:customStyle="1" w:styleId="114">
    <w:name w:val="00文档名称 Char"/>
    <w:basedOn w:val="38"/>
    <w:link w:val="115"/>
    <w:qFormat/>
    <w:locked/>
    <w:uiPriority w:val="0"/>
    <w:rPr>
      <w:rFonts w:ascii="黑体" w:hAnsi="黑体" w:eastAsia="黑体" w:cstheme="minorBidi"/>
      <w:b/>
      <w:kern w:val="2"/>
      <w:sz w:val="52"/>
      <w:szCs w:val="24"/>
    </w:rPr>
  </w:style>
  <w:style w:type="paragraph" w:customStyle="1" w:styleId="115">
    <w:name w:val="00文档名称"/>
    <w:basedOn w:val="1"/>
    <w:link w:val="114"/>
    <w:qFormat/>
    <w:uiPriority w:val="0"/>
    <w:pPr>
      <w:snapToGrid w:val="0"/>
      <w:spacing w:line="360" w:lineRule="auto"/>
      <w:ind w:firstLine="560" w:firstLineChars="200"/>
      <w:jc w:val="center"/>
    </w:pPr>
    <w:rPr>
      <w:rFonts w:ascii="黑体" w:hAnsi="黑体" w:eastAsia="黑体" w:cstheme="minorBidi"/>
      <w:b/>
      <w:sz w:val="52"/>
    </w:rPr>
  </w:style>
  <w:style w:type="paragraph" w:customStyle="1" w:styleId="116">
    <w:name w:val="04-正文"/>
    <w:basedOn w:val="1"/>
    <w:qFormat/>
    <w:uiPriority w:val="0"/>
    <w:pPr>
      <w:snapToGrid w:val="0"/>
      <w:spacing w:line="360" w:lineRule="auto"/>
      <w:ind w:firstLine="200" w:firstLineChars="200"/>
    </w:pPr>
    <w:rPr>
      <w:rFonts w:cstheme="minorBidi"/>
      <w:sz w:val="28"/>
    </w:rPr>
  </w:style>
  <w:style w:type="character" w:customStyle="1" w:styleId="117">
    <w:name w:val="font81"/>
    <w:basedOn w:val="38"/>
    <w:qFormat/>
    <w:uiPriority w:val="0"/>
    <w:rPr>
      <w:rFonts w:hint="eastAsia" w:ascii="宋体" w:hAnsi="宋体" w:eastAsia="宋体" w:cs="宋体"/>
      <w:b/>
      <w:bCs/>
      <w:color w:val="1D1D1F"/>
      <w:sz w:val="24"/>
      <w:szCs w:val="24"/>
      <w:u w:val="none"/>
    </w:rPr>
  </w:style>
  <w:style w:type="character" w:customStyle="1" w:styleId="118">
    <w:name w:val="font21"/>
    <w:basedOn w:val="38"/>
    <w:qFormat/>
    <w:uiPriority w:val="0"/>
    <w:rPr>
      <w:rFonts w:hint="default" w:ascii="Helvetica" w:hAnsi="Helvetica" w:eastAsia="Helvetica" w:cs="Helvetica"/>
      <w:b/>
      <w:bCs/>
      <w:color w:val="1D1D1F"/>
      <w:sz w:val="24"/>
      <w:szCs w:val="24"/>
      <w:u w:val="none"/>
    </w:rPr>
  </w:style>
  <w:style w:type="character" w:customStyle="1" w:styleId="119">
    <w:name w:val="font11"/>
    <w:basedOn w:val="38"/>
    <w:qFormat/>
    <w:uiPriority w:val="0"/>
    <w:rPr>
      <w:rFonts w:hint="eastAsia" w:ascii="宋体" w:hAnsi="宋体" w:eastAsia="宋体" w:cs="宋体"/>
      <w:color w:val="000000"/>
      <w:sz w:val="22"/>
      <w:szCs w:val="22"/>
      <w:u w:val="none"/>
    </w:rPr>
  </w:style>
  <w:style w:type="paragraph" w:styleId="120">
    <w:name w:val="List Paragraph"/>
    <w:basedOn w:val="1"/>
    <w:qFormat/>
    <w:uiPriority w:val="99"/>
    <w:pPr>
      <w:ind w:firstLine="420" w:firstLineChars="200"/>
    </w:pPr>
  </w:style>
  <w:style w:type="character" w:customStyle="1" w:styleId="121">
    <w:name w:val="表格格式 字符"/>
    <w:link w:val="122"/>
    <w:qFormat/>
    <w:locked/>
    <w:uiPriority w:val="0"/>
    <w:rPr>
      <w:rFonts w:ascii="宋体" w:hAnsi="宋体"/>
      <w:kern w:val="2"/>
      <w:sz w:val="21"/>
      <w:szCs w:val="21"/>
    </w:rPr>
  </w:style>
  <w:style w:type="paragraph" w:customStyle="1" w:styleId="122">
    <w:name w:val="表格格式"/>
    <w:basedOn w:val="1"/>
    <w:link w:val="121"/>
    <w:qFormat/>
    <w:uiPriority w:val="0"/>
    <w:pPr>
      <w:spacing w:line="360" w:lineRule="auto"/>
      <w:jc w:val="center"/>
    </w:pPr>
    <w:rPr>
      <w:rFonts w:ascii="宋体" w:hAnsi="宋体"/>
      <w:szCs w:val="21"/>
    </w:rPr>
  </w:style>
  <w:style w:type="paragraph" w:customStyle="1" w:styleId="123">
    <w:name w:val="NormalNormal"/>
    <w:next w:val="124"/>
    <w:qFormat/>
    <w:uiPriority w:val="0"/>
    <w:pPr>
      <w:widowControl w:val="0"/>
      <w:spacing w:line="580" w:lineRule="exact"/>
      <w:jc w:val="both"/>
    </w:pPr>
    <w:rPr>
      <w:rFonts w:ascii="Calibri" w:hAnsi="Calibri" w:eastAsia="宋体" w:cs="宋体"/>
      <w:kern w:val="2"/>
      <w:sz w:val="21"/>
      <w:szCs w:val="21"/>
      <w:lang w:val="en-US" w:eastAsia="zh-CN" w:bidi="ar-SA"/>
    </w:rPr>
  </w:style>
  <w:style w:type="paragraph" w:customStyle="1" w:styleId="124">
    <w:name w:val="Heading 2Heading2"/>
    <w:basedOn w:val="123"/>
    <w:next w:val="123"/>
    <w:qFormat/>
    <w:uiPriority w:val="9"/>
    <w:pPr>
      <w:keepNext/>
      <w:keepLines/>
      <w:spacing w:before="260" w:after="260" w:line="416" w:lineRule="auto"/>
      <w:outlineLvl w:val="1"/>
    </w:pPr>
    <w:rPr>
      <w:rFonts w:ascii="Cambria" w:hAnsi="Cambria"/>
      <w:b/>
      <w:bCs/>
      <w:sz w:val="32"/>
      <w:szCs w:val="32"/>
    </w:rPr>
  </w:style>
  <w:style w:type="character" w:customStyle="1" w:styleId="125">
    <w:name w:val="未处理的提及1"/>
    <w:basedOn w:val="38"/>
    <w:semiHidden/>
    <w:unhideWhenUsed/>
    <w:qFormat/>
    <w:uiPriority w:val="99"/>
    <w:rPr>
      <w:color w:val="605E5C"/>
      <w:shd w:val="clear" w:color="auto" w:fill="E1DFDD"/>
    </w:rPr>
  </w:style>
  <w:style w:type="character" w:customStyle="1" w:styleId="126">
    <w:name w:val="纯文本 字符4"/>
    <w:qFormat/>
    <w:uiPriority w:val="0"/>
    <w:rPr>
      <w:rFonts w:ascii="宋体" w:hAnsi="Courier New" w:eastAsia="宋体" w:cs="Courier New"/>
      <w:szCs w:val="21"/>
    </w:rPr>
  </w:style>
  <w:style w:type="character" w:customStyle="1" w:styleId="127">
    <w:name w:val="未处理的提及2"/>
    <w:basedOn w:val="38"/>
    <w:semiHidden/>
    <w:unhideWhenUsed/>
    <w:qFormat/>
    <w:uiPriority w:val="99"/>
    <w:rPr>
      <w:color w:val="605E5C"/>
      <w:shd w:val="clear" w:color="auto" w:fill="E1DFDD"/>
    </w:rPr>
  </w:style>
  <w:style w:type="character" w:customStyle="1" w:styleId="128">
    <w:name w:val="font31"/>
    <w:basedOn w:val="38"/>
    <w:qFormat/>
    <w:uiPriority w:val="0"/>
    <w:rPr>
      <w:rFonts w:hint="default"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87</Pages>
  <Words>26309</Words>
  <Characters>27762</Characters>
  <Lines>1</Lines>
  <Paragraphs>1</Paragraphs>
  <TotalTime>10</TotalTime>
  <ScaleCrop>false</ScaleCrop>
  <LinksUpToDate>false</LinksUpToDate>
  <CharactersWithSpaces>28206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2024-12-02T23:10:00Z</dcterms:created>
  <dc:creator>Apple</dc:creator>
  <cp:lastModifiedBy>RR</cp:lastModifiedBy>
  <cp:lastPrinted>2024-05-31T17:43:00Z</cp:lastPrinted>
  <dcterms:modified xsi:type="dcterms:W3CDTF">2025-08-15T09:36:02Z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98A1BC65A371490BB235DF1E9056A56F_13</vt:lpwstr>
  </property>
  <property fmtid="{D5CDD505-2E9C-101B-9397-08002B2CF9AE}" pid="4" name="KSOTemplateDocerSaveRecord">
    <vt:lpwstr>eyJoZGlkIjoiMDY4MDVlYTNjYjkwZjVhZGZiNGM0MmE1ZWU4ZTg5OTAiLCJ1c2VySWQiOiI1MTA2MDEwNDcifQ==</vt:lpwstr>
  </property>
</Properties>
</file>