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5C94A">
      <w:pPr>
        <w:spacing w:line="360" w:lineRule="auto"/>
        <w:jc w:val="center"/>
        <w:rPr>
          <w:rFonts w:hint="eastAsia" w:ascii="仿宋" w:hAnsi="仿宋" w:eastAsia="仿宋" w:cs="仿宋"/>
          <w:color w:val="auto"/>
          <w:sz w:val="52"/>
          <w:szCs w:val="52"/>
        </w:rPr>
      </w:pPr>
    </w:p>
    <w:p w14:paraId="6997DD25">
      <w:pPr>
        <w:pStyle w:val="25"/>
        <w:jc w:val="center"/>
        <w:rPr>
          <w:rFonts w:hint="eastAsia" w:ascii="仿宋" w:hAnsi="仿宋" w:eastAsia="仿宋" w:cs="仿宋"/>
          <w:color w:val="auto"/>
          <w:spacing w:val="30"/>
          <w:kern w:val="52"/>
          <w:sz w:val="64"/>
          <w:szCs w:val="64"/>
        </w:rPr>
      </w:pPr>
      <w:r>
        <w:rPr>
          <w:rFonts w:hint="eastAsia" w:ascii="仿宋" w:hAnsi="仿宋" w:eastAsia="仿宋" w:cs="仿宋"/>
          <w:color w:val="auto"/>
          <w:spacing w:val="30"/>
          <w:kern w:val="52"/>
          <w:sz w:val="64"/>
          <w:szCs w:val="64"/>
        </w:rPr>
        <w:t>广西科文招标有限公司</w:t>
      </w:r>
    </w:p>
    <w:p w14:paraId="020BB64D">
      <w:pPr>
        <w:pStyle w:val="25"/>
        <w:jc w:val="center"/>
        <w:rPr>
          <w:rFonts w:hint="eastAsia" w:ascii="仿宋" w:hAnsi="仿宋" w:eastAsia="仿宋" w:cs="仿宋"/>
          <w:color w:val="auto"/>
          <w:spacing w:val="28"/>
          <w:sz w:val="64"/>
          <w:szCs w:val="64"/>
        </w:rPr>
      </w:pPr>
      <w:r>
        <w:rPr>
          <w:rFonts w:hint="eastAsia" w:ascii="仿宋" w:hAnsi="仿宋" w:eastAsia="仿宋" w:cs="仿宋"/>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15240" t="7620" r="13335" b="11430"/>
                <wp:wrapNone/>
                <wp:docPr id="1092139202" name="Line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&#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FAAo1gAAAAgBAAAPAAAAAAAAAAEAIAAAACIAAABk&#10;cnMvZG93bnJldi54bWxQSwECFAAUAAAACACHTuJAf6yz488BAACpAwAADgAAAAAAAAABACAAAAAl&#10;AQAAZHJzL2Uyb0RvYy54bWxQSwUGAAAAAAYABgBZAQAAZgUAAAAA&#10;">
                <v:fill on="f" focussize="0,0"/>
                <v:stroke weight="1pt" color="#000000" joinstyle="round"/>
                <v:imagedata o:title=""/>
                <o:lock v:ext="edit" aspectratio="f"/>
              </v:line>
            </w:pict>
          </mc:Fallback>
        </mc:AlternateContent>
      </w:r>
    </w:p>
    <w:p w14:paraId="165D63FE">
      <w:pPr>
        <w:snapToGrid w:val="0"/>
        <w:spacing w:before="120" w:beforeLines="50" w:line="360" w:lineRule="auto"/>
        <w:jc w:val="center"/>
        <w:rPr>
          <w:rFonts w:hint="eastAsia" w:ascii="仿宋" w:hAnsi="仿宋" w:eastAsia="仿宋" w:cs="仿宋"/>
          <w:color w:val="auto"/>
          <w:sz w:val="120"/>
          <w:szCs w:val="120"/>
        </w:rPr>
      </w:pPr>
      <w:r>
        <w:rPr>
          <w:rFonts w:hint="eastAsia" w:ascii="仿宋" w:hAnsi="仿宋" w:eastAsia="仿宋" w:cs="仿宋"/>
          <w:color w:val="auto"/>
          <w:sz w:val="120"/>
          <w:szCs w:val="120"/>
        </w:rPr>
        <w:t>招 标 文 件</w:t>
      </w:r>
    </w:p>
    <w:p w14:paraId="17D1CDB6">
      <w:pPr>
        <w:pStyle w:val="25"/>
        <w:snapToGrid w:val="0"/>
        <w:spacing w:line="360" w:lineRule="auto"/>
        <w:ind w:firstLine="1977" w:firstLineChars="691"/>
        <w:rPr>
          <w:rFonts w:hint="eastAsia" w:ascii="仿宋" w:hAnsi="仿宋" w:eastAsia="仿宋" w:cs="仿宋"/>
          <w:b/>
          <w:bCs/>
          <w:color w:val="auto"/>
          <w:w w:val="95"/>
          <w:sz w:val="30"/>
          <w:szCs w:val="30"/>
        </w:rPr>
      </w:pPr>
    </w:p>
    <w:p w14:paraId="66CD7FB4">
      <w:pPr>
        <w:pStyle w:val="25"/>
        <w:snapToGrid w:val="0"/>
        <w:spacing w:line="360" w:lineRule="auto"/>
        <w:ind w:firstLine="1977" w:firstLineChars="691"/>
        <w:rPr>
          <w:rFonts w:hint="eastAsia" w:ascii="仿宋" w:hAnsi="仿宋" w:eastAsia="仿宋" w:cs="仿宋"/>
          <w:b/>
          <w:bCs/>
          <w:color w:val="auto"/>
          <w:w w:val="95"/>
          <w:sz w:val="30"/>
          <w:szCs w:val="30"/>
        </w:rPr>
      </w:pPr>
    </w:p>
    <w:p w14:paraId="74A90C41">
      <w:pPr>
        <w:pStyle w:val="25"/>
        <w:snapToGrid w:val="0"/>
        <w:spacing w:line="360" w:lineRule="auto"/>
        <w:ind w:firstLine="1145" w:firstLineChars="40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项目名称：广西科技馆常设展厅局部改造服务项目</w:t>
      </w:r>
    </w:p>
    <w:p w14:paraId="14482116">
      <w:pPr>
        <w:widowControl/>
        <w:numPr>
          <w:ilvl w:val="0"/>
          <w:numId w:val="4"/>
        </w:numPr>
        <w:ind w:left="0" w:right="36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 xml:space="preserve">        项目编号：</w:t>
      </w:r>
      <w:r>
        <w:rPr>
          <w:rFonts w:hint="eastAsia" w:ascii="仿宋" w:hAnsi="仿宋" w:eastAsia="仿宋" w:cs="仿宋"/>
          <w:b/>
          <w:bCs/>
          <w:color w:val="auto"/>
          <w:w w:val="95"/>
          <w:sz w:val="30"/>
          <w:szCs w:val="30"/>
          <w:lang w:eastAsia="zh-CN"/>
        </w:rPr>
        <w:t>GXZC2025-G3-001248-KWZB</w:t>
      </w:r>
    </w:p>
    <w:p w14:paraId="2E2A0C0E">
      <w:pPr>
        <w:pStyle w:val="25"/>
        <w:snapToGrid w:val="0"/>
        <w:spacing w:line="360" w:lineRule="auto"/>
        <w:ind w:firstLine="1977" w:firstLineChars="691"/>
        <w:rPr>
          <w:rFonts w:hint="eastAsia" w:ascii="仿宋" w:hAnsi="仿宋" w:eastAsia="仿宋" w:cs="仿宋"/>
          <w:b/>
          <w:bCs/>
          <w:color w:val="auto"/>
          <w:w w:val="95"/>
          <w:sz w:val="30"/>
          <w:szCs w:val="30"/>
        </w:rPr>
      </w:pPr>
    </w:p>
    <w:p w14:paraId="1E1D3E5E">
      <w:pPr>
        <w:pStyle w:val="25"/>
        <w:snapToGrid w:val="0"/>
        <w:spacing w:line="360" w:lineRule="auto"/>
        <w:ind w:firstLine="1977" w:firstLineChars="691"/>
        <w:rPr>
          <w:rFonts w:hint="eastAsia" w:ascii="仿宋" w:hAnsi="仿宋" w:eastAsia="仿宋" w:cs="仿宋"/>
          <w:b/>
          <w:bCs/>
          <w:color w:val="auto"/>
          <w:w w:val="95"/>
          <w:sz w:val="30"/>
          <w:szCs w:val="30"/>
        </w:rPr>
      </w:pPr>
    </w:p>
    <w:p w14:paraId="62EE6859">
      <w:pPr>
        <w:pStyle w:val="25"/>
        <w:snapToGrid w:val="0"/>
        <w:spacing w:line="360" w:lineRule="auto"/>
        <w:ind w:firstLine="1977" w:firstLineChars="691"/>
        <w:rPr>
          <w:rFonts w:hint="eastAsia" w:ascii="仿宋" w:hAnsi="仿宋" w:eastAsia="仿宋" w:cs="仿宋"/>
          <w:b/>
          <w:bCs/>
          <w:color w:val="auto"/>
          <w:w w:val="95"/>
          <w:sz w:val="30"/>
          <w:szCs w:val="30"/>
        </w:rPr>
      </w:pPr>
    </w:p>
    <w:p w14:paraId="6F26141E">
      <w:pPr>
        <w:pStyle w:val="25"/>
        <w:snapToGrid w:val="0"/>
        <w:spacing w:line="360" w:lineRule="auto"/>
        <w:ind w:firstLine="1977" w:firstLineChars="691"/>
        <w:rPr>
          <w:rFonts w:hint="eastAsia" w:ascii="仿宋" w:hAnsi="仿宋" w:eastAsia="仿宋" w:cs="仿宋"/>
          <w:b/>
          <w:bCs/>
          <w:color w:val="auto"/>
          <w:w w:val="95"/>
          <w:sz w:val="30"/>
          <w:szCs w:val="30"/>
        </w:rPr>
      </w:pPr>
    </w:p>
    <w:p w14:paraId="22DEB16B">
      <w:pPr>
        <w:pStyle w:val="25"/>
        <w:snapToGrid w:val="0"/>
        <w:spacing w:line="360" w:lineRule="auto"/>
        <w:ind w:firstLine="1977" w:firstLineChars="691"/>
        <w:rPr>
          <w:rFonts w:hint="eastAsia" w:ascii="仿宋" w:hAnsi="仿宋" w:eastAsia="仿宋" w:cs="仿宋"/>
          <w:b/>
          <w:bCs/>
          <w:color w:val="auto"/>
          <w:w w:val="95"/>
          <w:sz w:val="30"/>
          <w:szCs w:val="30"/>
        </w:rPr>
      </w:pPr>
    </w:p>
    <w:p w14:paraId="54492CB6">
      <w:pPr>
        <w:pStyle w:val="25"/>
        <w:snapToGrid w:val="0"/>
        <w:spacing w:line="360" w:lineRule="auto"/>
        <w:ind w:firstLine="572" w:firstLineChars="20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采 购 人：广西壮族自治区科学技术馆（广西青少年科技中心）</w:t>
      </w:r>
    </w:p>
    <w:p w14:paraId="16452FF7">
      <w:pPr>
        <w:pStyle w:val="25"/>
        <w:snapToGrid w:val="0"/>
        <w:spacing w:line="360" w:lineRule="auto"/>
        <w:ind w:firstLine="572" w:firstLineChars="200"/>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采购代理机构：广西科文招标有限公司</w:t>
      </w:r>
    </w:p>
    <w:p w14:paraId="774DD525">
      <w:pPr>
        <w:pStyle w:val="25"/>
        <w:snapToGrid w:val="0"/>
        <w:spacing w:line="360" w:lineRule="auto"/>
        <w:ind w:firstLine="1125" w:firstLineChars="393"/>
        <w:rPr>
          <w:rFonts w:hint="eastAsia" w:ascii="仿宋" w:hAnsi="仿宋" w:eastAsia="仿宋" w:cs="仿宋"/>
          <w:b/>
          <w:bCs/>
          <w:color w:val="auto"/>
          <w:w w:val="95"/>
          <w:sz w:val="30"/>
          <w:szCs w:val="30"/>
        </w:rPr>
      </w:pPr>
    </w:p>
    <w:p w14:paraId="7FF6D20A">
      <w:pPr>
        <w:pStyle w:val="25"/>
        <w:snapToGrid w:val="0"/>
        <w:spacing w:line="360" w:lineRule="auto"/>
        <w:jc w:val="center"/>
        <w:rPr>
          <w:rFonts w:hint="eastAsia" w:ascii="仿宋" w:hAnsi="仿宋" w:eastAsia="仿宋" w:cs="仿宋"/>
          <w:color w:val="auto"/>
          <w:szCs w:val="20"/>
        </w:rPr>
      </w:pPr>
      <w:r>
        <w:rPr>
          <w:rFonts w:hint="eastAsia" w:ascii="仿宋" w:hAnsi="仿宋" w:eastAsia="仿宋" w:cs="仿宋"/>
          <w:b/>
          <w:bCs/>
          <w:color w:val="auto"/>
          <w:w w:val="95"/>
          <w:sz w:val="30"/>
          <w:szCs w:val="30"/>
        </w:rPr>
        <w:t>2025年5月</w:t>
      </w:r>
      <w:r>
        <w:rPr>
          <w:rFonts w:hint="eastAsia" w:ascii="仿宋" w:hAnsi="仿宋" w:eastAsia="仿宋" w:cs="仿宋"/>
          <w:b/>
          <w:bCs/>
          <w:color w:val="auto"/>
          <w:w w:val="95"/>
          <w:sz w:val="30"/>
          <w:szCs w:val="30"/>
          <w:lang w:val="en-US" w:eastAsia="zh-CN"/>
        </w:rPr>
        <w:t>26</w:t>
      </w:r>
      <w:r>
        <w:rPr>
          <w:rFonts w:hint="eastAsia" w:ascii="仿宋" w:hAnsi="仿宋" w:eastAsia="仿宋" w:cs="仿宋"/>
          <w:b/>
          <w:bCs/>
          <w:color w:val="auto"/>
          <w:w w:val="95"/>
          <w:sz w:val="30"/>
          <w:szCs w:val="30"/>
        </w:rPr>
        <w:t>日</w:t>
      </w:r>
    </w:p>
    <w:p w14:paraId="3AE4D586">
      <w:pPr>
        <w:pStyle w:val="18"/>
        <w:kinsoku w:val="0"/>
        <w:overflowPunct w:val="0"/>
        <w:rPr>
          <w:rFonts w:hint="eastAsia" w:ascii="仿宋" w:hAnsi="仿宋" w:eastAsia="仿宋" w:cs="仿宋"/>
          <w:color w:val="auto"/>
          <w:sz w:val="40"/>
        </w:rPr>
      </w:pPr>
    </w:p>
    <w:p w14:paraId="77E05450">
      <w:pPr>
        <w:pStyle w:val="25"/>
        <w:spacing w:before="120" w:after="120" w:line="360" w:lineRule="auto"/>
        <w:jc w:val="center"/>
        <w:rPr>
          <w:rFonts w:hint="eastAsia" w:ascii="仿宋" w:hAnsi="仿宋" w:eastAsia="仿宋" w:cs="仿宋"/>
          <w:color w:val="auto"/>
        </w:rPr>
        <w:sectPr>
          <w:footerReference r:id="rId5" w:type="first"/>
          <w:headerReference r:id="rId3" w:type="default"/>
          <w:footerReference r:id="rId4" w:type="even"/>
          <w:pgSz w:w="11906" w:h="16838"/>
          <w:pgMar w:top="1134" w:right="1134" w:bottom="2269" w:left="1134" w:header="851" w:footer="567" w:gutter="0"/>
          <w:cols w:space="720" w:num="1"/>
          <w:titlePg/>
          <w:docGrid w:linePitch="312" w:charSpace="0"/>
        </w:sectPr>
      </w:pPr>
    </w:p>
    <w:p w14:paraId="740F6AB5">
      <w:pPr>
        <w:rPr>
          <w:color w:val="auto"/>
        </w:rPr>
      </w:pPr>
    </w:p>
    <w:p w14:paraId="0E7DA675">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14:paraId="05677DFF">
      <w:pPr>
        <w:pStyle w:val="33"/>
        <w:rPr>
          <w:rFonts w:hint="eastAsia" w:ascii="仿宋" w:hAnsi="仿宋" w:eastAsia="仿宋" w:cs="仿宋"/>
          <w:b w:val="0"/>
          <w:bCs w:val="0"/>
          <w:caps w:val="0"/>
          <w:color w:val="auto"/>
          <w:sz w:val="21"/>
          <w:szCs w:val="22"/>
        </w:rPr>
      </w:pPr>
      <w:r>
        <w:rPr>
          <w:rFonts w:hint="eastAsia" w:ascii="仿宋" w:hAnsi="仿宋" w:eastAsia="仿宋" w:cs="仿宋"/>
          <w:b w:val="0"/>
          <w:color w:val="auto"/>
        </w:rPr>
        <w:fldChar w:fldCharType="begin"/>
      </w:r>
      <w:r>
        <w:rPr>
          <w:rFonts w:hint="eastAsia" w:ascii="仿宋" w:hAnsi="仿宋" w:eastAsia="仿宋" w:cs="仿宋"/>
          <w:b w:val="0"/>
          <w:color w:val="auto"/>
        </w:rPr>
        <w:instrText xml:space="preserve"> TOC \o "1-2" \h \z \u </w:instrText>
      </w:r>
      <w:r>
        <w:rPr>
          <w:rFonts w:hint="eastAsia" w:ascii="仿宋" w:hAnsi="仿宋" w:eastAsia="仿宋" w:cs="仿宋"/>
          <w:b w:val="0"/>
          <w:color w:val="auto"/>
        </w:rPr>
        <w:fldChar w:fldCharType="separate"/>
      </w:r>
      <w:r>
        <w:rPr>
          <w:color w:val="auto"/>
        </w:rPr>
        <w:fldChar w:fldCharType="begin"/>
      </w:r>
      <w:r>
        <w:rPr>
          <w:color w:val="auto"/>
        </w:rPr>
        <w:instrText xml:space="preserve"> HYPERLINK \l "_Toc74320800" </w:instrText>
      </w:r>
      <w:r>
        <w:rPr>
          <w:color w:val="auto"/>
        </w:rPr>
        <w:fldChar w:fldCharType="separate"/>
      </w:r>
      <w:r>
        <w:rPr>
          <w:rStyle w:val="54"/>
          <w:rFonts w:hint="eastAsia" w:ascii="仿宋" w:hAnsi="仿宋" w:eastAsia="仿宋" w:cs="仿宋"/>
          <w:color w:val="auto"/>
        </w:rPr>
        <w:t>第一章  招标公告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_Toc74320800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59488C">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"_Toc74320801" </w:instrText>
      </w:r>
      <w:r>
        <w:rPr>
          <w:color w:val="auto"/>
        </w:rPr>
        <w:fldChar w:fldCharType="separate"/>
      </w:r>
      <w:r>
        <w:rPr>
          <w:rStyle w:val="54"/>
          <w:rFonts w:hint="eastAsia" w:ascii="仿宋" w:hAnsi="仿宋" w:eastAsia="仿宋" w:cs="仿宋"/>
          <w:color w:val="auto"/>
        </w:rPr>
        <w:t>第二章  采购</w:t>
      </w:r>
      <w:bookmarkStart w:id="0" w:name="_Hlt159917184"/>
      <w:r>
        <w:rPr>
          <w:rStyle w:val="54"/>
          <w:rFonts w:hint="eastAsia" w:ascii="仿宋" w:hAnsi="仿宋" w:eastAsia="仿宋" w:cs="仿宋"/>
          <w:color w:val="auto"/>
        </w:rPr>
        <w:t>需</w:t>
      </w:r>
      <w:bookmarkEnd w:id="0"/>
      <w:r>
        <w:rPr>
          <w:rStyle w:val="54"/>
          <w:rFonts w:hint="eastAsia" w:ascii="仿宋" w:hAnsi="仿宋" w:eastAsia="仿宋" w:cs="仿宋"/>
          <w:color w:val="auto"/>
        </w:rPr>
        <w:t>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2410370">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"_Toc74320802" </w:instrText>
      </w:r>
      <w:r>
        <w:rPr>
          <w:color w:val="auto"/>
        </w:rPr>
        <w:fldChar w:fldCharType="separate"/>
      </w:r>
      <w:r>
        <w:rPr>
          <w:rStyle w:val="54"/>
          <w:rFonts w:hint="eastAsia" w:ascii="仿宋" w:hAnsi="仿宋" w:eastAsia="仿宋" w:cs="仿宋"/>
          <w:color w:val="auto"/>
        </w:rPr>
        <w:t>第三章  投标人须</w:t>
      </w:r>
      <w:bookmarkStart w:id="1" w:name="_Hlt79572745"/>
      <w:bookmarkStart w:id="2" w:name="_Hlt79572744"/>
      <w:r>
        <w:rPr>
          <w:rStyle w:val="54"/>
          <w:rFonts w:hint="eastAsia" w:ascii="仿宋" w:hAnsi="仿宋" w:eastAsia="仿宋" w:cs="仿宋"/>
          <w:color w:val="auto"/>
        </w:rPr>
        <w:t>知</w:t>
      </w:r>
      <w:bookmarkEnd w:id="1"/>
      <w:bookmarkEnd w:id="2"/>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_Toc74320802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32DE523">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"_Toc74320803" </w:instrText>
      </w:r>
      <w:r>
        <w:rPr>
          <w:color w:val="auto"/>
        </w:rPr>
        <w:fldChar w:fldCharType="separate"/>
      </w:r>
      <w:r>
        <w:rPr>
          <w:rStyle w:val="54"/>
          <w:rFonts w:hint="eastAsia" w:ascii="仿宋" w:hAnsi="仿宋" w:eastAsia="仿宋" w:cs="仿宋"/>
          <w:color w:val="auto"/>
        </w:rPr>
        <w:t>第四章  评标方</w:t>
      </w:r>
      <w:bookmarkStart w:id="3" w:name="_Hlt82186274"/>
      <w:bookmarkStart w:id="4" w:name="_Hlt82186273"/>
      <w:r>
        <w:rPr>
          <w:rStyle w:val="54"/>
          <w:rFonts w:hint="eastAsia" w:ascii="仿宋" w:hAnsi="仿宋" w:eastAsia="仿宋" w:cs="仿宋"/>
          <w:color w:val="auto"/>
        </w:rPr>
        <w:t>法</w:t>
      </w:r>
      <w:bookmarkEnd w:id="3"/>
      <w:bookmarkEnd w:id="4"/>
      <w:r>
        <w:rPr>
          <w:rStyle w:val="54"/>
          <w:rFonts w:hint="eastAsia" w:ascii="仿宋" w:hAnsi="仿宋" w:eastAsia="仿宋" w:cs="仿宋"/>
          <w:color w:val="auto"/>
        </w:rPr>
        <w:t>及评</w:t>
      </w:r>
      <w:bookmarkStart w:id="5" w:name="_Hlt159603083"/>
      <w:bookmarkStart w:id="6" w:name="_Hlt159603082"/>
      <w:r>
        <w:rPr>
          <w:rStyle w:val="54"/>
          <w:rFonts w:hint="eastAsia" w:ascii="仿宋" w:hAnsi="仿宋" w:eastAsia="仿宋" w:cs="仿宋"/>
          <w:color w:val="auto"/>
        </w:rPr>
        <w:t>标</w:t>
      </w:r>
      <w:bookmarkEnd w:id="5"/>
      <w:bookmarkEnd w:id="6"/>
      <w:r>
        <w:rPr>
          <w:rStyle w:val="54"/>
          <w:rFonts w:hint="eastAsia" w:ascii="仿宋" w:hAnsi="仿宋" w:eastAsia="仿宋" w:cs="仿宋"/>
          <w:color w:val="auto"/>
        </w:rPr>
        <w:t>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_Toc74320803 \h </w:instrText>
      </w:r>
      <w:r>
        <w:rPr>
          <w:rFonts w:hint="eastAsia" w:ascii="仿宋" w:hAnsi="仿宋" w:eastAsia="仿宋" w:cs="仿宋"/>
          <w:color w:val="auto"/>
        </w:rPr>
        <w:fldChar w:fldCharType="separate"/>
      </w:r>
      <w:r>
        <w:rPr>
          <w:rFonts w:hint="eastAsia" w:ascii="仿宋" w:hAnsi="仿宋" w:eastAsia="仿宋" w:cs="仿宋"/>
          <w:color w:val="auto"/>
        </w:rPr>
        <w:t>56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2BC3685">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"_Toc74320804" </w:instrText>
      </w:r>
      <w:r>
        <w:rPr>
          <w:color w:val="auto"/>
        </w:rPr>
        <w:fldChar w:fldCharType="separate"/>
      </w:r>
      <w:r>
        <w:rPr>
          <w:rStyle w:val="54"/>
          <w:rFonts w:hint="eastAsia" w:ascii="仿宋" w:hAnsi="仿宋" w:eastAsia="仿宋" w:cs="仿宋"/>
          <w:color w:val="auto"/>
        </w:rPr>
        <w:t>第五章  拟签订的合同文本</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_Toc74320804 \h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9847F1C">
      <w:pPr>
        <w:pStyle w:val="33"/>
        <w:ind w:firstLine="241"/>
        <w:rPr>
          <w:rFonts w:hint="eastAsia" w:ascii="仿宋" w:hAnsi="仿宋" w:eastAsia="仿宋" w:cs="仿宋"/>
          <w:b w:val="0"/>
          <w:bCs w:val="0"/>
          <w:caps w:val="0"/>
          <w:color w:val="auto"/>
          <w:sz w:val="21"/>
          <w:szCs w:val="22"/>
        </w:rPr>
      </w:pPr>
      <w:r>
        <w:rPr>
          <w:color w:val="auto"/>
        </w:rPr>
        <w:fldChar w:fldCharType="begin"/>
      </w:r>
      <w:r>
        <w:rPr>
          <w:color w:val="auto"/>
        </w:rPr>
        <w:instrText xml:space="preserve"> HYPERLINK \l "_Toc74320805" </w:instrText>
      </w:r>
      <w:r>
        <w:rPr>
          <w:color w:val="auto"/>
        </w:rPr>
        <w:fldChar w:fldCharType="separate"/>
      </w:r>
      <w:r>
        <w:rPr>
          <w:rStyle w:val="54"/>
          <w:rFonts w:hint="eastAsia" w:ascii="仿宋" w:hAnsi="仿宋" w:eastAsia="仿宋" w:cs="仿宋"/>
          <w:color w:val="auto"/>
        </w:rPr>
        <w:t>第六章　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_Toc74320805 \h </w:instrText>
      </w:r>
      <w:r>
        <w:rPr>
          <w:rFonts w:hint="eastAsia" w:ascii="仿宋" w:hAnsi="仿宋" w:eastAsia="仿宋" w:cs="仿宋"/>
          <w:color w:val="auto"/>
        </w:rPr>
        <w:fldChar w:fldCharType="separate"/>
      </w:r>
      <w:r>
        <w:rPr>
          <w:rFonts w:hint="eastAsia" w:ascii="仿宋" w:hAnsi="仿宋" w:eastAsia="仿宋" w:cs="仿宋"/>
          <w:color w:val="auto"/>
        </w:rPr>
        <w:t>74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B0D1324">
      <w:pPr>
        <w:spacing w:before="120" w:beforeLines="50" w:line="480" w:lineRule="exact"/>
        <w:rPr>
          <w:rFonts w:hint="eastAsia" w:ascii="仿宋" w:hAnsi="仿宋" w:eastAsia="仿宋" w:cs="仿宋"/>
          <w:color w:val="auto"/>
          <w:sz w:val="24"/>
        </w:rPr>
      </w:pPr>
      <w:r>
        <w:rPr>
          <w:rFonts w:hint="eastAsia" w:ascii="仿宋" w:hAnsi="仿宋" w:eastAsia="仿宋" w:cs="仿宋"/>
          <w:b/>
          <w:color w:val="auto"/>
          <w:sz w:val="24"/>
        </w:rPr>
        <w:fldChar w:fldCharType="end"/>
      </w:r>
    </w:p>
    <w:p w14:paraId="0FA407E0">
      <w:pPr>
        <w:spacing w:before="120" w:beforeLines="50" w:line="480" w:lineRule="exact"/>
        <w:rPr>
          <w:rFonts w:hint="eastAsia" w:ascii="仿宋" w:hAnsi="仿宋" w:eastAsia="仿宋" w:cs="仿宋"/>
          <w:color w:val="auto"/>
          <w:sz w:val="30"/>
        </w:rPr>
      </w:pPr>
    </w:p>
    <w:p w14:paraId="22CECDE8">
      <w:pPr>
        <w:rPr>
          <w:rFonts w:hint="eastAsia" w:ascii="仿宋" w:hAnsi="仿宋" w:eastAsia="仿宋" w:cs="仿宋"/>
          <w:color w:val="auto"/>
        </w:rPr>
      </w:pPr>
    </w:p>
    <w:p w14:paraId="72BDF33A">
      <w:pPr>
        <w:spacing w:before="120" w:beforeLines="50" w:line="480" w:lineRule="exact"/>
        <w:rPr>
          <w:rFonts w:hint="eastAsia" w:ascii="仿宋" w:hAnsi="仿宋" w:eastAsia="仿宋" w:cs="仿宋"/>
          <w:color w:val="auto"/>
          <w:sz w:val="30"/>
        </w:rPr>
      </w:pPr>
    </w:p>
    <w:p w14:paraId="7C28EFE1">
      <w:pPr>
        <w:spacing w:before="120" w:beforeLines="50" w:line="480" w:lineRule="exact"/>
        <w:rPr>
          <w:rFonts w:hint="eastAsia" w:ascii="仿宋" w:hAnsi="仿宋" w:eastAsia="仿宋" w:cs="仿宋"/>
          <w:color w:val="auto"/>
          <w:sz w:val="30"/>
        </w:rPr>
      </w:pPr>
    </w:p>
    <w:p w14:paraId="498775A9">
      <w:pPr>
        <w:pStyle w:val="16"/>
        <w:rPr>
          <w:rFonts w:hint="eastAsia" w:ascii="仿宋" w:hAnsi="仿宋" w:eastAsia="仿宋" w:cs="仿宋"/>
          <w:b/>
          <w:bCs/>
          <w:color w:val="auto"/>
        </w:rPr>
      </w:pPr>
      <w:bookmarkStart w:id="7" w:name="_Toc254970630"/>
      <w:bookmarkStart w:id="8" w:name="_Toc254970489"/>
    </w:p>
    <w:p w14:paraId="6CB9B606">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color w:val="auto"/>
        </w:rPr>
      </w:pPr>
      <w:r>
        <w:rPr>
          <w:rFonts w:hint="eastAsia" w:ascii="仿宋" w:hAnsi="仿宋" w:eastAsia="仿宋" w:cs="仿宋"/>
          <w:b w:val="0"/>
          <w:bCs w:val="0"/>
          <w:color w:val="auto"/>
        </w:rPr>
        <w:br w:type="page"/>
      </w:r>
      <w:bookmarkStart w:id="9" w:name="_Toc74320800"/>
      <w:r>
        <w:rPr>
          <w:rFonts w:hint="eastAsia" w:ascii="仿宋" w:hAnsi="仿宋" w:eastAsia="仿宋" w:cs="仿宋"/>
          <w:color w:val="auto"/>
        </w:rPr>
        <w:t>第一章</w:t>
      </w:r>
      <w:bookmarkEnd w:id="7"/>
      <w:bookmarkEnd w:id="8"/>
      <w:bookmarkStart w:id="10" w:name="_Toc28359001"/>
      <w:bookmarkStart w:id="11" w:name="_Toc35393789"/>
      <w:r>
        <w:rPr>
          <w:rFonts w:hint="eastAsia" w:ascii="仿宋" w:hAnsi="仿宋" w:eastAsia="仿宋" w:cs="仿宋"/>
          <w:color w:val="auto"/>
        </w:rPr>
        <w:t xml:space="preserve"> 招标公告</w:t>
      </w:r>
      <w:bookmarkEnd w:id="9"/>
      <w:bookmarkEnd w:id="10"/>
      <w:bookmarkEnd w:id="11"/>
    </w:p>
    <w:p w14:paraId="2B88F805">
      <w:pPr>
        <w:rPr>
          <w:rFonts w:hint="eastAsia" w:ascii="仿宋" w:hAnsi="仿宋" w:eastAsia="仿宋" w:cs="仿宋"/>
          <w:color w:val="auto"/>
        </w:rPr>
      </w:pPr>
    </w:p>
    <w:p w14:paraId="409FAAC3">
      <w:pPr>
        <w:pStyle w:val="25"/>
        <w:spacing w:line="500" w:lineRule="exact"/>
        <w:jc w:val="center"/>
        <w:rPr>
          <w:rFonts w:hint="eastAsia" w:ascii="仿宋" w:hAnsi="仿宋" w:eastAsia="仿宋" w:cs="仿宋"/>
          <w:b/>
          <w:bCs w:val="0"/>
          <w:color w:val="auto"/>
        </w:rPr>
      </w:pPr>
      <w:r>
        <w:rPr>
          <w:rFonts w:hint="eastAsia" w:ascii="仿宋" w:hAnsi="仿宋" w:eastAsia="仿宋" w:cs="仿宋"/>
          <w:b/>
          <w:bCs w:val="0"/>
          <w:color w:val="auto"/>
          <w:sz w:val="36"/>
          <w:szCs w:val="36"/>
        </w:rPr>
        <w:t>广西科文招标有限公司关于</w:t>
      </w:r>
      <w:r>
        <w:rPr>
          <w:rFonts w:hint="eastAsia" w:ascii="仿宋" w:hAnsi="仿宋" w:eastAsia="仿宋" w:cs="仿宋"/>
          <w:b/>
          <w:bCs w:val="0"/>
          <w:color w:val="auto"/>
          <w:kern w:val="2"/>
          <w:sz w:val="36"/>
          <w:szCs w:val="36"/>
        </w:rPr>
        <w:t>广西科技馆常设展厅局部改造服务项目（</w:t>
      </w:r>
      <w:r>
        <w:rPr>
          <w:rFonts w:hint="eastAsia" w:ascii="仿宋" w:hAnsi="仿宋" w:eastAsia="仿宋" w:cs="仿宋"/>
          <w:b/>
          <w:bCs w:val="0"/>
          <w:color w:val="auto"/>
          <w:kern w:val="2"/>
          <w:sz w:val="36"/>
          <w:szCs w:val="36"/>
          <w:lang w:eastAsia="zh-CN"/>
        </w:rPr>
        <w:t>GXZC2025-G3-001248-KWZB</w:t>
      </w:r>
      <w:r>
        <w:rPr>
          <w:rFonts w:hint="eastAsia" w:ascii="仿宋" w:hAnsi="仿宋" w:eastAsia="仿宋" w:cs="仿宋"/>
          <w:b/>
          <w:bCs w:val="0"/>
          <w:color w:val="auto"/>
          <w:kern w:val="2"/>
          <w:sz w:val="36"/>
          <w:szCs w:val="36"/>
        </w:rPr>
        <w:t>）的公开招标公告</w:t>
      </w:r>
    </w:p>
    <w:p w14:paraId="4866D79A">
      <w:pPr>
        <w:spacing w:line="360" w:lineRule="auto"/>
        <w:rPr>
          <w:rFonts w:hint="eastAsia" w:ascii="仿宋" w:hAnsi="仿宋" w:eastAsia="仿宋" w:cs="仿宋"/>
          <w:color w:val="auto"/>
          <w:szCs w:val="21"/>
        </w:rPr>
      </w:pPr>
    </w:p>
    <w:p w14:paraId="2C6A03D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项目概况</w:t>
      </w:r>
    </w:p>
    <w:p w14:paraId="7A22213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广西科技馆常设展厅局部改造服务项目</w:t>
      </w:r>
      <w:r>
        <w:rPr>
          <w:rFonts w:hint="eastAsia" w:ascii="仿宋" w:hAnsi="仿宋" w:eastAsia="仿宋" w:cs="仿宋"/>
          <w:color w:val="auto"/>
          <w:szCs w:val="21"/>
        </w:rPr>
        <w:t>招标项目的潜在投标人</w:t>
      </w:r>
      <w:r>
        <w:rPr>
          <w:rFonts w:hint="eastAsia" w:ascii="仿宋" w:hAnsi="仿宋" w:eastAsia="仿宋" w:cs="仿宋"/>
          <w:color w:val="auto"/>
          <w:szCs w:val="21"/>
          <w:lang w:bidi="ar"/>
        </w:rPr>
        <w:t>应在</w:t>
      </w:r>
      <w:r>
        <w:rPr>
          <w:rFonts w:hint="eastAsia" w:ascii="仿宋" w:hAnsi="仿宋" w:eastAsia="仿宋" w:cs="仿宋"/>
          <w:color w:val="auto"/>
          <w:szCs w:val="21"/>
        </w:rPr>
        <w:t>广西政府采购云平台（https：//www.gcy.zfcg.gxzf.gov.cn/）获取（下载）招标文件，并于</w:t>
      </w:r>
      <w:r>
        <w:rPr>
          <w:rFonts w:hint="eastAsia" w:ascii="仿宋" w:hAnsi="仿宋" w:eastAsia="仿宋" w:cs="仿宋"/>
          <w:bCs/>
          <w:color w:val="auto"/>
          <w:szCs w:val="21"/>
        </w:rPr>
        <w:t>2025年6月</w:t>
      </w:r>
      <w:r>
        <w:rPr>
          <w:rFonts w:hint="eastAsia" w:ascii="仿宋" w:hAnsi="仿宋" w:eastAsia="仿宋" w:cs="仿宋"/>
          <w:bCs/>
          <w:color w:val="auto"/>
          <w:szCs w:val="21"/>
          <w:lang w:val="en-US" w:eastAsia="zh-CN"/>
        </w:rPr>
        <w:t>16</w:t>
      </w:r>
      <w:r>
        <w:rPr>
          <w:rFonts w:hint="eastAsia" w:ascii="仿宋" w:hAnsi="仿宋" w:eastAsia="仿宋" w:cs="仿宋"/>
          <w:bCs/>
          <w:color w:val="auto"/>
          <w:szCs w:val="21"/>
        </w:rPr>
        <w:t>日9时30分（北京时间）前递交投标文件</w:t>
      </w:r>
      <w:r>
        <w:rPr>
          <w:rFonts w:hint="eastAsia" w:ascii="仿宋" w:hAnsi="仿宋" w:eastAsia="仿宋" w:cs="仿宋"/>
          <w:color w:val="auto"/>
          <w:szCs w:val="21"/>
        </w:rPr>
        <w:t>。</w:t>
      </w:r>
    </w:p>
    <w:p w14:paraId="0A618AE9">
      <w:pPr>
        <w:spacing w:line="360" w:lineRule="auto"/>
        <w:rPr>
          <w:rFonts w:hint="eastAsia" w:ascii="仿宋" w:hAnsi="仿宋" w:eastAsia="仿宋" w:cs="仿宋"/>
          <w:color w:val="auto"/>
          <w:szCs w:val="21"/>
        </w:rPr>
      </w:pPr>
    </w:p>
    <w:p w14:paraId="5B1AC238">
      <w:pPr>
        <w:spacing w:line="380" w:lineRule="exact"/>
        <w:rPr>
          <w:rFonts w:hint="eastAsia" w:ascii="仿宋" w:hAnsi="仿宋" w:eastAsia="仿宋" w:cs="仿宋"/>
          <w:b/>
          <w:bCs/>
          <w:color w:val="auto"/>
          <w:sz w:val="24"/>
        </w:rPr>
      </w:pPr>
      <w:bookmarkStart w:id="12" w:name="_Toc35393790"/>
      <w:bookmarkStart w:id="13" w:name="_Toc35393621"/>
      <w:bookmarkStart w:id="14" w:name="_Toc28359002"/>
      <w:bookmarkStart w:id="15" w:name="_Toc28359079"/>
      <w:bookmarkStart w:id="16" w:name="_Hlk24379207"/>
      <w:r>
        <w:rPr>
          <w:rFonts w:hint="eastAsia" w:ascii="仿宋" w:hAnsi="仿宋" w:eastAsia="仿宋" w:cs="仿宋"/>
          <w:b/>
          <w:bCs/>
          <w:color w:val="auto"/>
          <w:sz w:val="24"/>
        </w:rPr>
        <w:t>一、项目基本情况</w:t>
      </w:r>
      <w:bookmarkEnd w:id="12"/>
      <w:bookmarkEnd w:id="13"/>
      <w:bookmarkEnd w:id="14"/>
      <w:bookmarkEnd w:id="15"/>
    </w:p>
    <w:p w14:paraId="2C99B350">
      <w:pPr>
        <w:spacing w:line="38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项目编号：</w:t>
      </w:r>
      <w:r>
        <w:rPr>
          <w:rFonts w:hint="eastAsia" w:ascii="仿宋" w:hAnsi="仿宋" w:eastAsia="仿宋" w:cs="仿宋"/>
          <w:color w:val="auto"/>
          <w:szCs w:val="21"/>
          <w:lang w:eastAsia="zh-CN"/>
        </w:rPr>
        <w:t>GXZC2025-G3-001248-KWZB</w:t>
      </w:r>
    </w:p>
    <w:p w14:paraId="1F80DD28">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项目名称：</w:t>
      </w:r>
      <w:r>
        <w:rPr>
          <w:rFonts w:hint="eastAsia" w:ascii="仿宋" w:hAnsi="仿宋" w:eastAsia="仿宋" w:cs="仿宋"/>
          <w:bCs/>
          <w:color w:val="auto"/>
          <w:szCs w:val="21"/>
        </w:rPr>
        <w:t>广西科技馆常设展厅局部改造服务项目</w:t>
      </w:r>
    </w:p>
    <w:bookmarkEnd w:id="16"/>
    <w:p w14:paraId="2DB0F9E2">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预算金额：700.00万元</w:t>
      </w:r>
    </w:p>
    <w:p w14:paraId="796F2F56">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最高限价（人民币）：700.00万元</w:t>
      </w:r>
    </w:p>
    <w:p w14:paraId="3977E716">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采购需求：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1927"/>
        <w:gridCol w:w="1025"/>
        <w:gridCol w:w="5969"/>
      </w:tblGrid>
      <w:tr w14:paraId="50A82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7" w:type="dxa"/>
            <w:gridSpan w:val="4"/>
            <w:tcBorders>
              <w:top w:val="single" w:color="auto" w:sz="4" w:space="0"/>
              <w:left w:val="single" w:color="auto" w:sz="4" w:space="0"/>
              <w:bottom w:val="single" w:color="auto" w:sz="4" w:space="0"/>
              <w:right w:val="single" w:color="auto" w:sz="4" w:space="0"/>
            </w:tcBorders>
            <w:vAlign w:val="center"/>
          </w:tcPr>
          <w:p w14:paraId="47E8FFBF">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1</w:t>
            </w:r>
            <w:r>
              <w:rPr>
                <w:rFonts w:hint="eastAsia" w:ascii="仿宋" w:hAnsi="仿宋" w:eastAsia="仿宋" w:cs="仿宋"/>
                <w:color w:val="auto"/>
                <w:szCs w:val="21"/>
              </w:rPr>
              <w:t>分标：700万元</w:t>
            </w:r>
          </w:p>
        </w:tc>
      </w:tr>
      <w:tr w14:paraId="6B709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5E74B60A">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927" w:type="dxa"/>
            <w:tcBorders>
              <w:top w:val="single" w:color="auto" w:sz="4" w:space="0"/>
              <w:left w:val="single" w:color="auto" w:sz="4" w:space="0"/>
              <w:bottom w:val="single" w:color="auto" w:sz="4" w:space="0"/>
              <w:right w:val="single" w:color="auto" w:sz="4" w:space="0"/>
            </w:tcBorders>
            <w:vAlign w:val="center"/>
          </w:tcPr>
          <w:p w14:paraId="3E788988">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标的的名称</w:t>
            </w:r>
          </w:p>
        </w:tc>
        <w:tc>
          <w:tcPr>
            <w:tcW w:w="1025" w:type="dxa"/>
            <w:tcBorders>
              <w:top w:val="single" w:color="auto" w:sz="4" w:space="0"/>
              <w:left w:val="single" w:color="auto" w:sz="4" w:space="0"/>
              <w:bottom w:val="single" w:color="auto" w:sz="4" w:space="0"/>
              <w:right w:val="single" w:color="auto" w:sz="4" w:space="0"/>
            </w:tcBorders>
            <w:vAlign w:val="center"/>
          </w:tcPr>
          <w:p w14:paraId="3140EF76">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数量及单位</w:t>
            </w:r>
          </w:p>
        </w:tc>
        <w:tc>
          <w:tcPr>
            <w:tcW w:w="5969" w:type="dxa"/>
            <w:tcBorders>
              <w:top w:val="single" w:color="auto" w:sz="4" w:space="0"/>
              <w:left w:val="single" w:color="auto" w:sz="4" w:space="0"/>
              <w:bottom w:val="single" w:color="auto" w:sz="4" w:space="0"/>
              <w:right w:val="single" w:color="auto" w:sz="4" w:space="0"/>
            </w:tcBorders>
            <w:vAlign w:val="center"/>
          </w:tcPr>
          <w:p w14:paraId="232F5F88">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简要技术需求或者服务要求</w:t>
            </w:r>
          </w:p>
        </w:tc>
      </w:tr>
      <w:tr w14:paraId="7C215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bottom w:val="single" w:color="auto" w:sz="4" w:space="0"/>
              <w:right w:val="single" w:color="auto" w:sz="4" w:space="0"/>
            </w:tcBorders>
            <w:vAlign w:val="center"/>
          </w:tcPr>
          <w:p w14:paraId="59CA4769">
            <w:pPr>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1</w:t>
            </w:r>
          </w:p>
        </w:tc>
        <w:tc>
          <w:tcPr>
            <w:tcW w:w="1927" w:type="dxa"/>
            <w:tcBorders>
              <w:top w:val="single" w:color="auto" w:sz="4" w:space="0"/>
              <w:left w:val="single" w:color="auto" w:sz="4" w:space="0"/>
              <w:bottom w:val="single" w:color="auto" w:sz="4" w:space="0"/>
              <w:right w:val="single" w:color="auto" w:sz="4" w:space="0"/>
            </w:tcBorders>
            <w:vAlign w:val="center"/>
          </w:tcPr>
          <w:p w14:paraId="4022687A">
            <w:pPr>
              <w:snapToGrid w:val="0"/>
              <w:spacing w:line="380" w:lineRule="exact"/>
              <w:jc w:val="center"/>
              <w:rPr>
                <w:rFonts w:hint="eastAsia" w:ascii="仿宋" w:hAnsi="仿宋" w:eastAsia="仿宋" w:cs="仿宋"/>
                <w:color w:val="auto"/>
                <w:szCs w:val="21"/>
              </w:rPr>
            </w:pPr>
            <w:r>
              <w:rPr>
                <w:rFonts w:hint="eastAsia" w:ascii="仿宋" w:hAnsi="仿宋" w:eastAsia="仿宋" w:cs="仿宋"/>
                <w:bCs/>
                <w:color w:val="auto"/>
                <w:szCs w:val="21"/>
              </w:rPr>
              <w:t>广西科技馆常设展厅局部改造服务项目</w:t>
            </w:r>
          </w:p>
        </w:tc>
        <w:tc>
          <w:tcPr>
            <w:tcW w:w="1025" w:type="dxa"/>
            <w:tcBorders>
              <w:top w:val="single" w:color="auto" w:sz="4" w:space="0"/>
              <w:left w:val="single" w:color="auto" w:sz="4" w:space="0"/>
              <w:bottom w:val="single" w:color="auto" w:sz="4" w:space="0"/>
              <w:right w:val="single" w:color="auto" w:sz="4" w:space="0"/>
            </w:tcBorders>
            <w:vAlign w:val="center"/>
          </w:tcPr>
          <w:p w14:paraId="030EE84A">
            <w:pPr>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1项</w:t>
            </w:r>
          </w:p>
        </w:tc>
        <w:tc>
          <w:tcPr>
            <w:tcW w:w="5969" w:type="dxa"/>
            <w:tcBorders>
              <w:top w:val="single" w:color="auto" w:sz="4" w:space="0"/>
              <w:left w:val="single" w:color="auto" w:sz="4" w:space="0"/>
              <w:bottom w:val="single" w:color="auto" w:sz="4" w:space="0"/>
              <w:right w:val="single" w:color="auto" w:sz="4" w:space="0"/>
            </w:tcBorders>
            <w:vAlign w:val="center"/>
          </w:tcPr>
          <w:p w14:paraId="6DF21BCC">
            <w:pPr>
              <w:spacing w:line="380" w:lineRule="exact"/>
              <w:rPr>
                <w:rFonts w:hint="eastAsia" w:ascii="仿宋" w:hAnsi="仿宋" w:eastAsia="仿宋" w:cs="仿宋"/>
                <w:bCs/>
                <w:color w:val="auto"/>
                <w:szCs w:val="21"/>
              </w:rPr>
            </w:pPr>
            <w:r>
              <w:rPr>
                <w:rFonts w:hint="eastAsia" w:ascii="仿宋" w:hAnsi="仿宋" w:eastAsia="仿宋" w:cs="仿宋"/>
                <w:color w:val="auto"/>
                <w:kern w:val="0"/>
                <w:szCs w:val="21"/>
              </w:rPr>
              <w:t>计划以东盟国家的特色建筑、历史风貌为基础内容，对常设展厅局部位置进行更新改造，面积约1000平方米。含展区方案设计及深化、布展环境及大型造型类展项设计与实施、大型核心展品设计与实施、中小型互动展品设计与实施、附属开发等内容。</w:t>
            </w:r>
            <w:r>
              <w:rPr>
                <w:rFonts w:ascii="Arial" w:hAnsi="Arial" w:eastAsia="仿宋" w:cs="Arial"/>
                <w:color w:val="auto"/>
                <w:kern w:val="0"/>
                <w:szCs w:val="21"/>
              </w:rPr>
              <w:t>…</w:t>
            </w:r>
            <w:r>
              <w:rPr>
                <w:rFonts w:hint="eastAsia" w:ascii="仿宋" w:hAnsi="仿宋" w:eastAsia="仿宋" w:cs="仿宋"/>
                <w:color w:val="auto"/>
                <w:kern w:val="0"/>
                <w:szCs w:val="21"/>
              </w:rPr>
              <w:t>具体要求详见招标文件《</w:t>
            </w:r>
            <w:r>
              <w:rPr>
                <w:rStyle w:val="54"/>
                <w:rFonts w:hint="eastAsia" w:ascii="仿宋" w:hAnsi="仿宋" w:eastAsia="仿宋" w:cs="仿宋"/>
                <w:color w:val="auto"/>
              </w:rPr>
              <w:t>第二章 采购需求</w:t>
            </w:r>
            <w:r>
              <w:rPr>
                <w:rFonts w:hint="eastAsia" w:ascii="仿宋" w:hAnsi="仿宋" w:eastAsia="仿宋" w:cs="仿宋"/>
                <w:color w:val="auto"/>
                <w:kern w:val="0"/>
                <w:szCs w:val="21"/>
              </w:rPr>
              <w:t>》。</w:t>
            </w:r>
          </w:p>
        </w:tc>
      </w:tr>
    </w:tbl>
    <w:p w14:paraId="25BF1869">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合同履行期限：自合同签订之日起</w:t>
      </w:r>
      <w:r>
        <w:rPr>
          <w:rFonts w:hint="eastAsia" w:ascii="仿宋" w:hAnsi="仿宋" w:eastAsia="仿宋" w:cs="仿宋"/>
          <w:color w:val="auto"/>
          <w:szCs w:val="21"/>
          <w:lang w:val="en-US" w:eastAsia="zh-CN"/>
        </w:rPr>
        <w:t>36</w:t>
      </w:r>
      <w:r>
        <w:rPr>
          <w:rFonts w:hint="eastAsia" w:ascii="仿宋" w:hAnsi="仿宋" w:eastAsia="仿宋" w:cs="仿宋"/>
          <w:color w:val="auto"/>
          <w:szCs w:val="21"/>
        </w:rPr>
        <w:t>0日内通过验收交付使用。</w:t>
      </w:r>
    </w:p>
    <w:p w14:paraId="2F184931">
      <w:pPr>
        <w:spacing w:line="380" w:lineRule="exact"/>
        <w:ind w:firstLine="422" w:firstLineChars="200"/>
        <w:rPr>
          <w:rFonts w:hint="eastAsia" w:ascii="仿宋" w:hAnsi="仿宋" w:eastAsia="仿宋" w:cs="仿宋"/>
          <w:color w:val="auto"/>
          <w:szCs w:val="21"/>
        </w:rPr>
      </w:pPr>
      <w:r>
        <w:rPr>
          <w:rFonts w:hint="eastAsia" w:ascii="仿宋" w:hAnsi="仿宋" w:eastAsia="仿宋" w:cs="仿宋"/>
          <w:b/>
          <w:color w:val="auto"/>
          <w:szCs w:val="21"/>
        </w:rPr>
        <w:t>本标项（否）接受联合体投标。</w:t>
      </w:r>
    </w:p>
    <w:p w14:paraId="51BC967F">
      <w:pPr>
        <w:spacing w:line="380" w:lineRule="exact"/>
        <w:rPr>
          <w:rFonts w:hint="eastAsia" w:ascii="仿宋" w:hAnsi="仿宋" w:eastAsia="仿宋" w:cs="仿宋"/>
          <w:b/>
          <w:bCs/>
          <w:color w:val="auto"/>
          <w:sz w:val="24"/>
        </w:rPr>
      </w:pPr>
      <w:bookmarkStart w:id="17" w:name="_Toc35393622"/>
      <w:bookmarkStart w:id="18" w:name="_Toc35393791"/>
      <w:bookmarkStart w:id="19" w:name="_Toc28359003"/>
      <w:bookmarkStart w:id="20" w:name="_Toc28359080"/>
    </w:p>
    <w:p w14:paraId="4AE65ABB">
      <w:pPr>
        <w:spacing w:line="380" w:lineRule="exact"/>
        <w:rPr>
          <w:rFonts w:hint="eastAsia" w:ascii="仿宋" w:hAnsi="仿宋" w:eastAsia="仿宋" w:cs="仿宋"/>
          <w:b/>
          <w:bCs/>
          <w:color w:val="auto"/>
          <w:sz w:val="24"/>
        </w:rPr>
      </w:pPr>
      <w:r>
        <w:rPr>
          <w:rFonts w:hint="eastAsia" w:ascii="仿宋" w:hAnsi="仿宋" w:eastAsia="仿宋" w:cs="仿宋"/>
          <w:b/>
          <w:bCs/>
          <w:color w:val="auto"/>
          <w:sz w:val="24"/>
        </w:rPr>
        <w:t>二、申请人的资格要求：</w:t>
      </w:r>
      <w:bookmarkEnd w:id="17"/>
      <w:bookmarkEnd w:id="18"/>
      <w:bookmarkEnd w:id="19"/>
      <w:bookmarkEnd w:id="20"/>
    </w:p>
    <w:p w14:paraId="0233948D">
      <w:pPr>
        <w:spacing w:line="380" w:lineRule="exact"/>
        <w:ind w:firstLine="420" w:firstLineChars="200"/>
        <w:rPr>
          <w:rFonts w:hint="eastAsia" w:ascii="仿宋" w:hAnsi="仿宋" w:eastAsia="仿宋" w:cs="仿宋"/>
          <w:color w:val="auto"/>
          <w:szCs w:val="21"/>
        </w:rPr>
      </w:pPr>
      <w:bookmarkStart w:id="21" w:name="_Hlk51746371"/>
      <w:r>
        <w:rPr>
          <w:rFonts w:hint="eastAsia" w:ascii="仿宋" w:hAnsi="仿宋" w:eastAsia="仿宋" w:cs="仿宋"/>
          <w:color w:val="auto"/>
          <w:szCs w:val="21"/>
        </w:rPr>
        <w:t>1、满足《中华人民共和国政府采购法》第二十二条规定；</w:t>
      </w:r>
    </w:p>
    <w:p w14:paraId="0FD685D2">
      <w:pPr>
        <w:spacing w:line="380" w:lineRule="exact"/>
        <w:ind w:firstLine="420" w:firstLineChars="200"/>
        <w:rPr>
          <w:rFonts w:hint="eastAsia" w:ascii="仿宋" w:hAnsi="仿宋" w:eastAsia="仿宋" w:cs="仿宋"/>
          <w:color w:val="auto"/>
          <w:szCs w:val="21"/>
        </w:rPr>
      </w:pPr>
      <w:bookmarkStart w:id="22" w:name="_Toc28359081"/>
      <w:bookmarkStart w:id="23" w:name="_Toc28359004"/>
      <w:r>
        <w:rPr>
          <w:rFonts w:hint="eastAsia" w:ascii="仿宋" w:hAnsi="仿宋" w:eastAsia="仿宋" w:cs="仿宋"/>
          <w:color w:val="auto"/>
          <w:szCs w:val="21"/>
        </w:rPr>
        <w:t>2、落实政府采购政策需满足的资格要求：</w:t>
      </w:r>
      <w:r>
        <w:rPr>
          <w:rFonts w:hint="eastAsia" w:ascii="仿宋" w:hAnsi="仿宋" w:eastAsia="仿宋" w:cs="仿宋"/>
          <w:color w:val="auto"/>
          <w:szCs w:val="21"/>
          <w:u w:val="single"/>
        </w:rPr>
        <w:t>非专门面向中小企业采购项目</w:t>
      </w:r>
      <w:r>
        <w:rPr>
          <w:rFonts w:hint="eastAsia" w:ascii="仿宋" w:hAnsi="仿宋" w:eastAsia="仿宋" w:cs="仿宋"/>
          <w:color w:val="auto"/>
          <w:szCs w:val="21"/>
        </w:rPr>
        <w:t>；</w:t>
      </w:r>
    </w:p>
    <w:p w14:paraId="33D87D4B">
      <w:pPr>
        <w:spacing w:line="380" w:lineRule="exact"/>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3、本项目的特定资格要求：</w:t>
      </w:r>
      <w:r>
        <w:rPr>
          <w:rFonts w:hint="eastAsia" w:ascii="仿宋" w:hAnsi="仿宋" w:eastAsia="仿宋" w:cs="仿宋"/>
          <w:color w:val="auto"/>
          <w:szCs w:val="21"/>
          <w:u w:val="single"/>
        </w:rPr>
        <w:t>无。</w:t>
      </w:r>
    </w:p>
    <w:bookmarkEnd w:id="21"/>
    <w:p w14:paraId="134B72FA">
      <w:pPr>
        <w:spacing w:line="380" w:lineRule="exact"/>
        <w:rPr>
          <w:rFonts w:hint="eastAsia" w:ascii="仿宋" w:hAnsi="仿宋" w:eastAsia="仿宋" w:cs="仿宋"/>
          <w:b/>
          <w:bCs/>
          <w:color w:val="auto"/>
          <w:sz w:val="24"/>
        </w:rPr>
      </w:pPr>
      <w:bookmarkStart w:id="24" w:name="_Toc35393623"/>
      <w:bookmarkStart w:id="25" w:name="_Toc35393792"/>
      <w:r>
        <w:rPr>
          <w:rFonts w:hint="eastAsia" w:ascii="仿宋" w:hAnsi="仿宋" w:eastAsia="仿宋" w:cs="仿宋"/>
          <w:b/>
          <w:bCs/>
          <w:color w:val="auto"/>
          <w:sz w:val="24"/>
        </w:rPr>
        <w:t>三、获取招标文件</w:t>
      </w:r>
      <w:bookmarkEnd w:id="22"/>
      <w:bookmarkEnd w:id="23"/>
      <w:bookmarkEnd w:id="24"/>
      <w:bookmarkEnd w:id="25"/>
    </w:p>
    <w:p w14:paraId="5086944C">
      <w:pPr>
        <w:spacing w:line="380" w:lineRule="exact"/>
        <w:ind w:firstLine="420" w:firstLineChars="200"/>
        <w:rPr>
          <w:rFonts w:hint="eastAsia" w:ascii="仿宋" w:hAnsi="仿宋" w:eastAsia="仿宋" w:cs="仿宋"/>
          <w:bCs/>
          <w:color w:val="auto"/>
          <w:kern w:val="0"/>
          <w:szCs w:val="21"/>
        </w:rPr>
      </w:pPr>
      <w:r>
        <w:rPr>
          <w:rFonts w:hint="eastAsia" w:ascii="仿宋" w:hAnsi="仿宋" w:eastAsia="仿宋" w:cs="仿宋"/>
          <w:bCs/>
          <w:color w:val="auto"/>
          <w:kern w:val="0"/>
          <w:szCs w:val="21"/>
        </w:rPr>
        <w:t>时间：</w:t>
      </w:r>
      <w:r>
        <w:rPr>
          <w:rFonts w:hint="eastAsia" w:ascii="仿宋" w:hAnsi="仿宋" w:eastAsia="仿宋" w:cs="仿宋"/>
          <w:color w:val="auto"/>
        </w:rPr>
        <w:t>2025年5月</w:t>
      </w:r>
      <w:r>
        <w:rPr>
          <w:rFonts w:hint="eastAsia" w:ascii="仿宋" w:hAnsi="仿宋" w:eastAsia="仿宋" w:cs="仿宋"/>
          <w:color w:val="auto"/>
          <w:lang w:val="en-US" w:eastAsia="zh-CN"/>
        </w:rPr>
        <w:t>26</w:t>
      </w:r>
      <w:r>
        <w:rPr>
          <w:rFonts w:hint="eastAsia" w:ascii="仿宋" w:hAnsi="仿宋" w:eastAsia="仿宋" w:cs="仿宋"/>
          <w:color w:val="auto"/>
        </w:rPr>
        <w:t>日</w:t>
      </w:r>
      <w:r>
        <w:rPr>
          <w:rFonts w:hint="eastAsia" w:ascii="仿宋" w:hAnsi="仿宋" w:eastAsia="仿宋" w:cs="仿宋"/>
          <w:color w:val="auto"/>
          <w:szCs w:val="21"/>
        </w:rPr>
        <w:t>至</w:t>
      </w:r>
      <w:r>
        <w:rPr>
          <w:rFonts w:hint="eastAsia" w:ascii="仿宋" w:hAnsi="仿宋" w:eastAsia="仿宋" w:cs="仿宋"/>
          <w:color w:val="auto"/>
        </w:rPr>
        <w:t>2025年</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3</w:t>
      </w:r>
      <w:r>
        <w:rPr>
          <w:rFonts w:hint="eastAsia" w:ascii="仿宋" w:hAnsi="仿宋" w:eastAsia="仿宋" w:cs="仿宋"/>
          <w:color w:val="auto"/>
        </w:rPr>
        <w:t>日</w:t>
      </w:r>
      <w:r>
        <w:rPr>
          <w:rFonts w:hint="eastAsia" w:ascii="仿宋" w:hAnsi="仿宋" w:eastAsia="仿宋" w:cs="仿宋"/>
          <w:color w:val="auto"/>
          <w:szCs w:val="21"/>
        </w:rPr>
        <w:t>，每天上午00：00-12：00；下午1</w:t>
      </w:r>
      <w:r>
        <w:rPr>
          <w:rFonts w:hint="eastAsia" w:ascii="仿宋" w:hAnsi="仿宋" w:eastAsia="仿宋" w:cs="仿宋"/>
          <w:color w:val="auto"/>
        </w:rPr>
        <w:t>2</w:t>
      </w:r>
      <w:r>
        <w:rPr>
          <w:rFonts w:hint="eastAsia" w:ascii="仿宋" w:hAnsi="仿宋" w:eastAsia="仿宋" w:cs="仿宋"/>
          <w:color w:val="auto"/>
          <w:szCs w:val="21"/>
        </w:rPr>
        <w:t>：</w:t>
      </w:r>
      <w:r>
        <w:rPr>
          <w:rFonts w:hint="eastAsia" w:ascii="仿宋" w:hAnsi="仿宋" w:eastAsia="仿宋" w:cs="仿宋"/>
          <w:color w:val="auto"/>
        </w:rPr>
        <w:t>00</w:t>
      </w:r>
      <w:r>
        <w:rPr>
          <w:rFonts w:hint="eastAsia" w:ascii="仿宋" w:hAnsi="仿宋" w:eastAsia="仿宋" w:cs="仿宋"/>
          <w:color w:val="auto"/>
          <w:szCs w:val="21"/>
        </w:rPr>
        <w:t>-23：</w:t>
      </w:r>
      <w:r>
        <w:rPr>
          <w:rFonts w:hint="eastAsia" w:ascii="仿宋" w:hAnsi="仿宋" w:eastAsia="仿宋" w:cs="仿宋"/>
          <w:color w:val="auto"/>
        </w:rPr>
        <w:t>59</w:t>
      </w:r>
      <w:r>
        <w:rPr>
          <w:rFonts w:hint="eastAsia" w:ascii="仿宋" w:hAnsi="仿宋" w:eastAsia="仿宋" w:cs="仿宋"/>
          <w:color w:val="auto"/>
          <w:szCs w:val="21"/>
        </w:rPr>
        <w:t>（北京时间，法定节假日除外）。</w:t>
      </w:r>
    </w:p>
    <w:p w14:paraId="55F3F948">
      <w:pPr>
        <w:spacing w:line="380" w:lineRule="exact"/>
        <w:ind w:firstLine="420" w:firstLineChars="200"/>
        <w:rPr>
          <w:rFonts w:hint="eastAsia" w:ascii="仿宋" w:hAnsi="仿宋" w:eastAsia="仿宋" w:cs="仿宋"/>
          <w:bCs/>
          <w:color w:val="auto"/>
          <w:kern w:val="0"/>
          <w:szCs w:val="21"/>
        </w:rPr>
      </w:pPr>
      <w:r>
        <w:rPr>
          <w:rFonts w:hint="eastAsia" w:ascii="仿宋" w:hAnsi="仿宋" w:eastAsia="仿宋" w:cs="仿宋"/>
          <w:bCs/>
          <w:color w:val="auto"/>
          <w:kern w:val="0"/>
          <w:szCs w:val="21"/>
        </w:rPr>
        <w:t>地点：广西政府采购云平台（https：//www.gcy.zfcg.gxzf.gov.cn/）</w:t>
      </w:r>
    </w:p>
    <w:p w14:paraId="0BAF188D">
      <w:pPr>
        <w:spacing w:line="380" w:lineRule="exact"/>
        <w:ind w:firstLine="420" w:firstLineChars="200"/>
        <w:rPr>
          <w:rFonts w:hint="eastAsia" w:ascii="仿宋" w:hAnsi="仿宋" w:eastAsia="仿宋" w:cs="仿宋"/>
          <w:bCs/>
          <w:color w:val="auto"/>
          <w:kern w:val="0"/>
          <w:szCs w:val="21"/>
        </w:rPr>
      </w:pPr>
      <w:r>
        <w:rPr>
          <w:rFonts w:hint="eastAsia" w:ascii="仿宋" w:hAnsi="仿宋" w:eastAsia="仿宋" w:cs="仿宋"/>
          <w:bCs/>
          <w:color w:val="auto"/>
          <w:kern w:val="0"/>
          <w:szCs w:val="21"/>
        </w:rPr>
        <w:t>方式：网上下载。本项目不发放纸质文件，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574D8115">
      <w:pPr>
        <w:spacing w:line="380" w:lineRule="exact"/>
        <w:ind w:firstLine="420" w:firstLineChars="200"/>
        <w:rPr>
          <w:rFonts w:hint="eastAsia" w:ascii="仿宋" w:hAnsi="仿宋" w:eastAsia="仿宋" w:cs="仿宋"/>
          <w:color w:val="auto"/>
          <w:szCs w:val="21"/>
        </w:rPr>
      </w:pPr>
      <w:r>
        <w:rPr>
          <w:rFonts w:hint="eastAsia" w:ascii="仿宋" w:hAnsi="仿宋" w:eastAsia="仿宋" w:cs="仿宋"/>
          <w:bCs/>
          <w:color w:val="auto"/>
          <w:kern w:val="0"/>
          <w:szCs w:val="21"/>
        </w:rPr>
        <w:t>售价：0元。</w:t>
      </w:r>
    </w:p>
    <w:p w14:paraId="535DF4BE">
      <w:pPr>
        <w:spacing w:line="380" w:lineRule="exact"/>
        <w:rPr>
          <w:rFonts w:hint="eastAsia" w:ascii="仿宋" w:hAnsi="仿宋" w:eastAsia="仿宋" w:cs="仿宋"/>
          <w:b/>
          <w:bCs/>
          <w:color w:val="auto"/>
          <w:sz w:val="24"/>
        </w:rPr>
      </w:pPr>
      <w:bookmarkStart w:id="26" w:name="_Toc28359005"/>
      <w:bookmarkStart w:id="27" w:name="_Toc28359082"/>
      <w:bookmarkStart w:id="28" w:name="_Toc35393793"/>
      <w:bookmarkStart w:id="29" w:name="_Toc35393624"/>
      <w:r>
        <w:rPr>
          <w:rFonts w:hint="eastAsia" w:ascii="仿宋" w:hAnsi="仿宋" w:eastAsia="仿宋" w:cs="仿宋"/>
          <w:b/>
          <w:bCs/>
          <w:color w:val="auto"/>
          <w:sz w:val="24"/>
        </w:rPr>
        <w:t>四、提交投标文件</w:t>
      </w:r>
      <w:bookmarkEnd w:id="26"/>
      <w:bookmarkEnd w:id="27"/>
      <w:r>
        <w:rPr>
          <w:rFonts w:hint="eastAsia" w:ascii="仿宋" w:hAnsi="仿宋" w:eastAsia="仿宋" w:cs="仿宋"/>
          <w:b/>
          <w:bCs/>
          <w:color w:val="auto"/>
          <w:sz w:val="24"/>
        </w:rPr>
        <w:t>截止时间、开标时间和地点</w:t>
      </w:r>
      <w:bookmarkEnd w:id="28"/>
      <w:bookmarkEnd w:id="29"/>
    </w:p>
    <w:p w14:paraId="56830F5D">
      <w:pPr>
        <w:spacing w:line="380" w:lineRule="exact"/>
        <w:ind w:firstLine="420" w:firstLineChars="200"/>
        <w:rPr>
          <w:rFonts w:hint="eastAsia" w:ascii="仿宋" w:hAnsi="仿宋" w:eastAsia="仿宋" w:cs="仿宋"/>
          <w:color w:val="auto"/>
          <w:szCs w:val="21"/>
        </w:rPr>
      </w:pPr>
      <w:bookmarkStart w:id="30" w:name="_Toc35393794"/>
      <w:bookmarkStart w:id="31" w:name="_Toc35393625"/>
      <w:bookmarkStart w:id="32" w:name="_Toc28359007"/>
      <w:bookmarkStart w:id="33" w:name="_Toc28359084"/>
      <w:r>
        <w:rPr>
          <w:rFonts w:hint="eastAsia" w:ascii="仿宋" w:hAnsi="仿宋" w:eastAsia="仿宋" w:cs="仿宋"/>
          <w:color w:val="auto"/>
          <w:szCs w:val="21"/>
        </w:rPr>
        <w:t>1、</w:t>
      </w:r>
      <w:r>
        <w:rPr>
          <w:rFonts w:hint="eastAsia" w:ascii="仿宋" w:hAnsi="仿宋" w:eastAsia="仿宋" w:cs="仿宋"/>
          <w:color w:val="auto"/>
          <w:szCs w:val="21"/>
          <w:lang w:bidi="ar"/>
        </w:rPr>
        <w:t>截止时间</w:t>
      </w:r>
      <w:r>
        <w:rPr>
          <w:rFonts w:hint="eastAsia" w:ascii="仿宋" w:hAnsi="仿宋" w:eastAsia="仿宋" w:cs="仿宋"/>
          <w:color w:val="auto"/>
          <w:szCs w:val="21"/>
        </w:rPr>
        <w:t>：2025年6月</w:t>
      </w:r>
      <w:r>
        <w:rPr>
          <w:rFonts w:hint="eastAsia" w:ascii="仿宋" w:hAnsi="仿宋" w:eastAsia="仿宋" w:cs="仿宋"/>
          <w:color w:val="auto"/>
          <w:szCs w:val="21"/>
          <w:lang w:val="en-US" w:eastAsia="zh-CN"/>
        </w:rPr>
        <w:t>16</w:t>
      </w:r>
      <w:r>
        <w:rPr>
          <w:rFonts w:hint="eastAsia" w:ascii="仿宋" w:hAnsi="仿宋" w:eastAsia="仿宋" w:cs="仿宋"/>
          <w:color w:val="auto"/>
          <w:szCs w:val="21"/>
        </w:rPr>
        <w:t>日9时30分（北京时间）</w:t>
      </w:r>
    </w:p>
    <w:p w14:paraId="7CF143AA">
      <w:pPr>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2、地点：</w:t>
      </w:r>
      <w:r>
        <w:rPr>
          <w:rFonts w:hint="eastAsia" w:ascii="仿宋" w:hAnsi="仿宋" w:eastAsia="仿宋" w:cs="仿宋"/>
          <w:color w:val="auto"/>
          <w:szCs w:val="21"/>
          <w:lang w:bidi="ar"/>
        </w:rPr>
        <w:t>本项目将在广西政府采购云平台电子开标大厅解密、开标。</w:t>
      </w:r>
    </w:p>
    <w:p w14:paraId="4EBDCBA4">
      <w:pPr>
        <w:spacing w:line="380" w:lineRule="exact"/>
        <w:rPr>
          <w:rFonts w:hint="eastAsia" w:ascii="仿宋" w:hAnsi="仿宋" w:eastAsia="仿宋" w:cs="仿宋"/>
          <w:b/>
          <w:bCs/>
          <w:color w:val="auto"/>
          <w:sz w:val="24"/>
        </w:rPr>
      </w:pPr>
      <w:r>
        <w:rPr>
          <w:rFonts w:hint="eastAsia" w:ascii="仿宋" w:hAnsi="仿宋" w:eastAsia="仿宋" w:cs="仿宋"/>
          <w:b/>
          <w:bCs/>
          <w:color w:val="auto"/>
          <w:sz w:val="24"/>
        </w:rPr>
        <w:t>五、公告期限</w:t>
      </w:r>
      <w:bookmarkEnd w:id="30"/>
      <w:bookmarkEnd w:id="31"/>
      <w:bookmarkEnd w:id="32"/>
      <w:bookmarkEnd w:id="33"/>
    </w:p>
    <w:p w14:paraId="623A2838">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自本公告发布之日起5个工作日。</w:t>
      </w:r>
    </w:p>
    <w:p w14:paraId="6C25DDC8">
      <w:pPr>
        <w:spacing w:line="380" w:lineRule="exact"/>
        <w:rPr>
          <w:rFonts w:hint="eastAsia" w:ascii="仿宋" w:hAnsi="仿宋" w:eastAsia="仿宋" w:cs="仿宋"/>
          <w:b/>
          <w:bCs/>
          <w:color w:val="auto"/>
          <w:sz w:val="24"/>
        </w:rPr>
      </w:pPr>
      <w:bookmarkStart w:id="34" w:name="_Toc35393626"/>
      <w:bookmarkStart w:id="35" w:name="_Toc35393795"/>
      <w:r>
        <w:rPr>
          <w:rFonts w:hint="eastAsia" w:ascii="仿宋" w:hAnsi="仿宋" w:eastAsia="仿宋" w:cs="仿宋"/>
          <w:b/>
          <w:bCs/>
          <w:color w:val="auto"/>
          <w:sz w:val="24"/>
        </w:rPr>
        <w:t>六、其他补充事宜</w:t>
      </w:r>
      <w:bookmarkEnd w:id="34"/>
      <w:bookmarkEnd w:id="35"/>
    </w:p>
    <w:p w14:paraId="03BA4203">
      <w:pPr>
        <w:spacing w:line="380" w:lineRule="exact"/>
        <w:ind w:firstLine="420" w:firstLineChars="200"/>
        <w:rPr>
          <w:rFonts w:hint="eastAsia" w:ascii="仿宋" w:hAnsi="仿宋" w:eastAsia="仿宋" w:cs="仿宋"/>
          <w:color w:val="auto"/>
          <w:kern w:val="0"/>
          <w:szCs w:val="21"/>
        </w:rPr>
      </w:pPr>
      <w:bookmarkStart w:id="36" w:name="_Hlk37429674"/>
      <w:r>
        <w:rPr>
          <w:rFonts w:hint="eastAsia" w:ascii="仿宋" w:hAnsi="仿宋" w:eastAsia="仿宋" w:cs="仿宋"/>
          <w:color w:val="auto"/>
          <w:kern w:val="0"/>
          <w:szCs w:val="21"/>
        </w:rPr>
        <w:t>1、投标保证金（人民币）：1分标：70000.00元。</w:t>
      </w:r>
    </w:p>
    <w:p w14:paraId="1B83266A">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656243">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9776F31">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4、网上查询地址：中国政府采购网（www.ccgp.gov.cn）、广西政府采购网（zfcg.gxzf.gov.cn）、广西壮族自治区公共资源交易中心（http：//gxggzy.gxzf.gov.cn）。</w:t>
      </w:r>
    </w:p>
    <w:p w14:paraId="75F1963F">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5、本项目需要落实的政府采购政策：</w:t>
      </w:r>
    </w:p>
    <w:p w14:paraId="501DDB02">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（1）政府采购促进中小企业发展。</w:t>
      </w:r>
    </w:p>
    <w:p w14:paraId="2467B9C3">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（2）政府采购支持采用本国产品的政策。</w:t>
      </w:r>
    </w:p>
    <w:p w14:paraId="3A4E461B">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（3）强制采购节能产品；优先采购节能产品、环境标志产品。</w:t>
      </w:r>
    </w:p>
    <w:p w14:paraId="67E45299">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（4）政府采购促进残疾人就业政策。</w:t>
      </w:r>
    </w:p>
    <w:p w14:paraId="3D419ACA">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（5）政府采购支持监狱企业发展。</w:t>
      </w:r>
    </w:p>
    <w:p w14:paraId="18DBFDBE">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（6）扶持不发达地区和少数民族地区政策</w:t>
      </w:r>
    </w:p>
    <w:p w14:paraId="4AA22B01">
      <w:pPr>
        <w:widowControl/>
        <w:spacing w:line="380" w:lineRule="exact"/>
        <w:ind w:firstLine="420" w:firstLineChars="200"/>
        <w:rPr>
          <w:rFonts w:hint="eastAsia" w:ascii="仿宋" w:hAnsi="仿宋" w:eastAsia="仿宋" w:cs="仿宋"/>
          <w:color w:val="auto"/>
          <w:szCs w:val="21"/>
          <w:lang w:bidi="ar"/>
        </w:rPr>
      </w:pPr>
      <w:r>
        <w:rPr>
          <w:rFonts w:hint="eastAsia" w:ascii="仿宋" w:hAnsi="仿宋" w:eastAsia="仿宋" w:cs="仿宋"/>
          <w:color w:val="auto"/>
          <w:szCs w:val="21"/>
          <w:lang w:bidi="ar"/>
        </w:rPr>
        <w:t>6、投标注意事项：</w:t>
      </w:r>
    </w:p>
    <w:p w14:paraId="4A589C0E">
      <w:pPr>
        <w:widowControl/>
        <w:spacing w:line="380" w:lineRule="exact"/>
        <w:ind w:firstLine="420" w:firstLineChars="200"/>
        <w:rPr>
          <w:rFonts w:hint="eastAsia" w:ascii="仿宋" w:hAnsi="仿宋" w:eastAsia="仿宋" w:cs="仿宋"/>
          <w:bCs/>
          <w:color w:val="auto"/>
          <w:szCs w:val="21"/>
        </w:rPr>
      </w:pPr>
      <w:r>
        <w:rPr>
          <w:rFonts w:hint="eastAsia" w:ascii="仿宋" w:hAnsi="仿宋" w:eastAsia="仿宋" w:cs="仿宋"/>
          <w:color w:val="auto"/>
          <w:szCs w:val="21"/>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仿宋"/>
          <w:b/>
          <w:color w:val="auto"/>
          <w:szCs w:val="21"/>
          <w:lang w:bidi="ar"/>
        </w:rPr>
        <w:t>供应商在广西政府采购云平台提交电子版投标文件时，请填写参加远程开标活动经办人联系方式。</w:t>
      </w:r>
    </w:p>
    <w:p w14:paraId="4467A4FF">
      <w:pPr>
        <w:widowControl/>
        <w:spacing w:line="380" w:lineRule="exact"/>
        <w:ind w:firstLine="420" w:firstLineChars="200"/>
        <w:rPr>
          <w:rFonts w:hint="eastAsia" w:ascii="仿宋" w:hAnsi="仿宋" w:eastAsia="仿宋" w:cs="仿宋"/>
          <w:color w:val="auto"/>
          <w:szCs w:val="21"/>
          <w:lang w:bidi="ar"/>
        </w:rPr>
      </w:pPr>
      <w:r>
        <w:rPr>
          <w:rFonts w:hint="eastAsia" w:ascii="仿宋" w:hAnsi="仿宋" w:eastAsia="仿宋" w:cs="仿宋"/>
          <w:color w:val="auto"/>
          <w:szCs w:val="21"/>
          <w:lang w:bidi="ar"/>
        </w:rPr>
        <w:t>（2）供应商应及时熟悉掌握电子标系统操作指南（见广西政府采购云平台电子卖场首页右上角—服务中心—帮助文档—项目采购）：</w:t>
      </w:r>
      <w:r>
        <w:rPr>
          <w:rFonts w:hint="eastAsia"/>
          <w:color w:val="auto"/>
        </w:rPr>
        <w:fldChar w:fldCharType="begin"/>
      </w:r>
      <w:r>
        <w:rPr>
          <w:color w:val="auto"/>
        </w:rPr>
        <w:instrText xml:space="preserve"> HYPERLINK "https://service.zcygov.cn/#/knowledges/tree?tag=AG1DtGwBFdiHxlNdhY0r" </w:instrText>
      </w:r>
      <w:r>
        <w:rPr>
          <w:rFonts w:hint="eastAsia"/>
          <w:color w:val="auto"/>
        </w:rPr>
        <w:fldChar w:fldCharType="separate"/>
      </w:r>
      <w:r>
        <w:rPr>
          <w:rFonts w:hint="eastAsia" w:ascii="仿宋" w:hAnsi="仿宋" w:eastAsia="仿宋" w:cs="仿宋"/>
          <w:color w:val="auto"/>
          <w:lang w:bidi="ar"/>
        </w:rPr>
        <w:t>https：//service.zcygov.cn/#/knowledges/tree?tag=AG1DtGwBFdiHxlNdhY0r</w:t>
      </w:r>
      <w:r>
        <w:rPr>
          <w:rFonts w:hint="eastAsia" w:ascii="仿宋" w:hAnsi="仿宋" w:eastAsia="仿宋" w:cs="仿宋"/>
          <w:color w:val="auto"/>
          <w:lang w:bidi="ar"/>
        </w:rPr>
        <w:fldChar w:fldCharType="end"/>
      </w:r>
      <w:r>
        <w:rPr>
          <w:rFonts w:hint="eastAsia" w:ascii="仿宋" w:hAnsi="仿宋" w:eastAsia="仿宋" w:cs="仿宋"/>
          <w:color w:val="auto"/>
          <w:szCs w:val="21"/>
          <w:lang w:bidi="ar"/>
        </w:rPr>
        <w:t>；及时完成CA申领和绑定（见广西壮族自治区政府采购网—办事服务—下载专区-广西政府采购云平台CA证书办理操作指南）。</w:t>
      </w:r>
    </w:p>
    <w:p w14:paraId="5731914B">
      <w:pPr>
        <w:widowControl/>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239FCF1A">
      <w:pPr>
        <w:widowControl/>
        <w:spacing w:line="38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lang w:bidi="ar"/>
        </w:rPr>
        <w:t>（4）为确保网上操作合法、有效和安全，请投标人确保在电子投标过程中能够对相关数据电文进行加密和使用电子签章，妥善保管CA数字证书并使用有效的CA数字证书参与整个采购活动。</w:t>
      </w:r>
    </w:p>
    <w:p w14:paraId="44D8DEA7">
      <w:pPr>
        <w:spacing w:line="380" w:lineRule="exact"/>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EE28E13">
      <w:pPr>
        <w:snapToGrid w:val="0"/>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lang w:bidi="ar"/>
        </w:rPr>
        <w:t>7、CA证书在线解密：供应商投标时，需携带制作投标文件时用来加密的有效数字证书（CA认证）登录广西政府采购云平台电子开标大厅现场按规定时间对加密的投标文件进行解密，否则后果自负。</w:t>
      </w:r>
    </w:p>
    <w:p w14:paraId="64714DD6">
      <w:pPr>
        <w:spacing w:line="38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6"/>
    <w:p w14:paraId="69C3E9E6">
      <w:pPr>
        <w:spacing w:line="380" w:lineRule="exact"/>
        <w:rPr>
          <w:rFonts w:hint="eastAsia" w:ascii="仿宋" w:hAnsi="仿宋" w:eastAsia="仿宋" w:cs="仿宋"/>
          <w:b/>
          <w:bCs/>
          <w:color w:val="auto"/>
          <w:sz w:val="24"/>
        </w:rPr>
      </w:pPr>
      <w:bookmarkStart w:id="37" w:name="_Toc28359085"/>
      <w:bookmarkStart w:id="38" w:name="_Toc35393796"/>
      <w:bookmarkStart w:id="39" w:name="_Toc28359008"/>
      <w:bookmarkStart w:id="40" w:name="_Toc35393627"/>
      <w:r>
        <w:rPr>
          <w:rFonts w:hint="eastAsia" w:ascii="仿宋" w:hAnsi="仿宋" w:eastAsia="仿宋" w:cs="仿宋"/>
          <w:b/>
          <w:bCs/>
          <w:color w:val="auto"/>
          <w:sz w:val="24"/>
        </w:rPr>
        <w:t>七、对本次招标提出询问，请按以下方式联系。</w:t>
      </w:r>
      <w:bookmarkEnd w:id="37"/>
      <w:bookmarkEnd w:id="38"/>
      <w:bookmarkEnd w:id="39"/>
      <w:bookmarkEnd w:id="40"/>
    </w:p>
    <w:p w14:paraId="1BF1109F">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1.采购人信息</w:t>
      </w:r>
    </w:p>
    <w:p w14:paraId="0A17651A">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名 称：</w:t>
      </w:r>
      <w:r>
        <w:rPr>
          <w:rFonts w:hint="eastAsia" w:ascii="仿宋" w:hAnsi="仿宋" w:eastAsia="仿宋" w:cs="仿宋"/>
          <w:color w:val="auto"/>
          <w:u w:val="single"/>
        </w:rPr>
        <w:t>广西壮族自治区科学技术馆（广西青少年科技中心）</w:t>
      </w:r>
    </w:p>
    <w:p w14:paraId="3E8E58E8">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广西南宁市青秀区民族大道20号</w:t>
      </w:r>
    </w:p>
    <w:p w14:paraId="75F59A8A">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联系人：</w:t>
      </w:r>
      <w:r>
        <w:rPr>
          <w:rFonts w:hint="eastAsia" w:ascii="仿宋" w:hAnsi="仿宋" w:eastAsia="仿宋" w:cs="仿宋"/>
          <w:color w:val="auto"/>
          <w:szCs w:val="21"/>
          <w:u w:val="single"/>
        </w:rPr>
        <w:t>　　　韦文潮　　　</w:t>
      </w:r>
    </w:p>
    <w:p w14:paraId="6A368D4D">
      <w:pPr>
        <w:spacing w:line="380" w:lineRule="exact"/>
        <w:ind w:firstLine="567" w:firstLineChars="270"/>
        <w:jc w:val="left"/>
        <w:rPr>
          <w:rFonts w:hint="eastAsia" w:ascii="仿宋" w:hAnsi="仿宋" w:eastAsia="仿宋" w:cs="仿宋"/>
          <w:color w:val="auto"/>
          <w:szCs w:val="21"/>
          <w:u w:val="single"/>
        </w:rPr>
      </w:pPr>
      <w:r>
        <w:rPr>
          <w:rFonts w:hint="eastAsia" w:ascii="仿宋" w:hAnsi="仿宋" w:eastAsia="仿宋" w:cs="仿宋"/>
          <w:color w:val="auto"/>
          <w:szCs w:val="21"/>
        </w:rPr>
        <w:t>联系方式：</w:t>
      </w:r>
      <w:r>
        <w:rPr>
          <w:rFonts w:hint="eastAsia" w:ascii="仿宋" w:hAnsi="仿宋" w:eastAsia="仿宋" w:cs="仿宋"/>
          <w:color w:val="auto"/>
          <w:szCs w:val="21"/>
          <w:u w:val="single"/>
        </w:rPr>
        <w:t>　</w:t>
      </w:r>
      <w:bookmarkStart w:id="41" w:name="_Toc28359086"/>
      <w:bookmarkStart w:id="42" w:name="_Toc28359009"/>
      <w:r>
        <w:rPr>
          <w:rFonts w:hint="eastAsia" w:ascii="仿宋" w:hAnsi="仿宋" w:eastAsia="仿宋" w:cs="仿宋"/>
          <w:color w:val="auto"/>
          <w:szCs w:val="21"/>
          <w:u w:val="single"/>
        </w:rPr>
        <w:t xml:space="preserve">0771-2802163   </w:t>
      </w:r>
    </w:p>
    <w:p w14:paraId="49D7B5D6">
      <w:pPr>
        <w:spacing w:line="380" w:lineRule="exact"/>
        <w:ind w:firstLine="567" w:firstLineChars="270"/>
        <w:jc w:val="left"/>
        <w:rPr>
          <w:rFonts w:hint="eastAsia" w:ascii="仿宋" w:hAnsi="仿宋" w:eastAsia="仿宋" w:cs="仿宋"/>
          <w:color w:val="auto"/>
          <w:szCs w:val="21"/>
        </w:rPr>
      </w:pPr>
      <w:r>
        <w:rPr>
          <w:rFonts w:hint="eastAsia" w:ascii="仿宋" w:hAnsi="仿宋" w:eastAsia="仿宋" w:cs="仿宋"/>
          <w:color w:val="auto"/>
          <w:szCs w:val="21"/>
        </w:rPr>
        <w:t>2.采购代理机构信息</w:t>
      </w:r>
      <w:bookmarkEnd w:id="41"/>
      <w:bookmarkEnd w:id="42"/>
    </w:p>
    <w:p w14:paraId="7367BE09">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名 称：</w:t>
      </w:r>
      <w:r>
        <w:rPr>
          <w:rFonts w:hint="eastAsia" w:ascii="仿宋" w:hAnsi="仿宋" w:eastAsia="仿宋" w:cs="仿宋"/>
          <w:color w:val="auto"/>
          <w:szCs w:val="21"/>
          <w:u w:val="single"/>
        </w:rPr>
        <w:t>广西科文招标有限公司</w:t>
      </w:r>
    </w:p>
    <w:p w14:paraId="6DF263AA">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广西南宁市民族大道141号中鼎万象东方D区五层</w:t>
      </w:r>
    </w:p>
    <w:p w14:paraId="06E66F77">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联系方式：</w:t>
      </w:r>
      <w:bookmarkStart w:id="43" w:name="_Toc28359010"/>
      <w:bookmarkStart w:id="44" w:name="_Toc28359087"/>
      <w:r>
        <w:rPr>
          <w:rFonts w:hint="eastAsia" w:ascii="仿宋" w:hAnsi="仿宋" w:eastAsia="仿宋" w:cs="仿宋"/>
          <w:color w:val="auto"/>
          <w:szCs w:val="21"/>
          <w:u w:val="single"/>
        </w:rPr>
        <w:t>　　0771-2023852　　　</w:t>
      </w:r>
    </w:p>
    <w:p w14:paraId="514EE1B3">
      <w:pPr>
        <w:spacing w:line="380" w:lineRule="exact"/>
        <w:ind w:firstLine="567" w:firstLineChars="270"/>
        <w:rPr>
          <w:rFonts w:hint="eastAsia" w:ascii="仿宋" w:hAnsi="仿宋" w:eastAsia="仿宋" w:cs="仿宋"/>
          <w:color w:val="auto"/>
          <w:szCs w:val="21"/>
          <w:u w:val="single"/>
        </w:rPr>
      </w:pPr>
      <w:r>
        <w:rPr>
          <w:rFonts w:hint="eastAsia" w:ascii="仿宋" w:hAnsi="仿宋" w:eastAsia="仿宋" w:cs="仿宋"/>
          <w:color w:val="auto"/>
          <w:szCs w:val="21"/>
        </w:rPr>
        <w:t>3.项目联系方式</w:t>
      </w:r>
      <w:bookmarkEnd w:id="43"/>
      <w:bookmarkEnd w:id="44"/>
    </w:p>
    <w:p w14:paraId="5A357614">
      <w:pPr>
        <w:pStyle w:val="25"/>
        <w:spacing w:line="380" w:lineRule="exact"/>
        <w:ind w:firstLine="567" w:firstLineChars="270"/>
        <w:rPr>
          <w:rFonts w:hint="eastAsia" w:ascii="仿宋" w:hAnsi="仿宋" w:eastAsia="仿宋" w:cs="仿宋"/>
          <w:color w:val="auto"/>
          <w:sz w:val="21"/>
        </w:rPr>
      </w:pPr>
      <w:r>
        <w:rPr>
          <w:rFonts w:hint="eastAsia" w:ascii="仿宋" w:hAnsi="仿宋" w:eastAsia="仿宋" w:cs="仿宋"/>
          <w:color w:val="auto"/>
          <w:sz w:val="21"/>
        </w:rPr>
        <w:t>项目联系人：</w:t>
      </w:r>
      <w:r>
        <w:rPr>
          <w:rFonts w:hint="eastAsia" w:ascii="仿宋" w:hAnsi="仿宋" w:eastAsia="仿宋" w:cs="仿宋"/>
          <w:color w:val="auto"/>
          <w:sz w:val="21"/>
          <w:u w:val="single"/>
        </w:rPr>
        <w:t xml:space="preserve">     沈慧珠         </w:t>
      </w:r>
    </w:p>
    <w:p w14:paraId="4FFFC63D">
      <w:pPr>
        <w:spacing w:line="380" w:lineRule="exact"/>
        <w:ind w:firstLine="567" w:firstLineChars="270"/>
        <w:rPr>
          <w:rFonts w:hint="eastAsia"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0771-2023852　 　　</w:t>
      </w:r>
    </w:p>
    <w:p w14:paraId="2264FE5C">
      <w:pPr>
        <w:spacing w:line="380" w:lineRule="exact"/>
        <w:ind w:firstLine="6405" w:firstLineChars="3050"/>
        <w:rPr>
          <w:rFonts w:hint="eastAsia" w:ascii="仿宋" w:hAnsi="仿宋" w:eastAsia="仿宋" w:cs="仿宋"/>
          <w:color w:val="auto"/>
          <w:szCs w:val="21"/>
        </w:rPr>
      </w:pPr>
      <w:r>
        <w:rPr>
          <w:rFonts w:hint="eastAsia" w:ascii="仿宋" w:hAnsi="仿宋" w:eastAsia="仿宋" w:cs="仿宋"/>
          <w:color w:val="auto"/>
          <w:szCs w:val="21"/>
        </w:rPr>
        <w:t>广西科文招标有限公司</w:t>
      </w:r>
    </w:p>
    <w:p w14:paraId="177ECDFD">
      <w:pPr>
        <w:snapToGrid w:val="0"/>
        <w:spacing w:line="380" w:lineRule="exact"/>
        <w:ind w:left="238"/>
        <w:rPr>
          <w:rFonts w:hint="eastAsia" w:ascii="仿宋" w:hAnsi="仿宋" w:eastAsia="仿宋" w:cs="仿宋"/>
          <w:color w:val="auto"/>
          <w:szCs w:val="21"/>
        </w:rPr>
      </w:pPr>
      <w:r>
        <w:rPr>
          <w:rFonts w:hint="eastAsia" w:ascii="仿宋" w:hAnsi="仿宋" w:eastAsia="仿宋" w:cs="仿宋"/>
          <w:color w:val="auto"/>
        </w:rPr>
        <w:t xml:space="preserve">                                                              2025年5月</w:t>
      </w:r>
      <w:r>
        <w:rPr>
          <w:rFonts w:hint="eastAsia" w:ascii="仿宋" w:hAnsi="仿宋" w:eastAsia="仿宋" w:cs="仿宋"/>
          <w:color w:val="auto"/>
          <w:lang w:val="en-US" w:eastAsia="zh-CN"/>
        </w:rPr>
        <w:t>26</w:t>
      </w:r>
      <w:r>
        <w:rPr>
          <w:rFonts w:hint="eastAsia" w:ascii="仿宋" w:hAnsi="仿宋" w:eastAsia="仿宋" w:cs="仿宋"/>
          <w:color w:val="auto"/>
        </w:rPr>
        <w:t>日</w:t>
      </w:r>
    </w:p>
    <w:p w14:paraId="76B13015">
      <w:pPr>
        <w:snapToGrid w:val="0"/>
        <w:spacing w:line="320" w:lineRule="exact"/>
        <w:rPr>
          <w:rFonts w:hint="eastAsia" w:ascii="仿宋" w:hAnsi="仿宋" w:eastAsia="仿宋" w:cs="仿宋"/>
          <w:color w:val="auto"/>
          <w:sz w:val="24"/>
          <w:szCs w:val="20"/>
        </w:rPr>
      </w:pPr>
      <w:r>
        <w:rPr>
          <w:rFonts w:hint="eastAsia" w:ascii="仿宋" w:hAnsi="仿宋" w:eastAsia="仿宋" w:cs="仿宋"/>
          <w:color w:val="auto"/>
          <w:sz w:val="24"/>
          <w:szCs w:val="20"/>
        </w:rPr>
        <w:br w:type="page"/>
      </w:r>
    </w:p>
    <w:p w14:paraId="068E9948">
      <w:pPr>
        <w:pStyle w:val="2"/>
        <w:jc w:val="center"/>
        <w:rPr>
          <w:rFonts w:hint="eastAsia" w:ascii="仿宋" w:hAnsi="仿宋" w:eastAsia="仿宋" w:cs="仿宋"/>
          <w:color w:val="auto"/>
        </w:rPr>
      </w:pPr>
      <w:bookmarkStart w:id="45" w:name="_Toc74320801"/>
      <w:r>
        <w:rPr>
          <w:rFonts w:hint="eastAsia" w:ascii="仿宋" w:hAnsi="仿宋" w:eastAsia="仿宋" w:cs="仿宋"/>
          <w:color w:val="auto"/>
        </w:rPr>
        <w:t>第二章  采购需求</w:t>
      </w:r>
      <w:bookmarkEnd w:id="45"/>
    </w:p>
    <w:p w14:paraId="279B182E">
      <w:pPr>
        <w:spacing w:line="440" w:lineRule="exact"/>
        <w:jc w:val="left"/>
        <w:rPr>
          <w:rFonts w:hint="eastAsia" w:ascii="仿宋" w:hAnsi="仿宋" w:eastAsia="仿宋" w:cs="仿宋"/>
          <w:b/>
          <w:color w:val="auto"/>
          <w:sz w:val="24"/>
        </w:rPr>
      </w:pPr>
      <w:bookmarkStart w:id="46" w:name="_Toc254970490"/>
      <w:bookmarkStart w:id="47" w:name="_Toc254970631"/>
      <w:r>
        <w:rPr>
          <w:rFonts w:hint="eastAsia" w:ascii="仿宋" w:hAnsi="仿宋" w:eastAsia="仿宋" w:cs="仿宋"/>
          <w:b/>
          <w:color w:val="auto"/>
          <w:sz w:val="24"/>
        </w:rPr>
        <w:t>说明：</w:t>
      </w:r>
    </w:p>
    <w:p w14:paraId="03FB58F5">
      <w:pPr>
        <w:spacing w:line="440" w:lineRule="exact"/>
        <w:ind w:left="-10" w:leftChars="-5" w:right="2" w:rightChars="1" w:firstLine="420" w:firstLineChars="200"/>
        <w:rPr>
          <w:rFonts w:hint="eastAsia" w:ascii="仿宋" w:hAnsi="仿宋" w:eastAsia="仿宋" w:cs="仿宋"/>
          <w:color w:val="auto"/>
        </w:rPr>
      </w:pPr>
      <w:bookmarkStart w:id="48" w:name="_Hlk65055179"/>
      <w:r>
        <w:rPr>
          <w:rFonts w:hint="eastAsia" w:ascii="仿宋" w:hAnsi="仿宋" w:eastAsia="仿宋" w:cs="仿宋"/>
          <w:color w:val="auto"/>
        </w:rPr>
        <w:t>1.为落实政府采购政策需满足的要求</w:t>
      </w:r>
    </w:p>
    <w:p w14:paraId="5C9063FA">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（1）本招标文件所称中小企业必须符合《政府采购促进中小企业发展管理办法》（财库〔2020〕46号）的规定。</w:t>
      </w:r>
    </w:p>
    <w:p w14:paraId="2A5857C5">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投标文件中提供所投标产品的节能产品认证证书复印件（加盖投标人公章），</w:t>
      </w:r>
      <w:r>
        <w:rPr>
          <w:rFonts w:hint="eastAsia" w:ascii="仿宋" w:hAnsi="仿宋" w:eastAsia="仿宋" w:cs="仿宋"/>
          <w:b/>
          <w:bCs/>
          <w:color w:val="auto"/>
        </w:rPr>
        <w:t>否则投标无效</w:t>
      </w:r>
      <w:r>
        <w:rPr>
          <w:rFonts w:hint="eastAsia" w:ascii="仿宋" w:hAnsi="仿宋" w:eastAsia="仿宋" w:cs="仿宋"/>
          <w:color w:val="auto"/>
        </w:rPr>
        <w:t>。如本项目包含的配套货物属于品目清单内非标注“★”的产品时，应优先采购，具体详见“第四章 评审程序和评定成交的标准”。</w:t>
      </w:r>
    </w:p>
    <w:p w14:paraId="1A2BF444">
      <w:pPr>
        <w:spacing w:line="440" w:lineRule="exact"/>
        <w:ind w:left="-10" w:leftChars="-5" w:right="2" w:rightChars="1" w:firstLine="422" w:firstLineChars="200"/>
        <w:rPr>
          <w:rFonts w:hint="eastAsia" w:ascii="仿宋" w:hAnsi="仿宋" w:eastAsia="仿宋" w:cs="仿宋"/>
          <w:b/>
          <w:bCs/>
          <w:color w:val="auto"/>
        </w:rPr>
      </w:pPr>
      <w:r>
        <w:rPr>
          <w:rFonts w:hint="eastAsia" w:ascii="仿宋" w:hAnsi="仿宋" w:eastAsia="仿宋" w:cs="仿宋"/>
          <w:b/>
          <w:bCs/>
          <w:color w:val="auto"/>
        </w:rPr>
        <w:t>（3）服务项目中伴随的货物包含列入《网络关键设备和网络安全专用产品目录》的网络安全专产品，应当按照《信息安全技术网络安全专用产品安全技术要求》等相关国家标准的强制性要求，提供具备资格的机构安全认证合格或者安全检测证明材料《加盖投标人公章)，否则投标无效。</w:t>
      </w:r>
    </w:p>
    <w:p w14:paraId="2346840F">
      <w:pPr>
        <w:spacing w:line="440" w:lineRule="exact"/>
        <w:ind w:left="-10" w:leftChars="-5" w:right="2" w:rightChars="1" w:firstLine="422" w:firstLineChars="200"/>
        <w:rPr>
          <w:rFonts w:hint="eastAsia" w:ascii="仿宋" w:hAnsi="仿宋" w:eastAsia="仿宋" w:cs="仿宋"/>
          <w:b/>
          <w:bCs/>
          <w:color w:val="auto"/>
        </w:rPr>
      </w:pPr>
      <w:r>
        <w:rPr>
          <w:rFonts w:hint="eastAsia" w:ascii="仿宋" w:hAnsi="仿宋" w:eastAsia="仿宋" w:cs="仿宋"/>
          <w:b/>
          <w:bCs/>
          <w:color w:val="auto"/>
        </w:rPr>
        <w:t>2.“实质性要求”是指采购需求中带“▲”的条款或者不能负偏离的条款或者已经指明不满足按投标无效处理的条款。</w:t>
      </w:r>
    </w:p>
    <w:p w14:paraId="6345057E">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3.采购需求中出现的品牌、型号或者生产供应商仅起参考作用，不属于指定品牌、型号或者生产供应商的情形。供应商可参照或者选用其他相当的品牌、型号或者生产供应商替代。</w:t>
      </w:r>
    </w:p>
    <w:p w14:paraId="69F0AF01">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4.供应商应根据自身实际情况如实响应招标文件，并提供相关证明材料。对于重要技术条款或技术参数应当在投标文件中提供技术支持资料，技术支持资料以招标文件中规定的形式为准，否则将视为无效技术支持资料。</w:t>
      </w:r>
    </w:p>
    <w:p w14:paraId="51769958">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5.供应商必须自行为其投标产品侵犯他人的知识产权或者专利成果的行为承担相应法律责任。</w:t>
      </w:r>
    </w:p>
    <w:p w14:paraId="4DE5B8F5">
      <w:pPr>
        <w:spacing w:line="440" w:lineRule="exact"/>
        <w:ind w:left="-10" w:leftChars="-5" w:right="2" w:rightChars="1" w:firstLine="420" w:firstLineChars="200"/>
        <w:rPr>
          <w:rFonts w:hint="eastAsia" w:ascii="仿宋" w:hAnsi="仿宋" w:eastAsia="仿宋" w:cs="仿宋"/>
          <w:color w:val="auto"/>
        </w:rPr>
      </w:pPr>
      <w:r>
        <w:rPr>
          <w:rFonts w:hint="eastAsia" w:ascii="仿宋" w:hAnsi="仿宋" w:eastAsia="仿宋" w:cs="仿宋"/>
          <w:color w:val="auto"/>
        </w:rPr>
        <w:t>6.服务内容及要求中涉及的国家标准规范如有最新版的按最新版执行。</w:t>
      </w:r>
    </w:p>
    <w:p w14:paraId="00F56FBE">
      <w:pPr>
        <w:spacing w:line="440" w:lineRule="exact"/>
        <w:ind w:left="-10" w:leftChars="-5" w:right="2" w:rightChars="1" w:firstLine="422" w:firstLineChars="200"/>
        <w:rPr>
          <w:rFonts w:hint="eastAsia" w:ascii="仿宋" w:hAnsi="仿宋" w:eastAsia="仿宋" w:cs="仿宋"/>
          <w:b/>
          <w:bCs/>
          <w:color w:val="auto"/>
        </w:rPr>
      </w:pPr>
      <w:r>
        <w:rPr>
          <w:rFonts w:hint="eastAsia" w:ascii="仿宋" w:hAnsi="仿宋" w:eastAsia="仿宋" w:cs="仿宋"/>
          <w:b/>
          <w:bCs/>
          <w:color w:val="auto"/>
        </w:rPr>
        <w:t>7.采购标的对应的中小企业划分标准所属行业：其他未列明行业</w:t>
      </w:r>
    </w:p>
    <w:p w14:paraId="62CC6C3E">
      <w:pPr>
        <w:spacing w:line="440" w:lineRule="exact"/>
        <w:ind w:left="-10" w:leftChars="-5" w:right="2" w:rightChars="1" w:firstLine="420" w:firstLineChars="200"/>
        <w:rPr>
          <w:rFonts w:hint="eastAsia" w:ascii="仿宋" w:hAnsi="仿宋" w:eastAsia="仿宋" w:cs="仿宋"/>
          <w:color w:val="auto"/>
        </w:rPr>
      </w:pPr>
    </w:p>
    <w:p w14:paraId="57616469">
      <w:pPr>
        <w:spacing w:line="440" w:lineRule="exact"/>
        <w:ind w:left="-10" w:leftChars="-5" w:right="2" w:rightChars="1" w:firstLine="420" w:firstLineChars="200"/>
        <w:rPr>
          <w:rFonts w:hint="eastAsia" w:ascii="仿宋" w:hAnsi="仿宋" w:eastAsia="仿宋" w:cs="仿宋"/>
          <w:color w:val="auto"/>
        </w:rPr>
      </w:pPr>
    </w:p>
    <w:p w14:paraId="4E55E5F0">
      <w:pPr>
        <w:rPr>
          <w:rFonts w:hint="eastAsia" w:ascii="仿宋" w:hAnsi="仿宋" w:eastAsia="仿宋" w:cs="仿宋"/>
          <w:color w:val="auto"/>
          <w:sz w:val="24"/>
        </w:rPr>
      </w:pPr>
      <w:r>
        <w:rPr>
          <w:rFonts w:hint="eastAsia" w:ascii="仿宋" w:hAnsi="仿宋" w:eastAsia="仿宋" w:cs="仿宋"/>
          <w:color w:val="auto"/>
          <w:sz w:val="28"/>
          <w:szCs w:val="28"/>
        </w:rPr>
        <w:t>1分标：</w:t>
      </w:r>
      <w:r>
        <w:rPr>
          <w:rFonts w:hint="eastAsia" w:ascii="仿宋" w:hAnsi="仿宋" w:eastAsia="仿宋"/>
          <w:color w:val="auto"/>
          <w:sz w:val="28"/>
          <w:szCs w:val="28"/>
          <w:u w:val="single"/>
        </w:rPr>
        <w:t>广西科技馆常设展厅局部改造服务项目</w:t>
      </w:r>
    </w:p>
    <w:p w14:paraId="50630134">
      <w:pPr>
        <w:pStyle w:val="38"/>
        <w:adjustRightInd w:val="0"/>
        <w:snapToGrid w:val="0"/>
        <w:ind w:firstLine="413" w:firstLineChars="196"/>
        <w:rPr>
          <w:rFonts w:hint="eastAsia" w:ascii="宋体" w:hAnsi="宋体"/>
          <w:b/>
          <w:color w:val="auto"/>
          <w:sz w:val="21"/>
          <w:szCs w:val="21"/>
        </w:rPr>
      </w:pPr>
    </w:p>
    <w:p w14:paraId="0131F9A4">
      <w:pPr>
        <w:pStyle w:val="38"/>
        <w:adjustRightInd w:val="0"/>
        <w:snapToGrid w:val="0"/>
        <w:ind w:firstLine="413" w:firstLineChars="196"/>
        <w:rPr>
          <w:rFonts w:hint="eastAsia" w:ascii="宋体" w:hAnsi="宋体"/>
          <w:b/>
          <w:color w:val="auto"/>
          <w:sz w:val="21"/>
          <w:szCs w:val="21"/>
        </w:rPr>
      </w:pPr>
    </w:p>
    <w:p w14:paraId="7542C292">
      <w:pPr>
        <w:jc w:val="center"/>
        <w:rPr>
          <w:b/>
          <w:bCs/>
          <w:color w:val="auto"/>
          <w:sz w:val="36"/>
          <w:szCs w:val="36"/>
        </w:rPr>
      </w:pPr>
      <w:r>
        <w:rPr>
          <w:rFonts w:hint="eastAsia"/>
          <w:b/>
          <w:bCs/>
          <w:color w:val="auto"/>
          <w:sz w:val="36"/>
          <w:szCs w:val="36"/>
        </w:rPr>
        <w:t>第一部分 项目基本情况</w:t>
      </w:r>
    </w:p>
    <w:p w14:paraId="1D2F4B83">
      <w:pPr>
        <w:adjustRightInd w:val="0"/>
        <w:snapToGrid w:val="0"/>
        <w:spacing w:line="400" w:lineRule="exact"/>
        <w:ind w:firstLine="413" w:firstLineChars="196"/>
        <w:rPr>
          <w:rFonts w:hint="eastAsia" w:ascii="宋体" w:hAnsi="宋体" w:cs="宋体"/>
          <w:b/>
          <w:color w:val="auto"/>
          <w:kern w:val="0"/>
          <w:szCs w:val="21"/>
        </w:rPr>
      </w:pPr>
      <w:r>
        <w:rPr>
          <w:rFonts w:hint="eastAsia" w:ascii="宋体" w:hAnsi="宋体" w:cs="宋体"/>
          <w:b/>
          <w:color w:val="auto"/>
          <w:kern w:val="0"/>
          <w:szCs w:val="21"/>
        </w:rPr>
        <w:t>1.项目背景：</w:t>
      </w:r>
    </w:p>
    <w:p w14:paraId="3A7091F8">
      <w:pPr>
        <w:pStyle w:val="38"/>
        <w:adjustRightInd w:val="0"/>
        <w:snapToGrid w:val="0"/>
        <w:spacing w:after="0" w:line="400" w:lineRule="exact"/>
        <w:ind w:left="0" w:leftChars="0" w:firstLine="420" w:firstLineChars="200"/>
        <w:rPr>
          <w:rFonts w:hint="eastAsia" w:ascii="宋体" w:hAnsi="宋体" w:cs="宋体"/>
          <w:color w:val="auto"/>
          <w:sz w:val="21"/>
          <w:szCs w:val="21"/>
        </w:rPr>
      </w:pPr>
      <w:r>
        <w:rPr>
          <w:rFonts w:hint="eastAsia" w:ascii="宋体" w:hAnsi="宋体" w:cs="宋体"/>
          <w:color w:val="auto"/>
          <w:sz w:val="21"/>
          <w:szCs w:val="21"/>
        </w:rPr>
        <w:t>为进一步增强场馆科普展示效果，提升科普服务能力，按照广西科技馆常设科普展厅局部改造规划，计划以东盟国家的特色建筑、历史风貌为基础内容打造新的常设东盟主题科普展区。本改造项目位于广西科技馆常设科普展厅四层西侧，规划面积约1000平方米（实际面积以现场测量为准）。</w:t>
      </w:r>
    </w:p>
    <w:p w14:paraId="0B9CA579">
      <w:pPr>
        <w:pStyle w:val="38"/>
        <w:adjustRightInd w:val="0"/>
        <w:snapToGrid w:val="0"/>
        <w:ind w:left="0" w:leftChars="0"/>
        <w:jc w:val="center"/>
        <w:rPr>
          <w:rFonts w:hint="eastAsia" w:ascii="宋体" w:hAnsi="宋体" w:cs="宋体"/>
          <w:color w:val="auto"/>
          <w:sz w:val="21"/>
          <w:szCs w:val="21"/>
        </w:rPr>
      </w:pPr>
      <w:r>
        <w:rPr>
          <w:color w:val="auto"/>
        </w:rPr>
        <w:drawing>
          <wp:inline distT="0" distB="0" distL="0" distR="0">
            <wp:extent cx="5442585" cy="2209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2267"/>
                    <a:stretch>
                      <a:fillRect/>
                    </a:stretch>
                  </pic:blipFill>
                  <pic:spPr>
                    <a:xfrm>
                      <a:off x="0" y="0"/>
                      <a:ext cx="5442585" cy="2209165"/>
                    </a:xfrm>
                    <a:prstGeom prst="rect">
                      <a:avLst/>
                    </a:prstGeom>
                    <a:noFill/>
                    <a:ln>
                      <a:noFill/>
                    </a:ln>
                  </pic:spPr>
                </pic:pic>
              </a:graphicData>
            </a:graphic>
          </wp:inline>
        </w:drawing>
      </w:r>
    </w:p>
    <w:p w14:paraId="1384C649">
      <w:pPr>
        <w:pStyle w:val="38"/>
        <w:adjustRightInd w:val="0"/>
        <w:snapToGrid w:val="0"/>
        <w:rPr>
          <w:rFonts w:hint="eastAsia" w:ascii="宋体" w:hAnsi="宋体" w:cs="宋体"/>
          <w:color w:val="auto"/>
          <w:sz w:val="21"/>
          <w:szCs w:val="21"/>
        </w:rPr>
      </w:pPr>
    </w:p>
    <w:p w14:paraId="67B7A241">
      <w:pPr>
        <w:pStyle w:val="38"/>
        <w:adjustRightInd w:val="0"/>
        <w:snapToGrid w:val="0"/>
        <w:spacing w:line="400" w:lineRule="exact"/>
        <w:ind w:firstLine="422"/>
        <w:rPr>
          <w:rFonts w:hint="eastAsia" w:ascii="宋体" w:hAnsi="宋体" w:cs="宋体"/>
          <w:b/>
          <w:color w:val="auto"/>
          <w:sz w:val="21"/>
          <w:szCs w:val="21"/>
        </w:rPr>
      </w:pPr>
      <w:r>
        <w:rPr>
          <w:rFonts w:hint="eastAsia" w:ascii="宋体" w:hAnsi="宋体" w:cs="宋体"/>
          <w:b/>
          <w:color w:val="auto"/>
          <w:sz w:val="21"/>
          <w:szCs w:val="21"/>
        </w:rPr>
        <w:t>2.项目内容：</w:t>
      </w:r>
    </w:p>
    <w:tbl>
      <w:tblPr>
        <w:tblStyle w:val="47"/>
        <w:tblW w:w="0" w:type="auto"/>
        <w:tblInd w:w="7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4888"/>
        <w:gridCol w:w="1370"/>
      </w:tblGrid>
      <w:tr w14:paraId="6EA6A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6" w:type="dxa"/>
            <w:tcBorders>
              <w:top w:val="single" w:color="auto" w:sz="4" w:space="0"/>
              <w:left w:val="single" w:color="auto" w:sz="4" w:space="0"/>
              <w:bottom w:val="single" w:color="auto" w:sz="4" w:space="0"/>
              <w:right w:val="single" w:color="auto" w:sz="4" w:space="0"/>
            </w:tcBorders>
            <w:vAlign w:val="center"/>
          </w:tcPr>
          <w:p w14:paraId="0AD87940">
            <w:pPr>
              <w:snapToGrid w:val="0"/>
              <w:spacing w:line="380" w:lineRule="exact"/>
              <w:jc w:val="center"/>
              <w:rPr>
                <w:rFonts w:hint="eastAsia" w:ascii="宋体" w:hAnsi="宋体" w:cs="宋体"/>
                <w:color w:val="auto"/>
                <w:szCs w:val="21"/>
              </w:rPr>
            </w:pPr>
            <w:r>
              <w:rPr>
                <w:rFonts w:hint="eastAsia" w:ascii="宋体" w:hAnsi="宋体" w:cs="宋体"/>
                <w:color w:val="auto"/>
                <w:szCs w:val="21"/>
              </w:rPr>
              <w:t>序号</w:t>
            </w:r>
          </w:p>
        </w:tc>
        <w:tc>
          <w:tcPr>
            <w:tcW w:w="4888" w:type="dxa"/>
            <w:tcBorders>
              <w:top w:val="single" w:color="auto" w:sz="4" w:space="0"/>
              <w:left w:val="single" w:color="auto" w:sz="4" w:space="0"/>
              <w:bottom w:val="single" w:color="auto" w:sz="4" w:space="0"/>
              <w:right w:val="single" w:color="auto" w:sz="4" w:space="0"/>
            </w:tcBorders>
            <w:vAlign w:val="center"/>
          </w:tcPr>
          <w:p w14:paraId="2DB0335D">
            <w:pPr>
              <w:snapToGrid w:val="0"/>
              <w:spacing w:line="38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1370" w:type="dxa"/>
            <w:tcBorders>
              <w:top w:val="single" w:color="auto" w:sz="4" w:space="0"/>
              <w:left w:val="single" w:color="auto" w:sz="4" w:space="0"/>
              <w:bottom w:val="single" w:color="auto" w:sz="4" w:space="0"/>
              <w:right w:val="single" w:color="auto" w:sz="4" w:space="0"/>
            </w:tcBorders>
            <w:vAlign w:val="center"/>
          </w:tcPr>
          <w:p w14:paraId="5BAF4994">
            <w:pPr>
              <w:snapToGrid w:val="0"/>
              <w:spacing w:line="380" w:lineRule="exact"/>
              <w:jc w:val="center"/>
              <w:rPr>
                <w:rFonts w:hint="eastAsia" w:ascii="宋体" w:hAnsi="宋体" w:cs="宋体"/>
                <w:color w:val="auto"/>
                <w:szCs w:val="21"/>
              </w:rPr>
            </w:pPr>
            <w:r>
              <w:rPr>
                <w:rFonts w:hint="eastAsia" w:ascii="宋体" w:hAnsi="宋体" w:cs="宋体"/>
                <w:color w:val="auto"/>
                <w:szCs w:val="21"/>
              </w:rPr>
              <w:t>数量及单位</w:t>
            </w:r>
          </w:p>
        </w:tc>
      </w:tr>
      <w:tr w14:paraId="4358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6" w:type="dxa"/>
            <w:tcBorders>
              <w:top w:val="single" w:color="auto" w:sz="4" w:space="0"/>
              <w:left w:val="single" w:color="auto" w:sz="4" w:space="0"/>
              <w:bottom w:val="single" w:color="auto" w:sz="4" w:space="0"/>
              <w:right w:val="single" w:color="auto" w:sz="4" w:space="0"/>
            </w:tcBorders>
            <w:vAlign w:val="center"/>
          </w:tcPr>
          <w:p w14:paraId="0A8618C8">
            <w:pPr>
              <w:snapToGrid w:val="0"/>
              <w:spacing w:line="380" w:lineRule="exact"/>
              <w:jc w:val="center"/>
              <w:rPr>
                <w:rFonts w:hint="eastAsia" w:ascii="宋体" w:hAnsi="宋体" w:cs="宋体"/>
                <w:color w:val="auto"/>
                <w:szCs w:val="21"/>
              </w:rPr>
            </w:pPr>
            <w:r>
              <w:rPr>
                <w:rFonts w:hint="eastAsia" w:ascii="宋体" w:hAnsi="宋体" w:cs="宋体"/>
                <w:color w:val="auto"/>
                <w:kern w:val="0"/>
                <w:szCs w:val="21"/>
              </w:rPr>
              <w:t>1</w:t>
            </w:r>
          </w:p>
        </w:tc>
        <w:tc>
          <w:tcPr>
            <w:tcW w:w="4888" w:type="dxa"/>
            <w:tcBorders>
              <w:top w:val="single" w:color="auto" w:sz="4" w:space="0"/>
              <w:left w:val="single" w:color="auto" w:sz="4" w:space="0"/>
              <w:bottom w:val="single" w:color="auto" w:sz="4" w:space="0"/>
              <w:right w:val="single" w:color="auto" w:sz="4" w:space="0"/>
            </w:tcBorders>
            <w:vAlign w:val="center"/>
          </w:tcPr>
          <w:p w14:paraId="55715BBD">
            <w:pPr>
              <w:snapToGrid w:val="0"/>
              <w:spacing w:line="380" w:lineRule="exact"/>
              <w:jc w:val="center"/>
              <w:rPr>
                <w:rFonts w:hint="eastAsia" w:ascii="宋体" w:hAnsi="宋体" w:cs="宋体"/>
                <w:color w:val="auto"/>
                <w:szCs w:val="21"/>
              </w:rPr>
            </w:pPr>
            <w:r>
              <w:rPr>
                <w:rFonts w:hint="eastAsia" w:ascii="宋体" w:hAnsi="宋体" w:cs="宋体"/>
                <w:bCs/>
                <w:color w:val="auto"/>
                <w:szCs w:val="21"/>
              </w:rPr>
              <w:t>广西科技馆常设展厅局部改造服务项目</w:t>
            </w:r>
          </w:p>
        </w:tc>
        <w:tc>
          <w:tcPr>
            <w:tcW w:w="1370" w:type="dxa"/>
            <w:tcBorders>
              <w:top w:val="single" w:color="auto" w:sz="4" w:space="0"/>
              <w:left w:val="single" w:color="auto" w:sz="4" w:space="0"/>
              <w:bottom w:val="single" w:color="auto" w:sz="4" w:space="0"/>
              <w:right w:val="single" w:color="auto" w:sz="4" w:space="0"/>
            </w:tcBorders>
            <w:vAlign w:val="center"/>
          </w:tcPr>
          <w:p w14:paraId="78D94C81">
            <w:pPr>
              <w:spacing w:line="380" w:lineRule="exact"/>
              <w:jc w:val="center"/>
              <w:rPr>
                <w:rFonts w:hint="eastAsia" w:ascii="宋体" w:hAnsi="宋体" w:cs="宋体"/>
                <w:color w:val="auto"/>
                <w:szCs w:val="21"/>
              </w:rPr>
            </w:pPr>
            <w:r>
              <w:rPr>
                <w:rFonts w:hint="eastAsia" w:ascii="宋体" w:hAnsi="宋体" w:cs="宋体"/>
                <w:color w:val="auto"/>
                <w:szCs w:val="21"/>
              </w:rPr>
              <w:t>1项</w:t>
            </w:r>
          </w:p>
        </w:tc>
      </w:tr>
    </w:tbl>
    <w:p w14:paraId="4641A9A1">
      <w:pPr>
        <w:pStyle w:val="38"/>
        <w:adjustRightInd w:val="0"/>
        <w:snapToGrid w:val="0"/>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该改造项目主要包含：展区方案设计及深化、布展环境及大型造型类展项设计与实施、大型核心展品设计及制作、中小型互动展品设计及制作、附属开发等。</w:t>
      </w:r>
    </w:p>
    <w:p w14:paraId="601562FF">
      <w:pPr>
        <w:pStyle w:val="38"/>
        <w:adjustRightInd w:val="0"/>
        <w:snapToGrid w:val="0"/>
        <w:spacing w:line="400" w:lineRule="exact"/>
        <w:ind w:firstLine="422"/>
        <w:rPr>
          <w:rFonts w:hint="eastAsia" w:ascii="宋体" w:hAnsi="宋体" w:cs="宋体"/>
          <w:b/>
          <w:color w:val="auto"/>
          <w:sz w:val="21"/>
          <w:szCs w:val="21"/>
        </w:rPr>
      </w:pPr>
    </w:p>
    <w:p w14:paraId="2F83C4DA">
      <w:pPr>
        <w:jc w:val="center"/>
        <w:rPr>
          <w:b/>
          <w:bCs/>
          <w:color w:val="auto"/>
          <w:sz w:val="36"/>
          <w:szCs w:val="36"/>
        </w:rPr>
      </w:pPr>
    </w:p>
    <w:p w14:paraId="6D23AE78">
      <w:pPr>
        <w:jc w:val="center"/>
        <w:rPr>
          <w:b/>
          <w:bCs/>
          <w:color w:val="auto"/>
          <w:sz w:val="36"/>
          <w:szCs w:val="36"/>
        </w:rPr>
      </w:pPr>
      <w:r>
        <w:rPr>
          <w:rFonts w:hint="eastAsia"/>
          <w:b/>
          <w:bCs/>
          <w:color w:val="auto"/>
          <w:sz w:val="36"/>
          <w:szCs w:val="36"/>
        </w:rPr>
        <w:t>第二部分  技术要求</w:t>
      </w:r>
    </w:p>
    <w:p w14:paraId="0CE9122E">
      <w:pPr>
        <w:jc w:val="center"/>
        <w:rPr>
          <w:rFonts w:hint="eastAsia" w:ascii="宋体" w:hAnsi="宋体" w:cs="宋体"/>
          <w:b/>
          <w:color w:val="auto"/>
          <w:szCs w:val="21"/>
        </w:rPr>
      </w:pPr>
    </w:p>
    <w:p w14:paraId="646B276E">
      <w:pPr>
        <w:jc w:val="center"/>
        <w:rPr>
          <w:rFonts w:hint="eastAsia" w:ascii="仿宋" w:hAnsi="仿宋" w:eastAsia="仿宋" w:cs="仿宋"/>
          <w:color w:val="auto"/>
          <w:sz w:val="24"/>
        </w:rPr>
      </w:pPr>
      <w:r>
        <w:rPr>
          <w:rFonts w:hint="eastAsia" w:ascii="宋体" w:hAnsi="宋体" w:cs="宋体"/>
          <w:b/>
          <w:color w:val="auto"/>
          <w:szCs w:val="21"/>
        </w:rPr>
        <w:t>一、广西科技馆常设展厅局部改造服务项目方案设计和布展实施要求</w:t>
      </w:r>
    </w:p>
    <w:tbl>
      <w:tblPr>
        <w:tblStyle w:val="47"/>
        <w:tblW w:w="4798" w:type="pct"/>
        <w:jc w:val="center"/>
        <w:tblLayout w:type="autofit"/>
        <w:tblCellMar>
          <w:top w:w="0" w:type="dxa"/>
          <w:left w:w="108" w:type="dxa"/>
          <w:bottom w:w="0" w:type="dxa"/>
          <w:right w:w="108" w:type="dxa"/>
        </w:tblCellMar>
      </w:tblPr>
      <w:tblGrid>
        <w:gridCol w:w="458"/>
        <w:gridCol w:w="1741"/>
        <w:gridCol w:w="5562"/>
        <w:gridCol w:w="887"/>
        <w:gridCol w:w="808"/>
      </w:tblGrid>
      <w:tr w14:paraId="33F939F3">
        <w:tblPrEx>
          <w:tblCellMar>
            <w:top w:w="0" w:type="dxa"/>
            <w:left w:w="108" w:type="dxa"/>
            <w:bottom w:w="0" w:type="dxa"/>
            <w:right w:w="108" w:type="dxa"/>
          </w:tblCellMar>
        </w:tblPrEx>
        <w:trPr>
          <w:trHeight w:val="64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DD4940E">
            <w:pPr>
              <w:snapToGrid w:val="0"/>
              <w:spacing w:line="380" w:lineRule="exact"/>
              <w:jc w:val="center"/>
              <w:textAlignment w:val="center"/>
              <w:rPr>
                <w:rFonts w:hint="eastAsia" w:ascii="宋体" w:hAnsi="宋体" w:cs="微软雅黑"/>
                <w:b/>
                <w:bCs/>
                <w:color w:val="auto"/>
                <w:szCs w:val="21"/>
              </w:rPr>
            </w:pPr>
            <w:r>
              <w:rPr>
                <w:rFonts w:hint="eastAsia" w:ascii="宋体" w:hAnsi="宋体" w:cs="微软雅黑"/>
                <w:b/>
                <w:bCs/>
                <w:color w:val="auto"/>
                <w:szCs w:val="21"/>
                <w:lang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F40C8E8">
            <w:pPr>
              <w:snapToGrid w:val="0"/>
              <w:spacing w:line="380" w:lineRule="exact"/>
              <w:jc w:val="center"/>
              <w:textAlignment w:val="center"/>
              <w:rPr>
                <w:rFonts w:hint="eastAsia" w:ascii="宋体" w:hAnsi="宋体" w:cs="微软雅黑"/>
                <w:b/>
                <w:bCs/>
                <w:color w:val="auto"/>
                <w:szCs w:val="21"/>
              </w:rPr>
            </w:pPr>
            <w:r>
              <w:rPr>
                <w:rFonts w:hint="eastAsia" w:ascii="宋体" w:hAnsi="宋体" w:cs="宋体"/>
                <w:b/>
                <w:color w:val="auto"/>
                <w:kern w:val="0"/>
                <w:szCs w:val="21"/>
              </w:rPr>
              <w:t>分项服务名称</w:t>
            </w:r>
          </w:p>
        </w:tc>
        <w:tc>
          <w:tcPr>
            <w:tcW w:w="294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36854CE">
            <w:pPr>
              <w:snapToGrid w:val="0"/>
              <w:spacing w:line="380" w:lineRule="exact"/>
              <w:jc w:val="center"/>
              <w:textAlignment w:val="center"/>
              <w:rPr>
                <w:rFonts w:hint="eastAsia" w:ascii="宋体" w:hAnsi="宋体" w:cs="微软雅黑"/>
                <w:b/>
                <w:bCs/>
                <w:color w:val="auto"/>
                <w:szCs w:val="21"/>
              </w:rPr>
            </w:pPr>
            <w:r>
              <w:rPr>
                <w:rFonts w:hint="eastAsia" w:ascii="宋体" w:hAnsi="宋体" w:cs="宋体"/>
                <w:b/>
                <w:color w:val="auto"/>
                <w:kern w:val="0"/>
                <w:szCs w:val="21"/>
              </w:rPr>
              <w:t>技术要求</w:t>
            </w:r>
          </w:p>
        </w:tc>
        <w:tc>
          <w:tcPr>
            <w:tcW w:w="46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48A4B95">
            <w:pPr>
              <w:snapToGrid w:val="0"/>
              <w:spacing w:line="380" w:lineRule="exact"/>
              <w:jc w:val="center"/>
              <w:textAlignment w:val="center"/>
              <w:rPr>
                <w:rFonts w:hint="eastAsia" w:ascii="宋体" w:hAnsi="宋体" w:cs="微软雅黑"/>
                <w:b/>
                <w:bCs/>
                <w:color w:val="auto"/>
                <w:szCs w:val="21"/>
              </w:rPr>
            </w:pPr>
            <w:r>
              <w:rPr>
                <w:rFonts w:hint="eastAsia" w:ascii="宋体" w:hAnsi="宋体" w:cs="微软雅黑"/>
                <w:b/>
                <w:bCs/>
                <w:color w:val="auto"/>
                <w:szCs w:val="21"/>
                <w:lang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88290C9">
            <w:pPr>
              <w:tabs>
                <w:tab w:val="left" w:pos="420"/>
              </w:tabs>
              <w:snapToGrid w:val="0"/>
              <w:spacing w:line="380" w:lineRule="exact"/>
              <w:jc w:val="center"/>
              <w:textAlignment w:val="center"/>
              <w:rPr>
                <w:rFonts w:hint="eastAsia" w:ascii="宋体" w:hAnsi="宋体" w:cs="微软雅黑"/>
                <w:b/>
                <w:bCs/>
                <w:color w:val="auto"/>
                <w:szCs w:val="21"/>
              </w:rPr>
            </w:pPr>
            <w:r>
              <w:rPr>
                <w:rFonts w:hint="eastAsia" w:ascii="宋体" w:hAnsi="宋体" w:cs="微软雅黑"/>
                <w:b/>
                <w:bCs/>
                <w:color w:val="auto"/>
                <w:szCs w:val="21"/>
                <w:lang w:bidi="ar"/>
              </w:rPr>
              <w:t>数量</w:t>
            </w:r>
          </w:p>
        </w:tc>
      </w:tr>
      <w:tr w14:paraId="0C5D31D6">
        <w:tblPrEx>
          <w:tblCellMar>
            <w:top w:w="0" w:type="dxa"/>
            <w:left w:w="108" w:type="dxa"/>
            <w:bottom w:w="0" w:type="dxa"/>
            <w:right w:w="108" w:type="dxa"/>
          </w:tblCellMar>
        </w:tblPrEx>
        <w:trPr>
          <w:trHeight w:val="885"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7B30EB54">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20" w:type="pct"/>
            <w:tcBorders>
              <w:top w:val="single" w:color="000000" w:sz="4" w:space="0"/>
              <w:left w:val="single" w:color="000000" w:sz="4" w:space="0"/>
              <w:bottom w:val="single" w:color="000000" w:sz="4" w:space="0"/>
              <w:right w:val="single" w:color="000000" w:sz="4" w:space="0"/>
            </w:tcBorders>
            <w:vAlign w:val="center"/>
          </w:tcPr>
          <w:p w14:paraId="1EC0DD5E">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展区方案设计及深化</w:t>
            </w:r>
          </w:p>
        </w:tc>
        <w:tc>
          <w:tcPr>
            <w:tcW w:w="2940" w:type="pct"/>
            <w:tcBorders>
              <w:top w:val="single" w:color="000000" w:sz="4" w:space="0"/>
              <w:left w:val="single" w:color="000000" w:sz="4" w:space="0"/>
              <w:bottom w:val="single" w:color="000000" w:sz="4" w:space="0"/>
              <w:right w:val="single" w:color="000000" w:sz="4" w:space="0"/>
            </w:tcBorders>
            <w:vAlign w:val="center"/>
          </w:tcPr>
          <w:p w14:paraId="67F92FB2">
            <w:pPr>
              <w:snapToGrid w:val="0"/>
              <w:spacing w:line="380" w:lineRule="exact"/>
              <w:jc w:val="left"/>
              <w:rPr>
                <w:rFonts w:hint="eastAsia" w:ascii="宋体" w:hAnsi="宋体" w:cs="宋体"/>
                <w:color w:val="auto"/>
                <w:kern w:val="0"/>
                <w:szCs w:val="21"/>
              </w:rPr>
            </w:pPr>
            <w:r>
              <w:rPr>
                <w:rFonts w:hint="eastAsia" w:ascii="宋体" w:hAnsi="宋体" w:cs="宋体"/>
                <w:color w:val="auto"/>
                <w:kern w:val="0"/>
                <w:szCs w:val="21"/>
              </w:rPr>
              <w:t>1、基于招标人提供的建筑条件、项目需求说明和项目预算，完成“东盟主题科普展区”方案设计及设计深化、展项设计以及布展施工方案，提供设计说明、效果图、施工图，以及材料设施表、工作量清单和预算表等技术文件；</w:t>
            </w:r>
          </w:p>
          <w:p w14:paraId="5DA7A39E">
            <w:pPr>
              <w:snapToGrid w:val="0"/>
              <w:spacing w:line="380" w:lineRule="exact"/>
              <w:jc w:val="left"/>
              <w:rPr>
                <w:rFonts w:hint="eastAsia" w:ascii="宋体" w:hAnsi="宋体" w:cs="宋体"/>
                <w:color w:val="auto"/>
                <w:kern w:val="0"/>
                <w:szCs w:val="21"/>
              </w:rPr>
            </w:pPr>
            <w:r>
              <w:rPr>
                <w:rFonts w:hint="eastAsia" w:ascii="宋体" w:hAnsi="宋体" w:cs="宋体"/>
                <w:color w:val="auto"/>
                <w:kern w:val="0"/>
                <w:szCs w:val="21"/>
              </w:rPr>
              <w:t>2、展区平面布置要求各功能区大小合适、位置合理，展品展项及设备布置疏密有度，参观人流动线应符合项目参观及接待相关要求，消防及疏散符合相关法律法规要求。空间布置要求主题创意鲜明、形式表达完整、艺术氛围突出、工艺合理、可行性、规范性强。图文版面设计要求信息传达清晰，内容准确，对各级标题、图版进行设计，明确字体、字号、材料、色彩等基本信息。</w:t>
            </w:r>
          </w:p>
          <w:p w14:paraId="033CCA15">
            <w:pPr>
              <w:spacing w:line="380" w:lineRule="exact"/>
              <w:rPr>
                <w:color w:val="auto"/>
              </w:rPr>
            </w:pPr>
            <w:r>
              <w:rPr>
                <w:rFonts w:hint="eastAsia" w:ascii="宋体" w:hAnsi="宋体" w:cs="宋体"/>
                <w:color w:val="auto"/>
                <w:kern w:val="0"/>
                <w:szCs w:val="21"/>
              </w:rPr>
              <w:t>3、展区环境布置要求艺术表现方式和科技展现手段要力求创新，场景艺术设计构思要立意准确，构图布局合理，实时特征明显，制作工艺先进。在对展陈空间结构、展览内容和参展展品分析研究的基础上，科学合理地划分各单元内容的展线安排、平面布局和面积分配，做到布局得当，分割有致；合理安排观众参观路线，做到展线流畅。供应商设计方案须经采购单位审核确认方可实施。</w:t>
            </w:r>
          </w:p>
        </w:tc>
        <w:tc>
          <w:tcPr>
            <w:tcW w:w="469" w:type="pct"/>
            <w:tcBorders>
              <w:top w:val="single" w:color="000000" w:sz="4" w:space="0"/>
              <w:left w:val="single" w:color="000000" w:sz="4" w:space="0"/>
              <w:bottom w:val="single" w:color="000000" w:sz="4" w:space="0"/>
              <w:right w:val="single" w:color="000000" w:sz="4" w:space="0"/>
            </w:tcBorders>
            <w:vAlign w:val="center"/>
          </w:tcPr>
          <w:p w14:paraId="4E212766">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68F14E7E">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r>
      <w:tr w14:paraId="1CCA71EC">
        <w:tblPrEx>
          <w:tblCellMar>
            <w:top w:w="0" w:type="dxa"/>
            <w:left w:w="108" w:type="dxa"/>
            <w:bottom w:w="0" w:type="dxa"/>
            <w:right w:w="108" w:type="dxa"/>
          </w:tblCellMar>
        </w:tblPrEx>
        <w:trPr>
          <w:trHeight w:val="816"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6E4D8E18">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20" w:type="pct"/>
            <w:tcBorders>
              <w:top w:val="single" w:color="000000" w:sz="4" w:space="0"/>
              <w:left w:val="single" w:color="000000" w:sz="4" w:space="0"/>
              <w:bottom w:val="single" w:color="000000" w:sz="4" w:space="0"/>
              <w:right w:val="single" w:color="000000" w:sz="4" w:space="0"/>
            </w:tcBorders>
            <w:vAlign w:val="center"/>
          </w:tcPr>
          <w:p w14:paraId="30512721">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布展环境及大型造型类展项设计与实施</w:t>
            </w:r>
          </w:p>
        </w:tc>
        <w:tc>
          <w:tcPr>
            <w:tcW w:w="2940" w:type="pct"/>
            <w:tcBorders>
              <w:top w:val="single" w:color="000000" w:sz="4" w:space="0"/>
              <w:left w:val="single" w:color="000000" w:sz="4" w:space="0"/>
              <w:bottom w:val="single" w:color="000000" w:sz="4" w:space="0"/>
              <w:right w:val="single" w:color="000000" w:sz="4" w:space="0"/>
            </w:tcBorders>
            <w:vAlign w:val="center"/>
          </w:tcPr>
          <w:p w14:paraId="3456F2EF">
            <w:pPr>
              <w:spacing w:line="380" w:lineRule="exact"/>
              <w:rPr>
                <w:rFonts w:hint="eastAsia" w:ascii="宋体" w:hAnsi="宋体" w:cs="宋体"/>
                <w:color w:val="auto"/>
                <w:kern w:val="0"/>
                <w:szCs w:val="21"/>
              </w:rPr>
            </w:pPr>
            <w:r>
              <w:rPr>
                <w:rFonts w:hint="eastAsia" w:ascii="宋体" w:hAnsi="宋体" w:cs="宋体"/>
                <w:color w:val="auto"/>
                <w:kern w:val="0"/>
                <w:szCs w:val="21"/>
              </w:rPr>
              <w:t>1、按照展区方案，完成布展空间环境氛围效果出图与描述；</w:t>
            </w:r>
          </w:p>
          <w:p w14:paraId="06B27B6B">
            <w:pPr>
              <w:spacing w:line="380" w:lineRule="exact"/>
              <w:rPr>
                <w:rFonts w:hint="eastAsia" w:ascii="宋体" w:hAnsi="宋体" w:cs="宋体"/>
                <w:color w:val="auto"/>
                <w:kern w:val="0"/>
                <w:szCs w:val="21"/>
              </w:rPr>
            </w:pPr>
            <w:r>
              <w:rPr>
                <w:rFonts w:hint="eastAsia" w:ascii="宋体" w:hAnsi="宋体" w:cs="宋体"/>
                <w:color w:val="auto"/>
                <w:kern w:val="0"/>
                <w:szCs w:val="21"/>
              </w:rPr>
              <w:t>2、按照展区方案，完成大型造型类展项设计与实施（含展区门头、展区分隔、背景造型、地面等设计与实施）；</w:t>
            </w:r>
          </w:p>
          <w:p w14:paraId="08355B04">
            <w:pPr>
              <w:spacing w:line="380" w:lineRule="exact"/>
              <w:rPr>
                <w:rFonts w:hint="eastAsia" w:ascii="宋体" w:hAnsi="宋体" w:cs="宋体"/>
                <w:color w:val="auto"/>
                <w:kern w:val="0"/>
                <w:szCs w:val="21"/>
              </w:rPr>
            </w:pPr>
            <w:r>
              <w:rPr>
                <w:rFonts w:hint="eastAsia" w:ascii="宋体" w:hAnsi="宋体" w:cs="宋体"/>
                <w:color w:val="auto"/>
                <w:kern w:val="0"/>
                <w:szCs w:val="21"/>
              </w:rPr>
              <w:t>3、灯光系统须营造契合主题的展览氛围，确保所有展项操作体验场所、所有图文版具有充足可靠的照明，灯具数量、照射角度可调，以适应不同的展场需求；音响系统布置安装必须避免相互干扰，采用定向扬声器单元、隔断等方式形成独立声场；布管布线原则上不得在展示区域地面上穿越，个别短距离地面穿越必须有硬防护；强电设施设备安装布置必须规范、安全、可靠，便于管理人员随时查验、监控；</w:t>
            </w:r>
          </w:p>
          <w:p w14:paraId="01F16333">
            <w:pPr>
              <w:spacing w:line="380" w:lineRule="exact"/>
              <w:jc w:val="left"/>
              <w:rPr>
                <w:color w:val="auto"/>
              </w:rPr>
            </w:pPr>
            <w:r>
              <w:rPr>
                <w:rFonts w:hint="eastAsia" w:ascii="宋体" w:hAnsi="宋体" w:cs="宋体"/>
                <w:color w:val="auto"/>
                <w:kern w:val="0"/>
                <w:szCs w:val="21"/>
              </w:rPr>
              <w:t>4、布展施工所使用的材料在运输、储存和施工过程中，必须采取有效保护措施防止损坏现场其他设备设施，防护材料必须选用阻燃材质，材料的保护设施应在工程竣工时拆除。布置施工中，严禁擅自改动建筑主体，承重结构或主要使用功能，严禁未经设计确认和有关部门的批准擅自拆改水、电、气、通讯等配套设施。布置施工应遵守有关环境保护的法律、法规，并应采取有效措施控制施工现场的各种粉尘、废弃物、噪声、振动等对周围环境造成的污染和危害。应遵守有关施工安全劳动保护防火和防毒的法律法规应建立相应的管理制度并应配备必要的设备器具和标识。</w:t>
            </w:r>
          </w:p>
        </w:tc>
        <w:tc>
          <w:tcPr>
            <w:tcW w:w="469" w:type="pct"/>
            <w:tcBorders>
              <w:top w:val="single" w:color="000000" w:sz="4" w:space="0"/>
              <w:left w:val="single" w:color="000000" w:sz="4" w:space="0"/>
              <w:bottom w:val="single" w:color="000000" w:sz="4" w:space="0"/>
              <w:right w:val="single" w:color="000000" w:sz="4" w:space="0"/>
            </w:tcBorders>
            <w:vAlign w:val="center"/>
          </w:tcPr>
          <w:p w14:paraId="24775E97">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12749024">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r>
      <w:tr w14:paraId="29CB1B48">
        <w:tblPrEx>
          <w:tblCellMar>
            <w:top w:w="0" w:type="dxa"/>
            <w:left w:w="108" w:type="dxa"/>
            <w:bottom w:w="0" w:type="dxa"/>
            <w:right w:w="108" w:type="dxa"/>
          </w:tblCellMar>
        </w:tblPrEx>
        <w:trPr>
          <w:trHeight w:val="862"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1D813118">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920" w:type="pct"/>
            <w:tcBorders>
              <w:top w:val="single" w:color="000000" w:sz="4" w:space="0"/>
              <w:left w:val="single" w:color="000000" w:sz="4" w:space="0"/>
              <w:bottom w:val="single" w:color="000000" w:sz="4" w:space="0"/>
              <w:right w:val="single" w:color="000000" w:sz="4" w:space="0"/>
            </w:tcBorders>
            <w:vAlign w:val="center"/>
          </w:tcPr>
          <w:p w14:paraId="00452EB4">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c>
          <w:tcPr>
            <w:tcW w:w="2940" w:type="pct"/>
            <w:tcBorders>
              <w:top w:val="single" w:color="000000" w:sz="4" w:space="0"/>
              <w:left w:val="single" w:color="000000" w:sz="4" w:space="0"/>
              <w:bottom w:val="single" w:color="000000" w:sz="4" w:space="0"/>
              <w:right w:val="single" w:color="000000" w:sz="4" w:space="0"/>
            </w:tcBorders>
            <w:vAlign w:val="center"/>
          </w:tcPr>
          <w:p w14:paraId="791D5FB7">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1、按照展区方案及展项清单，完成大型核心展品展项设计，包含</w:t>
            </w:r>
            <w:r>
              <w:rPr>
                <w:rFonts w:hint="eastAsia" w:ascii="宋体" w:hAnsi="宋体" w:cs="宋体"/>
                <w:color w:val="auto"/>
                <w:szCs w:val="21"/>
              </w:rPr>
              <w:t>展项的平面与空间布置设计、</w:t>
            </w:r>
            <w:r>
              <w:rPr>
                <w:rFonts w:hint="eastAsia" w:ascii="宋体" w:hAnsi="宋体" w:cs="宋体"/>
                <w:color w:val="auto"/>
                <w:kern w:val="0"/>
                <w:szCs w:val="21"/>
              </w:rPr>
              <w:t>效果图及功能描述；</w:t>
            </w:r>
          </w:p>
          <w:p w14:paraId="76EDF5C0">
            <w:pPr>
              <w:pStyle w:val="18"/>
              <w:rPr>
                <w:rFonts w:hint="eastAsia" w:ascii="宋体" w:hAnsi="宋体" w:cs="宋体"/>
                <w:color w:val="auto"/>
                <w:sz w:val="21"/>
                <w:szCs w:val="21"/>
              </w:rPr>
            </w:pPr>
            <w:r>
              <w:rPr>
                <w:rFonts w:hint="eastAsia" w:ascii="宋体" w:hAnsi="宋体" w:cs="宋体"/>
                <w:color w:val="auto"/>
                <w:sz w:val="21"/>
                <w:szCs w:val="21"/>
              </w:rPr>
              <w:t>2、按照设计方案，完成展项布展基础、展项配套设施的设计与实施；</w:t>
            </w:r>
          </w:p>
          <w:p w14:paraId="21F9C229">
            <w:pPr>
              <w:spacing w:line="380" w:lineRule="exac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在展项设计与制造工作开展展项外型、结构尺寸、色调运用等设计。</w:t>
            </w:r>
          </w:p>
        </w:tc>
        <w:tc>
          <w:tcPr>
            <w:tcW w:w="469" w:type="pct"/>
            <w:tcBorders>
              <w:top w:val="single" w:color="000000" w:sz="4" w:space="0"/>
              <w:left w:val="single" w:color="000000" w:sz="4" w:space="0"/>
              <w:bottom w:val="single" w:color="000000" w:sz="4" w:space="0"/>
              <w:right w:val="single" w:color="000000" w:sz="4" w:space="0"/>
            </w:tcBorders>
            <w:vAlign w:val="center"/>
          </w:tcPr>
          <w:p w14:paraId="059A58AB">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0D484D53">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4</w:t>
            </w:r>
          </w:p>
        </w:tc>
      </w:tr>
      <w:tr w14:paraId="0A0D221E">
        <w:tblPrEx>
          <w:tblCellMar>
            <w:top w:w="0" w:type="dxa"/>
            <w:left w:w="108" w:type="dxa"/>
            <w:bottom w:w="0" w:type="dxa"/>
            <w:right w:w="108" w:type="dxa"/>
          </w:tblCellMar>
        </w:tblPrEx>
        <w:trPr>
          <w:trHeight w:val="516"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6FE2607C">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920" w:type="pct"/>
            <w:tcBorders>
              <w:top w:val="single" w:color="000000" w:sz="4" w:space="0"/>
              <w:left w:val="single" w:color="000000" w:sz="4" w:space="0"/>
              <w:bottom w:val="single" w:color="000000" w:sz="4" w:space="0"/>
              <w:right w:val="single" w:color="000000" w:sz="4" w:space="0"/>
            </w:tcBorders>
            <w:vAlign w:val="center"/>
          </w:tcPr>
          <w:p w14:paraId="5A9C7240">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c>
          <w:tcPr>
            <w:tcW w:w="2940" w:type="pct"/>
            <w:tcBorders>
              <w:top w:val="single" w:color="000000" w:sz="4" w:space="0"/>
              <w:left w:val="single" w:color="000000" w:sz="4" w:space="0"/>
              <w:bottom w:val="single" w:color="000000" w:sz="4" w:space="0"/>
              <w:right w:val="single" w:color="000000" w:sz="4" w:space="0"/>
            </w:tcBorders>
            <w:vAlign w:val="center"/>
          </w:tcPr>
          <w:p w14:paraId="3ED7EF2C">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1、按照展区方案及展项清单，完成中小型互动展品的设计，包含</w:t>
            </w:r>
            <w:r>
              <w:rPr>
                <w:rFonts w:hint="eastAsia" w:ascii="宋体" w:hAnsi="宋体" w:cs="宋体"/>
                <w:color w:val="auto"/>
                <w:szCs w:val="21"/>
              </w:rPr>
              <w:t>展项的平面与空间布置设计、</w:t>
            </w:r>
            <w:r>
              <w:rPr>
                <w:rFonts w:hint="eastAsia" w:ascii="宋体" w:hAnsi="宋体" w:cs="宋体"/>
                <w:color w:val="auto"/>
                <w:kern w:val="0"/>
                <w:szCs w:val="21"/>
              </w:rPr>
              <w:t>效果图及功能描述；</w:t>
            </w:r>
          </w:p>
          <w:p w14:paraId="7CFF305D">
            <w:pPr>
              <w:pStyle w:val="18"/>
              <w:rPr>
                <w:rFonts w:hint="eastAsia" w:ascii="宋体" w:hAnsi="宋体" w:cs="宋体"/>
                <w:color w:val="auto"/>
                <w:sz w:val="21"/>
                <w:szCs w:val="21"/>
              </w:rPr>
            </w:pPr>
            <w:r>
              <w:rPr>
                <w:rFonts w:hint="eastAsia" w:ascii="宋体" w:hAnsi="宋体" w:cs="宋体"/>
                <w:color w:val="auto"/>
                <w:sz w:val="21"/>
                <w:szCs w:val="21"/>
              </w:rPr>
              <w:t>2、按照设计方案，完成中小型互动展品的布展基础、展项配套设施的设计与实施；</w:t>
            </w:r>
          </w:p>
          <w:p w14:paraId="64EF67A1">
            <w:pPr>
              <w:spacing w:line="380" w:lineRule="exac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在展项设计与制造工作开展展项外型、结构尺寸、色调运用等设计。</w:t>
            </w:r>
          </w:p>
        </w:tc>
        <w:tc>
          <w:tcPr>
            <w:tcW w:w="469" w:type="pct"/>
            <w:tcBorders>
              <w:top w:val="single" w:color="000000" w:sz="4" w:space="0"/>
              <w:left w:val="single" w:color="000000" w:sz="4" w:space="0"/>
              <w:bottom w:val="single" w:color="000000" w:sz="4" w:space="0"/>
              <w:right w:val="single" w:color="000000" w:sz="4" w:space="0"/>
            </w:tcBorders>
            <w:vAlign w:val="center"/>
          </w:tcPr>
          <w:p w14:paraId="4F677177">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4E78C43C">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19</w:t>
            </w:r>
          </w:p>
        </w:tc>
      </w:tr>
      <w:tr w14:paraId="6C8DC980">
        <w:tblPrEx>
          <w:tblCellMar>
            <w:top w:w="0" w:type="dxa"/>
            <w:left w:w="108" w:type="dxa"/>
            <w:bottom w:w="0" w:type="dxa"/>
            <w:right w:w="108" w:type="dxa"/>
          </w:tblCellMar>
        </w:tblPrEx>
        <w:trPr>
          <w:trHeight w:val="758"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34E29717">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920" w:type="pct"/>
            <w:tcBorders>
              <w:top w:val="single" w:color="000000" w:sz="4" w:space="0"/>
              <w:left w:val="single" w:color="000000" w:sz="4" w:space="0"/>
              <w:bottom w:val="single" w:color="000000" w:sz="4" w:space="0"/>
              <w:right w:val="single" w:color="000000" w:sz="4" w:space="0"/>
            </w:tcBorders>
            <w:vAlign w:val="center"/>
          </w:tcPr>
          <w:p w14:paraId="73CB1E0D">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附属开发项目</w:t>
            </w:r>
          </w:p>
        </w:tc>
        <w:tc>
          <w:tcPr>
            <w:tcW w:w="2940" w:type="pct"/>
            <w:tcBorders>
              <w:top w:val="single" w:color="000000" w:sz="4" w:space="0"/>
              <w:left w:val="single" w:color="000000" w:sz="4" w:space="0"/>
              <w:bottom w:val="single" w:color="000000" w:sz="4" w:space="0"/>
              <w:right w:val="single" w:color="000000" w:sz="4" w:space="0"/>
            </w:tcBorders>
            <w:vAlign w:val="center"/>
          </w:tcPr>
          <w:p w14:paraId="524CCA9D">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按照“器乐、建筑、民俗”为方向，开发设立各类东南亚特色手工艺制作或科学教育活动。在广西科技馆内教育区或科普剧场进行，详见附属开发项目清单。</w:t>
            </w:r>
          </w:p>
        </w:tc>
        <w:tc>
          <w:tcPr>
            <w:tcW w:w="469" w:type="pct"/>
            <w:tcBorders>
              <w:top w:val="single" w:color="000000" w:sz="4" w:space="0"/>
              <w:left w:val="single" w:color="000000" w:sz="4" w:space="0"/>
              <w:bottom w:val="single" w:color="000000" w:sz="4" w:space="0"/>
              <w:right w:val="single" w:color="000000" w:sz="4" w:space="0"/>
            </w:tcBorders>
            <w:vAlign w:val="center"/>
          </w:tcPr>
          <w:p w14:paraId="6705C678">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639BD6D6">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9</w:t>
            </w:r>
          </w:p>
        </w:tc>
      </w:tr>
      <w:tr w14:paraId="2FDFBD6A">
        <w:tblPrEx>
          <w:tblCellMar>
            <w:top w:w="0" w:type="dxa"/>
            <w:left w:w="108" w:type="dxa"/>
            <w:bottom w:w="0" w:type="dxa"/>
            <w:right w:w="108" w:type="dxa"/>
          </w:tblCellMar>
        </w:tblPrEx>
        <w:trPr>
          <w:trHeight w:val="90" w:hRule="atLeast"/>
          <w:jc w:val="center"/>
        </w:trPr>
        <w:tc>
          <w:tcPr>
            <w:tcW w:w="242" w:type="pct"/>
            <w:tcBorders>
              <w:top w:val="single" w:color="000000" w:sz="4" w:space="0"/>
              <w:left w:val="single" w:color="000000" w:sz="4" w:space="0"/>
              <w:bottom w:val="single" w:color="000000" w:sz="4" w:space="0"/>
              <w:right w:val="single" w:color="000000" w:sz="4" w:space="0"/>
            </w:tcBorders>
            <w:vAlign w:val="center"/>
          </w:tcPr>
          <w:p w14:paraId="167813B6">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lang w:val="en"/>
              </w:rPr>
              <w:t>6</w:t>
            </w:r>
          </w:p>
        </w:tc>
        <w:tc>
          <w:tcPr>
            <w:tcW w:w="920" w:type="pct"/>
            <w:tcBorders>
              <w:top w:val="single" w:color="000000" w:sz="4" w:space="0"/>
              <w:left w:val="single" w:color="000000" w:sz="4" w:space="0"/>
              <w:bottom w:val="single" w:color="000000" w:sz="4" w:space="0"/>
              <w:right w:val="single" w:color="000000" w:sz="4" w:space="0"/>
            </w:tcBorders>
            <w:vAlign w:val="center"/>
          </w:tcPr>
          <w:p w14:paraId="1798E94A">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其他要求</w:t>
            </w:r>
          </w:p>
        </w:tc>
        <w:tc>
          <w:tcPr>
            <w:tcW w:w="2940" w:type="pct"/>
            <w:tcBorders>
              <w:top w:val="single" w:color="000000" w:sz="4" w:space="0"/>
              <w:left w:val="single" w:color="000000" w:sz="4" w:space="0"/>
              <w:bottom w:val="single" w:color="000000" w:sz="4" w:space="0"/>
              <w:right w:val="single" w:color="000000" w:sz="4" w:space="0"/>
            </w:tcBorders>
            <w:vAlign w:val="center"/>
          </w:tcPr>
          <w:p w14:paraId="603A69E3">
            <w:pPr>
              <w:snapToGrid w:val="0"/>
              <w:spacing w:line="380" w:lineRule="exact"/>
              <w:rPr>
                <w:rFonts w:hint="eastAsia" w:ascii="宋体" w:hAnsi="宋体" w:cs="宋体"/>
                <w:color w:val="auto"/>
                <w:kern w:val="0"/>
                <w:szCs w:val="21"/>
              </w:rPr>
            </w:pPr>
            <w:r>
              <w:rPr>
                <w:rFonts w:hint="eastAsia" w:ascii="宋体" w:hAnsi="宋体" w:cs="宋体"/>
                <w:color w:val="auto"/>
                <w:szCs w:val="21"/>
              </w:rPr>
              <w:t>1、</w:t>
            </w:r>
            <w:r>
              <w:rPr>
                <w:rFonts w:ascii="宋体" w:hAnsi="宋体" w:cs="宋体"/>
                <w:color w:val="auto"/>
                <w:szCs w:val="21"/>
              </w:rPr>
              <w:t>负责拆除并清理</w:t>
            </w:r>
            <w:r>
              <w:rPr>
                <w:rFonts w:hint="eastAsia" w:ascii="宋体" w:hAnsi="宋体" w:cs="宋体"/>
                <w:color w:val="auto"/>
                <w:szCs w:val="21"/>
              </w:rPr>
              <w:t>常设展厅四层西侧原核电主题科普展区</w:t>
            </w:r>
            <w:r>
              <w:rPr>
                <w:rFonts w:ascii="宋体" w:hAnsi="宋体" w:cs="宋体"/>
                <w:color w:val="auto"/>
                <w:szCs w:val="21"/>
              </w:rPr>
              <w:t>内所有展项和布展设施，其中展项部分要求现场拍摄后拆除再将主要设备登记造册、打包保护，并运至</w:t>
            </w:r>
            <w:r>
              <w:rPr>
                <w:rFonts w:hint="eastAsia" w:ascii="宋体" w:hAnsi="宋体" w:cs="宋体"/>
                <w:color w:val="auto"/>
                <w:szCs w:val="21"/>
              </w:rPr>
              <w:t>招标人</w:t>
            </w:r>
            <w:r>
              <w:rPr>
                <w:rFonts w:ascii="宋体" w:hAnsi="宋体" w:cs="宋体"/>
                <w:color w:val="auto"/>
                <w:szCs w:val="21"/>
              </w:rPr>
              <w:t>指定区域堆/摆放；其余垃圾由</w:t>
            </w:r>
            <w:r>
              <w:rPr>
                <w:rFonts w:hint="eastAsia" w:ascii="宋体" w:hAnsi="宋体" w:cs="宋体"/>
                <w:color w:val="auto"/>
                <w:szCs w:val="21"/>
              </w:rPr>
              <w:t>中标人</w:t>
            </w:r>
            <w:r>
              <w:rPr>
                <w:rFonts w:ascii="宋体" w:hAnsi="宋体" w:cs="宋体"/>
                <w:color w:val="auto"/>
                <w:szCs w:val="21"/>
              </w:rPr>
              <w:t>按有关要求自行外运处理</w:t>
            </w:r>
            <w:r>
              <w:rPr>
                <w:rFonts w:hint="eastAsia" w:ascii="宋体" w:hAnsi="宋体" w:cs="宋体"/>
                <w:color w:val="auto"/>
                <w:szCs w:val="21"/>
              </w:rPr>
              <w:t>；</w:t>
            </w:r>
          </w:p>
          <w:p w14:paraId="3BFD1789">
            <w:p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2、提供布展维护、维修和保养等质保服务，自验收合格之日起算，质保期为2年；</w:t>
            </w:r>
          </w:p>
          <w:p w14:paraId="777CB616">
            <w:pPr>
              <w:pStyle w:val="18"/>
              <w:rPr>
                <w:rFonts w:hint="eastAsia" w:ascii="宋体" w:hAnsi="宋体" w:cs="宋体"/>
                <w:color w:val="auto"/>
                <w:sz w:val="21"/>
                <w:szCs w:val="21"/>
              </w:rPr>
            </w:pPr>
            <w:r>
              <w:rPr>
                <w:rFonts w:hint="eastAsia" w:ascii="宋体" w:hAnsi="宋体" w:cs="宋体"/>
                <w:color w:val="auto"/>
                <w:sz w:val="21"/>
                <w:szCs w:val="21"/>
              </w:rPr>
              <w:t>3、做好展览展出前的培训（操作、维护、技术）工作，配备好相应展项日常运行调试所需的备件（如鼠标、键盘、易损材料等）；</w:t>
            </w:r>
          </w:p>
          <w:p w14:paraId="06626999">
            <w:pPr>
              <w:snapToGrid w:val="0"/>
              <w:spacing w:line="380" w:lineRule="exact"/>
              <w:rPr>
                <w:rFonts w:hint="eastAsia" w:ascii="宋体" w:hAnsi="宋体" w:cs="宋体"/>
                <w:color w:val="auto"/>
                <w:szCs w:val="21"/>
              </w:rPr>
            </w:pPr>
            <w:r>
              <w:rPr>
                <w:rFonts w:hint="eastAsia" w:ascii="宋体" w:hAnsi="宋体" w:cs="宋体"/>
                <w:color w:val="auto"/>
                <w:kern w:val="0"/>
                <w:szCs w:val="21"/>
              </w:rPr>
              <w:t>4、</w:t>
            </w:r>
            <w:r>
              <w:rPr>
                <w:rFonts w:hint="eastAsia" w:ascii="宋体" w:hAnsi="宋体" w:cs="宋体"/>
                <w:color w:val="auto"/>
                <w:szCs w:val="21"/>
              </w:rPr>
              <w:t>提供工程档案资料，配合工程验收；</w:t>
            </w:r>
          </w:p>
          <w:p w14:paraId="0879D2F3">
            <w:pPr>
              <w:spacing w:line="380" w:lineRule="exact"/>
              <w:rPr>
                <w:color w:val="auto"/>
              </w:rPr>
            </w:pPr>
            <w:r>
              <w:rPr>
                <w:rFonts w:hint="eastAsia" w:ascii="宋体" w:hAnsi="宋体" w:cs="宋体"/>
                <w:color w:val="auto"/>
                <w:kern w:val="0"/>
                <w:szCs w:val="21"/>
              </w:rPr>
              <w:t>5、</w:t>
            </w:r>
            <w:r>
              <w:rPr>
                <w:rFonts w:hint="eastAsia" w:ascii="宋体" w:hAnsi="宋体" w:cs="宋体"/>
                <w:color w:val="auto"/>
                <w:szCs w:val="21"/>
              </w:rPr>
              <w:t>负责施工现场管理协调，</w:t>
            </w:r>
            <w:r>
              <w:rPr>
                <w:rFonts w:hint="eastAsia"/>
                <w:color w:val="auto"/>
              </w:rPr>
              <w:t>供应商应当妥善做好施工前的所有准备工作，严格按照采购人进度要求进行施工，可能出现不连续、分段施工的情况，供应商应充分考虑以上所有风险和费用，产生的所有费用视为应包含在投标报价中；</w:t>
            </w:r>
          </w:p>
          <w:p w14:paraId="449E68E1">
            <w:pPr>
              <w:spacing w:line="380" w:lineRule="exact"/>
              <w:rPr>
                <w:color w:val="auto"/>
              </w:rPr>
            </w:pPr>
            <w:r>
              <w:rPr>
                <w:rFonts w:hint="eastAsia" w:ascii="宋体" w:hAnsi="宋体" w:cs="宋体"/>
                <w:color w:val="auto"/>
                <w:kern w:val="0"/>
                <w:szCs w:val="21"/>
              </w:rPr>
              <w:t>6、</w:t>
            </w:r>
            <w:r>
              <w:rPr>
                <w:rFonts w:hint="eastAsia"/>
                <w:color w:val="auto"/>
              </w:rPr>
              <w:t>供应商须采取必要的措施，避免影响采购人常设展厅对公众开放其他部分的安全与秩序。</w:t>
            </w:r>
          </w:p>
        </w:tc>
        <w:tc>
          <w:tcPr>
            <w:tcW w:w="469" w:type="pct"/>
            <w:tcBorders>
              <w:top w:val="single" w:color="000000" w:sz="4" w:space="0"/>
              <w:left w:val="single" w:color="000000" w:sz="4" w:space="0"/>
              <w:bottom w:val="single" w:color="000000" w:sz="4" w:space="0"/>
              <w:right w:val="single" w:color="000000" w:sz="4" w:space="0"/>
            </w:tcBorders>
            <w:vAlign w:val="center"/>
          </w:tcPr>
          <w:p w14:paraId="0C2A46D9">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427" w:type="pct"/>
            <w:tcBorders>
              <w:top w:val="single" w:color="000000" w:sz="4" w:space="0"/>
              <w:left w:val="single" w:color="000000" w:sz="4" w:space="0"/>
              <w:bottom w:val="single" w:color="000000" w:sz="4" w:space="0"/>
              <w:right w:val="single" w:color="000000" w:sz="4" w:space="0"/>
            </w:tcBorders>
            <w:vAlign w:val="center"/>
          </w:tcPr>
          <w:p w14:paraId="4CECB4C5">
            <w:pPr>
              <w:snapToGrid w:val="0"/>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r>
    </w:tbl>
    <w:p w14:paraId="357248CD">
      <w:pPr>
        <w:ind w:firstLine="422" w:firstLineChars="200"/>
        <w:jc w:val="left"/>
        <w:rPr>
          <w:rFonts w:hint="eastAsia" w:ascii="宋体" w:hAnsi="宋体" w:cs="宋体"/>
          <w:b/>
          <w:color w:val="auto"/>
          <w:kern w:val="0"/>
          <w:szCs w:val="21"/>
        </w:rPr>
      </w:pPr>
    </w:p>
    <w:p w14:paraId="7C5FAA46">
      <w:pPr>
        <w:ind w:firstLine="422" w:firstLineChars="200"/>
        <w:jc w:val="left"/>
        <w:rPr>
          <w:rFonts w:hint="eastAsia" w:ascii="宋体" w:hAnsi="宋体" w:cs="宋体"/>
          <w:b/>
          <w:color w:val="auto"/>
          <w:kern w:val="0"/>
          <w:szCs w:val="21"/>
        </w:rPr>
      </w:pPr>
    </w:p>
    <w:p w14:paraId="7D143C68">
      <w:pPr>
        <w:ind w:firstLine="422" w:firstLineChars="200"/>
        <w:jc w:val="center"/>
        <w:rPr>
          <w:rFonts w:hint="eastAsia" w:ascii="宋体" w:hAnsi="宋体"/>
          <w:b/>
          <w:color w:val="auto"/>
          <w:szCs w:val="21"/>
        </w:rPr>
      </w:pPr>
      <w:r>
        <w:rPr>
          <w:rFonts w:hint="eastAsia" w:ascii="宋体" w:hAnsi="宋体" w:cs="宋体"/>
          <w:b/>
          <w:color w:val="auto"/>
          <w:kern w:val="0"/>
          <w:szCs w:val="21"/>
        </w:rPr>
        <w:t>二、展项清单、附属开发项目清单</w:t>
      </w:r>
    </w:p>
    <w:tbl>
      <w:tblPr>
        <w:tblStyle w:val="47"/>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60"/>
        <w:gridCol w:w="148"/>
        <w:gridCol w:w="1019"/>
        <w:gridCol w:w="5431"/>
        <w:gridCol w:w="1028"/>
      </w:tblGrid>
      <w:tr w14:paraId="1BBF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6"/>
            <w:tcBorders>
              <w:tl2br w:val="nil"/>
              <w:tr2bl w:val="nil"/>
            </w:tcBorders>
            <w:noWrap/>
            <w:vAlign w:val="center"/>
          </w:tcPr>
          <w:p w14:paraId="0C5E6117">
            <w:pPr>
              <w:widowControl/>
              <w:spacing w:line="380" w:lineRule="exact"/>
              <w:jc w:val="center"/>
              <w:rPr>
                <w:rFonts w:hint="eastAsia" w:ascii="宋体" w:hAnsi="宋体"/>
                <w:b/>
                <w:color w:val="auto"/>
                <w:szCs w:val="21"/>
              </w:rPr>
            </w:pPr>
            <w:r>
              <w:rPr>
                <w:rFonts w:hint="eastAsia" w:ascii="宋体" w:hAnsi="宋体"/>
                <w:b/>
                <w:color w:val="auto"/>
                <w:szCs w:val="21"/>
              </w:rPr>
              <w:t>“东盟主题科普展区”展项清单</w:t>
            </w:r>
          </w:p>
        </w:tc>
      </w:tr>
      <w:tr w14:paraId="4E43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91" w:type="pct"/>
            <w:tcBorders>
              <w:tl2br w:val="nil"/>
              <w:tr2bl w:val="nil"/>
            </w:tcBorders>
            <w:noWrap/>
            <w:vAlign w:val="center"/>
          </w:tcPr>
          <w:p w14:paraId="160070EB">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632" w:type="pct"/>
            <w:tcBorders>
              <w:tl2br w:val="nil"/>
              <w:tr2bl w:val="nil"/>
            </w:tcBorders>
            <w:noWrap/>
            <w:vAlign w:val="center"/>
          </w:tcPr>
          <w:p w14:paraId="29F8ACFB">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展区名称</w:t>
            </w:r>
          </w:p>
        </w:tc>
        <w:tc>
          <w:tcPr>
            <w:tcW w:w="589" w:type="pct"/>
            <w:gridSpan w:val="2"/>
            <w:tcBorders>
              <w:tl2br w:val="nil"/>
              <w:tr2bl w:val="nil"/>
            </w:tcBorders>
            <w:noWrap/>
            <w:vAlign w:val="center"/>
          </w:tcPr>
          <w:p w14:paraId="4410E935">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展项名称</w:t>
            </w:r>
          </w:p>
        </w:tc>
        <w:tc>
          <w:tcPr>
            <w:tcW w:w="2849" w:type="pct"/>
            <w:tcBorders>
              <w:tl2br w:val="nil"/>
              <w:tr2bl w:val="nil"/>
            </w:tcBorders>
            <w:noWrap/>
            <w:vAlign w:val="center"/>
          </w:tcPr>
          <w:p w14:paraId="57CF6FCB">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规格及功能</w:t>
            </w:r>
          </w:p>
        </w:tc>
        <w:tc>
          <w:tcPr>
            <w:tcW w:w="538" w:type="pct"/>
            <w:tcBorders>
              <w:tl2br w:val="nil"/>
              <w:tr2bl w:val="nil"/>
            </w:tcBorders>
            <w:noWrap/>
            <w:vAlign w:val="center"/>
          </w:tcPr>
          <w:p w14:paraId="4C009AE8">
            <w:pPr>
              <w:widowControl/>
              <w:spacing w:line="380" w:lineRule="exact"/>
              <w:jc w:val="center"/>
              <w:rPr>
                <w:rFonts w:hint="eastAsia" w:ascii="宋体" w:hAnsi="宋体" w:cs="宋体"/>
                <w:b/>
                <w:bCs/>
                <w:color w:val="auto"/>
                <w:kern w:val="0"/>
                <w:szCs w:val="21"/>
              </w:rPr>
            </w:pPr>
            <w:r>
              <w:rPr>
                <w:rFonts w:hint="eastAsia" w:ascii="宋体" w:hAnsi="宋体" w:cs="宋体"/>
                <w:b/>
                <w:bCs/>
                <w:color w:val="auto"/>
                <w:kern w:val="0"/>
                <w:szCs w:val="21"/>
              </w:rPr>
              <w:t>备注</w:t>
            </w:r>
          </w:p>
        </w:tc>
      </w:tr>
      <w:tr w14:paraId="3205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4" w:hRule="atLeast"/>
          <w:jc w:val="center"/>
        </w:trPr>
        <w:tc>
          <w:tcPr>
            <w:tcW w:w="391" w:type="pct"/>
            <w:tcBorders>
              <w:tl2br w:val="nil"/>
              <w:tr2bl w:val="nil"/>
            </w:tcBorders>
            <w:vAlign w:val="center"/>
          </w:tcPr>
          <w:p w14:paraId="1363EB4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1-1</w:t>
            </w:r>
          </w:p>
        </w:tc>
        <w:tc>
          <w:tcPr>
            <w:tcW w:w="686" w:type="pct"/>
            <w:gridSpan w:val="2"/>
            <w:vMerge w:val="restart"/>
            <w:tcBorders>
              <w:tl2br w:val="nil"/>
              <w:tr2bl w:val="nil"/>
            </w:tcBorders>
            <w:vAlign w:val="center"/>
          </w:tcPr>
          <w:p w14:paraId="7B451CD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序厅</w:t>
            </w:r>
          </w:p>
        </w:tc>
        <w:tc>
          <w:tcPr>
            <w:tcW w:w="534" w:type="pct"/>
            <w:tcBorders>
              <w:tl2br w:val="nil"/>
              <w:tr2bl w:val="nil"/>
            </w:tcBorders>
            <w:vAlign w:val="center"/>
          </w:tcPr>
          <w:p w14:paraId="256F4F99">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同心经纬</w:t>
            </w:r>
          </w:p>
        </w:tc>
        <w:tc>
          <w:tcPr>
            <w:tcW w:w="2849" w:type="pct"/>
            <w:tcBorders>
              <w:tl2br w:val="nil"/>
              <w:tr2bl w:val="nil"/>
            </w:tcBorders>
            <w:vAlign w:val="center"/>
          </w:tcPr>
          <w:p w14:paraId="3A4D7A1F">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：长约8、宽约8、高约3.8</w:t>
            </w:r>
          </w:p>
          <w:p w14:paraId="4952D36C">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2、</w:t>
            </w:r>
            <w:r>
              <w:rPr>
                <w:rFonts w:ascii="宋体" w:hAnsi="宋体" w:cs="宋体"/>
                <w:b/>
                <w:bCs/>
                <w:color w:val="auto"/>
                <w:kern w:val="0"/>
                <w:szCs w:val="21"/>
              </w:rPr>
              <w:t>造型</w:t>
            </w:r>
            <w:r>
              <w:rPr>
                <w:rFonts w:hint="eastAsia" w:ascii="宋体" w:hAnsi="宋体" w:cs="宋体"/>
                <w:b/>
                <w:bCs/>
                <w:color w:val="auto"/>
                <w:kern w:val="0"/>
                <w:szCs w:val="21"/>
              </w:rPr>
              <w:t>：</w:t>
            </w:r>
            <w:r>
              <w:rPr>
                <w:rFonts w:hint="eastAsia" w:ascii="宋体" w:hAnsi="宋体" w:cs="宋体"/>
                <w:color w:val="auto"/>
                <w:kern w:val="0"/>
                <w:szCs w:val="21"/>
              </w:rPr>
              <w:t>结合东盟十国文化符号和同心圆造型搭建实景，营造异域氛围</w:t>
            </w:r>
          </w:p>
          <w:p w14:paraId="0985C01D">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展项主要由大型弧面LED屏和手势互动环组成，观众在手势环处通过挥手切换不同的合作项目通过观看视频，增加对项目细节的了解。中国与东盟国家以及东盟成员国之间的合作项目涵盖多个领域，包括基础设施、经贸、数字经济、人文交流等。其中主要的有雅万高铁、中缅油气管道、中国-东盟信息港、澜沧江.湄公河合作(LMC)项目等。</w:t>
            </w:r>
          </w:p>
          <w:p w14:paraId="68E649C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w:t>
            </w:r>
            <w:r>
              <w:rPr>
                <w:rFonts w:ascii="宋体" w:hAnsi="宋体" w:cs="宋体"/>
                <w:b/>
                <w:bCs/>
                <w:color w:val="auto"/>
                <w:kern w:val="0"/>
                <w:szCs w:val="21"/>
              </w:rPr>
              <w:t>互动方式</w:t>
            </w:r>
            <w:r>
              <w:rPr>
                <w:rFonts w:hint="eastAsia" w:ascii="宋体" w:hAnsi="宋体" w:cs="宋体"/>
                <w:b/>
                <w:bCs/>
                <w:color w:val="auto"/>
                <w:kern w:val="0"/>
                <w:szCs w:val="21"/>
              </w:rPr>
              <w:t>：</w:t>
            </w:r>
            <w:r>
              <w:rPr>
                <w:rFonts w:hint="eastAsia" w:ascii="宋体" w:hAnsi="宋体" w:cs="宋体"/>
                <w:color w:val="auto"/>
                <w:kern w:val="0"/>
                <w:szCs w:val="21"/>
              </w:rPr>
              <w:t>设备无人操作待机状态下，观众可观看讲解中国及东盟的友好关系的相关科普视频；观众将手放置在手势环中，通过挥手的方式切换东盟相关的各个主要项目，手掌握拳选中项目开始播放科普影片，同时地面上东南亚的地图讲项目所在位置的区域地图进行变色加亮处理。</w:t>
            </w:r>
          </w:p>
          <w:p w14:paraId="74C106C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5、软件控制流程：</w:t>
            </w:r>
          </w:p>
          <w:p w14:paraId="4030FED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1）无人互动时，播放待机视频；</w:t>
            </w:r>
          </w:p>
          <w:p w14:paraId="7E10616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2）根据手势传感器的向左，向右的识别信号，对预设的各个项目进行切换；</w:t>
            </w:r>
          </w:p>
          <w:p w14:paraId="1A30BC7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3）根据手势传感器的握拳信号和上一步的选择信号，控制对应的视频播放；</w:t>
            </w:r>
          </w:p>
          <w:p w14:paraId="04D83C5F">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4）同时点亮地面与视频相对应的灯带；</w:t>
            </w:r>
          </w:p>
          <w:p w14:paraId="6B27BEE5">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5）播放完毕过程或者完毕，若有手势信号输入，重新进入选择界面，若始终没有信号，怎播放完后播放待机视频。</w:t>
            </w:r>
          </w:p>
          <w:p w14:paraId="6ED35764">
            <w:pPr>
              <w:pStyle w:val="33"/>
              <w:spacing w:before="0" w:after="0" w:line="380" w:lineRule="exact"/>
              <w:ind w:firstLine="0" w:firstLineChars="0"/>
              <w:rPr>
                <w:rFonts w:hint="eastAsia" w:cs="宋体"/>
                <w:color w:val="auto"/>
                <w:kern w:val="0"/>
                <w:sz w:val="21"/>
                <w:szCs w:val="21"/>
              </w:rPr>
            </w:pPr>
            <w:r>
              <w:rPr>
                <w:rFonts w:hint="eastAsia" w:cs="宋体"/>
                <w:color w:val="auto"/>
                <w:kern w:val="0"/>
                <w:sz w:val="21"/>
                <w:szCs w:val="21"/>
              </w:rPr>
              <w:t>6、主要设备及材料：</w:t>
            </w:r>
          </w:p>
          <w:p w14:paraId="3CCC8F70">
            <w:pPr>
              <w:pStyle w:val="33"/>
              <w:spacing w:before="0" w:after="0" w:line="380" w:lineRule="exact"/>
              <w:ind w:firstLine="420" w:firstLineChars="200"/>
              <w:rPr>
                <w:rFonts w:hint="eastAsia" w:cs="宋体"/>
                <w:b w:val="0"/>
                <w:bCs w:val="0"/>
                <w:color w:val="auto"/>
                <w:kern w:val="0"/>
                <w:sz w:val="21"/>
                <w:szCs w:val="21"/>
              </w:rPr>
            </w:pPr>
            <w:r>
              <w:rPr>
                <w:rFonts w:hint="eastAsia" w:cs="宋体"/>
                <w:b w:val="0"/>
                <w:bCs w:val="0"/>
                <w:color w:val="auto"/>
                <w:kern w:val="0"/>
                <w:sz w:val="21"/>
                <w:szCs w:val="21"/>
              </w:rPr>
              <w:t>1）LED屏要求使用柔性模块组成跨度约为8米、弧长约10米的弧形屏幕，高度约为3.8米；</w:t>
            </w:r>
          </w:p>
          <w:p w14:paraId="4B55C981">
            <w:pPr>
              <w:snapToGrid w:val="0"/>
              <w:spacing w:line="380" w:lineRule="exact"/>
              <w:rPr>
                <w:rFonts w:hint="eastAsia" w:ascii="宋体" w:hAnsi="宋体" w:cs="宋体"/>
                <w:color w:val="auto"/>
                <w:szCs w:val="21"/>
              </w:rPr>
            </w:pPr>
            <w:r>
              <w:rPr>
                <w:rFonts w:hint="eastAsia" w:ascii="宋体" w:hAnsi="宋体" w:cs="宋体"/>
                <w:color w:val="auto"/>
                <w:kern w:val="0"/>
                <w:szCs w:val="21"/>
              </w:rPr>
              <w:t xml:space="preserve">    2）LED模块主要性能指标：像素间距（mm）</w:t>
            </w:r>
            <w:r>
              <w:rPr>
                <w:rFonts w:hint="eastAsia" w:cs="宋体"/>
                <w:color w:val="auto"/>
                <w:szCs w:val="21"/>
              </w:rPr>
              <w:t>≤</w:t>
            </w:r>
            <w:r>
              <w:rPr>
                <w:rFonts w:hint="eastAsia" w:ascii="宋体" w:hAnsi="宋体" w:cs="宋体"/>
                <w:color w:val="auto"/>
                <w:kern w:val="0"/>
                <w:szCs w:val="21"/>
              </w:rPr>
              <w:t>1.86，模组分辨率（W×H）：172×86 ，模组尺寸（mm）320 （W）×160（H），模组最大功耗（W/块）：25，像素密度：（点/m2 ）288906，维护方式：前维护 ，支持软件实现0-100%亮度时，14-16bit任意灰度设置；显示屏亮度：户内≥500cd/㎡；对比度：≥9000：1；亮度均匀性≥98%，色度均匀性±0.003 CxCy之内；色温2500-12000K可调；换帧频率：50Hz/60Hz/120Hz/240Hz；刷新率：≥3840Hz；</w:t>
            </w:r>
          </w:p>
          <w:p w14:paraId="35203C9F">
            <w:pPr>
              <w:pStyle w:val="100"/>
              <w:snapToGrid w:val="0"/>
              <w:spacing w:line="380" w:lineRule="exact"/>
              <w:rPr>
                <w:rFonts w:hint="eastAsia" w:ascii="宋体" w:hAnsi="宋体" w:cs="宋体"/>
                <w:color w:val="auto"/>
                <w:szCs w:val="21"/>
                <w:lang w:val="zh-CN" w:bidi="ar"/>
              </w:rPr>
            </w:pPr>
            <w:r>
              <w:rPr>
                <w:rFonts w:hint="eastAsia" w:ascii="宋体" w:hAnsi="宋体" w:cs="宋体"/>
                <w:color w:val="auto"/>
                <w:szCs w:val="21"/>
              </w:rPr>
              <w:t>3）多媒体服务器：支持</w:t>
            </w:r>
            <w:r>
              <w:rPr>
                <w:rFonts w:hint="eastAsia" w:ascii="宋体" w:hAnsi="宋体" w:cs="宋体"/>
                <w:color w:val="auto"/>
                <w:spacing w:val="1"/>
                <w:szCs w:val="21"/>
                <w:shd w:val="clear" w:color="auto" w:fill="FFFFFF"/>
              </w:rPr>
              <w:t>8K视</w:t>
            </w:r>
            <w:r>
              <w:rPr>
                <w:rFonts w:ascii="Segoe UI" w:hAnsi="Segoe UI" w:eastAsia="Segoe UI" w:cs="Segoe UI"/>
                <w:color w:val="auto"/>
                <w:spacing w:val="1"/>
                <w:szCs w:val="21"/>
                <w:shd w:val="clear" w:color="auto" w:fill="FFFFFF"/>
              </w:rPr>
              <w:t>频流畅播放；支持环幕、球幕等异形屏融合拼接及几何校正，可级联扩展；搭载专业播控软件实现多任务协同管理</w:t>
            </w:r>
            <w:r>
              <w:rPr>
                <w:rFonts w:ascii="宋体" w:hAnsi="宋体" w:cs="宋体"/>
                <w:color w:val="auto"/>
                <w:szCs w:val="21"/>
                <w:lang w:val="zh-CN" w:bidi="ar"/>
              </w:rPr>
              <w:t>；</w:t>
            </w:r>
          </w:p>
          <w:p w14:paraId="30C262AD">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rPr>
              <w:t>4）</w:t>
            </w:r>
            <w:r>
              <w:rPr>
                <w:rFonts w:hint="eastAsia" w:ascii="宋体" w:hAnsi="宋体" w:cs="宋体"/>
                <w:color w:val="auto"/>
                <w:szCs w:val="21"/>
                <w:lang w:bidi="ar"/>
              </w:rPr>
              <w:t>拼接处理器：</w:t>
            </w:r>
            <w:r>
              <w:rPr>
                <w:rFonts w:ascii="Segoe UI" w:hAnsi="Segoe UI" w:eastAsia="Segoe UI" w:cs="Segoe UI"/>
                <w:color w:val="auto"/>
                <w:spacing w:val="1"/>
                <w:szCs w:val="21"/>
                <w:shd w:val="clear" w:color="auto" w:fill="FFFFFF"/>
              </w:rPr>
              <w:t>纯硬件模块化架构，支持热插拔独立运行；支持多级权限管理，可精细化分配信号源及显示区域操作权限；窗口功能支持叠加、跨通道移动及锁定保护，确保画面同步无撕裂，故障自愈</w:t>
            </w:r>
            <w:r>
              <w:rPr>
                <w:rFonts w:hint="eastAsia" w:ascii="Segoe UI" w:hAnsi="Segoe UI" w:cs="Segoe UI"/>
                <w:color w:val="auto"/>
                <w:spacing w:val="1"/>
                <w:szCs w:val="21"/>
                <w:shd w:val="clear" w:color="auto" w:fill="FFFFFF"/>
              </w:rPr>
              <w:t>等；</w:t>
            </w:r>
          </w:p>
          <w:p w14:paraId="2C504231">
            <w:pPr>
              <w:pStyle w:val="100"/>
              <w:snapToGrid w:val="0"/>
              <w:spacing w:line="380" w:lineRule="exact"/>
              <w:rPr>
                <w:color w:val="auto"/>
              </w:rPr>
            </w:pPr>
            <w:r>
              <w:rPr>
                <w:rFonts w:hint="eastAsia" w:ascii="宋体" w:hAnsi="宋体" w:cs="宋体"/>
                <w:color w:val="auto"/>
                <w:szCs w:val="21"/>
              </w:rPr>
              <w:t>5）</w:t>
            </w:r>
            <w:r>
              <w:rPr>
                <w:rFonts w:hint="eastAsia" w:ascii="宋体" w:hAnsi="宋体" w:cs="宋体"/>
                <w:color w:val="auto"/>
                <w:szCs w:val="21"/>
                <w:lang w:bidi="ar"/>
              </w:rPr>
              <w:t>显示控制设备</w:t>
            </w:r>
            <w:r>
              <w:rPr>
                <w:rFonts w:hint="eastAsia" w:ascii="宋体" w:hAnsi="宋体" w:cs="宋体"/>
                <w:color w:val="auto"/>
                <w:szCs w:val="21"/>
              </w:rPr>
              <w:t>：单台最大支持 3840×2160@60Hz 分辨率，可自定义至 7680×1080@60Hz；输入含 DP1.2 及多路 DVI 接口，输出支持 16 千兆网口与 4 路 10G 光纤（主备冗余）；搭载逐点亮色度校正技术；采用 G4 引擎确保画面无闪烁、无扫描线，同步处理技术消除拼接撕裂，具备自动备份及智能配屏功能</w:t>
            </w:r>
            <w:r>
              <w:rPr>
                <w:rFonts w:hint="eastAsia" w:ascii="宋体" w:hAnsi="宋体" w:cs="宋体"/>
                <w:color w:val="auto"/>
                <w:szCs w:val="21"/>
                <w:lang w:bidi="ar"/>
              </w:rPr>
              <w:t>；</w:t>
            </w:r>
          </w:p>
          <w:p w14:paraId="1E08263F">
            <w:pPr>
              <w:spacing w:line="380" w:lineRule="exact"/>
              <w:ind w:firstLine="420"/>
              <w:rPr>
                <w:rFonts w:hint="eastAsia" w:ascii="宋体" w:hAnsi="宋体" w:cs="宋体"/>
                <w:color w:val="auto"/>
                <w:szCs w:val="21"/>
              </w:rPr>
            </w:pPr>
            <w:r>
              <w:rPr>
                <w:rFonts w:hint="eastAsia" w:ascii="宋体" w:hAnsi="宋体" w:cs="宋体"/>
                <w:color w:val="auto"/>
                <w:szCs w:val="21"/>
              </w:rPr>
              <w:t>6）手势互动环为基于leapmotion技术的互动装置，用于精准识别手部动作实现隔空互动，手势识别的最小动作范围为0.01mm，识别角度150°，最大频率为290贴/秒;</w:t>
            </w:r>
          </w:p>
          <w:p w14:paraId="06699AC4">
            <w:pPr>
              <w:spacing w:line="380" w:lineRule="exact"/>
              <w:ind w:firstLine="420"/>
              <w:rPr>
                <w:rFonts w:hint="eastAsia" w:ascii="宋体" w:hAnsi="宋体" w:cs="宋体"/>
                <w:color w:val="auto"/>
                <w:szCs w:val="21"/>
              </w:rPr>
            </w:pPr>
            <w:r>
              <w:rPr>
                <w:rFonts w:hint="eastAsia" w:ascii="宋体" w:hAnsi="宋体" w:cs="宋体"/>
                <w:color w:val="auto"/>
                <w:szCs w:val="21"/>
              </w:rPr>
              <w:t>7)地面地图灯箱，直径约5.5米，使用钢化玻璃UV打印；</w:t>
            </w:r>
          </w:p>
          <w:p w14:paraId="514625E5">
            <w:pPr>
              <w:pStyle w:val="3"/>
              <w:spacing w:before="0" w:after="0" w:line="380" w:lineRule="exact"/>
              <w:ind w:firstLine="420"/>
              <w:rPr>
                <w:rFonts w:eastAsia="宋体"/>
                <w:color w:val="auto"/>
              </w:rPr>
            </w:pPr>
            <w:r>
              <w:rPr>
                <w:rFonts w:hint="eastAsia" w:ascii="宋体" w:hAnsi="宋体" w:eastAsia="宋体" w:cs="宋体"/>
                <w:b w:val="0"/>
                <w:bCs w:val="0"/>
                <w:color w:val="auto"/>
                <w:kern w:val="2"/>
                <w:sz w:val="21"/>
                <w:szCs w:val="21"/>
              </w:rPr>
              <w:t>8）大型核心展品除设备本身必需的控制主机之外，另配备1台移动式控制工作站用于设备调试和运维，移动式控制工作站为主流品牌机，配置不低于RTX3060级别显卡、CPU不低于11代i7、16G内存、1TB固态硬盘。</w:t>
            </w:r>
          </w:p>
        </w:tc>
        <w:tc>
          <w:tcPr>
            <w:tcW w:w="538" w:type="pct"/>
            <w:tcBorders>
              <w:tl2br w:val="nil"/>
              <w:tr2bl w:val="nil"/>
            </w:tcBorders>
            <w:vAlign w:val="center"/>
          </w:tcPr>
          <w:p w14:paraId="39B00D9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44F1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1" w:type="pct"/>
            <w:tcBorders>
              <w:tl2br w:val="nil"/>
              <w:tr2bl w:val="nil"/>
            </w:tcBorders>
            <w:vAlign w:val="center"/>
          </w:tcPr>
          <w:p w14:paraId="7B58E81D">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1-2</w:t>
            </w:r>
          </w:p>
        </w:tc>
        <w:tc>
          <w:tcPr>
            <w:tcW w:w="686" w:type="pct"/>
            <w:gridSpan w:val="2"/>
            <w:vMerge w:val="continue"/>
            <w:tcBorders>
              <w:tl2br w:val="nil"/>
              <w:tr2bl w:val="nil"/>
            </w:tcBorders>
            <w:vAlign w:val="center"/>
          </w:tcPr>
          <w:p w14:paraId="355726ED">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4D7DD93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数字丝绸路</w:t>
            </w:r>
          </w:p>
        </w:tc>
        <w:tc>
          <w:tcPr>
            <w:tcW w:w="2849" w:type="pct"/>
            <w:tcBorders>
              <w:tl2br w:val="nil"/>
              <w:tr2bl w:val="nil"/>
            </w:tcBorders>
            <w:vAlign w:val="center"/>
          </w:tcPr>
          <w:p w14:paraId="55312826">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1、参考尺寸（米）：长约4.5、宽约2.5、高约3.5</w:t>
            </w:r>
          </w:p>
          <w:p w14:paraId="43636AD3">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2、造型：中国-东盟数字丝绸之路互动大屏</w:t>
            </w:r>
          </w:p>
          <w:p w14:paraId="7A57E1AE">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3、功能描述：本展项展示中国和东盟正在以人工智能产业发展为重要契机，推动数字互联互通打造“数字丝绸之路”。结合建设中国—东盟人工智能创新合作中心为重要参考，展示南宁市将发挥地缘区位、东盟语言人才等比较优势，以场景为牵引，吸引人工智能领域技术、企业和人才集聚，打造面向东盟的人工智能产业高地的项目现状和前景。</w:t>
            </w:r>
          </w:p>
          <w:p w14:paraId="553376C0">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4、互动方式：观众走进展项区域，互动屏幕上显示广西与东盟国家的区位地图数字沙盘，观众触摸屏幕上不同的地区，对应显示中国—东盟人工智能创新合作中心的相关项目内容介绍，播放相关的人工智能等技术的原理介绍影片。</w:t>
            </w:r>
          </w:p>
          <w:p w14:paraId="18B66383">
            <w:pPr>
              <w:pStyle w:val="3"/>
              <w:spacing w:before="0" w:after="0" w:line="380" w:lineRule="exact"/>
              <w:ind w:firstLine="420"/>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5、材料与主要设备：定制触摸互动屏双屏拼接，单屏</w:t>
            </w:r>
            <w:r>
              <w:rPr>
                <w:rFonts w:hint="eastAsia" w:ascii="宋体" w:hAnsi="宋体" w:eastAsia="宋体" w:cs="宋体"/>
                <w:b w:val="0"/>
                <w:bCs w:val="0"/>
                <w:color w:val="auto"/>
                <w:kern w:val="2"/>
                <w:sz w:val="21"/>
                <w:szCs w:val="21"/>
                <w:lang w:val="en-US" w:eastAsia="zh-CN"/>
              </w:rPr>
              <w:t>尺寸</w:t>
            </w:r>
            <w:r>
              <w:rPr>
                <w:rFonts w:hint="eastAsia" w:ascii="宋体" w:hAnsi="宋体" w:eastAsia="宋体" w:cs="宋体"/>
                <w:b w:val="0"/>
                <w:bCs w:val="0"/>
                <w:color w:val="auto"/>
                <w:kern w:val="2"/>
                <w:sz w:val="21"/>
                <w:szCs w:val="21"/>
              </w:rPr>
              <w:t>不低于85英寸，单屏分辨率为3840</w:t>
            </w:r>
            <w:r>
              <w:rPr>
                <w:rFonts w:hint="eastAsia" w:ascii="宋体" w:hAnsi="宋体" w:eastAsia="宋体" w:cs="宋体"/>
                <w:b w:val="0"/>
                <w:bCs w:val="0"/>
                <w:color w:val="auto"/>
                <w:kern w:val="2"/>
                <w:sz w:val="21"/>
                <w:szCs w:val="21"/>
                <w:lang w:val="en-US" w:eastAsia="zh-CN"/>
              </w:rPr>
              <w:t>×2160</w:t>
            </w:r>
            <w:r>
              <w:rPr>
                <w:rFonts w:hint="eastAsia" w:ascii="宋体" w:hAnsi="宋体" w:eastAsia="宋体" w:cs="宋体"/>
                <w:b w:val="0"/>
                <w:bCs w:val="0"/>
                <w:color w:val="auto"/>
                <w:kern w:val="2"/>
                <w:sz w:val="21"/>
                <w:szCs w:val="21"/>
              </w:rPr>
              <w:t>；搭配配置为显卡不低于RTX4060、Cpu不低于12代i7的主流品牌电脑主机作为控制主机。</w:t>
            </w:r>
          </w:p>
        </w:tc>
        <w:tc>
          <w:tcPr>
            <w:tcW w:w="538" w:type="pct"/>
            <w:tcBorders>
              <w:tl2br w:val="nil"/>
              <w:tr2bl w:val="nil"/>
            </w:tcBorders>
            <w:vAlign w:val="center"/>
          </w:tcPr>
          <w:p w14:paraId="187D977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584D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91" w:type="pct"/>
            <w:tcBorders>
              <w:tl2br w:val="nil"/>
              <w:tr2bl w:val="nil"/>
            </w:tcBorders>
            <w:vAlign w:val="center"/>
          </w:tcPr>
          <w:p w14:paraId="6AF57CD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686" w:type="pct"/>
            <w:gridSpan w:val="2"/>
            <w:vMerge w:val="restart"/>
            <w:tcBorders>
              <w:tl2br w:val="nil"/>
              <w:tr2bl w:val="nil"/>
            </w:tcBorders>
            <w:vAlign w:val="center"/>
          </w:tcPr>
          <w:p w14:paraId="66C3446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砖石遗韵</w:t>
            </w:r>
          </w:p>
          <w:p w14:paraId="6C2347C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——东盟石砌建筑的筑梦之旅</w:t>
            </w:r>
          </w:p>
        </w:tc>
        <w:tc>
          <w:tcPr>
            <w:tcW w:w="534" w:type="pct"/>
            <w:tcBorders>
              <w:tl2br w:val="nil"/>
              <w:tr2bl w:val="nil"/>
            </w:tcBorders>
            <w:vAlign w:val="center"/>
          </w:tcPr>
          <w:p w14:paraId="208597E1">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古建探秘</w:t>
            </w:r>
          </w:p>
        </w:tc>
        <w:tc>
          <w:tcPr>
            <w:tcW w:w="2849" w:type="pct"/>
            <w:tcBorders>
              <w:tl2br w:val="nil"/>
              <w:tr2bl w:val="nil"/>
            </w:tcBorders>
            <w:vAlign w:val="center"/>
          </w:tcPr>
          <w:p w14:paraId="40204C8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1、参考尺寸（长×宽×高）：</w:t>
            </w:r>
            <w:r>
              <w:rPr>
                <w:rFonts w:hint="eastAsia" w:ascii="宋体" w:hAnsi="宋体" w:cs="宋体"/>
                <w:color w:val="auto"/>
                <w:kern w:val="0"/>
                <w:szCs w:val="21"/>
              </w:rPr>
              <w:t>吴哥窟（5m×4m×3m）、婆罗浮屠（4.4m×8.4m×2.5m）、蒲甘佛寺（5m×2m×2.5m）、巴洛克教堂（6m×3.5m×2.5m）</w:t>
            </w:r>
          </w:p>
          <w:p w14:paraId="3223F2C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东盟古代建筑模型</w:t>
            </w:r>
          </w:p>
          <w:p w14:paraId="282607E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采用半复原半剖面模型展现吴哥窟（柬埔寨）、婆罗浮屠（印尼）、蒲甘佛寺（缅甸）、巴洛克教堂（菲律宾）等世界文化遗产古建筑。利用投影互动技术再现这些古代石砌建筑构筑的科学原理与工程技术，例如构造（如夯土、砖石结合段），石料开采和运输技术、灰浆配方（如糯米石灰）和排水系统设计。结合吴哥城等古代建筑对护城河的运用，以剖面的形式展示护城河对地形地质调控的功能（缓解热带气候对石材的热胀冷缩、旱季灌溉-雨季排洪）。</w:t>
            </w:r>
          </w:p>
          <w:p w14:paraId="78DFED7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4、互动方式：</w:t>
            </w:r>
          </w:p>
          <w:p w14:paraId="5608E3B5">
            <w:pPr>
              <w:widowControl/>
              <w:spacing w:line="380" w:lineRule="exact"/>
              <w:jc w:val="left"/>
              <w:rPr>
                <w:rFonts w:hint="eastAsia" w:ascii="宋体" w:hAnsi="宋体" w:cs="宋体"/>
                <w:color w:val="auto"/>
                <w:kern w:val="0"/>
                <w:szCs w:val="21"/>
              </w:rPr>
            </w:pPr>
            <w:r>
              <w:rPr>
                <w:rFonts w:hint="eastAsia" w:ascii="宋体" w:hAnsi="宋体" w:cs="宋体"/>
                <w:color w:val="auto"/>
                <w:kern w:val="0"/>
                <w:szCs w:val="21"/>
              </w:rPr>
              <w:t>观众可在操作台上操作不同按钮或手动触摸模型部分位置的旋转开合，触发投影、屏幕等多媒体画面，观看东盟古代石砌建筑构筑的科学原理与工程技术。</w:t>
            </w:r>
          </w:p>
          <w:p w14:paraId="68297CEA">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吴哥窟（柬埔寨）：展项主体是一个柬埔寨吴哥窟中央塔楼及第一层回廊的半复原半剖面复原模型，模型上设三个不同区域。如LED灯压力分布显示区，当观众互动后对应的区域根据压力重分布调整颜色，同时融入投影画面；视频演示区，在模型上嵌有电视机或显示器，循环播放塔楼重力支撑动画；机械互动区，设置约3组可拆卸砂岩模型，观众通过按钮操作。</w:t>
            </w:r>
          </w:p>
          <w:p w14:paraId="4166C294">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婆罗浮屠（印尼）：展项主体是一个多层可旋转的机械模型，模型第一层-塔基：欲界；模型第二层-方台塔身：色界；模型第三层-圆台塔身：无色界；模型第四层-主佛塔：涅槃。观众在触摸屏上旋转对齐一层后，机械模型随之旋转，同时触摸屏上影片或图文介绍该层浮雕的佛教故事。</w:t>
            </w:r>
          </w:p>
          <w:p w14:paraId="68377206">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蒲甘佛寺（缅甸）：展项分为两部分，模型区和互动区。模型区陈列蒲甘塔林模型，并在墙面设有一台电视机，影片循环播放，科普蒲甘佛塔的“实心塔座”和“阶梯收分”是如何分散地震力的；互动区观众首先在搭建区通过平砌、丁砌等砌法搭建小型砖塔模型，完成后将其放在模拟地震台上，通过旋钮调节震级（1-5级），对比观察哪种结构更稳固。</w:t>
            </w:r>
          </w:p>
          <w:p w14:paraId="40611E3E">
            <w:pPr>
              <w:widowControl/>
              <w:numPr>
                <w:ilvl w:val="0"/>
                <w:numId w:val="5"/>
              </w:numPr>
              <w:spacing w:line="380" w:lineRule="exact"/>
              <w:jc w:val="left"/>
              <w:rPr>
                <w:rFonts w:hint="eastAsia" w:ascii="宋体" w:hAnsi="宋体" w:cs="宋体"/>
                <w:color w:val="auto"/>
                <w:kern w:val="0"/>
                <w:szCs w:val="21"/>
              </w:rPr>
            </w:pPr>
            <w:r>
              <w:rPr>
                <w:rFonts w:hint="eastAsia" w:ascii="宋体" w:hAnsi="宋体" w:cs="宋体"/>
                <w:color w:val="auto"/>
                <w:kern w:val="0"/>
                <w:szCs w:val="21"/>
              </w:rPr>
              <w:t>巴洛克教堂（菲律宾）：展项呈L型，立面设几块拼接屏，台面靠墙设一个菲律宾的巴克拉杨大教堂模型，靠近观众的位置，设穹顶、浮雕、立柱和珊瑚石立面四个机械模型，机械模型前各设一个旋钮，观众旋转旋钮，对应机械模型旋转、开合等，显示其细节，同时拼接屏播放影片展示三维模型或实景影像。</w:t>
            </w:r>
          </w:p>
          <w:p w14:paraId="2E146D99">
            <w:pPr>
              <w:pStyle w:val="33"/>
              <w:spacing w:before="0" w:after="0" w:line="380" w:lineRule="exact"/>
              <w:ind w:firstLine="0" w:firstLineChars="0"/>
              <w:rPr>
                <w:rFonts w:hint="eastAsia" w:cs="宋体"/>
                <w:color w:val="auto"/>
                <w:kern w:val="0"/>
                <w:sz w:val="21"/>
                <w:szCs w:val="21"/>
              </w:rPr>
            </w:pPr>
            <w:r>
              <w:rPr>
                <w:rFonts w:hint="eastAsia" w:cs="宋体"/>
                <w:color w:val="auto"/>
                <w:kern w:val="0"/>
                <w:sz w:val="21"/>
                <w:szCs w:val="21"/>
              </w:rPr>
              <w:t>5、材料与主要设备：</w:t>
            </w:r>
          </w:p>
          <w:p w14:paraId="60BD4E10">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1）还原各项东盟文化遗产古建筑的大型仿真模型，模型用料为高质量高密度的仿真材料；</w:t>
            </w:r>
          </w:p>
          <w:p w14:paraId="5968A097">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w:t>
            </w:r>
            <w:bookmarkStart w:id="49" w:name="OLE_LINK1"/>
            <w:r>
              <w:rPr>
                <w:rFonts w:hint="eastAsia" w:ascii="宋体" w:hAnsi="宋体" w:cs="宋体"/>
                <w:color w:val="auto"/>
                <w:kern w:val="0"/>
                <w:szCs w:val="21"/>
              </w:rPr>
              <w:t>触摸互动所用多媒体显示屏为分辨率不低于2K、尺寸为40寸左右液晶触摸显示屏</w:t>
            </w:r>
            <w:bookmarkEnd w:id="49"/>
            <w:r>
              <w:rPr>
                <w:rFonts w:hint="eastAsia" w:ascii="宋体" w:hAnsi="宋体" w:cs="宋体"/>
                <w:color w:val="auto"/>
                <w:kern w:val="0"/>
                <w:szCs w:val="21"/>
              </w:rPr>
              <w:t>；</w:t>
            </w:r>
          </w:p>
          <w:p w14:paraId="1DE5A676">
            <w:pPr>
              <w:pStyle w:val="18"/>
              <w:ind w:firstLine="420" w:firstLineChars="200"/>
              <w:rPr>
                <w:rFonts w:hint="eastAsia" w:ascii="宋体" w:hAnsi="宋体" w:cs="宋体"/>
                <w:color w:val="auto"/>
                <w:sz w:val="21"/>
                <w:szCs w:val="21"/>
              </w:rPr>
            </w:pPr>
            <w:r>
              <w:rPr>
                <w:rFonts w:hint="eastAsia" w:ascii="宋体" w:hAnsi="宋体" w:cs="宋体"/>
                <w:color w:val="auto"/>
                <w:sz w:val="21"/>
                <w:szCs w:val="21"/>
              </w:rPr>
              <w:t>3）投影画面所用投影仪应为主流品牌激光光源，ANSI亮度不低于7000lm；</w:t>
            </w:r>
          </w:p>
          <w:p w14:paraId="4F7F2633">
            <w:pPr>
              <w:pStyle w:val="18"/>
              <w:ind w:firstLine="420" w:firstLineChars="200"/>
              <w:rPr>
                <w:color w:val="auto"/>
              </w:rPr>
            </w:pPr>
            <w:r>
              <w:rPr>
                <w:rFonts w:hint="eastAsia" w:ascii="宋体" w:hAnsi="宋体" w:cs="宋体"/>
                <w:color w:val="auto"/>
                <w:sz w:val="21"/>
                <w:szCs w:val="21"/>
              </w:rPr>
              <w:t>4）大型核心展品除设备本身必需的控制主机之外，另配备1台移动式控制</w:t>
            </w:r>
            <w:r>
              <w:rPr>
                <w:rFonts w:hint="eastAsia" w:ascii="宋体" w:hAnsi="宋体" w:cs="宋体"/>
                <w:color w:val="auto"/>
                <w:kern w:val="2"/>
                <w:sz w:val="21"/>
                <w:szCs w:val="21"/>
              </w:rPr>
              <w:t>工作站</w:t>
            </w:r>
            <w:r>
              <w:rPr>
                <w:rFonts w:hint="eastAsia" w:ascii="宋体" w:hAnsi="宋体" w:cs="宋体"/>
                <w:color w:val="auto"/>
                <w:sz w:val="21"/>
                <w:szCs w:val="21"/>
              </w:rPr>
              <w:t>用于设备调试和运维，移动式控制</w:t>
            </w:r>
            <w:r>
              <w:rPr>
                <w:rFonts w:hint="eastAsia" w:ascii="宋体" w:hAnsi="宋体" w:cs="宋体"/>
                <w:color w:val="auto"/>
                <w:kern w:val="2"/>
                <w:sz w:val="21"/>
                <w:szCs w:val="21"/>
              </w:rPr>
              <w:t>工作站</w:t>
            </w:r>
            <w:r>
              <w:rPr>
                <w:rFonts w:hint="eastAsia" w:ascii="宋体" w:hAnsi="宋体" w:cs="宋体"/>
                <w:color w:val="auto"/>
                <w:sz w:val="21"/>
                <w:szCs w:val="21"/>
              </w:rPr>
              <w:t>应为主流品牌机，配置不低于RTX3060级别显卡、CPU不低于11代i7、16G内存、1TB固态硬盘。</w:t>
            </w:r>
          </w:p>
        </w:tc>
        <w:tc>
          <w:tcPr>
            <w:tcW w:w="538" w:type="pct"/>
            <w:tcBorders>
              <w:tl2br w:val="nil"/>
              <w:tr2bl w:val="nil"/>
            </w:tcBorders>
            <w:vAlign w:val="center"/>
          </w:tcPr>
          <w:p w14:paraId="0E2FBC09">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36BC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1" w:type="pct"/>
            <w:tcBorders>
              <w:tl2br w:val="nil"/>
              <w:tr2bl w:val="nil"/>
            </w:tcBorders>
            <w:vAlign w:val="center"/>
          </w:tcPr>
          <w:p w14:paraId="2B0780E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2-2</w:t>
            </w:r>
          </w:p>
        </w:tc>
        <w:tc>
          <w:tcPr>
            <w:tcW w:w="686" w:type="pct"/>
            <w:gridSpan w:val="2"/>
            <w:vMerge w:val="continue"/>
            <w:tcBorders>
              <w:tl2br w:val="nil"/>
              <w:tr2bl w:val="nil"/>
            </w:tcBorders>
            <w:vAlign w:val="center"/>
          </w:tcPr>
          <w:p w14:paraId="59E94CF3">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6639EC1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地脉协奏</w:t>
            </w:r>
          </w:p>
        </w:tc>
        <w:tc>
          <w:tcPr>
            <w:tcW w:w="2849" w:type="pct"/>
            <w:tcBorders>
              <w:tl2br w:val="nil"/>
              <w:tr2bl w:val="nil"/>
            </w:tcBorders>
            <w:vAlign w:val="center"/>
          </w:tcPr>
          <w:p w14:paraId="57239BE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长约2.5、宽约1.4、高约2</w:t>
            </w:r>
          </w:p>
          <w:p w14:paraId="0C1FD8F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基于振动台体结合东盟古今建筑结构</w:t>
            </w:r>
          </w:p>
          <w:p w14:paraId="3CD22CA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石砌建筑通常利用大块石材(如毛石、方石、条石等)进行整齐排列，通过自身重力实现平衡和稳定，因此其结构形式更注重重力分布和力学结构。垒砌时，通常采用垂直荷载分布结构，使用较宽的基础以承载上部的自重。其中主要的有婆罗浮居主塔边上的多孔舍利塔、蒲甘佛塔、吴哥窟等。展项主要由造型台体、震动机构、互动拼装模型等组成，拼装模型包括石砌结构和现代高楼抗震结构。</w:t>
            </w:r>
          </w:p>
          <w:p w14:paraId="6606F43A">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可通过搭建了解叠涩结构、梁柱结构拱券结构、穹顶结构和榫卯结构等类型的古建筑对比其优缺点并对搭建好的建筑进行抗震检测；观众在台面上使用互动拼装模型进行房屋搭建拼装，拼装后的房屋模型放在震动平台上，旋转旋钮调节震动幅度，学习石砌建筑和现在建筑的抗震阻尼对于降低地震损伤的抗震原理和抗震能力。</w:t>
            </w:r>
          </w:p>
          <w:p w14:paraId="33D449CF">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还原各项东盟文化遗产古建筑模型，模型用料为高质量高密度的主流材料。</w:t>
            </w:r>
          </w:p>
        </w:tc>
        <w:tc>
          <w:tcPr>
            <w:tcW w:w="538" w:type="pct"/>
            <w:vMerge w:val="restart"/>
            <w:tcBorders>
              <w:tl2br w:val="nil"/>
              <w:tr2bl w:val="nil"/>
            </w:tcBorders>
            <w:vAlign w:val="center"/>
          </w:tcPr>
          <w:p w14:paraId="722063E3">
            <w:pPr>
              <w:widowControl/>
              <w:spacing w:line="380" w:lineRule="exact"/>
              <w:jc w:val="center"/>
              <w:rPr>
                <w:rFonts w:hint="eastAsia" w:ascii="宋体" w:hAnsi="宋体" w:cs="宋体"/>
                <w:color w:val="auto"/>
                <w:kern w:val="0"/>
                <w:szCs w:val="21"/>
              </w:rPr>
            </w:pPr>
          </w:p>
          <w:p w14:paraId="5FA4E590">
            <w:pPr>
              <w:widowControl/>
              <w:spacing w:line="380" w:lineRule="exact"/>
              <w:jc w:val="center"/>
              <w:rPr>
                <w:rFonts w:hint="eastAsia" w:ascii="宋体" w:hAnsi="宋体" w:cs="宋体"/>
                <w:color w:val="auto"/>
                <w:kern w:val="0"/>
                <w:szCs w:val="21"/>
              </w:rPr>
            </w:pPr>
          </w:p>
          <w:p w14:paraId="5407A6F1">
            <w:pPr>
              <w:widowControl/>
              <w:spacing w:line="380" w:lineRule="exact"/>
              <w:jc w:val="center"/>
              <w:rPr>
                <w:rFonts w:hint="eastAsia" w:ascii="宋体" w:hAnsi="宋体" w:cs="宋体"/>
                <w:color w:val="auto"/>
                <w:kern w:val="0"/>
                <w:szCs w:val="21"/>
              </w:rPr>
            </w:pPr>
          </w:p>
          <w:p w14:paraId="449C5F64">
            <w:pPr>
              <w:widowControl/>
              <w:spacing w:line="380" w:lineRule="exact"/>
              <w:jc w:val="center"/>
              <w:rPr>
                <w:rFonts w:hint="eastAsia" w:ascii="宋体" w:hAnsi="宋体" w:cs="宋体"/>
                <w:color w:val="auto"/>
                <w:kern w:val="0"/>
                <w:szCs w:val="21"/>
              </w:rPr>
            </w:pPr>
          </w:p>
          <w:p w14:paraId="3E045220">
            <w:pPr>
              <w:widowControl/>
              <w:spacing w:line="380" w:lineRule="exact"/>
              <w:jc w:val="center"/>
              <w:rPr>
                <w:rFonts w:hint="eastAsia" w:ascii="宋体" w:hAnsi="宋体" w:cs="宋体"/>
                <w:color w:val="auto"/>
                <w:kern w:val="0"/>
                <w:szCs w:val="21"/>
              </w:rPr>
            </w:pPr>
          </w:p>
          <w:p w14:paraId="46CF6473">
            <w:pPr>
              <w:widowControl/>
              <w:spacing w:line="380" w:lineRule="exact"/>
              <w:jc w:val="center"/>
              <w:rPr>
                <w:rFonts w:hint="eastAsia" w:ascii="宋体" w:hAnsi="宋体" w:cs="宋体"/>
                <w:color w:val="auto"/>
                <w:kern w:val="0"/>
                <w:szCs w:val="21"/>
              </w:rPr>
            </w:pPr>
          </w:p>
          <w:p w14:paraId="1D4D6CEA">
            <w:pPr>
              <w:widowControl/>
              <w:spacing w:line="380" w:lineRule="exact"/>
              <w:jc w:val="center"/>
              <w:rPr>
                <w:rFonts w:hint="eastAsia" w:ascii="宋体" w:hAnsi="宋体" w:cs="宋体"/>
                <w:color w:val="auto"/>
                <w:kern w:val="0"/>
                <w:szCs w:val="21"/>
              </w:rPr>
            </w:pPr>
          </w:p>
          <w:p w14:paraId="3E581E61">
            <w:pPr>
              <w:widowControl/>
              <w:spacing w:line="380" w:lineRule="exact"/>
              <w:jc w:val="center"/>
              <w:rPr>
                <w:rFonts w:hint="eastAsia" w:ascii="宋体" w:hAnsi="宋体" w:cs="宋体"/>
                <w:color w:val="auto"/>
                <w:kern w:val="0"/>
                <w:szCs w:val="21"/>
              </w:rPr>
            </w:pPr>
          </w:p>
          <w:p w14:paraId="5592531E">
            <w:pPr>
              <w:widowControl/>
              <w:spacing w:line="380" w:lineRule="exact"/>
              <w:jc w:val="center"/>
              <w:rPr>
                <w:rFonts w:hint="eastAsia" w:ascii="宋体" w:hAnsi="宋体" w:cs="宋体"/>
                <w:color w:val="auto"/>
                <w:kern w:val="0"/>
                <w:szCs w:val="21"/>
              </w:rPr>
            </w:pPr>
          </w:p>
          <w:p w14:paraId="698B849B">
            <w:pPr>
              <w:widowControl/>
              <w:spacing w:line="380" w:lineRule="exact"/>
              <w:jc w:val="center"/>
              <w:rPr>
                <w:rFonts w:hint="eastAsia" w:ascii="宋体" w:hAnsi="宋体" w:cs="宋体"/>
                <w:color w:val="auto"/>
                <w:kern w:val="0"/>
                <w:szCs w:val="21"/>
              </w:rPr>
            </w:pPr>
          </w:p>
          <w:p w14:paraId="286B1EED">
            <w:pPr>
              <w:widowControl/>
              <w:spacing w:line="380" w:lineRule="exact"/>
              <w:jc w:val="center"/>
              <w:rPr>
                <w:rFonts w:hint="eastAsia" w:ascii="宋体" w:hAnsi="宋体" w:cs="宋体"/>
                <w:color w:val="auto"/>
                <w:kern w:val="0"/>
                <w:szCs w:val="21"/>
              </w:rPr>
            </w:pPr>
          </w:p>
          <w:p w14:paraId="308E442A">
            <w:pPr>
              <w:widowControl/>
              <w:spacing w:line="380" w:lineRule="exact"/>
              <w:jc w:val="center"/>
              <w:rPr>
                <w:rFonts w:hint="eastAsia" w:ascii="宋体" w:hAnsi="宋体" w:cs="宋体"/>
                <w:color w:val="auto"/>
                <w:kern w:val="0"/>
                <w:szCs w:val="21"/>
              </w:rPr>
            </w:pPr>
          </w:p>
          <w:p w14:paraId="5CD9BF78">
            <w:pPr>
              <w:widowControl/>
              <w:spacing w:line="380" w:lineRule="exact"/>
              <w:jc w:val="center"/>
              <w:rPr>
                <w:rFonts w:hint="eastAsia" w:ascii="宋体" w:hAnsi="宋体" w:cs="宋体"/>
                <w:color w:val="auto"/>
                <w:kern w:val="0"/>
                <w:szCs w:val="21"/>
              </w:rPr>
            </w:pPr>
          </w:p>
          <w:p w14:paraId="289351F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0FBA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0BB1DBB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2-3</w:t>
            </w:r>
          </w:p>
        </w:tc>
        <w:tc>
          <w:tcPr>
            <w:tcW w:w="686" w:type="pct"/>
            <w:gridSpan w:val="2"/>
            <w:vMerge w:val="continue"/>
            <w:tcBorders>
              <w:tl2br w:val="nil"/>
              <w:tr2bl w:val="nil"/>
            </w:tcBorders>
            <w:vAlign w:val="center"/>
          </w:tcPr>
          <w:p w14:paraId="4147E2E9">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7DD8EB25">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天工榫语</w:t>
            </w:r>
          </w:p>
        </w:tc>
        <w:tc>
          <w:tcPr>
            <w:tcW w:w="2849" w:type="pct"/>
            <w:tcBorders>
              <w:tl2br w:val="nil"/>
              <w:tr2bl w:val="nil"/>
            </w:tcBorders>
            <w:noWrap/>
            <w:vAlign w:val="center"/>
          </w:tcPr>
          <w:p w14:paraId="05C1D6DE">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长约2.5、宽约1.1、高约2</w:t>
            </w:r>
          </w:p>
          <w:p w14:paraId="785CAFD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由台体、互动拼装模块等组成。</w:t>
            </w:r>
          </w:p>
          <w:p w14:paraId="16D2462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砖石的榫卯连接出现的年代较早，在出土的地下砖墓中较为多见。砖石建筑中粘结材料质量较差，应用榫卯连接方法的企口和楔形砖能大大加强砖块之间的拉结，使结构更加可靠其中主要的案例有婆罗浮屠的叠涩拱、吴哥窟的石砌城门等。</w:t>
            </w:r>
          </w:p>
          <w:p w14:paraId="1BDA6D56">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观众在台面上进行互动拼装模块拼搭，感受砖石的榫卯结构拼装过程，学习榫卯结构在砖石建筑中的使用。</w:t>
            </w:r>
          </w:p>
          <w:p w14:paraId="25A138F0">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拼装材料表面需用光滑低摩擦材质。</w:t>
            </w:r>
          </w:p>
        </w:tc>
        <w:tc>
          <w:tcPr>
            <w:tcW w:w="538" w:type="pct"/>
            <w:vMerge w:val="continue"/>
            <w:tcBorders>
              <w:tl2br w:val="nil"/>
              <w:tr2bl w:val="nil"/>
            </w:tcBorders>
            <w:noWrap/>
            <w:vAlign w:val="center"/>
          </w:tcPr>
          <w:p w14:paraId="3512079C">
            <w:pPr>
              <w:widowControl/>
              <w:spacing w:line="380" w:lineRule="exact"/>
              <w:jc w:val="center"/>
              <w:rPr>
                <w:rFonts w:hint="eastAsia" w:ascii="宋体" w:hAnsi="宋体" w:cs="宋体"/>
                <w:color w:val="auto"/>
                <w:kern w:val="0"/>
                <w:szCs w:val="21"/>
              </w:rPr>
            </w:pPr>
          </w:p>
        </w:tc>
      </w:tr>
      <w:tr w14:paraId="5667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09ED732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2-4</w:t>
            </w:r>
          </w:p>
        </w:tc>
        <w:tc>
          <w:tcPr>
            <w:tcW w:w="686" w:type="pct"/>
            <w:gridSpan w:val="2"/>
            <w:vMerge w:val="continue"/>
            <w:tcBorders>
              <w:tl2br w:val="nil"/>
              <w:tr2bl w:val="nil"/>
            </w:tcBorders>
            <w:vAlign w:val="center"/>
          </w:tcPr>
          <w:p w14:paraId="7566C64D">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02D267D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筑韵千叠</w:t>
            </w:r>
          </w:p>
        </w:tc>
        <w:tc>
          <w:tcPr>
            <w:tcW w:w="2849" w:type="pct"/>
            <w:tcBorders>
              <w:tl2br w:val="nil"/>
              <w:tr2bl w:val="nil"/>
            </w:tcBorders>
            <w:vAlign w:val="center"/>
          </w:tcPr>
          <w:p w14:paraId="5CE6844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长约1.6、宽约0.8、高约0.8</w:t>
            </w:r>
          </w:p>
          <w:p w14:paraId="126DD4E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主体展台环形布局，中央为东盟建筑简化微缩模型，外围为互动搭建区。</w:t>
            </w:r>
          </w:p>
          <w:p w14:paraId="1A8DF12C">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展品设计遵循建筑力学原理，模拟石料在实际建筑中的受力情况。利用搭建材料模拟石料自重，展示如何通过合理的堆叠方式和结构设计，使建筑模型在重力作用下保持稳定。选取东盟国家标志性石制建筑（印尼婆罗浮屠、缅甸蒲甘佛塔等）作为蓝本，按比例简化建筑原型，保留关键力学结构（如拱顶、叠涩）设计搭建材料。</w:t>
            </w:r>
          </w:p>
          <w:p w14:paraId="5269E87E">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可以自由选取组件，在展品指定的搭建区域进行搭建操作。每个组件表面都标记有编号和简单的连接说明，观众可以通过查看说明按照一定的顺序和方式进行拼接。在搭建过程中，可随时参考中央的微缩模型和图文内容的知识讲解。</w:t>
            </w:r>
          </w:p>
          <w:p w14:paraId="44091CDD">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造景材料用料为高质量高密度的主流材料。</w:t>
            </w:r>
          </w:p>
        </w:tc>
        <w:tc>
          <w:tcPr>
            <w:tcW w:w="538" w:type="pct"/>
            <w:vMerge w:val="continue"/>
            <w:tcBorders>
              <w:tl2br w:val="nil"/>
              <w:tr2bl w:val="nil"/>
            </w:tcBorders>
            <w:vAlign w:val="center"/>
          </w:tcPr>
          <w:p w14:paraId="2CA52420">
            <w:pPr>
              <w:widowControl/>
              <w:spacing w:line="380" w:lineRule="exact"/>
              <w:jc w:val="center"/>
              <w:rPr>
                <w:rFonts w:hint="eastAsia" w:ascii="宋体" w:hAnsi="宋体" w:cs="宋体"/>
                <w:color w:val="auto"/>
                <w:kern w:val="0"/>
                <w:szCs w:val="21"/>
              </w:rPr>
            </w:pPr>
          </w:p>
        </w:tc>
      </w:tr>
      <w:tr w14:paraId="360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630989F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2-5</w:t>
            </w:r>
          </w:p>
        </w:tc>
        <w:tc>
          <w:tcPr>
            <w:tcW w:w="686" w:type="pct"/>
            <w:gridSpan w:val="2"/>
            <w:vMerge w:val="continue"/>
            <w:tcBorders>
              <w:tl2br w:val="nil"/>
              <w:tr2bl w:val="nil"/>
            </w:tcBorders>
            <w:vAlign w:val="center"/>
          </w:tcPr>
          <w:p w14:paraId="7FFFF039">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18AFACD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时光的拼图</w:t>
            </w:r>
          </w:p>
        </w:tc>
        <w:tc>
          <w:tcPr>
            <w:tcW w:w="2849" w:type="pct"/>
            <w:tcBorders>
              <w:tl2br w:val="nil"/>
              <w:tr2bl w:val="nil"/>
            </w:tcBorders>
            <w:vAlign w:val="center"/>
          </w:tcPr>
          <w:p w14:paraId="2685E6B5">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长约5、宽约3、高约3</w:t>
            </w:r>
          </w:p>
          <w:p w14:paraId="79F06F3D">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考古发掘现场造景</w:t>
            </w:r>
          </w:p>
          <w:p w14:paraId="17E86DED">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东盟国家拥有丰富的历史和文化遗产，其中许多著名的古代建筑反映了多元的宗教、文化和建筑风格。其中主要的有吴哥窟、玉佛寺：仰光大金塔、婆罗浮屠、琅勃拉邦古城、圣奥古斯丁教堂等。展项主要由考古现场造景和多媒体互动平板组成。观众进入到造景空间，看看古代建筑造景了解东盟国家著名的古代石砌建筑。用手晃动观景仪，通过 AR 多媒体观看古代建筑考古发掘现场，并体验发掘和修复过程，借助人工智能辅助教学技术学习考古发掘的正确方法。</w:t>
            </w:r>
          </w:p>
          <w:p w14:paraId="4ACDCCD4">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进入考古造景现场，观看东盟著名的古代建筑。观众使用铲子、凿子等工具，对现场沙地进行挖掘，观众可以用挖掘出来的砖石修补破损的古建筑；转动AR交互设备对准地面或者古建筑，可观看到利用屏幕中出现的悬浮的模型；观众通过点击屏幕上的模型，增加对考古挖掘和古建筑结构的了解。</w:t>
            </w:r>
          </w:p>
          <w:p w14:paraId="5437AF8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775628C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1）还原各项东盟文化遗产古建筑模型，模型用料为高质量高密度的主流材料；</w:t>
            </w:r>
          </w:p>
          <w:p w14:paraId="3F667C55">
            <w:pPr>
              <w:widowControl/>
              <w:spacing w:line="380" w:lineRule="exact"/>
              <w:ind w:firstLine="420" w:firstLineChars="200"/>
              <w:jc w:val="left"/>
              <w:rPr>
                <w:color w:val="auto"/>
              </w:rPr>
            </w:pPr>
            <w:r>
              <w:rPr>
                <w:rFonts w:hint="eastAsia" w:ascii="宋体" w:hAnsi="宋体" w:cs="宋体"/>
                <w:color w:val="auto"/>
                <w:kern w:val="0"/>
                <w:szCs w:val="21"/>
              </w:rPr>
              <w:t>2）含2套AR考古互动设备，及搭配的AR互动软件。</w:t>
            </w:r>
          </w:p>
        </w:tc>
        <w:tc>
          <w:tcPr>
            <w:tcW w:w="538" w:type="pct"/>
            <w:vMerge w:val="continue"/>
            <w:tcBorders>
              <w:tl2br w:val="nil"/>
              <w:tr2bl w:val="nil"/>
            </w:tcBorders>
            <w:vAlign w:val="center"/>
          </w:tcPr>
          <w:p w14:paraId="59BCAB69">
            <w:pPr>
              <w:widowControl/>
              <w:spacing w:line="380" w:lineRule="exact"/>
              <w:jc w:val="center"/>
              <w:rPr>
                <w:rFonts w:hint="eastAsia" w:ascii="宋体" w:hAnsi="宋体" w:cs="宋体"/>
                <w:color w:val="auto"/>
                <w:kern w:val="0"/>
                <w:szCs w:val="21"/>
              </w:rPr>
            </w:pPr>
          </w:p>
        </w:tc>
      </w:tr>
      <w:tr w14:paraId="58E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064222A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2-6</w:t>
            </w:r>
          </w:p>
        </w:tc>
        <w:tc>
          <w:tcPr>
            <w:tcW w:w="686" w:type="pct"/>
            <w:gridSpan w:val="2"/>
            <w:vMerge w:val="continue"/>
            <w:tcBorders>
              <w:tl2br w:val="nil"/>
              <w:tr2bl w:val="nil"/>
            </w:tcBorders>
            <w:vAlign w:val="center"/>
          </w:tcPr>
          <w:p w14:paraId="323880B7">
            <w:pPr>
              <w:widowControl/>
              <w:spacing w:line="380" w:lineRule="exact"/>
              <w:jc w:val="center"/>
              <w:rPr>
                <w:rFonts w:hint="eastAsia" w:ascii="宋体" w:hAnsi="宋体" w:cs="宋体"/>
                <w:color w:val="auto"/>
                <w:kern w:val="0"/>
                <w:szCs w:val="21"/>
              </w:rPr>
            </w:pPr>
          </w:p>
        </w:tc>
        <w:tc>
          <w:tcPr>
            <w:tcW w:w="534" w:type="pct"/>
            <w:tcBorders>
              <w:tl2br w:val="nil"/>
              <w:tr2bl w:val="nil"/>
            </w:tcBorders>
            <w:vAlign w:val="center"/>
          </w:tcPr>
          <w:p w14:paraId="3CAEC5B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岩心万象</w:t>
            </w:r>
          </w:p>
        </w:tc>
        <w:tc>
          <w:tcPr>
            <w:tcW w:w="2849" w:type="pct"/>
            <w:tcBorders>
              <w:tl2br w:val="nil"/>
              <w:tr2bl w:val="nil"/>
            </w:tcBorders>
            <w:vAlign w:val="center"/>
          </w:tcPr>
          <w:p w14:paraId="17E40A8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长约4、宽约1.8、高约3</w:t>
            </w:r>
          </w:p>
          <w:p w14:paraId="22737E2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由金属框架、样品陈列区和多媒体互动区组成</w:t>
            </w:r>
          </w:p>
          <w:p w14:paraId="43BAA99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陈列东南亚地区特有的石材样本，标注硬度、吸水率等参数，配合显微镜观察晶体结构。展示包括楔子、铁钎、绳锤等工具，辅以视频演示和实验操作了解“火烧浇水裂石法”等传统开采技术。</w:t>
            </w:r>
          </w:p>
          <w:p w14:paraId="6B087AB0">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观众观看和触摸石材和工具样本，了解石材和工具的特点；观看显微镜，了解石材的晶体结构；观看多媒体视频，学习“火烧浇水裂石法”等传统开采技术。</w:t>
            </w:r>
          </w:p>
          <w:p w14:paraId="3F57AFA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21FB052B">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1）样本为真实的岩石实物；</w:t>
            </w:r>
          </w:p>
          <w:p w14:paraId="3602187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2）多媒体演示屏幕尺寸不低于65寸，分辨率不低于4K；</w:t>
            </w:r>
          </w:p>
          <w:p w14:paraId="09725366">
            <w:pPr>
              <w:widowControl/>
              <w:spacing w:line="380" w:lineRule="exact"/>
              <w:ind w:firstLine="420" w:firstLineChars="200"/>
              <w:jc w:val="left"/>
              <w:rPr>
                <w:color w:val="auto"/>
              </w:rPr>
            </w:pPr>
            <w:r>
              <w:rPr>
                <w:rFonts w:hint="eastAsia" w:ascii="宋体" w:hAnsi="宋体" w:cs="宋体"/>
                <w:color w:val="auto"/>
                <w:kern w:val="0"/>
                <w:szCs w:val="21"/>
              </w:rPr>
              <w:t>3）显微镜光学无损放大倍数为2000倍、三目镜配置（含4K超清电子显示屏一个）、智能感光芯片等。</w:t>
            </w:r>
          </w:p>
        </w:tc>
        <w:tc>
          <w:tcPr>
            <w:tcW w:w="538" w:type="pct"/>
            <w:vMerge w:val="continue"/>
            <w:tcBorders>
              <w:tl2br w:val="nil"/>
              <w:tr2bl w:val="nil"/>
            </w:tcBorders>
            <w:vAlign w:val="center"/>
          </w:tcPr>
          <w:p w14:paraId="01F61752">
            <w:pPr>
              <w:widowControl/>
              <w:spacing w:line="380" w:lineRule="exact"/>
              <w:jc w:val="center"/>
              <w:rPr>
                <w:rFonts w:hint="eastAsia" w:ascii="宋体" w:hAnsi="宋体" w:cs="宋体"/>
                <w:color w:val="auto"/>
                <w:kern w:val="0"/>
                <w:szCs w:val="21"/>
              </w:rPr>
            </w:pPr>
          </w:p>
        </w:tc>
      </w:tr>
      <w:tr w14:paraId="6E42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1" w:type="pct"/>
            <w:tcBorders>
              <w:tl2br w:val="nil"/>
              <w:tr2bl w:val="nil"/>
            </w:tcBorders>
            <w:vAlign w:val="center"/>
          </w:tcPr>
          <w:p w14:paraId="0BF46E7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3-1</w:t>
            </w:r>
          </w:p>
        </w:tc>
        <w:tc>
          <w:tcPr>
            <w:tcW w:w="686" w:type="pct"/>
            <w:gridSpan w:val="2"/>
            <w:vMerge w:val="restart"/>
            <w:tcBorders>
              <w:tl2br w:val="nil"/>
              <w:tr2bl w:val="nil"/>
            </w:tcBorders>
            <w:noWrap/>
            <w:vAlign w:val="center"/>
          </w:tcPr>
          <w:p w14:paraId="3B3F3336">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乐动心声</w:t>
            </w:r>
          </w:p>
          <w:p w14:paraId="029C5FE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——东盟传统乐器的音律探秘</w:t>
            </w:r>
          </w:p>
        </w:tc>
        <w:tc>
          <w:tcPr>
            <w:tcW w:w="534" w:type="pct"/>
            <w:tcBorders>
              <w:tl2br w:val="nil"/>
              <w:tr2bl w:val="nil"/>
            </w:tcBorders>
            <w:noWrap/>
            <w:vAlign w:val="center"/>
          </w:tcPr>
          <w:p w14:paraId="44171C9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乐动东南亚</w:t>
            </w:r>
          </w:p>
        </w:tc>
        <w:tc>
          <w:tcPr>
            <w:tcW w:w="2849" w:type="pct"/>
            <w:tcBorders>
              <w:tl2br w:val="nil"/>
              <w:tr2bl w:val="nil"/>
            </w:tcBorders>
            <w:noWrap/>
            <w:vAlign w:val="center"/>
          </w:tcPr>
          <w:p w14:paraId="45B0D59A">
            <w:pPr>
              <w:widowControl/>
              <w:spacing w:line="380" w:lineRule="exact"/>
              <w:jc w:val="left"/>
              <w:rPr>
                <w:rFonts w:hint="eastAsia" w:ascii="宋体" w:hAnsi="宋体" w:cs="宋体"/>
                <w:b w:val="0"/>
                <w:bCs w:val="0"/>
                <w:color w:val="auto"/>
                <w:kern w:val="0"/>
                <w:szCs w:val="21"/>
              </w:rPr>
            </w:pPr>
            <w:r>
              <w:rPr>
                <w:rFonts w:hint="eastAsia" w:ascii="宋体" w:hAnsi="宋体" w:cs="宋体"/>
                <w:b/>
                <w:bCs/>
                <w:color w:val="auto"/>
                <w:kern w:val="0"/>
                <w:szCs w:val="21"/>
              </w:rPr>
              <w:t>1、参考尺寸（米）：</w:t>
            </w:r>
            <w:r>
              <w:rPr>
                <w:rFonts w:hint="eastAsia" w:ascii="宋体" w:hAnsi="宋体" w:cs="宋体"/>
                <w:b w:val="0"/>
                <w:bCs w:val="0"/>
                <w:color w:val="auto"/>
                <w:kern w:val="0"/>
                <w:szCs w:val="21"/>
              </w:rPr>
              <w:t>环形展墙内直径约10，中央展台直径约3、高约6</w:t>
            </w:r>
          </w:p>
          <w:p w14:paraId="2BFF526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环形展墙及奏乐表演台</w:t>
            </w:r>
          </w:p>
          <w:p w14:paraId="7D08407B">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声音的高低(音调)由物体振动快慢(频率)决定，音色差异则由泛音组合决定。这种“振动快则音高，振动慢则音低”的规律，正是乐器调音的基础。依据这个原理，东南亚出现了各种各样的乐曲，如甘美兰、安格隆,独弦琴、铜锣文化空间、芦笙等，这些乐器已成为人类非物质文化遗产。展项主要由东南亚乐器实物(非遗类)造型台体、音乐系统组成。观众可操作放置于台体四周的东南亚非遗乐器，如吹芦笙、敲铜锣、拉高胡琴弦，吹鼻笛，尝试演奏。在机器人乐队前方聆听机器人演奏的甘美兰组合乐队，感受现代科学与古代乐器的完美融合。观众可观看墙面上放置的各种造型的管乐器、弦乐器、鼓乐器等乐器实物从而让观众感受东南亚各地音乐艺术魅力。</w:t>
            </w:r>
          </w:p>
          <w:p w14:paraId="409EA87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观看乐器实物并尝试演奏台体上的乐器,了解不同乐器的发音原理；点击按钮播放乐曲，观看机器人乐队的表演，感受东南亚乐曲的艺术魅力。</w:t>
            </w:r>
          </w:p>
          <w:p w14:paraId="21B0D756">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1841C16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乐器均使用实物，约13-15项，包含印尼甘美兰、安格隆、新加坡的南音琵琶、菲律宾的库林唐、马来西亚的甘当鼓，泰国的高音木琴和围锣、文莱的古铜锣、越南的独弦琴，老挝的老挝笙、缅甸的弯琴、柬埔寨的竹木琴和双管琴等等东南亚特色民族乐器；</w:t>
            </w:r>
          </w:p>
          <w:p w14:paraId="2DA4767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2）包含尺寸不小于43寸的触摸屏约4台、不同乐器的互动装置、音响等；</w:t>
            </w:r>
          </w:p>
          <w:p w14:paraId="75039DA1">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大型核心展品除设备本身必需的控制主机之外（配置不低于I5/8G/256G），需额外配备1台移动式控制工作站用于设备调试和运维，移动式控制工作站应为主流品牌机，配置不低于RTX3060级别显卡、CPU不低于11代i7、16G内存、1TB固态硬盘。</w:t>
            </w:r>
          </w:p>
        </w:tc>
        <w:tc>
          <w:tcPr>
            <w:tcW w:w="538" w:type="pct"/>
            <w:tcBorders>
              <w:tl2br w:val="nil"/>
              <w:tr2bl w:val="nil"/>
            </w:tcBorders>
            <w:noWrap/>
            <w:vAlign w:val="center"/>
          </w:tcPr>
          <w:p w14:paraId="1962617E">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7B6F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18C7420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3-2</w:t>
            </w:r>
          </w:p>
        </w:tc>
        <w:tc>
          <w:tcPr>
            <w:tcW w:w="686" w:type="pct"/>
            <w:gridSpan w:val="2"/>
            <w:vMerge w:val="continue"/>
            <w:tcBorders>
              <w:tl2br w:val="nil"/>
              <w:tr2bl w:val="nil"/>
            </w:tcBorders>
            <w:vAlign w:val="center"/>
          </w:tcPr>
          <w:p w14:paraId="2F3D3BCC">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5B2BC37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波弦秘境</w:t>
            </w:r>
          </w:p>
        </w:tc>
        <w:tc>
          <w:tcPr>
            <w:tcW w:w="2849" w:type="pct"/>
            <w:tcBorders>
              <w:tl2br w:val="nil"/>
              <w:tr2bl w:val="nil"/>
            </w:tcBorders>
            <w:noWrap/>
            <w:vAlign w:val="center"/>
          </w:tcPr>
          <w:p w14:paraId="38F7B66E">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长约2、宽约1、高约1.5</w:t>
            </w:r>
          </w:p>
          <w:p w14:paraId="121E64E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组合展台，中间为声驻波演示区，左侧为鼓类乐器互动区，右侧为拉弦类乐器互动区。互动设备的外观借鉴东南亚特色乐器制作，如泰国椰胡、新加坡高胡、印度尼西亚排式座锣等。</w:t>
            </w:r>
          </w:p>
          <w:p w14:paraId="33114AE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从驻波现象可以看出，基础乐理中的音高体系是建立在振动频率的基础之上，振动频率的变化直接影响着音乐中的音高，进而构建起整个乐理的音高架构。观众通过转动旋钮调节扬声器发声频率，观看亚克力管中固体介质的动态变化，了解驻波的产生原理和与振动频率的关系。在展台两侧设置东南亚乐器实物，观众可以尝试以不同的速度和频率拉动弓子或敲击鼓面，看看乐器所发出的声音有什么不同，感受基础乐理和振动频率的关系，</w:t>
            </w:r>
          </w:p>
          <w:p w14:paraId="39728197">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转动旋钮，观察亚克力管内驻波现象；观众尝试拉动弓子，改变拉动的速度和频率聆听音调的变化；在鼓类乐器互动区，观众手动调节鼓模型的鼓皮张力装置，击鼓观察鼓声的变化和鼓面振动形态的改变，可使用琴槌敲击不同长度的金属管，感受声音的不同。</w:t>
            </w:r>
          </w:p>
          <w:p w14:paraId="78E24E40">
            <w:pPr>
              <w:widowControl/>
              <w:spacing w:line="380" w:lineRule="exact"/>
              <w:jc w:val="left"/>
              <w:rPr>
                <w:color w:val="auto"/>
              </w:rPr>
            </w:pPr>
            <w:r>
              <w:rPr>
                <w:rFonts w:hint="eastAsia" w:ascii="宋体" w:hAnsi="宋体" w:cs="宋体"/>
                <w:b/>
                <w:bCs/>
                <w:color w:val="auto"/>
                <w:kern w:val="0"/>
                <w:szCs w:val="21"/>
              </w:rPr>
              <w:t>5、材料与主要设备：</w:t>
            </w:r>
            <w:r>
              <w:rPr>
                <w:rFonts w:hint="eastAsia" w:ascii="宋体" w:hAnsi="宋体" w:cs="宋体"/>
                <w:color w:val="auto"/>
                <w:kern w:val="0"/>
                <w:szCs w:val="21"/>
              </w:rPr>
              <w:t>乐器优先考虑使用实物。</w:t>
            </w:r>
          </w:p>
        </w:tc>
        <w:tc>
          <w:tcPr>
            <w:tcW w:w="538" w:type="pct"/>
            <w:vMerge w:val="restart"/>
            <w:tcBorders>
              <w:tl2br w:val="nil"/>
              <w:tr2bl w:val="nil"/>
            </w:tcBorders>
            <w:noWrap/>
            <w:vAlign w:val="center"/>
          </w:tcPr>
          <w:p w14:paraId="1CE0E9A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2949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0742888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3-3</w:t>
            </w:r>
          </w:p>
        </w:tc>
        <w:tc>
          <w:tcPr>
            <w:tcW w:w="686" w:type="pct"/>
            <w:gridSpan w:val="2"/>
            <w:vMerge w:val="continue"/>
            <w:tcBorders>
              <w:tl2br w:val="nil"/>
              <w:tr2bl w:val="nil"/>
            </w:tcBorders>
            <w:vAlign w:val="center"/>
          </w:tcPr>
          <w:p w14:paraId="1E7C84AD">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29FAAE5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音绘几何</w:t>
            </w:r>
          </w:p>
        </w:tc>
        <w:tc>
          <w:tcPr>
            <w:tcW w:w="2849" w:type="pct"/>
            <w:tcBorders>
              <w:tl2br w:val="nil"/>
              <w:tr2bl w:val="nil"/>
            </w:tcBorders>
            <w:noWrap/>
            <w:vAlign w:val="center"/>
          </w:tcPr>
          <w:p w14:paraId="10FE78F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长约1.5、宽约1、高约1.3</w:t>
            </w:r>
          </w:p>
          <w:p w14:paraId="0D72D11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克拉尼图形台体和东南亚乐器造型</w:t>
            </w:r>
          </w:p>
          <w:p w14:paraId="08CCAF96">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振动频率与鼓类乐器构造的关系体现为多维度的物理互动：鼓面张力越大、面积越小或材质越硬，振动频率越高，反之则越低；鼓身的形状、材质和深度通过改变空气柱共鸣特性影响振动模态分布，木质共鸣腔更易产生温暖低频，金属腔则强化高频泛音；鼓槌的材质硬度和重量决定了敲击能量传递效率，硬重槌头可激发更低频率的振动，软轻槌头则偏向高频响应。展项主要由振动鼓面机构、供沙机构、回收机构、防护机构、旋钮、印尼肯当鼓实物组成。</w:t>
            </w:r>
          </w:p>
          <w:p w14:paraId="2F78B88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观众转动旋钮，调节克拉尼盘的震动频率观看振动鼓面上沙子所形成的不同图案；观众用不同力度和频率拍打展台右侧印尼肯当鼓，感受振动频率和鼓类乐器构造的关系。</w:t>
            </w:r>
          </w:p>
          <w:p w14:paraId="454AEA6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5、材料与主要设备：</w:t>
            </w:r>
          </w:p>
          <w:p w14:paraId="660E69F2">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1）乐器优先考虑使用实物；</w:t>
            </w:r>
          </w:p>
          <w:p w14:paraId="52035988">
            <w:pPr>
              <w:widowControl/>
              <w:spacing w:line="380" w:lineRule="exact"/>
              <w:ind w:firstLine="420" w:firstLineChars="200"/>
              <w:jc w:val="left"/>
              <w:rPr>
                <w:color w:val="auto"/>
              </w:rPr>
            </w:pPr>
            <w:r>
              <w:rPr>
                <w:rFonts w:hint="eastAsia"/>
                <w:color w:val="auto"/>
              </w:rPr>
              <w:t>2）使用透明材料制作防护罩</w:t>
            </w:r>
            <w:r>
              <w:rPr>
                <w:rFonts w:hint="eastAsia" w:ascii="宋体" w:hAnsi="宋体" w:cs="宋体"/>
                <w:color w:val="auto"/>
                <w:kern w:val="0"/>
                <w:szCs w:val="21"/>
              </w:rPr>
              <w:t>，防止观众接触到沙子。</w:t>
            </w:r>
          </w:p>
        </w:tc>
        <w:tc>
          <w:tcPr>
            <w:tcW w:w="538" w:type="pct"/>
            <w:vMerge w:val="continue"/>
            <w:tcBorders>
              <w:tl2br w:val="nil"/>
              <w:tr2bl w:val="nil"/>
            </w:tcBorders>
            <w:noWrap/>
            <w:vAlign w:val="center"/>
          </w:tcPr>
          <w:p w14:paraId="658E9078">
            <w:pPr>
              <w:widowControl/>
              <w:spacing w:line="380" w:lineRule="exact"/>
              <w:jc w:val="center"/>
              <w:rPr>
                <w:rFonts w:hint="eastAsia" w:ascii="宋体" w:hAnsi="宋体" w:cs="宋体"/>
                <w:color w:val="auto"/>
                <w:kern w:val="0"/>
                <w:szCs w:val="21"/>
              </w:rPr>
            </w:pPr>
          </w:p>
        </w:tc>
      </w:tr>
      <w:tr w14:paraId="2A29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78168F0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3-4</w:t>
            </w:r>
          </w:p>
        </w:tc>
        <w:tc>
          <w:tcPr>
            <w:tcW w:w="686" w:type="pct"/>
            <w:gridSpan w:val="2"/>
            <w:vMerge w:val="continue"/>
            <w:tcBorders>
              <w:tl2br w:val="nil"/>
              <w:tr2bl w:val="nil"/>
            </w:tcBorders>
            <w:vAlign w:val="center"/>
          </w:tcPr>
          <w:p w14:paraId="14793571">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0903F151">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声纹绘影</w:t>
            </w:r>
          </w:p>
        </w:tc>
        <w:tc>
          <w:tcPr>
            <w:tcW w:w="2849" w:type="pct"/>
            <w:tcBorders>
              <w:tl2br w:val="nil"/>
              <w:tr2bl w:val="nil"/>
            </w:tcBorders>
            <w:noWrap/>
            <w:vAlign w:val="center"/>
          </w:tcPr>
          <w:p w14:paraId="774D6BEA">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长约3、宽约1、高约3</w:t>
            </w:r>
          </w:p>
          <w:p w14:paraId="7031F8C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展项主要由黑白转轮、手轮机构、踩踏机构组成，造型结合东南亚典型乐器，如独弦琴。</w:t>
            </w:r>
          </w:p>
          <w:p w14:paraId="4820CA9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当物体振动时，会引起周围介质的分子产生疏密变化，形成压缩和稀疏区域，这些区域以一定的速度在介质中传播，就形成了声波。例如，击鼓时，鼓面的振动使周围空气分子交替压缩和稀疏，从而产生声波向四周传播。越南独弦琴，又称“dan bau”，是越南传统的单弦乐器，在越南文化中占据着重要地位。观众转动黑白转轮，拨动琴弦，观看琴弦在黑白背景衬托下的声波。此外观众可用不同的力度踩踏脚踏，改变琴弦的松紧，观察黑白转轮上的声波变化。</w:t>
            </w:r>
          </w:p>
          <w:p w14:paraId="2D0A0CC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转动黑白转轮，拨动琴弦，观察琴弦在黑白条纹上的声纹；踩下脚踏板，随着力度逐渐增加，聆听琴弦的音调及黑白条纹上声纹的变化。</w:t>
            </w:r>
          </w:p>
          <w:p w14:paraId="75981D87">
            <w:pPr>
              <w:widowControl/>
              <w:spacing w:line="380" w:lineRule="exact"/>
              <w:jc w:val="left"/>
              <w:rPr>
                <w:color w:val="auto"/>
              </w:rPr>
            </w:pPr>
            <w:r>
              <w:rPr>
                <w:rFonts w:hint="eastAsia" w:ascii="宋体" w:hAnsi="宋体" w:cs="宋体"/>
                <w:b/>
                <w:bCs/>
                <w:color w:val="auto"/>
                <w:kern w:val="0"/>
                <w:szCs w:val="21"/>
              </w:rPr>
              <w:t>5、材料与主要设备：</w:t>
            </w:r>
            <w:r>
              <w:rPr>
                <w:rFonts w:hint="eastAsia" w:ascii="宋体" w:hAnsi="宋体" w:cs="宋体"/>
                <w:color w:val="auto"/>
                <w:kern w:val="0"/>
                <w:szCs w:val="21"/>
              </w:rPr>
              <w:t>乐器优先考虑使用实物改装。</w:t>
            </w:r>
          </w:p>
        </w:tc>
        <w:tc>
          <w:tcPr>
            <w:tcW w:w="538" w:type="pct"/>
            <w:vMerge w:val="continue"/>
            <w:tcBorders>
              <w:tl2br w:val="nil"/>
              <w:tr2bl w:val="nil"/>
            </w:tcBorders>
            <w:noWrap/>
            <w:vAlign w:val="center"/>
          </w:tcPr>
          <w:p w14:paraId="67B1C6F1">
            <w:pPr>
              <w:widowControl/>
              <w:spacing w:line="380" w:lineRule="exact"/>
              <w:jc w:val="center"/>
              <w:rPr>
                <w:rFonts w:hint="eastAsia" w:ascii="宋体" w:hAnsi="宋体" w:cs="宋体"/>
                <w:color w:val="auto"/>
                <w:kern w:val="0"/>
                <w:szCs w:val="21"/>
              </w:rPr>
            </w:pPr>
          </w:p>
        </w:tc>
      </w:tr>
      <w:tr w14:paraId="5477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2634E946">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3-5</w:t>
            </w:r>
          </w:p>
        </w:tc>
        <w:tc>
          <w:tcPr>
            <w:tcW w:w="686" w:type="pct"/>
            <w:gridSpan w:val="2"/>
            <w:vMerge w:val="continue"/>
            <w:tcBorders>
              <w:tl2br w:val="nil"/>
              <w:tr2bl w:val="nil"/>
            </w:tcBorders>
            <w:vAlign w:val="center"/>
          </w:tcPr>
          <w:p w14:paraId="56E5FA05">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4FB5789E">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管乐齐鸣</w:t>
            </w:r>
          </w:p>
        </w:tc>
        <w:tc>
          <w:tcPr>
            <w:tcW w:w="2849" w:type="pct"/>
            <w:tcBorders>
              <w:tl2br w:val="nil"/>
              <w:tr2bl w:val="nil"/>
            </w:tcBorders>
            <w:noWrap/>
            <w:vAlign w:val="center"/>
          </w:tcPr>
          <w:p w14:paraId="7FE12753">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长约5、宽约1、高约2</w:t>
            </w:r>
          </w:p>
          <w:p w14:paraId="7BAEAADD">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主要由越南科伦布、泰国排笙、广西啵咧和造型台体组成。</w:t>
            </w:r>
          </w:p>
          <w:p w14:paraId="76DDC91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管乐器通过激发管内空气柱振动发声：长笛等以边棱音、单簧管等靠簧片、铜管乐器借唇振驱动空气柱。空气柱长度决定基频(长度短则音高)，演奏者通过按键/音孔改变管长形成驻波。管身形状(圆柱/圆锥)与喇叭口调制泛音，圆柱强化高频、圆锥突出低频，喇叭口放大音量并优化声波辐射，基频与泛音叠加形成音色。越南科伦布由不同长度的数根竹筒按顺序摆放在一起组合而成。观众在竹筒前方拍手，聆听声音的变化。泰国排笙由14根长短不一的竹管垂直插入木制气室吹气或吸气时簧片振动发声。竹管长度决定空气柱共振频率，从而发出不同的音调。观众用鼓风机将气流压进竹管，按压不同的音孔，从而激发竹管产生声响。广西啵咧属于双簧单管气鸣乐器，音域达两个八度音律接近七声音阶。观众用鼓风机将气流吹进吹气口，用手按压乐曲的音孔，聆听乐曲。</w:t>
            </w:r>
          </w:p>
          <w:p w14:paraId="3579158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观看艺术图文，了解每种乐器的吹奏方法，按照乐器的操作步骤进行演奏，探索管乐器的发声原理。</w:t>
            </w:r>
          </w:p>
          <w:p w14:paraId="013AEA15">
            <w:pPr>
              <w:pStyle w:val="18"/>
              <w:rPr>
                <w:b/>
                <w:bCs/>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乐器优先考虑使用实物改装。</w:t>
            </w:r>
          </w:p>
        </w:tc>
        <w:tc>
          <w:tcPr>
            <w:tcW w:w="538" w:type="pct"/>
            <w:vMerge w:val="continue"/>
            <w:tcBorders>
              <w:tl2br w:val="nil"/>
              <w:tr2bl w:val="nil"/>
            </w:tcBorders>
            <w:noWrap/>
            <w:vAlign w:val="center"/>
          </w:tcPr>
          <w:p w14:paraId="4C32D08A">
            <w:pPr>
              <w:widowControl/>
              <w:spacing w:line="380" w:lineRule="exact"/>
              <w:jc w:val="center"/>
              <w:rPr>
                <w:rFonts w:hint="eastAsia" w:ascii="宋体" w:hAnsi="宋体" w:cs="宋体"/>
                <w:color w:val="auto"/>
                <w:kern w:val="0"/>
                <w:szCs w:val="21"/>
              </w:rPr>
            </w:pPr>
          </w:p>
        </w:tc>
      </w:tr>
      <w:tr w14:paraId="7E7F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78E23CF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3-6</w:t>
            </w:r>
          </w:p>
        </w:tc>
        <w:tc>
          <w:tcPr>
            <w:tcW w:w="686" w:type="pct"/>
            <w:gridSpan w:val="2"/>
            <w:vMerge w:val="continue"/>
            <w:tcBorders>
              <w:tl2br w:val="nil"/>
              <w:tr2bl w:val="nil"/>
            </w:tcBorders>
            <w:vAlign w:val="center"/>
          </w:tcPr>
          <w:p w14:paraId="1A493AC1">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065FB6FD">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同频共振</w:t>
            </w:r>
          </w:p>
        </w:tc>
        <w:tc>
          <w:tcPr>
            <w:tcW w:w="2849" w:type="pct"/>
            <w:tcBorders>
              <w:tl2br w:val="nil"/>
              <w:tr2bl w:val="nil"/>
            </w:tcBorders>
            <w:noWrap/>
            <w:vAlign w:val="center"/>
          </w:tcPr>
          <w:p w14:paraId="20FBB63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长约1.2、宽约1、高约1.2</w:t>
            </w:r>
          </w:p>
          <w:p w14:paraId="738A3F8F">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由马来手鼓、固定支架、小球和造型台体组成。</w:t>
            </w:r>
          </w:p>
          <w:p w14:paraId="19B53A27">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用一对精准调试、共振频率相同的鼓，以直观的方式，向观众演示声学中的共振现象，帮助观众理解共振产生的条件与原理，普及基础声学知识。马来手鼓是最流行的马来传统乐器，鼓面紧绷时敲击振动频率高(尖锐声)，松驰时频率低(沉闷声)。鼓框空腔共振进一步放大声音，形成丰富的低频共鸣。</w:t>
            </w:r>
          </w:p>
          <w:p w14:paraId="58849E8B">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观众直接用手或配备的鼓槌击打其中一面鼓的不同部位，观察另一面鼓的共振反应，感受共振现象带来的奇妙效果。</w:t>
            </w:r>
          </w:p>
          <w:p w14:paraId="72C3130F">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乐器优先考虑使用实物改装。</w:t>
            </w:r>
          </w:p>
        </w:tc>
        <w:tc>
          <w:tcPr>
            <w:tcW w:w="538" w:type="pct"/>
            <w:vMerge w:val="continue"/>
            <w:tcBorders>
              <w:tl2br w:val="nil"/>
              <w:tr2bl w:val="nil"/>
            </w:tcBorders>
            <w:noWrap/>
            <w:vAlign w:val="center"/>
          </w:tcPr>
          <w:p w14:paraId="40BF1B1D">
            <w:pPr>
              <w:widowControl/>
              <w:spacing w:line="380" w:lineRule="exact"/>
              <w:jc w:val="center"/>
              <w:rPr>
                <w:rFonts w:hint="eastAsia" w:ascii="宋体" w:hAnsi="宋体" w:cs="宋体"/>
                <w:color w:val="auto"/>
                <w:kern w:val="0"/>
                <w:szCs w:val="21"/>
              </w:rPr>
            </w:pPr>
          </w:p>
        </w:tc>
      </w:tr>
      <w:tr w14:paraId="4C97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0EB35DB5">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3-7</w:t>
            </w:r>
          </w:p>
        </w:tc>
        <w:tc>
          <w:tcPr>
            <w:tcW w:w="686" w:type="pct"/>
            <w:gridSpan w:val="2"/>
            <w:vMerge w:val="continue"/>
            <w:tcBorders>
              <w:tl2br w:val="nil"/>
              <w:tr2bl w:val="nil"/>
            </w:tcBorders>
            <w:vAlign w:val="center"/>
          </w:tcPr>
          <w:p w14:paraId="121E9F88">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3BDACF6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空音幻奏</w:t>
            </w:r>
          </w:p>
        </w:tc>
        <w:tc>
          <w:tcPr>
            <w:tcW w:w="2849" w:type="pct"/>
            <w:tcBorders>
              <w:tl2br w:val="nil"/>
              <w:tr2bl w:val="nil"/>
            </w:tcBorders>
            <w:noWrap/>
            <w:vAlign w:val="center"/>
          </w:tcPr>
          <w:p w14:paraId="5453F963">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长约4、宽约2、高约3</w:t>
            </w:r>
          </w:p>
          <w:p w14:paraId="349329AD">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由缅甸弯琴、不同的老挝象脚鼓等东南亚乐器造型装置与展台组成。</w:t>
            </w:r>
          </w:p>
          <w:p w14:paraId="0CB29C1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象脚鼓(直译为长尾巴鼓，因与我国傣族象脚鼓相似，故借用其名)。用紫檀木、香坡垒木或其他优质硬木制成鼓身。鼓面蒙以烘干的牛皮，有绳索或布带系着头尾，可以挎在身上用手拍击。弯琴是缅甸具有代表性的传统乐器，《新唐书》中称之为凤首箜篌。琴颈上以红绳勒紧琴弦，每根绳下都悬挂着红穗子用以调节音高。观众在无弦缅甸弯琴上进行“拨动”弹奏，此外尝试转动旋钮，切换不同的弦乐器，再次弹奏，感受不同的音色。在无鼓面老挝象脚鼓上进行“拍打”动作感受电子模拟的乐音与实际有什么不同。</w:t>
            </w:r>
          </w:p>
          <w:p w14:paraId="3B1B6B82">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通过旋钮选择不同的弦乐器，“拨动”琴弦，了解不同乐器的音色。尝试拍打不同的老挝象脚鼓，聆听电子模拟的声音。</w:t>
            </w:r>
          </w:p>
          <w:p w14:paraId="25F840CE">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乐器优先考虑使用实物改装；传感器优先考虑高精度激光传感器。</w:t>
            </w:r>
          </w:p>
        </w:tc>
        <w:tc>
          <w:tcPr>
            <w:tcW w:w="538" w:type="pct"/>
            <w:vMerge w:val="continue"/>
            <w:tcBorders>
              <w:tl2br w:val="nil"/>
              <w:tr2bl w:val="nil"/>
            </w:tcBorders>
            <w:noWrap/>
            <w:vAlign w:val="center"/>
          </w:tcPr>
          <w:p w14:paraId="3FDAEBDD">
            <w:pPr>
              <w:widowControl/>
              <w:spacing w:line="380" w:lineRule="exact"/>
              <w:jc w:val="center"/>
              <w:rPr>
                <w:rFonts w:hint="eastAsia" w:ascii="宋体" w:hAnsi="宋体" w:cs="宋体"/>
                <w:color w:val="auto"/>
                <w:kern w:val="0"/>
                <w:szCs w:val="21"/>
              </w:rPr>
            </w:pPr>
          </w:p>
        </w:tc>
      </w:tr>
      <w:tr w14:paraId="1957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6363CA6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3-8</w:t>
            </w:r>
          </w:p>
        </w:tc>
        <w:tc>
          <w:tcPr>
            <w:tcW w:w="686" w:type="pct"/>
            <w:gridSpan w:val="2"/>
            <w:vMerge w:val="continue"/>
            <w:tcBorders>
              <w:tl2br w:val="nil"/>
              <w:tr2bl w:val="nil"/>
            </w:tcBorders>
            <w:vAlign w:val="center"/>
          </w:tcPr>
          <w:p w14:paraId="0658AC4F">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12D712D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颅音回响</w:t>
            </w:r>
          </w:p>
        </w:tc>
        <w:tc>
          <w:tcPr>
            <w:tcW w:w="2849" w:type="pct"/>
            <w:tcBorders>
              <w:tl2br w:val="nil"/>
              <w:tr2bl w:val="nil"/>
            </w:tcBorders>
            <w:noWrap/>
            <w:vAlign w:val="center"/>
          </w:tcPr>
          <w:p w14:paraId="5FFA882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长约1.2、宽约1.2、高约1</w:t>
            </w:r>
          </w:p>
          <w:p w14:paraId="294686B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东南亚元素和风格的环形台体</w:t>
            </w:r>
          </w:p>
          <w:p w14:paraId="11AB74C0">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当我们发出声音时，声带振动产生声波。这些声波通过头骨、颌骨等骨骼直接传播到内耳，而不经过外耳和中耳的空气传导途径。例如，我们自己说话时，除了通过空气传播听到声音外，还能通过骨传声听到一种更清晰、低沉的声音，这是因为声音通过头骨等骨骼直接传递到了内耳。观看中间震动喇叭的震动情况，感受共振的特性。观众点击台面按钮，播放东南亚典型音乐，用不同材质的传导棒放置在震动盘与人耳之间，感受不同介质传导下产生的声音。</w:t>
            </w:r>
          </w:p>
          <w:p w14:paraId="79AAA1CB">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点击按钮，拿起传导棒听声音，感受不同材质传递振动的差异，观看中间震动喇叭的震动，感受共振的特性。</w:t>
            </w:r>
          </w:p>
          <w:p w14:paraId="220DE3DB">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材料表面需用光滑低摩擦材质。</w:t>
            </w:r>
          </w:p>
        </w:tc>
        <w:tc>
          <w:tcPr>
            <w:tcW w:w="538" w:type="pct"/>
            <w:vMerge w:val="continue"/>
            <w:tcBorders>
              <w:tl2br w:val="nil"/>
              <w:tr2bl w:val="nil"/>
            </w:tcBorders>
            <w:noWrap/>
            <w:vAlign w:val="center"/>
          </w:tcPr>
          <w:p w14:paraId="09EB0CD2">
            <w:pPr>
              <w:widowControl/>
              <w:spacing w:line="380" w:lineRule="exact"/>
              <w:jc w:val="center"/>
              <w:rPr>
                <w:rFonts w:hint="eastAsia" w:ascii="宋体" w:hAnsi="宋体" w:cs="宋体"/>
                <w:color w:val="auto"/>
                <w:kern w:val="0"/>
                <w:szCs w:val="21"/>
              </w:rPr>
            </w:pPr>
          </w:p>
        </w:tc>
      </w:tr>
      <w:tr w14:paraId="565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noWrap/>
            <w:vAlign w:val="center"/>
          </w:tcPr>
          <w:p w14:paraId="50BABC7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3-9</w:t>
            </w:r>
          </w:p>
        </w:tc>
        <w:tc>
          <w:tcPr>
            <w:tcW w:w="686" w:type="pct"/>
            <w:gridSpan w:val="2"/>
            <w:vMerge w:val="continue"/>
            <w:tcBorders>
              <w:tl2br w:val="nil"/>
              <w:tr2bl w:val="nil"/>
            </w:tcBorders>
            <w:vAlign w:val="center"/>
          </w:tcPr>
          <w:p w14:paraId="26DC5D33">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6EF023B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绘出音符</w:t>
            </w:r>
          </w:p>
        </w:tc>
        <w:tc>
          <w:tcPr>
            <w:tcW w:w="2849" w:type="pct"/>
            <w:tcBorders>
              <w:tl2br w:val="nil"/>
              <w:tr2bl w:val="nil"/>
            </w:tcBorders>
            <w:noWrap/>
            <w:vAlign w:val="center"/>
          </w:tcPr>
          <w:p w14:paraId="0D96706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长约2、宽约1.5、高约1.8</w:t>
            </w:r>
          </w:p>
          <w:p w14:paraId="5F6217D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内嵌的触摸屏和音响</w:t>
            </w:r>
          </w:p>
          <w:p w14:paraId="513AAFA9">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根据“图像——声音——情感”理论：中提琴和温暖的中音是橙色的，大号和激昂的鼓声是红色的，小提琴的声唤起了绿色，长笛是淡淡的蓝色，形式和色彩变成了五线谱上流动的音符，构成一支激情的交响乐。</w:t>
            </w:r>
          </w:p>
          <w:p w14:paraId="5371C494">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按照节奏和旋律点击屏幕或按键，绘出你心里的颜色进入一种“流”状态，这是一种高度专注并且非常愉悦的心理状态，有助于减轻压力和改善心情。</w:t>
            </w:r>
          </w:p>
          <w:p w14:paraId="4E8F47F8">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触摸屏尺寸不低于55寸、分辨率不低于1080p。</w:t>
            </w:r>
          </w:p>
        </w:tc>
        <w:tc>
          <w:tcPr>
            <w:tcW w:w="538" w:type="pct"/>
            <w:vMerge w:val="continue"/>
            <w:tcBorders>
              <w:tl2br w:val="nil"/>
              <w:tr2bl w:val="nil"/>
            </w:tcBorders>
            <w:noWrap/>
            <w:vAlign w:val="center"/>
          </w:tcPr>
          <w:p w14:paraId="69C8C5A4">
            <w:pPr>
              <w:widowControl/>
              <w:spacing w:line="380" w:lineRule="exact"/>
              <w:jc w:val="center"/>
              <w:rPr>
                <w:rFonts w:hint="eastAsia" w:ascii="宋体" w:hAnsi="宋体" w:cs="宋体"/>
                <w:color w:val="auto"/>
                <w:kern w:val="0"/>
                <w:szCs w:val="21"/>
              </w:rPr>
            </w:pPr>
          </w:p>
        </w:tc>
      </w:tr>
      <w:tr w14:paraId="27F3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1" w:type="pct"/>
            <w:tcBorders>
              <w:tl2br w:val="nil"/>
              <w:tr2bl w:val="nil"/>
            </w:tcBorders>
            <w:noWrap/>
            <w:vAlign w:val="center"/>
          </w:tcPr>
          <w:p w14:paraId="4A7B2F15">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3-10</w:t>
            </w:r>
          </w:p>
        </w:tc>
        <w:tc>
          <w:tcPr>
            <w:tcW w:w="686" w:type="pct"/>
            <w:gridSpan w:val="2"/>
            <w:vMerge w:val="continue"/>
            <w:tcBorders>
              <w:tl2br w:val="nil"/>
              <w:tr2bl w:val="nil"/>
            </w:tcBorders>
            <w:vAlign w:val="center"/>
          </w:tcPr>
          <w:p w14:paraId="72CA251F">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4FFF171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乐音迷宫</w:t>
            </w:r>
          </w:p>
        </w:tc>
        <w:tc>
          <w:tcPr>
            <w:tcW w:w="2849" w:type="pct"/>
            <w:tcBorders>
              <w:tl2br w:val="nil"/>
              <w:tr2bl w:val="nil"/>
            </w:tcBorders>
            <w:noWrap/>
            <w:vAlign w:val="center"/>
          </w:tcPr>
          <w:p w14:paraId="0824A3F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长约1.2、宽约1.2、高约0.7</w:t>
            </w:r>
          </w:p>
          <w:p w14:paraId="00B23A4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结合屏幕和音高互动踏板</w:t>
            </w:r>
          </w:p>
          <w:p w14:paraId="50738F70">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音准可以被训练吗?歌唱和乐器演奏中所发的音高，能与一定律制的音高相符称为音准。虽然音准是天生的,但是大部分人通过不断训练也可以提高它。</w:t>
            </w:r>
          </w:p>
          <w:p w14:paraId="7C529201">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做出指示动作，互动开始聆听东南亚传统音乐，根据音调提示踩中相应音符60分以上即挑战成功。</w:t>
            </w:r>
          </w:p>
          <w:p w14:paraId="06B81F43">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屏幕尺寸不低于55寸、分辨率不低于1080p。</w:t>
            </w:r>
          </w:p>
        </w:tc>
        <w:tc>
          <w:tcPr>
            <w:tcW w:w="538" w:type="pct"/>
            <w:vMerge w:val="continue"/>
            <w:tcBorders>
              <w:tl2br w:val="nil"/>
              <w:tr2bl w:val="nil"/>
            </w:tcBorders>
            <w:noWrap/>
            <w:vAlign w:val="center"/>
          </w:tcPr>
          <w:p w14:paraId="6093FA38">
            <w:pPr>
              <w:widowControl/>
              <w:spacing w:line="380" w:lineRule="exact"/>
              <w:jc w:val="center"/>
              <w:rPr>
                <w:rFonts w:hint="eastAsia" w:ascii="宋体" w:hAnsi="宋体" w:cs="宋体"/>
                <w:color w:val="auto"/>
                <w:kern w:val="0"/>
                <w:szCs w:val="21"/>
              </w:rPr>
            </w:pPr>
          </w:p>
        </w:tc>
      </w:tr>
      <w:tr w14:paraId="5ADE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91" w:type="pct"/>
            <w:tcBorders>
              <w:tl2br w:val="nil"/>
              <w:tr2bl w:val="nil"/>
            </w:tcBorders>
            <w:vAlign w:val="center"/>
          </w:tcPr>
          <w:p w14:paraId="375E179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4-1</w:t>
            </w:r>
          </w:p>
        </w:tc>
        <w:tc>
          <w:tcPr>
            <w:tcW w:w="686" w:type="pct"/>
            <w:gridSpan w:val="2"/>
            <w:vMerge w:val="restart"/>
            <w:tcBorders>
              <w:tl2br w:val="nil"/>
              <w:tr2bl w:val="nil"/>
            </w:tcBorders>
            <w:noWrap/>
            <w:vAlign w:val="center"/>
          </w:tcPr>
          <w:p w14:paraId="2FBBF5D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山海万象</w:t>
            </w:r>
          </w:p>
          <w:p w14:paraId="58D307DB">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——飞越东盟盛景的神游之旅</w:t>
            </w:r>
          </w:p>
        </w:tc>
        <w:tc>
          <w:tcPr>
            <w:tcW w:w="534" w:type="pct"/>
            <w:tcBorders>
              <w:tl2br w:val="nil"/>
              <w:tr2bl w:val="nil"/>
            </w:tcBorders>
            <w:noWrap/>
            <w:vAlign w:val="center"/>
          </w:tcPr>
          <w:p w14:paraId="32E132B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飞越东南亚</w:t>
            </w:r>
          </w:p>
        </w:tc>
        <w:tc>
          <w:tcPr>
            <w:tcW w:w="2849" w:type="pct"/>
            <w:tcBorders>
              <w:tl2br w:val="nil"/>
              <w:tr2bl w:val="nil"/>
            </w:tcBorders>
            <w:noWrap/>
            <w:vAlign w:val="center"/>
          </w:tcPr>
          <w:p w14:paraId="0463DF1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w:t>
            </w:r>
            <w:bookmarkStart w:id="50" w:name="OLE_LINK2"/>
            <w:r>
              <w:rPr>
                <w:rFonts w:hint="eastAsia" w:ascii="宋体" w:hAnsi="宋体" w:cs="宋体"/>
                <w:color w:val="auto"/>
                <w:kern w:val="0"/>
                <w:szCs w:val="21"/>
              </w:rPr>
              <w:t>约</w:t>
            </w:r>
            <w:bookmarkEnd w:id="50"/>
            <w:r>
              <w:rPr>
                <w:rFonts w:hint="eastAsia" w:ascii="宋体" w:hAnsi="宋体" w:cs="宋体"/>
                <w:color w:val="auto"/>
                <w:kern w:val="0"/>
                <w:szCs w:val="21"/>
              </w:rPr>
              <w:t>10、宽约3、高约4</w:t>
            </w:r>
          </w:p>
          <w:p w14:paraId="06714C5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沉浸式弧面LED影院；</w:t>
            </w:r>
          </w:p>
          <w:p w14:paraId="4389A1A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中国与东盟十国均拥有悠久的历史和世界著名的景观，如中国的长城、泰国的曼谷大皇宫、越南的下龙湾、老挝的塔銮、缅甸的仰光大金塔、柬埔寨的吴哥窟、菲律宾的圣奥古斯丁教堂等，游览这些历史景点的同时，增加对东盟历史的了解。展项主要由环形柔性LED屏组成，通过空间环境设计增强视觉沉浸感。观众走入环形LED影院，观看从中国长城出发，依次飞越东盟十国的地标建筑或著名景观，时长约7分钟；</w:t>
            </w:r>
            <w:r>
              <w:rPr>
                <w:rFonts w:hint="eastAsia" w:ascii="宋体" w:hAnsi="宋体" w:cs="宋体"/>
                <w:color w:val="auto"/>
                <w:szCs w:val="21"/>
              </w:rPr>
              <w:t>设置景点艺术图文1套，包括文莱、柬埔寨、印度尼西亚、老挝、马来西亚、菲律宾、新加坡、泰国、缅甸、越南等国家景点以及马来族、高棉族、爪哇族、老挝族、缅族、他加禄人、泰族、京族等民族服饰等用来进行互动。</w:t>
            </w:r>
          </w:p>
          <w:p w14:paraId="50AABEF3">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4、互动方式：</w:t>
            </w:r>
          </w:p>
          <w:p w14:paraId="120B88E5">
            <w:pPr>
              <w:widowControl/>
              <w:spacing w:line="380" w:lineRule="exact"/>
              <w:ind w:firstLine="420" w:firstLineChars="200"/>
              <w:jc w:val="left"/>
              <w:rPr>
                <w:rFonts w:hint="eastAsia" w:ascii="宋体" w:hAnsi="宋体" w:cs="宋体"/>
                <w:color w:val="auto"/>
                <w:kern w:val="0"/>
                <w:szCs w:val="21"/>
              </w:rPr>
            </w:pPr>
            <w:r>
              <w:rPr>
                <w:rFonts w:hint="eastAsia" w:cs="宋体"/>
                <w:color w:val="auto"/>
                <w:kern w:val="0"/>
                <w:szCs w:val="21"/>
              </w:rPr>
              <w:t>1）</w:t>
            </w:r>
            <w:r>
              <w:rPr>
                <w:rFonts w:hint="eastAsia" w:ascii="宋体" w:hAnsi="宋体" w:cs="宋体"/>
                <w:color w:val="auto"/>
                <w:kern w:val="0"/>
                <w:szCs w:val="21"/>
              </w:rPr>
              <w:t>进入场景空间，观看屏幕，游览东盟的各个著名景点。视频自动循环播放。</w:t>
            </w:r>
          </w:p>
          <w:p w14:paraId="180F6C12">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szCs w:val="21"/>
              </w:rPr>
              <w:t>2）观众在屏幕前拍照，并选择喜欢的名族服饰及景点，系统将人物与服饰和景点合成，形成合影；观众可选择上传大屏或者点击二维码下载合影带走。</w:t>
            </w:r>
          </w:p>
          <w:p w14:paraId="5F8F6B04">
            <w:pPr>
              <w:pStyle w:val="18"/>
              <w:rPr>
                <w:color w:val="auto"/>
              </w:rPr>
            </w:pPr>
            <w:r>
              <w:rPr>
                <w:rFonts w:hint="eastAsia" w:ascii="宋体" w:hAnsi="宋体" w:cs="宋体"/>
                <w:b/>
                <w:bCs/>
                <w:color w:val="auto"/>
                <w:sz w:val="21"/>
                <w:szCs w:val="21"/>
              </w:rPr>
              <w:t>5、材料与主要设备：</w:t>
            </w:r>
          </w:p>
          <w:p w14:paraId="40334351">
            <w:pPr>
              <w:pStyle w:val="33"/>
              <w:snapToGrid w:val="0"/>
              <w:spacing w:before="0" w:after="0" w:line="380" w:lineRule="exact"/>
              <w:ind w:firstLine="420" w:firstLineChars="200"/>
              <w:rPr>
                <w:rFonts w:hint="eastAsia" w:cs="宋体"/>
                <w:color w:val="auto"/>
                <w:kern w:val="0"/>
                <w:szCs w:val="21"/>
              </w:rPr>
            </w:pPr>
            <w:r>
              <w:rPr>
                <w:rFonts w:hint="eastAsia" w:cs="宋体"/>
                <w:b w:val="0"/>
                <w:bCs w:val="0"/>
                <w:color w:val="auto"/>
                <w:kern w:val="0"/>
                <w:sz w:val="21"/>
                <w:szCs w:val="21"/>
              </w:rPr>
              <w:t>1）LED屏要求使用点间距</w:t>
            </w:r>
            <w:r>
              <w:rPr>
                <w:rFonts w:hint="eastAsia" w:cs="宋体"/>
                <w:b w:val="0"/>
                <w:bCs w:val="0"/>
                <w:caps w:val="0"/>
                <w:color w:val="auto"/>
                <w:sz w:val="21"/>
                <w:szCs w:val="21"/>
              </w:rPr>
              <w:t>≤1.86mm</w:t>
            </w:r>
            <w:r>
              <w:rPr>
                <w:rFonts w:hint="eastAsia" w:cs="宋体"/>
                <w:b w:val="0"/>
                <w:bCs w:val="0"/>
                <w:color w:val="auto"/>
                <w:kern w:val="0"/>
                <w:sz w:val="21"/>
                <w:szCs w:val="21"/>
              </w:rPr>
              <w:t>的柔性LED屏模块组成跨度约为8米、弧长约10米、高度约为4米的弧形屏幕；天花板与地板采用类镜面材料，形成沉浸式氛围。</w:t>
            </w:r>
          </w:p>
          <w:p w14:paraId="1F7360E6">
            <w:pPr>
              <w:pStyle w:val="33"/>
              <w:snapToGrid w:val="0"/>
              <w:spacing w:before="0" w:after="0" w:line="380" w:lineRule="exact"/>
              <w:ind w:firstLine="420" w:firstLineChars="200"/>
              <w:rPr>
                <w:rFonts w:hint="eastAsia" w:cs="宋体"/>
                <w:color w:val="auto"/>
                <w:szCs w:val="21"/>
              </w:rPr>
            </w:pPr>
            <w:r>
              <w:rPr>
                <w:rFonts w:hint="eastAsia" w:cs="宋体"/>
                <w:b w:val="0"/>
                <w:bCs w:val="0"/>
                <w:caps w:val="0"/>
                <w:color w:val="auto"/>
                <w:sz w:val="21"/>
                <w:szCs w:val="21"/>
              </w:rPr>
              <w:t>2）LED模块主要参数：像素间距（mm）≤1.86，模组分辨率（W×H）：172×86 ，模组尺寸（mm）320 （W）×160（H），模组最大功耗（W/块）：25，像素密度：（点/m2 ）288906，维护方式：前维护 ，支持软件实现</w:t>
            </w:r>
            <w:r>
              <w:rPr>
                <w:rFonts w:cs="宋体"/>
                <w:b w:val="0"/>
                <w:bCs w:val="0"/>
                <w:caps w:val="0"/>
                <w:color w:val="auto"/>
                <w:sz w:val="21"/>
                <w:szCs w:val="21"/>
              </w:rPr>
              <w:t>0-100%</w:t>
            </w:r>
            <w:r>
              <w:rPr>
                <w:rFonts w:hint="eastAsia" w:cs="宋体"/>
                <w:b w:val="0"/>
                <w:bCs w:val="0"/>
                <w:caps w:val="0"/>
                <w:color w:val="auto"/>
                <w:sz w:val="21"/>
                <w:szCs w:val="21"/>
              </w:rPr>
              <w:t>亮度时，</w:t>
            </w:r>
            <w:r>
              <w:rPr>
                <w:rFonts w:cs="宋体"/>
                <w:b w:val="0"/>
                <w:bCs w:val="0"/>
                <w:caps w:val="0"/>
                <w:color w:val="auto"/>
                <w:sz w:val="21"/>
                <w:szCs w:val="21"/>
              </w:rPr>
              <w:t>14-16bit</w:t>
            </w:r>
            <w:r>
              <w:rPr>
                <w:rFonts w:hint="eastAsia" w:cs="宋体"/>
                <w:b w:val="0"/>
                <w:bCs w:val="0"/>
                <w:caps w:val="0"/>
                <w:color w:val="auto"/>
                <w:sz w:val="21"/>
                <w:szCs w:val="21"/>
              </w:rPr>
              <w:t xml:space="preserve">任意灰度设置；显示屏亮度：户内≥500cd/㎡；对比度：≥9000：1；亮度均匀性≥98%，色度均匀性±0.003 CxCy之内；色温2500-12000K可调；换帧频率：50Hz/60Hz/120Hz/240Hz；刷新率：≥3840Hz； </w:t>
            </w:r>
          </w:p>
          <w:p w14:paraId="2D777EB0">
            <w:pPr>
              <w:pStyle w:val="100"/>
              <w:snapToGrid w:val="0"/>
              <w:spacing w:line="380" w:lineRule="exact"/>
              <w:rPr>
                <w:rFonts w:hint="eastAsia" w:ascii="宋体" w:hAnsi="宋体" w:cs="宋体"/>
                <w:color w:val="auto"/>
                <w:szCs w:val="21"/>
                <w:lang w:val="zh-CN" w:bidi="ar"/>
              </w:rPr>
            </w:pPr>
            <w:r>
              <w:rPr>
                <w:rFonts w:hint="eastAsia" w:ascii="宋体" w:hAnsi="宋体" w:cs="宋体"/>
                <w:color w:val="auto"/>
                <w:szCs w:val="21"/>
              </w:rPr>
              <w:t>3）多媒体服务器：支持</w:t>
            </w:r>
            <w:r>
              <w:rPr>
                <w:rFonts w:hint="eastAsia" w:ascii="宋体" w:hAnsi="宋体" w:cs="宋体"/>
                <w:color w:val="auto"/>
                <w:spacing w:val="1"/>
                <w:szCs w:val="21"/>
                <w:shd w:val="clear" w:color="auto" w:fill="FFFFFF"/>
              </w:rPr>
              <w:t>8K</w:t>
            </w:r>
            <w:r>
              <w:rPr>
                <w:rFonts w:ascii="Segoe UI" w:hAnsi="Segoe UI" w:eastAsia="Segoe UI" w:cs="Segoe UI"/>
                <w:color w:val="auto"/>
                <w:spacing w:val="1"/>
                <w:szCs w:val="21"/>
                <w:shd w:val="clear" w:color="auto" w:fill="FFFFFF"/>
              </w:rPr>
              <w:t>视频流畅播放；支持环幕、球幕等异形屏融合拼接及几何校正，可级联扩展；搭载专业播控软件实现多任务协同管理</w:t>
            </w:r>
            <w:r>
              <w:rPr>
                <w:rFonts w:ascii="宋体" w:hAnsi="宋体" w:cs="宋体"/>
                <w:color w:val="auto"/>
                <w:szCs w:val="21"/>
                <w:lang w:val="zh-CN" w:bidi="ar"/>
              </w:rPr>
              <w:t>；</w:t>
            </w:r>
          </w:p>
          <w:p w14:paraId="5C43DF7B">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rPr>
              <w:t>4）</w:t>
            </w:r>
            <w:r>
              <w:rPr>
                <w:rFonts w:hint="eastAsia" w:ascii="宋体" w:hAnsi="宋体" w:cs="宋体"/>
                <w:color w:val="auto"/>
                <w:szCs w:val="21"/>
                <w:lang w:bidi="ar"/>
              </w:rPr>
              <w:t>拼接处理器：</w:t>
            </w:r>
            <w:r>
              <w:rPr>
                <w:rFonts w:ascii="Segoe UI" w:hAnsi="Segoe UI" w:eastAsia="Segoe UI" w:cs="Segoe UI"/>
                <w:color w:val="auto"/>
                <w:spacing w:val="1"/>
                <w:szCs w:val="21"/>
                <w:shd w:val="clear" w:color="auto" w:fill="FFFFFF"/>
              </w:rPr>
              <w:t>纯硬件模块化架构，支持热插拔独立运行；支持多级权限管理，可精细化分配信号源及显示区域操作权限；窗口功能支持叠加、跨通道移动及锁定保护，确保画面同步无撕裂，故障自愈</w:t>
            </w:r>
            <w:r>
              <w:rPr>
                <w:rFonts w:hint="eastAsia" w:ascii="Segoe UI" w:hAnsi="Segoe UI" w:cs="Segoe UI"/>
                <w:color w:val="auto"/>
                <w:spacing w:val="1"/>
                <w:szCs w:val="21"/>
                <w:shd w:val="clear" w:color="auto" w:fill="FFFFFF"/>
              </w:rPr>
              <w:t>等</w:t>
            </w:r>
            <w:r>
              <w:rPr>
                <w:rFonts w:ascii="Segoe UI" w:hAnsi="Segoe UI" w:eastAsia="Segoe UI" w:cs="Segoe UI"/>
                <w:color w:val="auto"/>
                <w:spacing w:val="1"/>
                <w:szCs w:val="21"/>
                <w:shd w:val="clear" w:color="auto" w:fill="FFFFFF"/>
              </w:rPr>
              <w:t>。</w:t>
            </w:r>
          </w:p>
          <w:p w14:paraId="32E15EB5">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rPr>
              <w:t>5）</w:t>
            </w:r>
            <w:r>
              <w:rPr>
                <w:rFonts w:hint="eastAsia" w:ascii="宋体" w:hAnsi="宋体" w:cs="宋体"/>
                <w:color w:val="auto"/>
                <w:szCs w:val="21"/>
                <w:lang w:bidi="ar"/>
              </w:rPr>
              <w:t>显示控制设备</w:t>
            </w:r>
            <w:r>
              <w:rPr>
                <w:rFonts w:hint="eastAsia" w:ascii="宋体" w:hAnsi="宋体" w:cs="宋体"/>
                <w:color w:val="auto"/>
                <w:szCs w:val="21"/>
              </w:rPr>
              <w:t>：单台最大支持 3840×2160@60Hz 分辨率，可自定义至 7680×1080@60Hz；输入含 DP1.2 及多路 DVI 接口，输出支持 16 千兆网口与 4 路 10G 光纤（主备冗余）；搭载逐点亮色度校正技术；采用 G4 引擎确保画面无闪烁、无扫描线，同步处理技术消除拼接撕裂，具备自动备份及智能配屏功能</w:t>
            </w:r>
            <w:r>
              <w:rPr>
                <w:rFonts w:hint="eastAsia" w:ascii="宋体" w:hAnsi="宋体" w:cs="宋体"/>
                <w:color w:val="auto"/>
                <w:szCs w:val="21"/>
                <w:lang w:bidi="ar"/>
              </w:rPr>
              <w:t>；</w:t>
            </w:r>
          </w:p>
          <w:p w14:paraId="5D0883A8">
            <w:pPr>
              <w:pStyle w:val="100"/>
              <w:snapToGrid w:val="0"/>
              <w:spacing w:line="380" w:lineRule="exact"/>
              <w:rPr>
                <w:rFonts w:hint="eastAsia" w:ascii="宋体" w:hAnsi="宋体" w:cs="宋体"/>
                <w:color w:val="auto"/>
                <w:szCs w:val="21"/>
                <w:lang w:bidi="ar"/>
              </w:rPr>
            </w:pPr>
            <w:r>
              <w:rPr>
                <w:rFonts w:hint="eastAsia" w:ascii="宋体" w:hAnsi="宋体" w:cs="宋体"/>
                <w:color w:val="auto"/>
                <w:szCs w:val="21"/>
                <w:lang w:bidi="ar"/>
              </w:rPr>
              <w:t>6）</w:t>
            </w:r>
            <w:r>
              <w:rPr>
                <w:rFonts w:hint="eastAsia" w:ascii="宋体" w:hAnsi="宋体" w:cs="宋体"/>
                <w:color w:val="auto"/>
                <w:szCs w:val="21"/>
              </w:rPr>
              <w:t>大型核心展品除设备本身必需的控制主机之外，另配备1台移动式控制工作站用于设备调试和运维，移动式控制工作站应为主流品牌机，配置不低于RTX3060级别显卡、CPU不低于11代i7、16G内存、1TB固态硬盘。</w:t>
            </w:r>
          </w:p>
        </w:tc>
        <w:tc>
          <w:tcPr>
            <w:tcW w:w="538" w:type="pct"/>
            <w:tcBorders>
              <w:tl2br w:val="nil"/>
              <w:tr2bl w:val="nil"/>
            </w:tcBorders>
            <w:noWrap/>
            <w:vAlign w:val="center"/>
          </w:tcPr>
          <w:p w14:paraId="0AFB043F">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大型核心展品</w:t>
            </w:r>
          </w:p>
        </w:tc>
      </w:tr>
      <w:tr w14:paraId="26EC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1" w:type="pct"/>
            <w:tcBorders>
              <w:tl2br w:val="nil"/>
              <w:tr2bl w:val="nil"/>
            </w:tcBorders>
            <w:vAlign w:val="center"/>
          </w:tcPr>
          <w:p w14:paraId="2B569921">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4-2</w:t>
            </w:r>
          </w:p>
        </w:tc>
        <w:tc>
          <w:tcPr>
            <w:tcW w:w="686" w:type="pct"/>
            <w:gridSpan w:val="2"/>
            <w:vMerge w:val="continue"/>
            <w:tcBorders>
              <w:tl2br w:val="nil"/>
              <w:tr2bl w:val="nil"/>
            </w:tcBorders>
            <w:vAlign w:val="center"/>
          </w:tcPr>
          <w:p w14:paraId="343D3F8F">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2CBC301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古城经纬</w:t>
            </w:r>
          </w:p>
        </w:tc>
        <w:tc>
          <w:tcPr>
            <w:tcW w:w="2849" w:type="pct"/>
            <w:tcBorders>
              <w:tl2br w:val="nil"/>
              <w:tr2bl w:val="nil"/>
            </w:tcBorders>
            <w:noWrap/>
            <w:vAlign w:val="center"/>
          </w:tcPr>
          <w:p w14:paraId="4A8E6FDF">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长约4、宽约6、高约4</w:t>
            </w:r>
          </w:p>
          <w:p w14:paraId="5566A5B6">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东南亚古镇沙盘造型</w:t>
            </w:r>
          </w:p>
          <w:p w14:paraId="5DF01FF1">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让观众代入古代城镇行政官员的角色，结合沙盘和体感互动，围绕东盟古代城市设计实体模型（柬埔寨吴哥城、泰国大城府、越南顺化皇城等均设有护城河），了解应当如何配置人们聚居所需的各种资源，解决各种问题。例如通过设置可调节坡度的微型河道，观众通过机械传动控制闸门、陶制引水渠模块模拟古代灌溉系统，观察水流分配与防洪效果。分别以老挝琅勃拉邦古城、马来西亚的马六甲和乔治城、泰国素可泰历史小镇、越南会安古镇四个城镇进行建模。</w:t>
            </w:r>
          </w:p>
          <w:p w14:paraId="60063ECF">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进入互动场景空间，观看沙盘，了解4个古镇的整体布局；观众在触摸屏上对沙盘进行操控，如城门开合河流闸门开合，建立围墙的升降等，观看实物沙盘的动作，结合投影画面的变化，感受古城镇的规划。</w:t>
            </w:r>
          </w:p>
          <w:p w14:paraId="6AA4785E">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沙盘造型使用高质量高密度的主流材料；触摸屏尺寸不低于27寸、分辨率不低于4K；投影仪应为主流品牌机型，ANSI亮度不低于7000lm。</w:t>
            </w:r>
          </w:p>
        </w:tc>
        <w:tc>
          <w:tcPr>
            <w:tcW w:w="538" w:type="pct"/>
            <w:vMerge w:val="restart"/>
            <w:tcBorders>
              <w:tl2br w:val="nil"/>
              <w:tr2bl w:val="nil"/>
            </w:tcBorders>
            <w:noWrap/>
            <w:vAlign w:val="center"/>
          </w:tcPr>
          <w:p w14:paraId="42AAA0F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中小型互动展品</w:t>
            </w:r>
          </w:p>
        </w:tc>
      </w:tr>
      <w:tr w14:paraId="14E8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tcBorders>
              <w:tl2br w:val="nil"/>
              <w:tr2bl w:val="nil"/>
            </w:tcBorders>
            <w:vAlign w:val="center"/>
          </w:tcPr>
          <w:p w14:paraId="6C79D91B">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4-3</w:t>
            </w:r>
          </w:p>
        </w:tc>
        <w:tc>
          <w:tcPr>
            <w:tcW w:w="686" w:type="pct"/>
            <w:gridSpan w:val="2"/>
            <w:vMerge w:val="continue"/>
            <w:tcBorders>
              <w:tl2br w:val="nil"/>
              <w:tr2bl w:val="nil"/>
            </w:tcBorders>
            <w:vAlign w:val="center"/>
          </w:tcPr>
          <w:p w14:paraId="198ADF11">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7F9C453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未来城市实验</w:t>
            </w:r>
          </w:p>
        </w:tc>
        <w:tc>
          <w:tcPr>
            <w:tcW w:w="2849" w:type="pct"/>
            <w:tcBorders>
              <w:tl2br w:val="nil"/>
              <w:tr2bl w:val="nil"/>
            </w:tcBorders>
            <w:noWrap/>
            <w:vAlign w:val="center"/>
          </w:tcPr>
          <w:p w14:paraId="29178DF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长约0.8、宽约0.5、高约1</w:t>
            </w:r>
          </w:p>
          <w:p w14:paraId="07AD3D4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文莱和新加坡的城市沙盘及互动平板等</w:t>
            </w:r>
          </w:p>
          <w:p w14:paraId="1C14A7C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结合文莱和新加坡的城市规划，以电子沙盘与体感互动的形式展示现代城市的配置。让观众代入现代城市行政官员的角色，了解应当如何配置人们聚居所需的各种资源，解决各种问题。</w:t>
            </w:r>
          </w:p>
          <w:p w14:paraId="5F748495">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站立于控制台前，双手平举触发游戏开始。根据屏幕提示，完成能源配置、绿化布局、交通优化和环境保护等任务。使用手势拖拽、旋转和缩放功能调整沙盘中的元素。解决随机出现的问题，例如气候变化、人口增长或基础设施老化。查看操作结果，评估城市运行状况。</w:t>
            </w:r>
          </w:p>
          <w:p w14:paraId="140F306F">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交互式电子沙盘，3D建模打造文莱和新加坡的城市模型，利用Kinect或Leap Motion设备捕捉观众的手势动作，实现无接触式操作。</w:t>
            </w:r>
          </w:p>
        </w:tc>
        <w:tc>
          <w:tcPr>
            <w:tcW w:w="538" w:type="pct"/>
            <w:vMerge w:val="continue"/>
            <w:tcBorders>
              <w:tl2br w:val="nil"/>
              <w:tr2bl w:val="nil"/>
            </w:tcBorders>
            <w:noWrap/>
            <w:vAlign w:val="center"/>
          </w:tcPr>
          <w:p w14:paraId="25C1BFCF">
            <w:pPr>
              <w:widowControl/>
              <w:spacing w:line="380" w:lineRule="exact"/>
              <w:jc w:val="center"/>
              <w:rPr>
                <w:rFonts w:hint="eastAsia" w:ascii="宋体" w:hAnsi="宋体" w:cs="宋体"/>
                <w:color w:val="auto"/>
                <w:kern w:val="0"/>
                <w:sz w:val="22"/>
                <w:szCs w:val="21"/>
              </w:rPr>
            </w:pPr>
          </w:p>
        </w:tc>
      </w:tr>
      <w:tr w14:paraId="7507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28F31C94">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4-4</w:t>
            </w:r>
          </w:p>
        </w:tc>
        <w:tc>
          <w:tcPr>
            <w:tcW w:w="686" w:type="pct"/>
            <w:gridSpan w:val="2"/>
            <w:vMerge w:val="continue"/>
            <w:tcBorders>
              <w:tl2br w:val="nil"/>
              <w:tr2bl w:val="nil"/>
            </w:tcBorders>
            <w:vAlign w:val="center"/>
          </w:tcPr>
          <w:p w14:paraId="119C3063">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2FF8F88B">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沟通任意门</w:t>
            </w:r>
          </w:p>
        </w:tc>
        <w:tc>
          <w:tcPr>
            <w:tcW w:w="2849" w:type="pct"/>
            <w:tcBorders>
              <w:tl2br w:val="nil"/>
              <w:tr2bl w:val="nil"/>
            </w:tcBorders>
            <w:noWrap/>
            <w:vAlign w:val="center"/>
          </w:tcPr>
          <w:p w14:paraId="7D63B745">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单个尺寸长约1.0、宽约1.2、高约2.4</w:t>
            </w:r>
          </w:p>
          <w:p w14:paraId="757ADCE8">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由未来科技感的场景互动空间和10个时空任意门组成。</w:t>
            </w:r>
          </w:p>
          <w:p w14:paraId="0579A074">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w:t>
            </w:r>
            <w:r>
              <w:rPr>
                <w:rFonts w:hint="eastAsia" w:ascii="宋体" w:hAnsi="宋体" w:cs="宋体"/>
                <w:color w:val="auto"/>
                <w:kern w:val="0"/>
                <w:szCs w:val="21"/>
              </w:rPr>
              <w:t>东盟十国的人文特色呈现出多元共生、交融互鉴的独特图景，既保留了各自民族文化的鲜明特质，又通过区域合作形成了富有活力的文化共同体。如泼水节、歌舞、染色等。场景空间内，设置了多扇时空门。每扇时空门后面都设置了高清显示屏当观众打开一扇门，门后的显示屏中将显示东盟某个国家的标志性景观，和一位穿着本地特色服饰的当地人的AI形象。观众可以同AI数字人进行合影留念。通过全息舱运行人工智能导游，让观众领略东盟十国的地理风貌和风土人情。可切换10个国家的语言和人物形象进行语音识别和换服装互动。</w:t>
            </w:r>
          </w:p>
          <w:p w14:paraId="260D3279">
            <w:pPr>
              <w:widowControl/>
              <w:spacing w:line="380" w:lineRule="exact"/>
              <w:jc w:val="left"/>
              <w:rPr>
                <w:rFonts w:hint="eastAsia" w:ascii="宋体" w:hAnsi="宋体" w:cs="宋体"/>
                <w:color w:val="auto"/>
                <w:kern w:val="0"/>
                <w:szCs w:val="21"/>
              </w:rPr>
            </w:pPr>
            <w:r>
              <w:rPr>
                <w:rFonts w:hint="eastAsia" w:ascii="宋体" w:hAnsi="宋体" w:cs="宋体"/>
                <w:b/>
                <w:bCs/>
                <w:color w:val="auto"/>
                <w:kern w:val="0"/>
                <w:szCs w:val="21"/>
              </w:rPr>
              <w:t>4、互动方式：</w:t>
            </w:r>
            <w:r>
              <w:rPr>
                <w:rFonts w:hint="eastAsia" w:ascii="宋体" w:hAnsi="宋体" w:cs="宋体"/>
                <w:color w:val="auto"/>
                <w:kern w:val="0"/>
                <w:szCs w:val="21"/>
              </w:rPr>
              <w:t>进入互动场景空间，感受未来科技的震撼；随意打开一扇门，看看门后面藏着哪个国家的美景和居民，与AI数字人对话，了解该国家的相关信息。</w:t>
            </w:r>
          </w:p>
          <w:p w14:paraId="63560580">
            <w:pPr>
              <w:pStyle w:val="18"/>
              <w:rPr>
                <w:color w:val="auto"/>
              </w:rPr>
            </w:pPr>
            <w:r>
              <w:rPr>
                <w:rFonts w:hint="eastAsia" w:ascii="宋体" w:hAnsi="宋体" w:cs="宋体"/>
                <w:b/>
                <w:bCs/>
                <w:color w:val="auto"/>
                <w:sz w:val="21"/>
                <w:szCs w:val="21"/>
              </w:rPr>
              <w:t>5、材料与主要设备：</w:t>
            </w:r>
            <w:r>
              <w:rPr>
                <w:rFonts w:hint="eastAsia" w:ascii="宋体" w:hAnsi="宋体" w:cs="宋体"/>
                <w:color w:val="auto"/>
                <w:sz w:val="21"/>
                <w:szCs w:val="21"/>
              </w:rPr>
              <w:t>应基于主流的多模态大模型进行训练，搭配85寸硬屏液晶显示模块，立式画面；主机配置不低于4080级别的独立显卡。</w:t>
            </w:r>
          </w:p>
        </w:tc>
        <w:tc>
          <w:tcPr>
            <w:tcW w:w="538" w:type="pct"/>
            <w:vMerge w:val="continue"/>
            <w:tcBorders>
              <w:tl2br w:val="nil"/>
              <w:tr2bl w:val="nil"/>
            </w:tcBorders>
            <w:noWrap/>
            <w:vAlign w:val="center"/>
          </w:tcPr>
          <w:p w14:paraId="761DEC85">
            <w:pPr>
              <w:widowControl/>
              <w:spacing w:line="380" w:lineRule="exact"/>
              <w:jc w:val="center"/>
              <w:rPr>
                <w:rFonts w:hint="eastAsia" w:ascii="宋体" w:hAnsi="宋体" w:cs="宋体"/>
                <w:color w:val="auto"/>
                <w:kern w:val="0"/>
                <w:sz w:val="22"/>
                <w:szCs w:val="21"/>
              </w:rPr>
            </w:pPr>
          </w:p>
        </w:tc>
      </w:tr>
      <w:tr w14:paraId="48E5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3E0C515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4-5</w:t>
            </w:r>
          </w:p>
        </w:tc>
        <w:tc>
          <w:tcPr>
            <w:tcW w:w="686" w:type="pct"/>
            <w:gridSpan w:val="2"/>
            <w:vMerge w:val="continue"/>
            <w:tcBorders>
              <w:tl2br w:val="nil"/>
              <w:tr2bl w:val="nil"/>
            </w:tcBorders>
            <w:vAlign w:val="center"/>
          </w:tcPr>
          <w:p w14:paraId="79996605">
            <w:pPr>
              <w:widowControl/>
              <w:spacing w:line="380" w:lineRule="exact"/>
              <w:jc w:val="center"/>
              <w:rPr>
                <w:rFonts w:hint="eastAsia" w:ascii="宋体" w:hAnsi="宋体" w:cs="宋体"/>
                <w:color w:val="auto"/>
                <w:kern w:val="0"/>
                <w:szCs w:val="21"/>
              </w:rPr>
            </w:pPr>
          </w:p>
        </w:tc>
        <w:tc>
          <w:tcPr>
            <w:tcW w:w="534" w:type="pct"/>
            <w:tcBorders>
              <w:tl2br w:val="nil"/>
              <w:tr2bl w:val="nil"/>
            </w:tcBorders>
            <w:noWrap/>
            <w:vAlign w:val="center"/>
          </w:tcPr>
          <w:p w14:paraId="0CEBD1D8">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声色东南亚</w:t>
            </w:r>
          </w:p>
        </w:tc>
        <w:tc>
          <w:tcPr>
            <w:tcW w:w="2849" w:type="pct"/>
            <w:tcBorders>
              <w:tl2br w:val="nil"/>
              <w:tr2bl w:val="nil"/>
            </w:tcBorders>
            <w:noWrap/>
            <w:vAlign w:val="center"/>
          </w:tcPr>
          <w:p w14:paraId="4DDE010B">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1、参考尺寸（米）：</w:t>
            </w:r>
            <w:r>
              <w:rPr>
                <w:rFonts w:hint="eastAsia" w:ascii="宋体" w:hAnsi="宋体" w:cs="宋体"/>
                <w:color w:val="auto"/>
                <w:kern w:val="0"/>
                <w:szCs w:val="21"/>
              </w:rPr>
              <w:t>长约2、宽约1.5、高约1（单个）</w:t>
            </w:r>
          </w:p>
          <w:p w14:paraId="58DAD7F7">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2、造型：</w:t>
            </w:r>
            <w:r>
              <w:rPr>
                <w:rFonts w:hint="eastAsia" w:ascii="宋体" w:hAnsi="宋体" w:cs="宋体"/>
                <w:color w:val="auto"/>
                <w:kern w:val="0"/>
                <w:szCs w:val="21"/>
              </w:rPr>
              <w:t>一组5个展品套装，从语音、气味、色彩等各方面体验东南亚风情</w:t>
            </w:r>
          </w:p>
          <w:p w14:paraId="5E9BF7D2">
            <w:pPr>
              <w:widowControl/>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3、功能描述及互动方式：</w:t>
            </w:r>
          </w:p>
          <w:p w14:paraId="207F0C02">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1）语言之桥：管道+翻译器互动</w:t>
            </w:r>
          </w:p>
          <w:p w14:paraId="44FC5E9A">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正面互动：立体雕刻的你好+中文+东盟十国语言组成文字流，通过各管道互动对应传出十国语言。</w:t>
            </w:r>
          </w:p>
          <w:p w14:paraId="20C6046D">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背面互动：十国立体文字+翻译器输入关键词，通过旋转转盘可聆听同一个关键词不同国家的语言表达。</w:t>
            </w:r>
          </w:p>
          <w:p w14:paraId="67A49233">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2）编纹织路：实物+灯带+媒体互动</w:t>
            </w:r>
          </w:p>
          <w:p w14:paraId="2F89AF1B">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正面互动：透光亚克力板层叠展示中国云锦、印尼ikat、泰国竹编等纹样，抽拉每个纹样的编织绳可以激发纹样底板的灯光互动。</w:t>
            </w:r>
          </w:p>
          <w:p w14:paraId="500F6CF5">
            <w:pPr>
              <w:pStyle w:val="33"/>
              <w:spacing w:before="0" w:after="0" w:line="380" w:lineRule="exact"/>
              <w:ind w:firstLine="420" w:firstLineChars="200"/>
              <w:rPr>
                <w:rFonts w:hint="eastAsia"/>
                <w:color w:val="auto"/>
              </w:rPr>
            </w:pPr>
            <w:r>
              <w:rPr>
                <w:rFonts w:hint="eastAsia" w:cs="宋体"/>
                <w:b w:val="0"/>
                <w:bCs w:val="0"/>
                <w:color w:val="auto"/>
                <w:kern w:val="0"/>
                <w:sz w:val="21"/>
                <w:szCs w:val="21"/>
              </w:rPr>
              <w:t>背面互动：编织媒体互动</w:t>
            </w:r>
          </w:p>
          <w:p w14:paraId="7AD3DE26">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3）色彩万象：色谱墙+四色绘制地图</w:t>
            </w:r>
          </w:p>
          <w:p w14:paraId="2CFE4E45">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正面互动：渐变色谱墙，标注各国代表色(中国：红、越南：青绿色)+色彩内涵阐释。</w:t>
            </w:r>
          </w:p>
          <w:p w14:paraId="330D6749">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背面互动：用四种颜色画出十国地图</w:t>
            </w:r>
          </w:p>
          <w:p w14:paraId="24403A88">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4）民俗密码：剪影墙互动+节日翻板</w:t>
            </w:r>
          </w:p>
          <w:p w14:paraId="4F12332B">
            <w:pPr>
              <w:pStyle w:val="33"/>
              <w:spacing w:before="0" w:after="0" w:line="380" w:lineRule="exact"/>
              <w:ind w:firstLine="420" w:firstLineChars="200"/>
              <w:rPr>
                <w:rFonts w:hint="eastAsia" w:cs="宋体"/>
                <w:b w:val="0"/>
                <w:bCs w:val="0"/>
                <w:color w:val="auto"/>
                <w:kern w:val="0"/>
                <w:sz w:val="21"/>
                <w:szCs w:val="21"/>
              </w:rPr>
            </w:pPr>
            <w:r>
              <w:rPr>
                <w:rFonts w:hint="eastAsia" w:cs="宋体"/>
                <w:b w:val="0"/>
                <w:bCs w:val="0"/>
                <w:color w:val="auto"/>
                <w:kern w:val="0"/>
                <w:sz w:val="21"/>
                <w:szCs w:val="21"/>
              </w:rPr>
              <w:t>正面互动：(马来西亚皮影、广西傩面等)镂空剪影墙+多个摇杆操作控制人物动作，展示特色民俗。</w:t>
            </w:r>
          </w:p>
          <w:p w14:paraId="0841E891">
            <w:pPr>
              <w:pStyle w:val="33"/>
              <w:spacing w:before="0" w:after="0" w:line="380" w:lineRule="exact"/>
              <w:ind w:firstLine="420" w:firstLineChars="200"/>
              <w:rPr>
                <w:rFonts w:hint="eastAsia" w:cs="宋体"/>
                <w:b w:val="0"/>
                <w:bCs w:val="0"/>
                <w:color w:val="auto"/>
                <w:kern w:val="0"/>
                <w:sz w:val="21"/>
                <w:szCs w:val="21"/>
              </w:rPr>
            </w:pPr>
            <w:r>
              <w:rPr>
                <w:rFonts w:hint="eastAsia" w:cs="宋体"/>
                <w:b w:val="0"/>
                <w:bCs w:val="0"/>
                <w:color w:val="auto"/>
                <w:kern w:val="0"/>
                <w:sz w:val="21"/>
                <w:szCs w:val="21"/>
              </w:rPr>
              <w:t>背面互动：十国民俗节日科普翻板。</w:t>
            </w:r>
          </w:p>
          <w:p w14:paraId="6383C463">
            <w:pPr>
              <w:spacing w:line="380" w:lineRule="exact"/>
              <w:rPr>
                <w:rFonts w:hint="eastAsia" w:ascii="宋体" w:hAnsi="宋体" w:cs="宋体"/>
                <w:color w:val="auto"/>
                <w:kern w:val="0"/>
                <w:szCs w:val="21"/>
              </w:rPr>
            </w:pPr>
            <w:r>
              <w:rPr>
                <w:rFonts w:hint="eastAsia" w:ascii="宋体" w:hAnsi="宋体" w:cs="宋体"/>
                <w:color w:val="auto"/>
                <w:kern w:val="0"/>
                <w:szCs w:val="21"/>
              </w:rPr>
              <w:t xml:space="preserve">     5）异彩味觉：嗅觉互动+媒体互动</w:t>
            </w:r>
          </w:p>
          <w:p w14:paraId="5111EF44">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正面互动：十国香料实物展示+相应的气味扩散装置互动。</w:t>
            </w:r>
          </w:p>
          <w:p w14:paraId="3814F3B9">
            <w:pPr>
              <w:spacing w:line="380" w:lineRule="exact"/>
              <w:ind w:firstLine="420" w:firstLineChars="200"/>
              <w:rPr>
                <w:rFonts w:hint="eastAsia" w:ascii="宋体" w:hAnsi="宋体" w:cs="宋体"/>
                <w:b/>
                <w:bCs/>
                <w:color w:val="auto"/>
                <w:kern w:val="0"/>
                <w:szCs w:val="21"/>
              </w:rPr>
            </w:pPr>
            <w:r>
              <w:rPr>
                <w:rFonts w:hint="eastAsia" w:ascii="宋体" w:hAnsi="宋体" w:cs="宋体"/>
                <w:color w:val="auto"/>
                <w:kern w:val="0"/>
                <w:szCs w:val="21"/>
              </w:rPr>
              <w:t>背面互动：根据媒体引导运用香料和其它食材制作十国美食媒体。</w:t>
            </w:r>
          </w:p>
        </w:tc>
        <w:tc>
          <w:tcPr>
            <w:tcW w:w="538" w:type="pct"/>
            <w:vMerge w:val="continue"/>
            <w:tcBorders>
              <w:tl2br w:val="nil"/>
              <w:tr2bl w:val="nil"/>
            </w:tcBorders>
            <w:noWrap/>
            <w:vAlign w:val="center"/>
          </w:tcPr>
          <w:p w14:paraId="16D6C8E4">
            <w:pPr>
              <w:widowControl/>
              <w:spacing w:line="380" w:lineRule="exact"/>
              <w:jc w:val="center"/>
              <w:rPr>
                <w:rFonts w:hint="eastAsia" w:ascii="宋体" w:hAnsi="宋体" w:cs="宋体"/>
                <w:color w:val="auto"/>
                <w:kern w:val="0"/>
                <w:sz w:val="22"/>
                <w:szCs w:val="21"/>
              </w:rPr>
            </w:pPr>
          </w:p>
        </w:tc>
      </w:tr>
      <w:tr w14:paraId="7759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6"/>
            <w:tcBorders>
              <w:tl2br w:val="nil"/>
              <w:tr2bl w:val="nil"/>
            </w:tcBorders>
            <w:vAlign w:val="center"/>
          </w:tcPr>
          <w:p w14:paraId="2977E356">
            <w:pPr>
              <w:widowControl/>
              <w:spacing w:line="380" w:lineRule="exact"/>
              <w:jc w:val="center"/>
              <w:rPr>
                <w:rFonts w:hint="eastAsia" w:ascii="宋体" w:hAnsi="宋体" w:cs="宋体"/>
                <w:color w:val="auto"/>
                <w:kern w:val="0"/>
                <w:sz w:val="22"/>
                <w:szCs w:val="21"/>
              </w:rPr>
            </w:pPr>
            <w:r>
              <w:rPr>
                <w:rFonts w:hint="eastAsia" w:ascii="宋体" w:hAnsi="宋体" w:cs="宋体"/>
                <w:b/>
                <w:bCs/>
                <w:color w:val="auto"/>
                <w:kern w:val="0"/>
                <w:szCs w:val="21"/>
              </w:rPr>
              <w:t>附属开发项目清单</w:t>
            </w:r>
          </w:p>
        </w:tc>
      </w:tr>
      <w:tr w14:paraId="10C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31167EFF">
            <w:pPr>
              <w:widowControl/>
              <w:spacing w:line="380" w:lineRule="exact"/>
              <w:jc w:val="center"/>
              <w:rPr>
                <w:rFonts w:hint="eastAsia" w:ascii="宋体" w:hAnsi="宋体" w:cs="宋体"/>
                <w:color w:val="auto"/>
                <w:kern w:val="0"/>
                <w:szCs w:val="21"/>
              </w:rPr>
            </w:pPr>
            <w:r>
              <w:rPr>
                <w:rFonts w:hint="eastAsia" w:ascii="宋体" w:hAnsi="宋体" w:cs="宋体"/>
                <w:b/>
                <w:bCs/>
                <w:color w:val="auto"/>
                <w:kern w:val="0"/>
                <w:szCs w:val="21"/>
              </w:rPr>
              <w:t>序号</w:t>
            </w:r>
          </w:p>
        </w:tc>
        <w:tc>
          <w:tcPr>
            <w:tcW w:w="1221" w:type="pct"/>
            <w:gridSpan w:val="3"/>
            <w:tcBorders>
              <w:tl2br w:val="nil"/>
              <w:tr2bl w:val="nil"/>
            </w:tcBorders>
            <w:vAlign w:val="center"/>
          </w:tcPr>
          <w:p w14:paraId="4712C8B0">
            <w:pPr>
              <w:widowControl/>
              <w:spacing w:line="380" w:lineRule="exact"/>
              <w:jc w:val="center"/>
              <w:rPr>
                <w:rFonts w:hint="eastAsia" w:ascii="宋体" w:hAnsi="宋体" w:cs="宋体"/>
                <w:color w:val="auto"/>
                <w:kern w:val="0"/>
                <w:szCs w:val="21"/>
              </w:rPr>
            </w:pPr>
            <w:r>
              <w:rPr>
                <w:rFonts w:hint="eastAsia" w:ascii="宋体" w:hAnsi="宋体" w:cs="宋体"/>
                <w:b/>
                <w:bCs/>
                <w:color w:val="auto"/>
                <w:kern w:val="0"/>
                <w:szCs w:val="21"/>
              </w:rPr>
              <w:t>项目</w:t>
            </w:r>
          </w:p>
        </w:tc>
        <w:tc>
          <w:tcPr>
            <w:tcW w:w="2849" w:type="pct"/>
            <w:tcBorders>
              <w:tl2br w:val="nil"/>
              <w:tr2bl w:val="nil"/>
            </w:tcBorders>
            <w:noWrap/>
            <w:vAlign w:val="center"/>
          </w:tcPr>
          <w:p w14:paraId="36A9EFCA">
            <w:pPr>
              <w:widowControl/>
              <w:spacing w:line="380" w:lineRule="exact"/>
              <w:jc w:val="center"/>
              <w:rPr>
                <w:rFonts w:hint="eastAsia" w:ascii="宋体" w:hAnsi="宋体" w:cs="宋体"/>
                <w:color w:val="auto"/>
                <w:kern w:val="0"/>
                <w:szCs w:val="21"/>
              </w:rPr>
            </w:pPr>
            <w:r>
              <w:rPr>
                <w:rFonts w:hint="eastAsia" w:ascii="宋体" w:hAnsi="宋体" w:cs="宋体"/>
                <w:b/>
                <w:bCs/>
                <w:color w:val="auto"/>
                <w:kern w:val="0"/>
                <w:szCs w:val="21"/>
              </w:rPr>
              <w:t>内容要求</w:t>
            </w:r>
          </w:p>
        </w:tc>
        <w:tc>
          <w:tcPr>
            <w:tcW w:w="538" w:type="pct"/>
            <w:tcBorders>
              <w:tl2br w:val="nil"/>
              <w:tr2bl w:val="nil"/>
            </w:tcBorders>
            <w:noWrap/>
            <w:vAlign w:val="center"/>
          </w:tcPr>
          <w:p w14:paraId="3060E8C8">
            <w:pPr>
              <w:widowControl/>
              <w:spacing w:line="380" w:lineRule="exact"/>
              <w:jc w:val="center"/>
              <w:rPr>
                <w:rFonts w:hint="eastAsia" w:ascii="宋体" w:hAnsi="宋体" w:cs="宋体"/>
                <w:color w:val="auto"/>
                <w:kern w:val="0"/>
                <w:sz w:val="22"/>
                <w:szCs w:val="21"/>
              </w:rPr>
            </w:pPr>
            <w:r>
              <w:rPr>
                <w:rFonts w:hint="eastAsia" w:ascii="宋体" w:hAnsi="宋体" w:cs="宋体"/>
                <w:b/>
                <w:bCs/>
                <w:color w:val="auto"/>
                <w:kern w:val="0"/>
                <w:szCs w:val="21"/>
              </w:rPr>
              <w:t>数量</w:t>
            </w:r>
          </w:p>
        </w:tc>
      </w:tr>
      <w:tr w14:paraId="360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73A5B267">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221" w:type="pct"/>
            <w:gridSpan w:val="3"/>
            <w:tcBorders>
              <w:tl2br w:val="nil"/>
              <w:tr2bl w:val="nil"/>
            </w:tcBorders>
            <w:vAlign w:val="center"/>
          </w:tcPr>
          <w:p w14:paraId="36BA052A">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特色器乐类教育活动</w:t>
            </w:r>
          </w:p>
        </w:tc>
        <w:tc>
          <w:tcPr>
            <w:tcW w:w="2849" w:type="pct"/>
            <w:tcBorders>
              <w:tl2br w:val="nil"/>
              <w:tr2bl w:val="nil"/>
            </w:tcBorders>
            <w:noWrap/>
            <w:vAlign w:val="center"/>
          </w:tcPr>
          <w:p w14:paraId="1964FDE4">
            <w:pPr>
              <w:widowControl/>
              <w:spacing w:line="3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结合中国与东盟十国中的弦乐器、管乐器、打击乐器的种类和演奏原理，如越南独弦琴、</w:t>
            </w:r>
            <w:r>
              <w:rPr>
                <w:rFonts w:ascii="宋体" w:hAnsi="宋体" w:cs="宋体"/>
                <w:color w:val="auto"/>
                <w:kern w:val="0"/>
                <w:szCs w:val="21"/>
              </w:rPr>
              <w:t>菲律宾的竹管风笛</w:t>
            </w:r>
            <w:r>
              <w:rPr>
                <w:rFonts w:hint="eastAsia" w:ascii="宋体" w:hAnsi="宋体" w:cs="宋体"/>
                <w:color w:val="auto"/>
                <w:kern w:val="0"/>
                <w:szCs w:val="21"/>
              </w:rPr>
              <w:t>、印度尼西亚的甘美兰等。通过收集材料和废旧物品，学习如何制作简单的具有东盟特色的乐器，</w:t>
            </w:r>
            <w:r>
              <w:rPr>
                <w:rFonts w:ascii="宋体" w:hAnsi="宋体" w:cs="宋体"/>
                <w:color w:val="auto"/>
                <w:kern w:val="0"/>
                <w:szCs w:val="21"/>
              </w:rPr>
              <w:t>并尝试演奏简单的曲调，培养音乐创造力和动手能力。</w:t>
            </w:r>
          </w:p>
        </w:tc>
        <w:tc>
          <w:tcPr>
            <w:tcW w:w="538" w:type="pct"/>
            <w:tcBorders>
              <w:tl2br w:val="nil"/>
              <w:tr2bl w:val="nil"/>
            </w:tcBorders>
            <w:noWrap/>
            <w:vAlign w:val="center"/>
          </w:tcPr>
          <w:p w14:paraId="526CE14E">
            <w:pPr>
              <w:widowControl/>
              <w:spacing w:line="380" w:lineRule="exact"/>
              <w:jc w:val="center"/>
              <w:rPr>
                <w:rFonts w:hint="eastAsia" w:ascii="宋体" w:hAnsi="宋体" w:cs="宋体"/>
                <w:color w:val="auto"/>
                <w:kern w:val="0"/>
                <w:sz w:val="22"/>
                <w:szCs w:val="21"/>
              </w:rPr>
            </w:pPr>
            <w:r>
              <w:rPr>
                <w:rFonts w:hint="eastAsia" w:ascii="宋体" w:hAnsi="宋体" w:cs="宋体"/>
                <w:color w:val="auto"/>
                <w:kern w:val="0"/>
                <w:szCs w:val="21"/>
              </w:rPr>
              <w:t>3项</w:t>
            </w:r>
          </w:p>
        </w:tc>
      </w:tr>
      <w:tr w14:paraId="2308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0F05272E">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1221" w:type="pct"/>
            <w:gridSpan w:val="3"/>
            <w:tcBorders>
              <w:tl2br w:val="nil"/>
              <w:tr2bl w:val="nil"/>
            </w:tcBorders>
            <w:vAlign w:val="center"/>
          </w:tcPr>
          <w:p w14:paraId="53BCC67C">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传统建筑类教育活动</w:t>
            </w:r>
          </w:p>
        </w:tc>
        <w:tc>
          <w:tcPr>
            <w:tcW w:w="2849" w:type="pct"/>
            <w:tcBorders>
              <w:tl2br w:val="nil"/>
              <w:tr2bl w:val="nil"/>
            </w:tcBorders>
            <w:noWrap/>
            <w:vAlign w:val="center"/>
          </w:tcPr>
          <w:p w14:paraId="0C17546C">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聚焦于中国与东盟十国中历史悠久的传统建筑和现代建筑，可从木屋与竹楼、石砌与砖雕、现代与传统的角度出发，学生通过动手实验，探究不同的建筑结构、学习建筑的设计理念、技术创新、环保理念等。</w:t>
            </w:r>
          </w:p>
        </w:tc>
        <w:tc>
          <w:tcPr>
            <w:tcW w:w="538" w:type="pct"/>
            <w:tcBorders>
              <w:tl2br w:val="nil"/>
              <w:tr2bl w:val="nil"/>
            </w:tcBorders>
            <w:noWrap/>
            <w:vAlign w:val="center"/>
          </w:tcPr>
          <w:p w14:paraId="760E70BF">
            <w:pPr>
              <w:widowControl/>
              <w:spacing w:line="380" w:lineRule="exact"/>
              <w:jc w:val="center"/>
              <w:rPr>
                <w:rFonts w:hint="eastAsia" w:ascii="宋体" w:hAnsi="宋体" w:cs="宋体"/>
                <w:color w:val="auto"/>
                <w:kern w:val="0"/>
                <w:sz w:val="22"/>
                <w:szCs w:val="21"/>
              </w:rPr>
            </w:pPr>
            <w:r>
              <w:rPr>
                <w:rFonts w:hint="eastAsia" w:ascii="宋体" w:hAnsi="宋体" w:cs="宋体"/>
                <w:color w:val="auto"/>
                <w:kern w:val="0"/>
                <w:szCs w:val="21"/>
              </w:rPr>
              <w:t>3项</w:t>
            </w:r>
          </w:p>
        </w:tc>
      </w:tr>
      <w:tr w14:paraId="3819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1" w:type="pct"/>
            <w:tcBorders>
              <w:tl2br w:val="nil"/>
              <w:tr2bl w:val="nil"/>
            </w:tcBorders>
            <w:vAlign w:val="center"/>
          </w:tcPr>
          <w:p w14:paraId="119CFD20">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1221" w:type="pct"/>
            <w:gridSpan w:val="3"/>
            <w:tcBorders>
              <w:tl2br w:val="nil"/>
              <w:tr2bl w:val="nil"/>
            </w:tcBorders>
            <w:vAlign w:val="center"/>
          </w:tcPr>
          <w:p w14:paraId="4EA76853">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民俗技艺类教育活动</w:t>
            </w:r>
          </w:p>
        </w:tc>
        <w:tc>
          <w:tcPr>
            <w:tcW w:w="2849" w:type="pct"/>
            <w:tcBorders>
              <w:tl2br w:val="nil"/>
              <w:tr2bl w:val="nil"/>
            </w:tcBorders>
            <w:noWrap/>
            <w:vAlign w:val="center"/>
          </w:tcPr>
          <w:p w14:paraId="075A1EBC">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结合中国与东盟十国中悠久的纺织技术，聚焦丝绸工艺、蜡染技术、纺织与陶艺中的艺术等方向，通过教学、图片展示、互动讨论、动手创作，体验文化之美。</w:t>
            </w:r>
          </w:p>
        </w:tc>
        <w:tc>
          <w:tcPr>
            <w:tcW w:w="538" w:type="pct"/>
            <w:tcBorders>
              <w:tl2br w:val="nil"/>
              <w:tr2bl w:val="nil"/>
            </w:tcBorders>
            <w:noWrap/>
            <w:vAlign w:val="center"/>
          </w:tcPr>
          <w:p w14:paraId="2759B8F6">
            <w:pPr>
              <w:widowControl/>
              <w:spacing w:line="380" w:lineRule="exact"/>
              <w:jc w:val="center"/>
              <w:rPr>
                <w:rFonts w:hint="eastAsia" w:ascii="宋体" w:hAnsi="宋体" w:cs="宋体"/>
                <w:color w:val="auto"/>
                <w:kern w:val="0"/>
                <w:sz w:val="22"/>
                <w:szCs w:val="21"/>
              </w:rPr>
            </w:pPr>
            <w:r>
              <w:rPr>
                <w:rFonts w:hint="eastAsia" w:ascii="宋体" w:hAnsi="宋体" w:cs="宋体"/>
                <w:color w:val="auto"/>
                <w:kern w:val="0"/>
                <w:szCs w:val="21"/>
              </w:rPr>
              <w:t>3项</w:t>
            </w:r>
          </w:p>
        </w:tc>
      </w:tr>
      <w:tr w14:paraId="2A21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6"/>
            <w:tcBorders>
              <w:tl2br w:val="nil"/>
              <w:tr2bl w:val="nil"/>
            </w:tcBorders>
            <w:vAlign w:val="center"/>
          </w:tcPr>
          <w:p w14:paraId="0F32C7A2">
            <w:pPr>
              <w:widowControl/>
              <w:spacing w:line="380" w:lineRule="exact"/>
              <w:jc w:val="center"/>
              <w:rPr>
                <w:rFonts w:hint="eastAsia" w:ascii="宋体" w:hAnsi="宋体" w:cs="宋体"/>
                <w:color w:val="auto"/>
                <w:kern w:val="0"/>
                <w:szCs w:val="21"/>
              </w:rPr>
            </w:pPr>
            <w:r>
              <w:rPr>
                <w:rFonts w:hint="eastAsia" w:ascii="宋体" w:hAnsi="宋体" w:cs="宋体"/>
                <w:color w:val="auto"/>
                <w:kern w:val="0"/>
                <w:szCs w:val="21"/>
              </w:rPr>
              <w:t>注：教育活动应针对本展区中某一项或多项相关的主题展品进行延伸设计</w:t>
            </w:r>
          </w:p>
        </w:tc>
      </w:tr>
    </w:tbl>
    <w:p w14:paraId="74513DEE">
      <w:pPr>
        <w:spacing w:line="420" w:lineRule="exact"/>
        <w:jc w:val="center"/>
        <w:rPr>
          <w:rFonts w:hint="eastAsia" w:ascii="宋体" w:hAnsi="宋体" w:cs="宋体"/>
          <w:b/>
          <w:color w:val="auto"/>
          <w:szCs w:val="21"/>
        </w:rPr>
      </w:pPr>
      <w:r>
        <w:rPr>
          <w:rFonts w:hint="eastAsia" w:ascii="仿宋_GB2312" w:hAnsi="宋体" w:eastAsia="仿宋_GB2312"/>
          <w:b/>
          <w:color w:val="auto"/>
          <w:sz w:val="24"/>
        </w:rPr>
        <w:br w:type="page"/>
      </w:r>
      <w:r>
        <w:rPr>
          <w:rFonts w:hint="eastAsia" w:ascii="宋体" w:hAnsi="宋体" w:cs="宋体"/>
          <w:b/>
          <w:color w:val="auto"/>
          <w:szCs w:val="21"/>
        </w:rPr>
        <w:t>三、本次采购项目通用技术要求</w:t>
      </w:r>
    </w:p>
    <w:p w14:paraId="3C701DFD">
      <w:pPr>
        <w:spacing w:line="420" w:lineRule="exact"/>
        <w:jc w:val="center"/>
        <w:rPr>
          <w:rFonts w:hint="eastAsia" w:ascii="宋体" w:hAnsi="宋体"/>
          <w:b/>
          <w:color w:val="auto"/>
          <w:sz w:val="24"/>
        </w:rPr>
      </w:pPr>
    </w:p>
    <w:p w14:paraId="5F6AA620">
      <w:pPr>
        <w:spacing w:line="420" w:lineRule="exact"/>
        <w:rPr>
          <w:rFonts w:hint="eastAsia" w:ascii="宋体" w:hAnsi="宋体" w:cs="宋体"/>
          <w:b/>
          <w:color w:val="auto"/>
          <w:szCs w:val="21"/>
        </w:rPr>
      </w:pPr>
      <w:r>
        <w:rPr>
          <w:rFonts w:hint="eastAsia" w:ascii="宋体" w:hAnsi="宋体" w:cs="宋体"/>
          <w:b/>
          <w:color w:val="auto"/>
          <w:szCs w:val="21"/>
        </w:rPr>
        <w:t>1、本次招标采购的展品说明牌、讲解词的要求</w:t>
      </w:r>
    </w:p>
    <w:p w14:paraId="3E420EA3">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本次展品招标采购要求提供说明牌和讲解词。说明牌分为文字说明牌和电子说明牌，文字说明牌应以启发式提问为主，展品操作介绍准确直观、详实、通俗易懂，有展品深层次科学原理结合日常生活进行引申和延展，且具有趣味性，写作风格优美清新，根据需要可配插图、照片，提供中英文两种版本；电子说明牌要求视频动画播放流畅，展品操作介绍准确直观、详实、通俗易懂，有展品深层次科学原理结合日常生活进行引申和延展，且具有趣味性，提供中英文两种版本，真人声配音。</w:t>
      </w:r>
    </w:p>
    <w:p w14:paraId="5596C665">
      <w:pPr>
        <w:spacing w:line="420" w:lineRule="exact"/>
        <w:ind w:firstLine="420" w:firstLineChars="200"/>
        <w:rPr>
          <w:rFonts w:hint="eastAsia" w:ascii="宋体" w:hAnsi="宋体" w:cs="宋体"/>
          <w:color w:val="auto"/>
          <w:szCs w:val="21"/>
        </w:rPr>
      </w:pPr>
    </w:p>
    <w:p w14:paraId="70246CAE">
      <w:pPr>
        <w:spacing w:line="420" w:lineRule="exact"/>
        <w:rPr>
          <w:rFonts w:hint="eastAsia" w:ascii="宋体" w:hAnsi="宋体" w:cs="宋体"/>
          <w:b/>
          <w:color w:val="auto"/>
          <w:szCs w:val="21"/>
        </w:rPr>
      </w:pPr>
      <w:r>
        <w:rPr>
          <w:rFonts w:hint="eastAsia" w:ascii="宋体" w:hAnsi="宋体" w:cs="宋体"/>
          <w:b/>
          <w:color w:val="auto"/>
          <w:szCs w:val="21"/>
        </w:rPr>
        <w:t>2、本次采购的展品外观要求</w:t>
      </w:r>
    </w:p>
    <w:p w14:paraId="5BD25F09">
      <w:pPr>
        <w:spacing w:line="420" w:lineRule="exact"/>
        <w:rPr>
          <w:rFonts w:hint="eastAsia" w:ascii="宋体" w:hAnsi="宋体" w:cs="宋体"/>
          <w:color w:val="auto"/>
          <w:szCs w:val="21"/>
        </w:rPr>
      </w:pPr>
      <w:r>
        <w:rPr>
          <w:rFonts w:hint="eastAsia" w:ascii="宋体" w:hAnsi="宋体" w:cs="宋体"/>
          <w:color w:val="auto"/>
          <w:szCs w:val="21"/>
        </w:rPr>
        <w:t>2.1、整体要求：展品外形美观、牢固，表面应平整，缝隙宽窄应均匀，无掉色、掉漆、流漆、划痕、污渍、防锈不完整等现象，色泽饱和度应符合要求，颜色及外型与设计图纸相符，最新出厂未使用过的产品，选用的涂料符合国家规定的展馆环保要求。对于特殊、异型的展品，可在中标后结合布展环境，进行深化设计，并获得甲方认可。</w:t>
      </w:r>
    </w:p>
    <w:p w14:paraId="69C73D96">
      <w:pPr>
        <w:spacing w:line="420" w:lineRule="exact"/>
        <w:rPr>
          <w:rFonts w:hint="eastAsia" w:ascii="宋体" w:hAnsi="宋体" w:cs="宋体"/>
          <w:color w:val="auto"/>
          <w:szCs w:val="21"/>
        </w:rPr>
      </w:pPr>
      <w:r>
        <w:rPr>
          <w:rFonts w:hint="eastAsia" w:ascii="宋体" w:hAnsi="宋体" w:cs="宋体"/>
          <w:color w:val="auto"/>
          <w:szCs w:val="21"/>
        </w:rPr>
        <w:t>2.2、对塑形的要求：几何形状尺寸不得有明显误差，误差应控制在整体尺寸的+3%到-5%范围内。</w:t>
      </w:r>
    </w:p>
    <w:p w14:paraId="2F7E8878">
      <w:pPr>
        <w:spacing w:line="420" w:lineRule="exact"/>
        <w:rPr>
          <w:rFonts w:hint="eastAsia" w:ascii="宋体" w:hAnsi="宋体" w:cs="宋体"/>
          <w:color w:val="auto"/>
          <w:szCs w:val="21"/>
        </w:rPr>
      </w:pPr>
      <w:r>
        <w:rPr>
          <w:rFonts w:hint="eastAsia" w:ascii="宋体" w:hAnsi="宋体" w:cs="宋体"/>
          <w:color w:val="auto"/>
          <w:szCs w:val="21"/>
        </w:rPr>
        <w:t>2.3、对玻璃钢制品的要求：</w:t>
      </w:r>
    </w:p>
    <w:p w14:paraId="39B4584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2.3.1 玻璃钢产品制作成型后应达到表面平整光滑，无明显的凹凸不平现象，不能有明显分层和气泡。</w:t>
      </w:r>
    </w:p>
    <w:p w14:paraId="3D8A0DF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2.3.2 厚度应达到展品的要求，厚度误差应控制在整体厚度的-30%以内。</w:t>
      </w:r>
    </w:p>
    <w:p w14:paraId="182DBC22">
      <w:pPr>
        <w:spacing w:line="420" w:lineRule="exact"/>
        <w:rPr>
          <w:rFonts w:hint="eastAsia" w:ascii="宋体" w:hAnsi="宋体" w:cs="宋体"/>
          <w:color w:val="auto"/>
          <w:szCs w:val="21"/>
        </w:rPr>
      </w:pPr>
      <w:r>
        <w:rPr>
          <w:rFonts w:hint="eastAsia" w:ascii="宋体" w:hAnsi="宋体" w:cs="宋体"/>
          <w:color w:val="auto"/>
          <w:szCs w:val="21"/>
        </w:rPr>
        <w:t>2.4、对木工工艺的要求：</w:t>
      </w:r>
    </w:p>
    <w:p w14:paraId="46B0CB1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木工产品应进行防火处理，达到表面平整，结构完整，线条、合缝及所有固定耳片要美观协调；防火板的粘贴应无空壳；木结构整体扎实无摇晃。</w:t>
      </w:r>
    </w:p>
    <w:p w14:paraId="52CC78FD">
      <w:pPr>
        <w:spacing w:line="420" w:lineRule="exact"/>
        <w:rPr>
          <w:rFonts w:hint="eastAsia" w:ascii="宋体" w:hAnsi="宋体" w:cs="宋体"/>
          <w:color w:val="auto"/>
          <w:szCs w:val="21"/>
        </w:rPr>
      </w:pPr>
      <w:r>
        <w:rPr>
          <w:rFonts w:hint="eastAsia" w:ascii="宋体" w:hAnsi="宋体" w:cs="宋体"/>
          <w:color w:val="auto"/>
          <w:szCs w:val="21"/>
        </w:rPr>
        <w:t>2.5、对表面涂装的要求：</w:t>
      </w:r>
    </w:p>
    <w:p w14:paraId="5E9FAE5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2.5.1不锈钢表面喷漆的处理工艺应是：拉丝（或打砂）→清洁表面→喷不锈钢底漆→喷面漆。</w:t>
      </w:r>
    </w:p>
    <w:p w14:paraId="7370D53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2.5.2 碳钢表面喷漆的处理工艺应是：除锈→打磨→酸洗→烤漆（或喷塑）。</w:t>
      </w:r>
    </w:p>
    <w:p w14:paraId="3B51260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2.5.3 表面涂装完工后的展品应达到颜色符合效果图或既定色彩要求，颜色均匀，无色差、无针孔、无气泡、无流痕；保护完好无划痕和磕碰痕。</w:t>
      </w:r>
    </w:p>
    <w:p w14:paraId="76C1AB7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本次招标的展品中，如由于安全、隔离、保护等原因，由采购方确认需要安装围栏的，均由中标单位制作安装。围栏的高度根据实际需要，材质选用壁厚大于2毫米的304不锈钢管。</w:t>
      </w:r>
    </w:p>
    <w:p w14:paraId="5748E56A">
      <w:pPr>
        <w:spacing w:line="420" w:lineRule="exact"/>
        <w:ind w:firstLine="420" w:firstLineChars="200"/>
        <w:rPr>
          <w:rFonts w:hint="eastAsia" w:ascii="宋体" w:hAnsi="宋体" w:cs="宋体"/>
          <w:color w:val="auto"/>
          <w:szCs w:val="21"/>
        </w:rPr>
      </w:pPr>
    </w:p>
    <w:p w14:paraId="7BB697E1">
      <w:pPr>
        <w:spacing w:line="420" w:lineRule="exact"/>
        <w:rPr>
          <w:rFonts w:hint="eastAsia" w:ascii="宋体" w:hAnsi="宋体" w:cs="宋体"/>
          <w:b/>
          <w:color w:val="auto"/>
          <w:szCs w:val="21"/>
        </w:rPr>
      </w:pPr>
      <w:r>
        <w:rPr>
          <w:rFonts w:hint="eastAsia" w:ascii="宋体" w:hAnsi="宋体" w:cs="宋体"/>
          <w:b/>
          <w:color w:val="auto"/>
          <w:szCs w:val="21"/>
        </w:rPr>
        <w:t>3、本次采购展品在计算机等展品配套电子设备、多媒体影片、应用软件方面的要求</w:t>
      </w:r>
    </w:p>
    <w:p w14:paraId="324EEE1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3.1、展项展品所用显示屏（平板电视）、触摸屏一体机、投影仪、硬盘播放器（或MP4视频播放器）、音响、计算机、摄像机等配套设备，必须选用全国联保的产品。</w:t>
      </w:r>
    </w:p>
    <w:p w14:paraId="4AD89F17">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3.2、凡是观众能够触及的非接触类的液晶显示器、液晶电视机、摄像机镜头、LED屏、LCD屏均要求采用钢化玻璃面或制作安装钢化玻璃防护面</w:t>
      </w:r>
      <w:r>
        <w:rPr>
          <w:rFonts w:hint="eastAsia"/>
          <w:color w:val="auto"/>
        </w:rPr>
        <w:t>板</w:t>
      </w:r>
      <w:r>
        <w:rPr>
          <w:rFonts w:hint="eastAsia" w:ascii="宋体" w:hAnsi="宋体" w:cs="宋体"/>
          <w:color w:val="auto"/>
          <w:szCs w:val="21"/>
        </w:rPr>
        <w:t>或镜头防护镜（防护面防护镜要求安全美观自然牢固）、符合安全标准厚度的高透亚克力板。凡是需要从上往下进行投影的展品，投影机必须采用横放悬挂，并用反光镜进行反射达成从上往下的效果。</w:t>
      </w:r>
    </w:p>
    <w:p w14:paraId="14FDC98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3.3、展品软件部分，提供软件大纲，所有图片、照片、表格、示意图及说明能科学、准确的反映内容要求及科学原理；视频有足够的分辨率和足够的亮度，画面色彩纯正；多媒体声音清晰，可让距离展品1米内的观众正常收听；软件运行流畅，稳定。连续运行8小时无死机、异常退出现象；多媒体影片播放流畅，颜色过渡自然，Fps</w:t>
      </w:r>
      <w:r>
        <w:rPr>
          <w:rFonts w:hint="eastAsia" w:ascii="仿宋" w:hAnsi="仿宋" w:eastAsia="仿宋" w:cs="仿宋"/>
          <w:color w:val="auto"/>
          <w:szCs w:val="21"/>
        </w:rPr>
        <w:t>＞</w:t>
      </w:r>
      <w:r>
        <w:rPr>
          <w:rFonts w:hint="eastAsia" w:ascii="宋体" w:hAnsi="宋体" w:cs="宋体"/>
          <w:color w:val="auto"/>
          <w:szCs w:val="21"/>
        </w:rPr>
        <w:t>15。保证实现展品的正常运转。</w:t>
      </w:r>
    </w:p>
    <w:p w14:paraId="41CFA59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3.4、展品使用的计算机（含触摸屏一体机内置主机）必须配有独立完整机箱，不能以散件形式放置在展品中。柜体上安装符合设备正常运转温度要求的冷却设备，设备运行时，机箱内温度不超过75度。部分展品需配置独立的计算机机柜。</w:t>
      </w:r>
    </w:p>
    <w:p w14:paraId="4BB8F54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3.5、展品计算机必须安装ghost还原软件，在展品完成整机安装、调试和试运行后，乙方需备份系统镜像连同最终版本的展品应用软件、工具软件刻录成光盘提供给甲方。</w:t>
      </w:r>
    </w:p>
    <w:p w14:paraId="44F59364">
      <w:pPr>
        <w:spacing w:line="420" w:lineRule="exact"/>
        <w:rPr>
          <w:rFonts w:hint="eastAsia" w:ascii="宋体" w:hAnsi="宋体" w:cs="宋体"/>
          <w:color w:val="auto"/>
          <w:szCs w:val="21"/>
        </w:rPr>
      </w:pPr>
    </w:p>
    <w:p w14:paraId="535E5E02">
      <w:pPr>
        <w:spacing w:line="420" w:lineRule="exact"/>
        <w:rPr>
          <w:rFonts w:hint="eastAsia" w:ascii="宋体" w:hAnsi="宋体" w:cs="宋体"/>
          <w:b/>
          <w:color w:val="auto"/>
          <w:szCs w:val="21"/>
        </w:rPr>
      </w:pPr>
      <w:r>
        <w:rPr>
          <w:rFonts w:hint="eastAsia" w:ascii="宋体" w:hAnsi="宋体" w:cs="宋体"/>
          <w:b/>
          <w:color w:val="auto"/>
          <w:szCs w:val="21"/>
        </w:rPr>
        <w:t>4、本次展品招标、制作的监督工作</w:t>
      </w:r>
    </w:p>
    <w:p w14:paraId="5100E97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供应商在中标后，甲乙双方将针对布展方案、展品将进行讨论和深化设计。如中标后深化设计方案未能达到甲方要求，甲方有权委托监理方责令其整改直到满足要求方可进行展品生产加工。在展品生产加工过程中，甲方有权委托监理方安排人员到供应商的展品制作现场对展品的质量和进度进行检查。</w:t>
      </w:r>
    </w:p>
    <w:p w14:paraId="06A51758">
      <w:pPr>
        <w:spacing w:line="420" w:lineRule="exact"/>
        <w:rPr>
          <w:rFonts w:hint="eastAsia" w:ascii="宋体" w:hAnsi="宋体" w:cs="宋体"/>
          <w:color w:val="auto"/>
          <w:szCs w:val="21"/>
        </w:rPr>
      </w:pPr>
    </w:p>
    <w:p w14:paraId="19D63703">
      <w:pPr>
        <w:spacing w:line="420" w:lineRule="exact"/>
        <w:rPr>
          <w:rFonts w:hint="eastAsia" w:ascii="宋体" w:hAnsi="宋体" w:cs="宋体"/>
          <w:b/>
          <w:color w:val="auto"/>
          <w:szCs w:val="21"/>
        </w:rPr>
      </w:pPr>
      <w:r>
        <w:rPr>
          <w:rFonts w:hint="eastAsia" w:ascii="宋体" w:hAnsi="宋体" w:cs="宋体"/>
          <w:b/>
          <w:color w:val="auto"/>
          <w:szCs w:val="21"/>
        </w:rPr>
        <w:t>5、其他要求</w:t>
      </w:r>
    </w:p>
    <w:p w14:paraId="67E104CA">
      <w:pPr>
        <w:spacing w:line="420" w:lineRule="exact"/>
        <w:rPr>
          <w:rFonts w:hint="eastAsia" w:ascii="宋体" w:hAnsi="宋体" w:cs="宋体"/>
          <w:color w:val="auto"/>
          <w:szCs w:val="21"/>
        </w:rPr>
      </w:pPr>
      <w:r>
        <w:rPr>
          <w:rFonts w:hint="eastAsia" w:ascii="宋体" w:hAnsi="宋体" w:cs="宋体"/>
          <w:color w:val="auto"/>
          <w:szCs w:val="21"/>
        </w:rPr>
        <w:t>（一）技术规范</w:t>
      </w:r>
    </w:p>
    <w:p w14:paraId="58EFF371">
      <w:pPr>
        <w:spacing w:line="420" w:lineRule="exact"/>
        <w:rPr>
          <w:rFonts w:hint="eastAsia" w:ascii="宋体" w:hAnsi="宋体" w:cs="宋体"/>
          <w:color w:val="auto"/>
          <w:szCs w:val="21"/>
        </w:rPr>
      </w:pPr>
      <w:r>
        <w:rPr>
          <w:rFonts w:hint="eastAsia" w:ascii="宋体" w:hAnsi="宋体" w:cs="宋体"/>
          <w:color w:val="auto"/>
          <w:szCs w:val="21"/>
        </w:rPr>
        <w:t>（1）展品应符合国家有关设计、制造、使用、安全方面的标准规范。采用的标准以国家有关部门最新颁布的相应标准及规范为准。规范以国家有关部门最新颁布的相应标准及规范为准。</w:t>
      </w:r>
    </w:p>
    <w:p w14:paraId="76017FA4">
      <w:pPr>
        <w:spacing w:line="420" w:lineRule="exact"/>
        <w:rPr>
          <w:rFonts w:hint="eastAsia" w:ascii="宋体" w:hAnsi="宋体" w:cs="宋体"/>
          <w:color w:val="auto"/>
          <w:szCs w:val="21"/>
        </w:rPr>
      </w:pPr>
      <w:r>
        <w:rPr>
          <w:rFonts w:hint="eastAsia" w:ascii="宋体" w:hAnsi="宋体" w:cs="宋体"/>
          <w:color w:val="auto"/>
          <w:szCs w:val="21"/>
        </w:rPr>
        <w:t>（2）若展品制造无国家标准，而采用企业、行业标准的，必须提供企业、行业标准的文本文件。展品涉及主要国家标准规范如下：</w:t>
      </w:r>
    </w:p>
    <w:p w14:paraId="3090852E">
      <w:pPr>
        <w:adjustRightInd w:val="0"/>
        <w:snapToGrid w:val="0"/>
        <w:spacing w:line="420" w:lineRule="exact"/>
        <w:ind w:left="238"/>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安全标准：</w:t>
      </w:r>
    </w:p>
    <w:p w14:paraId="43ACD99F">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电气设备安全设计导则                     </w:t>
      </w:r>
      <w:r>
        <w:rPr>
          <w:color w:val="auto"/>
        </w:rPr>
        <w:fldChar w:fldCharType="begin"/>
      </w:r>
      <w:r>
        <w:rPr>
          <w:color w:val="auto"/>
        </w:rPr>
        <w:instrText xml:space="preserve"> HYPERLINK "http://www.spsp.gov.cn/DataCenter/Standard/PDFView.aspx?ca=JG9nIBILmV0=" \t "_blank" \o "点击可在线浏览电子文本" </w:instrText>
      </w:r>
      <w:r>
        <w:rPr>
          <w:color w:val="auto"/>
        </w:rPr>
        <w:fldChar w:fldCharType="separate"/>
      </w:r>
      <w:r>
        <w:rPr>
          <w:rStyle w:val="54"/>
          <w:rFonts w:hint="eastAsia" w:ascii="宋体" w:hAnsi="宋体" w:cs="宋体"/>
          <w:color w:val="auto"/>
          <w:szCs w:val="21"/>
        </w:rPr>
        <w:t>GB/T 25295-2010</w:t>
      </w:r>
      <w:r>
        <w:rPr>
          <w:rStyle w:val="54"/>
          <w:rFonts w:hint="eastAsia" w:ascii="宋体" w:hAnsi="宋体" w:cs="宋体"/>
          <w:color w:val="auto"/>
          <w:szCs w:val="21"/>
        </w:rPr>
        <w:fldChar w:fldCharType="end"/>
      </w:r>
    </w:p>
    <w:p w14:paraId="0EF33711">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电磁环境控制限值                         GB 8702-2014</w:t>
      </w:r>
    </w:p>
    <w:p w14:paraId="1F33B2BC">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国家电气设备安全技术规范                 </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"http://www.spsp.gov.cn/DataCenter/Standard/PDFView.aspx?ca=09dXDDNAs58=" \o "点击可在线浏览电子文本" \t "_blank" </w:instrText>
      </w:r>
      <w:r>
        <w:rPr>
          <w:rFonts w:hint="eastAsia" w:ascii="宋体" w:hAnsi="宋体" w:cs="宋体"/>
          <w:color w:val="auto"/>
          <w:szCs w:val="21"/>
        </w:rPr>
        <w:fldChar w:fldCharType="separate"/>
      </w:r>
      <w:r>
        <w:rPr>
          <w:rStyle w:val="54"/>
          <w:rFonts w:hint="eastAsia" w:ascii="宋体" w:hAnsi="宋体" w:cs="宋体"/>
          <w:color w:val="auto"/>
          <w:szCs w:val="21"/>
        </w:rPr>
        <w:t>GB 19517-20</w:t>
      </w:r>
      <w:r>
        <w:rPr>
          <w:rFonts w:hint="eastAsia" w:ascii="宋体" w:hAnsi="宋体" w:cs="宋体"/>
          <w:color w:val="auto"/>
          <w:szCs w:val="21"/>
        </w:rPr>
        <w:fldChar w:fldCharType="end"/>
      </w:r>
      <w:r>
        <w:rPr>
          <w:rStyle w:val="54"/>
          <w:rFonts w:hint="eastAsia" w:ascii="宋体" w:hAnsi="宋体" w:cs="宋体"/>
          <w:color w:val="auto"/>
          <w:szCs w:val="21"/>
        </w:rPr>
        <w:t>23</w:t>
      </w:r>
    </w:p>
    <w:p w14:paraId="26D0A04E">
      <w:pPr>
        <w:adjustRightInd w:val="0"/>
        <w:snapToGrid w:val="0"/>
        <w:spacing w:line="420" w:lineRule="exact"/>
        <w:ind w:left="237" w:leftChars="113" w:firstLine="205" w:firstLineChars="98"/>
        <w:rPr>
          <w:rFonts w:hint="eastAsia" w:ascii="宋体" w:hAnsi="宋体" w:cs="宋体"/>
          <w:color w:val="auto"/>
          <w:szCs w:val="21"/>
        </w:rPr>
      </w:pPr>
      <w:r>
        <w:rPr>
          <w:rFonts w:hint="eastAsia" w:ascii="宋体" w:hAnsi="宋体" w:cs="宋体"/>
          <w:color w:val="auto"/>
          <w:szCs w:val="21"/>
        </w:rPr>
        <w:t xml:space="preserve"> </w:t>
      </w:r>
      <w:r>
        <w:rPr>
          <w:color w:val="auto"/>
        </w:rPr>
        <w:fldChar w:fldCharType="begin"/>
      </w:r>
      <w:r>
        <w:rPr>
          <w:color w:val="auto"/>
        </w:rPr>
        <w:instrText xml:space="preserve"> HYPERLINK "http://www.spsp.gov.cn/DataCenter/Standard/PDFView.aspx?ca=ttLQvXwoL/Q=" \t "_blank" \o "点击可在线浏览电子文本" </w:instrText>
      </w:r>
      <w:r>
        <w:rPr>
          <w:color w:val="auto"/>
        </w:rPr>
        <w:fldChar w:fldCharType="separate"/>
      </w:r>
      <w:r>
        <w:rPr>
          <w:rStyle w:val="54"/>
          <w:rFonts w:hint="eastAsia" w:ascii="宋体" w:hAnsi="宋体" w:cs="宋体"/>
          <w:color w:val="auto"/>
          <w:szCs w:val="21"/>
        </w:rPr>
        <w:t>标准中特定内容的起草 第1部分:儿童安全</w:t>
      </w:r>
      <w:r>
        <w:rPr>
          <w:rStyle w:val="54"/>
          <w:rFonts w:hint="eastAsia" w:ascii="宋体" w:hAnsi="宋体" w:cs="宋体"/>
          <w:color w:val="auto"/>
          <w:szCs w:val="21"/>
        </w:rPr>
        <w:fldChar w:fldCharType="end"/>
      </w:r>
      <w:r>
        <w:rPr>
          <w:rFonts w:hint="eastAsia" w:ascii="宋体" w:hAnsi="宋体" w:cs="宋体"/>
          <w:color w:val="auto"/>
          <w:szCs w:val="21"/>
        </w:rPr>
        <w:t xml:space="preserve">   </w:t>
      </w:r>
      <w:r>
        <w:rPr>
          <w:color w:val="auto"/>
        </w:rPr>
        <w:fldChar w:fldCharType="begin"/>
      </w:r>
      <w:r>
        <w:rPr>
          <w:color w:val="auto"/>
        </w:rPr>
        <w:instrText xml:space="preserve"> HYPERLINK "http://www.spsp.gov.cn/DataCenter/Standard/PDFView.aspx?ca=ttLQvXwoL/Q=" \t "_blank" \o "点击可在线浏览电子文本" </w:instrText>
      </w:r>
      <w:r>
        <w:rPr>
          <w:color w:val="auto"/>
        </w:rPr>
        <w:fldChar w:fldCharType="separate"/>
      </w:r>
      <w:r>
        <w:rPr>
          <w:rStyle w:val="54"/>
          <w:rFonts w:hint="eastAsia" w:ascii="宋体" w:hAnsi="宋体" w:cs="宋体"/>
          <w:color w:val="auto"/>
          <w:szCs w:val="21"/>
        </w:rPr>
        <w:t>GB/T 20002.1-2008</w:t>
      </w:r>
      <w:r>
        <w:rPr>
          <w:rStyle w:val="54"/>
          <w:rFonts w:hint="eastAsia" w:ascii="宋体" w:hAnsi="宋体" w:cs="宋体"/>
          <w:color w:val="auto"/>
          <w:szCs w:val="21"/>
        </w:rPr>
        <w:fldChar w:fldCharType="end"/>
      </w:r>
    </w:p>
    <w:p w14:paraId="1CBEBB2E">
      <w:pPr>
        <w:adjustRightInd w:val="0"/>
        <w:snapToGrid w:val="0"/>
        <w:spacing w:line="420" w:lineRule="exact"/>
        <w:rPr>
          <w:rFonts w:hint="eastAsia" w:ascii="宋体" w:hAnsi="宋体" w:cs="宋体"/>
          <w:color w:val="auto"/>
          <w:szCs w:val="21"/>
        </w:rPr>
      </w:pPr>
      <w:r>
        <w:rPr>
          <w:rFonts w:hint="eastAsia" w:ascii="宋体" w:hAnsi="宋体" w:cs="宋体"/>
          <w:b/>
          <w:color w:val="auto"/>
          <w:szCs w:val="21"/>
        </w:rPr>
        <w:t xml:space="preserve">    机电标准：</w:t>
      </w:r>
    </w:p>
    <w:p w14:paraId="01323721">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通用用电设备配电设计规范                 </w:t>
      </w:r>
      <w:r>
        <w:rPr>
          <w:color w:val="auto"/>
        </w:rPr>
        <w:fldChar w:fldCharType="begin"/>
      </w:r>
      <w:r>
        <w:rPr>
          <w:color w:val="auto"/>
        </w:rPr>
        <w:instrText xml:space="preserve"> HYPERLINK "http://www.spsp.gov.cn/DataCenter/Standard/PDFView.aspx?ca=QLxcwR0s/bY=" \t "_blank" \o "点击可在线浏览电子文本" </w:instrText>
      </w:r>
      <w:r>
        <w:rPr>
          <w:color w:val="auto"/>
        </w:rPr>
        <w:fldChar w:fldCharType="separate"/>
      </w:r>
      <w:r>
        <w:rPr>
          <w:rStyle w:val="54"/>
          <w:rFonts w:hint="eastAsia" w:ascii="宋体" w:hAnsi="宋体" w:cs="宋体"/>
          <w:color w:val="auto"/>
          <w:szCs w:val="21"/>
        </w:rPr>
        <w:t>GB 50055-2011</w:t>
      </w:r>
      <w:r>
        <w:rPr>
          <w:rStyle w:val="54"/>
          <w:rFonts w:hint="eastAsia" w:ascii="宋体" w:hAnsi="宋体" w:cs="宋体"/>
          <w:color w:val="auto"/>
          <w:szCs w:val="21"/>
        </w:rPr>
        <w:fldChar w:fldCharType="end"/>
      </w:r>
    </w:p>
    <w:p w14:paraId="22B91CFB">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电气装置安装工程 电气设备交接试验标准    </w:t>
      </w:r>
      <w:r>
        <w:rPr>
          <w:color w:val="auto"/>
        </w:rPr>
        <w:fldChar w:fldCharType="begin"/>
      </w:r>
      <w:r>
        <w:rPr>
          <w:color w:val="auto"/>
        </w:rPr>
        <w:instrText xml:space="preserve"> HYPERLINK "http://www.spsp.gov.cn/DataCenter/Standard/PDFView.aspx?ca=03CxG1QFVgI=" \t "_blank" \o "点击可在线浏览电子文本" </w:instrText>
      </w:r>
      <w:r>
        <w:rPr>
          <w:color w:val="auto"/>
        </w:rPr>
        <w:fldChar w:fldCharType="separate"/>
      </w:r>
      <w:r>
        <w:rPr>
          <w:rStyle w:val="54"/>
          <w:rFonts w:hint="eastAsia" w:ascii="宋体" w:hAnsi="宋体" w:cs="宋体"/>
          <w:color w:val="auto"/>
          <w:szCs w:val="21"/>
        </w:rPr>
        <w:t>GB 50150-20</w:t>
      </w:r>
      <w:r>
        <w:rPr>
          <w:rStyle w:val="54"/>
          <w:rFonts w:hint="eastAsia" w:ascii="宋体" w:hAnsi="宋体" w:cs="宋体"/>
          <w:color w:val="auto"/>
          <w:szCs w:val="21"/>
          <w:lang w:val="en-US" w:eastAsia="zh-CN"/>
        </w:rPr>
        <w:t>1</w:t>
      </w:r>
      <w:r>
        <w:rPr>
          <w:rStyle w:val="54"/>
          <w:rFonts w:hint="eastAsia" w:ascii="宋体" w:hAnsi="宋体" w:cs="宋体"/>
          <w:color w:val="auto"/>
          <w:szCs w:val="21"/>
        </w:rPr>
        <w:t>6</w:t>
      </w:r>
      <w:r>
        <w:rPr>
          <w:rStyle w:val="54"/>
          <w:rFonts w:hint="eastAsia" w:ascii="宋体" w:hAnsi="宋体" w:cs="宋体"/>
          <w:color w:val="auto"/>
          <w:szCs w:val="21"/>
        </w:rPr>
        <w:fldChar w:fldCharType="end"/>
      </w:r>
    </w:p>
    <w:p w14:paraId="1DA40E9B">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fldChar w:fldCharType="begin"/>
      </w:r>
      <w:r>
        <w:rPr>
          <w:rFonts w:ascii="宋体" w:hAnsi="宋体" w:cs="宋体"/>
          <w:color w:val="auto"/>
          <w:szCs w:val="21"/>
        </w:rPr>
        <w:instrText xml:space="preserve"> HYPERLINK "javascript:void(0)" </w:instrText>
      </w:r>
      <w:r>
        <w:rPr>
          <w:rFonts w:ascii="宋体" w:hAnsi="宋体" w:cs="宋体"/>
          <w:color w:val="auto"/>
          <w:szCs w:val="21"/>
        </w:rPr>
        <w:fldChar w:fldCharType="separate"/>
      </w:r>
      <w:r>
        <w:rPr>
          <w:rFonts w:hint="eastAsia" w:ascii="宋体" w:hAnsi="宋体" w:cs="宋体"/>
          <w:color w:val="auto"/>
        </w:rPr>
        <w:t>气动系统及其元件的一般规则和安全要求</w:t>
      </w:r>
      <w:r>
        <w:rPr>
          <w:rFonts w:ascii="宋体" w:hAnsi="宋体" w:cs="宋体"/>
          <w:color w:val="auto"/>
          <w:szCs w:val="21"/>
        </w:rPr>
        <w:fldChar w:fldCharType="end"/>
      </w:r>
      <w:r>
        <w:rPr>
          <w:rFonts w:hint="eastAsia" w:ascii="宋体" w:hAnsi="宋体" w:cs="宋体"/>
          <w:color w:val="auto"/>
          <w:szCs w:val="21"/>
        </w:rPr>
        <w:t xml:space="preserve">     GB/T7932-2017</w:t>
      </w:r>
    </w:p>
    <w:p w14:paraId="71823D82">
      <w:pPr>
        <w:spacing w:line="420" w:lineRule="exact"/>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 xml:space="preserve">   其它标准：</w:t>
      </w:r>
    </w:p>
    <w:p w14:paraId="2F07B66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 xml:space="preserve">有机玻璃材料执行标准为                    </w:t>
      </w:r>
      <w:r>
        <w:rPr>
          <w:color w:val="auto"/>
        </w:rPr>
        <w:fldChar w:fldCharType="begin"/>
      </w:r>
      <w:r>
        <w:rPr>
          <w:color w:val="auto"/>
        </w:rPr>
        <w:instrText xml:space="preserve"> HYPERLINK "http://www.spsp.gov.cn/DataCenter/Standard/PDFView.aspx?ca=IU2LSD5YOWo=" \t "_blank" \o "点击可在线浏览电子文本" </w:instrText>
      </w:r>
      <w:r>
        <w:rPr>
          <w:color w:val="auto"/>
        </w:rPr>
        <w:fldChar w:fldCharType="separate"/>
      </w:r>
      <w:r>
        <w:rPr>
          <w:rStyle w:val="54"/>
          <w:rFonts w:hint="eastAsia" w:ascii="宋体" w:hAnsi="宋体" w:cs="宋体"/>
          <w:color w:val="auto"/>
          <w:szCs w:val="21"/>
        </w:rPr>
        <w:t>GB/T 7134-2008</w:t>
      </w:r>
      <w:r>
        <w:rPr>
          <w:rStyle w:val="54"/>
          <w:rFonts w:hint="eastAsia" w:ascii="宋体" w:hAnsi="宋体" w:cs="宋体"/>
          <w:color w:val="auto"/>
          <w:szCs w:val="21"/>
        </w:rPr>
        <w:fldChar w:fldCharType="end"/>
      </w:r>
    </w:p>
    <w:p w14:paraId="460E668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交流设备接地装置标准为                    DL\T621-1997</w:t>
      </w:r>
    </w:p>
    <w:p w14:paraId="6D1D280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绝缘支柱执行标准为                        DL\T596-2021</w:t>
      </w:r>
    </w:p>
    <w:p w14:paraId="66E2588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 xml:space="preserve">建筑内部装修设计防火规范                  </w:t>
      </w:r>
      <w:r>
        <w:rPr>
          <w:color w:val="auto"/>
        </w:rPr>
        <w:fldChar w:fldCharType="begin"/>
      </w:r>
      <w:r>
        <w:rPr>
          <w:color w:val="auto"/>
        </w:rPr>
        <w:instrText xml:space="preserve"> HYPERLINK "http://www.spsp.gov.cn/DataCenter/Standard/PDFView.aspx?ca=RqkkVD4diHM=" \t "_blank" \o "点击可在线浏览电子文本" </w:instrText>
      </w:r>
      <w:r>
        <w:rPr>
          <w:color w:val="auto"/>
        </w:rPr>
        <w:fldChar w:fldCharType="separate"/>
      </w:r>
      <w:r>
        <w:rPr>
          <w:rStyle w:val="54"/>
          <w:rFonts w:hint="eastAsia" w:ascii="宋体" w:hAnsi="宋体" w:cs="宋体"/>
          <w:color w:val="auto"/>
          <w:szCs w:val="21"/>
        </w:rPr>
        <w:t>GB 50222-</w:t>
      </w:r>
      <w:r>
        <w:rPr>
          <w:rStyle w:val="54"/>
          <w:rFonts w:hint="eastAsia" w:ascii="宋体" w:hAnsi="宋体" w:cs="宋体"/>
          <w:color w:val="auto"/>
          <w:szCs w:val="21"/>
        </w:rPr>
        <w:fldChar w:fldCharType="end"/>
      </w:r>
      <w:r>
        <w:rPr>
          <w:rStyle w:val="54"/>
          <w:rFonts w:hint="eastAsia" w:ascii="宋体" w:hAnsi="宋体" w:cs="宋体"/>
          <w:color w:val="auto"/>
          <w:szCs w:val="21"/>
        </w:rPr>
        <w:t>2017</w:t>
      </w:r>
    </w:p>
    <w:p w14:paraId="1C728AD8">
      <w:pPr>
        <w:adjustRightInd w:val="0"/>
        <w:snapToGrid w:val="0"/>
        <w:spacing w:line="420" w:lineRule="exact"/>
        <w:rPr>
          <w:rFonts w:hint="eastAsia" w:ascii="宋体" w:hAnsi="宋体" w:cs="宋体"/>
          <w:color w:val="auto"/>
          <w:szCs w:val="21"/>
        </w:rPr>
      </w:pPr>
      <w:r>
        <w:rPr>
          <w:rFonts w:hint="eastAsia" w:ascii="宋体" w:hAnsi="宋体" w:cs="宋体"/>
          <w:color w:val="auto"/>
          <w:szCs w:val="21"/>
        </w:rPr>
        <w:t xml:space="preserve">    */注明具体应遵守的技术规范</w:t>
      </w:r>
    </w:p>
    <w:p w14:paraId="03B55810">
      <w:pPr>
        <w:spacing w:line="420" w:lineRule="exact"/>
        <w:rPr>
          <w:rFonts w:hint="eastAsia" w:ascii="宋体" w:hAnsi="宋体" w:cs="宋体"/>
          <w:color w:val="auto"/>
          <w:szCs w:val="21"/>
        </w:rPr>
      </w:pPr>
      <w:r>
        <w:rPr>
          <w:rFonts w:hint="eastAsia" w:ascii="宋体" w:hAnsi="宋体" w:cs="宋体"/>
          <w:color w:val="auto"/>
          <w:szCs w:val="21"/>
        </w:rPr>
        <w:t>（二）技术质量要求</w:t>
      </w:r>
    </w:p>
    <w:p w14:paraId="69085A64">
      <w:pPr>
        <w:spacing w:line="420" w:lineRule="exact"/>
        <w:rPr>
          <w:rFonts w:hint="eastAsia" w:ascii="宋体" w:hAnsi="宋体" w:cs="宋体"/>
          <w:color w:val="auto"/>
          <w:szCs w:val="21"/>
        </w:rPr>
      </w:pPr>
      <w:r>
        <w:rPr>
          <w:rFonts w:hint="eastAsia" w:ascii="宋体" w:hAnsi="宋体" w:cs="宋体"/>
          <w:color w:val="auto"/>
          <w:szCs w:val="21"/>
        </w:rPr>
        <w:t>（1）总体要求</w:t>
      </w:r>
    </w:p>
    <w:p w14:paraId="34A3420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保证展品质量，展品制作过程中要求坚决保证使用优质的原材料，装配合格的零部件，确保展品正常安全使用。乙方要严把展品质量关，在购进原材料之后、零部件装配之前和展品提交验收之前，要进行自检，并与甲方取得联系，甲方视情况前往现场检查。展品应符合观众参观要求，在正常参观、使用、出现突然断电或观众误操作等意外情况下都能确保工作人员、观众不受到伤害。观众包括少年儿童、青年、成年人和老年人、残疾人。</w:t>
      </w:r>
    </w:p>
    <w:p w14:paraId="27DE6A8C">
      <w:pPr>
        <w:spacing w:line="420" w:lineRule="exact"/>
        <w:rPr>
          <w:rFonts w:hint="eastAsia" w:ascii="宋体" w:hAnsi="宋体" w:cs="宋体"/>
          <w:color w:val="auto"/>
          <w:szCs w:val="21"/>
        </w:rPr>
      </w:pPr>
      <w:r>
        <w:rPr>
          <w:rFonts w:hint="eastAsia" w:ascii="宋体" w:hAnsi="宋体" w:cs="宋体"/>
          <w:color w:val="auto"/>
          <w:szCs w:val="21"/>
        </w:rPr>
        <w:t>（2）展品设计制作的安全性原则和可管理性原则</w:t>
      </w:r>
    </w:p>
    <w:p w14:paraId="3DD8698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2-1展品在设计、制作上应该特别注意安全性，杜绝不安全隐患。当安全性与趣味性发生冲突时，应绝对服从安全第一的原则。</w:t>
      </w:r>
    </w:p>
    <w:p w14:paraId="66C07966">
      <w:pPr>
        <w:spacing w:line="420" w:lineRule="exact"/>
        <w:rPr>
          <w:rFonts w:hint="eastAsia" w:ascii="宋体" w:hAnsi="宋体" w:cs="宋体"/>
          <w:color w:val="auto"/>
          <w:szCs w:val="21"/>
        </w:rPr>
      </w:pPr>
      <w:r>
        <w:rPr>
          <w:rFonts w:hint="eastAsia" w:ascii="宋体" w:hAnsi="宋体" w:cs="宋体"/>
          <w:color w:val="auto"/>
          <w:szCs w:val="21"/>
        </w:rPr>
        <w:t>2-2展品的可管理性原则：</w:t>
      </w:r>
    </w:p>
    <w:p w14:paraId="34A7B473">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展品尽量要管理方便、维护简单；</w:t>
      </w:r>
    </w:p>
    <w:p w14:paraId="7F1811CD">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在误操作时不至于损坏展品；</w:t>
      </w:r>
    </w:p>
    <w:p w14:paraId="2481C66D">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易损件应采用标准件；</w:t>
      </w:r>
    </w:p>
    <w:p w14:paraId="41D87628">
      <w:pPr>
        <w:spacing w:line="420" w:lineRule="exact"/>
        <w:ind w:firstLine="315" w:firstLineChars="150"/>
        <w:rPr>
          <w:rFonts w:hint="eastAsia" w:ascii="宋体" w:hAnsi="宋体" w:cs="宋体"/>
          <w:color w:val="auto"/>
          <w:szCs w:val="21"/>
        </w:rPr>
      </w:pPr>
      <w:r>
        <w:rPr>
          <w:rFonts w:hint="eastAsia" w:ascii="宋体" w:hAnsi="宋体" w:cs="宋体"/>
          <w:color w:val="auto"/>
          <w:szCs w:val="21"/>
        </w:rPr>
        <w:t>外购的零部件、集成电路、电子元器件等：必需提供生产厂家及品牌、规格、型号。不能把生产厂家及品牌、规格、型号采用涂抹、打磨等的方法覆盖掉；展品的图纸、资料必须规范。</w:t>
      </w:r>
    </w:p>
    <w:p w14:paraId="6EEFCE98">
      <w:pPr>
        <w:spacing w:line="420" w:lineRule="exact"/>
        <w:rPr>
          <w:rFonts w:hint="eastAsia" w:ascii="宋体" w:hAnsi="宋体" w:cs="宋体"/>
          <w:color w:val="auto"/>
          <w:szCs w:val="21"/>
        </w:rPr>
      </w:pPr>
      <w:r>
        <w:rPr>
          <w:rFonts w:hint="eastAsia" w:ascii="宋体" w:hAnsi="宋体" w:cs="宋体"/>
          <w:color w:val="auto"/>
          <w:szCs w:val="21"/>
        </w:rPr>
        <w:t xml:space="preserve">（3）具体要求 </w:t>
      </w:r>
    </w:p>
    <w:p w14:paraId="32515C38">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A、 结构部分</w:t>
      </w:r>
    </w:p>
    <w:p w14:paraId="65D87488">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 展品应确保安全可靠，便于操作，其重心位置和支撑框架应结构合理、并保证其强度、稳定性和可靠性达到甲方要求。</w:t>
      </w:r>
    </w:p>
    <w:p w14:paraId="500D79ED">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2) 展品的外观造型、包装、规格、颜色、材料等要符合环境要求（有特殊要求的与采购单位协商）。确保展品与布展协调一致。展品外观不得以任何方式标注生产厂家名称和标识。</w:t>
      </w:r>
    </w:p>
    <w:p w14:paraId="1C8C3E30">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3) 展品噪声不高于40dB。</w:t>
      </w:r>
    </w:p>
    <w:p w14:paraId="08D71960">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4) 气、液管路和容器无泄漏，更换、加注气、液简便易行，排放和防护符合国家规定。</w:t>
      </w:r>
    </w:p>
    <w:p w14:paraId="2F9EB2CB">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5) 展品表面处理合理、耐磨、光滑无缺损，无尖锐棱角。</w:t>
      </w:r>
    </w:p>
    <w:p w14:paraId="7C640E81">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6) 展品应易于维护、维修，开设合理数量和大小的维修口。</w:t>
      </w:r>
    </w:p>
    <w:p w14:paraId="5D6A425F">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7) 大件展品应充分考虑本馆建筑通道，要便于运输、搬运和组装。</w:t>
      </w:r>
    </w:p>
    <w:p w14:paraId="34DAB010">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8) 大型结构件的重要焊缝，焊接接头的基本形式与尺寸应符合GB/T985规定。</w:t>
      </w:r>
    </w:p>
    <w:p w14:paraId="663D98FC">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9) 展品在出厂前应进行8H-32H时间不等的老化试验，（特殊展品老化试验更长）在老化过程中不应产生永久性变形及损坏现象。</w:t>
      </w:r>
    </w:p>
    <w:p w14:paraId="279F21DE">
      <w:pPr>
        <w:spacing w:line="420" w:lineRule="exact"/>
        <w:rPr>
          <w:rFonts w:hint="eastAsia" w:ascii="宋体" w:hAnsi="宋体" w:cs="宋体"/>
          <w:color w:val="auto"/>
          <w:szCs w:val="21"/>
        </w:rPr>
      </w:pPr>
      <w:r>
        <w:rPr>
          <w:rFonts w:hint="eastAsia" w:ascii="宋体" w:hAnsi="宋体" w:cs="宋体"/>
          <w:color w:val="auto"/>
          <w:szCs w:val="21"/>
        </w:rPr>
        <w:t>B、材料部分</w:t>
      </w:r>
    </w:p>
    <w:p w14:paraId="1F600BC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1)展品的元器件、零件，凡是有国家、行业规范的，应统一要求：优先采用国家标准件、其次选用行业标准件。</w:t>
      </w:r>
    </w:p>
    <w:p w14:paraId="1378B535">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2)对规定的使用材料，确有困难需要变更的须征得甲方的同意。对于易损件必须另配备用件，展品必须选用优质材料制作，按统一要求：</w:t>
      </w:r>
    </w:p>
    <w:p w14:paraId="5AC64A47">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a、展品外露金属结构用材须符合甲方要求。</w:t>
      </w:r>
    </w:p>
    <w:p w14:paraId="4A11735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b、观众操作用的电器开关，使用甲方指定的统一牌号。 </w:t>
      </w:r>
    </w:p>
    <w:p w14:paraId="6D7F1D0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c、展品外露木质结构材料必须满足防腐防火要求，外露透明结构采用防爆或有机玻璃。 </w:t>
      </w:r>
    </w:p>
    <w:p w14:paraId="4D9822A8">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d、所有铁质原材料按要求进行热处理。</w:t>
      </w:r>
    </w:p>
    <w:p w14:paraId="73715486">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3) 展品表面涂覆材料至少一年内不得出现变质或明显褪变色，所用品牌由甲方指定，如确实有实际困难乙方应及时与甲方协商解决。</w:t>
      </w:r>
    </w:p>
    <w:p w14:paraId="29E7626C">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4) 有放射和电磁辐射的用材要符合国家防护规定。</w:t>
      </w:r>
    </w:p>
    <w:p w14:paraId="1FBCC0CB">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5) 展品使用的各种材料不得对环境和人员造成污染和伤害，其所含有害物质溢出量不高于国家规定的标准。</w:t>
      </w:r>
    </w:p>
    <w:p w14:paraId="35298D9C">
      <w:pPr>
        <w:spacing w:line="420" w:lineRule="exact"/>
        <w:rPr>
          <w:rFonts w:hint="eastAsia" w:ascii="宋体" w:hAnsi="宋体" w:cs="宋体"/>
          <w:color w:val="auto"/>
          <w:szCs w:val="21"/>
        </w:rPr>
      </w:pPr>
      <w:r>
        <w:rPr>
          <w:rFonts w:hint="eastAsia" w:ascii="宋体" w:hAnsi="宋体" w:cs="宋体"/>
          <w:color w:val="auto"/>
          <w:szCs w:val="21"/>
        </w:rPr>
        <w:t>C、电气部分</w:t>
      </w:r>
    </w:p>
    <w:p w14:paraId="214EE1AD">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 每件展品的金属外壳和内外金属板应保护接地，设置漏电保护开关及过压保护开关，并装在金属箱内，且应便于观察和维修。漏电测试至少要做10次，且漏电开关要可靠动作，漏电机构能够复位。控制装置、动力源都必须设有接地点。20V电源直接相连的电路与壳体之间的绝缘电阻应大于2兆欧，应能承受交流50HZ.1500v连续1min的耐电强度试验。无击穿，闪络，飞弧现象。二次回路与壳体之间的绝缘电阻应大于2兆欧（500V）。</w:t>
      </w:r>
    </w:p>
    <w:p w14:paraId="602B7A03">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2) 电路走线规范，保证安全距离或设置合乎标准的阻燃隔离层，对走线易损部位采取特别保护措施，线径截面容量满足使用要求。展品的线路外观上无压痕、破裂、刮伤的情况；通电后，线路无发软、发热；线头无松脱和接触不好的现象。为方便维护电路板，各功能板与主板间应尽可能使用插件联接方式。</w:t>
      </w:r>
    </w:p>
    <w:p w14:paraId="1BF3586C">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3) 展品控制箱的安装，必须考虑散热，且维护方便。展品散热器件安装在符合标准的非燃架和台板上，确保安全。 </w:t>
      </w:r>
    </w:p>
    <w:p w14:paraId="4858F065">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4) 所有电器元件均要求经过老化筛选并且卖方应出具书面证明。</w:t>
      </w:r>
    </w:p>
    <w:p w14:paraId="175543F1">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5) 所有带电展品观众操作部分要求低于安全电压。</w:t>
      </w:r>
    </w:p>
    <w:p w14:paraId="5D80F7AE">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6) 要有可靠的复位装置和安全互锁装置。在展品运行过程中，当断电（或动作中断）后，恢复供电时展品不得自行启动，且重启电源后，展品能正常复位，下一轮操作能正常运行（重复不少于50次）；当急停时，装置必须急停可靠。计算机类展品除能按通常程序开关机外，还应该考虑在非正常情况下(如：突然断电等)设置保护装置，以确保计算机正常运行，避免机件损坏。</w:t>
      </w:r>
    </w:p>
    <w:p w14:paraId="29A3701D">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7) 计算机类展品工作运行过程中，软件和界面设计必须避免观众进入源程序对其进行修改或删除、控制管理员权限等情况。</w:t>
      </w:r>
    </w:p>
    <w:p w14:paraId="5A6ABC41">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8) 带多媒体的展品连续开关机50次，展品应能正常运行。</w:t>
      </w:r>
    </w:p>
    <w:p w14:paraId="72595BBE">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9) 频繁操作旋钮，按钮或手柄（按钮1000次，手柄1000次，旋钮1000次），无不弹起或按下接触不好的现象。圆形开关及按钮其开关按板及按钮按板直径必须异于任何一种我国法定硬币直径，防止观众用硬币封堵开关和按钮。按钮或手柄安装合理，牢固可靠，不易被观众拆卸破坏。</w:t>
      </w:r>
    </w:p>
    <w:p w14:paraId="42B1C1D2">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10) 可靠性要求应达到：平均无故障工作时间MTBZ＞120h平均修复时间MTTR＜120min。展品上所有电器部分连续无故障运行应达到1000个周期，通电时间达到8小时以上产品能正常运行。</w:t>
      </w:r>
    </w:p>
    <w:p w14:paraId="7AE5E794">
      <w:pPr>
        <w:spacing w:line="420" w:lineRule="exact"/>
        <w:ind w:firstLine="210" w:firstLineChars="100"/>
        <w:rPr>
          <w:rFonts w:hint="eastAsia" w:ascii="宋体" w:hAnsi="宋体" w:cs="宋体"/>
          <w:color w:val="auto"/>
          <w:szCs w:val="21"/>
        </w:rPr>
      </w:pPr>
      <w:r>
        <w:rPr>
          <w:rFonts w:hint="eastAsia" w:ascii="宋体" w:hAnsi="宋体" w:cs="宋体"/>
          <w:color w:val="auto"/>
          <w:szCs w:val="21"/>
        </w:rPr>
        <w:t>11) 满足《电器工程安装标准》的规定。</w:t>
      </w:r>
    </w:p>
    <w:p w14:paraId="063D5D0D">
      <w:pPr>
        <w:spacing w:line="420" w:lineRule="exact"/>
        <w:rPr>
          <w:rFonts w:hint="eastAsia" w:ascii="宋体" w:hAnsi="宋体" w:cs="宋体"/>
          <w:color w:val="auto"/>
          <w:szCs w:val="21"/>
        </w:rPr>
      </w:pPr>
      <w:r>
        <w:rPr>
          <w:rFonts w:hint="eastAsia" w:ascii="宋体" w:hAnsi="宋体" w:cs="宋体"/>
          <w:color w:val="auto"/>
          <w:szCs w:val="21"/>
        </w:rPr>
        <w:t>D、对机械部分要求：</w:t>
      </w:r>
    </w:p>
    <w:p w14:paraId="255486AE">
      <w:pPr>
        <w:spacing w:line="420" w:lineRule="exact"/>
        <w:rPr>
          <w:rFonts w:hint="eastAsia" w:ascii="宋体" w:hAnsi="宋体" w:cs="宋体"/>
          <w:color w:val="auto"/>
          <w:szCs w:val="21"/>
        </w:rPr>
      </w:pPr>
      <w:r>
        <w:rPr>
          <w:rFonts w:hint="eastAsia" w:ascii="宋体" w:hAnsi="宋体" w:cs="宋体"/>
          <w:color w:val="auto"/>
          <w:szCs w:val="21"/>
        </w:rPr>
        <w:t>1) 产品需配备外形尺寸图或结构图（如有需提供）。</w:t>
      </w:r>
    </w:p>
    <w:p w14:paraId="7DAD66D8">
      <w:pPr>
        <w:spacing w:line="420" w:lineRule="exact"/>
        <w:rPr>
          <w:rFonts w:hint="eastAsia" w:ascii="宋体" w:hAnsi="宋体" w:cs="宋体"/>
          <w:color w:val="auto"/>
          <w:szCs w:val="21"/>
        </w:rPr>
      </w:pPr>
      <w:r>
        <w:rPr>
          <w:rFonts w:hint="eastAsia" w:ascii="宋体" w:hAnsi="宋体" w:cs="宋体"/>
          <w:color w:val="auto"/>
          <w:szCs w:val="21"/>
        </w:rPr>
        <w:t>2) 活动的结构应方便装拆和方便维修。</w:t>
      </w:r>
    </w:p>
    <w:p w14:paraId="16E94F53">
      <w:pPr>
        <w:spacing w:line="420" w:lineRule="exact"/>
        <w:rPr>
          <w:rFonts w:hint="eastAsia" w:ascii="宋体" w:hAnsi="宋体" w:cs="宋体"/>
          <w:color w:val="auto"/>
          <w:szCs w:val="21"/>
        </w:rPr>
      </w:pPr>
      <w:r>
        <w:rPr>
          <w:rFonts w:hint="eastAsia" w:ascii="宋体" w:hAnsi="宋体" w:cs="宋体"/>
          <w:color w:val="auto"/>
          <w:szCs w:val="21"/>
        </w:rPr>
        <w:t>3) 转动部位（轴承、连杆等）应转动灵活。传动部分应润滑加油，产品运行无异音，限位机构合理，连续运转正常，易于维修、保养。</w:t>
      </w:r>
    </w:p>
    <w:p w14:paraId="07027862">
      <w:pPr>
        <w:spacing w:line="420" w:lineRule="exact"/>
        <w:rPr>
          <w:rFonts w:hint="eastAsia" w:ascii="宋体" w:hAnsi="宋体" w:cs="宋体"/>
          <w:color w:val="auto"/>
          <w:szCs w:val="21"/>
        </w:rPr>
      </w:pPr>
      <w:r>
        <w:rPr>
          <w:rFonts w:hint="eastAsia" w:ascii="宋体" w:hAnsi="宋体" w:cs="宋体"/>
          <w:color w:val="auto"/>
          <w:szCs w:val="21"/>
        </w:rPr>
        <w:t>4) 紧固连接件应拧紧，无松脱的现象。</w:t>
      </w:r>
    </w:p>
    <w:p w14:paraId="5BBE82A1">
      <w:pPr>
        <w:spacing w:line="420" w:lineRule="exact"/>
        <w:rPr>
          <w:rFonts w:hint="eastAsia" w:ascii="宋体" w:hAnsi="宋体" w:cs="宋体"/>
          <w:color w:val="auto"/>
          <w:szCs w:val="21"/>
        </w:rPr>
      </w:pPr>
      <w:r>
        <w:rPr>
          <w:rFonts w:hint="eastAsia" w:ascii="宋体" w:hAnsi="宋体" w:cs="宋体"/>
          <w:color w:val="auto"/>
          <w:szCs w:val="21"/>
        </w:rPr>
        <w:t>5) 产品结构应安全、牢固、可靠，外部无快口、尖角和毛刺，运行时无夹手、打手、刮手等不安全隐患。</w:t>
      </w:r>
    </w:p>
    <w:p w14:paraId="035C4572">
      <w:pPr>
        <w:spacing w:line="420" w:lineRule="exact"/>
        <w:rPr>
          <w:rFonts w:hint="eastAsia" w:ascii="宋体" w:hAnsi="宋体" w:cs="宋体"/>
          <w:color w:val="auto"/>
          <w:szCs w:val="21"/>
        </w:rPr>
      </w:pPr>
      <w:r>
        <w:rPr>
          <w:rFonts w:hint="eastAsia" w:ascii="宋体" w:hAnsi="宋体" w:cs="宋体"/>
          <w:color w:val="auto"/>
          <w:szCs w:val="21"/>
        </w:rPr>
        <w:t xml:space="preserve">6) 操作机构应具有足够的机械强度，按钮、手柄、转轮、脚踏部位、控制杆等构件需经得起如下过载实验： </w:t>
      </w:r>
    </w:p>
    <w:p w14:paraId="5EE57973">
      <w:pPr>
        <w:spacing w:line="420" w:lineRule="exact"/>
        <w:rPr>
          <w:rFonts w:hint="eastAsia" w:ascii="宋体" w:hAnsi="宋体" w:cs="宋体"/>
          <w:color w:val="auto"/>
          <w:szCs w:val="21"/>
        </w:rPr>
      </w:pPr>
      <w:r>
        <w:rPr>
          <w:rFonts w:hint="eastAsia" w:ascii="宋体" w:hAnsi="宋体" w:cs="宋体"/>
          <w:color w:val="auto"/>
          <w:szCs w:val="21"/>
        </w:rPr>
        <w:t>①按钮：手握拳头用约10公斤的力锤打按钮，10次操作按钮应运行正常，无不弹起或接触不好的现象；</w:t>
      </w:r>
    </w:p>
    <w:p w14:paraId="7732127E">
      <w:pPr>
        <w:spacing w:line="420" w:lineRule="exact"/>
        <w:rPr>
          <w:rFonts w:hint="eastAsia" w:ascii="宋体" w:hAnsi="宋体" w:cs="宋体"/>
          <w:color w:val="auto"/>
          <w:szCs w:val="21"/>
        </w:rPr>
      </w:pPr>
      <w:r>
        <w:rPr>
          <w:rFonts w:hint="eastAsia" w:ascii="宋体" w:hAnsi="宋体" w:cs="宋体"/>
          <w:color w:val="auto"/>
          <w:szCs w:val="21"/>
        </w:rPr>
        <w:t>②手柄：用约10公斤的力扳动手柄，经10次操作应无损坏或变形。</w:t>
      </w:r>
    </w:p>
    <w:p w14:paraId="3C5470F3">
      <w:pPr>
        <w:spacing w:line="420" w:lineRule="exact"/>
        <w:rPr>
          <w:rFonts w:hint="eastAsia" w:ascii="宋体" w:hAnsi="宋体" w:cs="宋体"/>
          <w:color w:val="auto"/>
          <w:szCs w:val="21"/>
        </w:rPr>
      </w:pPr>
      <w:r>
        <w:rPr>
          <w:rFonts w:hint="eastAsia" w:ascii="宋体" w:hAnsi="宋体" w:cs="宋体"/>
          <w:color w:val="auto"/>
          <w:szCs w:val="21"/>
        </w:rPr>
        <w:t>③脚踏部件：站在脚踏部件上，在受力130kg内的情况下不损坏；正常踩动脚踏部件，连续无故障运行1000次（转）；脚踏部件应完好、无磨损或弯曲。</w:t>
      </w:r>
    </w:p>
    <w:p w14:paraId="21C84CC2">
      <w:pPr>
        <w:spacing w:line="420" w:lineRule="exact"/>
        <w:rPr>
          <w:rFonts w:hint="eastAsia" w:ascii="宋体" w:hAnsi="宋体" w:cs="宋体"/>
          <w:color w:val="auto"/>
          <w:szCs w:val="21"/>
        </w:rPr>
      </w:pPr>
      <w:r>
        <w:rPr>
          <w:rFonts w:hint="eastAsia" w:ascii="宋体" w:hAnsi="宋体" w:cs="宋体"/>
          <w:color w:val="auto"/>
          <w:szCs w:val="21"/>
        </w:rPr>
        <w:t>7) 各组合点的焊接应符合焊接要求。</w:t>
      </w:r>
    </w:p>
    <w:p w14:paraId="3AACA7FD">
      <w:pPr>
        <w:spacing w:line="420" w:lineRule="exact"/>
        <w:rPr>
          <w:rFonts w:hint="eastAsia" w:ascii="宋体" w:hAnsi="宋体" w:cs="宋体"/>
          <w:color w:val="auto"/>
          <w:szCs w:val="21"/>
        </w:rPr>
      </w:pPr>
      <w:r>
        <w:rPr>
          <w:rFonts w:hint="eastAsia" w:ascii="宋体" w:hAnsi="宋体" w:cs="宋体"/>
          <w:color w:val="auto"/>
          <w:szCs w:val="21"/>
        </w:rPr>
        <w:t>8) 纯机械的展品应连续无故障运行（工作时间）8个小时以上。</w:t>
      </w:r>
    </w:p>
    <w:p w14:paraId="2565A9AB">
      <w:pPr>
        <w:spacing w:line="420" w:lineRule="exact"/>
        <w:rPr>
          <w:rFonts w:hint="eastAsia" w:ascii="宋体" w:hAnsi="宋体" w:cs="宋体"/>
          <w:color w:val="auto"/>
          <w:szCs w:val="21"/>
        </w:rPr>
      </w:pPr>
    </w:p>
    <w:p w14:paraId="76371D07">
      <w:pPr>
        <w:spacing w:line="420" w:lineRule="exact"/>
        <w:rPr>
          <w:rFonts w:hint="eastAsia" w:ascii="宋体" w:hAnsi="宋体" w:cs="宋体"/>
          <w:color w:val="auto"/>
          <w:szCs w:val="21"/>
        </w:rPr>
      </w:pPr>
      <w:r>
        <w:rPr>
          <w:rFonts w:hint="eastAsia" w:ascii="宋体" w:hAnsi="宋体" w:cs="宋体"/>
          <w:color w:val="auto"/>
          <w:szCs w:val="21"/>
        </w:rPr>
        <w:t>（三）交货方式</w:t>
      </w:r>
    </w:p>
    <w:p w14:paraId="64E29DCB">
      <w:pPr>
        <w:spacing w:line="420" w:lineRule="exact"/>
        <w:rPr>
          <w:rFonts w:hint="eastAsia" w:ascii="宋体" w:hAnsi="宋体" w:cs="宋体"/>
          <w:color w:val="auto"/>
          <w:szCs w:val="21"/>
        </w:rPr>
      </w:pPr>
      <w:r>
        <w:rPr>
          <w:rFonts w:hint="eastAsia" w:ascii="宋体" w:hAnsi="宋体" w:cs="宋体"/>
          <w:color w:val="auto"/>
          <w:szCs w:val="21"/>
        </w:rPr>
        <w:t>本合同规定的展品，交货方式为甲方指定地点交货。</w:t>
      </w:r>
    </w:p>
    <w:p w14:paraId="6BE62355">
      <w:pPr>
        <w:spacing w:line="420" w:lineRule="exact"/>
        <w:rPr>
          <w:rFonts w:hint="eastAsia" w:ascii="宋体" w:hAnsi="宋体" w:cs="宋体"/>
          <w:color w:val="auto"/>
          <w:szCs w:val="21"/>
        </w:rPr>
      </w:pPr>
      <w:r>
        <w:rPr>
          <w:rFonts w:hint="eastAsia" w:ascii="宋体" w:hAnsi="宋体" w:cs="宋体"/>
          <w:color w:val="auto"/>
          <w:szCs w:val="21"/>
        </w:rPr>
        <w:t>（四）验收规定</w:t>
      </w:r>
    </w:p>
    <w:p w14:paraId="50CA4E76">
      <w:pPr>
        <w:spacing w:line="420" w:lineRule="exact"/>
        <w:rPr>
          <w:rFonts w:hint="eastAsia" w:ascii="宋体" w:hAnsi="宋体" w:cs="宋体"/>
          <w:color w:val="auto"/>
          <w:szCs w:val="21"/>
        </w:rPr>
      </w:pPr>
      <w:r>
        <w:rPr>
          <w:rFonts w:hint="eastAsia" w:ascii="宋体" w:hAnsi="宋体" w:cs="宋体"/>
          <w:color w:val="auto"/>
          <w:szCs w:val="21"/>
        </w:rPr>
        <w:t>（1）展品制作中期，甲方根据实际情况对卖方展品制作情况进行检查监造；</w:t>
      </w:r>
    </w:p>
    <w:p w14:paraId="7CB6B9C1">
      <w:pPr>
        <w:spacing w:line="420" w:lineRule="exact"/>
        <w:rPr>
          <w:rFonts w:hint="eastAsia" w:ascii="宋体" w:hAnsi="宋体" w:cs="宋体"/>
          <w:color w:val="auto"/>
          <w:szCs w:val="21"/>
        </w:rPr>
      </w:pPr>
      <w:r>
        <w:rPr>
          <w:rFonts w:hint="eastAsia" w:ascii="宋体" w:hAnsi="宋体" w:cs="宋体"/>
          <w:color w:val="auto"/>
          <w:szCs w:val="21"/>
        </w:rPr>
        <w:t>（2）展品发货前，乙方须通知甲方到制作单位进行出厂验收。</w:t>
      </w:r>
    </w:p>
    <w:p w14:paraId="5286A6B3">
      <w:pPr>
        <w:spacing w:line="420" w:lineRule="exact"/>
        <w:rPr>
          <w:rFonts w:hint="eastAsia" w:ascii="宋体" w:hAnsi="宋体" w:cs="宋体"/>
          <w:color w:val="auto"/>
          <w:szCs w:val="21"/>
        </w:rPr>
      </w:pPr>
      <w:r>
        <w:rPr>
          <w:rFonts w:hint="eastAsia" w:ascii="宋体" w:hAnsi="宋体" w:cs="宋体"/>
          <w:color w:val="auto"/>
          <w:szCs w:val="21"/>
        </w:rPr>
        <w:t>（五）技术资料</w:t>
      </w:r>
    </w:p>
    <w:p w14:paraId="133E5F5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乙方应把展品对建筑结构、水、电、气等的特殊要求提供给甲方。否则，由此造成的展品无法安装、使用时，乙方须退还货款，并承担由此造成的一切损失。</w:t>
      </w:r>
    </w:p>
    <w:p w14:paraId="466D2482">
      <w:pPr>
        <w:spacing w:line="420" w:lineRule="exact"/>
        <w:rPr>
          <w:rFonts w:hint="eastAsia" w:ascii="宋体" w:hAnsi="宋体" w:cs="宋体"/>
          <w:color w:val="auto"/>
          <w:szCs w:val="21"/>
        </w:rPr>
      </w:pPr>
      <w:r>
        <w:rPr>
          <w:rFonts w:hint="eastAsia" w:ascii="宋体" w:hAnsi="宋体" w:cs="宋体"/>
          <w:color w:val="auto"/>
          <w:szCs w:val="21"/>
        </w:rPr>
        <w:t>（1）乙方应准备与展品相符的中文说明的技术资料（一式两份，并包括一份完整的可查询word版电子资料）</w:t>
      </w:r>
    </w:p>
    <w:p w14:paraId="602A68AC">
      <w:pPr>
        <w:spacing w:line="420" w:lineRule="exact"/>
        <w:rPr>
          <w:rFonts w:hint="eastAsia" w:ascii="宋体" w:hAnsi="宋体" w:cs="宋体"/>
          <w:color w:val="auto"/>
          <w:szCs w:val="21"/>
        </w:rPr>
      </w:pPr>
      <w:r>
        <w:rPr>
          <w:rFonts w:hint="eastAsia" w:ascii="宋体" w:hAnsi="宋体" w:cs="宋体"/>
          <w:color w:val="auto"/>
          <w:szCs w:val="21"/>
        </w:rPr>
        <w:t>A、目录索引；</w:t>
      </w:r>
    </w:p>
    <w:p w14:paraId="26041D87">
      <w:pPr>
        <w:spacing w:line="420" w:lineRule="exact"/>
        <w:rPr>
          <w:rFonts w:hint="eastAsia" w:ascii="宋体" w:hAnsi="宋体" w:cs="宋体"/>
          <w:color w:val="auto"/>
          <w:szCs w:val="21"/>
        </w:rPr>
      </w:pPr>
      <w:r>
        <w:rPr>
          <w:rFonts w:hint="eastAsia" w:ascii="宋体" w:hAnsi="宋体" w:cs="宋体"/>
          <w:color w:val="auto"/>
          <w:szCs w:val="21"/>
        </w:rPr>
        <w:t>B、展品中期检查文件；</w:t>
      </w:r>
    </w:p>
    <w:p w14:paraId="59635A41">
      <w:pPr>
        <w:spacing w:line="420" w:lineRule="exact"/>
        <w:rPr>
          <w:rFonts w:hint="eastAsia" w:ascii="宋体" w:hAnsi="宋体" w:cs="宋体"/>
          <w:color w:val="auto"/>
          <w:szCs w:val="21"/>
        </w:rPr>
      </w:pPr>
      <w:r>
        <w:rPr>
          <w:rFonts w:hint="eastAsia" w:ascii="宋体" w:hAnsi="宋体" w:cs="宋体"/>
          <w:color w:val="auto"/>
          <w:szCs w:val="21"/>
        </w:rPr>
        <w:t>C、必需的计算文件、试验报告；</w:t>
      </w:r>
    </w:p>
    <w:p w14:paraId="039510AA">
      <w:pPr>
        <w:spacing w:line="420" w:lineRule="exact"/>
        <w:rPr>
          <w:rFonts w:hint="eastAsia" w:ascii="宋体" w:hAnsi="宋体" w:cs="宋体"/>
          <w:color w:val="auto"/>
          <w:szCs w:val="21"/>
        </w:rPr>
      </w:pPr>
      <w:r>
        <w:rPr>
          <w:rFonts w:hint="eastAsia" w:ascii="宋体" w:hAnsi="宋体" w:cs="宋体"/>
          <w:color w:val="auto"/>
          <w:szCs w:val="21"/>
        </w:rPr>
        <w:t>D、展品设计图纸 (含展品设计效果图、原理图、电器接线图和详细设计图纸和电子文档资料等)；</w:t>
      </w:r>
    </w:p>
    <w:p w14:paraId="0AD2DB9F">
      <w:pPr>
        <w:spacing w:line="420" w:lineRule="exact"/>
        <w:rPr>
          <w:rFonts w:hint="eastAsia" w:ascii="宋体" w:hAnsi="宋体" w:cs="宋体"/>
          <w:color w:val="auto"/>
          <w:szCs w:val="21"/>
        </w:rPr>
      </w:pPr>
      <w:r>
        <w:rPr>
          <w:rFonts w:hint="eastAsia" w:ascii="宋体" w:hAnsi="宋体" w:cs="宋体"/>
          <w:color w:val="auto"/>
          <w:szCs w:val="21"/>
        </w:rPr>
        <w:t>E、展品使用维护说明书 (含展品讲解词、展示内容、科学原理、配置明细表、主要技术指标、展品专用工具，易损元器件和备件单价、生产厂家清单等)、多媒体制作软件环境说明(包括使用的操作系统、工具软件、应用软件说明等)；</w:t>
      </w:r>
    </w:p>
    <w:p w14:paraId="2828A20F">
      <w:pPr>
        <w:spacing w:line="420" w:lineRule="exact"/>
        <w:rPr>
          <w:rFonts w:hint="eastAsia" w:ascii="宋体" w:hAnsi="宋体" w:cs="宋体"/>
          <w:color w:val="auto"/>
          <w:szCs w:val="21"/>
        </w:rPr>
      </w:pPr>
      <w:r>
        <w:rPr>
          <w:rFonts w:hint="eastAsia" w:ascii="宋体" w:hAnsi="宋体" w:cs="宋体"/>
          <w:color w:val="auto"/>
          <w:szCs w:val="21"/>
        </w:rPr>
        <w:t>F、硬件购置的随机文件、驱动程序、附件及保修单等；</w:t>
      </w:r>
    </w:p>
    <w:p w14:paraId="5AE0EFF3">
      <w:pPr>
        <w:spacing w:line="420" w:lineRule="exact"/>
        <w:rPr>
          <w:rFonts w:hint="eastAsia" w:ascii="宋体" w:hAnsi="宋体" w:cs="宋体"/>
          <w:color w:val="auto"/>
          <w:szCs w:val="21"/>
        </w:rPr>
      </w:pPr>
      <w:r>
        <w:rPr>
          <w:rFonts w:hint="eastAsia" w:ascii="宋体" w:hAnsi="宋体" w:cs="宋体"/>
          <w:color w:val="auto"/>
          <w:szCs w:val="21"/>
        </w:rPr>
        <w:t>G、为使展品正常、连续地使用，应提供展品从甲方开始使用的质保期间所需的完整的备件和特种工具等清单，包括备件和特种工具的货源及现行价格；</w:t>
      </w:r>
    </w:p>
    <w:p w14:paraId="42DD7E68">
      <w:pPr>
        <w:spacing w:line="420" w:lineRule="exact"/>
        <w:rPr>
          <w:rFonts w:hint="eastAsia" w:ascii="宋体" w:hAnsi="宋体" w:cs="宋体"/>
          <w:color w:val="auto"/>
          <w:szCs w:val="21"/>
        </w:rPr>
      </w:pPr>
      <w:r>
        <w:rPr>
          <w:rFonts w:hint="eastAsia" w:ascii="宋体" w:hAnsi="宋体" w:cs="宋体"/>
          <w:color w:val="auto"/>
          <w:szCs w:val="21"/>
        </w:rPr>
        <w:t>H、提供主要的外购件、标准件、电器元件等的产品规格、品牌、产地、制造厂商。</w:t>
      </w:r>
    </w:p>
    <w:p w14:paraId="088B8FDF">
      <w:pPr>
        <w:spacing w:line="420" w:lineRule="exact"/>
        <w:rPr>
          <w:rFonts w:hint="eastAsia" w:ascii="宋体" w:hAnsi="宋体" w:cs="宋体"/>
          <w:color w:val="auto"/>
          <w:szCs w:val="21"/>
        </w:rPr>
      </w:pPr>
      <w:r>
        <w:rPr>
          <w:rFonts w:hint="eastAsia" w:ascii="宋体" w:hAnsi="宋体" w:cs="宋体"/>
          <w:color w:val="auto"/>
          <w:szCs w:val="21"/>
        </w:rPr>
        <w:t>（2）一套完整的资料，包括纸质和电子版（非只读光盘或U盘），应随每批包装好展品发运。</w:t>
      </w:r>
    </w:p>
    <w:p w14:paraId="629CF68C">
      <w:pPr>
        <w:spacing w:line="420" w:lineRule="exact"/>
        <w:rPr>
          <w:rFonts w:hint="eastAsia" w:ascii="宋体" w:hAnsi="宋体" w:cs="宋体"/>
          <w:color w:val="auto"/>
          <w:szCs w:val="21"/>
        </w:rPr>
      </w:pPr>
    </w:p>
    <w:p w14:paraId="46054808">
      <w:pPr>
        <w:jc w:val="center"/>
        <w:rPr>
          <w:b/>
          <w:bCs/>
          <w:color w:val="auto"/>
          <w:sz w:val="36"/>
          <w:szCs w:val="36"/>
        </w:rPr>
      </w:pPr>
      <w:r>
        <w:rPr>
          <w:color w:val="auto"/>
          <w:szCs w:val="21"/>
        </w:rPr>
        <w:br w:type="page"/>
      </w:r>
      <w:r>
        <w:rPr>
          <w:rFonts w:hint="eastAsia"/>
          <w:b/>
          <w:bCs/>
          <w:color w:val="auto"/>
          <w:sz w:val="36"/>
          <w:szCs w:val="36"/>
        </w:rPr>
        <w:t>第三部分  商务条款</w:t>
      </w:r>
    </w:p>
    <w:p w14:paraId="53A935CB">
      <w:pPr>
        <w:pStyle w:val="31"/>
        <w:rPr>
          <w:rFonts w:hint="eastAsia" w:ascii="仿宋" w:hAnsi="仿宋" w:eastAsia="仿宋" w:cs="仿宋"/>
          <w:color w:val="auto"/>
          <w:sz w:val="24"/>
          <w:szCs w:val="24"/>
        </w:rPr>
      </w:pPr>
    </w:p>
    <w:p w14:paraId="1D819340">
      <w:pPr>
        <w:pStyle w:val="31"/>
        <w:jc w:val="center"/>
        <w:rPr>
          <w:rFonts w:hint="eastAsia" w:ascii="仿宋" w:hAnsi="仿宋" w:eastAsia="仿宋" w:cs="仿宋"/>
          <w:b/>
          <w:bCs/>
          <w:color w:val="auto"/>
          <w:sz w:val="24"/>
          <w:szCs w:val="24"/>
        </w:rPr>
      </w:pPr>
    </w:p>
    <w:tbl>
      <w:tblPr>
        <w:tblStyle w:val="47"/>
        <w:tblW w:w="4836" w:type="pct"/>
        <w:jc w:val="center"/>
        <w:tblLayout w:type="autofit"/>
        <w:tblCellMar>
          <w:top w:w="0" w:type="dxa"/>
          <w:left w:w="108" w:type="dxa"/>
          <w:bottom w:w="0" w:type="dxa"/>
          <w:right w:w="108" w:type="dxa"/>
        </w:tblCellMar>
      </w:tblPr>
      <w:tblGrid>
        <w:gridCol w:w="2286"/>
        <w:gridCol w:w="7245"/>
      </w:tblGrid>
      <w:tr w14:paraId="3DDCFECC">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C450">
            <w:pPr>
              <w:spacing w:line="380" w:lineRule="exact"/>
              <w:rPr>
                <w:rFonts w:hint="eastAsia" w:ascii="宋体" w:hAnsi="宋体" w:cs="宋体"/>
                <w:b/>
                <w:bCs/>
                <w:color w:val="auto"/>
                <w:szCs w:val="21"/>
              </w:rPr>
            </w:pPr>
            <w:r>
              <w:rPr>
                <w:rFonts w:hint="eastAsia" w:ascii="宋体" w:hAnsi="宋体" w:cs="宋体"/>
                <w:b/>
                <w:bCs/>
                <w:color w:val="auto"/>
                <w:szCs w:val="21"/>
              </w:rPr>
              <w:t>合同签订期</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4549DE2B">
            <w:pPr>
              <w:spacing w:line="380" w:lineRule="exact"/>
              <w:rPr>
                <w:rFonts w:hint="eastAsia" w:ascii="宋体" w:hAnsi="宋体" w:cs="宋体"/>
                <w:color w:val="auto"/>
                <w:szCs w:val="21"/>
              </w:rPr>
            </w:pPr>
            <w:r>
              <w:rPr>
                <w:rFonts w:hint="eastAsia" w:ascii="宋体" w:hAnsi="宋体" w:cs="宋体"/>
                <w:color w:val="auto"/>
                <w:szCs w:val="21"/>
              </w:rPr>
              <w:t>自中标通知书发出之日起25天内。</w:t>
            </w:r>
          </w:p>
        </w:tc>
      </w:tr>
      <w:tr w14:paraId="1C71A9B8">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B684">
            <w:pPr>
              <w:spacing w:line="380" w:lineRule="exact"/>
              <w:rPr>
                <w:rFonts w:hint="eastAsia" w:ascii="宋体" w:hAnsi="宋体" w:cs="宋体"/>
                <w:b/>
                <w:bCs/>
                <w:color w:val="auto"/>
                <w:szCs w:val="21"/>
              </w:rPr>
            </w:pPr>
            <w:r>
              <w:rPr>
                <w:rFonts w:hint="eastAsia" w:ascii="宋体" w:hAnsi="宋体" w:cs="宋体"/>
                <w:b/>
                <w:bCs/>
                <w:color w:val="auto"/>
                <w:szCs w:val="21"/>
              </w:rPr>
              <w:t>提交服务成果时间及地点</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2891E110">
            <w:pPr>
              <w:spacing w:line="380" w:lineRule="exact"/>
              <w:rPr>
                <w:rFonts w:hint="eastAsia" w:ascii="宋体" w:hAnsi="宋体" w:cs="宋体"/>
                <w:color w:val="auto"/>
                <w:szCs w:val="21"/>
              </w:rPr>
            </w:pPr>
            <w:r>
              <w:rPr>
                <w:rFonts w:hint="eastAsia" w:ascii="宋体" w:hAnsi="宋体" w:cs="宋体"/>
                <w:color w:val="auto"/>
                <w:szCs w:val="21"/>
              </w:rPr>
              <w:t>1.提交服务成果时间：自合同签订之日起360日内通过验收交付使用。</w:t>
            </w:r>
          </w:p>
          <w:p w14:paraId="7F73E6FE">
            <w:pPr>
              <w:spacing w:line="380" w:lineRule="exact"/>
              <w:rPr>
                <w:rFonts w:hint="eastAsia" w:ascii="宋体" w:hAnsi="宋体" w:cs="宋体"/>
                <w:color w:val="auto"/>
                <w:szCs w:val="21"/>
              </w:rPr>
            </w:pPr>
            <w:r>
              <w:rPr>
                <w:rFonts w:hint="eastAsia" w:ascii="宋体" w:hAnsi="宋体" w:cs="宋体"/>
                <w:color w:val="auto"/>
                <w:szCs w:val="21"/>
              </w:rPr>
              <w:t>2.服务地点：采购人指定地点。</w:t>
            </w:r>
          </w:p>
        </w:tc>
      </w:tr>
      <w:tr w14:paraId="5BC00C4A">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ACAB">
            <w:pPr>
              <w:spacing w:line="380" w:lineRule="exact"/>
              <w:rPr>
                <w:rFonts w:hint="eastAsia" w:ascii="宋体" w:hAnsi="宋体" w:cs="宋体"/>
                <w:b/>
                <w:bCs/>
                <w:color w:val="auto"/>
                <w:szCs w:val="21"/>
              </w:rPr>
            </w:pPr>
            <w:r>
              <w:rPr>
                <w:rFonts w:hint="eastAsia" w:ascii="宋体" w:hAnsi="宋体" w:cs="宋体"/>
                <w:b/>
                <w:bCs/>
                <w:color w:val="auto"/>
                <w:szCs w:val="21"/>
              </w:rPr>
              <w:t>质量保证期</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4954F822">
            <w:pPr>
              <w:spacing w:line="380" w:lineRule="exact"/>
              <w:rPr>
                <w:rFonts w:hint="eastAsia" w:ascii="宋体" w:hAnsi="宋体" w:cs="宋体"/>
                <w:color w:val="auto"/>
                <w:szCs w:val="21"/>
              </w:rPr>
            </w:pPr>
            <w:r>
              <w:rPr>
                <w:rFonts w:hint="eastAsia" w:ascii="宋体" w:hAnsi="宋体" w:cs="宋体"/>
                <w:color w:val="auto"/>
                <w:szCs w:val="21"/>
              </w:rPr>
              <w:t>自提交服务成果并验收合格之日起2年。</w:t>
            </w:r>
          </w:p>
        </w:tc>
      </w:tr>
      <w:tr w14:paraId="05495488">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47D9">
            <w:pPr>
              <w:spacing w:line="380" w:lineRule="exact"/>
              <w:rPr>
                <w:rFonts w:hint="eastAsia" w:ascii="宋体" w:hAnsi="宋体" w:cs="宋体"/>
                <w:b/>
                <w:bCs/>
                <w:color w:val="auto"/>
                <w:szCs w:val="21"/>
              </w:rPr>
            </w:pPr>
            <w:r>
              <w:rPr>
                <w:rFonts w:hint="eastAsia" w:ascii="宋体" w:hAnsi="宋体" w:cs="宋体"/>
                <w:b/>
                <w:bCs/>
                <w:color w:val="auto"/>
                <w:szCs w:val="21"/>
              </w:rPr>
              <w:t>服务响应及售后要求</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46654F49">
            <w:pPr>
              <w:spacing w:line="380" w:lineRule="exact"/>
              <w:rPr>
                <w:rFonts w:hint="eastAsia" w:ascii="宋体" w:hAnsi="宋体" w:cs="宋体"/>
                <w:color w:val="auto"/>
                <w:szCs w:val="21"/>
              </w:rPr>
            </w:pPr>
            <w:r>
              <w:rPr>
                <w:rFonts w:hint="eastAsia" w:ascii="宋体" w:hAnsi="宋体" w:cs="宋体"/>
                <w:color w:val="auto"/>
                <w:szCs w:val="21"/>
              </w:rPr>
              <w:t>1.质保期内技术支持与服务：</w:t>
            </w:r>
          </w:p>
          <w:p w14:paraId="379F7C4F">
            <w:pPr>
              <w:spacing w:line="380" w:lineRule="exact"/>
              <w:rPr>
                <w:rFonts w:hint="eastAsia" w:ascii="宋体" w:hAnsi="宋体" w:cs="宋体"/>
                <w:color w:val="auto"/>
                <w:szCs w:val="21"/>
              </w:rPr>
            </w:pPr>
            <w:r>
              <w:rPr>
                <w:rFonts w:hint="eastAsia" w:ascii="宋体" w:hAnsi="宋体" w:cs="宋体"/>
                <w:color w:val="auto"/>
                <w:szCs w:val="21"/>
              </w:rPr>
              <w:t>（1）提供7×24小时电话或电子邮件服务，供应商接到采购单位的通知后立即响应，在1小时内做出明确响应和安排，在24小时内做出故障诊断报告；如需现场服务的，具有解决故障能力的工程师应在48小时内到达现场解决问题，以保证系统正常运行，并承担一切相关费用；</w:t>
            </w:r>
          </w:p>
          <w:p w14:paraId="7C70C5E7">
            <w:pPr>
              <w:spacing w:line="380" w:lineRule="exact"/>
              <w:rPr>
                <w:rFonts w:hint="eastAsia" w:ascii="宋体" w:hAnsi="宋体" w:cs="宋体"/>
                <w:color w:val="auto"/>
                <w:szCs w:val="21"/>
              </w:rPr>
            </w:pPr>
            <w:r>
              <w:rPr>
                <w:rFonts w:hint="eastAsia" w:ascii="宋体" w:hAnsi="宋体" w:cs="宋体"/>
                <w:color w:val="auto"/>
                <w:szCs w:val="21"/>
              </w:rPr>
              <w:t>（2）定期回访、走访采购人；</w:t>
            </w:r>
          </w:p>
          <w:p w14:paraId="0D651BA4">
            <w:pPr>
              <w:spacing w:line="380" w:lineRule="exact"/>
              <w:rPr>
                <w:rFonts w:hint="eastAsia" w:ascii="宋体" w:hAnsi="宋体" w:cs="宋体"/>
                <w:color w:val="auto"/>
                <w:szCs w:val="21"/>
              </w:rPr>
            </w:pPr>
            <w:r>
              <w:rPr>
                <w:rFonts w:hint="eastAsia" w:ascii="宋体" w:hAnsi="宋体" w:cs="宋体"/>
                <w:color w:val="auto"/>
                <w:szCs w:val="21"/>
              </w:rPr>
              <w:t>（3）服务期内免费上门提供服务，免费提供应用软件升级；</w:t>
            </w:r>
          </w:p>
          <w:p w14:paraId="7AE22BA1">
            <w:pPr>
              <w:spacing w:line="380" w:lineRule="exact"/>
              <w:rPr>
                <w:rFonts w:hint="eastAsia" w:ascii="宋体" w:hAnsi="宋体" w:cs="宋体"/>
                <w:color w:val="auto"/>
                <w:szCs w:val="21"/>
              </w:rPr>
            </w:pPr>
            <w:r>
              <w:rPr>
                <w:rFonts w:hint="eastAsia" w:ascii="宋体" w:hAnsi="宋体" w:cs="宋体"/>
                <w:color w:val="auto"/>
                <w:szCs w:val="21"/>
              </w:rPr>
              <w:t>（4）其余按厂家承诺进行。</w:t>
            </w:r>
          </w:p>
          <w:p w14:paraId="51B0C383">
            <w:pPr>
              <w:spacing w:line="380" w:lineRule="exact"/>
              <w:rPr>
                <w:rFonts w:hint="eastAsia" w:ascii="宋体" w:hAnsi="宋体" w:cs="宋体"/>
                <w:color w:val="auto"/>
                <w:szCs w:val="21"/>
              </w:rPr>
            </w:pPr>
            <w:r>
              <w:rPr>
                <w:rFonts w:hint="eastAsia" w:ascii="宋体" w:hAnsi="宋体" w:cs="宋体"/>
                <w:color w:val="auto"/>
                <w:szCs w:val="21"/>
              </w:rPr>
              <w:t>2.免费安装调试：中标供应商负责本项目所有展品的安装，中标供应商整理验收材料提交采购人验收。</w:t>
            </w:r>
          </w:p>
        </w:tc>
      </w:tr>
      <w:tr w14:paraId="2E048D6D">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9402">
            <w:pPr>
              <w:spacing w:line="380" w:lineRule="exact"/>
              <w:rPr>
                <w:rFonts w:hint="eastAsia" w:ascii="宋体" w:hAnsi="宋体" w:cs="宋体"/>
                <w:b/>
                <w:bCs/>
                <w:color w:val="auto"/>
                <w:szCs w:val="21"/>
              </w:rPr>
            </w:pPr>
            <w:r>
              <w:rPr>
                <w:rFonts w:hint="eastAsia" w:ascii="宋体" w:hAnsi="宋体" w:cs="宋体"/>
                <w:b/>
                <w:bCs/>
                <w:color w:val="auto"/>
                <w:szCs w:val="21"/>
              </w:rPr>
              <w:t>▲付款条件（进度和方式）</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333E5A17">
            <w:pPr>
              <w:numPr>
                <w:ilvl w:val="0"/>
                <w:numId w:val="6"/>
              </w:numPr>
              <w:spacing w:line="380" w:lineRule="exact"/>
              <w:rPr>
                <w:rFonts w:hint="eastAsia" w:ascii="宋体" w:hAnsi="宋体" w:cs="宋体"/>
                <w:color w:val="auto"/>
                <w:szCs w:val="21"/>
              </w:rPr>
            </w:pPr>
            <w:r>
              <w:rPr>
                <w:rFonts w:hint="eastAsia" w:ascii="宋体" w:hAnsi="宋体" w:cs="宋体"/>
                <w:color w:val="auto"/>
                <w:szCs w:val="21"/>
              </w:rPr>
              <w:t>签订合同之日起15日内采购人支付合同金额50%；</w:t>
            </w:r>
          </w:p>
          <w:p w14:paraId="718B12F2">
            <w:pPr>
              <w:numPr>
                <w:ilvl w:val="0"/>
                <w:numId w:val="6"/>
              </w:numPr>
              <w:spacing w:line="380" w:lineRule="exact"/>
              <w:rPr>
                <w:rFonts w:hint="eastAsia" w:ascii="宋体" w:hAnsi="宋体" w:cs="宋体"/>
                <w:color w:val="auto"/>
                <w:szCs w:val="21"/>
              </w:rPr>
            </w:pPr>
            <w:r>
              <w:rPr>
                <w:rFonts w:hint="eastAsia" w:ascii="宋体" w:hAnsi="宋体" w:cs="宋体"/>
                <w:color w:val="auto"/>
                <w:szCs w:val="21"/>
              </w:rPr>
              <w:t>主体施工部分工程量完成 60%-70%（以监理单位审核的工程进度报告为准），供应商提交书面《中期验收申请》至采购人并附:</w:t>
            </w:r>
          </w:p>
          <w:p w14:paraId="4E32DFDB">
            <w:pPr>
              <w:numPr>
                <w:ilvl w:val="1"/>
                <w:numId w:val="7"/>
              </w:numPr>
              <w:spacing w:line="380" w:lineRule="exact"/>
              <w:rPr>
                <w:rFonts w:hint="eastAsia" w:ascii="宋体" w:hAnsi="宋体" w:cs="宋体"/>
                <w:color w:val="auto"/>
                <w:szCs w:val="21"/>
              </w:rPr>
            </w:pPr>
            <w:r>
              <w:rPr>
                <w:rFonts w:hint="eastAsia" w:ascii="宋体" w:hAnsi="宋体" w:cs="宋体"/>
                <w:color w:val="auto"/>
                <w:szCs w:val="21"/>
              </w:rPr>
              <w:t>施工进度照片及视频；</w:t>
            </w:r>
          </w:p>
          <w:p w14:paraId="55B47E10">
            <w:pPr>
              <w:numPr>
                <w:ilvl w:val="1"/>
                <w:numId w:val="7"/>
              </w:numPr>
              <w:spacing w:line="380" w:lineRule="exact"/>
              <w:rPr>
                <w:rFonts w:hint="eastAsia" w:ascii="宋体" w:hAnsi="宋体" w:cs="宋体"/>
                <w:color w:val="auto"/>
                <w:szCs w:val="21"/>
              </w:rPr>
            </w:pPr>
            <w:r>
              <w:rPr>
                <w:rFonts w:hint="eastAsia" w:ascii="宋体" w:hAnsi="宋体" w:cs="宋体"/>
                <w:color w:val="auto"/>
                <w:szCs w:val="21"/>
              </w:rPr>
              <w:t>监理单位签字盖章的《工序验收单》；</w:t>
            </w:r>
          </w:p>
          <w:p w14:paraId="353BD1A4">
            <w:pPr>
              <w:numPr>
                <w:ilvl w:val="1"/>
                <w:numId w:val="7"/>
              </w:numPr>
              <w:spacing w:line="380" w:lineRule="exact"/>
              <w:rPr>
                <w:rFonts w:hint="eastAsia" w:ascii="宋体" w:hAnsi="宋体" w:cs="宋体"/>
                <w:color w:val="auto"/>
                <w:szCs w:val="21"/>
              </w:rPr>
            </w:pPr>
            <w:r>
              <w:rPr>
                <w:rFonts w:hint="eastAsia" w:ascii="宋体" w:hAnsi="宋体" w:cs="宋体"/>
                <w:color w:val="auto"/>
                <w:szCs w:val="21"/>
              </w:rPr>
              <w:t>未完成项清单及整改计划；</w:t>
            </w:r>
          </w:p>
          <w:p w14:paraId="05454EB2">
            <w:pPr>
              <w:numPr>
                <w:ilvl w:val="255"/>
                <w:numId w:val="0"/>
              </w:numPr>
              <w:spacing w:line="380" w:lineRule="exact"/>
              <w:ind w:firstLine="420" w:firstLineChars="200"/>
              <w:rPr>
                <w:rFonts w:hint="eastAsia" w:ascii="宋体" w:hAnsi="宋体" w:cs="宋体"/>
                <w:color w:val="auto"/>
                <w:szCs w:val="21"/>
              </w:rPr>
            </w:pPr>
            <w:r>
              <w:rPr>
                <w:rFonts w:hint="eastAsia" w:ascii="宋体" w:hAnsi="宋体" w:cs="宋体"/>
                <w:color w:val="auto"/>
                <w:szCs w:val="21"/>
              </w:rPr>
              <w:t xml:space="preserve">采购人需在5个工作日内组织现场核验，若验收通过，签署《中期付款确认书》并在10个工作日内付合同款项的30%；若存在瑕疵，书面通知整改，整改后重新验收。 </w:t>
            </w:r>
          </w:p>
          <w:p w14:paraId="029C53B5">
            <w:pPr>
              <w:numPr>
                <w:ilvl w:val="255"/>
                <w:numId w:val="0"/>
              </w:numPr>
              <w:spacing w:line="380" w:lineRule="exact"/>
              <w:rPr>
                <w:rFonts w:hint="eastAsia" w:ascii="宋体" w:hAnsi="宋体" w:cs="宋体"/>
                <w:color w:val="auto"/>
                <w:szCs w:val="21"/>
              </w:rPr>
            </w:pPr>
            <w:r>
              <w:rPr>
                <w:rFonts w:hint="eastAsia" w:ascii="宋体" w:hAnsi="宋体" w:cs="宋体"/>
                <w:color w:val="auto"/>
                <w:szCs w:val="21"/>
              </w:rPr>
              <w:t>3、所有项目交付验收合格后30日内，由采购人支付剩余20%合同款。</w:t>
            </w:r>
          </w:p>
          <w:p w14:paraId="5407102E">
            <w:pPr>
              <w:numPr>
                <w:ilvl w:val="255"/>
                <w:numId w:val="0"/>
              </w:numPr>
              <w:spacing w:line="380" w:lineRule="exact"/>
              <w:rPr>
                <w:rFonts w:hint="eastAsia" w:ascii="宋体" w:hAnsi="宋体" w:cs="宋体"/>
                <w:color w:val="auto"/>
                <w:szCs w:val="21"/>
              </w:rPr>
            </w:pPr>
            <w:r>
              <w:rPr>
                <w:rFonts w:hint="eastAsia" w:ascii="宋体" w:hAnsi="宋体" w:cs="宋体"/>
                <w:color w:val="auto"/>
                <w:szCs w:val="21"/>
              </w:rPr>
              <w:t>4、供应商自收到合同款之日起10个工作日内开具发票给采购人。</w:t>
            </w:r>
          </w:p>
        </w:tc>
      </w:tr>
      <w:tr w14:paraId="50FD2B50">
        <w:tblPrEx>
          <w:tblCellMar>
            <w:top w:w="0" w:type="dxa"/>
            <w:left w:w="108" w:type="dxa"/>
            <w:bottom w:w="0" w:type="dxa"/>
            <w:right w:w="108" w:type="dxa"/>
          </w:tblCellMar>
        </w:tblPrEx>
        <w:trPr>
          <w:trHeight w:val="9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6AD5">
            <w:pPr>
              <w:spacing w:line="380" w:lineRule="exact"/>
              <w:rPr>
                <w:rFonts w:hint="eastAsia" w:ascii="宋体" w:hAnsi="宋体" w:cs="宋体"/>
                <w:b/>
                <w:bCs/>
                <w:color w:val="auto"/>
                <w:szCs w:val="21"/>
              </w:rPr>
            </w:pPr>
            <w:r>
              <w:rPr>
                <w:rFonts w:hint="eastAsia" w:ascii="宋体" w:hAnsi="宋体" w:cs="宋体"/>
                <w:b/>
                <w:bCs/>
                <w:color w:val="auto"/>
                <w:szCs w:val="21"/>
              </w:rPr>
              <w:t>其他要求</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7AB95E38">
            <w:pPr>
              <w:spacing w:line="380" w:lineRule="exact"/>
              <w:rPr>
                <w:rFonts w:hint="eastAsia" w:ascii="宋体" w:hAnsi="宋体" w:cs="宋体"/>
                <w:color w:val="auto"/>
                <w:szCs w:val="21"/>
              </w:rPr>
            </w:pPr>
            <w:r>
              <w:rPr>
                <w:rFonts w:hint="eastAsia" w:ascii="宋体" w:hAnsi="宋体" w:cs="宋体"/>
                <w:color w:val="auto"/>
                <w:szCs w:val="21"/>
              </w:rPr>
              <w:t>▲1.供应商的报价包括投标服务、货物的成本、运输（含保险）、安装（如有）、调试、检验、售后、住宿、利润、保险、税费、招标代理服务费及项目整体实施过程中其他有可能发生的一切费用，采购人不再支付任何费用。</w:t>
            </w:r>
          </w:p>
          <w:p w14:paraId="34607977">
            <w:pPr>
              <w:spacing w:line="380" w:lineRule="exact"/>
              <w:rPr>
                <w:rFonts w:hint="eastAsia" w:ascii="宋体" w:hAnsi="宋体" w:cs="宋体"/>
                <w:color w:val="auto"/>
                <w:szCs w:val="21"/>
              </w:rPr>
            </w:pPr>
            <w:r>
              <w:rPr>
                <w:rFonts w:hint="eastAsia" w:ascii="宋体" w:hAnsi="宋体" w:cs="宋体"/>
                <w:color w:val="auto"/>
                <w:szCs w:val="21"/>
              </w:rPr>
              <w:t>2.其他要求</w:t>
            </w:r>
          </w:p>
          <w:p w14:paraId="74208C17">
            <w:pPr>
              <w:spacing w:line="380" w:lineRule="exact"/>
              <w:rPr>
                <w:rFonts w:hint="eastAsia" w:ascii="宋体" w:hAnsi="宋体" w:cs="宋体"/>
                <w:color w:val="auto"/>
                <w:szCs w:val="21"/>
              </w:rPr>
            </w:pPr>
            <w:r>
              <w:rPr>
                <w:rFonts w:hint="eastAsia" w:ascii="宋体" w:hAnsi="宋体" w:cs="宋体"/>
                <w:color w:val="auto"/>
                <w:szCs w:val="21"/>
              </w:rPr>
              <w:t>（1）投标供应商提供展区升级改造方案，包括：</w:t>
            </w:r>
          </w:p>
          <w:p w14:paraId="1FAB4199">
            <w:pPr>
              <w:pStyle w:val="100"/>
              <w:widowControl/>
              <w:tabs>
                <w:tab w:val="left" w:pos="1173"/>
              </w:tabs>
              <w:spacing w:line="380" w:lineRule="exact"/>
              <w:ind w:left="208" w:hanging="207" w:hangingChars="99"/>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展区方案设计</w:t>
            </w:r>
            <w:r>
              <w:rPr>
                <w:rFonts w:hint="eastAsia" w:ascii="宋体" w:hAnsi="宋体" w:cs="宋体"/>
                <w:color w:val="auto"/>
                <w:szCs w:val="21"/>
              </w:rPr>
              <w:t>；</w:t>
            </w:r>
          </w:p>
          <w:p w14:paraId="08004C26">
            <w:pPr>
              <w:pStyle w:val="100"/>
              <w:widowControl/>
              <w:spacing w:line="380" w:lineRule="exact"/>
              <w:ind w:left="208" w:hanging="207" w:hangingChars="99"/>
              <w:jc w:val="left"/>
              <w:rPr>
                <w:rFonts w:hint="eastAsia" w:ascii="宋体" w:hAnsi="宋体" w:cs="宋体"/>
                <w:color w:val="auto"/>
                <w:szCs w:val="21"/>
              </w:rPr>
            </w:pPr>
            <w:r>
              <w:rPr>
                <w:rFonts w:hint="eastAsia" w:ascii="宋体" w:hAnsi="宋体" w:cs="宋体"/>
                <w:color w:val="auto"/>
                <w:szCs w:val="21"/>
              </w:rPr>
              <w:t>展品清单方案；</w:t>
            </w:r>
          </w:p>
          <w:p w14:paraId="0E75FED0">
            <w:pPr>
              <w:pStyle w:val="100"/>
              <w:widowControl/>
              <w:spacing w:line="380" w:lineRule="exact"/>
              <w:ind w:left="208" w:hanging="207" w:hangingChars="99"/>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科学教育活动课程方案清单；</w:t>
            </w:r>
          </w:p>
          <w:p w14:paraId="5FBD1D18">
            <w:pPr>
              <w:spacing w:line="380" w:lineRule="exact"/>
              <w:rPr>
                <w:rFonts w:hint="eastAsia" w:ascii="宋体" w:hAnsi="宋体" w:cs="宋体"/>
                <w:color w:val="auto"/>
                <w:szCs w:val="21"/>
              </w:rPr>
            </w:pPr>
            <w:r>
              <w:rPr>
                <w:rFonts w:hint="eastAsia" w:ascii="宋体" w:hAnsi="宋体" w:cs="宋体"/>
                <w:color w:val="auto"/>
                <w:szCs w:val="21"/>
              </w:rPr>
              <w:t>（2）投标供应商如有请提供近四年内（2021年1月1日至公开招标截止时间，以合同签订时间为准）以科技展品展厅建设或改造项目业绩。</w:t>
            </w:r>
          </w:p>
          <w:p w14:paraId="75121003">
            <w:pPr>
              <w:spacing w:line="380" w:lineRule="exact"/>
              <w:rPr>
                <w:rFonts w:hint="eastAsia" w:ascii="宋体" w:hAnsi="宋体" w:cs="宋体"/>
                <w:color w:val="auto"/>
                <w:szCs w:val="21"/>
              </w:rPr>
            </w:pPr>
            <w:r>
              <w:rPr>
                <w:rFonts w:hint="eastAsia" w:ascii="宋体" w:hAnsi="宋体" w:cs="宋体"/>
                <w:color w:val="auto"/>
                <w:szCs w:val="21"/>
              </w:rPr>
              <w:t>（3）投标供应商请提供本项目实施方案。</w:t>
            </w:r>
          </w:p>
        </w:tc>
      </w:tr>
      <w:tr w14:paraId="11654D13">
        <w:tblPrEx>
          <w:tblCellMar>
            <w:top w:w="0" w:type="dxa"/>
            <w:left w:w="108" w:type="dxa"/>
            <w:bottom w:w="0" w:type="dxa"/>
            <w:right w:w="108" w:type="dxa"/>
          </w:tblCellMar>
        </w:tblPrEx>
        <w:trPr>
          <w:trHeight w:val="1400" w:hRule="atLeast"/>
          <w:jc w:val="cent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8F61">
            <w:pPr>
              <w:spacing w:line="380" w:lineRule="exact"/>
              <w:rPr>
                <w:rFonts w:hint="eastAsia" w:ascii="宋体" w:hAnsi="宋体" w:cs="宋体"/>
                <w:b/>
                <w:bCs/>
                <w:color w:val="auto"/>
                <w:szCs w:val="21"/>
              </w:rPr>
            </w:pPr>
            <w:r>
              <w:rPr>
                <w:rFonts w:hint="eastAsia" w:ascii="宋体" w:hAnsi="宋体" w:cs="宋体"/>
                <w:b/>
                <w:bCs/>
                <w:color w:val="auto"/>
                <w:szCs w:val="21"/>
              </w:rPr>
              <w:t>▲知识产权要求</w:t>
            </w:r>
          </w:p>
        </w:tc>
        <w:tc>
          <w:tcPr>
            <w:tcW w:w="3800" w:type="pct"/>
            <w:tcBorders>
              <w:top w:val="single" w:color="000000" w:sz="4" w:space="0"/>
              <w:left w:val="nil"/>
              <w:bottom w:val="single" w:color="000000" w:sz="4" w:space="0"/>
              <w:right w:val="single" w:color="000000" w:sz="4" w:space="0"/>
            </w:tcBorders>
            <w:shd w:val="clear" w:color="auto" w:fill="FFFFFF"/>
            <w:vAlign w:val="center"/>
          </w:tcPr>
          <w:p w14:paraId="3B50449F">
            <w:pPr>
              <w:spacing w:line="380" w:lineRule="exact"/>
              <w:rPr>
                <w:rFonts w:hint="eastAsia" w:ascii="宋体" w:hAnsi="宋体" w:cs="宋体"/>
                <w:color w:val="auto"/>
                <w:szCs w:val="21"/>
              </w:rPr>
            </w:pPr>
            <w:r>
              <w:rPr>
                <w:rFonts w:hint="eastAsia" w:ascii="宋体" w:hAnsi="宋体" w:cs="宋体"/>
                <w:color w:val="auto"/>
                <w:szCs w:val="21"/>
              </w:rPr>
              <w:t>本项目版权归采购人（广西壮族自治区科学技术馆）所有，中标供应商提供的设计成果如侵犯了第三方合法权益而引发的任何纠纷或诉讼，均由中标供应商负责交涉并承担全部责任，因此造成采购人的经济损失由中标供应商负责赔偿。</w:t>
            </w:r>
          </w:p>
        </w:tc>
      </w:tr>
      <w:tr w14:paraId="4D63361A">
        <w:tblPrEx>
          <w:tblCellMar>
            <w:top w:w="0" w:type="dxa"/>
            <w:left w:w="108" w:type="dxa"/>
            <w:bottom w:w="0" w:type="dxa"/>
            <w:right w:w="108" w:type="dxa"/>
          </w:tblCellMar>
        </w:tblPrEx>
        <w:trPr>
          <w:trHeight w:val="1400"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860D">
            <w:pPr>
              <w:spacing w:line="336" w:lineRule="exact"/>
              <w:rPr>
                <w:rFonts w:hint="eastAsia" w:ascii="宋体" w:hAnsi="宋体" w:cs="宋体"/>
                <w:b/>
                <w:bCs/>
                <w:color w:val="auto"/>
                <w:szCs w:val="21"/>
              </w:rPr>
            </w:pPr>
            <w:r>
              <w:rPr>
                <w:rFonts w:hint="eastAsia" w:ascii="宋体" w:hAnsi="宋体" w:cs="宋体"/>
                <w:b/>
                <w:bCs/>
                <w:color w:val="auto"/>
                <w:szCs w:val="21"/>
              </w:rPr>
              <w:t>验收标准、验收方法及方案</w:t>
            </w:r>
          </w:p>
        </w:tc>
        <w:tc>
          <w:tcPr>
            <w:tcW w:w="7245" w:type="dxa"/>
            <w:tcBorders>
              <w:top w:val="single" w:color="000000" w:sz="4" w:space="0"/>
              <w:left w:val="nil"/>
              <w:bottom w:val="single" w:color="000000" w:sz="4" w:space="0"/>
              <w:right w:val="single" w:color="000000" w:sz="4" w:space="0"/>
            </w:tcBorders>
            <w:shd w:val="clear" w:color="auto" w:fill="FFFFFF"/>
            <w:vAlign w:val="center"/>
          </w:tcPr>
          <w:p w14:paraId="24058AC0">
            <w:pPr>
              <w:spacing w:line="336" w:lineRule="exact"/>
              <w:rPr>
                <w:rFonts w:hint="eastAsia" w:ascii="宋体" w:hAnsi="宋体" w:cs="宋体"/>
                <w:color w:val="auto"/>
                <w:szCs w:val="21"/>
              </w:rPr>
            </w:pPr>
            <w:r>
              <w:rPr>
                <w:rFonts w:hint="eastAsia" w:ascii="宋体" w:hAnsi="宋体" w:cs="宋体"/>
                <w:color w:val="auto"/>
                <w:szCs w:val="21"/>
              </w:rPr>
              <w:t>1.合同履行过程中，采购人按照本项目合同及招标文件、中标供应商投标文件承诺进行验收（费用由中标供应商承担，投标报价时应考虑报价风险），如服务验收不合格，由中标供应商按采购人（或第三方验收机构）要求整改，中标供应商不按要求整改或拒不整改的，政府采购合同继续履行将损害国家利益和社会公众利益的，双方当事人应当变更、中止或者终止合同。给采购单位造成的损失等费用由中标供应商承担。如不符合采购文件服务内容及要求以及提供虚假承诺的，按相关规定做违约处理，采购人依据相关法律规定追究中标供应商的责任，由此带来的一切损失由中标供应商自行承担。</w:t>
            </w:r>
          </w:p>
          <w:p w14:paraId="03A89C21">
            <w:pPr>
              <w:spacing w:line="336" w:lineRule="exact"/>
              <w:rPr>
                <w:rFonts w:hint="eastAsia" w:ascii="宋体" w:hAnsi="宋体" w:cs="宋体"/>
                <w:color w:val="auto"/>
                <w:szCs w:val="21"/>
              </w:rPr>
            </w:pPr>
            <w:r>
              <w:rPr>
                <w:rFonts w:hint="eastAsia" w:ascii="宋体" w:hAnsi="宋体" w:cs="宋体"/>
                <w:color w:val="auto"/>
                <w:szCs w:val="21"/>
              </w:rPr>
              <w:t>2.中标供应商应完成所有展览制作任务及配套服务，达到展览设计展示效果和教育目标。依据展览设计图纸、设计变更资料、技术需求书、技术交流会会议纪要及阶段检查验收记录等相关要求进行展览设计优化及制作，展览正常运行且实现采购人要求的展示效果。</w:t>
            </w:r>
          </w:p>
          <w:p w14:paraId="767A5030">
            <w:pPr>
              <w:spacing w:line="336" w:lineRule="exact"/>
              <w:rPr>
                <w:rFonts w:hint="eastAsia" w:ascii="宋体" w:hAnsi="宋体" w:cs="宋体"/>
                <w:color w:val="auto"/>
                <w:szCs w:val="21"/>
              </w:rPr>
            </w:pPr>
            <w:r>
              <w:rPr>
                <w:rFonts w:hint="eastAsia" w:ascii="宋体" w:hAnsi="宋体" w:cs="宋体"/>
                <w:color w:val="auto"/>
                <w:szCs w:val="21"/>
              </w:rPr>
              <w:t>3.中标供应商应提交所有展品展项制作相关档案资料及配套资料。应提交的验收资料包括但不限于：展品制作加工图纸、展品设计优化资料、展品制作过程文件（包括但不限于软件安装文件和源文件、多媒体的安装文件和源文件、检验文件、试运行记录、出厂验收记录等）、外购件合格证、检验证书、展览交付签收单、操作及维护手册、展览手册、展览讲解词或视频培训资料、教育活动方案等。</w:t>
            </w:r>
          </w:p>
        </w:tc>
      </w:tr>
      <w:tr w14:paraId="3512CA1F">
        <w:tblPrEx>
          <w:tblCellMar>
            <w:top w:w="0" w:type="dxa"/>
            <w:left w:w="108" w:type="dxa"/>
            <w:bottom w:w="0" w:type="dxa"/>
            <w:right w:w="108" w:type="dxa"/>
          </w:tblCellMar>
        </w:tblPrEx>
        <w:trPr>
          <w:trHeight w:val="1085" w:hRule="atLeast"/>
          <w:jc w:val="center"/>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8F03">
            <w:pPr>
              <w:spacing w:line="336" w:lineRule="exact"/>
              <w:rPr>
                <w:rFonts w:hint="eastAsia" w:ascii="宋体" w:hAnsi="宋体" w:cs="宋体"/>
                <w:b/>
                <w:bCs/>
                <w:color w:val="auto"/>
                <w:szCs w:val="21"/>
              </w:rPr>
            </w:pPr>
            <w:r>
              <w:rPr>
                <w:rFonts w:hint="eastAsia" w:ascii="宋体" w:hAnsi="宋体" w:cs="宋体"/>
                <w:b/>
                <w:bCs/>
                <w:color w:val="auto"/>
                <w:szCs w:val="21"/>
              </w:rPr>
              <w:t>进口产品说明</w:t>
            </w:r>
          </w:p>
        </w:tc>
        <w:tc>
          <w:tcPr>
            <w:tcW w:w="7245" w:type="dxa"/>
            <w:tcBorders>
              <w:top w:val="single" w:color="000000" w:sz="4" w:space="0"/>
              <w:left w:val="nil"/>
              <w:bottom w:val="single" w:color="000000" w:sz="4" w:space="0"/>
              <w:right w:val="single" w:color="000000" w:sz="4" w:space="0"/>
            </w:tcBorders>
            <w:shd w:val="clear" w:color="auto" w:fill="FFFFFF"/>
            <w:vAlign w:val="center"/>
          </w:tcPr>
          <w:p w14:paraId="5F8AF21D">
            <w:pPr>
              <w:spacing w:line="336" w:lineRule="exact"/>
              <w:jc w:val="left"/>
              <w:rPr>
                <w:rFonts w:hint="eastAsia"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bidi="ar"/>
              </w:rPr>
              <w:t>项目涉及的展品设备</w:t>
            </w:r>
            <w:r>
              <w:rPr>
                <w:rFonts w:hint="eastAsia" w:ascii="宋体" w:hAnsi="宋体" w:cs="宋体"/>
                <w:color w:val="auto"/>
                <w:szCs w:val="21"/>
              </w:rPr>
              <w:t>不接受进口产品参与投标，否则其投标文件作无效处理。</w:t>
            </w:r>
          </w:p>
        </w:tc>
      </w:tr>
    </w:tbl>
    <w:p w14:paraId="721F563D">
      <w:pPr>
        <w:spacing w:line="428" w:lineRule="exact"/>
        <w:ind w:left="119"/>
        <w:rPr>
          <w:rFonts w:hint="eastAsia" w:ascii="仿宋" w:hAnsi="仿宋" w:eastAsia="仿宋" w:cs="仿宋"/>
          <w:color w:val="auto"/>
          <w:sz w:val="32"/>
          <w:szCs w:val="32"/>
        </w:rPr>
      </w:pPr>
      <w:r>
        <w:rPr>
          <w:rFonts w:hint="eastAsia" w:ascii="仿宋" w:hAnsi="仿宋" w:eastAsia="仿宋" w:cs="仿宋"/>
          <w:color w:val="auto"/>
        </w:rPr>
        <w:br w:type="page"/>
      </w:r>
      <w:r>
        <w:rPr>
          <w:rFonts w:hint="eastAsia" w:ascii="仿宋" w:hAnsi="仿宋" w:eastAsia="仿宋" w:cs="仿宋"/>
          <w:color w:val="auto"/>
          <w:sz w:val="28"/>
          <w:szCs w:val="28"/>
        </w:rPr>
        <w:t xml:space="preserve"> </w:t>
      </w:r>
      <w:r>
        <w:rPr>
          <w:rFonts w:hint="eastAsia" w:ascii="仿宋" w:hAnsi="仿宋" w:eastAsia="仿宋" w:cs="仿宋"/>
          <w:color w:val="auto"/>
          <w:sz w:val="32"/>
          <w:szCs w:val="32"/>
        </w:rPr>
        <w:t>附件1：</w:t>
      </w:r>
    </w:p>
    <w:p w14:paraId="373C5759">
      <w:pPr>
        <w:spacing w:before="7"/>
        <w:rPr>
          <w:rFonts w:hint="eastAsia" w:ascii="仿宋" w:hAnsi="仿宋" w:eastAsia="仿宋" w:cs="仿宋"/>
          <w:color w:val="auto"/>
          <w:sz w:val="17"/>
          <w:szCs w:val="17"/>
        </w:rPr>
      </w:pPr>
    </w:p>
    <w:p w14:paraId="20EFCE78">
      <w:pPr>
        <w:spacing w:line="528" w:lineRule="exact"/>
        <w:ind w:left="1871"/>
        <w:rPr>
          <w:rFonts w:hint="eastAsia" w:ascii="仿宋" w:hAnsi="仿宋" w:eastAsia="仿宋" w:cs="仿宋"/>
          <w:color w:val="auto"/>
          <w:sz w:val="40"/>
          <w:szCs w:val="40"/>
        </w:rPr>
      </w:pPr>
      <w:r>
        <w:rPr>
          <w:rFonts w:hint="eastAsia" w:ascii="仿宋" w:hAnsi="仿宋" w:eastAsia="仿宋" w:cs="仿宋"/>
          <w:color w:val="auto"/>
          <w:sz w:val="40"/>
          <w:szCs w:val="40"/>
        </w:rPr>
        <w:t>节能产品政府采购品目清单</w:t>
      </w:r>
    </w:p>
    <w:tbl>
      <w:tblPr>
        <w:tblStyle w:val="47"/>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3DFCE5DB">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AD0A2F8">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108C19D">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67F85C61">
            <w:pPr>
              <w:widowControl/>
              <w:jc w:val="center"/>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依据的标准</w:t>
            </w:r>
          </w:p>
        </w:tc>
      </w:tr>
      <w:tr w14:paraId="4FCBB02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A0ADCA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7DBEA65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160024A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1E8A2A34">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581CE1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《微型计算机能效限定值及能效等级》（GB28380）</w:t>
            </w:r>
          </w:p>
        </w:tc>
      </w:tr>
      <w:tr w14:paraId="2D26940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431AEA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106C28C">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4B6221F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0EBDE7E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6768DB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《微型计算机能效限定值及能效等级》（GB28380）</w:t>
            </w:r>
          </w:p>
        </w:tc>
      </w:tr>
      <w:tr w14:paraId="7F36324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C0A548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35A3D92">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67F90B8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583B9BF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1DC65B3">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《微型计算机能效限定值及能效等级》（GB28380）</w:t>
            </w:r>
          </w:p>
        </w:tc>
      </w:tr>
      <w:tr w14:paraId="1912D6A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D32EA9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055E80E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583831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7149088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19D8466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4C53F96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2C2C08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461DE48">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99929B4">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43E1BC0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45F7BE7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0F44B3A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C94F55C">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995A2B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C8F12BA">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27CE4CC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306434A7">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0B80F64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9ACBDF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301BF8B">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051E248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706BC0C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70D08B68">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《计算机显示器能效限定值及能效等级》（GB21520）</w:t>
            </w:r>
          </w:p>
        </w:tc>
      </w:tr>
      <w:tr w14:paraId="0C915870">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6D744E5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1ED5B6F">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9D97B4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175B375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21672208">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参照《复印机、打印机和传真机能效限定值及能效等级》（GB21521中打印速度为15页/分的针式打印机相关要求中打印速度为15页/分的针式打印机相关要求</w:t>
            </w:r>
          </w:p>
        </w:tc>
      </w:tr>
      <w:tr w14:paraId="4A40E36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EFA77C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29D13AB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5AC69E9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0BF5A2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7F26CB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《投影机能效限定值及能效等级》（GB32028）</w:t>
            </w:r>
          </w:p>
        </w:tc>
      </w:tr>
      <w:tr w14:paraId="73C95AA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66087C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3045172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6596592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53E65401">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6317E5C">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《复印机、打印机和传真机能效限定值及能效等级》（GB21521）</w:t>
            </w:r>
          </w:p>
        </w:tc>
      </w:tr>
      <w:tr w14:paraId="79A639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EA77A3C">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4A0900E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56736A3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24BF905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410F57A">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《清水离心泵能效限定值及节能评价值》（GB19762）</w:t>
            </w:r>
          </w:p>
        </w:tc>
      </w:tr>
      <w:tr w14:paraId="6E23F34A">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78E707C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5223354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2BC02E6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06C1DD9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565DF8F0">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《冷水机组能效限定值及能效等级》（GB19577），《低环境温度空气源热泵（冷水）机组能效限定值及能效等级》（GB37480）</w:t>
            </w:r>
          </w:p>
        </w:tc>
      </w:tr>
      <w:tr w14:paraId="275576A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439517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5F85977">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38D0C76">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4523E9B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0DCA5CC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《水（地）源热泵机组能效限定值及能效等级》（GB30721）</w:t>
            </w:r>
          </w:p>
        </w:tc>
      </w:tr>
      <w:tr w14:paraId="00D376B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4B618B9">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8DF373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6551F4E">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5A9EB84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16100D1B">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《溴化锂吸收式冷水机组能效限定值及能效等级》（GB29540）</w:t>
            </w:r>
          </w:p>
        </w:tc>
      </w:tr>
      <w:tr w14:paraId="1C0A432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B7DFCE8">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B5C337D">
            <w:pPr>
              <w:widowControl/>
              <w:jc w:val="left"/>
              <w:rPr>
                <w:rFonts w:hint="eastAsia" w:ascii="仿宋" w:hAnsi="仿宋" w:eastAsia="仿宋" w:cs="仿宋"/>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5B30143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5E8502C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2FC7B8D3">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《多联式空调（热泵）机组能效限定值及能源效率等级》（GB21454）</w:t>
            </w:r>
          </w:p>
        </w:tc>
      </w:tr>
      <w:tr w14:paraId="6F43A90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0BF1A77">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E672544">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60D79F7">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2E0CF7E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428E7C4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《单元式空气调节机能效限定值及能效等级》（GB19576）《风管送风式空调机组能效限定值及能效等级》（GB37479）</w:t>
            </w:r>
          </w:p>
        </w:tc>
      </w:tr>
      <w:tr w14:paraId="0A83F82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1B96D6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1A7EBCE">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720E0551">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1EEED93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4C0F859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《单元式空气调节机能效限定值及能效等级》（GB19576）</w:t>
            </w:r>
          </w:p>
        </w:tc>
      </w:tr>
      <w:tr w14:paraId="01F2989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3D48A6D">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BCF344B">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715D9A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0C4C465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653373E9">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《机械通风冷却塔第1部分：中小型开式冷却塔》（GB/T7190.1）；《机械通风冷却塔第2部分：大型开式冷却塔》（GB/T7190.2）</w:t>
            </w:r>
          </w:p>
        </w:tc>
      </w:tr>
      <w:tr w14:paraId="4CF6F0A2">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52D4EF1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7</w:t>
            </w:r>
          </w:p>
        </w:tc>
        <w:tc>
          <w:tcPr>
            <w:tcW w:w="1080" w:type="dxa"/>
            <w:tcBorders>
              <w:top w:val="single" w:color="000000" w:sz="8" w:space="0"/>
              <w:left w:val="single" w:color="000000" w:sz="8" w:space="0"/>
              <w:bottom w:val="single" w:color="000000" w:sz="8" w:space="0"/>
              <w:right w:val="single" w:color="000000" w:sz="8" w:space="0"/>
            </w:tcBorders>
            <w:vAlign w:val="center"/>
          </w:tcPr>
          <w:p w14:paraId="4DE5001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A020601电机</w:t>
            </w:r>
          </w:p>
        </w:tc>
        <w:tc>
          <w:tcPr>
            <w:tcW w:w="1320" w:type="dxa"/>
            <w:tcBorders>
              <w:top w:val="single" w:color="000000" w:sz="8" w:space="0"/>
              <w:left w:val="single" w:color="000000" w:sz="8" w:space="0"/>
              <w:bottom w:val="single" w:color="000000" w:sz="8" w:space="0"/>
              <w:right w:val="single" w:color="000000" w:sz="8" w:space="0"/>
            </w:tcBorders>
            <w:vAlign w:val="center"/>
          </w:tcPr>
          <w:p w14:paraId="6541BF8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265CC4C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4FF6DFDD">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《中小型三相异步电动机能效限定值及能效等级》（GB18613）</w:t>
            </w:r>
          </w:p>
        </w:tc>
      </w:tr>
      <w:tr w14:paraId="0445589F">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387A5E6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8</w:t>
            </w:r>
          </w:p>
        </w:tc>
        <w:tc>
          <w:tcPr>
            <w:tcW w:w="1080" w:type="dxa"/>
            <w:tcBorders>
              <w:top w:val="single" w:color="000000" w:sz="8" w:space="0"/>
              <w:left w:val="nil"/>
              <w:bottom w:val="single" w:color="000000" w:sz="8" w:space="0"/>
              <w:right w:val="single" w:color="000000" w:sz="8" w:space="0"/>
            </w:tcBorders>
            <w:vAlign w:val="center"/>
          </w:tcPr>
          <w:p w14:paraId="4984704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A020602变压器</w:t>
            </w:r>
          </w:p>
        </w:tc>
        <w:tc>
          <w:tcPr>
            <w:tcW w:w="1320" w:type="dxa"/>
            <w:tcBorders>
              <w:top w:val="single" w:color="000000" w:sz="8" w:space="0"/>
              <w:left w:val="nil"/>
              <w:bottom w:val="single" w:color="000000" w:sz="8" w:space="0"/>
              <w:right w:val="single" w:color="000000" w:sz="8" w:space="0"/>
            </w:tcBorders>
            <w:vAlign w:val="center"/>
          </w:tcPr>
          <w:p w14:paraId="78D546D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配电变压器</w:t>
            </w:r>
          </w:p>
        </w:tc>
        <w:tc>
          <w:tcPr>
            <w:tcW w:w="1620" w:type="dxa"/>
            <w:tcBorders>
              <w:top w:val="single" w:color="000000" w:sz="8" w:space="0"/>
              <w:left w:val="nil"/>
              <w:bottom w:val="single" w:color="000000" w:sz="8" w:space="0"/>
              <w:right w:val="single" w:color="000000" w:sz="8" w:space="0"/>
            </w:tcBorders>
            <w:vAlign w:val="center"/>
          </w:tcPr>
          <w:p w14:paraId="290B6C2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nil"/>
              <w:bottom w:val="single" w:color="000000" w:sz="8" w:space="0"/>
              <w:right w:val="single" w:color="000000" w:sz="8" w:space="0"/>
            </w:tcBorders>
            <w:vAlign w:val="center"/>
          </w:tcPr>
          <w:p w14:paraId="36415ACE">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《三相配电变压器能效限定值及能效等级》（GB20052）</w:t>
            </w:r>
          </w:p>
        </w:tc>
      </w:tr>
      <w:tr w14:paraId="669F1DE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3657FA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17E0580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149EF81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31A1410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247C6B7">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《管形荧光灯镇流器能效限定值及能效等级》（GB17896）</w:t>
            </w:r>
          </w:p>
        </w:tc>
      </w:tr>
      <w:tr w14:paraId="39549F5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14B862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49657DF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559DA49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1BBF83C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D2F441C">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《家用电冰箱耗电量限定值及能效等级》（GB 12021.2）</w:t>
            </w:r>
          </w:p>
        </w:tc>
      </w:tr>
      <w:tr w14:paraId="18E98F2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E71BD25">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C722DE6">
            <w:pPr>
              <w:widowControl/>
              <w:jc w:val="left"/>
              <w:rPr>
                <w:rFonts w:hint="eastAsia" w:ascii="仿宋" w:hAnsi="仿宋" w:eastAsia="仿宋" w:cs="仿宋"/>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7357BB5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07BA593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12FD426A">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《转速可控型房间空气调节器能效限定值及能效等级》（GB21455-2013），待2019年修订发布后，按《房间空气调节器能效限定值及能效等级》（GB21455-2019实施。</w:t>
            </w:r>
          </w:p>
        </w:tc>
      </w:tr>
      <w:tr w14:paraId="21ED000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325E9A4">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08118EF">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3A6794B">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4487FE7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3039513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《多联式空调（热泵）机组能效限定值及能源效率等级》（GB21454）</w:t>
            </w:r>
          </w:p>
        </w:tc>
      </w:tr>
      <w:tr w14:paraId="5D678F0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C27A32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7A9E98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C6FBC67">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359B7A4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28AF0535">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《单元式空气调节机能效限定值及能源效率等级》（GB19576）《风管送风式空调机组能效限定值及能效等级》（GB37479）</w:t>
            </w:r>
          </w:p>
        </w:tc>
      </w:tr>
      <w:tr w14:paraId="0A222BB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8E7ECE4">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477DABF">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50F84C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5F66041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7B79D80">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《电动洗衣机能效水效限定值及等级》（GB12021.4）</w:t>
            </w:r>
          </w:p>
        </w:tc>
      </w:tr>
      <w:tr w14:paraId="69F8A01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BF3DAC1">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51BFEB2">
            <w:pPr>
              <w:widowControl/>
              <w:jc w:val="left"/>
              <w:rPr>
                <w:rFonts w:hint="eastAsia" w:ascii="仿宋" w:hAnsi="仿宋" w:eastAsia="仿宋" w:cs="仿宋"/>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0E06D1A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36A6999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305FE59E">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《储水式电热水器能效限定值及能效等级》（GB21519）</w:t>
            </w:r>
          </w:p>
        </w:tc>
      </w:tr>
      <w:tr w14:paraId="5CD6E0E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223377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C140CFA">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8429B81">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3E5475A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4933A1E6">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《家用燃气快速热水器和燃气采暖热水炉能效限定值及能效等级》（GB20665）</w:t>
            </w:r>
          </w:p>
        </w:tc>
      </w:tr>
      <w:tr w14:paraId="3C03660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A7ECA6C">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D28562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F7E8DA7">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350D3E4C">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581BC28C">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《热泵热水机（器）能效限定值及能效等级》（GB29541）</w:t>
            </w:r>
          </w:p>
        </w:tc>
      </w:tr>
      <w:tr w14:paraId="454B97D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96CF27A">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39F226B">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AF80C28">
            <w:pPr>
              <w:widowControl/>
              <w:jc w:val="left"/>
              <w:rPr>
                <w:rFonts w:hint="eastAsia" w:ascii="仿宋" w:hAnsi="仿宋" w:eastAsia="仿宋" w:cs="仿宋"/>
                <w:color w:val="auto"/>
                <w:kern w:val="0"/>
                <w:sz w:val="20"/>
                <w:szCs w:val="20"/>
              </w:rPr>
            </w:pPr>
          </w:p>
        </w:tc>
        <w:tc>
          <w:tcPr>
            <w:tcW w:w="1620" w:type="dxa"/>
            <w:tcBorders>
              <w:top w:val="nil"/>
              <w:left w:val="nil"/>
              <w:bottom w:val="single" w:color="000000" w:sz="8" w:space="0"/>
              <w:right w:val="single" w:color="000000" w:sz="8" w:space="0"/>
            </w:tcBorders>
            <w:vAlign w:val="center"/>
          </w:tcPr>
          <w:p w14:paraId="78F7379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3F1C8C9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《家用太阳能热水系统能效限定值及能效等级》（GB26969）</w:t>
            </w:r>
          </w:p>
        </w:tc>
      </w:tr>
      <w:tr w14:paraId="6009604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00CD20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06E2E00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48B8C22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72FC813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BF4F935">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《普通照明用双端荧光灯能效限定值及能效等级》（GB19043）</w:t>
            </w:r>
          </w:p>
        </w:tc>
      </w:tr>
      <w:tr w14:paraId="3A236CE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2C0B2C7">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59774B5">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6E64F34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31D50AF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5124D1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《道路和隧道照明用LED灯具能效限定值及能效等级》（GB37478）</w:t>
            </w:r>
          </w:p>
        </w:tc>
      </w:tr>
      <w:tr w14:paraId="1C2BCC5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C14B632">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19EA0CA">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7D8B2C5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5F30DFF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10D095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《室内照明用LED产品能效限定值及能效等级》（GB30255）</w:t>
            </w:r>
          </w:p>
        </w:tc>
      </w:tr>
      <w:tr w14:paraId="5667A35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74BAE2D">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D65DC80">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17C8E06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1055E1A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9BF994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《室内照明用LED产品能效限定值及能效等级》（GB30255）</w:t>
            </w:r>
          </w:p>
        </w:tc>
      </w:tr>
      <w:tr w14:paraId="79EBD4C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0F30292">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65B6886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269CEBA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6D0963F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C4E10EB">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《平板电视能效限定值及能效等级》（GB24850）</w:t>
            </w:r>
          </w:p>
        </w:tc>
      </w:tr>
      <w:tr w14:paraId="74714CE0">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674E7BC1">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48EE946C">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03C0D00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16F83E8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4C83B987">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9D4943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99F2F9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2AF1F51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1F5484D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087A08C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CAE67E5">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《商用燃气灶具能效限定值及能效等级》（GB30531）</w:t>
            </w:r>
          </w:p>
        </w:tc>
      </w:tr>
      <w:tr w14:paraId="73B22B51">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B4785A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11E053C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65FAE4E3">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652BD25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D3274A8">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《坐便器水效限定值及水效等级》（GB25502）</w:t>
            </w:r>
          </w:p>
        </w:tc>
      </w:tr>
      <w:tr w14:paraId="1765E8F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534BDE9">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366544F">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27BD2B2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1F2E13F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5C0FAE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《蹲便器用水效率限定值及用水效率等级》（GB30717）</w:t>
            </w:r>
          </w:p>
        </w:tc>
      </w:tr>
      <w:tr w14:paraId="4DD0F48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BA6903D">
            <w:pPr>
              <w:widowControl/>
              <w:jc w:val="left"/>
              <w:rPr>
                <w:rFonts w:hint="eastAsia" w:ascii="仿宋" w:hAnsi="仿宋" w:eastAsia="仿宋" w:cs="仿宋"/>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FF84574">
            <w:pPr>
              <w:widowControl/>
              <w:jc w:val="left"/>
              <w:rPr>
                <w:rFonts w:hint="eastAsia" w:ascii="仿宋" w:hAnsi="仿宋" w:eastAsia="仿宋" w:cs="仿宋"/>
                <w:color w:val="auto"/>
                <w:kern w:val="0"/>
                <w:sz w:val="20"/>
                <w:szCs w:val="20"/>
              </w:rPr>
            </w:pPr>
          </w:p>
        </w:tc>
        <w:tc>
          <w:tcPr>
            <w:tcW w:w="1320" w:type="dxa"/>
            <w:tcBorders>
              <w:top w:val="nil"/>
              <w:left w:val="nil"/>
              <w:bottom w:val="single" w:color="000000" w:sz="8" w:space="0"/>
              <w:right w:val="single" w:color="000000" w:sz="8" w:space="0"/>
            </w:tcBorders>
            <w:vAlign w:val="center"/>
          </w:tcPr>
          <w:p w14:paraId="728D766A">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3804A35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4FB0A90">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《小便器用水效率限定值及用水效率等级》（GB28377）</w:t>
            </w:r>
          </w:p>
        </w:tc>
      </w:tr>
      <w:tr w14:paraId="31B7532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440C98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248164D8">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1306698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80BC06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5E01CA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《水嘴用水效率限定值及用水效率等级》（GB 25501）</w:t>
            </w:r>
          </w:p>
        </w:tc>
      </w:tr>
      <w:tr w14:paraId="68A38F9C">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60FD28ED">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17</w:t>
            </w:r>
          </w:p>
        </w:tc>
        <w:tc>
          <w:tcPr>
            <w:tcW w:w="1080" w:type="dxa"/>
            <w:tcBorders>
              <w:top w:val="single" w:color="000000" w:sz="8" w:space="0"/>
              <w:left w:val="single" w:color="000000" w:sz="8" w:space="0"/>
              <w:bottom w:val="single" w:color="000000" w:sz="8" w:space="0"/>
              <w:right w:val="single" w:color="000000" w:sz="8" w:space="0"/>
            </w:tcBorders>
            <w:vAlign w:val="center"/>
          </w:tcPr>
          <w:p w14:paraId="6B17E35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A060807便器冲洗阀</w:t>
            </w:r>
          </w:p>
        </w:tc>
        <w:tc>
          <w:tcPr>
            <w:tcW w:w="1320" w:type="dxa"/>
            <w:tcBorders>
              <w:top w:val="single" w:color="000000" w:sz="8" w:space="0"/>
              <w:left w:val="single" w:color="000000" w:sz="8" w:space="0"/>
              <w:bottom w:val="single" w:color="000000" w:sz="8" w:space="0"/>
              <w:right w:val="single" w:color="000000" w:sz="8" w:space="0"/>
            </w:tcBorders>
            <w:vAlign w:val="center"/>
          </w:tcPr>
          <w:p w14:paraId="0E785E64">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3AC9CC3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6AAC220F">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《便器冲洗阀用水效率限定值及用水效率等级》（GB28379）</w:t>
            </w:r>
          </w:p>
        </w:tc>
      </w:tr>
      <w:tr w14:paraId="281AD883">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65C93EAB">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1080" w:type="dxa"/>
            <w:tcBorders>
              <w:top w:val="single" w:color="000000" w:sz="8" w:space="0"/>
              <w:left w:val="nil"/>
              <w:bottom w:val="single" w:color="000000" w:sz="8" w:space="0"/>
              <w:right w:val="single" w:color="000000" w:sz="8" w:space="0"/>
            </w:tcBorders>
            <w:vAlign w:val="center"/>
          </w:tcPr>
          <w:p w14:paraId="74760EA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A060810淋浴器</w:t>
            </w:r>
          </w:p>
        </w:tc>
        <w:tc>
          <w:tcPr>
            <w:tcW w:w="1320" w:type="dxa"/>
            <w:tcBorders>
              <w:top w:val="single" w:color="000000" w:sz="8" w:space="0"/>
              <w:left w:val="nil"/>
              <w:bottom w:val="single" w:color="000000" w:sz="8" w:space="0"/>
              <w:right w:val="single" w:color="000000" w:sz="8" w:space="0"/>
            </w:tcBorders>
            <w:vAlign w:val="center"/>
          </w:tcPr>
          <w:p w14:paraId="701CB8B0">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20" w:type="dxa"/>
            <w:tcBorders>
              <w:top w:val="single" w:color="000000" w:sz="8" w:space="0"/>
              <w:left w:val="nil"/>
              <w:bottom w:val="single" w:color="000000" w:sz="8" w:space="0"/>
              <w:right w:val="single" w:color="000000" w:sz="8" w:space="0"/>
            </w:tcBorders>
            <w:vAlign w:val="center"/>
          </w:tcPr>
          <w:p w14:paraId="18E635B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4540" w:type="dxa"/>
            <w:tcBorders>
              <w:top w:val="single" w:color="000000" w:sz="8" w:space="0"/>
              <w:left w:val="nil"/>
              <w:bottom w:val="single" w:color="000000" w:sz="8" w:space="0"/>
              <w:right w:val="single" w:color="000000" w:sz="8" w:space="0"/>
            </w:tcBorders>
            <w:vAlign w:val="center"/>
          </w:tcPr>
          <w:p w14:paraId="52A892F6">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《淋浴器用水效率限定值及用水效率等级》（GB28378）</w:t>
            </w:r>
          </w:p>
        </w:tc>
      </w:tr>
    </w:tbl>
    <w:p w14:paraId="28F0D7B5">
      <w:pPr>
        <w:pStyle w:val="18"/>
        <w:spacing w:line="360" w:lineRule="auto"/>
        <w:rPr>
          <w:rFonts w:hint="eastAsia" w:ascii="仿宋" w:hAnsi="仿宋" w:eastAsia="仿宋" w:cs="仿宋"/>
          <w:color w:val="auto"/>
          <w:spacing w:val="-3"/>
          <w:szCs w:val="21"/>
        </w:rPr>
      </w:pPr>
    </w:p>
    <w:p w14:paraId="3A90047C">
      <w:pPr>
        <w:pStyle w:val="18"/>
        <w:spacing w:line="360" w:lineRule="auto"/>
        <w:rPr>
          <w:rFonts w:hint="eastAsia" w:ascii="仿宋" w:hAnsi="仿宋" w:eastAsia="仿宋" w:cs="仿宋"/>
          <w:color w:val="auto"/>
          <w:szCs w:val="21"/>
        </w:rPr>
      </w:pPr>
      <w:r>
        <w:rPr>
          <w:rFonts w:hint="eastAsia" w:ascii="仿宋" w:hAnsi="仿宋" w:eastAsia="仿宋" w:cs="仿宋"/>
          <w:color w:val="auto"/>
          <w:spacing w:val="-3"/>
          <w:szCs w:val="21"/>
        </w:rPr>
        <w:t>注：1.节能产品认证应依据相关国家标准的最新版本，依据国家标准中二级能效（水效）</w:t>
      </w:r>
      <w:r>
        <w:rPr>
          <w:rFonts w:hint="eastAsia" w:ascii="仿宋" w:hAnsi="仿宋" w:eastAsia="仿宋" w:cs="仿宋"/>
          <w:color w:val="auto"/>
          <w:szCs w:val="21"/>
        </w:rPr>
        <w:t>指标。</w:t>
      </w:r>
    </w:p>
    <w:p w14:paraId="4208D8B2">
      <w:pPr>
        <w:pStyle w:val="18"/>
        <w:spacing w:line="360" w:lineRule="auto"/>
        <w:rPr>
          <w:rFonts w:hint="eastAsia" w:ascii="仿宋" w:hAnsi="仿宋" w:eastAsia="仿宋" w:cs="仿宋"/>
          <w:b/>
          <w:bCs/>
          <w:color w:val="auto"/>
          <w:szCs w:val="21"/>
        </w:rPr>
      </w:pPr>
      <w:r>
        <w:rPr>
          <w:rFonts w:hint="eastAsia" w:ascii="仿宋" w:hAnsi="仿宋" w:eastAsia="仿宋" w:cs="仿宋"/>
          <w:color w:val="auto"/>
          <w:szCs w:val="21"/>
        </w:rPr>
        <w:t xml:space="preserve">    2</w:t>
      </w:r>
      <w:r>
        <w:rPr>
          <w:rFonts w:hint="eastAsia" w:ascii="仿宋" w:hAnsi="仿宋" w:eastAsia="仿宋" w:cs="仿宋"/>
          <w:b/>
          <w:bCs/>
          <w:color w:val="auto"/>
          <w:szCs w:val="21"/>
        </w:rPr>
        <w:t>.以“★”标注的为政府强制采购产品。</w:t>
      </w:r>
    </w:p>
    <w:p w14:paraId="686E01B9">
      <w:pPr>
        <w:spacing w:line="440" w:lineRule="exact"/>
        <w:ind w:left="-10" w:leftChars="-5" w:right="2" w:rightChars="1" w:firstLine="420" w:firstLineChars="200"/>
        <w:rPr>
          <w:rFonts w:hint="eastAsia" w:ascii="仿宋" w:hAnsi="仿宋" w:eastAsia="仿宋" w:cs="仿宋"/>
          <w:color w:val="auto"/>
        </w:rPr>
      </w:pPr>
    </w:p>
    <w:p w14:paraId="5F4506F9">
      <w:pPr>
        <w:spacing w:line="440" w:lineRule="exact"/>
        <w:ind w:left="-10" w:leftChars="-5" w:right="2" w:rightChars="1" w:firstLine="420" w:firstLineChars="200"/>
        <w:rPr>
          <w:rFonts w:hint="eastAsia" w:ascii="仿宋" w:hAnsi="仿宋" w:eastAsia="仿宋" w:cs="仿宋"/>
          <w:color w:val="auto"/>
        </w:rPr>
      </w:pPr>
    </w:p>
    <w:bookmarkEnd w:id="48"/>
    <w:p w14:paraId="76296674">
      <w:pPr>
        <w:spacing w:line="360" w:lineRule="auto"/>
        <w:ind w:firstLine="308" w:firstLineChars="147"/>
        <w:jc w:val="left"/>
        <w:rPr>
          <w:rFonts w:hint="eastAsia" w:ascii="仿宋" w:hAnsi="仿宋" w:eastAsia="仿宋" w:cs="仿宋"/>
          <w:bCs/>
          <w:color w:val="auto"/>
          <w:szCs w:val="21"/>
          <w:u w:val="single"/>
        </w:rPr>
      </w:pPr>
    </w:p>
    <w:bookmarkEnd w:id="46"/>
    <w:bookmarkEnd w:id="47"/>
    <w:p w14:paraId="2D4C74D7">
      <w:pPr>
        <w:spacing w:line="428" w:lineRule="exact"/>
        <w:rPr>
          <w:rFonts w:hint="eastAsia" w:ascii="仿宋" w:hAnsi="仿宋" w:eastAsia="仿宋" w:cs="仿宋"/>
          <w:color w:val="auto"/>
        </w:rPr>
      </w:pPr>
    </w:p>
    <w:p w14:paraId="692B29F4">
      <w:pPr>
        <w:spacing w:line="428" w:lineRule="exact"/>
        <w:rPr>
          <w:rFonts w:hint="eastAsia" w:ascii="仿宋" w:hAnsi="仿宋" w:eastAsia="仿宋" w:cs="仿宋"/>
          <w:color w:val="auto"/>
        </w:rPr>
      </w:pPr>
    </w:p>
    <w:p w14:paraId="37F56B47">
      <w:pPr>
        <w:spacing w:line="360" w:lineRule="auto"/>
        <w:ind w:firstLine="525" w:firstLineChars="250"/>
        <w:rPr>
          <w:rFonts w:hint="eastAsia" w:ascii="仿宋" w:hAnsi="仿宋" w:eastAsia="仿宋" w:cs="仿宋"/>
          <w:color w:val="auto"/>
          <w:sz w:val="20"/>
          <w:szCs w:val="20"/>
        </w:rPr>
      </w:pPr>
      <w:r>
        <w:rPr>
          <w:rFonts w:hint="eastAsia" w:ascii="仿宋" w:hAnsi="仿宋" w:eastAsia="仿宋" w:cs="仿宋"/>
          <w:color w:val="auto"/>
        </w:rPr>
        <w:br w:type="page"/>
      </w:r>
    </w:p>
    <w:p w14:paraId="5D216360">
      <w:pPr>
        <w:pStyle w:val="2"/>
        <w:jc w:val="center"/>
        <w:rPr>
          <w:rFonts w:hint="eastAsia" w:ascii="仿宋" w:hAnsi="仿宋" w:eastAsia="仿宋" w:cs="仿宋"/>
          <w:color w:val="auto"/>
        </w:rPr>
      </w:pPr>
      <w:bookmarkStart w:id="51" w:name="_Toc74320802"/>
      <w:r>
        <w:rPr>
          <w:rFonts w:hint="eastAsia" w:ascii="仿宋" w:hAnsi="仿宋" w:eastAsia="仿宋" w:cs="仿宋"/>
          <w:color w:val="auto"/>
        </w:rPr>
        <w:t>第三章  投标人须知</w:t>
      </w:r>
      <w:bookmarkEnd w:id="51"/>
    </w:p>
    <w:p w14:paraId="64EE38E2">
      <w:pPr>
        <w:jc w:val="center"/>
        <w:rPr>
          <w:rFonts w:hint="eastAsia" w:ascii="仿宋" w:hAnsi="仿宋" w:eastAsia="仿宋" w:cs="仿宋"/>
          <w:color w:val="auto"/>
          <w:sz w:val="36"/>
          <w:szCs w:val="36"/>
        </w:rPr>
      </w:pPr>
      <w:bookmarkStart w:id="52" w:name="_Toc254970526"/>
      <w:bookmarkStart w:id="53" w:name="_Toc254970667"/>
      <w:r>
        <w:rPr>
          <w:rFonts w:hint="eastAsia" w:ascii="仿宋" w:hAnsi="仿宋" w:eastAsia="仿宋" w:cs="仿宋"/>
          <w:color w:val="auto"/>
          <w:sz w:val="36"/>
          <w:szCs w:val="36"/>
        </w:rPr>
        <w:t>投标人须知前附表</w:t>
      </w:r>
      <w:bookmarkEnd w:id="52"/>
      <w:bookmarkEnd w:id="53"/>
    </w:p>
    <w:p w14:paraId="22091C3B">
      <w:pPr>
        <w:jc w:val="center"/>
        <w:rPr>
          <w:rFonts w:hint="eastAsia" w:ascii="仿宋" w:hAnsi="仿宋" w:eastAsia="仿宋" w:cs="仿宋"/>
          <w:color w:val="auto"/>
          <w:sz w:val="36"/>
          <w:szCs w:val="36"/>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21553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28CCD03">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7EA1D429">
            <w:pPr>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编列内容</w:t>
            </w:r>
          </w:p>
        </w:tc>
      </w:tr>
      <w:tr w14:paraId="09298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CE41F7">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6FC58FC6">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投标人的资格要求：详见招标公告。</w:t>
            </w:r>
          </w:p>
        </w:tc>
      </w:tr>
      <w:tr w14:paraId="62329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824A2A4">
            <w:pPr>
              <w:spacing w:line="400" w:lineRule="exact"/>
              <w:jc w:val="center"/>
              <w:rPr>
                <w:rFonts w:hint="eastAsia" w:ascii="仿宋" w:hAnsi="仿宋" w:eastAsia="仿宋" w:cs="仿宋"/>
                <w:color w:val="auto"/>
                <w:szCs w:val="21"/>
              </w:rPr>
            </w:pPr>
            <w:bookmarkStart w:id="54" w:name="_9.2"/>
            <w:bookmarkEnd w:id="54"/>
            <w:bookmarkStart w:id="55" w:name="_8.1"/>
            <w:bookmarkEnd w:id="55"/>
            <w:bookmarkStart w:id="56" w:name="_5"/>
            <w:bookmarkEnd w:id="56"/>
            <w:r>
              <w:rPr>
                <w:rFonts w:hint="eastAsia" w:ascii="仿宋" w:hAnsi="仿宋" w:eastAsia="仿宋" w:cs="仿宋"/>
                <w:color w:val="auto"/>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508039B4">
            <w:pPr>
              <w:pStyle w:val="16"/>
              <w:spacing w:line="400" w:lineRule="exact"/>
              <w:rPr>
                <w:rFonts w:hint="eastAsia" w:ascii="仿宋" w:hAnsi="仿宋" w:eastAsia="仿宋" w:cs="仿宋"/>
                <w:color w:val="auto"/>
                <w:szCs w:val="21"/>
              </w:rPr>
            </w:pPr>
            <w:r>
              <w:rPr>
                <w:rFonts w:hint="eastAsia" w:ascii="仿宋" w:hAnsi="仿宋" w:eastAsia="仿宋" w:cs="仿宋"/>
                <w:color w:val="auto"/>
                <w:szCs w:val="21"/>
              </w:rPr>
              <w:t>本项目是否接受联合体投标：详见招标公告。</w:t>
            </w:r>
          </w:p>
        </w:tc>
      </w:tr>
      <w:tr w14:paraId="0ADE8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C5ECE5">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61DE396">
            <w:pPr>
              <w:autoSpaceDE w:val="0"/>
              <w:autoSpaceDN w:val="0"/>
              <w:snapToGrid w:val="0"/>
              <w:spacing w:line="400" w:lineRule="exact"/>
              <w:textAlignment w:val="bottom"/>
              <w:rPr>
                <w:rFonts w:hint="eastAsia" w:ascii="仿宋" w:hAnsi="仿宋" w:eastAsia="仿宋" w:cs="仿宋"/>
                <w:color w:val="auto"/>
                <w:szCs w:val="21"/>
              </w:rPr>
            </w:pPr>
            <w:bookmarkStart w:id="57" w:name="_Hlk54105293"/>
            <w:r>
              <w:rPr>
                <w:rFonts w:hint="eastAsia" w:ascii="仿宋" w:hAnsi="仿宋" w:eastAsia="仿宋" w:cs="仿宋"/>
                <w:color w:val="auto"/>
                <w:szCs w:val="21"/>
              </w:rPr>
              <w:t>如接受联合体投标，</w:t>
            </w:r>
            <w:bookmarkEnd w:id="57"/>
            <w:r>
              <w:rPr>
                <w:rFonts w:hint="eastAsia" w:ascii="仿宋" w:hAnsi="仿宋" w:eastAsia="仿宋" w:cs="仿宋"/>
                <w:color w:val="auto"/>
                <w:szCs w:val="21"/>
              </w:rPr>
              <w:t>联合体投标要求如下：</w:t>
            </w:r>
          </w:p>
          <w:p w14:paraId="63B0B586">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1、两个以上供应商可以组成一个投标联合体，以一个投标人的身份共同参加投标，联合体投标人的名称应统一按“XXX 公司与 XXX 公司的联合体”的规则填写。</w:t>
            </w:r>
            <w:r>
              <w:rPr>
                <w:rFonts w:hint="eastAsia" w:ascii="仿宋" w:hAnsi="仿宋" w:eastAsia="仿宋" w:cs="仿宋"/>
                <w:color w:val="auto"/>
                <w:szCs w:val="21"/>
              </w:rPr>
              <w:tab/>
            </w:r>
          </w:p>
          <w:p w14:paraId="0D30D330">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2522956E">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s="仿宋"/>
                <w:color w:val="auto"/>
                <w:szCs w:val="21"/>
              </w:rPr>
              <w:tab/>
            </w:r>
          </w:p>
          <w:p w14:paraId="3ACB7142">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4、以联合体形式参加政府采购活动的，联合体各方不得再单独参加或者与其他投标人另外组成联合体参加同一合同项下的政府采购活动，否则与之相关的投标文件作废。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s="仿宋"/>
                <w:color w:val="auto"/>
                <w:szCs w:val="21"/>
              </w:rPr>
              <w:tab/>
            </w:r>
            <w:r>
              <w:rPr>
                <w:rFonts w:hint="eastAsia" w:ascii="仿宋" w:hAnsi="仿宋" w:eastAsia="仿宋" w:cs="仿宋"/>
                <w:color w:val="auto"/>
                <w:szCs w:val="21"/>
              </w:rPr>
              <w:tab/>
            </w:r>
          </w:p>
          <w:p w14:paraId="29C4B1B7">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5、联合体中有同类资质的投标人按照联合体分工承担相同工作的，应当按照资质等级较低的投标人确定资质等级。</w:t>
            </w:r>
            <w:r>
              <w:rPr>
                <w:rFonts w:hint="eastAsia" w:ascii="仿宋" w:hAnsi="仿宋" w:eastAsia="仿宋" w:cs="仿宋"/>
                <w:color w:val="auto"/>
                <w:szCs w:val="21"/>
              </w:rPr>
              <w:tab/>
            </w:r>
            <w:r>
              <w:rPr>
                <w:rFonts w:hint="eastAsia" w:ascii="仿宋" w:hAnsi="仿宋" w:eastAsia="仿宋" w:cs="仿宋"/>
                <w:color w:val="auto"/>
                <w:szCs w:val="21"/>
              </w:rPr>
              <w:tab/>
            </w:r>
          </w:p>
          <w:p w14:paraId="79E290EB">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6、联合体投标业绩、履约能力按照联合体各方其中较高的一方认定并计算（招标文件另有规定的除外）。</w:t>
            </w:r>
            <w:r>
              <w:rPr>
                <w:rFonts w:hint="eastAsia" w:ascii="仿宋" w:hAnsi="仿宋" w:eastAsia="仿宋" w:cs="仿宋"/>
                <w:color w:val="auto"/>
                <w:szCs w:val="21"/>
              </w:rPr>
              <w:tab/>
            </w:r>
            <w:r>
              <w:rPr>
                <w:rFonts w:hint="eastAsia" w:ascii="仿宋" w:hAnsi="仿宋" w:eastAsia="仿宋" w:cs="仿宋"/>
                <w:color w:val="auto"/>
                <w:szCs w:val="21"/>
              </w:rPr>
              <w:tab/>
            </w:r>
            <w:r>
              <w:rPr>
                <w:rFonts w:hint="eastAsia" w:ascii="仿宋" w:hAnsi="仿宋" w:eastAsia="仿宋" w:cs="仿宋"/>
                <w:color w:val="auto"/>
                <w:szCs w:val="21"/>
              </w:rPr>
              <w:tab/>
            </w:r>
          </w:p>
          <w:p w14:paraId="03DE869A">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7、联合体各方均应按照招标文件的规定提交资格证明文件。</w:t>
            </w:r>
          </w:p>
        </w:tc>
      </w:tr>
      <w:tr w14:paraId="05DA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C3E575">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17467A9F">
            <w:pPr>
              <w:pStyle w:val="16"/>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本项目不允许分包。</w:t>
            </w:r>
          </w:p>
        </w:tc>
      </w:tr>
      <w:tr w14:paraId="51E56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95" w:type="dxa"/>
            <w:vMerge w:val="restart"/>
            <w:tcBorders>
              <w:top w:val="single" w:color="auto" w:sz="4" w:space="0"/>
              <w:left w:val="single" w:color="auto" w:sz="4" w:space="0"/>
              <w:right w:val="single" w:color="auto" w:sz="4" w:space="0"/>
            </w:tcBorders>
            <w:vAlign w:val="center"/>
          </w:tcPr>
          <w:p w14:paraId="36E9B50D">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3ED37968">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本项目组织现场考察，考察时间</w:t>
            </w:r>
            <w:r>
              <w:rPr>
                <w:rFonts w:hint="eastAsia" w:ascii="仿宋" w:hAnsi="仿宋" w:eastAsia="仿宋" w:cs="仿宋"/>
                <w:color w:val="auto"/>
                <w:szCs w:val="21"/>
                <w:highlight w:val="none"/>
              </w:rPr>
              <w:t>2025年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日</w:t>
            </w:r>
            <w:r>
              <w:rPr>
                <w:rFonts w:hint="eastAsia" w:ascii="仿宋" w:hAnsi="仿宋" w:eastAsia="仿宋" w:cs="仿宋"/>
                <w:color w:val="auto"/>
                <w:szCs w:val="21"/>
              </w:rPr>
              <w:t>9点30分至11点，供应商自行决定是否参加考察，联系人：韦文潮 0771-2802163。</w:t>
            </w:r>
          </w:p>
        </w:tc>
      </w:tr>
      <w:tr w14:paraId="0BFD8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95" w:type="dxa"/>
            <w:vMerge w:val="continue"/>
            <w:tcBorders>
              <w:left w:val="single" w:color="auto" w:sz="4" w:space="0"/>
              <w:bottom w:val="single" w:color="auto" w:sz="4" w:space="0"/>
              <w:right w:val="single" w:color="auto" w:sz="4" w:space="0"/>
            </w:tcBorders>
            <w:vAlign w:val="center"/>
          </w:tcPr>
          <w:p w14:paraId="67E4BE59">
            <w:pPr>
              <w:spacing w:line="400" w:lineRule="exact"/>
              <w:jc w:val="center"/>
              <w:rPr>
                <w:rFonts w:hint="eastAsia" w:ascii="仿宋" w:hAnsi="仿宋" w:eastAsia="仿宋" w:cs="仿宋"/>
                <w:color w:val="auto"/>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4D6738DE">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本项目不组织召开开标前答疑会</w:t>
            </w:r>
          </w:p>
        </w:tc>
      </w:tr>
      <w:tr w14:paraId="48082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797757D">
            <w:pPr>
              <w:spacing w:line="400" w:lineRule="exact"/>
              <w:jc w:val="center"/>
              <w:rPr>
                <w:rFonts w:hint="eastAsia" w:ascii="仿宋" w:hAnsi="仿宋" w:eastAsia="仿宋" w:cs="仿宋"/>
                <w:color w:val="auto"/>
                <w:szCs w:val="21"/>
              </w:rPr>
            </w:pPr>
            <w:bookmarkStart w:id="58" w:name="_13.1"/>
            <w:bookmarkEnd w:id="58"/>
            <w:r>
              <w:rPr>
                <w:rFonts w:hint="eastAsia" w:ascii="仿宋" w:hAnsi="仿宋" w:eastAsia="仿宋" w:cs="仿宋"/>
                <w:color w:val="auto"/>
                <w:szCs w:val="21"/>
              </w:rPr>
              <w:t>13.</w:t>
            </w:r>
            <w:bookmarkStart w:id="59" w:name="_Hlt19632543"/>
            <w:r>
              <w:rPr>
                <w:rFonts w:hint="eastAsia" w:ascii="仿宋" w:hAnsi="仿宋" w:eastAsia="仿宋" w:cs="仿宋"/>
                <w:color w:val="auto"/>
                <w:szCs w:val="21"/>
              </w:rPr>
              <w:t>1</w:t>
            </w:r>
            <w:bookmarkEnd w:id="59"/>
          </w:p>
        </w:tc>
        <w:tc>
          <w:tcPr>
            <w:tcW w:w="8708" w:type="dxa"/>
            <w:tcBorders>
              <w:top w:val="single" w:color="auto" w:sz="4" w:space="0"/>
              <w:left w:val="single" w:color="auto" w:sz="4" w:space="0"/>
              <w:bottom w:val="single" w:color="auto" w:sz="4" w:space="0"/>
              <w:right w:val="single" w:color="auto" w:sz="4" w:space="0"/>
            </w:tcBorders>
            <w:vAlign w:val="center"/>
          </w:tcPr>
          <w:p w14:paraId="2882F1C3">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报价文件：</w:t>
            </w:r>
          </w:p>
          <w:p w14:paraId="428185E7">
            <w:pPr>
              <w:tabs>
                <w:tab w:val="left" w:pos="459"/>
              </w:tabs>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1、投标函（格式后附）；</w:t>
            </w:r>
            <w:r>
              <w:rPr>
                <w:rFonts w:hint="eastAsia" w:ascii="仿宋" w:hAnsi="仿宋" w:eastAsia="仿宋" w:cs="仿宋"/>
                <w:b/>
                <w:color w:val="auto"/>
                <w:szCs w:val="21"/>
              </w:rPr>
              <w:t>（必须提供，否则按无效投标处理）</w:t>
            </w:r>
          </w:p>
          <w:p w14:paraId="7DFAD45E">
            <w:pPr>
              <w:tabs>
                <w:tab w:val="left" w:pos="459"/>
              </w:tabs>
              <w:snapToGrid w:val="0"/>
              <w:spacing w:line="400" w:lineRule="exact"/>
              <w:jc w:val="left"/>
              <w:rPr>
                <w:rFonts w:hint="eastAsia" w:ascii="仿宋" w:hAnsi="仿宋" w:eastAsia="仿宋" w:cs="仿宋"/>
                <w:color w:val="auto"/>
                <w:szCs w:val="21"/>
              </w:rPr>
            </w:pPr>
            <w:bookmarkStart w:id="60" w:name="_Hlk71299233"/>
            <w:r>
              <w:rPr>
                <w:rFonts w:hint="eastAsia" w:ascii="仿宋" w:hAnsi="仿宋" w:eastAsia="仿宋" w:cs="仿宋"/>
                <w:color w:val="auto"/>
                <w:szCs w:val="21"/>
              </w:rPr>
              <w:t>2、开标一览表</w:t>
            </w:r>
            <w:bookmarkEnd w:id="60"/>
            <w:r>
              <w:rPr>
                <w:rFonts w:hint="eastAsia" w:ascii="仿宋" w:hAnsi="仿宋" w:eastAsia="仿宋" w:cs="仿宋"/>
                <w:color w:val="auto"/>
                <w:szCs w:val="21"/>
              </w:rPr>
              <w:t>（格式后附）；（</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1AB2181B">
            <w:pPr>
              <w:tabs>
                <w:tab w:val="left" w:pos="459"/>
              </w:tabs>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3、投标人针对报价需要说明的其他文件和说明（格式自拟）。</w:t>
            </w:r>
          </w:p>
          <w:p w14:paraId="3D538453">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b/>
                <w:bCs/>
                <w:color w:val="auto"/>
                <w:szCs w:val="21"/>
              </w:rPr>
              <w:t>注：投标函、开标一览表必须由法定代表人或者委托代理人在规定签章处逐一签字并加盖投标人公章，否则按无效投标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6B5B6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BC1132A">
            <w:pPr>
              <w:spacing w:line="400" w:lineRule="exact"/>
              <w:rPr>
                <w:rFonts w:hint="eastAsia" w:ascii="仿宋" w:hAnsi="仿宋" w:eastAsia="仿宋" w:cs="仿宋"/>
                <w:color w:val="auto"/>
                <w:szCs w:val="21"/>
              </w:rPr>
            </w:pPr>
            <w:bookmarkStart w:id="61" w:name="_13.2"/>
            <w:bookmarkEnd w:id="61"/>
          </w:p>
        </w:tc>
        <w:tc>
          <w:tcPr>
            <w:tcW w:w="8708" w:type="dxa"/>
            <w:tcBorders>
              <w:top w:val="single" w:color="auto" w:sz="4" w:space="0"/>
              <w:left w:val="single" w:color="auto" w:sz="4" w:space="0"/>
              <w:bottom w:val="single" w:color="auto" w:sz="4" w:space="0"/>
              <w:right w:val="single" w:color="auto" w:sz="4" w:space="0"/>
            </w:tcBorders>
            <w:vAlign w:val="center"/>
          </w:tcPr>
          <w:p w14:paraId="39091B4F">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资格证明文件：</w:t>
            </w:r>
          </w:p>
          <w:p w14:paraId="2D6972A7">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color w:val="auto"/>
                <w:szCs w:val="21"/>
              </w:rPr>
              <w:t>（必须提供，否则按无效投标处理）</w:t>
            </w:r>
          </w:p>
          <w:p w14:paraId="4160390D">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2、投标人依法缴纳税收的相关材料（2024年9月至2025年5月期间连续3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仿宋" w:hAnsi="仿宋" w:eastAsia="仿宋" w:cs="仿宋"/>
                <w:b/>
                <w:color w:val="auto"/>
                <w:szCs w:val="21"/>
              </w:rPr>
              <w:t>（必须提供，否则按无效投标处理）</w:t>
            </w:r>
          </w:p>
          <w:p w14:paraId="23796D09">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3、投标人依法缴纳社会保障资金的相关材料[2024年9月至2025年5月期间连续3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仿宋" w:hAnsi="仿宋" w:eastAsia="仿宋" w:cs="仿宋"/>
                <w:b/>
                <w:color w:val="auto"/>
                <w:szCs w:val="21"/>
              </w:rPr>
              <w:t>（必须提供，否则按无效投标处理）</w:t>
            </w:r>
          </w:p>
          <w:p w14:paraId="0458A66C">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4、投标人财务状况报告（2023年度或2024年度财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仿宋" w:hAnsi="仿宋" w:eastAsia="仿宋" w:cs="仿宋"/>
                <w:b/>
                <w:color w:val="auto"/>
                <w:szCs w:val="21"/>
              </w:rPr>
              <w:t>（除自然人外必须提供，否则按无效投标处理）</w:t>
            </w:r>
          </w:p>
          <w:p w14:paraId="57F540E5">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5、投标人直接控股、管理关系信息表（格式后附）；</w:t>
            </w:r>
            <w:r>
              <w:rPr>
                <w:rFonts w:hint="eastAsia" w:ascii="仿宋" w:hAnsi="仿宋" w:eastAsia="仿宋" w:cs="仿宋"/>
                <w:b/>
                <w:color w:val="auto"/>
                <w:szCs w:val="21"/>
              </w:rPr>
              <w:t>（必须提供，否则按无效投标处理）</w:t>
            </w:r>
          </w:p>
          <w:p w14:paraId="76C76BDA">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6、投标声明（格式后附）；</w:t>
            </w:r>
            <w:r>
              <w:rPr>
                <w:rFonts w:hint="eastAsia" w:ascii="仿宋" w:hAnsi="仿宋" w:eastAsia="仿宋" w:cs="仿宋"/>
                <w:b/>
                <w:color w:val="auto"/>
                <w:szCs w:val="21"/>
              </w:rPr>
              <w:t>（必须提供，否则按无效投标处理）</w:t>
            </w:r>
          </w:p>
          <w:p w14:paraId="5B818227">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7、联合体协议书（格式后附）；</w:t>
            </w:r>
            <w:r>
              <w:rPr>
                <w:rFonts w:hint="eastAsia" w:ascii="仿宋" w:hAnsi="仿宋" w:eastAsia="仿宋" w:cs="仿宋"/>
                <w:b/>
                <w:color w:val="auto"/>
                <w:szCs w:val="21"/>
              </w:rPr>
              <w:t>（联合体投标时必须提供，否则按无效投标处理）</w:t>
            </w:r>
          </w:p>
          <w:p w14:paraId="126B0B08">
            <w:pPr>
              <w:autoSpaceDE w:val="0"/>
              <w:autoSpaceDN w:val="0"/>
              <w:snapToGrid w:val="0"/>
              <w:spacing w:line="400" w:lineRule="exact"/>
              <w:textAlignment w:val="bottom"/>
              <w:rPr>
                <w:rFonts w:hint="eastAsia" w:ascii="仿宋" w:hAnsi="仿宋" w:eastAsia="仿宋" w:cs="仿宋"/>
                <w:b/>
                <w:color w:val="auto"/>
                <w:szCs w:val="21"/>
              </w:rPr>
            </w:pPr>
            <w:r>
              <w:rPr>
                <w:rFonts w:hint="eastAsia" w:ascii="仿宋" w:hAnsi="仿宋" w:eastAsia="仿宋" w:cs="仿宋"/>
                <w:color w:val="auto"/>
                <w:szCs w:val="21"/>
              </w:rPr>
              <w:t>8、项目人员根据招标公告对应的特定资格要求设置投标人提供的资格证明材料：</w:t>
            </w:r>
            <w:r>
              <w:rPr>
                <w:rFonts w:hint="eastAsia" w:ascii="仿宋" w:hAnsi="仿宋" w:eastAsia="仿宋" w:cs="仿宋"/>
                <w:b/>
                <w:bCs/>
                <w:color w:val="auto"/>
                <w:szCs w:val="21"/>
                <w:lang w:val="en-US" w:eastAsia="zh-CN"/>
              </w:rPr>
              <w:t>无要求</w:t>
            </w:r>
            <w:r>
              <w:rPr>
                <w:rFonts w:hint="eastAsia" w:ascii="仿宋" w:hAnsi="仿宋" w:eastAsia="仿宋" w:cs="仿宋"/>
                <w:color w:val="auto"/>
                <w:szCs w:val="21"/>
              </w:rPr>
              <w:t>。</w:t>
            </w:r>
            <w:r>
              <w:rPr>
                <w:rFonts w:hint="eastAsia" w:ascii="仿宋" w:hAnsi="仿宋" w:eastAsia="仿宋" w:cs="仿宋"/>
                <w:b/>
                <w:color w:val="auto"/>
                <w:szCs w:val="21"/>
              </w:rPr>
              <w:t>（有要求时必须提供，否则按无效投标处理）</w:t>
            </w:r>
          </w:p>
          <w:p w14:paraId="2F92E4DC">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9、除招标文件规定必须提供以外，投标人认为需要提供的其他证明材料。</w:t>
            </w:r>
          </w:p>
          <w:p w14:paraId="3162932E">
            <w:pPr>
              <w:autoSpaceDE w:val="0"/>
              <w:autoSpaceDN w:val="0"/>
              <w:snapToGrid w:val="0"/>
              <w:spacing w:line="400" w:lineRule="exact"/>
              <w:textAlignment w:val="bottom"/>
              <w:rPr>
                <w:rFonts w:hint="eastAsia" w:ascii="仿宋" w:hAnsi="仿宋" w:eastAsia="仿宋" w:cs="仿宋"/>
                <w:color w:val="auto"/>
                <w:szCs w:val="21"/>
              </w:rPr>
            </w:pPr>
          </w:p>
          <w:p w14:paraId="2DB51B96">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注：</w:t>
            </w:r>
          </w:p>
          <w:p w14:paraId="17F01519">
            <w:pPr>
              <w:snapToGrid w:val="0"/>
              <w:spacing w:line="400" w:lineRule="exact"/>
              <w:ind w:firstLine="422" w:firstLineChars="200"/>
              <w:jc w:val="left"/>
              <w:rPr>
                <w:rFonts w:hint="eastAsia" w:ascii="仿宋" w:hAnsi="仿宋" w:eastAsia="仿宋" w:cs="仿宋"/>
                <w:b/>
                <w:color w:val="auto"/>
                <w:szCs w:val="21"/>
              </w:rPr>
            </w:pPr>
            <w:r>
              <w:rPr>
                <w:rFonts w:hint="eastAsia" w:ascii="仿宋" w:hAnsi="仿宋" w:eastAsia="仿宋" w:cs="仿宋"/>
                <w:b/>
                <w:bCs/>
                <w:color w:val="auto"/>
                <w:szCs w:val="21"/>
              </w:rPr>
              <w:t>1、以上标明“必须提供”的材料属于复印件的，必须加盖投标人公章，否则按无效投标</w:t>
            </w:r>
            <w:r>
              <w:rPr>
                <w:rFonts w:hint="eastAsia" w:ascii="仿宋" w:hAnsi="仿宋" w:eastAsia="仿宋" w:cs="仿宋"/>
                <w:b/>
                <w:color w:val="auto"/>
                <w:szCs w:val="21"/>
              </w:rPr>
              <w:t>处理。</w:t>
            </w:r>
          </w:p>
          <w:p w14:paraId="70661E1F">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color w:val="auto"/>
                <w:szCs w:val="21"/>
              </w:rPr>
              <w:t>2、</w:t>
            </w:r>
            <w:r>
              <w:rPr>
                <w:rFonts w:hint="eastAsia" w:ascii="仿宋" w:hAnsi="仿宋" w:eastAsia="仿宋" w:cs="仿宋"/>
                <w:b/>
                <w:bCs/>
                <w:color w:val="auto"/>
                <w:szCs w:val="21"/>
              </w:rPr>
              <w:t>投标声明必须由法定代表人在规定签章处签章并加盖投标人公章，否则按无效投标处理。</w:t>
            </w:r>
          </w:p>
          <w:p w14:paraId="189E7464">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3、投标人直接控股、管理关系信息表必须由法定代表人或者委托代理人在规定签章处签字并加盖投标人公章，否则按无效投标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p w14:paraId="11E3CDD0">
            <w:pPr>
              <w:snapToGrid w:val="0"/>
              <w:spacing w:line="40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4、联合体投标时，第1-5项资格证明文件联合体各方均必须分别提供，联合体各方分别盖章和签字，否则按无效投标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5CC2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BC5D85D">
            <w:pPr>
              <w:spacing w:line="400" w:lineRule="exact"/>
              <w:rPr>
                <w:rFonts w:hint="eastAsia" w:ascii="仿宋" w:hAnsi="仿宋" w:eastAsia="仿宋" w:cs="仿宋"/>
                <w:color w:val="auto"/>
                <w:szCs w:val="21"/>
              </w:rPr>
            </w:pPr>
            <w:bookmarkStart w:id="62" w:name="_13.3"/>
            <w:bookmarkEnd w:id="62"/>
          </w:p>
        </w:tc>
        <w:tc>
          <w:tcPr>
            <w:tcW w:w="8708" w:type="dxa"/>
            <w:tcBorders>
              <w:top w:val="single" w:color="auto" w:sz="4" w:space="0"/>
              <w:left w:val="single" w:color="auto" w:sz="4" w:space="0"/>
              <w:bottom w:val="single" w:color="auto" w:sz="4" w:space="0"/>
              <w:right w:val="single" w:color="auto" w:sz="4" w:space="0"/>
            </w:tcBorders>
            <w:vAlign w:val="center"/>
          </w:tcPr>
          <w:p w14:paraId="600A3E7A">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商务文件：</w:t>
            </w:r>
          </w:p>
          <w:p w14:paraId="040BAE3C">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1、无串通投标行为的承诺函（格式后附）；（</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4F27D417">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2、投标保证金提交凭证；（</w:t>
            </w:r>
            <w:r>
              <w:rPr>
                <w:rFonts w:hint="eastAsia" w:ascii="仿宋" w:hAnsi="仿宋" w:eastAsia="仿宋" w:cs="仿宋"/>
                <w:b/>
                <w:bCs/>
                <w:color w:val="auto"/>
              </w:rPr>
              <w:t>如要求提交投标保证金的则必须提供</w:t>
            </w:r>
            <w:r>
              <w:rPr>
                <w:rFonts w:hint="eastAsia" w:ascii="仿宋" w:hAnsi="仿宋" w:eastAsia="仿宋" w:cs="仿宋"/>
                <w:b/>
                <w:color w:val="auto"/>
                <w:szCs w:val="21"/>
              </w:rPr>
              <w:t>，否则按无效投标处理</w:t>
            </w:r>
            <w:r>
              <w:rPr>
                <w:rFonts w:hint="eastAsia" w:ascii="仿宋" w:hAnsi="仿宋" w:eastAsia="仿宋" w:cs="仿宋"/>
                <w:color w:val="auto"/>
                <w:szCs w:val="21"/>
              </w:rPr>
              <w:t>）</w:t>
            </w:r>
          </w:p>
          <w:p w14:paraId="46005B35">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3、法定代表人身份证明及法定代表人有效身份证正反面复印件（格式后附）；（</w:t>
            </w:r>
            <w:r>
              <w:rPr>
                <w:rFonts w:hint="eastAsia" w:ascii="仿宋" w:hAnsi="仿宋" w:eastAsia="仿宋" w:cs="仿宋"/>
                <w:b/>
                <w:bCs/>
                <w:color w:val="auto"/>
                <w:szCs w:val="21"/>
              </w:rPr>
              <w:t>除自然人投标外</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16B7ECD4">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4、授权委托书及委托代理人有效身份证正反面复印件（格式后附）；（</w:t>
            </w:r>
            <w:r>
              <w:rPr>
                <w:rFonts w:hint="eastAsia" w:ascii="仿宋" w:hAnsi="仿宋" w:eastAsia="仿宋" w:cs="仿宋"/>
                <w:b/>
                <w:color w:val="auto"/>
                <w:szCs w:val="21"/>
              </w:rPr>
              <w:t>委托时必须提供，否则按无效投标处理</w:t>
            </w:r>
            <w:r>
              <w:rPr>
                <w:rFonts w:hint="eastAsia" w:ascii="仿宋" w:hAnsi="仿宋" w:eastAsia="仿宋" w:cs="仿宋"/>
                <w:color w:val="auto"/>
                <w:szCs w:val="21"/>
              </w:rPr>
              <w:t>）</w:t>
            </w:r>
          </w:p>
          <w:p w14:paraId="29053C10">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5、商务要求偏离表（格式后附）；（</w:t>
            </w:r>
            <w:r>
              <w:rPr>
                <w:rFonts w:hint="eastAsia" w:ascii="仿宋" w:hAnsi="仿宋" w:eastAsia="仿宋" w:cs="仿宋"/>
                <w:b/>
                <w:color w:val="auto"/>
                <w:szCs w:val="21"/>
              </w:rPr>
              <w:t>必须提供，否则按无效投标处理</w:t>
            </w:r>
            <w:r>
              <w:rPr>
                <w:rFonts w:hint="eastAsia" w:ascii="仿宋" w:hAnsi="仿宋" w:eastAsia="仿宋" w:cs="仿宋"/>
                <w:color w:val="auto"/>
                <w:szCs w:val="21"/>
              </w:rPr>
              <w:t>）</w:t>
            </w:r>
          </w:p>
          <w:p w14:paraId="48DDEA62">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6、售后服务承诺方案（格式自拟）；</w:t>
            </w:r>
          </w:p>
          <w:p w14:paraId="047590C4">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7、投标人情况介绍（投标人业绩、企业实力、体系认证、研发能力等，格式自拟）；</w:t>
            </w:r>
          </w:p>
          <w:p w14:paraId="2D3F568B">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8、联合体协议书（格式后附）；（</w:t>
            </w:r>
            <w:r>
              <w:rPr>
                <w:rFonts w:hint="eastAsia" w:ascii="仿宋" w:hAnsi="仿宋" w:eastAsia="仿宋" w:cs="仿宋"/>
                <w:b/>
                <w:color w:val="auto"/>
                <w:szCs w:val="21"/>
              </w:rPr>
              <w:t>联合体投标时必须提供，否则按无效投标处理</w:t>
            </w:r>
            <w:r>
              <w:rPr>
                <w:rFonts w:hint="eastAsia" w:ascii="仿宋" w:hAnsi="仿宋" w:eastAsia="仿宋" w:cs="仿宋"/>
                <w:color w:val="auto"/>
                <w:szCs w:val="21"/>
              </w:rPr>
              <w:t>）</w:t>
            </w:r>
          </w:p>
          <w:p w14:paraId="71E7D3D5">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9、除招标文件规定必须提供以外，投标人认为需要提供的其他证明材料（格式自拟）。（投标人根据“第二章 采购需求”及“第四章 评标方法及评标标准”提供有关证明材料）。</w:t>
            </w:r>
          </w:p>
          <w:p w14:paraId="65B67B34">
            <w:pPr>
              <w:snapToGrid w:val="0"/>
              <w:spacing w:line="400" w:lineRule="exact"/>
              <w:ind w:firstLine="422" w:firstLineChars="200"/>
              <w:jc w:val="left"/>
              <w:rPr>
                <w:rFonts w:hint="eastAsia" w:ascii="仿宋" w:hAnsi="仿宋" w:eastAsia="仿宋" w:cs="仿宋"/>
                <w:b/>
                <w:bCs/>
                <w:color w:val="auto"/>
                <w:szCs w:val="21"/>
              </w:rPr>
            </w:pPr>
          </w:p>
          <w:p w14:paraId="24A1583A">
            <w:pPr>
              <w:snapToGrid w:val="0"/>
              <w:spacing w:line="400" w:lineRule="exact"/>
              <w:ind w:firstLine="422" w:firstLineChars="200"/>
              <w:jc w:val="left"/>
              <w:rPr>
                <w:rFonts w:hint="eastAsia" w:ascii="仿宋" w:hAnsi="仿宋" w:eastAsia="仿宋" w:cs="仿宋"/>
                <w:color w:val="auto"/>
                <w:szCs w:val="21"/>
              </w:rPr>
            </w:pPr>
            <w:r>
              <w:rPr>
                <w:rFonts w:hint="eastAsia" w:ascii="仿宋" w:hAnsi="仿宋" w:eastAsia="仿宋" w:cs="仿宋"/>
                <w:b/>
                <w:bCs/>
                <w:color w:val="auto"/>
                <w:szCs w:val="21"/>
              </w:rPr>
              <w:t>注：以上标明“必须提供”的材料属于复印件的，必须加盖投标人公章，否则按无效投标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1959F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2B562B24">
            <w:pPr>
              <w:spacing w:line="400" w:lineRule="exact"/>
              <w:rPr>
                <w:rFonts w:hint="eastAsia" w:ascii="仿宋" w:hAnsi="仿宋" w:eastAsia="仿宋" w:cs="仿宋"/>
                <w:color w:val="auto"/>
                <w:szCs w:val="21"/>
              </w:rPr>
            </w:pPr>
            <w:bookmarkStart w:id="63" w:name="_13.4"/>
            <w:bookmarkEnd w:id="63"/>
          </w:p>
        </w:tc>
        <w:tc>
          <w:tcPr>
            <w:tcW w:w="8708" w:type="dxa"/>
            <w:tcBorders>
              <w:top w:val="single" w:color="auto" w:sz="4" w:space="0"/>
              <w:left w:val="single" w:color="auto" w:sz="4" w:space="0"/>
              <w:bottom w:val="single" w:color="auto" w:sz="4" w:space="0"/>
              <w:right w:val="single" w:color="auto" w:sz="4" w:space="0"/>
            </w:tcBorders>
            <w:vAlign w:val="center"/>
          </w:tcPr>
          <w:p w14:paraId="23C1C26C">
            <w:pPr>
              <w:snapToGrid w:val="0"/>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技术文件：</w:t>
            </w:r>
          </w:p>
          <w:p w14:paraId="5B4C6181">
            <w:pPr>
              <w:snapToGrid w:val="0"/>
              <w:spacing w:line="400" w:lineRule="exact"/>
              <w:jc w:val="left"/>
              <w:rPr>
                <w:rFonts w:hint="eastAsia" w:ascii="仿宋" w:hAnsi="仿宋" w:eastAsia="仿宋" w:cs="仿宋"/>
                <w:b/>
                <w:bCs/>
                <w:color w:val="auto"/>
                <w:szCs w:val="21"/>
              </w:rPr>
            </w:pPr>
            <w:r>
              <w:rPr>
                <w:rFonts w:hint="eastAsia" w:ascii="仿宋" w:hAnsi="仿宋" w:eastAsia="仿宋" w:cs="仿宋"/>
                <w:color w:val="auto"/>
                <w:szCs w:val="21"/>
              </w:rPr>
              <w:t>1、技术要求偏离表（格式后附）；</w:t>
            </w:r>
            <w:r>
              <w:rPr>
                <w:rFonts w:hint="eastAsia" w:ascii="仿宋" w:hAnsi="仿宋" w:eastAsia="仿宋" w:cs="仿宋"/>
                <w:b/>
                <w:bCs/>
                <w:color w:val="auto"/>
                <w:szCs w:val="21"/>
              </w:rPr>
              <w:t>（必须提供，否则按无效投标处理）</w:t>
            </w:r>
          </w:p>
          <w:p w14:paraId="4DAE20EA">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2、设备性能配置清单（格式后附）；</w:t>
            </w:r>
          </w:p>
          <w:p w14:paraId="1C457B84">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3、技术方案【包括但不限于⑴展区布局方案方案；</w:t>
            </w:r>
            <w:r>
              <w:rPr>
                <w:rFonts w:hint="eastAsia" w:ascii="宋体" w:hAnsi="宋体" w:cs="宋体"/>
                <w:color w:val="auto"/>
                <w:szCs w:val="21"/>
              </w:rPr>
              <w:t>⑵</w:t>
            </w:r>
            <w:r>
              <w:rPr>
                <w:rFonts w:hint="eastAsia" w:ascii="仿宋" w:hAnsi="仿宋" w:eastAsia="仿宋" w:cs="仿宋"/>
                <w:color w:val="auto"/>
                <w:szCs w:val="21"/>
              </w:rPr>
              <w:t>项目成果；⑶项目实施方案；⑷附属开发项目内容成果等】；</w:t>
            </w:r>
          </w:p>
          <w:p w14:paraId="30A02EC7">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4、项目实施人员一览表（格式后附）；</w:t>
            </w:r>
          </w:p>
          <w:p w14:paraId="0C2F4823">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5、投标人对本项目的合理化建议和改进措施（格式自拟）；</w:t>
            </w:r>
          </w:p>
          <w:p w14:paraId="0CEF10E7">
            <w:pPr>
              <w:snapToGrid w:val="0"/>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6、除招标文件规定必须提供以外，投标人需要说明的其他文件和说明（格式自拟）。</w:t>
            </w:r>
          </w:p>
          <w:p w14:paraId="4A682B82">
            <w:pPr>
              <w:snapToGrid w:val="0"/>
              <w:spacing w:line="400" w:lineRule="exact"/>
              <w:ind w:firstLine="316" w:firstLineChars="150"/>
              <w:jc w:val="left"/>
              <w:rPr>
                <w:rFonts w:hint="eastAsia" w:ascii="仿宋" w:hAnsi="仿宋" w:eastAsia="仿宋" w:cs="仿宋"/>
                <w:b/>
                <w:bCs/>
                <w:color w:val="auto"/>
                <w:szCs w:val="21"/>
              </w:rPr>
            </w:pPr>
            <w:r>
              <w:rPr>
                <w:rFonts w:hint="eastAsia" w:ascii="仿宋" w:hAnsi="仿宋" w:eastAsia="仿宋" w:cs="仿宋"/>
                <w:b/>
                <w:bCs/>
                <w:color w:val="auto"/>
                <w:szCs w:val="21"/>
              </w:rPr>
              <w:t>注：以上标明“必须提供”的材料属于复印件的，必须加盖投标人公章，否则按无效投标</w:t>
            </w:r>
            <w:r>
              <w:rPr>
                <w:rFonts w:hint="eastAsia" w:ascii="仿宋" w:hAnsi="仿宋" w:eastAsia="仿宋" w:cs="仿宋"/>
                <w:b/>
                <w:color w:val="auto"/>
                <w:szCs w:val="21"/>
              </w:rPr>
              <w:t>处理</w:t>
            </w:r>
            <w:r>
              <w:rPr>
                <w:rFonts w:hint="eastAsia" w:ascii="仿宋" w:hAnsi="仿宋" w:eastAsia="仿宋" w:cs="仿宋"/>
                <w:b/>
                <w:bCs/>
                <w:color w:val="auto"/>
                <w:szCs w:val="21"/>
              </w:rPr>
              <w:t>。</w:t>
            </w:r>
          </w:p>
        </w:tc>
      </w:tr>
      <w:tr w14:paraId="1AB8C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CBB2D6A">
            <w:pPr>
              <w:spacing w:line="400" w:lineRule="exact"/>
              <w:jc w:val="center"/>
              <w:rPr>
                <w:rFonts w:hint="eastAsia" w:ascii="仿宋" w:hAnsi="仿宋" w:eastAsia="仿宋" w:cs="仿宋"/>
                <w:color w:val="auto"/>
                <w:szCs w:val="21"/>
              </w:rPr>
            </w:pPr>
            <w:bookmarkStart w:id="64" w:name="_16.2"/>
            <w:bookmarkEnd w:id="64"/>
            <w:bookmarkStart w:id="65" w:name="_13.5"/>
            <w:bookmarkEnd w:id="65"/>
            <w:r>
              <w:rPr>
                <w:rFonts w:hint="eastAsia" w:ascii="仿宋" w:hAnsi="仿宋" w:eastAsia="仿宋" w:cs="仿宋"/>
                <w:color w:val="auto"/>
                <w:szCs w:val="21"/>
              </w:rPr>
              <w:t>16</w:t>
            </w:r>
            <w:bookmarkStart w:id="66" w:name="_Hlt19693758"/>
            <w:bookmarkStart w:id="67" w:name="_Hlt19194067"/>
            <w:bookmarkStart w:id="68" w:name="_Hlt19194066"/>
            <w:bookmarkStart w:id="69" w:name="_Hlt19693759"/>
            <w:r>
              <w:rPr>
                <w:rFonts w:hint="eastAsia" w:ascii="仿宋" w:hAnsi="仿宋" w:eastAsia="仿宋" w:cs="仿宋"/>
                <w:color w:val="auto"/>
                <w:szCs w:val="21"/>
              </w:rPr>
              <w:t>.</w:t>
            </w:r>
            <w:bookmarkEnd w:id="66"/>
            <w:bookmarkEnd w:id="67"/>
            <w:bookmarkEnd w:id="68"/>
            <w:bookmarkEnd w:id="69"/>
            <w:r>
              <w:rPr>
                <w:rFonts w:hint="eastAsia" w:ascii="仿宋" w:hAnsi="仿宋" w:eastAsia="仿宋" w:cs="仿宋"/>
                <w:color w:val="auto"/>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23CA15F3">
            <w:pPr>
              <w:snapToGrid w:val="0"/>
              <w:spacing w:line="360" w:lineRule="auto"/>
              <w:rPr>
                <w:rFonts w:hint="eastAsia" w:ascii="仿宋" w:hAnsi="仿宋" w:eastAsia="仿宋" w:cs="仿宋"/>
                <w:b/>
                <w:color w:val="auto"/>
                <w:szCs w:val="21"/>
              </w:rPr>
            </w:pPr>
            <w:r>
              <w:rPr>
                <w:rFonts w:hint="eastAsia" w:ascii="仿宋" w:hAnsi="仿宋" w:eastAsia="仿宋" w:cs="仿宋"/>
                <w:color w:val="auto"/>
                <w:szCs w:val="21"/>
              </w:rPr>
              <w:t>投标报价是履行合同的最终价格，即满足全部采购需求所应提供的服务的价格；包括投标服务的成本、货物的成本（如有）、运输（含保险）（如有）、技术服务、培训、税费等所有费用。</w:t>
            </w:r>
            <w:r>
              <w:rPr>
                <w:rFonts w:hint="eastAsia" w:ascii="仿宋" w:hAnsi="仿宋" w:eastAsia="仿宋" w:cs="仿宋"/>
                <w:b/>
                <w:color w:val="auto"/>
                <w:szCs w:val="21"/>
              </w:rPr>
              <w:t>（采购需求另有约定的，从其约定。）</w:t>
            </w:r>
          </w:p>
        </w:tc>
      </w:tr>
      <w:tr w14:paraId="0B8D4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DDC53E1">
            <w:pPr>
              <w:spacing w:line="400" w:lineRule="exact"/>
              <w:jc w:val="center"/>
              <w:rPr>
                <w:rFonts w:hint="eastAsia" w:ascii="仿宋" w:hAnsi="仿宋" w:eastAsia="仿宋" w:cs="仿宋"/>
                <w:color w:val="auto"/>
                <w:szCs w:val="21"/>
              </w:rPr>
            </w:pPr>
            <w:bookmarkStart w:id="70" w:name="_17.1"/>
            <w:bookmarkEnd w:id="70"/>
            <w:r>
              <w:rPr>
                <w:rFonts w:hint="eastAsia" w:ascii="仿宋" w:hAnsi="仿宋" w:eastAsia="仿宋" w:cs="仿宋"/>
                <w:color w:val="auto"/>
                <w:szCs w:val="21"/>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488AAFF6">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投标有效期：投标截止之日起60天内。</w:t>
            </w:r>
          </w:p>
        </w:tc>
      </w:tr>
      <w:tr w14:paraId="432BC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5CF2BA7">
            <w:pPr>
              <w:spacing w:line="400" w:lineRule="exact"/>
              <w:jc w:val="center"/>
              <w:rPr>
                <w:rFonts w:hint="eastAsia" w:ascii="仿宋" w:hAnsi="仿宋" w:eastAsia="仿宋" w:cs="仿宋"/>
                <w:color w:val="auto"/>
                <w:szCs w:val="21"/>
              </w:rPr>
            </w:pPr>
            <w:bookmarkStart w:id="71" w:name="_18"/>
            <w:bookmarkEnd w:id="71"/>
            <w:r>
              <w:rPr>
                <w:rFonts w:hint="eastAsia" w:ascii="仿宋" w:hAnsi="仿宋" w:eastAsia="仿宋" w:cs="仿宋"/>
                <w:color w:val="auto"/>
                <w:szCs w:val="21"/>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37CA6F2C">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□本项目不收取投标保证金。</w:t>
            </w:r>
          </w:p>
          <w:p w14:paraId="6C17CC17">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☑本项目收取投标保证金，具体规定如下：</w:t>
            </w:r>
          </w:p>
          <w:p w14:paraId="67FD77C7">
            <w:pPr>
              <w:snapToGrid w:val="0"/>
              <w:spacing w:line="400" w:lineRule="exact"/>
              <w:rPr>
                <w:rFonts w:hint="eastAsia" w:ascii="仿宋" w:hAnsi="仿宋" w:eastAsia="仿宋" w:cs="仿宋"/>
                <w:color w:val="auto"/>
                <w:kern w:val="0"/>
                <w:szCs w:val="21"/>
              </w:rPr>
            </w:pPr>
            <w:r>
              <w:rPr>
                <w:rFonts w:hint="eastAsia" w:ascii="仿宋" w:hAnsi="仿宋" w:eastAsia="仿宋" w:cs="仿宋"/>
                <w:color w:val="auto"/>
                <w:kern w:val="0"/>
                <w:szCs w:val="21"/>
                <w:u w:val="single"/>
              </w:rPr>
              <w:t xml:space="preserve"> 1 </w:t>
            </w:r>
            <w:r>
              <w:rPr>
                <w:rFonts w:hint="eastAsia" w:ascii="仿宋" w:hAnsi="仿宋" w:eastAsia="仿宋" w:cs="仿宋"/>
                <w:color w:val="auto"/>
                <w:kern w:val="0"/>
                <w:szCs w:val="21"/>
              </w:rPr>
              <w:t>分标投标保证金人民币</w:t>
            </w:r>
            <w:r>
              <w:rPr>
                <w:rFonts w:hint="eastAsia" w:ascii="仿宋" w:hAnsi="仿宋" w:eastAsia="仿宋" w:cs="仿宋"/>
                <w:color w:val="auto"/>
                <w:kern w:val="0"/>
                <w:szCs w:val="21"/>
                <w:u w:val="single"/>
              </w:rPr>
              <w:t xml:space="preserve"> 70000.00</w:t>
            </w:r>
            <w:r>
              <w:rPr>
                <w:rFonts w:hint="eastAsia" w:ascii="仿宋" w:hAnsi="仿宋" w:eastAsia="仿宋" w:cs="仿宋"/>
                <w:color w:val="auto"/>
                <w:kern w:val="0"/>
                <w:szCs w:val="21"/>
              </w:rPr>
              <w:t>元；</w:t>
            </w:r>
          </w:p>
          <w:p w14:paraId="01E8FD04">
            <w:pPr>
              <w:snapToGrid w:val="0"/>
              <w:spacing w:line="400" w:lineRule="exact"/>
              <w:rPr>
                <w:rFonts w:hint="eastAsia" w:ascii="仿宋" w:hAnsi="仿宋" w:eastAsia="仿宋" w:cs="仿宋"/>
                <w:color w:val="auto"/>
                <w:szCs w:val="21"/>
              </w:rPr>
            </w:pPr>
            <w:r>
              <w:rPr>
                <w:rFonts w:hint="eastAsia" w:ascii="仿宋" w:hAnsi="仿宋" w:eastAsia="仿宋" w:cs="仿宋"/>
                <w:color w:val="auto"/>
                <w:kern w:val="0"/>
                <w:szCs w:val="21"/>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仿宋"/>
                <w:color w:val="auto"/>
                <w:szCs w:val="21"/>
              </w:rPr>
              <w:t>开户名称：广西科文招标有限公司，开户银行：广西北部湾银行南宁分行营业部，银行账号：0101012090615689</w:t>
            </w:r>
            <w:r>
              <w:rPr>
                <w:rFonts w:hint="eastAsia" w:ascii="仿宋" w:hAnsi="仿宋" w:eastAsia="仿宋" w:cs="仿宋"/>
                <w:color w:val="auto"/>
                <w:kern w:val="0"/>
                <w:szCs w:val="21"/>
              </w:rPr>
              <w:t>）；采用支票、汇票、本票或者保函等方式的，在投标截止时间前，投标人必须递交支票、汇票、本票或者保函原件。否则视为无效投标保证金。</w:t>
            </w:r>
          </w:p>
          <w:p w14:paraId="623F2F42">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相关要求：</w:t>
            </w:r>
          </w:p>
          <w:p w14:paraId="2D04E8A6">
            <w:pPr>
              <w:pStyle w:val="16"/>
              <w:spacing w:line="400" w:lineRule="exact"/>
              <w:rPr>
                <w:rFonts w:hint="eastAsia" w:ascii="仿宋" w:hAnsi="仿宋" w:eastAsia="仿宋" w:cs="仿宋"/>
                <w:color w:val="auto"/>
                <w:szCs w:val="21"/>
              </w:rPr>
            </w:pPr>
            <w:r>
              <w:rPr>
                <w:rFonts w:hint="eastAsia" w:ascii="仿宋" w:hAnsi="仿宋" w:eastAsia="仿宋" w:cs="仿宋"/>
                <w:color w:val="auto"/>
                <w:szCs w:val="21"/>
              </w:rPr>
              <w:t>1、投标保证金采用银行转账交纳方式的，在投标截止时间前交至指定账户并且到账，投标人应将银行转账底单的复印件作为投标保证金提交凭证，放置于商务文件中，</w:t>
            </w:r>
            <w:r>
              <w:rPr>
                <w:rFonts w:hint="eastAsia" w:ascii="仿宋" w:hAnsi="仿宋" w:eastAsia="仿宋" w:cs="仿宋"/>
                <w:b/>
                <w:color w:val="auto"/>
                <w:szCs w:val="21"/>
              </w:rPr>
              <w:t>否则投标无效</w:t>
            </w:r>
            <w:r>
              <w:rPr>
                <w:rFonts w:hint="eastAsia" w:ascii="仿宋" w:hAnsi="仿宋" w:eastAsia="仿宋" w:cs="仿宋"/>
                <w:color w:val="auto"/>
                <w:szCs w:val="21"/>
              </w:rPr>
              <w:t>。</w:t>
            </w:r>
          </w:p>
          <w:p w14:paraId="305DE17A">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cs="仿宋"/>
                <w:b/>
                <w:color w:val="auto"/>
                <w:szCs w:val="21"/>
              </w:rPr>
              <w:t>否则投标无效</w:t>
            </w:r>
            <w:r>
              <w:rPr>
                <w:rFonts w:hint="eastAsia" w:ascii="仿宋" w:hAnsi="仿宋" w:eastAsia="仿宋" w:cs="仿宋"/>
                <w:color w:val="auto"/>
                <w:szCs w:val="21"/>
              </w:rPr>
              <w:t>。</w:t>
            </w:r>
            <w:r>
              <w:rPr>
                <w:rFonts w:hint="eastAsia" w:ascii="仿宋" w:hAnsi="仿宋" w:eastAsia="仿宋" w:cs="仿宋"/>
                <w:b/>
                <w:color w:val="auto"/>
                <w:szCs w:val="21"/>
              </w:rPr>
              <w:t>投标人必须在投标截止时间前将支票、汇票、本票或者金融、担保机构出具的保函原件提交给采购代理机构，由采购代理机构向投标人出具回执，并妥善保管。</w:t>
            </w:r>
          </w:p>
          <w:p w14:paraId="1C9FCF8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3、投标人为联合体的，可以由联合体中的一方或者多方共同交纳投标保证金，其交纳的保证金对联合体各方均具有约束力。</w:t>
            </w:r>
          </w:p>
          <w:p w14:paraId="39E83499">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 xml:space="preserve">备注： </w:t>
            </w:r>
          </w:p>
          <w:p w14:paraId="1C3695EB">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1、投标保证金在投标截止时间后提交的，或者不按规定交纳方式交纳的，或者未足额交纳的（包含保函额度不足的），视为无效投标保证金。</w:t>
            </w:r>
          </w:p>
          <w:p w14:paraId="75222505">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2、投标人采用现钞方式或者从个人账户（自然人投标除外）转出的投标保证金，视为无效投标保证金。</w:t>
            </w:r>
          </w:p>
          <w:p w14:paraId="39F32A0D">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3、支票、汇票或者本票出现无效或者背书情形的，视为无效投标保证金。</w:t>
            </w:r>
          </w:p>
          <w:p w14:paraId="40A10AAA">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4、保函有效期低于投标有效期的，视为无效投标保证金。</w:t>
            </w:r>
          </w:p>
          <w:p w14:paraId="7D2302B5">
            <w:pPr>
              <w:snapToGrid w:val="0"/>
              <w:spacing w:line="400" w:lineRule="exact"/>
              <w:rPr>
                <w:rFonts w:hint="eastAsia" w:ascii="仿宋" w:hAnsi="仿宋" w:eastAsia="仿宋" w:cs="仿宋"/>
                <w:b/>
                <w:color w:val="auto"/>
                <w:szCs w:val="21"/>
              </w:rPr>
            </w:pPr>
            <w:r>
              <w:rPr>
                <w:rFonts w:hint="eastAsia" w:ascii="仿宋" w:hAnsi="仿宋" w:eastAsia="仿宋" w:cs="仿宋"/>
                <w:b/>
                <w:color w:val="auto"/>
                <w:szCs w:val="21"/>
              </w:rPr>
              <w:t>5、采用金融、担保机构出具保函的，必须为无条件保函，否则视为无效投标保证金。</w:t>
            </w:r>
          </w:p>
        </w:tc>
      </w:tr>
      <w:tr w14:paraId="28890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1E2B9F3">
            <w:pPr>
              <w:spacing w:line="400" w:lineRule="exact"/>
              <w:jc w:val="center"/>
              <w:rPr>
                <w:rFonts w:hint="eastAsia" w:ascii="仿宋" w:hAnsi="仿宋" w:eastAsia="仿宋" w:cs="仿宋"/>
                <w:color w:val="auto"/>
                <w:szCs w:val="21"/>
              </w:rPr>
            </w:pPr>
            <w:bookmarkStart w:id="72" w:name="_19.2"/>
            <w:bookmarkEnd w:id="72"/>
            <w:r>
              <w:rPr>
                <w:rFonts w:hint="eastAsia" w:ascii="仿宋" w:hAnsi="仿宋" w:eastAsia="仿宋" w:cs="仿宋"/>
                <w:color w:val="auto"/>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720442F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投标文件应按报价文件、资格证明文件、商务文件、技术文件分别编制，</w:t>
            </w:r>
            <w:r>
              <w:rPr>
                <w:rFonts w:hint="eastAsia" w:ascii="仿宋" w:hAnsi="仿宋" w:eastAsia="仿宋" w:cs="仿宋"/>
                <w:color w:val="auto"/>
                <w:szCs w:val="21"/>
                <w:lang w:bidi="ar"/>
              </w:rPr>
              <w:t>并按广西政府采购云平台的要求编制、加密、上传。</w:t>
            </w:r>
          </w:p>
        </w:tc>
      </w:tr>
      <w:tr w14:paraId="0BA6F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47D37C">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D88FEE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电子投标文件应在制作完成后，投标人应按广西政府采购云平台的要求进行加密，并在规定时间内解密，否则，由此产生的后果由投标人自行负责。</w:t>
            </w:r>
          </w:p>
        </w:tc>
      </w:tr>
      <w:tr w14:paraId="754C0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08B56BF">
            <w:pPr>
              <w:spacing w:line="400" w:lineRule="exact"/>
              <w:jc w:val="center"/>
              <w:rPr>
                <w:rFonts w:hint="eastAsia" w:ascii="仿宋" w:hAnsi="仿宋" w:eastAsia="仿宋" w:cs="仿宋"/>
                <w:color w:val="auto"/>
                <w:szCs w:val="21"/>
              </w:rPr>
            </w:pPr>
            <w:bookmarkStart w:id="73" w:name="_21.1"/>
            <w:bookmarkEnd w:id="73"/>
            <w:r>
              <w:rPr>
                <w:rFonts w:hint="eastAsia" w:ascii="仿宋" w:hAnsi="仿宋" w:eastAsia="仿宋" w:cs="仿宋"/>
                <w:color w:val="auto"/>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1C8BB2A8">
            <w:pPr>
              <w:snapToGrid w:val="0"/>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1、投标截止时间：详见招标公告</w:t>
            </w:r>
          </w:p>
          <w:p w14:paraId="3651A5A2">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2、投标地点：详见招标公告</w:t>
            </w:r>
          </w:p>
        </w:tc>
      </w:tr>
      <w:tr w14:paraId="7DD0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FAC035C">
            <w:pPr>
              <w:spacing w:line="400" w:lineRule="exact"/>
              <w:jc w:val="center"/>
              <w:rPr>
                <w:rFonts w:hint="eastAsia" w:ascii="仿宋" w:hAnsi="仿宋" w:eastAsia="仿宋" w:cs="仿宋"/>
                <w:color w:val="auto"/>
                <w:szCs w:val="21"/>
              </w:rPr>
            </w:pPr>
            <w:bookmarkStart w:id="74" w:name="_23"/>
            <w:bookmarkEnd w:id="74"/>
            <w:r>
              <w:rPr>
                <w:rFonts w:hint="eastAsia" w:ascii="仿宋" w:hAnsi="仿宋" w:eastAsia="仿宋" w:cs="仿宋"/>
                <w:color w:val="auto"/>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509E99F">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1、开标时间：详见招标公告</w:t>
            </w:r>
          </w:p>
          <w:p w14:paraId="68541C5A">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2、开标地点：详见招标公告</w:t>
            </w:r>
          </w:p>
        </w:tc>
      </w:tr>
      <w:tr w14:paraId="0BC97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4C7A0F3">
            <w:pPr>
              <w:spacing w:line="400" w:lineRule="exact"/>
              <w:jc w:val="center"/>
              <w:rPr>
                <w:rFonts w:hint="eastAsia" w:ascii="仿宋" w:hAnsi="仿宋" w:eastAsia="仿宋" w:cs="仿宋"/>
                <w:color w:val="auto"/>
                <w:szCs w:val="21"/>
              </w:rPr>
            </w:pPr>
            <w:r>
              <w:rPr>
                <w:rFonts w:hint="eastAsia" w:ascii="仿宋" w:hAnsi="仿宋" w:eastAsia="仿宋" w:cs="仿宋"/>
                <w:bCs/>
                <w:color w:val="auto"/>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397655E1">
            <w:pPr>
              <w:snapToGrid w:val="0"/>
              <w:spacing w:line="400" w:lineRule="exact"/>
              <w:rPr>
                <w:rFonts w:hint="eastAsia" w:ascii="仿宋" w:hAnsi="仿宋" w:eastAsia="仿宋" w:cs="仿宋"/>
                <w:color w:val="auto"/>
                <w:szCs w:val="21"/>
              </w:rPr>
            </w:pPr>
            <w:r>
              <w:rPr>
                <w:rFonts w:hint="eastAsia" w:ascii="仿宋" w:hAnsi="仿宋" w:eastAsia="仿宋" w:cs="仿宋"/>
                <w:bCs/>
                <w:color w:val="auto"/>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color w:val="auto"/>
                <w:szCs w:val="21"/>
              </w:rPr>
              <w:t>投标人的法定代表人或其委托代理人须携带加密时所用的CA锁准时登录到广西政府采购云平台电子开标大厅签到</w:t>
            </w:r>
            <w:r>
              <w:rPr>
                <w:rFonts w:hint="eastAsia" w:ascii="仿宋" w:hAnsi="仿宋" w:eastAsia="仿宋" w:cs="仿宋"/>
                <w:b/>
                <w:color w:val="auto"/>
                <w:szCs w:val="21"/>
              </w:rPr>
              <w:t>并在发起解密</w:t>
            </w:r>
            <w:r>
              <w:rPr>
                <w:rFonts w:hint="eastAsia" w:ascii="仿宋" w:hAnsi="仿宋" w:eastAsia="仿宋" w:cs="仿宋"/>
                <w:b/>
                <w:bCs/>
                <w:color w:val="auto"/>
                <w:szCs w:val="21"/>
              </w:rPr>
              <w:t>通知</w:t>
            </w:r>
            <w:r>
              <w:rPr>
                <w:rFonts w:hint="eastAsia" w:ascii="仿宋" w:hAnsi="仿宋" w:eastAsia="仿宋" w:cs="仿宋"/>
                <w:b/>
                <w:color w:val="auto"/>
                <w:szCs w:val="21"/>
              </w:rPr>
              <w:t>之时起30分钟内完成</w:t>
            </w:r>
            <w:r>
              <w:rPr>
                <w:rFonts w:hint="eastAsia" w:ascii="仿宋" w:hAnsi="仿宋" w:eastAsia="仿宋" w:cs="仿宋"/>
                <w:b/>
                <w:bCs/>
                <w:color w:val="auto"/>
                <w:szCs w:val="21"/>
              </w:rPr>
              <w:t>对电子投标文件解密。投标文件未按时解密的，视为无效投标。</w:t>
            </w:r>
          </w:p>
        </w:tc>
      </w:tr>
      <w:tr w14:paraId="54C0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D2B734">
            <w:pPr>
              <w:spacing w:line="400" w:lineRule="exact"/>
              <w:jc w:val="center"/>
              <w:rPr>
                <w:rFonts w:hint="eastAsia" w:ascii="仿宋" w:hAnsi="仿宋" w:eastAsia="仿宋" w:cs="仿宋"/>
                <w:color w:val="auto"/>
                <w:szCs w:val="21"/>
              </w:rPr>
            </w:pPr>
            <w:bookmarkStart w:id="75" w:name="_25.3"/>
            <w:bookmarkEnd w:id="75"/>
            <w:r>
              <w:rPr>
                <w:rFonts w:hint="eastAsia" w:ascii="仿宋" w:hAnsi="仿宋" w:eastAsia="仿宋" w:cs="仿宋"/>
                <w:color w:val="auto"/>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DCB19A8">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采购人或者采购代理机构在资格审查结束前，对投标人进行信用查询。</w:t>
            </w:r>
          </w:p>
          <w:p w14:paraId="23A44515">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54"/>
                <w:rFonts w:hint="eastAsia" w:ascii="仿宋" w:hAnsi="仿宋" w:eastAsia="仿宋" w:cs="仿宋"/>
                <w:color w:val="auto"/>
                <w:szCs w:val="21"/>
              </w:rPr>
              <w:t>www.ccgp.gov.cn</w:t>
            </w:r>
            <w:r>
              <w:rPr>
                <w:rStyle w:val="54"/>
                <w:rFonts w:hint="eastAsia" w:ascii="仿宋" w:hAnsi="仿宋" w:eastAsia="仿宋" w:cs="仿宋"/>
                <w:color w:val="auto"/>
                <w:szCs w:val="21"/>
              </w:rPr>
              <w:fldChar w:fldCharType="end"/>
            </w:r>
            <w:r>
              <w:rPr>
                <w:rFonts w:hint="eastAsia" w:ascii="仿宋" w:hAnsi="仿宋" w:eastAsia="仿宋" w:cs="仿宋"/>
                <w:color w:val="auto"/>
                <w:szCs w:val="21"/>
              </w:rPr>
              <w:t>）。</w:t>
            </w:r>
          </w:p>
          <w:p w14:paraId="6FFB04A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信用查询截止时点：资格审查结束前。</w:t>
            </w:r>
          </w:p>
          <w:p w14:paraId="0BED71B4">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查询记录和证据留存方式：将查询网站中的查询记录截图并作为评审资料保存。</w:t>
            </w:r>
          </w:p>
          <w:p w14:paraId="2F2FB85F">
            <w:pPr>
              <w:snapToGrid w:val="0"/>
              <w:spacing w:line="400" w:lineRule="exact"/>
              <w:rPr>
                <w:rFonts w:hint="eastAsia" w:ascii="仿宋" w:hAnsi="仿宋" w:eastAsia="仿宋" w:cs="仿宋"/>
                <w:b/>
                <w:color w:val="auto"/>
                <w:szCs w:val="21"/>
              </w:rPr>
            </w:pPr>
            <w:r>
              <w:rPr>
                <w:rFonts w:hint="eastAsia" w:ascii="仿宋" w:hAnsi="仿宋" w:eastAsia="仿宋" w:cs="仿宋"/>
                <w:color w:val="auto"/>
                <w:szCs w:val="21"/>
              </w:rPr>
              <w:t>信用信息使用规则：根据财政部《关于在政府采购活动中查询及使用信用记录有关问题的通知》（财库〔2016〕125号）的规定，</w:t>
            </w:r>
            <w:r>
              <w:rPr>
                <w:rFonts w:hint="eastAsia" w:ascii="仿宋" w:hAnsi="仿宋" w:eastAsia="仿宋" w:cs="仿宋"/>
                <w:color w:val="auto"/>
                <w:szCs w:val="21"/>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50428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3A81C5F">
            <w:pPr>
              <w:spacing w:line="400" w:lineRule="exact"/>
              <w:jc w:val="center"/>
              <w:rPr>
                <w:rFonts w:hint="eastAsia" w:ascii="仿宋" w:hAnsi="仿宋" w:eastAsia="仿宋" w:cs="仿宋"/>
                <w:color w:val="auto"/>
                <w:szCs w:val="21"/>
              </w:rPr>
            </w:pPr>
            <w:bookmarkStart w:id="76" w:name="_26"/>
            <w:bookmarkEnd w:id="76"/>
            <w:r>
              <w:rPr>
                <w:rFonts w:hint="eastAsia" w:ascii="仿宋" w:hAnsi="仿宋" w:eastAsia="仿宋" w:cs="仿宋"/>
                <w:color w:val="auto"/>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635508E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评标委员会的人数：5人</w:t>
            </w:r>
            <w:r>
              <w:rPr>
                <w:rFonts w:hint="eastAsia" w:ascii="仿宋" w:hAnsi="仿宋" w:eastAsia="仿宋" w:cs="仿宋"/>
                <w:color w:val="auto"/>
              </w:rPr>
              <w:t>。</w:t>
            </w:r>
            <w:r>
              <w:rPr>
                <w:rFonts w:hint="eastAsia" w:ascii="仿宋" w:hAnsi="仿宋" w:eastAsia="仿宋" w:cs="仿宋"/>
                <w:i/>
                <w:color w:val="auto"/>
              </w:rPr>
              <w:t>（采购项目符合下列情形之一的，评标委员会成员人数应当为7人以上单数：1.采购预算金额在1000万元以上；2.技术复杂；3.社会影响较大。）</w:t>
            </w:r>
          </w:p>
        </w:tc>
      </w:tr>
      <w:tr w14:paraId="78CE0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F0D567">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27</w:t>
            </w:r>
          </w:p>
        </w:tc>
        <w:tc>
          <w:tcPr>
            <w:tcW w:w="8708" w:type="dxa"/>
            <w:tcBorders>
              <w:top w:val="single" w:color="auto" w:sz="4" w:space="0"/>
              <w:left w:val="single" w:color="auto" w:sz="4" w:space="0"/>
              <w:bottom w:val="single" w:color="auto" w:sz="4" w:space="0"/>
              <w:right w:val="single" w:color="auto" w:sz="4" w:space="0"/>
            </w:tcBorders>
            <w:vAlign w:val="center"/>
          </w:tcPr>
          <w:p w14:paraId="69378BD5">
            <w:pPr>
              <w:snapToGrid w:val="0"/>
              <w:spacing w:line="400" w:lineRule="exact"/>
              <w:rPr>
                <w:rFonts w:hint="eastAsia" w:ascii="仿宋" w:hAnsi="仿宋" w:eastAsia="仿宋" w:cs="仿宋"/>
                <w:b/>
                <w:bCs/>
                <w:color w:val="auto"/>
                <w:szCs w:val="21"/>
              </w:rPr>
            </w:pPr>
            <w:r>
              <w:rPr>
                <w:rFonts w:hint="eastAsia" w:ascii="仿宋" w:hAnsi="仿宋" w:eastAsia="仿宋" w:cs="仿宋"/>
                <w:b/>
                <w:bCs/>
                <w:color w:val="auto"/>
                <w:szCs w:val="21"/>
              </w:rPr>
              <w:t>商务要求评审中允许负偏离的条款数为</w:t>
            </w:r>
            <w:r>
              <w:rPr>
                <w:rFonts w:hint="eastAsia" w:ascii="仿宋" w:hAnsi="仿宋" w:eastAsia="仿宋" w:cs="仿宋"/>
                <w:b/>
                <w:bCs/>
                <w:color w:val="auto"/>
                <w:szCs w:val="21"/>
                <w:u w:val="single"/>
              </w:rPr>
              <w:t xml:space="preserve"> 2 </w:t>
            </w:r>
            <w:r>
              <w:rPr>
                <w:rFonts w:hint="eastAsia" w:ascii="仿宋" w:hAnsi="仿宋" w:eastAsia="仿宋" w:cs="仿宋"/>
                <w:b/>
                <w:bCs/>
                <w:color w:val="auto"/>
                <w:szCs w:val="21"/>
              </w:rPr>
              <w:t>项。</w:t>
            </w:r>
          </w:p>
          <w:p w14:paraId="12FC6C28">
            <w:pPr>
              <w:autoSpaceDE w:val="0"/>
              <w:autoSpaceDN w:val="0"/>
              <w:snapToGrid w:val="0"/>
              <w:spacing w:line="400" w:lineRule="exact"/>
              <w:textAlignment w:val="bottom"/>
              <w:rPr>
                <w:rFonts w:hint="eastAsia" w:ascii="仿宋" w:hAnsi="仿宋" w:eastAsia="仿宋" w:cs="仿宋"/>
                <w:b/>
                <w:bCs/>
                <w:color w:val="auto"/>
                <w:szCs w:val="21"/>
              </w:rPr>
            </w:pPr>
            <w:r>
              <w:rPr>
                <w:rFonts w:hint="eastAsia" w:ascii="仿宋" w:hAnsi="仿宋" w:eastAsia="仿宋" w:cs="仿宋"/>
                <w:b/>
                <w:bCs/>
                <w:color w:val="auto"/>
                <w:szCs w:val="21"/>
              </w:rPr>
              <w:t>技术要求评审中允许负偏离的条款数为</w:t>
            </w:r>
            <w:r>
              <w:rPr>
                <w:rFonts w:hint="eastAsia" w:ascii="仿宋" w:hAnsi="仿宋" w:eastAsia="仿宋" w:cs="仿宋"/>
                <w:b/>
                <w:bCs/>
                <w:color w:val="auto"/>
                <w:szCs w:val="21"/>
                <w:u w:val="single"/>
              </w:rPr>
              <w:t xml:space="preserve"> 2 </w:t>
            </w:r>
            <w:r>
              <w:rPr>
                <w:rFonts w:hint="eastAsia" w:ascii="仿宋" w:hAnsi="仿宋" w:eastAsia="仿宋" w:cs="仿宋"/>
                <w:b/>
                <w:bCs/>
                <w:color w:val="auto"/>
                <w:szCs w:val="21"/>
              </w:rPr>
              <w:t>项。</w:t>
            </w:r>
          </w:p>
        </w:tc>
      </w:tr>
      <w:tr w14:paraId="4FA0A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2A5EC92">
            <w:pPr>
              <w:spacing w:line="400" w:lineRule="exact"/>
              <w:jc w:val="center"/>
              <w:rPr>
                <w:rFonts w:hint="eastAsia" w:ascii="仿宋" w:hAnsi="仿宋" w:eastAsia="仿宋" w:cs="仿宋"/>
                <w:color w:val="auto"/>
                <w:szCs w:val="21"/>
              </w:rPr>
            </w:pPr>
            <w:bookmarkStart w:id="77" w:name="_28.3"/>
            <w:bookmarkEnd w:id="77"/>
            <w:r>
              <w:rPr>
                <w:rFonts w:hint="eastAsia" w:ascii="仿宋" w:hAnsi="仿宋" w:eastAsia="仿宋" w:cs="仿宋"/>
                <w:color w:val="auto"/>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02714CEC">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评标方法：综合评分法</w:t>
            </w:r>
          </w:p>
        </w:tc>
      </w:tr>
      <w:tr w14:paraId="2E063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right w:val="single" w:color="auto" w:sz="4" w:space="0"/>
            </w:tcBorders>
            <w:vAlign w:val="center"/>
          </w:tcPr>
          <w:p w14:paraId="62865DC3">
            <w:pPr>
              <w:spacing w:line="400" w:lineRule="exact"/>
              <w:jc w:val="center"/>
              <w:rPr>
                <w:rFonts w:hint="eastAsia" w:ascii="仿宋" w:hAnsi="仿宋" w:eastAsia="仿宋" w:cs="仿宋"/>
                <w:color w:val="auto"/>
                <w:szCs w:val="21"/>
              </w:rPr>
            </w:pPr>
            <w:bookmarkStart w:id="78" w:name="_29.2.2（2）"/>
            <w:bookmarkEnd w:id="78"/>
            <w:r>
              <w:rPr>
                <w:rFonts w:hint="eastAsia" w:ascii="仿宋" w:hAnsi="仿宋" w:eastAsia="仿宋" w:cs="仿宋"/>
                <w:color w:val="auto"/>
                <w:szCs w:val="21"/>
              </w:rPr>
              <w:t>29.2</w:t>
            </w:r>
          </w:p>
        </w:tc>
        <w:tc>
          <w:tcPr>
            <w:tcW w:w="8708" w:type="dxa"/>
            <w:tcBorders>
              <w:top w:val="single" w:color="auto" w:sz="4" w:space="0"/>
              <w:left w:val="single" w:color="auto" w:sz="4" w:space="0"/>
              <w:right w:val="single" w:color="auto" w:sz="4" w:space="0"/>
            </w:tcBorders>
            <w:vAlign w:val="center"/>
          </w:tcPr>
          <w:p w14:paraId="57C7FB73">
            <w:pPr>
              <w:snapToGrid w:val="0"/>
              <w:spacing w:line="400" w:lineRule="exact"/>
              <w:rPr>
                <w:rFonts w:hint="eastAsia" w:ascii="仿宋" w:hAnsi="仿宋" w:eastAsia="仿宋" w:cs="仿宋"/>
                <w:color w:val="auto"/>
                <w:szCs w:val="21"/>
              </w:rPr>
            </w:pPr>
            <w:r>
              <w:rPr>
                <w:rFonts w:hint="eastAsia" w:ascii="仿宋" w:hAnsi="仿宋" w:eastAsia="仿宋" w:cs="仿宋"/>
                <w:color w:val="auto"/>
              </w:rPr>
              <w:t>中标候选人推荐数量：3家</w:t>
            </w:r>
          </w:p>
        </w:tc>
      </w:tr>
      <w:tr w14:paraId="4E58E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060E022">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5F834BF8">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采用综合评分法的采购项目，采购人确定中标人时，出现中标候选人并列的情形，采购人按以下的方式确定中标人：按综合评分中项目实施方案、质量控制措施、拟投入人员、仪器设备、信誉业绩得分高低依次确定。</w:t>
            </w:r>
          </w:p>
          <w:p w14:paraId="4B065E35">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7921E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4991DBA">
            <w:pPr>
              <w:spacing w:line="400" w:lineRule="exact"/>
              <w:jc w:val="center"/>
              <w:rPr>
                <w:rFonts w:hint="eastAsia" w:ascii="仿宋" w:hAnsi="仿宋" w:eastAsia="仿宋" w:cs="仿宋"/>
                <w:color w:val="auto"/>
                <w:szCs w:val="21"/>
              </w:rPr>
            </w:pPr>
            <w:bookmarkStart w:id="79" w:name="_39.1"/>
            <w:bookmarkEnd w:id="79"/>
            <w:r>
              <w:rPr>
                <w:rFonts w:hint="eastAsia" w:ascii="仿宋" w:hAnsi="仿宋" w:eastAsia="仿宋" w:cs="仿宋"/>
                <w:color w:val="auto"/>
                <w:szCs w:val="21"/>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41164C13">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□本项目不收取履约保证金。</w:t>
            </w:r>
          </w:p>
          <w:p w14:paraId="0F715723">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☑本项目收取履约保证金，具体规定如下：</w:t>
            </w:r>
          </w:p>
          <w:p w14:paraId="0A289237">
            <w:pPr>
              <w:pStyle w:val="16"/>
              <w:spacing w:line="400" w:lineRule="exact"/>
              <w:rPr>
                <w:rFonts w:hint="eastAsia" w:ascii="仿宋" w:hAnsi="仿宋" w:eastAsia="仿宋" w:cs="仿宋"/>
                <w:color w:val="auto"/>
                <w:szCs w:val="21"/>
              </w:rPr>
            </w:pPr>
            <w:r>
              <w:rPr>
                <w:rFonts w:hint="eastAsia" w:ascii="仿宋" w:hAnsi="仿宋" w:eastAsia="仿宋" w:cs="仿宋"/>
                <w:color w:val="auto"/>
                <w:szCs w:val="21"/>
              </w:rPr>
              <w:t>履约保证金金额：每分标按合同金额的</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%（注：供应商为中小企业的，履约保证金为</w:t>
            </w:r>
            <w:r>
              <w:rPr>
                <w:rFonts w:hint="eastAsia" w:ascii="仿宋" w:hAnsi="仿宋" w:eastAsia="仿宋" w:cs="仿宋"/>
                <w:color w:val="auto"/>
              </w:rPr>
              <w:t>政府采购合同金额的</w:t>
            </w:r>
            <w:r>
              <w:rPr>
                <w:rFonts w:hint="eastAsia" w:ascii="仿宋" w:hAnsi="仿宋" w:eastAsia="仿宋" w:cs="仿宋"/>
                <w:color w:val="auto"/>
                <w:szCs w:val="21"/>
              </w:rPr>
              <w:t>2%）。</w:t>
            </w:r>
          </w:p>
          <w:p w14:paraId="517DF9CF">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履约保证金递交方式：银行转账、支票、汇票、本票或者金融、担保机构出具的保函等非现金方式（参照投标保证金）</w:t>
            </w:r>
          </w:p>
          <w:p w14:paraId="68E54C05">
            <w:pPr>
              <w:autoSpaceDE w:val="0"/>
              <w:autoSpaceDN w:val="0"/>
              <w:snapToGrid w:val="0"/>
              <w:spacing w:line="400" w:lineRule="exact"/>
              <w:textAlignment w:val="bottom"/>
              <w:rPr>
                <w:rFonts w:hint="eastAsia" w:ascii="仿宋" w:hAnsi="仿宋" w:eastAsia="仿宋" w:cs="仿宋"/>
                <w:color w:val="auto"/>
                <w:szCs w:val="21"/>
                <w:u w:val="single"/>
              </w:rPr>
            </w:pPr>
            <w:r>
              <w:rPr>
                <w:rFonts w:hint="eastAsia" w:ascii="仿宋" w:hAnsi="仿宋" w:eastAsia="仿宋" w:cs="仿宋"/>
                <w:color w:val="auto"/>
                <w:szCs w:val="21"/>
              </w:rPr>
              <w:t>履约保证金退付方式、时间及条件：</w:t>
            </w:r>
            <w:r>
              <w:rPr>
                <w:rFonts w:hint="eastAsia" w:ascii="仿宋" w:hAnsi="仿宋" w:eastAsia="仿宋" w:cs="仿宋"/>
                <w:b/>
                <w:color w:val="auto"/>
                <w:szCs w:val="21"/>
                <w:u w:val="single"/>
              </w:rPr>
              <w:t>如：由中标人向履约保证金收取单位提供《广西壮族自治区政府采购项目合同验收书》（详见桂财采〔2015〕22号），保证金收取单位在收到合格材料后5个工作日内办理退还手续（不计利息）</w:t>
            </w:r>
            <w:r>
              <w:rPr>
                <w:rFonts w:hint="eastAsia" w:ascii="仿宋" w:hAnsi="仿宋" w:eastAsia="仿宋" w:cs="仿宋"/>
                <w:color w:val="auto"/>
                <w:szCs w:val="21"/>
              </w:rPr>
              <w:t>。</w:t>
            </w:r>
          </w:p>
          <w:p w14:paraId="3FA24325">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履约保证金指定账户：</w:t>
            </w:r>
          </w:p>
          <w:p w14:paraId="4EF6A86D">
            <w:pPr>
              <w:snapToGrid w:val="0"/>
              <w:spacing w:line="360" w:lineRule="auto"/>
              <w:rPr>
                <w:rFonts w:hint="eastAsia" w:ascii="仿宋" w:hAnsi="仿宋" w:eastAsia="仿宋" w:cs="仿宋"/>
                <w:color w:val="auto"/>
                <w:u w:val="single"/>
              </w:rPr>
            </w:pPr>
            <w:r>
              <w:rPr>
                <w:rFonts w:ascii="仿宋" w:hAnsi="仿宋" w:eastAsia="仿宋" w:cs="仿宋"/>
                <w:color w:val="auto"/>
                <w:u w:val="single"/>
              </w:rPr>
              <w:t>开户名称：</w:t>
            </w:r>
            <w:r>
              <w:rPr>
                <w:rFonts w:hint="eastAsia" w:ascii="仿宋" w:hAnsi="仿宋" w:eastAsia="仿宋" w:cs="仿宋"/>
                <w:color w:val="auto"/>
                <w:u w:val="single"/>
              </w:rPr>
              <w:t>广西壮族自治区科学技术馆（广西青少年科技中心）</w:t>
            </w:r>
            <w:r>
              <w:rPr>
                <w:rFonts w:ascii="仿宋" w:hAnsi="仿宋" w:eastAsia="仿宋" w:cs="仿宋"/>
                <w:color w:val="auto"/>
                <w:u w:val="single"/>
              </w:rPr>
              <w:br w:type="textWrapping"/>
            </w:r>
            <w:r>
              <w:rPr>
                <w:rFonts w:ascii="仿宋" w:hAnsi="仿宋" w:eastAsia="仿宋" w:cs="仿宋"/>
                <w:color w:val="auto"/>
                <w:u w:val="single"/>
              </w:rPr>
              <w:t>账    号：45001604256050501983</w:t>
            </w:r>
          </w:p>
          <w:p w14:paraId="67A82A19">
            <w:pPr>
              <w:snapToGrid w:val="0"/>
              <w:spacing w:line="360" w:lineRule="auto"/>
              <w:rPr>
                <w:rFonts w:hint="eastAsia" w:ascii="仿宋" w:hAnsi="仿宋" w:eastAsia="仿宋" w:cs="仿宋"/>
                <w:color w:val="auto"/>
                <w:u w:val="single"/>
              </w:rPr>
            </w:pPr>
            <w:r>
              <w:rPr>
                <w:rFonts w:ascii="仿宋" w:hAnsi="仿宋" w:eastAsia="仿宋" w:cs="仿宋"/>
                <w:color w:val="auto"/>
                <w:u w:val="single"/>
              </w:rPr>
              <w:t xml:space="preserve">开 户 行：建行南宁市邕州支行   </w:t>
            </w:r>
          </w:p>
          <w:p w14:paraId="3963EC61">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备注：</w:t>
            </w:r>
          </w:p>
          <w:p w14:paraId="49702346">
            <w:pPr>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1</w:t>
            </w:r>
            <w:bookmarkStart w:id="80" w:name="_Hlk54170335"/>
            <w:r>
              <w:rPr>
                <w:rFonts w:hint="eastAsia" w:ascii="仿宋" w:hAnsi="仿宋" w:eastAsia="仿宋" w:cs="仿宋"/>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0"/>
            <w:r>
              <w:rPr>
                <w:rFonts w:hint="eastAsia" w:ascii="仿宋" w:hAnsi="仿宋" w:eastAsia="仿宋" w:cs="仿宋"/>
                <w:color w:val="auto"/>
                <w:szCs w:val="21"/>
              </w:rPr>
              <w:br w:type="textWrapping"/>
            </w:r>
            <w:r>
              <w:rPr>
                <w:rFonts w:hint="eastAsia" w:ascii="仿宋" w:hAnsi="仿宋" w:eastAsia="仿宋" w:cs="仿宋"/>
                <w:b/>
                <w:color w:val="auto"/>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仿宋" w:hAnsi="仿宋" w:eastAsia="仿宋" w:cs="仿宋"/>
                <w:b/>
                <w:color w:val="auto"/>
                <w:szCs w:val="21"/>
              </w:rPr>
              <w:br w:type="textWrapping"/>
            </w:r>
            <w:r>
              <w:rPr>
                <w:rFonts w:hint="eastAsia" w:ascii="仿宋" w:hAnsi="仿宋" w:eastAsia="仿宋" w:cs="仿宋"/>
                <w:b/>
                <w:color w:val="auto"/>
                <w:szCs w:val="21"/>
              </w:rPr>
              <w:t>3、采用金融、担保机构出具的保函的，必须为无条件保函，否则不予签订合同。</w:t>
            </w:r>
          </w:p>
          <w:p w14:paraId="6E060CB1">
            <w:pPr>
              <w:spacing w:line="400" w:lineRule="exact"/>
              <w:jc w:val="left"/>
              <w:rPr>
                <w:rFonts w:hint="eastAsia" w:ascii="仿宋" w:hAnsi="仿宋" w:eastAsia="仿宋" w:cs="仿宋"/>
                <w:color w:val="auto"/>
                <w:kern w:val="0"/>
                <w:szCs w:val="21"/>
              </w:rPr>
            </w:pPr>
            <w:r>
              <w:rPr>
                <w:rFonts w:hint="eastAsia" w:ascii="仿宋" w:hAnsi="仿宋" w:eastAsia="仿宋" w:cs="仿宋"/>
                <w:b/>
                <w:color w:val="auto"/>
                <w:szCs w:val="21"/>
              </w:rPr>
              <w:t>4、投标人为联合体的，由联合体其中一方按规定提交的履约保证金，视为有效履约保证金。</w:t>
            </w:r>
          </w:p>
        </w:tc>
      </w:tr>
      <w:tr w14:paraId="2D14E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D3026C">
            <w:pPr>
              <w:spacing w:line="400" w:lineRule="exact"/>
              <w:jc w:val="center"/>
              <w:rPr>
                <w:rFonts w:hint="eastAsia" w:ascii="仿宋" w:hAnsi="仿宋" w:eastAsia="仿宋" w:cs="仿宋"/>
                <w:color w:val="auto"/>
                <w:szCs w:val="21"/>
              </w:rPr>
            </w:pPr>
            <w:bookmarkStart w:id="81" w:name="_40.1"/>
            <w:bookmarkEnd w:id="81"/>
            <w:r>
              <w:rPr>
                <w:rFonts w:hint="eastAsia" w:ascii="仿宋" w:hAnsi="仿宋" w:eastAsia="仿宋" w:cs="仿宋"/>
                <w:color w:val="auto"/>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7110B6A2">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 xml:space="preserve">签订合同携带的证明材料： </w:t>
            </w:r>
          </w:p>
          <w:p w14:paraId="293B570B">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1、委托代理人负责签订合同的，须携带授权委托书及委托代理人身份证原件等其他资格证件。</w:t>
            </w:r>
          </w:p>
          <w:p w14:paraId="648713F1">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szCs w:val="21"/>
              </w:rPr>
              <w:t>2、法定代表人负责签订合同的，须携带法定代表人身份证明原件及身份证原件等其他证明材料。</w:t>
            </w:r>
          </w:p>
        </w:tc>
      </w:tr>
      <w:tr w14:paraId="008B7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148EF6">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50BD1F2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接收质疑函方式：以纸质书面形式</w:t>
            </w:r>
          </w:p>
          <w:p w14:paraId="025FEB77">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rPr>
              <w:t>质疑联系部门及联系方式：</w:t>
            </w:r>
            <w:r>
              <w:rPr>
                <w:rFonts w:hint="eastAsia" w:ascii="仿宋" w:hAnsi="仿宋" w:eastAsia="仿宋" w:cs="仿宋"/>
                <w:color w:val="auto"/>
                <w:sz w:val="21"/>
              </w:rPr>
              <w:t>广西科文招标有限公司，质疑联系人：项目负责人 沈慧珠  联系电话：0771-2023852，通讯地址：广西南宁市民族大道141号中鼎万象东方D区五层</w:t>
            </w:r>
          </w:p>
          <w:p w14:paraId="34D8E9BB">
            <w:pPr>
              <w:autoSpaceDE w:val="0"/>
              <w:autoSpaceDN w:val="0"/>
              <w:snapToGrid w:val="0"/>
              <w:spacing w:line="400" w:lineRule="exact"/>
              <w:textAlignment w:val="bottom"/>
              <w:rPr>
                <w:rFonts w:hint="eastAsia" w:ascii="仿宋" w:hAnsi="仿宋" w:eastAsia="仿宋" w:cs="仿宋"/>
                <w:color w:val="auto"/>
                <w:szCs w:val="21"/>
              </w:rPr>
            </w:pPr>
            <w:r>
              <w:rPr>
                <w:rFonts w:hint="eastAsia" w:ascii="仿宋" w:hAnsi="仿宋" w:eastAsia="仿宋" w:cs="仿宋"/>
                <w:color w:val="auto"/>
              </w:rPr>
              <w:t>现场提交质疑办理业务时间：工作日，上午8：00-12：00；下午15：00-18：00（北京时间）</w:t>
            </w:r>
          </w:p>
        </w:tc>
      </w:tr>
      <w:tr w14:paraId="3B748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1AB5D0B">
            <w:pPr>
              <w:spacing w:line="400" w:lineRule="exact"/>
              <w:jc w:val="center"/>
              <w:rPr>
                <w:rFonts w:hint="eastAsia" w:ascii="仿宋" w:hAnsi="仿宋" w:eastAsia="仿宋" w:cs="仿宋"/>
                <w:color w:val="auto"/>
                <w:szCs w:val="21"/>
              </w:rPr>
            </w:pPr>
            <w:bookmarkStart w:id="82" w:name="_42"/>
            <w:bookmarkEnd w:id="82"/>
            <w:bookmarkStart w:id="83" w:name="_41"/>
            <w:bookmarkEnd w:id="83"/>
            <w:bookmarkStart w:id="84" w:name="_Hlt17709148"/>
            <w:r>
              <w:rPr>
                <w:rFonts w:hint="eastAsia" w:ascii="仿宋" w:hAnsi="仿宋" w:eastAsia="仿宋" w:cs="仿宋"/>
                <w:color w:val="auto"/>
                <w:szCs w:val="21"/>
              </w:rPr>
              <w:t>3</w:t>
            </w:r>
            <w:bookmarkEnd w:id="84"/>
            <w:r>
              <w:rPr>
                <w:rFonts w:hint="eastAsia" w:ascii="仿宋" w:hAnsi="仿宋" w:eastAsia="仿宋" w:cs="仿宋"/>
                <w:color w:val="auto"/>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261D17E9">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1、采购代理服务费支付方式：</w:t>
            </w:r>
            <w:r>
              <w:rPr>
                <w:rFonts w:hint="eastAsia" w:ascii="仿宋" w:hAnsi="仿宋" w:eastAsia="仿宋" w:cs="仿宋"/>
                <w:color w:val="auto"/>
              </w:rPr>
              <w:t>本项目的招标代理服务费按以下收费标准向中标人收取，领取中标通知书前，中标人应向采购代理机构一次付清招标代理服务费，否则采购代理机构有权不予以办理。</w:t>
            </w:r>
          </w:p>
          <w:p w14:paraId="452B0B5D">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2、采购代理服务费收取标准：</w:t>
            </w:r>
          </w:p>
          <w:p w14:paraId="1F5FC571">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以分标（中标金额）为计费额，按本须知正文第39.2条规定的收费计算标准（服务招标）采用差额定率累进法计算出收费基准价格，采购代理服务费收费以（收费基准价格下浮</w:t>
            </w:r>
            <w:r>
              <w:rPr>
                <w:rFonts w:hint="eastAsia" w:ascii="仿宋" w:hAnsi="仿宋" w:eastAsia="仿宋" w:cs="仿宋"/>
                <w:color w:val="auto"/>
                <w:sz w:val="21"/>
                <w:u w:val="single"/>
              </w:rPr>
              <w:t>20%</w:t>
            </w:r>
            <w:r>
              <w:rPr>
                <w:rFonts w:hint="eastAsia" w:ascii="仿宋" w:hAnsi="仿宋" w:eastAsia="仿宋" w:cs="仿宋"/>
                <w:color w:val="auto"/>
                <w:sz w:val="21"/>
              </w:rPr>
              <w:t>）收取。</w:t>
            </w:r>
          </w:p>
          <w:p w14:paraId="38264955">
            <w:pPr>
              <w:pStyle w:val="25"/>
              <w:snapToGrid w:val="0"/>
              <w:spacing w:line="400" w:lineRule="exact"/>
              <w:rPr>
                <w:rFonts w:hint="eastAsia" w:ascii="仿宋" w:hAnsi="仿宋" w:eastAsia="仿宋" w:cs="仿宋"/>
                <w:color w:val="auto"/>
                <w:sz w:val="21"/>
                <w:u w:val="single"/>
              </w:rPr>
            </w:pPr>
            <w:r>
              <w:rPr>
                <w:rFonts w:hint="eastAsia" w:ascii="仿宋" w:hAnsi="仿宋" w:eastAsia="仿宋" w:cs="仿宋"/>
                <w:color w:val="auto"/>
                <w:sz w:val="21"/>
              </w:rPr>
              <w:t>固定采购代理收费</w:t>
            </w:r>
            <w:r>
              <w:rPr>
                <w:rFonts w:hint="eastAsia" w:ascii="仿宋" w:hAnsi="仿宋" w:eastAsia="仿宋" w:cs="仿宋"/>
                <w:color w:val="auto"/>
                <w:sz w:val="21"/>
                <w:u w:val="single"/>
              </w:rPr>
              <w:t xml:space="preserve">              。</w:t>
            </w:r>
          </w:p>
          <w:p w14:paraId="2FD80E15">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3、账户名称：广西科文招标有限公司南宁二分公司</w:t>
            </w:r>
          </w:p>
          <w:p w14:paraId="0EA10B0E">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开户银行：广西北部湾银行股份有限公司南宁市云景支行</w:t>
            </w:r>
          </w:p>
          <w:p w14:paraId="5331E03E">
            <w:pPr>
              <w:pStyle w:val="25"/>
              <w:snapToGrid w:val="0"/>
              <w:spacing w:line="400" w:lineRule="exact"/>
              <w:rPr>
                <w:rFonts w:hint="eastAsia" w:ascii="仿宋" w:hAnsi="仿宋" w:eastAsia="仿宋" w:cs="仿宋"/>
                <w:color w:val="auto"/>
                <w:sz w:val="21"/>
              </w:rPr>
            </w:pPr>
            <w:r>
              <w:rPr>
                <w:rFonts w:hint="eastAsia" w:ascii="仿宋" w:hAnsi="仿宋" w:eastAsia="仿宋" w:cs="仿宋"/>
                <w:color w:val="auto"/>
                <w:sz w:val="21"/>
              </w:rPr>
              <w:t>银行账号：805029824700001</w:t>
            </w:r>
          </w:p>
        </w:tc>
      </w:tr>
      <w:tr w14:paraId="744AA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F90DAC1">
            <w:pPr>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73252D60">
            <w:pPr>
              <w:snapToGrid w:val="0"/>
              <w:spacing w:line="400" w:lineRule="exact"/>
              <w:rPr>
                <w:rFonts w:hint="eastAsia" w:ascii="仿宋" w:hAnsi="仿宋" w:eastAsia="仿宋" w:cs="仿宋"/>
                <w:color w:val="auto"/>
                <w:szCs w:val="21"/>
              </w:rPr>
            </w:pPr>
            <w:r>
              <w:rPr>
                <w:rFonts w:hint="eastAsia" w:ascii="仿宋" w:hAnsi="仿宋" w:eastAsia="仿宋" w:cs="仿宋"/>
                <w:color w:val="auto"/>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178C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134B91">
            <w:pPr>
              <w:snapToGrid w:val="0"/>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7546F3E2">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1、本招标文件中描述投标人的“公章”是指根据我国对公章的管理规定，用投标人法定主体行为名称制作的印章</w:t>
            </w:r>
            <w:r>
              <w:rPr>
                <w:rFonts w:hint="eastAsia" w:ascii="仿宋" w:hAnsi="仿宋" w:eastAsia="仿宋" w:cs="仿宋"/>
                <w:color w:val="auto"/>
                <w:sz w:val="21"/>
              </w:rPr>
              <w:t>（含电子印章）</w:t>
            </w:r>
            <w:r>
              <w:rPr>
                <w:rFonts w:hint="eastAsia" w:ascii="仿宋" w:hAnsi="仿宋" w:eastAsia="仿宋" w:cs="仿宋"/>
                <w:bCs/>
                <w:color w:val="auto"/>
                <w:sz w:val="21"/>
              </w:rPr>
              <w:t>，除本招标文件有特殊规定外，投标人的财务章、部门章、分公司章、工会章、合同章、投标专用章、业务专用章及银行的转账章、现金收讫章、现金付讫章等其他形式印章均不能代替公章。</w:t>
            </w:r>
          </w:p>
          <w:p w14:paraId="3E0708D5">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EEAA43A">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3、本招标文件中描述投标人的“签字”是指投标人的法定代表人或者委托代理人</w:t>
            </w:r>
            <w:r>
              <w:rPr>
                <w:rFonts w:hint="eastAsia" w:ascii="仿宋" w:hAnsi="仿宋" w:eastAsia="仿宋" w:cs="仿宋"/>
                <w:color w:val="auto"/>
                <w:sz w:val="21"/>
              </w:rPr>
              <w:t>在文件规定签署处签名（含电子签名）的行为，私章、印鉴等其他形式均不能代替签字</w:t>
            </w:r>
            <w:r>
              <w:rPr>
                <w:rFonts w:hint="eastAsia" w:ascii="仿宋" w:hAnsi="仿宋" w:eastAsia="仿宋" w:cs="仿宋"/>
                <w:bCs/>
                <w:color w:val="auto"/>
                <w:sz w:val="21"/>
              </w:rPr>
              <w:t>。</w:t>
            </w:r>
          </w:p>
          <w:p w14:paraId="7AAB1E88">
            <w:pPr>
              <w:pStyle w:val="25"/>
              <w:snapToGrid w:val="0"/>
              <w:spacing w:line="400" w:lineRule="exact"/>
              <w:rPr>
                <w:rFonts w:hint="eastAsia" w:ascii="仿宋" w:hAnsi="仿宋" w:eastAsia="仿宋" w:cs="仿宋"/>
                <w:bCs/>
                <w:color w:val="auto"/>
                <w:sz w:val="21"/>
              </w:rPr>
            </w:pPr>
            <w:r>
              <w:rPr>
                <w:rFonts w:hint="eastAsia" w:ascii="仿宋" w:hAnsi="仿宋" w:eastAsia="仿宋" w:cs="仿宋"/>
                <w:bCs/>
                <w:color w:val="auto"/>
                <w:sz w:val="21"/>
              </w:rPr>
              <w:t>4、自然人投标的，招标文件规定盖公章处由自然人摁手指指印。</w:t>
            </w:r>
          </w:p>
          <w:p w14:paraId="11BF42F7">
            <w:pPr>
              <w:spacing w:line="400" w:lineRule="exact"/>
              <w:jc w:val="left"/>
              <w:rPr>
                <w:rFonts w:hint="eastAsia" w:ascii="仿宋" w:hAnsi="仿宋" w:eastAsia="仿宋" w:cs="仿宋"/>
                <w:color w:val="auto"/>
                <w:szCs w:val="21"/>
              </w:rPr>
            </w:pPr>
            <w:r>
              <w:rPr>
                <w:rFonts w:hint="eastAsia" w:ascii="仿宋" w:hAnsi="仿宋" w:eastAsia="仿宋" w:cs="仿宋"/>
                <w:bCs/>
                <w:color w:val="auto"/>
                <w:szCs w:val="21"/>
              </w:rPr>
              <w:t>5、本招标文件所称的“以上”“以下”“以内”“届满”，包括本数；所称的“不满”“超过”“以外”，不包括本数。</w:t>
            </w:r>
          </w:p>
        </w:tc>
      </w:tr>
    </w:tbl>
    <w:p w14:paraId="413B2D02">
      <w:pPr>
        <w:snapToGrid w:val="0"/>
        <w:rPr>
          <w:rFonts w:hint="eastAsia" w:ascii="仿宋" w:hAnsi="仿宋" w:eastAsia="仿宋" w:cs="仿宋"/>
          <w:color w:val="auto"/>
          <w:sz w:val="24"/>
          <w:szCs w:val="20"/>
        </w:rPr>
      </w:pPr>
    </w:p>
    <w:p w14:paraId="163A7EF8">
      <w:pPr>
        <w:snapToGrid w:val="0"/>
        <w:rPr>
          <w:rFonts w:hint="eastAsia" w:ascii="仿宋" w:hAnsi="仿宋" w:eastAsia="仿宋" w:cs="仿宋"/>
          <w:color w:val="auto"/>
          <w:sz w:val="24"/>
          <w:szCs w:val="20"/>
        </w:rPr>
      </w:pPr>
    </w:p>
    <w:p w14:paraId="5D25B061">
      <w:pPr>
        <w:pStyle w:val="4"/>
        <w:keepNext w:val="0"/>
        <w:keepLines w:val="0"/>
        <w:jc w:val="center"/>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投标人须知正文</w:t>
      </w:r>
    </w:p>
    <w:p w14:paraId="09EC739A">
      <w:pPr>
        <w:pStyle w:val="4"/>
        <w:keepNext w:val="0"/>
        <w:keepLines w:val="0"/>
        <w:jc w:val="center"/>
        <w:rPr>
          <w:rFonts w:hint="eastAsia" w:ascii="仿宋" w:hAnsi="仿宋" w:eastAsia="仿宋" w:cs="仿宋"/>
          <w:color w:val="auto"/>
        </w:rPr>
      </w:pPr>
      <w:r>
        <w:rPr>
          <w:rFonts w:hint="eastAsia" w:ascii="仿宋" w:hAnsi="仿宋" w:eastAsia="仿宋" w:cs="仿宋"/>
          <w:color w:val="auto"/>
        </w:rPr>
        <w:t>一、总  则</w:t>
      </w:r>
    </w:p>
    <w:p w14:paraId="4F1B7FCF">
      <w:pPr>
        <w:pStyle w:val="5"/>
        <w:keepNext w:val="0"/>
        <w:keepLines w:val="0"/>
        <w:spacing w:before="0" w:after="0" w:line="360" w:lineRule="auto"/>
        <w:ind w:left="420" w:leftChars="200"/>
        <w:rPr>
          <w:rFonts w:hint="eastAsia" w:ascii="仿宋" w:hAnsi="仿宋" w:eastAsia="仿宋" w:cs="仿宋"/>
          <w:color w:val="auto"/>
          <w:sz w:val="24"/>
        </w:rPr>
      </w:pPr>
      <w:bookmarkStart w:id="85" w:name="_Toc254970668"/>
      <w:bookmarkStart w:id="86" w:name="_Toc254970527"/>
      <w:r>
        <w:rPr>
          <w:rFonts w:hint="eastAsia" w:ascii="仿宋" w:hAnsi="仿宋" w:eastAsia="仿宋" w:cs="仿宋"/>
          <w:color w:val="auto"/>
          <w:sz w:val="24"/>
        </w:rPr>
        <w:t>1.适用范围</w:t>
      </w:r>
      <w:bookmarkEnd w:id="85"/>
      <w:bookmarkEnd w:id="86"/>
    </w:p>
    <w:p w14:paraId="6D03101F">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98E72FE">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1.2本招标文件</w:t>
      </w:r>
      <w:r>
        <w:rPr>
          <w:rFonts w:hint="eastAsia" w:ascii="仿宋" w:hAnsi="仿宋" w:eastAsia="仿宋" w:cs="仿宋"/>
          <w:color w:val="auto"/>
          <w:spacing w:val="-6"/>
          <w:szCs w:val="21"/>
        </w:rPr>
        <w:t>适用于本项目的所有采购程序和环节（法律、法规另有规定的，从其规定）。</w:t>
      </w:r>
    </w:p>
    <w:p w14:paraId="58DE4C52">
      <w:pPr>
        <w:pStyle w:val="5"/>
        <w:keepNext w:val="0"/>
        <w:keepLines w:val="0"/>
        <w:spacing w:before="0" w:after="0" w:line="360" w:lineRule="auto"/>
        <w:ind w:left="420" w:leftChars="200"/>
        <w:rPr>
          <w:rFonts w:hint="eastAsia" w:ascii="仿宋" w:hAnsi="仿宋" w:eastAsia="仿宋" w:cs="仿宋"/>
          <w:color w:val="auto"/>
          <w:sz w:val="24"/>
        </w:rPr>
      </w:pPr>
      <w:bookmarkStart w:id="87" w:name="_Toc254970528"/>
      <w:bookmarkStart w:id="88" w:name="_Toc254970669"/>
      <w:r>
        <w:rPr>
          <w:rFonts w:hint="eastAsia" w:ascii="仿宋" w:hAnsi="仿宋" w:eastAsia="仿宋" w:cs="仿宋"/>
          <w:color w:val="auto"/>
          <w:sz w:val="24"/>
        </w:rPr>
        <w:t>2.定义</w:t>
      </w:r>
      <w:bookmarkEnd w:id="87"/>
      <w:bookmarkEnd w:id="88"/>
    </w:p>
    <w:p w14:paraId="6322BBA8">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2.1“采购人”是指依法进行政府采购的国家机关、事业单位、团体组织。</w:t>
      </w:r>
    </w:p>
    <w:p w14:paraId="4685FC04">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2.2“采购代理机构”是指政府采购集中采购机构和集中采购机构以外的采购代理机构。</w:t>
      </w:r>
    </w:p>
    <w:p w14:paraId="1D21F315">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2.3“供应商”是指向采购人提供货物、工程或者服务的法人、其他组织或者自然人。</w:t>
      </w:r>
    </w:p>
    <w:p w14:paraId="3A772700">
      <w:pPr>
        <w:pStyle w:val="6"/>
        <w:spacing w:line="360" w:lineRule="auto"/>
        <w:rPr>
          <w:rFonts w:hint="eastAsia" w:ascii="仿宋" w:hAnsi="仿宋" w:eastAsia="仿宋" w:cs="仿宋"/>
          <w:color w:val="auto"/>
          <w:szCs w:val="21"/>
        </w:rPr>
      </w:pPr>
      <w:r>
        <w:rPr>
          <w:rFonts w:hint="eastAsia" w:ascii="仿宋" w:hAnsi="仿宋" w:eastAsia="仿宋" w:cs="仿宋"/>
          <w:color w:val="auto"/>
          <w:szCs w:val="21"/>
        </w:rPr>
        <w:t>2.4“投标人”是指响应招标、参加投标竞争的法人、其他组织或者自然人。</w:t>
      </w:r>
    </w:p>
    <w:p w14:paraId="081FF196">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2.5“货物”是指各种形态和种类的物品，包括原材料、燃料、设备、产品等；“服务”是指除货物和工程以外的其他政府采购对象。</w:t>
      </w:r>
    </w:p>
    <w:p w14:paraId="4C83BF03">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7543C6C7">
      <w:pPr>
        <w:pStyle w:val="5"/>
        <w:keepNext w:val="0"/>
        <w:keepLines w:val="0"/>
        <w:spacing w:before="0" w:after="0" w:line="360" w:lineRule="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2.7“书面形式”是指合同书、信件和数据电文（包括电报、电传、传真、电子数据交换和电子邮件）等可以有形地表现所载内容的形式。</w:t>
      </w:r>
    </w:p>
    <w:p w14:paraId="442DC7B0">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2.8“实质性要求”是指招标文件中已经指明不满足则投标无效的条款，或者不能负偏离的条款，或者采购需求中带“▲”的条款。</w:t>
      </w:r>
    </w:p>
    <w:p w14:paraId="2B528D78">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2.9 “正偏离”，是指投标文件对招标文件“采购需求”中有关条款作出的响应优于条款要求并有利于采购人的情形。</w:t>
      </w:r>
    </w:p>
    <w:p w14:paraId="190A08F7">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2.10“负偏离”，是指投标文件对招标文件“采购需求”中有关条款作出的响应不满足条款要求，导致采购人要求不能得到满足的情形。</w:t>
      </w:r>
    </w:p>
    <w:p w14:paraId="3106B370">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2.11“允许负偏离的条款”是指采购需求中的不属于“实质性要求”的条款。</w:t>
      </w:r>
      <w:bookmarkStart w:id="89" w:name="_Toc254970529"/>
      <w:bookmarkStart w:id="90" w:name="_Toc254970670"/>
    </w:p>
    <w:p w14:paraId="691EA301">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w:t>
      </w:r>
      <w:bookmarkEnd w:id="89"/>
      <w:bookmarkEnd w:id="90"/>
      <w:r>
        <w:rPr>
          <w:rFonts w:hint="eastAsia" w:ascii="仿宋" w:hAnsi="仿宋" w:eastAsia="仿宋" w:cs="仿宋"/>
          <w:color w:val="auto"/>
          <w:sz w:val="24"/>
        </w:rPr>
        <w:t>投标人的资格要求</w:t>
      </w:r>
    </w:p>
    <w:p w14:paraId="57605CF7">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投标人的资格要求详见“投标人须知前附表”。</w:t>
      </w:r>
    </w:p>
    <w:p w14:paraId="26DB5662">
      <w:pPr>
        <w:pStyle w:val="5"/>
        <w:keepNext w:val="0"/>
        <w:keepLines w:val="0"/>
        <w:spacing w:before="0" w:after="0" w:line="360" w:lineRule="auto"/>
        <w:ind w:left="420" w:leftChars="200"/>
        <w:rPr>
          <w:rFonts w:hint="eastAsia" w:ascii="仿宋" w:hAnsi="仿宋" w:eastAsia="仿宋" w:cs="仿宋"/>
          <w:color w:val="auto"/>
          <w:sz w:val="24"/>
        </w:rPr>
      </w:pPr>
      <w:bookmarkStart w:id="91" w:name="_Toc254970671"/>
      <w:bookmarkStart w:id="92" w:name="_Toc254970530"/>
      <w:r>
        <w:rPr>
          <w:rFonts w:hint="eastAsia" w:ascii="仿宋" w:hAnsi="仿宋" w:eastAsia="仿宋" w:cs="仿宋"/>
          <w:color w:val="auto"/>
          <w:sz w:val="24"/>
        </w:rPr>
        <w:t>4.投标委托</w:t>
      </w:r>
      <w:bookmarkEnd w:id="91"/>
      <w:bookmarkEnd w:id="92"/>
    </w:p>
    <w:p w14:paraId="478DC199">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投标人代表参加投标活动过程中必须携带个人有效身份证件。如投标人代表不是法定代表人，须持有授权委托书（按第六章要求格式填写）。</w:t>
      </w:r>
    </w:p>
    <w:p w14:paraId="2448D5D0">
      <w:pPr>
        <w:pStyle w:val="5"/>
        <w:keepNext w:val="0"/>
        <w:keepLines w:val="0"/>
        <w:spacing w:before="0" w:after="0" w:line="360" w:lineRule="auto"/>
        <w:ind w:left="420" w:leftChars="200"/>
        <w:rPr>
          <w:rFonts w:hint="eastAsia" w:ascii="仿宋" w:hAnsi="仿宋" w:eastAsia="仿宋" w:cs="仿宋"/>
          <w:color w:val="auto"/>
          <w:sz w:val="24"/>
        </w:rPr>
      </w:pPr>
      <w:bookmarkStart w:id="93" w:name="_5.投标费用"/>
      <w:bookmarkEnd w:id="93"/>
      <w:bookmarkStart w:id="94" w:name="_Toc254970531"/>
      <w:bookmarkStart w:id="95" w:name="_Toc254970672"/>
      <w:r>
        <w:rPr>
          <w:rFonts w:hint="eastAsia" w:ascii="仿宋" w:hAnsi="仿宋" w:eastAsia="仿宋" w:cs="仿宋"/>
          <w:color w:val="auto"/>
          <w:sz w:val="24"/>
        </w:rPr>
        <w:t>5.投标费用</w:t>
      </w:r>
      <w:bookmarkEnd w:id="94"/>
      <w:bookmarkEnd w:id="95"/>
    </w:p>
    <w:p w14:paraId="193F4E21">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投标费用：投标人应承担参与本次采购活动有关的所有费用，包括但不限于获取招标文件、勘查现场、编制和提交投标文件、参加澄清说明、签订合同等，不论投标结果如何，均应自行承担。</w:t>
      </w:r>
    </w:p>
    <w:p w14:paraId="2CA4F8FE">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6.联合体投标</w:t>
      </w:r>
    </w:p>
    <w:p w14:paraId="4FF0FA2B">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6.1本项目是否接受联合体投标，详见“投标人须知前附表”。</w:t>
      </w:r>
    </w:p>
    <w:p w14:paraId="6ABA31EA">
      <w:pPr>
        <w:snapToGrid w:val="0"/>
        <w:spacing w:line="360" w:lineRule="auto"/>
        <w:ind w:firstLine="420" w:firstLineChars="200"/>
        <w:jc w:val="left"/>
        <w:rPr>
          <w:rFonts w:hint="eastAsia" w:ascii="仿宋" w:hAnsi="仿宋" w:eastAsia="仿宋" w:cs="仿宋"/>
          <w:bCs/>
          <w:color w:val="auto"/>
          <w:szCs w:val="21"/>
        </w:rPr>
      </w:pPr>
      <w:r>
        <w:rPr>
          <w:rFonts w:hint="eastAsia" w:ascii="仿宋" w:hAnsi="仿宋" w:eastAsia="仿宋" w:cs="仿宋"/>
          <w:bCs/>
          <w:color w:val="auto"/>
          <w:szCs w:val="21"/>
        </w:rPr>
        <w:t>6.2如接受联合体投标，联合体投标要求详见“投标人须知前附表”。</w:t>
      </w:r>
    </w:p>
    <w:p w14:paraId="0419C63D">
      <w:pPr>
        <w:pStyle w:val="5"/>
        <w:keepNext w:val="0"/>
        <w:keepLines w:val="0"/>
        <w:spacing w:before="0" w:after="0" w:line="360" w:lineRule="auto"/>
        <w:ind w:firstLine="424" w:firstLineChars="202"/>
        <w:rPr>
          <w:rFonts w:hint="eastAsia" w:ascii="仿宋" w:hAnsi="仿宋" w:eastAsia="仿宋" w:cs="仿宋"/>
          <w:color w:val="auto"/>
          <w:sz w:val="24"/>
        </w:rPr>
      </w:pPr>
      <w:r>
        <w:rPr>
          <w:rFonts w:hint="eastAsia" w:ascii="仿宋" w:hAnsi="仿宋" w:eastAsia="仿宋" w:cs="仿宋"/>
          <w:b w:val="0"/>
          <w:bCs/>
          <w:color w:val="auto"/>
          <w:sz w:val="21"/>
          <w:szCs w:val="21"/>
        </w:rPr>
        <w:t xml:space="preserve">6.3 </w:t>
      </w:r>
      <w:bookmarkStart w:id="96" w:name="_Hlk65857072"/>
      <w:r>
        <w:rPr>
          <w:rFonts w:hint="eastAsia" w:ascii="仿宋" w:hAnsi="仿宋" w:eastAsia="仿宋" w:cs="仿宋"/>
          <w:b w:val="0"/>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96"/>
    </w:p>
    <w:p w14:paraId="6BD6B8AC">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 xml:space="preserve">7.转包与分包             </w:t>
      </w:r>
    </w:p>
    <w:p w14:paraId="27778643">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7.1本项目不允许转包。</w:t>
      </w:r>
    </w:p>
    <w:p w14:paraId="2F6681D9">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A901C94">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5A51CD3">
      <w:pPr>
        <w:pStyle w:val="5"/>
        <w:keepNext w:val="0"/>
        <w:keepLines w:val="0"/>
        <w:spacing w:before="0" w:after="0" w:line="360" w:lineRule="auto"/>
        <w:ind w:left="420" w:leftChars="200"/>
        <w:rPr>
          <w:rFonts w:hint="eastAsia" w:ascii="仿宋" w:hAnsi="仿宋" w:eastAsia="仿宋" w:cs="仿宋"/>
          <w:color w:val="auto"/>
          <w:sz w:val="24"/>
        </w:rPr>
      </w:pPr>
      <w:bookmarkStart w:id="97" w:name="_Toc254970532"/>
      <w:bookmarkStart w:id="98" w:name="_Toc254970673"/>
      <w:r>
        <w:rPr>
          <w:rFonts w:hint="eastAsia" w:ascii="仿宋" w:hAnsi="仿宋" w:eastAsia="仿宋" w:cs="仿宋"/>
          <w:color w:val="auto"/>
          <w:sz w:val="24"/>
        </w:rPr>
        <w:t>8.特别说明</w:t>
      </w:r>
      <w:bookmarkEnd w:id="97"/>
      <w:bookmarkEnd w:id="98"/>
    </w:p>
    <w:p w14:paraId="3A4FBA4C">
      <w:pPr>
        <w:pStyle w:val="5"/>
        <w:keepNext w:val="0"/>
        <w:keepLines w:val="0"/>
        <w:spacing w:before="0" w:after="0" w:line="360" w:lineRule="auto"/>
        <w:ind w:firstLine="315" w:firstLineChars="150"/>
        <w:rPr>
          <w:rFonts w:hint="eastAsia" w:ascii="仿宋" w:hAnsi="仿宋" w:eastAsia="仿宋" w:cs="仿宋"/>
          <w:b w:val="0"/>
          <w:color w:val="auto"/>
          <w:sz w:val="21"/>
          <w:szCs w:val="21"/>
        </w:rPr>
      </w:pPr>
      <w:bookmarkStart w:id="99" w:name="_8.1提供相同品牌产品且通过资格审查、符合性审查的不同投标人参加同一合"/>
      <w:bookmarkEnd w:id="99"/>
      <w:r>
        <w:rPr>
          <w:rFonts w:hint="eastAsia" w:ascii="仿宋" w:hAnsi="仿宋" w:eastAsia="仿宋" w:cs="仿宋"/>
          <w:b w:val="0"/>
          <w:color w:val="auto"/>
          <w:sz w:val="21"/>
          <w:szCs w:val="21"/>
        </w:rPr>
        <w:t>8.1如果本招标文件要求提供投标人或制造商的资格、信誉、荣誉、业绩与企业认证等材料的，资格、信誉、荣誉、业绩与企业认证等必须为投标人或者制造商所拥有或自身获得 。</w:t>
      </w:r>
    </w:p>
    <w:p w14:paraId="1FAAC1D0">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8.2投标人应仔细阅读招标文件的所有内容，按照招标文件的要求提交投标文件，并对所提供的全部资料的真实性承担法律责任。</w:t>
      </w:r>
    </w:p>
    <w:p w14:paraId="74DA17FC">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8.3投标人在投标活动中提供任何虚假材料，将报监管部门查处；中标后发现的，中标人须依法赔偿采购人，且民事赔偿并不免除违法投标人的行政与刑事责任。</w:t>
      </w:r>
    </w:p>
    <w:p w14:paraId="6DD70D10">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9.回避与串通投标</w:t>
      </w:r>
    </w:p>
    <w:p w14:paraId="6E1D1C04">
      <w:pPr>
        <w:pStyle w:val="5"/>
        <w:keepNext w:val="0"/>
        <w:keepLines w:val="0"/>
        <w:spacing w:before="0" w:after="0" w:line="360" w:lineRule="auto"/>
        <w:ind w:firstLine="367" w:firstLineChars="175"/>
        <w:rPr>
          <w:rFonts w:hint="eastAsia" w:ascii="仿宋" w:hAnsi="仿宋" w:eastAsia="仿宋" w:cs="仿宋"/>
          <w:b w:val="0"/>
          <w:color w:val="auto"/>
          <w:sz w:val="21"/>
          <w:szCs w:val="21"/>
        </w:rPr>
      </w:pPr>
      <w:r>
        <w:rPr>
          <w:rFonts w:hint="eastAsia" w:ascii="仿宋" w:hAnsi="仿宋" w:eastAsia="仿宋" w:cs="仿宋"/>
          <w:b w:val="0"/>
          <w:color w:val="auto"/>
          <w:sz w:val="21"/>
          <w:szCs w:val="21"/>
        </w:rPr>
        <w:t>9.1在政府采购活动中，采购人员及相关人员与供应商有下列利害关系之一的，应当回避：</w:t>
      </w:r>
    </w:p>
    <w:p w14:paraId="6DC8B35F">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（1）参加采购活动前3年内与供应商存在劳动关系；</w:t>
      </w:r>
    </w:p>
    <w:p w14:paraId="47962F55">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（2）参加采购活动前3年内担任供应商的董事、监事；</w:t>
      </w:r>
    </w:p>
    <w:p w14:paraId="67A2B867">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（3）参加采购活动前3年内是供应商的控股股东或者实际控制人；</w:t>
      </w:r>
    </w:p>
    <w:p w14:paraId="6889302A">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（4）与供应商的法定代表人或者负责人有夫妻、直系血亲、三代以内旁系血亲或者近姻亲关系；</w:t>
      </w:r>
    </w:p>
    <w:p w14:paraId="7209B8E9">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（5）与供应商有其他可能影响政府采购活动公平、公正进行的关系。</w:t>
      </w:r>
    </w:p>
    <w:p w14:paraId="7A07B3EF">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48ECA3E">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9.2有下列情形之一的视为投标人相互串通投标，投标文件将被视为无效：</w:t>
      </w:r>
    </w:p>
    <w:p w14:paraId="44F16E16">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 xml:space="preserve">（1）不同投标人的投标文件由同一单位或者个人编制； </w:t>
      </w:r>
    </w:p>
    <w:p w14:paraId="7D19195B">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（2）不同投标人委托同一单位或者个人办理投标事宜；</w:t>
      </w:r>
    </w:p>
    <w:p w14:paraId="46EEB052">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（3）不同的投标人的投标文件载明的项目管理员为同一个人；</w:t>
      </w:r>
    </w:p>
    <w:p w14:paraId="4DEF01CB">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（4）不同投标人的投标文件异常一致或者投标报价呈规律性差异；</w:t>
      </w:r>
    </w:p>
    <w:p w14:paraId="6524B7F0">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（5）不同投标人的投标文件相互混装；</w:t>
      </w:r>
    </w:p>
    <w:p w14:paraId="4CB1614E">
      <w:pPr>
        <w:pStyle w:val="25"/>
        <w:snapToGrid w:val="0"/>
        <w:spacing w:line="360" w:lineRule="auto"/>
        <w:ind w:left="2" w:leftChars="1" w:firstLine="422" w:firstLineChars="200"/>
        <w:rPr>
          <w:rFonts w:hint="eastAsia" w:ascii="仿宋" w:hAnsi="仿宋" w:eastAsia="仿宋" w:cs="仿宋"/>
          <w:b/>
          <w:color w:val="auto"/>
          <w:kern w:val="2"/>
          <w:sz w:val="21"/>
        </w:rPr>
      </w:pPr>
      <w:r>
        <w:rPr>
          <w:rFonts w:hint="eastAsia" w:ascii="仿宋" w:hAnsi="仿宋" w:eastAsia="仿宋" w:cs="仿宋"/>
          <w:b/>
          <w:color w:val="auto"/>
          <w:kern w:val="2"/>
          <w:sz w:val="21"/>
        </w:rPr>
        <w:t>（6）不同投标人的投标保证金从同一单位或者个人账户转出。</w:t>
      </w:r>
    </w:p>
    <w:p w14:paraId="4BEED57C">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9.3供应商有下列情形之一的，属于恶意串通行为，将报同级监督管理部门：</w:t>
      </w:r>
    </w:p>
    <w:p w14:paraId="2480E252">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（1）供应商直接或者间接从采购人或者采购代理机构处获得其他供应商的相关信息并修改其投标文件或者投标文件；</w:t>
      </w:r>
    </w:p>
    <w:p w14:paraId="7F772952">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（2）供应商按照采购人或者采购代理机构的授意撤换、修改投标文件或者投标文件；</w:t>
      </w:r>
    </w:p>
    <w:p w14:paraId="19791E36">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（3）供应商之间协商报价、技术方案等投标文件或者投标文件的实质性内容；</w:t>
      </w:r>
    </w:p>
    <w:p w14:paraId="5688B4FD">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（4）属于同一集团、协会、商会等组织成员的供应商按照该组织要求协同参加政府采购活动；</w:t>
      </w:r>
    </w:p>
    <w:p w14:paraId="559430AA">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（5）供应商之间事先约定一致抬高或者压低投标报价，或者在招标项目中事先约定轮流以高价位或者低价位中标，或者事先约定由某一特定供应商中标，然后再参加投标；</w:t>
      </w:r>
    </w:p>
    <w:p w14:paraId="311BD309">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（6）供应商之间商定部分供应商放弃参加政府采购活动或者放弃中标；</w:t>
      </w:r>
    </w:p>
    <w:p w14:paraId="137BBB9E">
      <w:pPr>
        <w:pStyle w:val="25"/>
        <w:snapToGrid w:val="0"/>
        <w:spacing w:line="360" w:lineRule="auto"/>
        <w:ind w:left="2" w:leftChars="1" w:firstLine="420" w:firstLineChars="200"/>
        <w:rPr>
          <w:rFonts w:hint="eastAsia" w:ascii="仿宋" w:hAnsi="仿宋" w:eastAsia="仿宋" w:cs="仿宋"/>
          <w:color w:val="auto"/>
          <w:kern w:val="2"/>
          <w:sz w:val="21"/>
        </w:rPr>
      </w:pPr>
      <w:r>
        <w:rPr>
          <w:rFonts w:hint="eastAsia" w:ascii="仿宋" w:hAnsi="仿宋" w:eastAsia="仿宋" w:cs="仿宋"/>
          <w:color w:val="auto"/>
          <w:kern w:val="2"/>
          <w:sz w:val="21"/>
        </w:rPr>
        <w:t>（7）供应商与采购人或者采购代理机构之间、供应商相互之间，为谋求特定供应商中标或者排斥其他供应商的其他串通行为。</w:t>
      </w:r>
    </w:p>
    <w:p w14:paraId="0CD94A7C">
      <w:pPr>
        <w:pStyle w:val="25"/>
        <w:snapToGrid w:val="0"/>
        <w:spacing w:line="360" w:lineRule="auto"/>
        <w:ind w:left="2" w:leftChars="1" w:firstLine="422" w:firstLineChars="200"/>
        <w:rPr>
          <w:rFonts w:hint="eastAsia" w:ascii="仿宋" w:hAnsi="仿宋" w:eastAsia="仿宋" w:cs="仿宋"/>
          <w:b/>
          <w:color w:val="auto"/>
          <w:kern w:val="2"/>
          <w:sz w:val="21"/>
        </w:rPr>
      </w:pPr>
    </w:p>
    <w:p w14:paraId="070B1F5D">
      <w:pPr>
        <w:pStyle w:val="4"/>
        <w:keepNext w:val="0"/>
        <w:keepLines w:val="0"/>
        <w:jc w:val="center"/>
        <w:rPr>
          <w:rFonts w:hint="eastAsia" w:ascii="仿宋" w:hAnsi="仿宋" w:eastAsia="仿宋" w:cs="仿宋"/>
          <w:color w:val="auto"/>
        </w:rPr>
      </w:pPr>
      <w:bookmarkStart w:id="100" w:name="_Toc254970534"/>
      <w:bookmarkStart w:id="101" w:name="_Toc254970675"/>
      <w:r>
        <w:rPr>
          <w:rFonts w:hint="eastAsia" w:ascii="仿宋" w:hAnsi="仿宋" w:eastAsia="仿宋" w:cs="仿宋"/>
          <w:color w:val="auto"/>
        </w:rPr>
        <w:t>二、招标文件</w:t>
      </w:r>
      <w:bookmarkEnd w:id="100"/>
      <w:bookmarkEnd w:id="101"/>
    </w:p>
    <w:p w14:paraId="50BEDB9F">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10.招标文件的组成</w:t>
      </w:r>
    </w:p>
    <w:p w14:paraId="44FC3C60">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（1）招标公告；</w:t>
      </w:r>
    </w:p>
    <w:p w14:paraId="1BA51202">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 xml:space="preserve">（2）采购需求； </w:t>
      </w:r>
    </w:p>
    <w:p w14:paraId="26B0961E">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（3）投标人须知；</w:t>
      </w:r>
    </w:p>
    <w:p w14:paraId="5F7BCA00">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（4）评标方法及评标标准；</w:t>
      </w:r>
    </w:p>
    <w:p w14:paraId="2B013852">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（5）拟签订的合同文本；</w:t>
      </w:r>
    </w:p>
    <w:p w14:paraId="68DA5EDA">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（6）投标文件格式。</w:t>
      </w:r>
    </w:p>
    <w:p w14:paraId="1C75D2D3">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11.招标文件的澄清、修改 、现场考察和答疑会</w:t>
      </w:r>
    </w:p>
    <w:p w14:paraId="6F25A544">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2421FE3">
      <w:pPr>
        <w:pStyle w:val="5"/>
        <w:keepNext w:val="0"/>
        <w:keepLines w:val="0"/>
        <w:numPr>
          <w:ilvl w:val="0"/>
          <w:numId w:val="0"/>
        </w:numPr>
        <w:spacing w:before="0" w:after="0" w:line="360" w:lineRule="auto"/>
        <w:ind w:firstLine="420" w:firstLineChars="200"/>
        <w:rPr>
          <w:rFonts w:hint="eastAsia" w:ascii="仿宋" w:hAnsi="仿宋" w:eastAsia="仿宋" w:cs="仿宋"/>
          <w:color w:val="auto"/>
        </w:rPr>
      </w:pPr>
      <w:r>
        <w:rPr>
          <w:rFonts w:hint="eastAsia" w:ascii="仿宋" w:hAnsi="仿宋" w:eastAsia="仿宋" w:cs="仿宋"/>
          <w:b w:val="0"/>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DCDF67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rPr>
        <w:t>11.3采购人和采购代理机构可以视采购具体情况，变更投标截止时间和开标时间，并</w:t>
      </w:r>
      <w:r>
        <w:rPr>
          <w:rFonts w:hint="eastAsia" w:ascii="仿宋" w:hAnsi="仿宋" w:eastAsia="仿宋" w:cs="仿宋"/>
          <w:color w:val="auto"/>
          <w:szCs w:val="21"/>
        </w:rPr>
        <w:t>在原公告发布媒体上发布更正公告。</w:t>
      </w:r>
    </w:p>
    <w:p w14:paraId="317448FC">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szCs w:val="21"/>
        </w:rPr>
        <w:t>11.4招标文件澄清、答复、修改、补充的内容为招标文件的组成部分。</w:t>
      </w:r>
      <w:r>
        <w:rPr>
          <w:rFonts w:hint="eastAsia" w:ascii="仿宋" w:hAnsi="仿宋" w:eastAsia="仿宋" w:cs="仿宋"/>
          <w:b/>
          <w:color w:val="auto"/>
          <w:szCs w:val="21"/>
        </w:rPr>
        <w:t>当招标文件与招标文件的澄清、答复、修改、补充通知就同一内容的表述不一致时，以最后发出的文件为准。</w:t>
      </w:r>
    </w:p>
    <w:p w14:paraId="5520AFA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11.</w:t>
      </w:r>
      <w:bookmarkStart w:id="102" w:name="_Hlk53134511"/>
      <w:r>
        <w:rPr>
          <w:rFonts w:hint="eastAsia" w:ascii="仿宋" w:hAnsi="仿宋" w:eastAsia="仿宋" w:cs="仿宋"/>
          <w:color w:val="auto"/>
          <w:sz w:val="21"/>
        </w:rPr>
        <w:t>5采购人或者采购代理机构可以在招标文件提供期限截止后，组织已获取招标文件的潜在投标人现场考察或者召开开标前答疑会，具体详见“投标人须知前附表”。</w:t>
      </w:r>
    </w:p>
    <w:p w14:paraId="61FF9E24">
      <w:pPr>
        <w:pStyle w:val="25"/>
        <w:snapToGrid w:val="0"/>
        <w:spacing w:line="360" w:lineRule="auto"/>
        <w:ind w:firstLine="420" w:firstLineChars="200"/>
        <w:rPr>
          <w:rFonts w:hint="eastAsia" w:ascii="仿宋" w:hAnsi="仿宋" w:eastAsia="仿宋" w:cs="仿宋"/>
          <w:color w:val="auto"/>
          <w:sz w:val="21"/>
        </w:rPr>
      </w:pPr>
    </w:p>
    <w:bookmarkEnd w:id="102"/>
    <w:p w14:paraId="2662AA50">
      <w:pPr>
        <w:pStyle w:val="4"/>
        <w:keepNext w:val="0"/>
        <w:keepLines w:val="0"/>
        <w:jc w:val="center"/>
        <w:rPr>
          <w:rFonts w:hint="eastAsia" w:ascii="仿宋" w:hAnsi="仿宋" w:eastAsia="仿宋" w:cs="仿宋"/>
          <w:color w:val="auto"/>
        </w:rPr>
      </w:pPr>
      <w:bookmarkStart w:id="103" w:name="_Toc254970676"/>
      <w:bookmarkStart w:id="104" w:name="_Toc254970535"/>
      <w:r>
        <w:rPr>
          <w:rFonts w:hint="eastAsia" w:ascii="仿宋" w:hAnsi="仿宋" w:eastAsia="仿宋" w:cs="仿宋"/>
          <w:color w:val="auto"/>
        </w:rPr>
        <w:t>三、投标文件的编制</w:t>
      </w:r>
      <w:bookmarkEnd w:id="103"/>
      <w:bookmarkEnd w:id="104"/>
    </w:p>
    <w:p w14:paraId="322C93BC">
      <w:pPr>
        <w:pStyle w:val="5"/>
        <w:keepNext w:val="0"/>
        <w:keepLines w:val="0"/>
        <w:spacing w:before="0" w:after="0" w:line="360" w:lineRule="auto"/>
        <w:ind w:left="420" w:leftChars="200"/>
        <w:rPr>
          <w:rFonts w:hint="eastAsia" w:ascii="仿宋" w:hAnsi="仿宋" w:eastAsia="仿宋" w:cs="仿宋"/>
          <w:color w:val="auto"/>
          <w:sz w:val="24"/>
        </w:rPr>
      </w:pPr>
      <w:bookmarkStart w:id="105" w:name="_Toc254970536"/>
      <w:bookmarkStart w:id="106" w:name="_Toc254970677"/>
      <w:r>
        <w:rPr>
          <w:rFonts w:hint="eastAsia" w:ascii="仿宋" w:hAnsi="仿宋" w:eastAsia="仿宋" w:cs="仿宋"/>
          <w:color w:val="auto"/>
          <w:sz w:val="24"/>
        </w:rPr>
        <w:t>12.投标文件的编制原则</w:t>
      </w:r>
    </w:p>
    <w:p w14:paraId="732C5083">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投标人必须按照招标文件的要求编制投标文件。投标文件必须对招标文件提出的要求和条件作出明确响应。</w:t>
      </w:r>
    </w:p>
    <w:p w14:paraId="06199ACB">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13.投标文件的组成</w:t>
      </w:r>
      <w:bookmarkEnd w:id="105"/>
      <w:bookmarkEnd w:id="106"/>
    </w:p>
    <w:p w14:paraId="1F541220">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13.1投标文件由报价文件、资格证明文件、商务文件、技术文件四部分组成。</w:t>
      </w:r>
    </w:p>
    <w:p w14:paraId="774807D3">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07" w:name="_13.1报价文件:_具体材料见“投标人须知前附表”。"/>
      <w:bookmarkEnd w:id="107"/>
      <w:r>
        <w:rPr>
          <w:rFonts w:hint="eastAsia" w:ascii="仿宋" w:hAnsi="仿宋" w:eastAsia="仿宋" w:cs="仿宋"/>
          <w:b w:val="0"/>
          <w:color w:val="auto"/>
          <w:sz w:val="21"/>
          <w:szCs w:val="21"/>
        </w:rPr>
        <w:t>（1）报价文件： 具体材料见“投标人须知前附表”。</w:t>
      </w:r>
    </w:p>
    <w:p w14:paraId="21611E51">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08" w:name="_13.2资格证明文件：具体材料见“投标人须知前附表”。"/>
      <w:bookmarkEnd w:id="108"/>
      <w:r>
        <w:rPr>
          <w:rFonts w:hint="eastAsia" w:ascii="仿宋" w:hAnsi="仿宋" w:eastAsia="仿宋" w:cs="仿宋"/>
          <w:b w:val="0"/>
          <w:color w:val="auto"/>
          <w:sz w:val="21"/>
          <w:szCs w:val="21"/>
        </w:rPr>
        <w:t>（2）资格证明文件：具体材料见“投标人须知前附表”。</w:t>
      </w:r>
    </w:p>
    <w:p w14:paraId="25D4DC39">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09" w:name="_13.3商务文件:_具体材料见“投标人须知前附表”。"/>
      <w:bookmarkEnd w:id="109"/>
      <w:r>
        <w:rPr>
          <w:rFonts w:hint="eastAsia" w:ascii="仿宋" w:hAnsi="仿宋" w:eastAsia="仿宋" w:cs="仿宋"/>
          <w:b w:val="0"/>
          <w:color w:val="auto"/>
          <w:sz w:val="21"/>
          <w:szCs w:val="21"/>
        </w:rPr>
        <w:t>（3）商务文件：具体材料见“投标人须知前附表”。</w:t>
      </w:r>
    </w:p>
    <w:p w14:paraId="72114587">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10" w:name="_13.4技术文件：具体材料见“投标人须知前附表”。"/>
      <w:bookmarkEnd w:id="110"/>
      <w:r>
        <w:rPr>
          <w:rFonts w:hint="eastAsia" w:ascii="仿宋" w:hAnsi="仿宋" w:eastAsia="仿宋" w:cs="仿宋"/>
          <w:b w:val="0"/>
          <w:color w:val="auto"/>
          <w:sz w:val="21"/>
          <w:szCs w:val="21"/>
        </w:rPr>
        <w:t>（4）技术文件：具体材料见“投标人须知前附表”。</w:t>
      </w:r>
      <w:bookmarkStart w:id="111" w:name="_13.5投标文件电子版：具体材料见“投标人须知前附表”。"/>
      <w:bookmarkEnd w:id="111"/>
    </w:p>
    <w:p w14:paraId="1BA54F8B">
      <w:pPr>
        <w:pStyle w:val="5"/>
        <w:keepNext w:val="0"/>
        <w:keepLines w:val="0"/>
        <w:spacing w:before="0" w:after="0" w:line="360" w:lineRule="auto"/>
        <w:ind w:left="420" w:leftChars="200"/>
        <w:rPr>
          <w:rFonts w:hint="eastAsia" w:ascii="仿宋" w:hAnsi="仿宋" w:eastAsia="仿宋" w:cs="仿宋"/>
          <w:color w:val="auto"/>
          <w:sz w:val="24"/>
        </w:rPr>
      </w:pPr>
      <w:bookmarkStart w:id="112" w:name="_Toc254970537"/>
      <w:bookmarkStart w:id="113" w:name="_Toc254970678"/>
      <w:r>
        <w:rPr>
          <w:rFonts w:hint="eastAsia" w:ascii="仿宋" w:hAnsi="仿宋" w:eastAsia="仿宋" w:cs="仿宋"/>
          <w:color w:val="auto"/>
          <w:sz w:val="24"/>
        </w:rPr>
        <w:t>14.投标文件的语言及计量</w:t>
      </w:r>
      <w:bookmarkEnd w:id="112"/>
      <w:bookmarkEnd w:id="113"/>
    </w:p>
    <w:p w14:paraId="2FE958F2">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14.1语言文字</w:t>
      </w:r>
    </w:p>
    <w:p w14:paraId="26060067">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4A23A4">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14.2投标计量单位</w:t>
      </w:r>
    </w:p>
    <w:p w14:paraId="6A463B91">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招标文件已有明确规定的，使用招标文件规定的计量单位；招标文件没有规定的，应采用中华人民共和国法定计量单位，货币种类为人民币，否则视同未响应。</w:t>
      </w:r>
    </w:p>
    <w:p w14:paraId="23682695">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15.投标的风险</w:t>
      </w:r>
    </w:p>
    <w:p w14:paraId="6D9CF419">
      <w:pPr>
        <w:pStyle w:val="25"/>
        <w:snapToGrid w:val="0"/>
        <w:spacing w:line="360" w:lineRule="auto"/>
        <w:ind w:firstLine="420" w:firstLineChars="200"/>
        <w:jc w:val="left"/>
        <w:rPr>
          <w:rFonts w:hint="eastAsia" w:ascii="仿宋" w:hAnsi="仿宋" w:eastAsia="仿宋" w:cs="仿宋"/>
          <w:color w:val="auto"/>
          <w:sz w:val="21"/>
        </w:rPr>
      </w:pPr>
      <w:r>
        <w:rPr>
          <w:rFonts w:hint="eastAsia" w:ascii="仿宋" w:hAnsi="仿宋" w:eastAsia="仿宋" w:cs="仿宋"/>
          <w:color w:val="auto"/>
          <w:sz w:val="21"/>
        </w:rPr>
        <w:t>投标人没有按照招标文件要求提供全部资料，或者投标人没有对招标文件作出实质性响应是投标人的风险，并可能导致其投标被拒绝。</w:t>
      </w:r>
    </w:p>
    <w:p w14:paraId="394D5858">
      <w:pPr>
        <w:pStyle w:val="5"/>
        <w:keepNext w:val="0"/>
        <w:keepLines w:val="0"/>
        <w:spacing w:before="0" w:after="0" w:line="360" w:lineRule="auto"/>
        <w:ind w:left="420" w:leftChars="200"/>
        <w:rPr>
          <w:rFonts w:hint="eastAsia" w:ascii="仿宋" w:hAnsi="仿宋" w:eastAsia="仿宋" w:cs="仿宋"/>
          <w:color w:val="auto"/>
          <w:sz w:val="24"/>
        </w:rPr>
      </w:pPr>
      <w:bookmarkStart w:id="114" w:name="_Toc254970679"/>
      <w:bookmarkStart w:id="115" w:name="_Toc254970538"/>
      <w:r>
        <w:rPr>
          <w:rFonts w:hint="eastAsia" w:ascii="仿宋" w:hAnsi="仿宋" w:eastAsia="仿宋" w:cs="仿宋"/>
          <w:color w:val="auto"/>
          <w:sz w:val="24"/>
        </w:rPr>
        <w:t>16.投标报价</w:t>
      </w:r>
      <w:bookmarkEnd w:id="114"/>
      <w:bookmarkEnd w:id="115"/>
    </w:p>
    <w:p w14:paraId="67430C25">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16.1投标报价应按“第六章　投标文件格式”中“开标一览表”格式填写。</w:t>
      </w:r>
    </w:p>
    <w:p w14:paraId="1235E207">
      <w:pPr>
        <w:pStyle w:val="5"/>
        <w:keepNext w:val="0"/>
        <w:keepLines w:val="0"/>
        <w:spacing w:before="0" w:after="0" w:line="360" w:lineRule="auto"/>
        <w:ind w:left="420" w:leftChars="200"/>
        <w:rPr>
          <w:rFonts w:hint="eastAsia" w:ascii="仿宋" w:hAnsi="仿宋" w:eastAsia="仿宋" w:cs="仿宋"/>
          <w:b w:val="0"/>
          <w:color w:val="auto"/>
          <w:sz w:val="21"/>
          <w:szCs w:val="21"/>
        </w:rPr>
      </w:pPr>
      <w:bookmarkStart w:id="116" w:name="_16.2投标报价具体定义见投标人须知前附表。"/>
      <w:bookmarkEnd w:id="116"/>
      <w:r>
        <w:rPr>
          <w:rFonts w:hint="eastAsia" w:ascii="仿宋" w:hAnsi="仿宋" w:eastAsia="仿宋" w:cs="仿宋"/>
          <w:b w:val="0"/>
          <w:color w:val="auto"/>
          <w:sz w:val="21"/>
          <w:szCs w:val="21"/>
        </w:rPr>
        <w:t>16.2投标报价具体包括内容详见“投标人须知前附表”。</w:t>
      </w:r>
    </w:p>
    <w:p w14:paraId="382CE050">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16.3投标人必须就所投每个分标的全部内容分别作完整唯一总价报价，不得存在漏项报价；投标人必须就所投分标的单项内容作唯一报价。</w:t>
      </w:r>
    </w:p>
    <w:p w14:paraId="2CA638A0">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17.投标有效期</w:t>
      </w:r>
    </w:p>
    <w:p w14:paraId="7FD72A9D">
      <w:pPr>
        <w:pStyle w:val="5"/>
        <w:keepNext w:val="0"/>
        <w:keepLines w:val="0"/>
        <w:spacing w:before="0" w:after="0" w:line="360" w:lineRule="auto"/>
        <w:ind w:firstLine="420" w:firstLineChars="200"/>
        <w:rPr>
          <w:rFonts w:hint="eastAsia" w:ascii="仿宋" w:hAnsi="仿宋" w:eastAsia="仿宋" w:cs="仿宋"/>
          <w:b w:val="0"/>
          <w:color w:val="auto"/>
          <w:sz w:val="21"/>
          <w:szCs w:val="21"/>
        </w:rPr>
      </w:pPr>
      <w:bookmarkStart w:id="117" w:name="_17.1投标有效期应按“投标人须知中的前附表”规定的期限。"/>
      <w:bookmarkEnd w:id="117"/>
      <w:r>
        <w:rPr>
          <w:rFonts w:hint="eastAsia" w:ascii="仿宋" w:hAnsi="仿宋" w:eastAsia="仿宋" w:cs="仿宋"/>
          <w:b w:val="0"/>
          <w:color w:val="auto"/>
          <w:sz w:val="21"/>
          <w:szCs w:val="21"/>
        </w:rPr>
        <w:t>17.1投标有效期是指为保证采购人有足够的时间在开标后完成评标、定标、合同签订等工作而要求投标人提交的投标文件在一定时间内保持有效的期限。</w:t>
      </w:r>
    </w:p>
    <w:p w14:paraId="7C8AB6BA">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17.2</w:t>
      </w:r>
      <w:bookmarkStart w:id="118" w:name="_Toc254970681"/>
      <w:bookmarkStart w:id="119" w:name="_Toc254970540"/>
      <w:r>
        <w:rPr>
          <w:rFonts w:hint="eastAsia" w:ascii="仿宋" w:hAnsi="仿宋" w:eastAsia="仿宋" w:cs="仿宋"/>
          <w:b w:val="0"/>
          <w:color w:val="auto"/>
          <w:sz w:val="21"/>
          <w:szCs w:val="21"/>
        </w:rPr>
        <w:t xml:space="preserve"> 投标有效期应按规定的期限作出承诺，具体详见“投标人须知前附表”。</w:t>
      </w:r>
    </w:p>
    <w:p w14:paraId="7090FAC6">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17.3投标人的投标文件在投标有效期内均保持有效。</w:t>
      </w:r>
      <w:bookmarkEnd w:id="118"/>
      <w:bookmarkEnd w:id="119"/>
    </w:p>
    <w:p w14:paraId="04F16BDA">
      <w:pPr>
        <w:pStyle w:val="5"/>
        <w:keepNext w:val="0"/>
        <w:keepLines w:val="0"/>
        <w:spacing w:before="0" w:after="0" w:line="360" w:lineRule="auto"/>
        <w:ind w:left="420" w:leftChars="200"/>
        <w:rPr>
          <w:rFonts w:hint="eastAsia" w:ascii="仿宋" w:hAnsi="仿宋" w:eastAsia="仿宋" w:cs="仿宋"/>
          <w:color w:val="auto"/>
          <w:sz w:val="24"/>
        </w:rPr>
      </w:pPr>
      <w:bookmarkStart w:id="120" w:name="_18.投标保证金"/>
      <w:bookmarkEnd w:id="120"/>
      <w:bookmarkStart w:id="121" w:name="_Toc254970682"/>
      <w:bookmarkStart w:id="122" w:name="_Toc254970541"/>
      <w:r>
        <w:rPr>
          <w:rFonts w:hint="eastAsia" w:ascii="仿宋" w:hAnsi="仿宋" w:eastAsia="仿宋" w:cs="仿宋"/>
          <w:color w:val="auto"/>
          <w:sz w:val="24"/>
        </w:rPr>
        <w:t>18.投标保证金</w:t>
      </w:r>
      <w:bookmarkEnd w:id="121"/>
      <w:bookmarkEnd w:id="122"/>
    </w:p>
    <w:p w14:paraId="3CC34FA8">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18.1投标人须按“投标人须知前附表” 的规定提交投标保证金。</w:t>
      </w:r>
    </w:p>
    <w:p w14:paraId="2BD3A21F">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18.2投标保证金的退还</w:t>
      </w:r>
    </w:p>
    <w:p w14:paraId="70FF3AAD">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未中标人的投标保证金自中标通知书发出之日起5个工作日内退还；中标人的投标保证金自政府采购合同签订之日起5个工作日内退还。 </w:t>
      </w:r>
    </w:p>
    <w:p w14:paraId="0A7B00A1">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18.3除逾期退还投标保证金和终止招标的情形以外，投标保证金不计息。</w:t>
      </w:r>
    </w:p>
    <w:p w14:paraId="2BD3C4AE">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18.4投标人有下列情形之一的，投标保证金将不予退还： </w:t>
      </w:r>
    </w:p>
    <w:p w14:paraId="762D16C8">
      <w:pPr>
        <w:snapToGrid w:val="0"/>
        <w:spacing w:line="360" w:lineRule="auto"/>
        <w:ind w:firstLine="411" w:firstLineChars="196"/>
        <w:jc w:val="left"/>
        <w:rPr>
          <w:rFonts w:hint="eastAsia" w:ascii="仿宋" w:hAnsi="仿宋" w:eastAsia="仿宋" w:cs="仿宋"/>
          <w:color w:val="auto"/>
          <w:szCs w:val="21"/>
        </w:rPr>
      </w:pPr>
      <w:r>
        <w:rPr>
          <w:rFonts w:hint="eastAsia" w:ascii="仿宋" w:hAnsi="仿宋" w:eastAsia="仿宋" w:cs="仿宋"/>
          <w:color w:val="auto"/>
          <w:szCs w:val="21"/>
        </w:rPr>
        <w:t>（1）投标人在投标有效期内撤销投标文件的；</w:t>
      </w:r>
    </w:p>
    <w:p w14:paraId="3ACFF31D">
      <w:pPr>
        <w:snapToGrid w:val="0"/>
        <w:spacing w:line="360" w:lineRule="auto"/>
        <w:ind w:firstLine="411" w:firstLineChars="196"/>
        <w:jc w:val="left"/>
        <w:rPr>
          <w:rFonts w:hint="eastAsia" w:ascii="仿宋" w:hAnsi="仿宋" w:eastAsia="仿宋" w:cs="仿宋"/>
          <w:color w:val="auto"/>
          <w:szCs w:val="21"/>
        </w:rPr>
      </w:pPr>
      <w:r>
        <w:rPr>
          <w:rFonts w:hint="eastAsia" w:ascii="仿宋" w:hAnsi="仿宋" w:eastAsia="仿宋" w:cs="仿宋"/>
          <w:color w:val="auto"/>
          <w:szCs w:val="21"/>
        </w:rPr>
        <w:t>（2）未按规定提交履约保证金的；</w:t>
      </w:r>
    </w:p>
    <w:p w14:paraId="56AE6E22">
      <w:pPr>
        <w:snapToGrid w:val="0"/>
        <w:spacing w:line="360" w:lineRule="auto"/>
        <w:ind w:firstLine="411" w:firstLineChars="196"/>
        <w:jc w:val="left"/>
        <w:rPr>
          <w:rFonts w:hint="eastAsia" w:ascii="仿宋" w:hAnsi="仿宋" w:eastAsia="仿宋" w:cs="仿宋"/>
          <w:color w:val="auto"/>
          <w:szCs w:val="21"/>
        </w:rPr>
      </w:pPr>
      <w:r>
        <w:rPr>
          <w:rFonts w:hint="eastAsia" w:ascii="仿宋" w:hAnsi="仿宋" w:eastAsia="仿宋" w:cs="仿宋"/>
          <w:color w:val="auto"/>
          <w:szCs w:val="21"/>
        </w:rPr>
        <w:t>（3）投标人在投标过程中弄虚作假，提供虚假材料的；</w:t>
      </w:r>
    </w:p>
    <w:p w14:paraId="7CC3FCF1">
      <w:pPr>
        <w:snapToGrid w:val="0"/>
        <w:spacing w:line="360" w:lineRule="auto"/>
        <w:ind w:firstLine="411" w:firstLineChars="196"/>
        <w:rPr>
          <w:rFonts w:hint="eastAsia" w:ascii="仿宋" w:hAnsi="仿宋" w:eastAsia="仿宋" w:cs="仿宋"/>
          <w:color w:val="auto"/>
          <w:szCs w:val="21"/>
        </w:rPr>
      </w:pPr>
      <w:r>
        <w:rPr>
          <w:rFonts w:hint="eastAsia" w:ascii="仿宋" w:hAnsi="仿宋" w:eastAsia="仿宋" w:cs="仿宋"/>
          <w:color w:val="auto"/>
          <w:szCs w:val="21"/>
        </w:rPr>
        <w:t>（4）中标人无正当理由不与采购人签订合同的；</w:t>
      </w:r>
    </w:p>
    <w:p w14:paraId="05CBADA7">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（5）投标人出现本章第9.2、9.3情形的；</w:t>
      </w:r>
    </w:p>
    <w:p w14:paraId="71D19C22">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（6）法律法规规定的其他情形。</w:t>
      </w:r>
    </w:p>
    <w:p w14:paraId="115FB499">
      <w:pPr>
        <w:pStyle w:val="5"/>
        <w:keepNext w:val="0"/>
        <w:keepLines w:val="0"/>
        <w:spacing w:before="0" w:after="0" w:line="360" w:lineRule="auto"/>
        <w:ind w:left="420" w:leftChars="200"/>
        <w:rPr>
          <w:rFonts w:hint="eastAsia" w:ascii="仿宋" w:hAnsi="仿宋" w:eastAsia="仿宋" w:cs="仿宋"/>
          <w:color w:val="auto"/>
          <w:sz w:val="24"/>
        </w:rPr>
      </w:pPr>
      <w:bookmarkStart w:id="123" w:name="_Toc254970542"/>
      <w:bookmarkStart w:id="124" w:name="_Toc254970683"/>
      <w:r>
        <w:rPr>
          <w:rFonts w:hint="eastAsia" w:ascii="仿宋" w:hAnsi="仿宋" w:eastAsia="仿宋" w:cs="仿宋"/>
          <w:color w:val="auto"/>
          <w:sz w:val="24"/>
        </w:rPr>
        <w:t>19.投标文件的</w:t>
      </w:r>
      <w:bookmarkEnd w:id="123"/>
      <w:bookmarkEnd w:id="124"/>
      <w:r>
        <w:rPr>
          <w:rFonts w:hint="eastAsia" w:ascii="仿宋" w:hAnsi="仿宋" w:eastAsia="仿宋" w:cs="仿宋"/>
          <w:color w:val="auto"/>
          <w:sz w:val="24"/>
        </w:rPr>
        <w:t>编制</w:t>
      </w:r>
    </w:p>
    <w:p w14:paraId="1FA008F5">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59845B65">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bookmarkStart w:id="125" w:name="_19.2投标文件应按报价文件、资格证明文件、商务文件、技术文件分别编制"/>
      <w:bookmarkEnd w:id="125"/>
      <w:r>
        <w:rPr>
          <w:rFonts w:hint="eastAsia" w:ascii="仿宋" w:hAnsi="仿宋" w:eastAsia="仿宋" w:cs="仿宋"/>
          <w:b w:val="0"/>
          <w:color w:val="auto"/>
          <w:sz w:val="21"/>
          <w:szCs w:val="21"/>
        </w:rPr>
        <w:t>19.2投标文件应按报价文件、资格证明文件、商务文件、技术文件分别编制电子文件，并按广西政府采购云平台的要求编制、加密、上传。</w:t>
      </w:r>
    </w:p>
    <w:p w14:paraId="45B31AF7">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19.</w:t>
      </w:r>
      <w:bookmarkStart w:id="126" w:name="_Hlk65832616"/>
      <w:r>
        <w:rPr>
          <w:rFonts w:hint="eastAsia" w:ascii="仿宋" w:hAnsi="仿宋" w:eastAsia="仿宋" w:cs="仿宋"/>
          <w:b w:val="0"/>
          <w:color w:val="auto"/>
          <w:sz w:val="21"/>
          <w:szCs w:val="21"/>
        </w:rPr>
        <w:t>3投标文件须由投标人在规定位置盖公章并签字</w:t>
      </w:r>
      <w:bookmarkStart w:id="127" w:name="_Hlk65832569"/>
      <w:r>
        <w:rPr>
          <w:rFonts w:hint="eastAsia" w:ascii="仿宋" w:hAnsi="仿宋" w:eastAsia="仿宋" w:cs="仿宋"/>
          <w:b w:val="0"/>
          <w:color w:val="auto"/>
          <w:sz w:val="21"/>
          <w:szCs w:val="21"/>
        </w:rPr>
        <w:t>（具体以投标人须知前附表或投标文件格式规定为准）</w:t>
      </w:r>
      <w:bookmarkEnd w:id="126"/>
      <w:bookmarkEnd w:id="127"/>
      <w:r>
        <w:rPr>
          <w:rFonts w:hint="eastAsia" w:ascii="仿宋" w:hAnsi="仿宋" w:eastAsia="仿宋" w:cs="仿宋"/>
          <w:b w:val="0"/>
          <w:color w:val="auto"/>
          <w:sz w:val="21"/>
          <w:szCs w:val="21"/>
        </w:rPr>
        <w:t>，</w:t>
      </w:r>
      <w:r>
        <w:rPr>
          <w:rFonts w:hint="eastAsia" w:ascii="仿宋" w:hAnsi="仿宋" w:eastAsia="仿宋" w:cs="仿宋"/>
          <w:bCs/>
          <w:color w:val="auto"/>
          <w:sz w:val="21"/>
          <w:szCs w:val="21"/>
        </w:rPr>
        <w:t>否则按无效投标处理</w:t>
      </w:r>
      <w:r>
        <w:rPr>
          <w:rFonts w:hint="eastAsia" w:ascii="仿宋" w:hAnsi="仿宋" w:eastAsia="仿宋" w:cs="仿宋"/>
          <w:b w:val="0"/>
          <w:color w:val="auto"/>
          <w:sz w:val="21"/>
          <w:szCs w:val="21"/>
        </w:rPr>
        <w:t>。</w:t>
      </w:r>
    </w:p>
    <w:p w14:paraId="031E5771">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19.4投标文件中标注的投标人名称应与主体资格证明（如营业执照、事业单位法人证书、执业许可证、自然人身份证等）及公章一致，</w:t>
      </w:r>
      <w:r>
        <w:rPr>
          <w:rFonts w:hint="eastAsia" w:ascii="仿宋" w:hAnsi="仿宋" w:eastAsia="仿宋" w:cs="仿宋"/>
          <w:color w:val="auto"/>
          <w:sz w:val="21"/>
          <w:szCs w:val="21"/>
        </w:rPr>
        <w:t>否则按无效投标处理</w:t>
      </w:r>
      <w:r>
        <w:rPr>
          <w:rFonts w:hint="eastAsia" w:ascii="仿宋" w:hAnsi="仿宋" w:eastAsia="仿宋" w:cs="仿宋"/>
          <w:b w:val="0"/>
          <w:color w:val="auto"/>
          <w:sz w:val="21"/>
          <w:szCs w:val="21"/>
        </w:rPr>
        <w:t>。</w:t>
      </w:r>
    </w:p>
    <w:p w14:paraId="3E0D3822">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C2F3F08">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20.投标文件的加密、解密</w:t>
      </w:r>
    </w:p>
    <w:p w14:paraId="5B91D5BE">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20.1电子投标文件编制完成后，投标人应按广西政府采购云平台的要求进行加密，并在规定时间内解密，否则，由此产生的后果由投标人自行负责。</w:t>
      </w:r>
    </w:p>
    <w:p w14:paraId="04C1D0F0">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21.投标文件的提交</w:t>
      </w:r>
    </w:p>
    <w:p w14:paraId="1A7944C8">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bookmarkStart w:id="128" w:name="_21.1投标人必须在“投标人须知中的前附表”规定的投标文件接收时间和投"/>
      <w:bookmarkEnd w:id="128"/>
      <w:r>
        <w:rPr>
          <w:rFonts w:hint="eastAsia" w:ascii="仿宋" w:hAnsi="仿宋" w:eastAsia="仿宋" w:cs="仿宋"/>
          <w:b w:val="0"/>
          <w:color w:val="auto"/>
          <w:sz w:val="21"/>
          <w:szCs w:val="21"/>
        </w:rPr>
        <w:t>21.1投标人必须在“投标人须知前附表”规定的投标文件接收时间和投标地点提交投标文件。</w:t>
      </w:r>
    </w:p>
    <w:p w14:paraId="39506BF9">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D4AF597">
      <w:pPr>
        <w:pStyle w:val="5"/>
        <w:keepNext w:val="0"/>
        <w:keepLines w:val="0"/>
        <w:numPr>
          <w:ilvl w:val="0"/>
          <w:numId w:val="0"/>
        </w:numPr>
        <w:spacing w:before="0" w:after="0" w:line="360" w:lineRule="auto"/>
        <w:ind w:firstLine="420" w:firstLineChars="200"/>
        <w:jc w:val="left"/>
        <w:rPr>
          <w:rFonts w:hint="eastAsia" w:ascii="仿宋" w:hAnsi="仿宋" w:eastAsia="仿宋" w:cs="仿宋"/>
          <w:b w:val="0"/>
          <w:color w:val="auto"/>
          <w:sz w:val="21"/>
          <w:szCs w:val="21"/>
        </w:rPr>
      </w:pPr>
      <w:r>
        <w:rPr>
          <w:rFonts w:hint="eastAsia" w:ascii="仿宋" w:hAnsi="仿宋" w:eastAsia="仿宋" w:cs="仿宋"/>
          <w:b w:val="0"/>
          <w:color w:val="auto"/>
          <w:sz w:val="21"/>
          <w:szCs w:val="21"/>
        </w:rPr>
        <w:t>21.3未在规定时间内上传或者未按广西政府采购云平台的要求编制、加密的电子投标文件，广西政府采购云平台将拒收。</w:t>
      </w:r>
    </w:p>
    <w:p w14:paraId="1FBC7C4C">
      <w:pPr>
        <w:pStyle w:val="6"/>
        <w:rPr>
          <w:rFonts w:hint="eastAsia" w:ascii="仿宋" w:hAnsi="仿宋" w:eastAsia="仿宋" w:cs="仿宋"/>
          <w:color w:val="auto"/>
        </w:rPr>
      </w:pPr>
      <w:r>
        <w:rPr>
          <w:rFonts w:hint="eastAsia" w:ascii="仿宋" w:hAnsi="仿宋" w:eastAsia="仿宋" w:cs="仿宋"/>
          <w:color w:val="auto"/>
          <w:szCs w:val="21"/>
        </w:rPr>
        <w:t>21.4电子投标文件提交方式见“招标公告”中“四、提交投标文件截止时间、开标时间和地点”</w:t>
      </w:r>
    </w:p>
    <w:p w14:paraId="1CF92C4E">
      <w:pPr>
        <w:pStyle w:val="6"/>
        <w:rPr>
          <w:rFonts w:hint="eastAsia" w:ascii="仿宋" w:hAnsi="仿宋" w:eastAsia="仿宋" w:cs="仿宋"/>
          <w:color w:val="auto"/>
        </w:rPr>
      </w:pPr>
    </w:p>
    <w:p w14:paraId="1E2564C2">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22. 投标文件的补充、修改、撤回与退回</w:t>
      </w:r>
    </w:p>
    <w:p w14:paraId="1B9737B4">
      <w:pPr>
        <w:snapToGrid w:val="0"/>
        <w:spacing w:line="360" w:lineRule="auto"/>
        <w:ind w:firstLine="420"/>
        <w:jc w:val="left"/>
        <w:rPr>
          <w:rFonts w:hint="eastAsia" w:ascii="仿宋" w:hAnsi="仿宋" w:eastAsia="仿宋" w:cs="仿宋"/>
          <w:color w:val="auto"/>
          <w:szCs w:val="21"/>
        </w:rPr>
      </w:pPr>
      <w:bookmarkStart w:id="129" w:name="_Toc254970543"/>
      <w:bookmarkStart w:id="130" w:name="_Toc254970684"/>
      <w:r>
        <w:rPr>
          <w:rFonts w:hint="eastAsia" w:ascii="仿宋" w:hAnsi="仿宋" w:eastAsia="仿宋" w:cs="仿宋"/>
          <w:color w:val="auto"/>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9"/>
    <w:bookmarkEnd w:id="130"/>
    <w:p w14:paraId="1340A3F9">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31DF480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22.3 投标人在投标截止时间后书面通知采购人、采购代理机构撤销投标文件的，将根据本须知正文18.4的规定不予退还其投标保证金。</w:t>
      </w:r>
    </w:p>
    <w:p w14:paraId="5DDBBDDD">
      <w:pPr>
        <w:pStyle w:val="19"/>
        <w:snapToGrid w:val="0"/>
        <w:spacing w:line="360" w:lineRule="auto"/>
        <w:ind w:firstLine="739"/>
        <w:rPr>
          <w:rFonts w:hint="eastAsia" w:ascii="仿宋" w:hAnsi="仿宋" w:eastAsia="仿宋" w:cs="仿宋"/>
          <w:snapToGrid w:val="0"/>
          <w:color w:val="auto"/>
          <w:sz w:val="21"/>
          <w:szCs w:val="21"/>
        </w:rPr>
      </w:pPr>
    </w:p>
    <w:p w14:paraId="520FA864">
      <w:pPr>
        <w:pStyle w:val="4"/>
        <w:keepNext w:val="0"/>
        <w:keepLines w:val="0"/>
        <w:jc w:val="center"/>
        <w:rPr>
          <w:rFonts w:hint="eastAsia" w:ascii="仿宋" w:hAnsi="仿宋" w:eastAsia="仿宋" w:cs="仿宋"/>
          <w:color w:val="auto"/>
        </w:rPr>
      </w:pPr>
      <w:bookmarkStart w:id="131" w:name="_Toc254970544"/>
      <w:bookmarkStart w:id="132" w:name="_Toc254970685"/>
      <w:r>
        <w:rPr>
          <w:rFonts w:hint="eastAsia" w:ascii="仿宋" w:hAnsi="仿宋" w:eastAsia="仿宋" w:cs="仿宋"/>
          <w:color w:val="auto"/>
        </w:rPr>
        <w:t>四、开    标</w:t>
      </w:r>
      <w:bookmarkEnd w:id="131"/>
      <w:bookmarkEnd w:id="132"/>
    </w:p>
    <w:p w14:paraId="3DBBEDC1">
      <w:pPr>
        <w:pStyle w:val="5"/>
        <w:keepNext w:val="0"/>
        <w:keepLines w:val="0"/>
        <w:spacing w:before="0" w:after="0" w:line="360" w:lineRule="auto"/>
        <w:ind w:left="420" w:leftChars="200"/>
        <w:rPr>
          <w:rFonts w:hint="eastAsia" w:ascii="仿宋" w:hAnsi="仿宋" w:eastAsia="仿宋" w:cs="仿宋"/>
          <w:color w:val="auto"/>
          <w:sz w:val="24"/>
        </w:rPr>
      </w:pPr>
      <w:bookmarkStart w:id="133" w:name="_23.开标时间和地点"/>
      <w:bookmarkEnd w:id="133"/>
      <w:r>
        <w:rPr>
          <w:rFonts w:hint="eastAsia" w:ascii="仿宋" w:hAnsi="仿宋" w:eastAsia="仿宋" w:cs="仿宋"/>
          <w:color w:val="auto"/>
          <w:sz w:val="24"/>
        </w:rPr>
        <w:t>23.开标时间和地点</w:t>
      </w:r>
    </w:p>
    <w:p w14:paraId="6D9CCE64">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23.1开标时间及地点详见“投标人须知前附表”</w:t>
      </w:r>
    </w:p>
    <w:p w14:paraId="33A6C4E5">
      <w:pPr>
        <w:snapToGrid w:val="0"/>
        <w:spacing w:line="360" w:lineRule="auto"/>
        <w:ind w:firstLine="420"/>
        <w:jc w:val="left"/>
        <w:rPr>
          <w:rFonts w:hint="eastAsia" w:ascii="仿宋" w:hAnsi="仿宋" w:eastAsia="仿宋" w:cs="仿宋"/>
          <w:color w:val="auto"/>
          <w:szCs w:val="21"/>
        </w:rPr>
      </w:pPr>
      <w:r>
        <w:rPr>
          <w:rFonts w:hint="eastAsia" w:ascii="仿宋" w:hAnsi="仿宋" w:eastAsia="仿宋" w:cs="仿宋"/>
          <w:color w:val="auto"/>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14:paraId="1FDC54B1">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24.开标程序</w:t>
      </w:r>
    </w:p>
    <w:p w14:paraId="62A9D96C">
      <w:pPr>
        <w:autoSpaceDE w:val="0"/>
        <w:autoSpaceDN w:val="0"/>
        <w:adjustRightInd w:val="0"/>
        <w:spacing w:line="440" w:lineRule="exact"/>
        <w:ind w:firstLine="420" w:firstLineChars="200"/>
        <w:rPr>
          <w:rFonts w:hint="eastAsia" w:ascii="仿宋" w:hAnsi="仿宋" w:eastAsia="仿宋" w:cs="仿宋"/>
          <w:color w:val="auto"/>
          <w:kern w:val="0"/>
          <w:szCs w:val="21"/>
        </w:rPr>
      </w:pPr>
      <w:r>
        <w:rPr>
          <w:rFonts w:hint="eastAsia" w:ascii="仿宋" w:hAnsi="仿宋" w:eastAsia="仿宋" w:cs="仿宋"/>
          <w:bCs/>
          <w:color w:val="auto"/>
          <w:szCs w:val="21"/>
        </w:rPr>
        <w:t>24.1</w:t>
      </w:r>
      <w:r>
        <w:rPr>
          <w:rFonts w:hint="eastAsia" w:ascii="仿宋" w:hAnsi="仿宋" w:eastAsia="仿宋" w:cs="仿宋"/>
          <w:color w:val="auto"/>
          <w:kern w:val="0"/>
          <w:szCs w:val="21"/>
        </w:rPr>
        <w:t>开标形式：</w:t>
      </w:r>
    </w:p>
    <w:p w14:paraId="2906FD3F">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C2E1AC7">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24.2开标程序：</w:t>
      </w:r>
    </w:p>
    <w:p w14:paraId="5FC6034E">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color w:val="auto"/>
          <w:szCs w:val="21"/>
        </w:rPr>
        <w:t>投标人的法定代表人或其委托代理人须携带加密时所用的CA锁准时登录到广西政府采购云平台电子开标大厅签到</w:t>
      </w:r>
      <w:r>
        <w:rPr>
          <w:rFonts w:hint="eastAsia" w:ascii="仿宋" w:hAnsi="仿宋" w:eastAsia="仿宋" w:cs="仿宋"/>
          <w:b/>
          <w:color w:val="auto"/>
          <w:szCs w:val="21"/>
        </w:rPr>
        <w:t>并在发起解密</w:t>
      </w:r>
      <w:r>
        <w:rPr>
          <w:rFonts w:hint="eastAsia" w:ascii="仿宋" w:hAnsi="仿宋" w:eastAsia="仿宋" w:cs="仿宋"/>
          <w:b/>
          <w:bCs/>
          <w:color w:val="auto"/>
          <w:szCs w:val="21"/>
        </w:rPr>
        <w:t>通知</w:t>
      </w:r>
      <w:r>
        <w:rPr>
          <w:rFonts w:hint="eastAsia" w:ascii="仿宋" w:hAnsi="仿宋" w:eastAsia="仿宋" w:cs="仿宋"/>
          <w:b/>
          <w:color w:val="auto"/>
          <w:szCs w:val="21"/>
        </w:rPr>
        <w:t>之时起30分钟内完成</w:t>
      </w:r>
      <w:r>
        <w:rPr>
          <w:rFonts w:hint="eastAsia" w:ascii="仿宋" w:hAnsi="仿宋" w:eastAsia="仿宋" w:cs="仿宋"/>
          <w:b/>
          <w:bCs/>
          <w:color w:val="auto"/>
          <w:szCs w:val="21"/>
        </w:rPr>
        <w:t>对电子投标文件解密。投标文件未按时解密的，视为无效投标。</w:t>
      </w:r>
      <w:r>
        <w:rPr>
          <w:rFonts w:hint="eastAsia" w:ascii="仿宋" w:hAnsi="仿宋" w:eastAsia="仿宋" w:cs="仿宋"/>
          <w:bCs/>
          <w:color w:val="auto"/>
          <w:szCs w:val="21"/>
        </w:rPr>
        <w:t>（解密异常情况处理：详见本章29.4 电子交易活动的中止）</w:t>
      </w:r>
    </w:p>
    <w:p w14:paraId="4A79BE52">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（2）电子唱标。投标文件解密结束，各投标供应商报价均在广西政府采购云平台远程不见面开标大厅展示；</w:t>
      </w:r>
    </w:p>
    <w:p w14:paraId="3B873AB6">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（3）签署电子《政府采购活动现场确认声明书》。通过邮件形式在远程不见面开标大厅发送各投标人签署电子《政府采购活动现场确认声明书》。</w:t>
      </w:r>
    </w:p>
    <w:p w14:paraId="4DE439AC">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4785685B">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40141F9">
      <w:pPr>
        <w:autoSpaceDE w:val="0"/>
        <w:autoSpaceDN w:val="0"/>
        <w:adjustRightInd w:val="0"/>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（6）开标结束。</w:t>
      </w:r>
    </w:p>
    <w:p w14:paraId="1F4CE246">
      <w:pPr>
        <w:autoSpaceDE w:val="0"/>
        <w:autoSpaceDN w:val="0"/>
        <w:adjustRightInd w:val="0"/>
        <w:spacing w:line="440" w:lineRule="exact"/>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特别说明：如遇广西政府采购云平台电子化开标或评审程序调整的，按调整后执行。</w:t>
      </w:r>
    </w:p>
    <w:p w14:paraId="639151B9">
      <w:pPr>
        <w:pStyle w:val="25"/>
        <w:snapToGrid w:val="0"/>
        <w:spacing w:line="360" w:lineRule="auto"/>
        <w:ind w:left="689" w:leftChars="228" w:hanging="210" w:hangingChars="100"/>
        <w:rPr>
          <w:rFonts w:hint="eastAsia" w:ascii="仿宋" w:hAnsi="仿宋" w:eastAsia="仿宋" w:cs="仿宋"/>
          <w:color w:val="auto"/>
          <w:sz w:val="21"/>
        </w:rPr>
      </w:pPr>
    </w:p>
    <w:p w14:paraId="58F90C2F">
      <w:pPr>
        <w:pStyle w:val="4"/>
        <w:keepNext w:val="0"/>
        <w:keepLines w:val="0"/>
        <w:jc w:val="center"/>
        <w:rPr>
          <w:rFonts w:hint="eastAsia" w:ascii="仿宋" w:hAnsi="仿宋" w:eastAsia="仿宋" w:cs="仿宋"/>
          <w:color w:val="auto"/>
        </w:rPr>
      </w:pPr>
      <w:r>
        <w:rPr>
          <w:rFonts w:hint="eastAsia" w:ascii="仿宋" w:hAnsi="仿宋" w:eastAsia="仿宋" w:cs="仿宋"/>
          <w:color w:val="auto"/>
        </w:rPr>
        <w:t>五、资格审查</w:t>
      </w:r>
    </w:p>
    <w:p w14:paraId="65554914">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25.资格审查</w:t>
      </w:r>
    </w:p>
    <w:p w14:paraId="13E17496">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25.1开标结束后，采购人或者采购代理机构依法对投标人的资格进行审查。</w:t>
      </w:r>
    </w:p>
    <w:p w14:paraId="4B425CAF">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4BEA7646">
      <w:pPr>
        <w:pStyle w:val="5"/>
        <w:keepNext w:val="0"/>
        <w:keepLines w:val="0"/>
        <w:numPr>
          <w:ilvl w:val="0"/>
          <w:numId w:val="0"/>
        </w:numPr>
        <w:spacing w:before="0" w:after="0" w:line="360" w:lineRule="auto"/>
        <w:ind w:firstLine="422" w:firstLineChars="200"/>
        <w:rPr>
          <w:rFonts w:hint="eastAsia" w:ascii="仿宋" w:hAnsi="仿宋" w:eastAsia="仿宋" w:cs="仿宋"/>
          <w:color w:val="auto"/>
          <w:sz w:val="21"/>
          <w:szCs w:val="21"/>
        </w:rPr>
      </w:pPr>
      <w:bookmarkStart w:id="134" w:name="_25.3_投标人有下列情形之一的，资格审查不通过而导致其投标无效："/>
      <w:bookmarkEnd w:id="134"/>
      <w:r>
        <w:rPr>
          <w:rFonts w:hint="eastAsia" w:ascii="仿宋" w:hAnsi="仿宋" w:eastAsia="仿宋" w:cs="仿宋"/>
          <w:color w:val="auto"/>
          <w:sz w:val="21"/>
          <w:szCs w:val="21"/>
        </w:rPr>
        <w:t>25.3 投标人有下列情形之一的，资格审查不通过，作无效投标处理：</w:t>
      </w:r>
    </w:p>
    <w:p w14:paraId="7CC826F4">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（1）未按招标文件规定的方式获取本招标文件的投标人；</w:t>
      </w:r>
    </w:p>
    <w:p w14:paraId="258B6271">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（2）不具备招标文件中规定的资格要求的；</w:t>
      </w:r>
    </w:p>
    <w:p w14:paraId="6F4C5001">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5DA63717">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4C9C4997">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（5）投标文件中的资格证明文件缺少任一项“投标人须知前附表”资格证明文件规定“必须提供”的文件资料的；</w:t>
      </w:r>
    </w:p>
    <w:p w14:paraId="22C016B3">
      <w:pPr>
        <w:pStyle w:val="25"/>
        <w:snapToGrid w:val="0"/>
        <w:spacing w:line="360" w:lineRule="auto"/>
        <w:ind w:firstLine="422" w:firstLineChars="200"/>
        <w:rPr>
          <w:rFonts w:hint="eastAsia" w:ascii="仿宋" w:hAnsi="仿宋" w:eastAsia="仿宋" w:cs="仿宋"/>
          <w:b/>
          <w:color w:val="auto"/>
          <w:sz w:val="21"/>
        </w:rPr>
      </w:pPr>
      <w:r>
        <w:rPr>
          <w:rFonts w:hint="eastAsia" w:ascii="仿宋" w:hAnsi="仿宋" w:eastAsia="仿宋" w:cs="仿宋"/>
          <w:b/>
          <w:color w:val="auto"/>
          <w:sz w:val="21"/>
        </w:rPr>
        <w:t>（6）投标文件中的资格证明文件出现任一项不符合“投标人须知前附表”资格证明文件规定“必须提供”的文件资料要求或者无效的。</w:t>
      </w:r>
    </w:p>
    <w:p w14:paraId="3E3399A2">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color w:val="auto"/>
          <w:sz w:val="21"/>
          <w:szCs w:val="21"/>
        </w:rPr>
        <w:t>25.4合格投标人不足3家的，不得评标。</w:t>
      </w:r>
    </w:p>
    <w:p w14:paraId="5C99B610">
      <w:pPr>
        <w:pStyle w:val="25"/>
        <w:snapToGrid w:val="0"/>
        <w:spacing w:line="360" w:lineRule="auto"/>
        <w:ind w:left="689" w:leftChars="228" w:hanging="210" w:hangingChars="100"/>
        <w:rPr>
          <w:rFonts w:hint="eastAsia" w:ascii="仿宋" w:hAnsi="仿宋" w:eastAsia="仿宋" w:cs="仿宋"/>
          <w:color w:val="auto"/>
          <w:sz w:val="21"/>
        </w:rPr>
      </w:pPr>
    </w:p>
    <w:p w14:paraId="0FEA7854">
      <w:pPr>
        <w:pStyle w:val="4"/>
        <w:keepNext w:val="0"/>
        <w:keepLines w:val="0"/>
        <w:jc w:val="center"/>
        <w:rPr>
          <w:rFonts w:hint="eastAsia" w:ascii="仿宋" w:hAnsi="仿宋" w:eastAsia="仿宋" w:cs="仿宋"/>
          <w:color w:val="auto"/>
        </w:rPr>
      </w:pPr>
      <w:r>
        <w:rPr>
          <w:rFonts w:hint="eastAsia" w:ascii="仿宋" w:hAnsi="仿宋" w:eastAsia="仿宋" w:cs="仿宋"/>
          <w:color w:val="auto"/>
        </w:rPr>
        <w:t>六、评   标</w:t>
      </w:r>
    </w:p>
    <w:p w14:paraId="3116F34D">
      <w:pPr>
        <w:pStyle w:val="5"/>
        <w:keepNext w:val="0"/>
        <w:keepLines w:val="0"/>
        <w:spacing w:before="0" w:after="0" w:line="360" w:lineRule="auto"/>
        <w:ind w:left="420" w:leftChars="200"/>
        <w:rPr>
          <w:rFonts w:hint="eastAsia" w:ascii="仿宋" w:hAnsi="仿宋" w:eastAsia="仿宋" w:cs="仿宋"/>
          <w:color w:val="auto"/>
          <w:sz w:val="24"/>
        </w:rPr>
      </w:pPr>
      <w:bookmarkStart w:id="135" w:name="_26.组建评标委员会"/>
      <w:bookmarkEnd w:id="135"/>
      <w:r>
        <w:rPr>
          <w:rFonts w:hint="eastAsia" w:ascii="仿宋" w:hAnsi="仿宋" w:eastAsia="仿宋" w:cs="仿宋"/>
          <w:color w:val="auto"/>
          <w:sz w:val="24"/>
        </w:rPr>
        <w:t>26.组建评标委员会</w:t>
      </w:r>
    </w:p>
    <w:p w14:paraId="5880A112">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评标委员会由采购人代表和评审专家组成，具体人数详见“投标人须知前附表”，其中评审专家不得少于成员总数的三分之二。</w:t>
      </w:r>
    </w:p>
    <w:p w14:paraId="59B0100C">
      <w:pPr>
        <w:pStyle w:val="25"/>
        <w:snapToGrid w:val="0"/>
        <w:spacing w:line="360" w:lineRule="auto"/>
        <w:ind w:left="2" w:leftChars="1" w:firstLine="420" w:firstLineChars="200"/>
        <w:rPr>
          <w:rFonts w:hint="eastAsia" w:ascii="仿宋" w:hAnsi="仿宋" w:eastAsia="仿宋" w:cs="仿宋"/>
          <w:color w:val="auto"/>
          <w:sz w:val="21"/>
        </w:rPr>
      </w:pPr>
      <w:r>
        <w:rPr>
          <w:rFonts w:hint="eastAsia" w:ascii="仿宋" w:hAnsi="仿宋" w:eastAsia="仿宋" w:cs="仿宋"/>
          <w:color w:val="auto"/>
          <w:sz w:val="21"/>
        </w:rPr>
        <w:t>参加过采购项目前期咨询论证的专家，不得参加该采购项目的评审活动。</w:t>
      </w:r>
    </w:p>
    <w:p w14:paraId="52647466">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27.评标的依据</w:t>
      </w:r>
    </w:p>
    <w:p w14:paraId="72D2574D">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评标委员会以“第四章 评标方法和评标标准”为依据对投标文件进行评审，没有规定的方法、评审因素和标准，不作为评标依据。</w:t>
      </w:r>
    </w:p>
    <w:p w14:paraId="0A6C148B">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28.评标原则</w:t>
      </w:r>
    </w:p>
    <w:p w14:paraId="6F5CDDCD">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B60259">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28.2</w:t>
      </w:r>
      <w:bookmarkStart w:id="136" w:name="_28.3评标方法。本项目将按须知前附表规定的评标办法进行评标，具体评标"/>
      <w:bookmarkEnd w:id="136"/>
      <w:r>
        <w:rPr>
          <w:rFonts w:hint="eastAsia" w:ascii="仿宋" w:hAnsi="仿宋" w:eastAsia="仿宋" w:cs="仿宋"/>
          <w:color w:val="auto"/>
          <w:sz w:val="21"/>
        </w:rPr>
        <w:t>评委表决。评标委员会成员对需要共同认定的事项存在争议的，应当按照少数服从多数的原则作出结论。</w:t>
      </w:r>
    </w:p>
    <w:p w14:paraId="5984FA5B">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D854FB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28.4评标过程的监控。本项目评标过程实行全程录音、录像监控，</w:t>
      </w:r>
      <w:r>
        <w:rPr>
          <w:rFonts w:hint="eastAsia" w:ascii="仿宋" w:hAnsi="仿宋" w:eastAsia="仿宋" w:cs="仿宋"/>
          <w:b/>
          <w:bCs/>
          <w:color w:val="auto"/>
          <w:sz w:val="21"/>
        </w:rPr>
        <w:t>投标人在评标过程中所进行的试图影响评标结果的不公正活动，可能导致其投标无效</w:t>
      </w:r>
      <w:r>
        <w:rPr>
          <w:rFonts w:hint="eastAsia" w:ascii="仿宋" w:hAnsi="仿宋" w:eastAsia="仿宋" w:cs="仿宋"/>
          <w:color w:val="auto"/>
          <w:sz w:val="21"/>
        </w:rPr>
        <w:t>。</w:t>
      </w:r>
    </w:p>
    <w:p w14:paraId="5E503DCD">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29.评标方法及中标候选人推荐</w:t>
      </w:r>
    </w:p>
    <w:p w14:paraId="475FDA42">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29.1本项目的评标方法详见“投标人须知前附表”。</w:t>
      </w:r>
    </w:p>
    <w:p w14:paraId="4344E853">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29.2 中标候选人推荐数量详见“投标人须知前附表”。</w:t>
      </w:r>
    </w:p>
    <w:p w14:paraId="4591838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29.3评标委员会将按照“第四章 评标方法和评标标准”规定的方法、评审因素、标准和程序对投标文件进行评审。</w:t>
      </w:r>
    </w:p>
    <w:p w14:paraId="7A6FC7E7">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29.4电子交易活动的中止。采购过程中出现以下情形，导致电子交易平台无法正常运行，或者无法保证电子交易的公平、公正和安全时，采购代理机构可中止电子交易活动：</w:t>
      </w:r>
    </w:p>
    <w:p w14:paraId="2D54DE6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（1）电子交易平台发生故障而无法登录访问的； </w:t>
      </w:r>
    </w:p>
    <w:p w14:paraId="2BE50E6E">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（2）电子交易平台应用或数据库出现错误，不能进行正常操作的；</w:t>
      </w:r>
    </w:p>
    <w:p w14:paraId="0D6752DA">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（3）电子交易平台发现严重安全漏洞，有潜在泄密危险的；</w:t>
      </w:r>
    </w:p>
    <w:p w14:paraId="4FE23436">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（4）病毒发作导致不能进行正常操作的； </w:t>
      </w:r>
    </w:p>
    <w:p w14:paraId="33F9CC3E">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（4）其他无法保证电子交易的公平、公正和安全的情况。</w:t>
      </w:r>
    </w:p>
    <w:p w14:paraId="111D2B16">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29.5出现以上情形，不影响采购公平、公正性的，采购代理机构可以待上述情形消除后继续组织电子交易活动；影响或可能影响采购公平、公正性的，经采购代理机构确认后，应当重新采购。</w:t>
      </w:r>
    </w:p>
    <w:p w14:paraId="270AA630">
      <w:pPr>
        <w:pStyle w:val="25"/>
        <w:snapToGrid w:val="0"/>
        <w:spacing w:line="360" w:lineRule="auto"/>
        <w:rPr>
          <w:rFonts w:hint="eastAsia" w:ascii="仿宋" w:hAnsi="仿宋" w:eastAsia="仿宋" w:cs="仿宋"/>
          <w:color w:val="auto"/>
          <w:sz w:val="21"/>
        </w:rPr>
      </w:pPr>
    </w:p>
    <w:p w14:paraId="5E9645F2">
      <w:pPr>
        <w:pStyle w:val="4"/>
        <w:keepNext w:val="0"/>
        <w:keepLines w:val="0"/>
        <w:jc w:val="center"/>
        <w:rPr>
          <w:rFonts w:hint="eastAsia" w:ascii="仿宋" w:hAnsi="仿宋" w:eastAsia="仿宋" w:cs="仿宋"/>
          <w:color w:val="auto"/>
        </w:rPr>
      </w:pPr>
      <w:bookmarkStart w:id="137" w:name="_Toc254970546"/>
      <w:bookmarkStart w:id="138" w:name="_Toc254970687"/>
      <w:r>
        <w:rPr>
          <w:rFonts w:hint="eastAsia" w:ascii="仿宋" w:hAnsi="仿宋" w:eastAsia="仿宋" w:cs="仿宋"/>
          <w:color w:val="auto"/>
        </w:rPr>
        <w:t>七、</w:t>
      </w:r>
      <w:bookmarkEnd w:id="137"/>
      <w:bookmarkEnd w:id="138"/>
      <w:r>
        <w:rPr>
          <w:rFonts w:hint="eastAsia" w:ascii="仿宋" w:hAnsi="仿宋" w:eastAsia="仿宋" w:cs="仿宋"/>
          <w:color w:val="auto"/>
        </w:rPr>
        <w:t>中标和合同</w:t>
      </w:r>
    </w:p>
    <w:p w14:paraId="46062BD5">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30 确定中标人</w:t>
      </w:r>
    </w:p>
    <w:p w14:paraId="75CC58D3">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B789DA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30.2采购人在收到评标报告5个工作日内未按评标报告推荐的中标候选人顺序确定中标人，又不能说明合法理由的，视同按评标报告推荐的顺序确定排名第一的中标候选人为中标人。</w:t>
      </w:r>
    </w:p>
    <w:p w14:paraId="1D45B59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30.3出现下列情形之一的，应予废标：</w:t>
      </w:r>
    </w:p>
    <w:p w14:paraId="1655119E">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（1）符合专业条件的供应商或者对招标文件作实质响应的供应商不足三家的；</w:t>
      </w:r>
    </w:p>
    <w:p w14:paraId="58919C1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（2）出现影响采购公正的违法、违规行为的；</w:t>
      </w:r>
    </w:p>
    <w:p w14:paraId="651EC379">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（3）投标人的报价均超过了采购预算，采购人不能支付的；</w:t>
      </w:r>
    </w:p>
    <w:p w14:paraId="683DE8F9">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（4）因重大变故，采购任务取消的。</w:t>
      </w:r>
    </w:p>
    <w:p w14:paraId="2A1F8781">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废标后，采购人应当将废标理由通知所有投标人。</w:t>
      </w:r>
    </w:p>
    <w:p w14:paraId="169E1AAF">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A72759A">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31. 结果公告</w:t>
      </w:r>
    </w:p>
    <w:p w14:paraId="24168078">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31.1采购人或者采购代理机构应当自中标人确定之日起2个工作日内，在省级以上财政部门指定的媒体上公告中标结果，招标文件应当随中标结果同时公告。</w:t>
      </w:r>
      <w:r>
        <w:rPr>
          <w:rFonts w:hint="eastAsia" w:ascii="仿宋" w:hAnsi="仿宋" w:eastAsia="仿宋" w:cs="仿宋"/>
          <w:color w:val="auto"/>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cs="仿宋"/>
          <w:b w:val="0"/>
          <w:color w:val="auto"/>
          <w:sz w:val="21"/>
          <w:szCs w:val="21"/>
        </w:rPr>
        <w:t>排名第二的中标候选人因前款规定的同样原因被取消中标资格的，采购人可以确定排名第三的中标候选人为中标人，以此类推。以上信息查询记录及相关证据与采购文件一并保存。</w:t>
      </w:r>
    </w:p>
    <w:p w14:paraId="0E4B482C">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791C8BE2">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32.发出中标通知书</w:t>
      </w:r>
    </w:p>
    <w:p w14:paraId="572F5D61">
      <w:pPr>
        <w:pStyle w:val="5"/>
        <w:keepNext w:val="0"/>
        <w:keepLines w:val="0"/>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4F1E2AE1">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33. 无义务解释未中标原因</w:t>
      </w:r>
    </w:p>
    <w:p w14:paraId="535FCF01">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采购代理机构无义务向未中标的投标人解释未中标原因和退还投标文件。</w:t>
      </w:r>
    </w:p>
    <w:p w14:paraId="1D954E54">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34.合同授予标准</w:t>
      </w:r>
    </w:p>
    <w:p w14:paraId="03EAB4C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合同将授予被确定实质上响应招标文件要求，具备履行合同能力的中标人（招标文件另有约定多名中标人的除外）。</w:t>
      </w:r>
    </w:p>
    <w:p w14:paraId="5E24E11F">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35.履约保证金</w:t>
      </w:r>
    </w:p>
    <w:p w14:paraId="47DD4504">
      <w:pPr>
        <w:pStyle w:val="5"/>
        <w:keepNext w:val="0"/>
        <w:keepLines w:val="0"/>
        <w:spacing w:before="0" w:after="0" w:line="360" w:lineRule="auto"/>
        <w:ind w:firstLine="315" w:firstLineChars="150"/>
        <w:rPr>
          <w:rFonts w:hint="eastAsia" w:ascii="仿宋" w:hAnsi="仿宋" w:eastAsia="仿宋" w:cs="仿宋"/>
          <w:b w:val="0"/>
          <w:color w:val="auto"/>
          <w:sz w:val="21"/>
          <w:szCs w:val="21"/>
        </w:rPr>
      </w:pPr>
      <w:bookmarkStart w:id="139" w:name="_39.1中标人须于签订合同前按本须知前附表规定的金额转账或电汇到指定账"/>
      <w:bookmarkEnd w:id="139"/>
      <w:r>
        <w:rPr>
          <w:rFonts w:hint="eastAsia" w:ascii="仿宋" w:hAnsi="仿宋" w:eastAsia="仿宋" w:cs="仿宋"/>
          <w:b w:val="0"/>
          <w:color w:val="auto"/>
          <w:sz w:val="21"/>
          <w:szCs w:val="21"/>
        </w:rPr>
        <w:t xml:space="preserve"> 35.1 履约保证金的金额、提交方式、退付的时间和条件详见 “投标人须知前附表”。中标人未按规定提交履约保证金的，视为拒绝与采购人签订合同。</w:t>
      </w:r>
    </w:p>
    <w:p w14:paraId="0EAD93BB">
      <w:pPr>
        <w:pStyle w:val="5"/>
        <w:keepNext w:val="0"/>
        <w:keepLines w:val="0"/>
        <w:spacing w:before="0" w:after="0" w:line="360" w:lineRule="auto"/>
        <w:ind w:firstLine="316" w:firstLineChars="15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b w:val="0"/>
          <w:bCs/>
          <w:color w:val="auto"/>
          <w:sz w:val="21"/>
          <w:szCs w:val="21"/>
        </w:rPr>
        <w:t>35.2在履约保证金退还日期前，若中标人的开户名称、开户银行、帐号有变动的，请以书面形式通知履约保证金收取单位，否则由此产生的后果由中标人自行承担。</w:t>
      </w:r>
    </w:p>
    <w:p w14:paraId="34092847">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36.签订合同</w:t>
      </w:r>
    </w:p>
    <w:p w14:paraId="5E5B003C">
      <w:pPr>
        <w:pStyle w:val="5"/>
        <w:keepNext w:val="0"/>
        <w:keepLines w:val="0"/>
        <w:spacing w:before="0" w:after="0" w:line="360" w:lineRule="auto"/>
        <w:ind w:firstLine="315" w:firstLineChars="150"/>
        <w:rPr>
          <w:rFonts w:hint="eastAsia" w:ascii="仿宋" w:hAnsi="仿宋" w:eastAsia="仿宋" w:cs="仿宋"/>
          <w:b w:val="0"/>
          <w:bCs/>
          <w:color w:val="auto"/>
          <w:sz w:val="21"/>
          <w:szCs w:val="21"/>
        </w:rPr>
      </w:pPr>
      <w:bookmarkStart w:id="140" w:name="_40.1投标人接到中标通知书后，按须知前附表规定向采购人出示相关资格证"/>
      <w:bookmarkEnd w:id="140"/>
      <w:r>
        <w:rPr>
          <w:rFonts w:hint="eastAsia" w:ascii="仿宋" w:hAnsi="仿宋" w:eastAsia="仿宋" w:cs="仿宋"/>
          <w:b w:val="0"/>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cs="仿宋"/>
          <w:b w:val="0"/>
          <w:bCs/>
          <w:color w:val="auto"/>
          <w:sz w:val="21"/>
          <w:szCs w:val="21"/>
        </w:rPr>
        <w:t>如中标人为联合体的，联合体各方应当共同与采购人签订采购合同，就采购合同约定的事项对采购人承担连带责任。</w:t>
      </w:r>
    </w:p>
    <w:p w14:paraId="6424F2D5">
      <w:pPr>
        <w:pStyle w:val="5"/>
        <w:keepNext w:val="0"/>
        <w:keepLines w:val="0"/>
        <w:numPr>
          <w:ilvl w:val="0"/>
          <w:numId w:val="0"/>
        </w:numPr>
        <w:spacing w:before="0" w:after="0" w:line="360" w:lineRule="auto"/>
        <w:ind w:firstLine="420" w:firstLine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36.2签订合同时间：按中标通知书规定的时间与采购人签订合同（最长不能超过25日）。</w:t>
      </w:r>
    </w:p>
    <w:p w14:paraId="7884CAF0">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36.3中标人拒绝与采购人签订合同的，按照本须知正文第30.4条的规定执行。</w:t>
      </w:r>
    </w:p>
    <w:p w14:paraId="196A592B">
      <w:pPr>
        <w:pStyle w:val="5"/>
        <w:keepNext w:val="0"/>
        <w:keepLines w:val="0"/>
        <w:spacing w:before="0" w:after="0" w:line="360" w:lineRule="auto"/>
        <w:ind w:left="420" w:leftChars="200"/>
        <w:rPr>
          <w:rFonts w:hint="eastAsia" w:ascii="仿宋" w:hAnsi="仿宋" w:eastAsia="仿宋" w:cs="仿宋"/>
          <w:color w:val="auto"/>
          <w:sz w:val="24"/>
        </w:rPr>
      </w:pPr>
      <w:bookmarkStart w:id="141" w:name="_41.政府采购合同公告"/>
      <w:bookmarkEnd w:id="141"/>
      <w:r>
        <w:rPr>
          <w:rFonts w:hint="eastAsia" w:ascii="仿宋" w:hAnsi="仿宋" w:eastAsia="仿宋" w:cs="仿宋"/>
          <w:color w:val="auto"/>
          <w:sz w:val="24"/>
        </w:rPr>
        <w:t>37.政府采购合同公告</w:t>
      </w:r>
    </w:p>
    <w:p w14:paraId="1FEB8364">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91C52B8">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38. 询问、质疑和投诉</w:t>
      </w:r>
    </w:p>
    <w:p w14:paraId="3E9E29F2">
      <w:pPr>
        <w:pStyle w:val="6"/>
        <w:spacing w:line="360" w:lineRule="auto"/>
        <w:rPr>
          <w:rFonts w:hint="eastAsia" w:ascii="仿宋" w:hAnsi="仿宋" w:eastAsia="仿宋" w:cs="仿宋"/>
          <w:color w:val="auto"/>
          <w:szCs w:val="21"/>
        </w:rPr>
      </w:pPr>
      <w:r>
        <w:rPr>
          <w:rFonts w:hint="eastAsia" w:ascii="仿宋" w:hAnsi="仿宋" w:eastAsia="仿宋" w:cs="仿宋"/>
          <w:color w:val="auto"/>
          <w:szCs w:val="21"/>
        </w:rPr>
        <w:t>38.1供应商对政府采购活动事项有疑问的，可以向采购人提出询问，采购人或者采购代理机构应当在3个工作日内对供应商依法提出的询问作出答复，但答复的内容不得涉及商业秘密。</w:t>
      </w:r>
    </w:p>
    <w:p w14:paraId="54BBFF3B">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B3B5DDD">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（1）对可以质疑的招标文件提出质疑的，为收到招标文件之日或者招标文件公告期限届满之日；</w:t>
      </w:r>
    </w:p>
    <w:p w14:paraId="3F8CC28C">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（2）对采购过程提出质疑的，为各采购程序环节结束之日；</w:t>
      </w:r>
    </w:p>
    <w:p w14:paraId="161057D8">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color w:val="auto"/>
          <w:sz w:val="21"/>
        </w:rPr>
        <w:t>（3）对中标结果提出质疑的，为中标结果公告期限届满之日。</w:t>
      </w:r>
    </w:p>
    <w:p w14:paraId="0C06AAED">
      <w:pPr>
        <w:pStyle w:val="5"/>
        <w:keepNext w:val="0"/>
        <w:keepLines w:val="0"/>
        <w:spacing w:before="0" w:after="0" w:line="360" w:lineRule="auto"/>
        <w:ind w:firstLine="315" w:firstLineChars="15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38.3 </w:t>
      </w:r>
      <w:r>
        <w:rPr>
          <w:rFonts w:hint="eastAsia" w:ascii="仿宋" w:hAnsi="仿宋" w:eastAsia="仿宋" w:cs="仿宋"/>
          <w:bCs/>
          <w:color w:val="auto"/>
          <w:sz w:val="21"/>
        </w:rPr>
        <w:t>供应商提出质疑应当提交质疑函和必要的证明材料，针对同一采购程序环节的质疑必须在法定质疑期内一次性提出。质疑函应当包括下列内容（质疑函格式后附）：</w:t>
      </w:r>
    </w:p>
    <w:p w14:paraId="76D7F513">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（1）供应商的姓名或者名称、地址、邮编、联系人及联系电话；</w:t>
      </w:r>
    </w:p>
    <w:p w14:paraId="55E1D5D5">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（2）质疑项目的名称、编号；</w:t>
      </w:r>
    </w:p>
    <w:p w14:paraId="53D53700">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（3）具体、明确的质疑事项和与质疑事项相关的请求；</w:t>
      </w:r>
    </w:p>
    <w:p w14:paraId="35ABE70C">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（4）事实依据；</w:t>
      </w:r>
    </w:p>
    <w:p w14:paraId="1ECB8E5A">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（5）必要的法律依据；</w:t>
      </w:r>
    </w:p>
    <w:p w14:paraId="0220E81E">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（6）提出质疑的日期。</w:t>
      </w:r>
    </w:p>
    <w:p w14:paraId="43757D12">
      <w:pPr>
        <w:pStyle w:val="25"/>
        <w:snapToGrid w:val="0"/>
        <w:spacing w:line="360" w:lineRule="auto"/>
        <w:ind w:firstLine="420" w:firstLineChars="200"/>
        <w:rPr>
          <w:rFonts w:hint="eastAsia" w:ascii="仿宋" w:hAnsi="仿宋" w:eastAsia="仿宋" w:cs="仿宋"/>
          <w:bCs/>
          <w:color w:val="auto"/>
          <w:sz w:val="21"/>
        </w:rPr>
      </w:pPr>
      <w:r>
        <w:rPr>
          <w:rFonts w:hint="eastAsia" w:ascii="仿宋" w:hAnsi="仿宋" w:eastAsia="仿宋" w:cs="仿宋"/>
          <w:bCs/>
          <w:color w:val="auto"/>
          <w:sz w:val="21"/>
        </w:rPr>
        <w:t>供应商为自然人的，应当由本人签字；供应商为法人或者其他组织的，应当由法定代表人、主要负责人，或者其委托代理人签字或者盖章，并加盖公章。</w:t>
      </w:r>
    </w:p>
    <w:p w14:paraId="0D4C01E6">
      <w:pPr>
        <w:pStyle w:val="5"/>
        <w:keepNext w:val="0"/>
        <w:keepLines w:val="0"/>
        <w:snapToGrid w:val="0"/>
        <w:spacing w:before="0" w:after="0" w:line="360" w:lineRule="auto"/>
        <w:ind w:firstLine="420" w:firstLineChars="200"/>
        <w:rPr>
          <w:rFonts w:hint="eastAsia" w:ascii="仿宋" w:hAnsi="仿宋" w:eastAsia="仿宋" w:cs="仿宋"/>
          <w:b w:val="0"/>
          <w:bCs/>
          <w:color w:val="auto"/>
          <w:sz w:val="21"/>
          <w:szCs w:val="21"/>
        </w:rPr>
      </w:pPr>
      <w:r>
        <w:rPr>
          <w:rFonts w:hint="eastAsia" w:ascii="仿宋" w:hAnsi="仿宋" w:eastAsia="仿宋" w:cs="仿宋"/>
          <w:b w:val="0"/>
          <w:color w:val="auto"/>
          <w:sz w:val="21"/>
          <w:szCs w:val="21"/>
        </w:rPr>
        <w:t>3</w:t>
      </w:r>
      <w:r>
        <w:rPr>
          <w:rFonts w:hint="eastAsia" w:ascii="仿宋" w:hAnsi="仿宋" w:eastAsia="仿宋" w:cs="仿宋"/>
          <w:b w:val="0"/>
          <w:bCs/>
          <w:color w:val="auto"/>
          <w:sz w:val="21"/>
          <w:szCs w:val="21"/>
        </w:rPr>
        <w:t>8.4采购人、采购代理机构认为供应商质疑不成立，或者成立但未对中标结果构成影响的，继续开展采购活动；认为供应商质疑成立且影响或者可能影响中标结果的，按照下列情况处理：</w:t>
      </w:r>
    </w:p>
    <w:p w14:paraId="37F17D51">
      <w:pPr>
        <w:pStyle w:val="25"/>
        <w:snapToGrid w:val="0"/>
        <w:spacing w:line="360" w:lineRule="auto"/>
        <w:rPr>
          <w:rFonts w:hint="eastAsia" w:ascii="仿宋" w:hAnsi="仿宋" w:eastAsia="仿宋" w:cs="仿宋"/>
          <w:bCs/>
          <w:color w:val="auto"/>
          <w:sz w:val="21"/>
        </w:rPr>
      </w:pPr>
      <w:r>
        <w:rPr>
          <w:rFonts w:hint="eastAsia" w:ascii="仿宋" w:hAnsi="仿宋" w:eastAsia="仿宋" w:cs="仿宋"/>
          <w:bCs/>
          <w:color w:val="auto"/>
          <w:sz w:val="21"/>
        </w:rPr>
        <w:t>　　（1）对招标文件提出的质疑，依法通过澄清或者修改可以继续开展采购活动的，澄清或者修改招标文件后继续开展采购活动；否则应当修改招标文件后重新开展采购活动。</w:t>
      </w:r>
    </w:p>
    <w:p w14:paraId="46615F12">
      <w:pPr>
        <w:pStyle w:val="25"/>
        <w:snapToGrid w:val="0"/>
        <w:spacing w:line="360" w:lineRule="auto"/>
        <w:rPr>
          <w:rFonts w:hint="eastAsia" w:ascii="仿宋" w:hAnsi="仿宋" w:eastAsia="仿宋" w:cs="仿宋"/>
          <w:bCs/>
          <w:color w:val="auto"/>
          <w:sz w:val="21"/>
        </w:rPr>
      </w:pPr>
      <w:r>
        <w:rPr>
          <w:rFonts w:hint="eastAsia" w:ascii="仿宋" w:hAnsi="仿宋" w:eastAsia="仿宋" w:cs="仿宋"/>
          <w:bCs/>
          <w:color w:val="auto"/>
          <w:sz w:val="21"/>
        </w:rPr>
        <w:t>　　（2）对采购过程、中标结果提出的质疑，合格供应商符合法定数量时，可以从合格的中标候选人中另行确定中标供应商的，应当依法另行确定中标供应商；否则应当重新开展采购活动。</w:t>
      </w:r>
    </w:p>
    <w:p w14:paraId="20891CCB">
      <w:pPr>
        <w:pStyle w:val="25"/>
        <w:snapToGrid w:val="0"/>
        <w:spacing w:line="360" w:lineRule="auto"/>
        <w:ind w:firstLine="420"/>
        <w:rPr>
          <w:rFonts w:hint="eastAsia" w:ascii="仿宋" w:hAnsi="仿宋" w:eastAsia="仿宋" w:cs="仿宋"/>
          <w:bCs/>
          <w:color w:val="auto"/>
          <w:sz w:val="21"/>
        </w:rPr>
      </w:pPr>
      <w:r>
        <w:rPr>
          <w:rFonts w:hint="eastAsia" w:ascii="仿宋" w:hAnsi="仿宋" w:eastAsia="仿宋" w:cs="仿宋"/>
          <w:bCs/>
          <w:color w:val="auto"/>
          <w:sz w:val="21"/>
        </w:rPr>
        <w:t>质疑答复导致中标结果改变的，采购人或者采购代理机构应当将有关情况书面报告本级财政部门。</w:t>
      </w:r>
    </w:p>
    <w:p w14:paraId="472256C3">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42" w:name="_八、其他事项"/>
      <w:bookmarkEnd w:id="142"/>
    </w:p>
    <w:p w14:paraId="0B674777">
      <w:pPr>
        <w:pStyle w:val="25"/>
        <w:snapToGrid w:val="0"/>
        <w:spacing w:line="360" w:lineRule="auto"/>
        <w:ind w:firstLine="400" w:firstLineChars="200"/>
        <w:rPr>
          <w:rFonts w:hint="eastAsia" w:ascii="仿宋" w:hAnsi="仿宋" w:eastAsia="仿宋" w:cs="仿宋"/>
          <w:color w:val="auto"/>
        </w:rPr>
      </w:pPr>
    </w:p>
    <w:p w14:paraId="142D64CB">
      <w:pPr>
        <w:pStyle w:val="4"/>
        <w:keepNext w:val="0"/>
        <w:keepLines w:val="0"/>
        <w:jc w:val="center"/>
        <w:rPr>
          <w:rFonts w:hint="eastAsia" w:ascii="仿宋" w:hAnsi="仿宋" w:eastAsia="仿宋" w:cs="仿宋"/>
          <w:color w:val="auto"/>
        </w:rPr>
      </w:pPr>
      <w:r>
        <w:rPr>
          <w:rFonts w:hint="eastAsia" w:ascii="仿宋" w:hAnsi="仿宋" w:eastAsia="仿宋" w:cs="仿宋"/>
          <w:color w:val="auto"/>
        </w:rPr>
        <w:t>八、其他事项</w:t>
      </w:r>
    </w:p>
    <w:p w14:paraId="2C807AF1">
      <w:pPr>
        <w:pStyle w:val="5"/>
        <w:keepNext w:val="0"/>
        <w:keepLines w:val="0"/>
        <w:spacing w:before="0" w:after="0" w:line="360" w:lineRule="auto"/>
        <w:ind w:left="420" w:leftChars="200"/>
        <w:rPr>
          <w:rFonts w:hint="eastAsia" w:ascii="仿宋" w:hAnsi="仿宋" w:eastAsia="仿宋" w:cs="仿宋"/>
          <w:color w:val="auto"/>
          <w:sz w:val="24"/>
        </w:rPr>
      </w:pPr>
      <w:bookmarkStart w:id="143" w:name="_42.代理服务费"/>
      <w:bookmarkEnd w:id="143"/>
      <w:r>
        <w:rPr>
          <w:rFonts w:hint="eastAsia" w:ascii="仿宋" w:hAnsi="仿宋" w:eastAsia="仿宋" w:cs="仿宋"/>
          <w:color w:val="auto"/>
          <w:sz w:val="24"/>
        </w:rPr>
        <w:t>39.代理服务费</w:t>
      </w:r>
    </w:p>
    <w:p w14:paraId="57F9360F">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39.1代理服务收取标准及缴费账户详见“投标人须知前附表”，投标人为联合体的，可以由联合体中的一方或者多方共同交纳代理服务费。</w:t>
      </w:r>
    </w:p>
    <w:p w14:paraId="0E9BB45F">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39.2代理服务收费标准：</w:t>
      </w:r>
    </w:p>
    <w:p w14:paraId="0663489A">
      <w:pPr>
        <w:pStyle w:val="25"/>
        <w:snapToGrid w:val="0"/>
        <w:spacing w:line="360" w:lineRule="auto"/>
        <w:ind w:firstLine="420" w:firstLineChars="200"/>
        <w:rPr>
          <w:rFonts w:hint="eastAsia" w:ascii="仿宋" w:hAnsi="仿宋" w:eastAsia="仿宋" w:cs="仿宋"/>
          <w:color w:val="auto"/>
          <w:sz w:val="21"/>
        </w:rPr>
      </w:pP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9E2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9E4F63E">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费率</w:t>
            </w:r>
          </w:p>
          <w:p w14:paraId="4FC76823">
            <w:pPr>
              <w:spacing w:line="360" w:lineRule="auto"/>
              <w:rPr>
                <w:rFonts w:hint="eastAsia" w:ascii="仿宋" w:hAnsi="仿宋" w:eastAsia="仿宋" w:cs="仿宋"/>
                <w:color w:val="auto"/>
                <w:szCs w:val="21"/>
              </w:rPr>
            </w:pPr>
            <w:r>
              <w:rPr>
                <w:rFonts w:hint="eastAsia" w:ascii="仿宋" w:hAnsi="仿宋" w:eastAsia="仿宋" w:cs="仿宋"/>
                <w:color w:val="auto"/>
                <w:szCs w:val="21"/>
              </w:rPr>
              <w:t>中标金额</w:t>
            </w:r>
          </w:p>
        </w:tc>
        <w:tc>
          <w:tcPr>
            <w:tcW w:w="1659" w:type="dxa"/>
            <w:vAlign w:val="center"/>
          </w:tcPr>
          <w:p w14:paraId="2FF2E8B9">
            <w:pPr>
              <w:spacing w:line="360" w:lineRule="auto"/>
              <w:ind w:firstLine="105" w:firstLineChars="50"/>
              <w:jc w:val="center"/>
              <w:rPr>
                <w:rFonts w:hint="eastAsia" w:ascii="仿宋" w:hAnsi="仿宋" w:eastAsia="仿宋" w:cs="仿宋"/>
                <w:color w:val="auto"/>
                <w:szCs w:val="21"/>
              </w:rPr>
            </w:pPr>
            <w:r>
              <w:rPr>
                <w:rFonts w:hint="eastAsia" w:ascii="仿宋" w:hAnsi="仿宋" w:eastAsia="仿宋" w:cs="仿宋"/>
                <w:color w:val="auto"/>
                <w:szCs w:val="21"/>
              </w:rPr>
              <w:t>货物招标</w:t>
            </w:r>
          </w:p>
        </w:tc>
        <w:tc>
          <w:tcPr>
            <w:tcW w:w="1687" w:type="dxa"/>
            <w:vAlign w:val="center"/>
          </w:tcPr>
          <w:p w14:paraId="14D6CB2A">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服务招标</w:t>
            </w:r>
          </w:p>
        </w:tc>
        <w:tc>
          <w:tcPr>
            <w:tcW w:w="1659" w:type="dxa"/>
            <w:vAlign w:val="center"/>
          </w:tcPr>
          <w:p w14:paraId="0F3CC874">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工程招标</w:t>
            </w:r>
          </w:p>
        </w:tc>
      </w:tr>
      <w:tr w14:paraId="1474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3277D8">
            <w:pPr>
              <w:spacing w:line="360" w:lineRule="auto"/>
              <w:rPr>
                <w:rFonts w:hint="eastAsia" w:ascii="仿宋" w:hAnsi="仿宋" w:eastAsia="仿宋" w:cs="仿宋"/>
                <w:color w:val="auto"/>
                <w:szCs w:val="21"/>
              </w:rPr>
            </w:pPr>
            <w:r>
              <w:rPr>
                <w:rFonts w:hint="eastAsia" w:ascii="仿宋" w:hAnsi="仿宋" w:eastAsia="仿宋" w:cs="仿宋"/>
                <w:color w:val="auto"/>
                <w:szCs w:val="21"/>
              </w:rPr>
              <w:t>100万元以下</w:t>
            </w:r>
          </w:p>
        </w:tc>
        <w:tc>
          <w:tcPr>
            <w:tcW w:w="1659" w:type="dxa"/>
          </w:tcPr>
          <w:p w14:paraId="202C9D45">
            <w:pPr>
              <w:spacing w:line="360" w:lineRule="auto"/>
              <w:rPr>
                <w:rFonts w:hint="eastAsia" w:ascii="仿宋" w:hAnsi="仿宋" w:eastAsia="仿宋" w:cs="仿宋"/>
                <w:color w:val="auto"/>
                <w:szCs w:val="21"/>
              </w:rPr>
            </w:pPr>
            <w:r>
              <w:rPr>
                <w:rFonts w:hint="eastAsia" w:ascii="仿宋" w:hAnsi="仿宋" w:eastAsia="仿宋" w:cs="仿宋"/>
                <w:color w:val="auto"/>
                <w:kern w:val="0"/>
                <w:szCs w:val="21"/>
              </w:rPr>
              <w:t xml:space="preserve">  1.5%                </w:t>
            </w:r>
          </w:p>
        </w:tc>
        <w:tc>
          <w:tcPr>
            <w:tcW w:w="1687" w:type="dxa"/>
          </w:tcPr>
          <w:p w14:paraId="6A9A2705">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1.5%</w:t>
            </w:r>
          </w:p>
        </w:tc>
        <w:tc>
          <w:tcPr>
            <w:tcW w:w="1659" w:type="dxa"/>
          </w:tcPr>
          <w:p w14:paraId="36D7EB8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1.0% </w:t>
            </w:r>
          </w:p>
        </w:tc>
      </w:tr>
      <w:tr w14:paraId="6907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86AA09">
            <w:pPr>
              <w:spacing w:line="360" w:lineRule="auto"/>
              <w:rPr>
                <w:rFonts w:hint="eastAsia" w:ascii="仿宋" w:hAnsi="仿宋" w:eastAsia="仿宋" w:cs="仿宋"/>
                <w:color w:val="auto"/>
                <w:szCs w:val="21"/>
              </w:rPr>
            </w:pPr>
            <w:r>
              <w:rPr>
                <w:rFonts w:hint="eastAsia" w:ascii="仿宋" w:hAnsi="仿宋" w:eastAsia="仿宋" w:cs="仿宋"/>
                <w:color w:val="auto"/>
                <w:szCs w:val="21"/>
              </w:rPr>
              <w:t>100～500万元</w:t>
            </w:r>
          </w:p>
        </w:tc>
        <w:tc>
          <w:tcPr>
            <w:tcW w:w="1659" w:type="dxa"/>
          </w:tcPr>
          <w:p w14:paraId="2035EC1F">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1.1%                 </w:t>
            </w:r>
          </w:p>
        </w:tc>
        <w:tc>
          <w:tcPr>
            <w:tcW w:w="1687" w:type="dxa"/>
          </w:tcPr>
          <w:p w14:paraId="4FB0145D">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0.8%</w:t>
            </w:r>
          </w:p>
        </w:tc>
        <w:tc>
          <w:tcPr>
            <w:tcW w:w="1659" w:type="dxa"/>
          </w:tcPr>
          <w:p w14:paraId="310A08F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0.7% </w:t>
            </w:r>
          </w:p>
        </w:tc>
      </w:tr>
      <w:tr w14:paraId="65F9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1ABA47">
            <w:pPr>
              <w:spacing w:line="360" w:lineRule="auto"/>
              <w:rPr>
                <w:rFonts w:hint="eastAsia" w:ascii="仿宋" w:hAnsi="仿宋" w:eastAsia="仿宋" w:cs="仿宋"/>
                <w:color w:val="auto"/>
                <w:szCs w:val="21"/>
              </w:rPr>
            </w:pPr>
            <w:r>
              <w:rPr>
                <w:rFonts w:hint="eastAsia" w:ascii="仿宋" w:hAnsi="仿宋" w:eastAsia="仿宋" w:cs="仿宋"/>
                <w:color w:val="auto"/>
                <w:szCs w:val="21"/>
              </w:rPr>
              <w:t>500～1000万元</w:t>
            </w:r>
          </w:p>
        </w:tc>
        <w:tc>
          <w:tcPr>
            <w:tcW w:w="1659" w:type="dxa"/>
          </w:tcPr>
          <w:p w14:paraId="14691328">
            <w:pPr>
              <w:spacing w:line="360" w:lineRule="auto"/>
              <w:rPr>
                <w:rFonts w:hint="eastAsia" w:ascii="仿宋" w:hAnsi="仿宋" w:eastAsia="仿宋" w:cs="仿宋"/>
                <w:color w:val="auto"/>
                <w:szCs w:val="21"/>
              </w:rPr>
            </w:pPr>
            <w:r>
              <w:rPr>
                <w:rFonts w:hint="eastAsia" w:ascii="仿宋" w:hAnsi="仿宋" w:eastAsia="仿宋" w:cs="仿宋"/>
                <w:color w:val="auto"/>
                <w:kern w:val="0"/>
                <w:szCs w:val="21"/>
              </w:rPr>
              <w:t xml:space="preserve">  0.8%                </w:t>
            </w:r>
          </w:p>
        </w:tc>
        <w:tc>
          <w:tcPr>
            <w:tcW w:w="1687" w:type="dxa"/>
          </w:tcPr>
          <w:p w14:paraId="1E10A573">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0.45%</w:t>
            </w:r>
          </w:p>
        </w:tc>
        <w:tc>
          <w:tcPr>
            <w:tcW w:w="1659" w:type="dxa"/>
          </w:tcPr>
          <w:p w14:paraId="7FA7DDED">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0.55%</w:t>
            </w:r>
          </w:p>
        </w:tc>
      </w:tr>
      <w:tr w14:paraId="7652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2BCA60">
            <w:pPr>
              <w:spacing w:line="360" w:lineRule="auto"/>
              <w:rPr>
                <w:rFonts w:hint="eastAsia" w:ascii="仿宋" w:hAnsi="仿宋" w:eastAsia="仿宋" w:cs="仿宋"/>
                <w:color w:val="auto"/>
                <w:szCs w:val="21"/>
              </w:rPr>
            </w:pPr>
            <w:r>
              <w:rPr>
                <w:rFonts w:hint="eastAsia" w:ascii="仿宋" w:hAnsi="仿宋" w:eastAsia="仿宋" w:cs="仿宋"/>
                <w:color w:val="auto"/>
                <w:szCs w:val="21"/>
              </w:rPr>
              <w:t>1000～5000万元</w:t>
            </w:r>
          </w:p>
        </w:tc>
        <w:tc>
          <w:tcPr>
            <w:tcW w:w="1659" w:type="dxa"/>
          </w:tcPr>
          <w:p w14:paraId="76FF8E74">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0.5%                </w:t>
            </w:r>
          </w:p>
        </w:tc>
        <w:tc>
          <w:tcPr>
            <w:tcW w:w="1687" w:type="dxa"/>
          </w:tcPr>
          <w:p w14:paraId="4508E037">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0.25%</w:t>
            </w:r>
          </w:p>
        </w:tc>
        <w:tc>
          <w:tcPr>
            <w:tcW w:w="1659" w:type="dxa"/>
          </w:tcPr>
          <w:p w14:paraId="008E835D">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0.35% </w:t>
            </w:r>
          </w:p>
        </w:tc>
      </w:tr>
      <w:tr w14:paraId="1CE1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305DEB">
            <w:pPr>
              <w:spacing w:line="360" w:lineRule="auto"/>
              <w:rPr>
                <w:rFonts w:hint="eastAsia" w:ascii="仿宋" w:hAnsi="仿宋" w:eastAsia="仿宋" w:cs="仿宋"/>
                <w:color w:val="auto"/>
                <w:szCs w:val="21"/>
              </w:rPr>
            </w:pPr>
            <w:r>
              <w:rPr>
                <w:rFonts w:hint="eastAsia" w:ascii="仿宋" w:hAnsi="仿宋" w:eastAsia="仿宋" w:cs="仿宋"/>
                <w:color w:val="auto"/>
                <w:szCs w:val="21"/>
              </w:rPr>
              <w:t>5000万元～1亿元</w:t>
            </w:r>
          </w:p>
        </w:tc>
        <w:tc>
          <w:tcPr>
            <w:tcW w:w="1659" w:type="dxa"/>
          </w:tcPr>
          <w:p w14:paraId="3C8FED8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 xml:space="preserve">0.25%                 </w:t>
            </w:r>
          </w:p>
        </w:tc>
        <w:tc>
          <w:tcPr>
            <w:tcW w:w="1687" w:type="dxa"/>
          </w:tcPr>
          <w:p w14:paraId="7898B9EB">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0.1%</w:t>
            </w:r>
          </w:p>
        </w:tc>
        <w:tc>
          <w:tcPr>
            <w:tcW w:w="1659" w:type="dxa"/>
          </w:tcPr>
          <w:p w14:paraId="16217711">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kern w:val="0"/>
                <w:szCs w:val="21"/>
              </w:rPr>
              <w:t>0.2%</w:t>
            </w:r>
          </w:p>
        </w:tc>
      </w:tr>
      <w:tr w14:paraId="216C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6D1BDC">
            <w:pPr>
              <w:spacing w:line="360" w:lineRule="auto"/>
              <w:rPr>
                <w:rFonts w:hint="eastAsia" w:ascii="仿宋" w:hAnsi="仿宋" w:eastAsia="仿宋" w:cs="仿宋"/>
                <w:color w:val="auto"/>
                <w:szCs w:val="21"/>
              </w:rPr>
            </w:pPr>
            <w:r>
              <w:rPr>
                <w:rFonts w:hint="eastAsia" w:ascii="仿宋" w:hAnsi="仿宋" w:eastAsia="仿宋" w:cs="仿宋"/>
                <w:color w:val="auto"/>
                <w:szCs w:val="21"/>
              </w:rPr>
              <w:t>1～5亿元</w:t>
            </w:r>
          </w:p>
        </w:tc>
        <w:tc>
          <w:tcPr>
            <w:tcW w:w="1659" w:type="dxa"/>
          </w:tcPr>
          <w:p w14:paraId="7ED278BF">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0.05%</w:t>
            </w:r>
          </w:p>
        </w:tc>
        <w:tc>
          <w:tcPr>
            <w:tcW w:w="1687" w:type="dxa"/>
          </w:tcPr>
          <w:p w14:paraId="6B6F2F92">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0.05%</w:t>
            </w:r>
          </w:p>
        </w:tc>
        <w:tc>
          <w:tcPr>
            <w:tcW w:w="1659" w:type="dxa"/>
          </w:tcPr>
          <w:p w14:paraId="2380DB5E">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0.05%</w:t>
            </w:r>
          </w:p>
        </w:tc>
      </w:tr>
      <w:tr w14:paraId="5F90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59A3B9">
            <w:pPr>
              <w:spacing w:line="360" w:lineRule="auto"/>
              <w:rPr>
                <w:rFonts w:hint="eastAsia" w:ascii="仿宋" w:hAnsi="仿宋" w:eastAsia="仿宋" w:cs="仿宋"/>
                <w:color w:val="auto"/>
                <w:szCs w:val="21"/>
              </w:rPr>
            </w:pPr>
            <w:r>
              <w:rPr>
                <w:rFonts w:hint="eastAsia" w:ascii="仿宋" w:hAnsi="仿宋" w:eastAsia="仿宋" w:cs="仿宋"/>
                <w:color w:val="auto"/>
                <w:szCs w:val="21"/>
              </w:rPr>
              <w:t>5～10亿元</w:t>
            </w:r>
          </w:p>
        </w:tc>
        <w:tc>
          <w:tcPr>
            <w:tcW w:w="1659" w:type="dxa"/>
          </w:tcPr>
          <w:p w14:paraId="24EAD763">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0.035%</w:t>
            </w:r>
          </w:p>
        </w:tc>
        <w:tc>
          <w:tcPr>
            <w:tcW w:w="1687" w:type="dxa"/>
          </w:tcPr>
          <w:p w14:paraId="6055A902">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0.035%</w:t>
            </w:r>
          </w:p>
        </w:tc>
        <w:tc>
          <w:tcPr>
            <w:tcW w:w="1659" w:type="dxa"/>
          </w:tcPr>
          <w:p w14:paraId="5141ACD5">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0.035%</w:t>
            </w:r>
          </w:p>
        </w:tc>
      </w:tr>
      <w:tr w14:paraId="62F1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EA3D62D">
            <w:pPr>
              <w:spacing w:line="360" w:lineRule="auto"/>
              <w:rPr>
                <w:rFonts w:hint="eastAsia" w:ascii="仿宋" w:hAnsi="仿宋" w:eastAsia="仿宋" w:cs="仿宋"/>
                <w:color w:val="auto"/>
                <w:szCs w:val="21"/>
              </w:rPr>
            </w:pPr>
            <w:r>
              <w:rPr>
                <w:rFonts w:hint="eastAsia" w:ascii="仿宋" w:hAnsi="仿宋" w:eastAsia="仿宋" w:cs="仿宋"/>
                <w:color w:val="auto"/>
                <w:szCs w:val="21"/>
              </w:rPr>
              <w:t>10～50亿元</w:t>
            </w:r>
          </w:p>
        </w:tc>
        <w:tc>
          <w:tcPr>
            <w:tcW w:w="1659" w:type="dxa"/>
          </w:tcPr>
          <w:p w14:paraId="2E5C5776">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0.008%</w:t>
            </w:r>
          </w:p>
        </w:tc>
        <w:tc>
          <w:tcPr>
            <w:tcW w:w="1687" w:type="dxa"/>
          </w:tcPr>
          <w:p w14:paraId="27941EEA">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0.008%</w:t>
            </w:r>
          </w:p>
        </w:tc>
        <w:tc>
          <w:tcPr>
            <w:tcW w:w="1659" w:type="dxa"/>
          </w:tcPr>
          <w:p w14:paraId="7872B0B3">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0.008%</w:t>
            </w:r>
          </w:p>
        </w:tc>
      </w:tr>
      <w:tr w14:paraId="6A51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12493B">
            <w:pPr>
              <w:spacing w:line="360" w:lineRule="auto"/>
              <w:rPr>
                <w:rFonts w:hint="eastAsia" w:ascii="仿宋" w:hAnsi="仿宋" w:eastAsia="仿宋" w:cs="仿宋"/>
                <w:color w:val="auto"/>
                <w:szCs w:val="21"/>
              </w:rPr>
            </w:pPr>
            <w:r>
              <w:rPr>
                <w:rFonts w:hint="eastAsia" w:ascii="仿宋" w:hAnsi="仿宋" w:eastAsia="仿宋" w:cs="仿宋"/>
                <w:color w:val="auto"/>
                <w:szCs w:val="21"/>
              </w:rPr>
              <w:t>50～100亿元</w:t>
            </w:r>
          </w:p>
        </w:tc>
        <w:tc>
          <w:tcPr>
            <w:tcW w:w="1659" w:type="dxa"/>
          </w:tcPr>
          <w:p w14:paraId="2B9050B9">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0.006%</w:t>
            </w:r>
          </w:p>
        </w:tc>
        <w:tc>
          <w:tcPr>
            <w:tcW w:w="1687" w:type="dxa"/>
          </w:tcPr>
          <w:p w14:paraId="5A759F73">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0.006%</w:t>
            </w:r>
          </w:p>
        </w:tc>
        <w:tc>
          <w:tcPr>
            <w:tcW w:w="1659" w:type="dxa"/>
          </w:tcPr>
          <w:p w14:paraId="6D72DB3D">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0.006%</w:t>
            </w:r>
          </w:p>
        </w:tc>
      </w:tr>
      <w:tr w14:paraId="7897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6FC12D">
            <w:pPr>
              <w:spacing w:line="360" w:lineRule="auto"/>
              <w:rPr>
                <w:rFonts w:hint="eastAsia" w:ascii="仿宋" w:hAnsi="仿宋" w:eastAsia="仿宋" w:cs="仿宋"/>
                <w:color w:val="auto"/>
                <w:szCs w:val="21"/>
              </w:rPr>
            </w:pPr>
            <w:r>
              <w:rPr>
                <w:rFonts w:hint="eastAsia" w:ascii="仿宋" w:hAnsi="仿宋" w:eastAsia="仿宋" w:cs="仿宋"/>
                <w:color w:val="auto"/>
                <w:szCs w:val="21"/>
              </w:rPr>
              <w:t>100亿以上</w:t>
            </w:r>
          </w:p>
        </w:tc>
        <w:tc>
          <w:tcPr>
            <w:tcW w:w="1659" w:type="dxa"/>
          </w:tcPr>
          <w:p w14:paraId="1852BDA8">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0.004%</w:t>
            </w:r>
          </w:p>
        </w:tc>
        <w:tc>
          <w:tcPr>
            <w:tcW w:w="1687" w:type="dxa"/>
          </w:tcPr>
          <w:p w14:paraId="3942957F">
            <w:pPr>
              <w:spacing w:line="360" w:lineRule="auto"/>
              <w:ind w:firstLine="210" w:firstLineChars="100"/>
              <w:rPr>
                <w:rFonts w:hint="eastAsia" w:ascii="仿宋" w:hAnsi="仿宋" w:eastAsia="仿宋" w:cs="仿宋"/>
                <w:color w:val="auto"/>
                <w:szCs w:val="21"/>
              </w:rPr>
            </w:pPr>
            <w:r>
              <w:rPr>
                <w:rFonts w:hint="eastAsia" w:ascii="仿宋" w:hAnsi="仿宋" w:eastAsia="仿宋" w:cs="仿宋"/>
                <w:color w:val="auto"/>
                <w:szCs w:val="21"/>
              </w:rPr>
              <w:t>0.004%</w:t>
            </w:r>
          </w:p>
        </w:tc>
        <w:tc>
          <w:tcPr>
            <w:tcW w:w="1659" w:type="dxa"/>
          </w:tcPr>
          <w:p w14:paraId="4A6DFD35">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rPr>
              <w:t>0.004%</w:t>
            </w:r>
          </w:p>
        </w:tc>
      </w:tr>
    </w:tbl>
    <w:p w14:paraId="6DBF9B9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注： </w:t>
      </w:r>
    </w:p>
    <w:p w14:paraId="6AC07AD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（1）按本表费率计算的收费为采购代理的收费基准价格；</w:t>
      </w:r>
    </w:p>
    <w:p w14:paraId="75368B7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（2）采购代理收费按差额定率累进法计算。</w:t>
      </w:r>
    </w:p>
    <w:p w14:paraId="48910E8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例如：某服务采购代理业务中标金额或者暂定价为200万元，计算采购代理收费额如下：</w:t>
      </w:r>
    </w:p>
    <w:p w14:paraId="7FE710C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100 万元×l.5 %＝ 1.5 万元</w:t>
      </w:r>
    </w:p>
    <w:p w14:paraId="5E7C9EC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200 － 100 ）万元 ×0.8%＝0.8万元</w:t>
      </w:r>
    </w:p>
    <w:p w14:paraId="6DE42084">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合计收费＝ 1.5+0.8＝ 2.3（万元）</w:t>
      </w:r>
    </w:p>
    <w:p w14:paraId="63C05B3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32.9 代理服务费交纳银行帐号信息</w:t>
      </w:r>
    </w:p>
    <w:p w14:paraId="65774EB9">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账户名称：广西科文招标有限公司南宁二分公司</w:t>
      </w:r>
    </w:p>
    <w:p w14:paraId="2D140CF0">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开户银行：广西北部湾银行股份有限公司南宁市云景支行</w:t>
      </w:r>
    </w:p>
    <w:p w14:paraId="75412515">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银行账号：805029824700001</w:t>
      </w:r>
    </w:p>
    <w:p w14:paraId="5F3884EC">
      <w:pPr>
        <w:pStyle w:val="5"/>
        <w:keepNext w:val="0"/>
        <w:keepLines w:val="0"/>
        <w:spacing w:before="0" w:after="0"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40. 需要补充的其他内容</w:t>
      </w:r>
    </w:p>
    <w:p w14:paraId="165039F6">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40.1本招标文件解释规则详见“投标人须知前附表”。</w:t>
      </w:r>
    </w:p>
    <w:p w14:paraId="1ECC5F3F">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40.2 其他事项详见“投标人须知前附表”。</w:t>
      </w:r>
    </w:p>
    <w:p w14:paraId="216EB54D">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40.3</w:t>
      </w:r>
      <w:bookmarkStart w:id="144" w:name="_Hlk65857140"/>
      <w:r>
        <w:rPr>
          <w:rFonts w:hint="eastAsia" w:ascii="仿宋" w:hAnsi="仿宋" w:eastAsia="仿宋" w:cs="仿宋"/>
          <w:color w:val="auto"/>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F2E1467">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（1）在货物采购项目中，货物由中小企业制造，即货物由中小企业生产且使用该中小企业商号或者注册商标，不对其中涉及的工程承建商和服务的承接商作出要求；</w:t>
      </w:r>
    </w:p>
    <w:p w14:paraId="15D18D8F">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（2）在工程采购项目中，工程由中小企业承建，即工程施工单位为中小企业，不对其中涉及的货物的制造商和服务的承接商作出要求；</w:t>
      </w:r>
    </w:p>
    <w:p w14:paraId="23306E22">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13FDD743">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C37CEB4">
      <w:pPr>
        <w:pStyle w:val="25"/>
        <w:spacing w:before="120" w:after="120"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依据本招标文件规定享受扶持政策获得政府采购合同的，小微企业不得将合同分包给大中型企业，中型企业不得将合同分包给大型企业。</w:t>
      </w:r>
      <w:bookmarkEnd w:id="144"/>
    </w:p>
    <w:p w14:paraId="54018D0E">
      <w:pPr>
        <w:pStyle w:val="18"/>
        <w:ind w:left="479" w:leftChars="114" w:hanging="240" w:hangingChars="100"/>
        <w:rPr>
          <w:rFonts w:hint="eastAsia" w:ascii="仿宋" w:hAnsi="仿宋" w:eastAsia="仿宋" w:cs="仿宋"/>
          <w:color w:val="auto"/>
        </w:rPr>
      </w:pPr>
      <w:r>
        <w:rPr>
          <w:rFonts w:hint="eastAsia" w:ascii="仿宋" w:hAnsi="仿宋" w:eastAsia="仿宋" w:cs="仿宋"/>
          <w:color w:val="auto"/>
        </w:rPr>
        <w:br w:type="page"/>
      </w:r>
    </w:p>
    <w:p w14:paraId="5A8D3EBB">
      <w:pPr>
        <w:pStyle w:val="18"/>
        <w:ind w:left="479" w:leftChars="114" w:hanging="240" w:hangingChars="100"/>
        <w:rPr>
          <w:rFonts w:hint="eastAsia" w:ascii="仿宋" w:hAnsi="仿宋" w:eastAsia="仿宋" w:cs="仿宋"/>
          <w:color w:val="auto"/>
        </w:rPr>
      </w:pPr>
    </w:p>
    <w:p w14:paraId="77AC744E">
      <w:pPr>
        <w:pStyle w:val="18"/>
        <w:ind w:left="479" w:leftChars="114" w:hanging="240" w:hangingChars="100"/>
        <w:rPr>
          <w:rFonts w:hint="eastAsia" w:ascii="仿宋" w:hAnsi="仿宋" w:eastAsia="仿宋" w:cs="仿宋"/>
          <w:color w:val="auto"/>
        </w:rPr>
      </w:pPr>
    </w:p>
    <w:p w14:paraId="2DF6D584">
      <w:pPr>
        <w:pStyle w:val="18"/>
        <w:ind w:left="479" w:leftChars="114" w:hanging="240" w:hangingChars="100"/>
        <w:rPr>
          <w:rFonts w:hint="eastAsia" w:ascii="仿宋" w:hAnsi="仿宋" w:eastAsia="仿宋" w:cs="仿宋"/>
          <w:color w:val="auto"/>
        </w:rPr>
      </w:pPr>
    </w:p>
    <w:p w14:paraId="7169E21F">
      <w:pPr>
        <w:pStyle w:val="25"/>
        <w:snapToGrid w:val="0"/>
        <w:spacing w:before="120" w:after="120"/>
        <w:rPr>
          <w:rFonts w:hint="eastAsia" w:ascii="仿宋" w:hAnsi="仿宋" w:eastAsia="仿宋" w:cs="仿宋"/>
          <w:color w:val="auto"/>
        </w:rPr>
      </w:pPr>
    </w:p>
    <w:p w14:paraId="0614AFCF">
      <w:pPr>
        <w:pStyle w:val="25"/>
        <w:snapToGrid w:val="0"/>
        <w:spacing w:before="120" w:after="120"/>
        <w:rPr>
          <w:rFonts w:hint="eastAsia" w:ascii="仿宋" w:hAnsi="仿宋" w:eastAsia="仿宋" w:cs="仿宋"/>
          <w:color w:val="auto"/>
        </w:rPr>
      </w:pPr>
    </w:p>
    <w:p w14:paraId="62A94514">
      <w:pPr>
        <w:pStyle w:val="25"/>
        <w:snapToGrid w:val="0"/>
        <w:spacing w:before="120" w:after="120"/>
        <w:rPr>
          <w:rFonts w:hint="eastAsia" w:ascii="仿宋" w:hAnsi="仿宋" w:eastAsia="仿宋" w:cs="仿宋"/>
          <w:color w:val="auto"/>
        </w:rPr>
      </w:pPr>
    </w:p>
    <w:p w14:paraId="12CC08E7">
      <w:pPr>
        <w:pStyle w:val="25"/>
        <w:snapToGrid w:val="0"/>
        <w:spacing w:before="120" w:after="120"/>
        <w:rPr>
          <w:rFonts w:hint="eastAsia" w:ascii="仿宋" w:hAnsi="仿宋" w:eastAsia="仿宋" w:cs="仿宋"/>
          <w:color w:val="auto"/>
        </w:rPr>
      </w:pPr>
    </w:p>
    <w:p w14:paraId="387E4A54">
      <w:pPr>
        <w:pStyle w:val="25"/>
        <w:snapToGrid w:val="0"/>
        <w:spacing w:before="120" w:after="120"/>
        <w:rPr>
          <w:rFonts w:hint="eastAsia" w:ascii="仿宋" w:hAnsi="仿宋" w:eastAsia="仿宋" w:cs="仿宋"/>
          <w:color w:val="auto"/>
        </w:rPr>
      </w:pPr>
    </w:p>
    <w:p w14:paraId="5FF64C22">
      <w:pPr>
        <w:pStyle w:val="25"/>
        <w:snapToGrid w:val="0"/>
        <w:spacing w:before="120" w:after="120"/>
        <w:rPr>
          <w:rFonts w:hint="eastAsia" w:ascii="仿宋" w:hAnsi="仿宋" w:eastAsia="仿宋" w:cs="仿宋"/>
          <w:color w:val="auto"/>
        </w:rPr>
      </w:pPr>
    </w:p>
    <w:p w14:paraId="06D3A978">
      <w:pPr>
        <w:pStyle w:val="25"/>
        <w:snapToGrid w:val="0"/>
        <w:spacing w:before="120" w:after="120"/>
        <w:rPr>
          <w:rFonts w:hint="eastAsia" w:ascii="仿宋" w:hAnsi="仿宋" w:eastAsia="仿宋" w:cs="仿宋"/>
          <w:color w:val="auto"/>
        </w:rPr>
      </w:pPr>
    </w:p>
    <w:p w14:paraId="01191067">
      <w:pPr>
        <w:pStyle w:val="25"/>
        <w:snapToGrid w:val="0"/>
        <w:spacing w:before="120" w:after="120"/>
        <w:rPr>
          <w:rFonts w:hint="eastAsia" w:ascii="仿宋" w:hAnsi="仿宋" w:eastAsia="仿宋" w:cs="仿宋"/>
          <w:color w:val="auto"/>
        </w:rPr>
      </w:pPr>
    </w:p>
    <w:p w14:paraId="3996EE8C">
      <w:pPr>
        <w:pStyle w:val="25"/>
        <w:snapToGrid w:val="0"/>
        <w:spacing w:before="120" w:after="120"/>
        <w:rPr>
          <w:rFonts w:hint="eastAsia" w:ascii="仿宋" w:hAnsi="仿宋" w:eastAsia="仿宋" w:cs="仿宋"/>
          <w:color w:val="auto"/>
        </w:rPr>
      </w:pPr>
    </w:p>
    <w:p w14:paraId="6E4A545D">
      <w:pPr>
        <w:pStyle w:val="2"/>
        <w:jc w:val="center"/>
        <w:rPr>
          <w:rFonts w:hint="eastAsia" w:ascii="仿宋" w:hAnsi="仿宋" w:eastAsia="仿宋" w:cs="仿宋"/>
          <w:color w:val="auto"/>
        </w:rPr>
      </w:pPr>
      <w:bookmarkStart w:id="145" w:name="_Toc330456896"/>
      <w:bookmarkStart w:id="146" w:name="_Toc254970548"/>
      <w:bookmarkStart w:id="147" w:name="_Toc74320803"/>
      <w:bookmarkStart w:id="148" w:name="_Toc254970689"/>
      <w:r>
        <w:rPr>
          <w:rFonts w:hint="eastAsia" w:ascii="仿宋" w:hAnsi="仿宋" w:eastAsia="仿宋" w:cs="仿宋"/>
          <w:color w:val="auto"/>
        </w:rPr>
        <w:t>第四章  评标方法及评标标准</w:t>
      </w:r>
      <w:bookmarkEnd w:id="145"/>
      <w:bookmarkEnd w:id="146"/>
      <w:bookmarkEnd w:id="147"/>
      <w:bookmarkEnd w:id="148"/>
    </w:p>
    <w:p w14:paraId="3493617B">
      <w:pPr>
        <w:pStyle w:val="25"/>
        <w:spacing w:before="120" w:after="120"/>
        <w:outlineLvl w:val="0"/>
        <w:rPr>
          <w:rFonts w:hint="eastAsia" w:ascii="仿宋" w:hAnsi="仿宋" w:eastAsia="仿宋" w:cs="仿宋"/>
          <w:b/>
          <w:color w:val="auto"/>
        </w:rPr>
      </w:pPr>
      <w:bookmarkStart w:id="149" w:name="_Toc254970690"/>
      <w:bookmarkStart w:id="150" w:name="_Toc254970549"/>
    </w:p>
    <w:bookmarkEnd w:id="149"/>
    <w:bookmarkEnd w:id="150"/>
    <w:p w14:paraId="150F8287">
      <w:pPr>
        <w:pStyle w:val="25"/>
        <w:spacing w:before="120" w:after="120"/>
        <w:outlineLvl w:val="0"/>
        <w:rPr>
          <w:rFonts w:hint="eastAsia" w:ascii="仿宋" w:hAnsi="仿宋" w:eastAsia="仿宋" w:cs="仿宋"/>
          <w:bCs/>
          <w:color w:val="auto"/>
          <w:sz w:val="32"/>
          <w:szCs w:val="32"/>
        </w:rPr>
      </w:pPr>
    </w:p>
    <w:p w14:paraId="0F0F3C87">
      <w:pPr>
        <w:pStyle w:val="25"/>
        <w:spacing w:before="120" w:after="120"/>
        <w:outlineLvl w:val="0"/>
        <w:rPr>
          <w:rFonts w:hint="eastAsia" w:ascii="仿宋" w:hAnsi="仿宋" w:eastAsia="仿宋" w:cs="仿宋"/>
          <w:bCs/>
          <w:color w:val="auto"/>
          <w:sz w:val="32"/>
          <w:szCs w:val="32"/>
        </w:rPr>
      </w:pPr>
    </w:p>
    <w:p w14:paraId="5691C575">
      <w:pPr>
        <w:pStyle w:val="25"/>
        <w:spacing w:before="120" w:after="120"/>
        <w:outlineLvl w:val="0"/>
        <w:rPr>
          <w:rFonts w:hint="eastAsia" w:ascii="仿宋" w:hAnsi="仿宋" w:eastAsia="仿宋" w:cs="仿宋"/>
          <w:bCs/>
          <w:color w:val="auto"/>
          <w:sz w:val="32"/>
          <w:szCs w:val="32"/>
        </w:rPr>
      </w:pPr>
    </w:p>
    <w:p w14:paraId="3150FF1C">
      <w:pPr>
        <w:spacing w:before="120" w:beforeLines="50" w:after="120" w:afterLines="50" w:line="400" w:lineRule="exact"/>
        <w:rPr>
          <w:rFonts w:hint="eastAsia" w:ascii="仿宋" w:hAnsi="仿宋" w:eastAsia="仿宋" w:cs="仿宋"/>
          <w:b/>
          <w:color w:val="auto"/>
          <w:sz w:val="24"/>
        </w:rPr>
      </w:pPr>
    </w:p>
    <w:p w14:paraId="0B579457">
      <w:pPr>
        <w:spacing w:before="120" w:beforeLines="50" w:after="120" w:afterLines="50" w:line="400" w:lineRule="exact"/>
        <w:rPr>
          <w:rFonts w:hint="eastAsia" w:ascii="仿宋" w:hAnsi="仿宋" w:eastAsia="仿宋" w:cs="仿宋"/>
          <w:b/>
          <w:color w:val="auto"/>
          <w:sz w:val="24"/>
        </w:rPr>
      </w:pPr>
    </w:p>
    <w:p w14:paraId="39E285CD">
      <w:pPr>
        <w:spacing w:before="120" w:beforeLines="50" w:after="120" w:afterLines="50" w:line="400" w:lineRule="exact"/>
        <w:rPr>
          <w:rFonts w:hint="eastAsia" w:ascii="仿宋" w:hAnsi="仿宋" w:eastAsia="仿宋" w:cs="仿宋"/>
          <w:b/>
          <w:color w:val="auto"/>
          <w:sz w:val="24"/>
        </w:rPr>
      </w:pPr>
    </w:p>
    <w:p w14:paraId="4233EC27">
      <w:pPr>
        <w:spacing w:before="120" w:beforeLines="50" w:after="120" w:afterLines="50" w:line="400" w:lineRule="exact"/>
        <w:rPr>
          <w:rFonts w:hint="eastAsia" w:ascii="仿宋" w:hAnsi="仿宋" w:eastAsia="仿宋" w:cs="仿宋"/>
          <w:b/>
          <w:color w:val="auto"/>
          <w:sz w:val="24"/>
        </w:rPr>
      </w:pPr>
    </w:p>
    <w:p w14:paraId="5CF77679">
      <w:pPr>
        <w:spacing w:before="120" w:beforeLines="50" w:after="120" w:afterLines="50" w:line="400" w:lineRule="exact"/>
        <w:rPr>
          <w:rFonts w:hint="eastAsia" w:ascii="仿宋" w:hAnsi="仿宋" w:eastAsia="仿宋" w:cs="仿宋"/>
          <w:b/>
          <w:color w:val="auto"/>
          <w:sz w:val="24"/>
        </w:rPr>
      </w:pPr>
    </w:p>
    <w:p w14:paraId="1C88E5C9">
      <w:pPr>
        <w:spacing w:before="120" w:beforeLines="50" w:after="120" w:afterLines="50" w:line="400" w:lineRule="exact"/>
        <w:rPr>
          <w:rFonts w:hint="eastAsia" w:ascii="仿宋" w:hAnsi="仿宋" w:eastAsia="仿宋" w:cs="仿宋"/>
          <w:b/>
          <w:color w:val="auto"/>
          <w:sz w:val="24"/>
        </w:rPr>
      </w:pPr>
    </w:p>
    <w:p w14:paraId="4AE42417">
      <w:pPr>
        <w:spacing w:before="120" w:beforeLines="50" w:after="120" w:afterLines="50" w:line="400" w:lineRule="exact"/>
        <w:rPr>
          <w:rFonts w:hint="eastAsia" w:ascii="仿宋" w:hAnsi="仿宋" w:eastAsia="仿宋" w:cs="仿宋"/>
          <w:b/>
          <w:color w:val="auto"/>
          <w:sz w:val="24"/>
        </w:rPr>
      </w:pPr>
    </w:p>
    <w:p w14:paraId="2D49588E">
      <w:pPr>
        <w:pStyle w:val="25"/>
        <w:spacing w:line="360" w:lineRule="exact"/>
        <w:rPr>
          <w:rFonts w:hint="eastAsia" w:ascii="仿宋" w:hAnsi="仿宋" w:eastAsia="仿宋" w:cs="仿宋"/>
          <w:b/>
          <w:color w:val="auto"/>
          <w:sz w:val="24"/>
        </w:rPr>
      </w:pPr>
    </w:p>
    <w:p w14:paraId="71D6FD06">
      <w:pPr>
        <w:pStyle w:val="4"/>
        <w:keepNext w:val="0"/>
        <w:keepLines w:val="0"/>
        <w:jc w:val="center"/>
        <w:rPr>
          <w:rFonts w:hint="eastAsia" w:ascii="仿宋" w:hAnsi="仿宋" w:eastAsia="仿宋" w:cs="仿宋"/>
          <w:color w:val="auto"/>
          <w:sz w:val="30"/>
          <w:szCs w:val="30"/>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一、评标方法</w:t>
      </w:r>
    </w:p>
    <w:p w14:paraId="5FB5CD48">
      <w:pPr>
        <w:pStyle w:val="25"/>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sym w:font="Wingdings 2" w:char="0052"/>
      </w:r>
      <w:r>
        <w:rPr>
          <w:rFonts w:hint="eastAsia" w:ascii="仿宋" w:hAnsi="仿宋" w:eastAsia="仿宋" w:cs="仿宋"/>
          <w:color w:val="auto"/>
          <w:sz w:val="21"/>
        </w:rPr>
        <w:t>综合评分法，是指投标文件满足招标文件全部实质性要求，且按照评审因素的量化指标评审得分最高的投标人为中标候选人的评标方法。</w:t>
      </w:r>
    </w:p>
    <w:p w14:paraId="5C9137F8">
      <w:pPr>
        <w:pStyle w:val="25"/>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sym w:font="Wingdings 2" w:char="00A3"/>
      </w:r>
      <w:r>
        <w:rPr>
          <w:rFonts w:hint="eastAsia" w:ascii="仿宋" w:hAnsi="仿宋" w:eastAsia="仿宋" w:cs="仿宋"/>
          <w:color w:val="auto"/>
          <w:sz w:val="21"/>
        </w:rPr>
        <w:t>最低评标价法，是指投标文件满足招标文件全部实质性要求，且投标报价最低的投标人为中标候选人的评标方法。</w:t>
      </w:r>
    </w:p>
    <w:p w14:paraId="4A1D05C0">
      <w:pPr>
        <w:pStyle w:val="4"/>
        <w:keepNext w:val="0"/>
        <w:keepLines w:val="0"/>
        <w:jc w:val="center"/>
        <w:rPr>
          <w:rFonts w:hint="eastAsia" w:ascii="仿宋" w:hAnsi="仿宋" w:eastAsia="仿宋" w:cs="仿宋"/>
          <w:color w:val="auto"/>
          <w:sz w:val="30"/>
          <w:szCs w:val="30"/>
        </w:rPr>
      </w:pPr>
      <w:r>
        <w:rPr>
          <w:rFonts w:hint="eastAsia" w:ascii="仿宋" w:hAnsi="仿宋" w:eastAsia="仿宋" w:cs="仿宋"/>
          <w:color w:val="auto"/>
          <w:sz w:val="30"/>
          <w:szCs w:val="30"/>
        </w:rPr>
        <w:t>二、评标程序</w:t>
      </w:r>
    </w:p>
    <w:p w14:paraId="56727CBA">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1.符合性审查</w:t>
      </w:r>
    </w:p>
    <w:p w14:paraId="0127CD95">
      <w:pPr>
        <w:pStyle w:val="25"/>
        <w:snapToGrid w:val="0"/>
        <w:spacing w:line="360" w:lineRule="auto"/>
        <w:ind w:left="1" w:firstLine="420"/>
        <w:rPr>
          <w:rFonts w:hint="eastAsia" w:ascii="仿宋" w:hAnsi="仿宋" w:eastAsia="仿宋" w:cs="仿宋"/>
          <w:b/>
          <w:color w:val="auto"/>
          <w:kern w:val="2"/>
          <w:sz w:val="21"/>
        </w:rPr>
      </w:pPr>
      <w:r>
        <w:rPr>
          <w:rFonts w:hint="eastAsia" w:ascii="仿宋" w:hAnsi="仿宋" w:eastAsia="仿宋" w:cs="仿宋"/>
          <w:b/>
          <w:color w:val="auto"/>
          <w:kern w:val="2"/>
          <w:sz w:val="21"/>
        </w:rPr>
        <w:t>评标委员会应当对符合资格的投标人的投标文件进行投标报价、商务、技术等实质性内容符合性审查，以确定其是否满足招标文件的实质性要求。</w:t>
      </w:r>
    </w:p>
    <w:p w14:paraId="6F0670B8">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2.符合性审查不通过而导致投标无效的情形</w:t>
      </w:r>
    </w:p>
    <w:p w14:paraId="651F2766">
      <w:p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投标人的投标文件中存在对招标文件的任何实质性要求和条件的负偏离，将被视为投标无效。</w:t>
      </w:r>
    </w:p>
    <w:p w14:paraId="7737504A">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2.1在报价评审时，如发现下列情形之一的，将被视为投标无效：</w:t>
      </w:r>
    </w:p>
    <w:p w14:paraId="201017BA">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pacing w:val="-6"/>
          <w:szCs w:val="21"/>
        </w:rPr>
        <w:t>报价文件</w:t>
      </w:r>
      <w:r>
        <w:rPr>
          <w:rFonts w:hint="eastAsia" w:ascii="仿宋" w:hAnsi="仿宋" w:eastAsia="仿宋" w:cs="仿宋"/>
          <w:b/>
          <w:color w:val="auto"/>
          <w:szCs w:val="21"/>
        </w:rPr>
        <w:t>未提供“投标人须知前附表”第13.1条规定中“必须提供”的文件资料的；</w:t>
      </w:r>
    </w:p>
    <w:p w14:paraId="246B0354">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未采用人民币报价或者未按照招标文件标明的币种报价的；</w:t>
      </w:r>
    </w:p>
    <w:p w14:paraId="386B6F4E">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各分标报价超出招标文件相应分标规定最高限价，或者超出相应分标采购预算金额的；</w:t>
      </w:r>
    </w:p>
    <w:p w14:paraId="0C99C93F">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2CA3B6D">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修正后的报价，投标人不确认的；</w:t>
      </w:r>
    </w:p>
    <w:p w14:paraId="2356674B">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zCs w:val="21"/>
        </w:rPr>
        <w:t>投标人属于本章第5.1条（2）或者第5.2条（2）项情形的；</w:t>
      </w:r>
    </w:p>
    <w:p w14:paraId="44C55F8C">
      <w:pPr>
        <w:pStyle w:val="6"/>
        <w:numPr>
          <w:ilvl w:val="0"/>
          <w:numId w:val="8"/>
        </w:numPr>
        <w:spacing w:line="360" w:lineRule="auto"/>
        <w:ind w:firstLine="422"/>
        <w:rPr>
          <w:rFonts w:hint="eastAsia" w:ascii="仿宋" w:hAnsi="仿宋" w:eastAsia="仿宋" w:cs="仿宋"/>
          <w:b/>
          <w:color w:val="auto"/>
          <w:szCs w:val="21"/>
        </w:rPr>
      </w:pPr>
      <w:r>
        <w:rPr>
          <w:rFonts w:hint="eastAsia" w:ascii="仿宋" w:hAnsi="仿宋" w:eastAsia="仿宋" w:cs="仿宋"/>
          <w:b/>
          <w:color w:val="auto"/>
          <w:spacing w:val="-6"/>
          <w:szCs w:val="21"/>
        </w:rPr>
        <w:t>报价文件</w:t>
      </w:r>
      <w:r>
        <w:rPr>
          <w:rFonts w:hint="eastAsia" w:ascii="仿宋" w:hAnsi="仿宋" w:eastAsia="仿宋" w:cs="仿宋"/>
          <w:b/>
          <w:color w:val="auto"/>
          <w:szCs w:val="21"/>
        </w:rPr>
        <w:t>响应的标的数量及单位与招标文件要求实质性不一致的。</w:t>
      </w:r>
    </w:p>
    <w:p w14:paraId="62EF4A49">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2.2在商务评审时，如发现下列情形之一的，将被视为投标无效：</w:t>
      </w:r>
    </w:p>
    <w:p w14:paraId="1101B6DA">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投标文件未按招标文件要求签署、盖章的；</w:t>
      </w:r>
    </w:p>
    <w:p w14:paraId="09D084FE">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委托代理人未能出具有效身份证或者出具的身份证与授权委托书中的信息不符的；</w:t>
      </w:r>
    </w:p>
    <w:p w14:paraId="1F8AB5CE">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为无效投标保证金的或者未按照招标文件的规定提交投标保证金的；</w:t>
      </w:r>
    </w:p>
    <w:p w14:paraId="276D55C9">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投标文件未提供“投标人须知前附表”第13.1条规定中“必须提供”或者“委托时必须提供”的文件资料的；</w:t>
      </w:r>
    </w:p>
    <w:p w14:paraId="2880D178">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商务要求评审允许负偏离的条款数超过“投标人须知前附表”规定项数的；</w:t>
      </w:r>
    </w:p>
    <w:p w14:paraId="70F0AD13">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投标文件的实质性内容未使用中文表述、使用计量单位不符合招标文件要求的；</w:t>
      </w:r>
    </w:p>
    <w:p w14:paraId="5C2CB2DA">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投标文件中的文件资料因填写不齐全或者内容虚假或者出现其他情形而导致被评标委员会认定无效的；</w:t>
      </w:r>
    </w:p>
    <w:p w14:paraId="39D64643">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投标文件含有采购人不能接受的附加条件的；</w:t>
      </w:r>
    </w:p>
    <w:p w14:paraId="6C5255D9">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属于投标人须知正文第9.2条情形的；</w:t>
      </w:r>
    </w:p>
    <w:p w14:paraId="2DB45A0C">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投标文件标注的项目名称或者项目编号与招标文件标注的项目名称或者项目编号不一致的；</w:t>
      </w:r>
    </w:p>
    <w:p w14:paraId="7AEF4DB5">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招标文件明确不允许分包，投标文件拟分包的；</w:t>
      </w:r>
    </w:p>
    <w:p w14:paraId="4985004E">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未响应招标文件实质性要求的；</w:t>
      </w:r>
    </w:p>
    <w:p w14:paraId="0E698B61">
      <w:pPr>
        <w:numPr>
          <w:ilvl w:val="0"/>
          <w:numId w:val="9"/>
        </w:num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法律、法规和招标文件规定的其他无效情形。</w:t>
      </w:r>
    </w:p>
    <w:p w14:paraId="0214AFF4">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2.3在技术评审时，如发现下列情形之一的，将被视为投标无效：</w:t>
      </w:r>
    </w:p>
    <w:p w14:paraId="6EAEE174">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（1）技术要求评审允许负偏离的条款数超过“投标人须知前附表”规定项数的；</w:t>
      </w:r>
    </w:p>
    <w:p w14:paraId="460C19BA">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（2）投标文件未提供“投标人须知前附表”第13.1条规定中“必须提供”的文件资料的；</w:t>
      </w:r>
    </w:p>
    <w:p w14:paraId="5943C56B">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（3）虚假投标，或者出现其他情形而导致被评标委员会认定无效的；</w:t>
      </w:r>
    </w:p>
    <w:p w14:paraId="17F97357">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（4）</w:t>
      </w:r>
      <w:bookmarkStart w:id="151" w:name="_Hlk71706244"/>
      <w:r>
        <w:rPr>
          <w:rFonts w:hint="eastAsia" w:ascii="仿宋" w:hAnsi="仿宋" w:eastAsia="仿宋" w:cs="仿宋"/>
          <w:b/>
          <w:color w:val="auto"/>
          <w:kern w:val="2"/>
          <w:sz w:val="21"/>
          <w:szCs w:val="21"/>
        </w:rPr>
        <w:t>招标文件未载明允许提供备选（替代）投标方案或明确不允许提供备选（替代）投标方案时，投标人提供了备选（替代）投标方案的；</w:t>
      </w:r>
      <w:bookmarkEnd w:id="151"/>
    </w:p>
    <w:p w14:paraId="57CA7F6F">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（5）未响应招标文件实质性要求的。</w:t>
      </w:r>
    </w:p>
    <w:p w14:paraId="0E87B353">
      <w:pPr>
        <w:pStyle w:val="19"/>
        <w:snapToGrid w:val="0"/>
        <w:spacing w:line="360" w:lineRule="auto"/>
        <w:ind w:firstLine="413" w:firstLineChars="196"/>
        <w:rPr>
          <w:rFonts w:hint="eastAsia" w:ascii="仿宋" w:hAnsi="仿宋" w:eastAsia="仿宋" w:cs="仿宋"/>
          <w:b/>
          <w:color w:val="auto"/>
          <w:kern w:val="2"/>
          <w:sz w:val="21"/>
          <w:szCs w:val="21"/>
        </w:rPr>
      </w:pPr>
      <w:r>
        <w:rPr>
          <w:rFonts w:hint="eastAsia" w:ascii="仿宋" w:hAnsi="仿宋" w:eastAsia="仿宋" w:cs="仿宋"/>
          <w:b/>
          <w:color w:val="auto"/>
          <w:kern w:val="2"/>
          <w:sz w:val="21"/>
          <w:szCs w:val="21"/>
        </w:rPr>
        <w:t>2.4通过符合性审查的投标人不足3家，评标委员会不得继续评标，并出具评标报告。</w:t>
      </w:r>
    </w:p>
    <w:p w14:paraId="06F71D25">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3.澄清补正</w:t>
      </w:r>
    </w:p>
    <w:p w14:paraId="5125CB7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31FA6DF7">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4.投标文件修正</w:t>
      </w:r>
    </w:p>
    <w:p w14:paraId="6F59743F">
      <w:pPr>
        <w:pStyle w:val="5"/>
        <w:keepNext w:val="0"/>
        <w:keepLines w:val="0"/>
        <w:spacing w:before="0" w:after="0" w:line="360" w:lineRule="auto"/>
        <w:ind w:left="420" w:leftChars="200"/>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4.1投标文件报价出现前后不一致的，按照下列规定修正： </w:t>
      </w:r>
    </w:p>
    <w:p w14:paraId="55CD74B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（1）投标文件中开标一览表（报价表）内容与投标文件中相应内容不一致的，以开标一览表（报价表）为准；</w:t>
      </w:r>
    </w:p>
    <w:p w14:paraId="46039CF9">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（2）大写金额和小写金额不一致的，以大写金额为准；</w:t>
      </w:r>
    </w:p>
    <w:p w14:paraId="13A9C60A">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（3）单价金额小数点或者百分比有明显错位的，以开标一览表的总价为准，并修改单价；</w:t>
      </w:r>
    </w:p>
    <w:p w14:paraId="731F2F58">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（4）总价金额与按单价汇总金额不一致的，以单价金额计算结果为准。</w:t>
      </w:r>
    </w:p>
    <w:p w14:paraId="0E682846">
      <w:pPr>
        <w:pStyle w:val="25"/>
        <w:snapToGrid w:val="0"/>
        <w:spacing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同时出现两种以上不一致的，按照以上（1）-（4）规定的顺序修正。修正后的报价经投标人确认后产生约束力，投标人不确认的，</w:t>
      </w:r>
      <w:r>
        <w:rPr>
          <w:rFonts w:hint="eastAsia" w:ascii="仿宋" w:hAnsi="仿宋" w:eastAsia="仿宋" w:cs="仿宋"/>
          <w:b/>
          <w:color w:val="auto"/>
          <w:kern w:val="2"/>
          <w:sz w:val="21"/>
        </w:rPr>
        <w:t>其投标无效</w:t>
      </w:r>
      <w:r>
        <w:rPr>
          <w:rFonts w:hint="eastAsia" w:ascii="仿宋" w:hAnsi="仿宋" w:eastAsia="仿宋" w:cs="仿宋"/>
          <w:color w:val="auto"/>
          <w:sz w:val="21"/>
        </w:rPr>
        <w:t>。</w:t>
      </w:r>
    </w:p>
    <w:p w14:paraId="4CDDCF15">
      <w:pPr>
        <w:pStyle w:val="5"/>
        <w:keepNext w:val="0"/>
        <w:keepLines w:val="0"/>
        <w:spacing w:before="0" w:after="0" w:line="360" w:lineRule="auto"/>
        <w:rPr>
          <w:rFonts w:hint="eastAsia" w:ascii="仿宋" w:hAnsi="仿宋" w:eastAsia="仿宋" w:cs="仿宋"/>
          <w:b w:val="0"/>
          <w:color w:val="auto"/>
          <w:sz w:val="21"/>
          <w:szCs w:val="21"/>
        </w:rPr>
      </w:pPr>
      <w:r>
        <w:rPr>
          <w:rFonts w:hint="eastAsia" w:ascii="仿宋" w:hAnsi="仿宋" w:eastAsia="仿宋" w:cs="仿宋"/>
          <w:b w:val="0"/>
          <w:color w:val="auto"/>
          <w:sz w:val="21"/>
          <w:szCs w:val="21"/>
        </w:rPr>
        <w:t xml:space="preserve">    4.2经投标人确认修正后的报价若超过采购预算金额或者最高限价，</w:t>
      </w:r>
      <w:r>
        <w:rPr>
          <w:rFonts w:hint="eastAsia" w:ascii="仿宋" w:hAnsi="仿宋" w:eastAsia="仿宋" w:cs="仿宋"/>
          <w:color w:val="auto"/>
          <w:sz w:val="21"/>
          <w:szCs w:val="21"/>
        </w:rPr>
        <w:t>投标人的投标文件作无效投标处理</w:t>
      </w:r>
      <w:r>
        <w:rPr>
          <w:rFonts w:hint="eastAsia" w:ascii="仿宋" w:hAnsi="仿宋" w:eastAsia="仿宋" w:cs="仿宋"/>
          <w:b w:val="0"/>
          <w:color w:val="auto"/>
          <w:sz w:val="21"/>
          <w:szCs w:val="21"/>
        </w:rPr>
        <w:t>。</w:t>
      </w:r>
    </w:p>
    <w:p w14:paraId="745E47A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4.3经投标人确认修正后的报价作为签订合同的依据，并以此报价计算价格分。</w:t>
      </w:r>
    </w:p>
    <w:p w14:paraId="5FF072AA">
      <w:pPr>
        <w:pStyle w:val="5"/>
        <w:keepNext w:val="0"/>
        <w:keepLines w:val="0"/>
        <w:spacing w:before="0" w:after="0" w:line="360" w:lineRule="auto"/>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5.比较与评价</w:t>
      </w:r>
    </w:p>
    <w:p w14:paraId="266BD43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5.1采用综合评分法的</w:t>
      </w:r>
    </w:p>
    <w:p w14:paraId="11B98133">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（1）评标委员会按照招标文件中规定的评标方法及评标标准，对符合性审查合格的投标文件进行商务和技术评估，综合比较与评价。</w:t>
      </w:r>
    </w:p>
    <w:p w14:paraId="149E49F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（2）评标委员会独立对每个投标人的投标文件进行评价，并汇总每个投标人的得分。</w:t>
      </w:r>
    </w:p>
    <w:p w14:paraId="178914D4">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szCs w:val="21"/>
        </w:rPr>
        <w:t>投标人不能证明其报价合理性的，评标委员会将其作为无效投标处理</w:t>
      </w:r>
      <w:r>
        <w:rPr>
          <w:rFonts w:hint="eastAsia" w:ascii="仿宋" w:hAnsi="仿宋" w:eastAsia="仿宋" w:cs="仿宋"/>
          <w:color w:val="auto"/>
          <w:szCs w:val="21"/>
        </w:rPr>
        <w:t>。</w:t>
      </w:r>
    </w:p>
    <w:p w14:paraId="00F0B90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（3）评标委员会按照招标文件中规定的评标方法和标准计算各投标人的报价得分。在计算过程中，不得去掉最高报价或者最低报价。</w:t>
      </w:r>
    </w:p>
    <w:p w14:paraId="2DF7C565">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（4）各投标人的得分为所有评委的有效评分的算术平均数。</w:t>
      </w:r>
    </w:p>
    <w:p w14:paraId="155C8AD6">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（5）评标委员会按照招标文件中的规定推荐中标候选人。</w:t>
      </w:r>
    </w:p>
    <w:p w14:paraId="1A46FC3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0476CBE">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5.2采用</w:t>
      </w:r>
      <w:r>
        <w:rPr>
          <w:rFonts w:hint="eastAsia" w:ascii="仿宋" w:hAnsi="仿宋" w:eastAsia="仿宋" w:cs="仿宋"/>
          <w:color w:val="auto"/>
        </w:rPr>
        <w:t>最低评标价法</w:t>
      </w:r>
      <w:r>
        <w:rPr>
          <w:rFonts w:hint="eastAsia" w:ascii="仿宋" w:hAnsi="仿宋" w:eastAsia="仿宋" w:cs="仿宋"/>
          <w:color w:val="auto"/>
          <w:szCs w:val="21"/>
        </w:rPr>
        <w:t>的</w:t>
      </w:r>
    </w:p>
    <w:p w14:paraId="3F23762D">
      <w:pPr>
        <w:snapToGrid w:val="0"/>
        <w:spacing w:line="360" w:lineRule="auto"/>
        <w:ind w:firstLine="424" w:firstLineChars="202"/>
        <w:jc w:val="left"/>
        <w:rPr>
          <w:rFonts w:hint="eastAsia" w:ascii="仿宋" w:hAnsi="仿宋" w:eastAsia="仿宋" w:cs="仿宋"/>
          <w:color w:val="auto"/>
          <w:szCs w:val="21"/>
        </w:rPr>
      </w:pPr>
      <w:r>
        <w:rPr>
          <w:rFonts w:hint="eastAsia" w:ascii="仿宋" w:hAnsi="仿宋" w:eastAsia="仿宋" w:cs="仿宋"/>
          <w:color w:val="auto"/>
          <w:szCs w:val="21"/>
        </w:rPr>
        <w:t>（1）评标委员会按照招标文件中规定的评标方法及评标标准，对符合性审查合格的投标文件报价进行比较。</w:t>
      </w:r>
    </w:p>
    <w:p w14:paraId="4E796092">
      <w:pPr>
        <w:snapToGrid w:val="0"/>
        <w:spacing w:line="360" w:lineRule="auto"/>
        <w:ind w:firstLine="399" w:firstLineChars="202"/>
        <w:jc w:val="left"/>
        <w:rPr>
          <w:rFonts w:hint="eastAsia" w:ascii="仿宋" w:hAnsi="仿宋" w:eastAsia="仿宋" w:cs="仿宋"/>
          <w:color w:val="auto"/>
          <w:spacing w:val="-6"/>
          <w:szCs w:val="21"/>
        </w:rPr>
      </w:pPr>
      <w:r>
        <w:rPr>
          <w:rFonts w:hint="eastAsia" w:ascii="仿宋" w:hAnsi="仿宋" w:eastAsia="仿宋" w:cs="仿宋"/>
          <w:color w:val="auto"/>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spacing w:val="-6"/>
          <w:szCs w:val="21"/>
        </w:rPr>
        <w:t>投标人不能证明其报价合理性的，评标委员会将其作为无效投标处理</w:t>
      </w:r>
      <w:r>
        <w:rPr>
          <w:rFonts w:hint="eastAsia" w:ascii="仿宋" w:hAnsi="仿宋" w:eastAsia="仿宋" w:cs="仿宋"/>
          <w:color w:val="auto"/>
          <w:spacing w:val="-6"/>
          <w:szCs w:val="21"/>
        </w:rPr>
        <w:t>。</w:t>
      </w:r>
    </w:p>
    <w:p w14:paraId="217A9676">
      <w:pPr>
        <w:snapToGrid w:val="0"/>
        <w:spacing w:line="360" w:lineRule="auto"/>
        <w:ind w:firstLine="424" w:firstLineChars="202"/>
        <w:jc w:val="left"/>
        <w:rPr>
          <w:rFonts w:hint="eastAsia" w:ascii="仿宋" w:hAnsi="仿宋" w:eastAsia="仿宋" w:cs="仿宋"/>
          <w:color w:val="auto"/>
          <w:szCs w:val="21"/>
        </w:rPr>
      </w:pPr>
      <w:r>
        <w:rPr>
          <w:rFonts w:hint="eastAsia" w:ascii="仿宋" w:hAnsi="仿宋" w:eastAsia="仿宋" w:cs="仿宋"/>
          <w:color w:val="auto"/>
          <w:szCs w:val="21"/>
        </w:rPr>
        <w:t>（3）评标委员会按照招标文件中的规定推荐中标候选人。</w:t>
      </w:r>
    </w:p>
    <w:p w14:paraId="76EAE30A">
      <w:pPr>
        <w:snapToGrid w:val="0"/>
        <w:spacing w:line="360" w:lineRule="auto"/>
        <w:ind w:firstLine="424" w:firstLineChars="202"/>
        <w:jc w:val="left"/>
        <w:rPr>
          <w:rFonts w:hint="eastAsia" w:ascii="仿宋" w:hAnsi="仿宋" w:eastAsia="仿宋" w:cs="仿宋"/>
          <w:color w:val="auto"/>
          <w:szCs w:val="21"/>
        </w:rPr>
      </w:pPr>
      <w:r>
        <w:rPr>
          <w:rFonts w:hint="eastAsia" w:ascii="仿宋" w:hAnsi="仿宋" w:eastAsia="仿宋" w:cs="仿宋"/>
          <w:color w:val="auto"/>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C14DCFD">
      <w:pPr>
        <w:snapToGrid w:val="0"/>
        <w:spacing w:line="360" w:lineRule="auto"/>
        <w:jc w:val="center"/>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b/>
          <w:bCs/>
          <w:color w:val="auto"/>
          <w:sz w:val="32"/>
          <w:szCs w:val="32"/>
        </w:rPr>
        <w:t>三、评标标准</w:t>
      </w:r>
    </w:p>
    <w:p w14:paraId="376E8E2F">
      <w:pPr>
        <w:pStyle w:val="4"/>
        <w:keepNext w:val="0"/>
        <w:keepLines w:val="0"/>
        <w:jc w:val="center"/>
        <w:rPr>
          <w:rFonts w:hint="eastAsia" w:ascii="仿宋" w:hAnsi="仿宋" w:eastAsia="仿宋" w:cs="仿宋"/>
          <w:color w:val="auto"/>
        </w:rPr>
      </w:pPr>
      <w:r>
        <w:rPr>
          <w:rFonts w:hint="eastAsia" w:ascii="仿宋" w:hAnsi="仿宋" w:eastAsia="仿宋" w:cs="仿宋"/>
          <w:color w:val="auto"/>
        </w:rPr>
        <w:t>综合评分法</w:t>
      </w:r>
    </w:p>
    <w:p w14:paraId="2751645D">
      <w:pPr>
        <w:pStyle w:val="25"/>
        <w:spacing w:line="360" w:lineRule="auto"/>
        <w:ind w:firstLine="420"/>
        <w:rPr>
          <w:rFonts w:hint="eastAsia" w:ascii="仿宋" w:hAnsi="仿宋" w:eastAsia="仿宋" w:cs="仿宋"/>
          <w:bCs/>
          <w:color w:val="auto"/>
          <w:sz w:val="21"/>
        </w:rPr>
      </w:pPr>
      <w:r>
        <w:rPr>
          <w:rFonts w:hint="eastAsia" w:ascii="仿宋" w:hAnsi="仿宋" w:eastAsia="仿宋" w:cs="仿宋"/>
          <w:bCs/>
          <w:color w:val="auto"/>
          <w:sz w:val="21"/>
        </w:rPr>
        <w:t>注：1.计分方法按四舍五入取至百分位；</w:t>
      </w:r>
    </w:p>
    <w:p w14:paraId="7883FB9B">
      <w:pPr>
        <w:spacing w:line="360" w:lineRule="auto"/>
        <w:ind w:firstLine="420"/>
        <w:rPr>
          <w:rFonts w:hint="eastAsia" w:ascii="仿宋" w:hAnsi="仿宋" w:eastAsia="仿宋" w:cs="仿宋"/>
          <w:bCs/>
          <w:i/>
          <w:iCs/>
          <w:color w:val="auto"/>
          <w:szCs w:val="21"/>
        </w:rPr>
      </w:pPr>
      <w:r>
        <w:rPr>
          <w:rFonts w:hint="eastAsia" w:ascii="仿宋" w:hAnsi="仿宋" w:eastAsia="仿宋" w:cs="仿宋"/>
          <w:bCs/>
          <w:color w:val="auto"/>
        </w:rPr>
        <w:t xml:space="preserve">    2.因落实政府采购政策进行价格调整的，以调整后的价格计算评标基准价和投标报价。</w:t>
      </w:r>
    </w:p>
    <w:p w14:paraId="7A584F82">
      <w:pPr>
        <w:autoSpaceDE w:val="0"/>
        <w:autoSpaceDN w:val="0"/>
        <w:spacing w:line="360" w:lineRule="auto"/>
        <w:ind w:left="567" w:leftChars="270" w:right="609" w:rightChars="290"/>
        <w:rPr>
          <w:rFonts w:hint="eastAsia" w:ascii="仿宋" w:hAnsi="仿宋" w:eastAsia="仿宋" w:cs="仿宋"/>
          <w:color w:val="auto"/>
          <w:szCs w:val="21"/>
        </w:rPr>
      </w:pPr>
      <w:r>
        <w:rPr>
          <w:rFonts w:hint="eastAsia" w:ascii="仿宋" w:hAnsi="仿宋" w:eastAsia="仿宋" w:cs="仿宋"/>
          <w:color w:val="auto"/>
          <w:spacing w:val="1"/>
          <w:szCs w:val="21"/>
        </w:rPr>
        <w:t>综合评议指标表</w:t>
      </w:r>
      <w:r>
        <w:rPr>
          <w:rFonts w:hint="eastAsia" w:ascii="仿宋" w:hAnsi="仿宋" w:eastAsia="仿宋" w:cs="仿宋"/>
          <w:color w:val="auto"/>
        </w:rPr>
        <w:t xml:space="preserve"> </w:t>
      </w:r>
    </w:p>
    <w:p w14:paraId="28EF2524">
      <w:pPr>
        <w:pStyle w:val="25"/>
        <w:spacing w:line="360" w:lineRule="auto"/>
        <w:ind w:firstLine="420"/>
        <w:rPr>
          <w:rFonts w:hint="eastAsia" w:ascii="仿宋" w:hAnsi="仿宋" w:eastAsia="仿宋" w:cs="仿宋"/>
          <w:bCs/>
          <w:color w:val="auto"/>
          <w:sz w:val="21"/>
        </w:rPr>
      </w:pPr>
    </w:p>
    <w:tbl>
      <w:tblPr>
        <w:tblStyle w:val="47"/>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6969"/>
      </w:tblGrid>
      <w:tr w14:paraId="374E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797093BE">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序号</w:t>
            </w:r>
          </w:p>
        </w:tc>
        <w:tc>
          <w:tcPr>
            <w:tcW w:w="1280" w:type="dxa"/>
            <w:vAlign w:val="center"/>
          </w:tcPr>
          <w:p w14:paraId="6EE0CCAB">
            <w:pPr>
              <w:adjustRightInd w:val="0"/>
              <w:spacing w:line="400" w:lineRule="exact"/>
              <w:jc w:val="center"/>
              <w:textAlignment w:val="baseline"/>
              <w:rPr>
                <w:rFonts w:hint="eastAsia" w:ascii="仿宋" w:hAnsi="仿宋" w:eastAsia="仿宋" w:cs="仿宋"/>
                <w:color w:val="auto"/>
                <w:sz w:val="24"/>
              </w:rPr>
            </w:pPr>
            <w:r>
              <w:rPr>
                <w:rFonts w:hint="eastAsia" w:ascii="仿宋" w:hAnsi="仿宋" w:eastAsia="仿宋" w:cs="仿宋"/>
                <w:b/>
                <w:color w:val="auto"/>
                <w:sz w:val="24"/>
              </w:rPr>
              <w:t>评审因素</w:t>
            </w:r>
          </w:p>
        </w:tc>
        <w:tc>
          <w:tcPr>
            <w:tcW w:w="709" w:type="dxa"/>
            <w:vAlign w:val="center"/>
          </w:tcPr>
          <w:p w14:paraId="4118A4A5">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分值</w:t>
            </w:r>
          </w:p>
        </w:tc>
        <w:tc>
          <w:tcPr>
            <w:tcW w:w="6969" w:type="dxa"/>
            <w:vAlign w:val="center"/>
          </w:tcPr>
          <w:p w14:paraId="697136C4">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评标标准</w:t>
            </w:r>
          </w:p>
        </w:tc>
      </w:tr>
      <w:tr w14:paraId="6B1E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67462B09">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1</w:t>
            </w:r>
          </w:p>
        </w:tc>
        <w:tc>
          <w:tcPr>
            <w:tcW w:w="1280" w:type="dxa"/>
            <w:vAlign w:val="center"/>
          </w:tcPr>
          <w:p w14:paraId="09EDEB10">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投标报价</w:t>
            </w:r>
          </w:p>
        </w:tc>
        <w:tc>
          <w:tcPr>
            <w:tcW w:w="709" w:type="dxa"/>
            <w:vAlign w:val="center"/>
          </w:tcPr>
          <w:p w14:paraId="075F82C8">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10分</w:t>
            </w:r>
          </w:p>
        </w:tc>
        <w:tc>
          <w:tcPr>
            <w:tcW w:w="6969" w:type="dxa"/>
            <w:vAlign w:val="center"/>
          </w:tcPr>
          <w:p w14:paraId="7628EE72">
            <w:pPr>
              <w:pStyle w:val="25"/>
              <w:spacing w:line="360" w:lineRule="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一、政府采购政策扣除</w:t>
            </w:r>
          </w:p>
          <w:p w14:paraId="1B5089AC">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根据《政府采购促进中小企业发展管理办法》的规定，全部服务由属于《政府采购促进中小企业发展管理办法》规定的小微企业承接的，对投标报价给予20%的扣除，用扣除后的价格参加评审。符合上述规定对报价给予扣除的，扣除后的价格为评标价，即评标价=投标报价×（1 - 扣除比例）；不符合上述给予扣除情形的，评标价=投标报价。。</w:t>
            </w:r>
          </w:p>
          <w:p w14:paraId="7BBE4181">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4CE3F0A4">
            <w:pPr>
              <w:pStyle w:val="25"/>
              <w:spacing w:line="42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93AA4E">
            <w:pPr>
              <w:pStyle w:val="25"/>
              <w:spacing w:line="420" w:lineRule="exac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二、投标报价分（满分10分）</w:t>
            </w:r>
          </w:p>
          <w:p w14:paraId="3EF94D4D">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投标报价分采用低价优先法计算，满足招标文件要求且评标价最低的有效投标人的评标价为评标基准价，其投标报价分为满分。</w:t>
            </w:r>
          </w:p>
          <w:p w14:paraId="7D174A14">
            <w:pPr>
              <w:pStyle w:val="25"/>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2、其他投标人的价格分统一按照下列公式计算：</w:t>
            </w:r>
          </w:p>
          <w:p w14:paraId="0181C992">
            <w:pPr>
              <w:pStyle w:val="25"/>
              <w:spacing w:line="420" w:lineRule="exact"/>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某有效投标人的投标报价分=（评标基准价／某有效投标人评标价）× 10分</w:t>
            </w:r>
          </w:p>
        </w:tc>
      </w:tr>
      <w:tr w14:paraId="16A7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0" w:type="dxa"/>
            <w:vMerge w:val="restart"/>
            <w:vAlign w:val="center"/>
          </w:tcPr>
          <w:p w14:paraId="0F0E38FA">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2</w:t>
            </w:r>
          </w:p>
        </w:tc>
        <w:tc>
          <w:tcPr>
            <w:tcW w:w="1280" w:type="dxa"/>
            <w:vMerge w:val="restart"/>
            <w:vAlign w:val="center"/>
          </w:tcPr>
          <w:p w14:paraId="2FAC7DCD">
            <w:pPr>
              <w:adjustRightInd w:val="0"/>
              <w:spacing w:line="400" w:lineRule="exact"/>
              <w:jc w:val="center"/>
              <w:textAlignment w:val="baseline"/>
              <w:rPr>
                <w:rFonts w:hint="eastAsia" w:ascii="仿宋" w:hAnsi="仿宋" w:eastAsia="仿宋" w:cs="仿宋"/>
                <w:b/>
                <w:bCs/>
                <w:color w:val="auto"/>
                <w:sz w:val="24"/>
              </w:rPr>
            </w:pPr>
            <w:r>
              <w:rPr>
                <w:rFonts w:hint="eastAsia" w:ascii="仿宋" w:hAnsi="仿宋" w:eastAsia="仿宋" w:cs="仿宋"/>
                <w:b/>
                <w:bCs/>
                <w:color w:val="auto"/>
                <w:sz w:val="24"/>
              </w:rPr>
              <w:t>技术分</w:t>
            </w:r>
          </w:p>
          <w:p w14:paraId="0762F70B">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bCs/>
                <w:color w:val="auto"/>
                <w:sz w:val="24"/>
              </w:rPr>
              <w:t>（</w:t>
            </w:r>
            <w:r>
              <w:rPr>
                <w:rFonts w:hint="eastAsia" w:ascii="仿宋" w:hAnsi="仿宋" w:eastAsia="仿宋" w:cs="仿宋"/>
                <w:b/>
                <w:color w:val="auto"/>
                <w:sz w:val="24"/>
              </w:rPr>
              <w:t>满分6</w:t>
            </w:r>
            <w:r>
              <w:rPr>
                <w:rFonts w:hint="eastAsia" w:ascii="仿宋" w:hAnsi="仿宋" w:eastAsia="仿宋" w:cs="仿宋"/>
                <w:b/>
                <w:color w:val="auto"/>
                <w:sz w:val="24"/>
                <w:lang w:val="en-US" w:eastAsia="zh-CN"/>
              </w:rPr>
              <w:t>2</w:t>
            </w:r>
            <w:r>
              <w:rPr>
                <w:rFonts w:hint="eastAsia" w:ascii="仿宋" w:hAnsi="仿宋" w:eastAsia="仿宋" w:cs="仿宋"/>
                <w:b/>
                <w:bCs/>
                <w:color w:val="auto"/>
                <w:sz w:val="24"/>
              </w:rPr>
              <w:t>分）</w:t>
            </w:r>
          </w:p>
        </w:tc>
        <w:tc>
          <w:tcPr>
            <w:tcW w:w="709" w:type="dxa"/>
            <w:vMerge w:val="restart"/>
            <w:vAlign w:val="center"/>
          </w:tcPr>
          <w:p w14:paraId="7AAC251A">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6</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分</w:t>
            </w:r>
          </w:p>
        </w:tc>
        <w:tc>
          <w:tcPr>
            <w:tcW w:w="6969" w:type="dxa"/>
            <w:vAlign w:val="center"/>
          </w:tcPr>
          <w:p w14:paraId="39185AEB">
            <w:pPr>
              <w:spacing w:line="400" w:lineRule="exact"/>
              <w:jc w:val="left"/>
              <w:rPr>
                <w:rFonts w:ascii="仿宋" w:eastAsia="仿宋" w:cs="仿宋"/>
                <w:b/>
                <w:color w:val="auto"/>
                <w:sz w:val="24"/>
              </w:rPr>
            </w:pPr>
            <w:r>
              <w:rPr>
                <w:rFonts w:hint="eastAsia" w:ascii="仿宋" w:eastAsia="仿宋" w:cs="仿宋"/>
                <w:b/>
                <w:color w:val="auto"/>
                <w:sz w:val="24"/>
              </w:rPr>
              <w:t>2.1</w:t>
            </w:r>
            <w:r>
              <w:rPr>
                <w:rFonts w:hint="eastAsia" w:ascii="仿宋" w:eastAsia="仿宋" w:cs="仿宋"/>
                <w:b/>
                <w:color w:val="auto"/>
                <w:sz w:val="24"/>
              </w:rPr>
              <w:tab/>
            </w:r>
            <w:r>
              <w:rPr>
                <w:rFonts w:hint="eastAsia" w:ascii="仿宋" w:eastAsia="仿宋" w:cs="仿宋"/>
                <w:b/>
                <w:color w:val="auto"/>
                <w:sz w:val="24"/>
              </w:rPr>
              <w:t>展区布局方案分（20分）</w:t>
            </w:r>
          </w:p>
          <w:p w14:paraId="7664C89A">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评委根据应标供应商提供的展区布局设计方案独立评审，包含以下评审因素：①概念设计；②展区故事线设计；③布展环境及大型造型概念设计；④契合东盟主题的相关科学性，具有可互动性。</w:t>
            </w:r>
            <w:r>
              <w:rPr>
                <w:rFonts w:hint="eastAsia" w:ascii="仿宋" w:hAnsi="仿宋" w:eastAsia="仿宋" w:cs="仿宋"/>
                <w:bCs/>
                <w:color w:val="auto"/>
                <w:sz w:val="24"/>
              </w:rPr>
              <w:t>⑤</w:t>
            </w:r>
            <w:r>
              <w:rPr>
                <w:rFonts w:hint="eastAsia" w:ascii="仿宋" w:eastAsia="仿宋" w:cs="仿宋"/>
                <w:bCs/>
                <w:color w:val="auto"/>
                <w:sz w:val="24"/>
              </w:rPr>
              <w:t>符合展区主题并巧妙融合环境装饰与展品展项。</w:t>
            </w:r>
          </w:p>
          <w:p w14:paraId="1370B6FB">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未提供展区布局方案的得0分。</w:t>
            </w:r>
          </w:p>
          <w:p w14:paraId="6628788C">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一档（7分）：提供了展区布局方案，但无法完整清晰表述①-③项评审因素内容，效果不能达到④-</w:t>
            </w:r>
            <w:r>
              <w:rPr>
                <w:rFonts w:hint="eastAsia" w:ascii="仿宋" w:hAnsi="仿宋" w:eastAsia="仿宋" w:cs="仿宋"/>
                <w:bCs/>
                <w:color w:val="auto"/>
                <w:sz w:val="24"/>
              </w:rPr>
              <w:t>⑤项评审因素要求</w:t>
            </w:r>
            <w:r>
              <w:rPr>
                <w:rFonts w:hint="eastAsia" w:ascii="仿宋" w:eastAsia="仿宋" w:cs="仿宋"/>
                <w:bCs/>
                <w:color w:val="auto"/>
                <w:sz w:val="24"/>
              </w:rPr>
              <w:t>。</w:t>
            </w:r>
          </w:p>
          <w:p w14:paraId="39A589FF">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二档（10分）：提供了展区布局方案，能清晰完整表述①-③项评审因素内容，但效果不能达到④-</w:t>
            </w:r>
            <w:r>
              <w:rPr>
                <w:rFonts w:hint="eastAsia" w:ascii="仿宋" w:hAnsi="仿宋" w:eastAsia="仿宋" w:cs="仿宋"/>
                <w:bCs/>
                <w:color w:val="auto"/>
                <w:sz w:val="24"/>
              </w:rPr>
              <w:t>⑤项评审因素要求</w:t>
            </w:r>
            <w:r>
              <w:rPr>
                <w:rFonts w:hint="eastAsia" w:ascii="仿宋" w:eastAsia="仿宋" w:cs="仿宋"/>
                <w:bCs/>
                <w:color w:val="auto"/>
                <w:sz w:val="24"/>
              </w:rPr>
              <w:t>。</w:t>
            </w:r>
          </w:p>
          <w:p w14:paraId="1EABCE23">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三档（15分）：提供了展区布局方案，能清晰完整表述①-③项评审因素内容，效果能达到全部④-</w:t>
            </w:r>
            <w:r>
              <w:rPr>
                <w:rFonts w:hint="eastAsia" w:ascii="仿宋" w:hAnsi="仿宋" w:eastAsia="仿宋" w:cs="仿宋"/>
                <w:bCs/>
                <w:color w:val="auto"/>
                <w:sz w:val="24"/>
              </w:rPr>
              <w:t>⑤项评审因素要求</w:t>
            </w:r>
            <w:r>
              <w:rPr>
                <w:rFonts w:hint="eastAsia" w:ascii="仿宋" w:eastAsia="仿宋" w:cs="仿宋"/>
                <w:bCs/>
                <w:color w:val="auto"/>
                <w:sz w:val="24"/>
              </w:rPr>
              <w:t>。</w:t>
            </w:r>
          </w:p>
          <w:p w14:paraId="400FC7AB">
            <w:pPr>
              <w:spacing w:line="400" w:lineRule="exact"/>
              <w:ind w:firstLine="432" w:firstLineChars="180"/>
              <w:jc w:val="left"/>
              <w:rPr>
                <w:rFonts w:ascii="仿宋" w:eastAsia="仿宋" w:cs="仿宋"/>
                <w:bCs/>
                <w:color w:val="auto"/>
                <w:sz w:val="24"/>
              </w:rPr>
            </w:pPr>
            <w:r>
              <w:rPr>
                <w:rFonts w:hint="eastAsia" w:ascii="仿宋" w:eastAsia="仿宋" w:cs="仿宋"/>
                <w:bCs/>
                <w:color w:val="auto"/>
                <w:sz w:val="24"/>
              </w:rPr>
              <w:t>四档（20分）：提供了展区布局方案，能清晰完整表述①-③项评审因素内容，效果能达到全部④-</w:t>
            </w:r>
            <w:r>
              <w:rPr>
                <w:rFonts w:hint="eastAsia" w:ascii="仿宋" w:hAnsi="仿宋" w:eastAsia="仿宋" w:cs="仿宋"/>
                <w:bCs/>
                <w:color w:val="auto"/>
                <w:sz w:val="24"/>
              </w:rPr>
              <w:t>⑤项评审因素要求，并提出合理的优化设计，且能</w:t>
            </w:r>
            <w:r>
              <w:rPr>
                <w:rFonts w:hint="eastAsia" w:ascii="仿宋" w:eastAsia="仿宋" w:cs="仿宋"/>
                <w:bCs/>
                <w:color w:val="auto"/>
                <w:sz w:val="24"/>
              </w:rPr>
              <w:t>提供详细具体、满足项目要求的技术参数、效果图等设计文件的。</w:t>
            </w:r>
          </w:p>
          <w:p w14:paraId="386BB261">
            <w:pPr>
              <w:spacing w:line="400" w:lineRule="exact"/>
              <w:ind w:firstLine="432" w:firstLineChars="180"/>
              <w:jc w:val="left"/>
              <w:rPr>
                <w:color w:val="auto"/>
              </w:rPr>
            </w:pPr>
            <w:r>
              <w:rPr>
                <w:rFonts w:hint="eastAsia" w:ascii="仿宋" w:eastAsia="仿宋" w:cs="仿宋"/>
                <w:bCs/>
                <w:color w:val="auto"/>
                <w:sz w:val="24"/>
              </w:rPr>
              <w:t>未提供展区布局方案的本项不得分。</w:t>
            </w:r>
          </w:p>
        </w:tc>
      </w:tr>
      <w:tr w14:paraId="6C6F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02F3B24">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EFC921E">
            <w:pPr>
              <w:adjustRightInd w:val="0"/>
              <w:spacing w:line="400" w:lineRule="exact"/>
              <w:jc w:val="center"/>
              <w:textAlignment w:val="baseline"/>
              <w:rPr>
                <w:rFonts w:hint="eastAsia" w:ascii="仿宋" w:hAnsi="仿宋" w:eastAsia="仿宋" w:cs="仿宋"/>
                <w:b/>
                <w:bCs/>
                <w:color w:val="auto"/>
                <w:sz w:val="24"/>
              </w:rPr>
            </w:pPr>
          </w:p>
        </w:tc>
        <w:tc>
          <w:tcPr>
            <w:tcW w:w="709" w:type="dxa"/>
            <w:vMerge w:val="continue"/>
            <w:vAlign w:val="center"/>
          </w:tcPr>
          <w:p w14:paraId="4A7E7206">
            <w:pPr>
              <w:adjustRightInd w:val="0"/>
              <w:spacing w:line="400" w:lineRule="exact"/>
              <w:jc w:val="center"/>
              <w:textAlignment w:val="baseline"/>
              <w:rPr>
                <w:rFonts w:hint="eastAsia" w:ascii="仿宋" w:hAnsi="仿宋" w:eastAsia="仿宋" w:cs="仿宋"/>
                <w:b/>
                <w:color w:val="auto"/>
                <w:sz w:val="24"/>
              </w:rPr>
            </w:pPr>
          </w:p>
        </w:tc>
        <w:tc>
          <w:tcPr>
            <w:tcW w:w="6969" w:type="dxa"/>
            <w:vAlign w:val="center"/>
          </w:tcPr>
          <w:p w14:paraId="6FE923F2">
            <w:pPr>
              <w:pStyle w:val="46"/>
              <w:spacing w:line="400" w:lineRule="exact"/>
              <w:ind w:firstLine="0" w:firstLineChars="0"/>
              <w:rPr>
                <w:b/>
                <w:bCs/>
                <w:color w:val="auto"/>
                <w:sz w:val="24"/>
                <w:szCs w:val="16"/>
              </w:rPr>
            </w:pPr>
            <w:r>
              <w:rPr>
                <w:rFonts w:hint="eastAsia"/>
                <w:b/>
                <w:bCs/>
                <w:color w:val="auto"/>
                <w:sz w:val="24"/>
                <w:szCs w:val="16"/>
              </w:rPr>
              <w:t>2</w:t>
            </w:r>
            <w:r>
              <w:rPr>
                <w:b/>
                <w:bCs/>
                <w:color w:val="auto"/>
                <w:sz w:val="24"/>
                <w:szCs w:val="16"/>
              </w:rPr>
              <w:t>.</w:t>
            </w:r>
            <w:r>
              <w:rPr>
                <w:rFonts w:hint="eastAsia"/>
                <w:b/>
                <w:bCs/>
                <w:color w:val="auto"/>
                <w:sz w:val="24"/>
                <w:szCs w:val="16"/>
              </w:rPr>
              <w:t>2</w:t>
            </w:r>
            <w:r>
              <w:rPr>
                <w:b/>
                <w:bCs/>
                <w:color w:val="auto"/>
                <w:sz w:val="24"/>
                <w:szCs w:val="16"/>
              </w:rPr>
              <w:t xml:space="preserve"> </w:t>
            </w:r>
            <w:r>
              <w:rPr>
                <w:rFonts w:hint="eastAsia"/>
                <w:b/>
                <w:bCs/>
                <w:color w:val="auto"/>
                <w:sz w:val="24"/>
                <w:szCs w:val="16"/>
              </w:rPr>
              <w:t>展品设计与实施分（30分）</w:t>
            </w:r>
          </w:p>
          <w:p w14:paraId="5E14FDF6">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评委根据应标供应商</w:t>
            </w:r>
            <w:r>
              <w:rPr>
                <w:rFonts w:hint="eastAsia" w:ascii="仿宋" w:eastAsia="仿宋" w:cs="仿宋"/>
                <w:b w:val="0"/>
                <w:bCs/>
                <w:color w:val="auto"/>
                <w:sz w:val="24"/>
              </w:rPr>
              <w:t>在技术要求偏离表中承诺</w:t>
            </w:r>
            <w:r>
              <w:rPr>
                <w:rFonts w:hint="eastAsia" w:ascii="仿宋" w:eastAsia="仿宋" w:cs="仿宋"/>
                <w:bCs/>
                <w:color w:val="auto"/>
                <w:sz w:val="24"/>
              </w:rPr>
              <w:t>提供的项目成果独立评分，包含以下评审要素：大型核心展品的</w:t>
            </w:r>
            <w:r>
              <w:rPr>
                <w:rFonts w:hint="eastAsia" w:ascii="仿宋" w:eastAsia="仿宋" w:cs="仿宋"/>
                <w:b w:val="0"/>
                <w:bCs/>
                <w:color w:val="auto"/>
                <w:sz w:val="24"/>
              </w:rPr>
              <w:t>完成度</w:t>
            </w:r>
            <w:r>
              <w:rPr>
                <w:rFonts w:hint="eastAsia" w:ascii="仿宋" w:eastAsia="仿宋" w:cs="仿宋"/>
                <w:bCs/>
                <w:color w:val="auto"/>
                <w:sz w:val="24"/>
              </w:rPr>
              <w:t>和中小型互动展品的数量。</w:t>
            </w:r>
          </w:p>
          <w:p w14:paraId="665FBABB">
            <w:pPr>
              <w:pStyle w:val="46"/>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2.2.1大型核心展品（15分）：</w:t>
            </w:r>
          </w:p>
          <w:p w14:paraId="018B7526">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一档（8分）：承诺按建议项目定制完成，总提供数量满足4项的要求。</w:t>
            </w:r>
          </w:p>
          <w:p w14:paraId="5E19E4C8">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二档（12分）：承诺在完成建议项目的基础上，总提供数量满足4项的要求，且能提供详尽的技术参数、所用材料、展品效果图等设计文件。</w:t>
            </w:r>
          </w:p>
          <w:p w14:paraId="226AAC6B">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三档（15分）：承诺在完成建议项目的基础上，总提供数量满足4项的要求，且能提供详尽的技术参数、所用材料、展品效果图等设计文件，能提出进一步提升展品效果的可行性建议。</w:t>
            </w:r>
          </w:p>
          <w:p w14:paraId="7165490E">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未达到一档要求的本项不得分。</w:t>
            </w:r>
          </w:p>
          <w:p w14:paraId="55B0832A">
            <w:pPr>
              <w:pStyle w:val="46"/>
              <w:spacing w:line="400" w:lineRule="exact"/>
              <w:ind w:firstLine="424" w:firstLineChars="177"/>
              <w:rPr>
                <w:rFonts w:ascii="仿宋" w:eastAsia="仿宋" w:cs="仿宋"/>
                <w:bCs/>
                <w:color w:val="auto"/>
                <w:sz w:val="24"/>
              </w:rPr>
            </w:pPr>
            <w:r>
              <w:rPr>
                <w:rFonts w:hint="eastAsia" w:ascii="仿宋" w:eastAsia="仿宋" w:cs="仿宋"/>
                <w:bCs/>
                <w:color w:val="auto"/>
                <w:sz w:val="24"/>
              </w:rPr>
              <w:t>2.2.2中小型互动展品（15分）：</w:t>
            </w:r>
          </w:p>
          <w:p w14:paraId="6FA4BD71">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一档（8分）：承诺按建议项目定制完成，总提供的展品数量满足19项的要求。</w:t>
            </w:r>
          </w:p>
          <w:p w14:paraId="1E049A6E">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二档（12分）：承诺按建议项目定制完成，总提供的展品数量在基础要求上增加1项，且能提供展品的技术参数、所用材料、展品效果图等设计文件。</w:t>
            </w:r>
          </w:p>
          <w:p w14:paraId="31A52389">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三档（</w:t>
            </w:r>
            <w:r>
              <w:rPr>
                <w:rFonts w:ascii="仿宋" w:eastAsia="仿宋" w:cs="仿宋"/>
                <w:bCs/>
                <w:color w:val="auto"/>
                <w:sz w:val="24"/>
              </w:rPr>
              <w:t>1</w:t>
            </w:r>
            <w:r>
              <w:rPr>
                <w:rFonts w:hint="eastAsia" w:ascii="仿宋" w:eastAsia="仿宋" w:cs="仿宋"/>
                <w:bCs/>
                <w:color w:val="auto"/>
                <w:sz w:val="24"/>
              </w:rPr>
              <w:t>5分）：承诺按建议项目定制完成，总提供的展品数量在基础要求上增加2项，且能提供展品的技术参数、所用材料、展品效果图等设计文件。</w:t>
            </w:r>
          </w:p>
          <w:p w14:paraId="275113BD">
            <w:pPr>
              <w:spacing w:line="400" w:lineRule="exact"/>
              <w:ind w:firstLine="480" w:firstLineChars="200"/>
              <w:jc w:val="left"/>
              <w:rPr>
                <w:rFonts w:ascii="仿宋" w:eastAsia="仿宋" w:cs="仿宋"/>
                <w:bCs/>
                <w:color w:val="auto"/>
                <w:sz w:val="24"/>
              </w:rPr>
            </w:pPr>
            <w:r>
              <w:rPr>
                <w:rFonts w:hint="eastAsia" w:ascii="仿宋" w:eastAsia="仿宋" w:cs="仿宋"/>
                <w:bCs/>
                <w:color w:val="auto"/>
                <w:sz w:val="24"/>
              </w:rPr>
              <w:t>未达到一档要求的本项不得分。</w:t>
            </w:r>
          </w:p>
        </w:tc>
      </w:tr>
      <w:tr w14:paraId="23F4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50D11FFC">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EABE813">
            <w:pPr>
              <w:adjustRightInd w:val="0"/>
              <w:spacing w:line="400" w:lineRule="exact"/>
              <w:jc w:val="center"/>
              <w:textAlignment w:val="baseline"/>
              <w:rPr>
                <w:rFonts w:hint="eastAsia" w:ascii="仿宋" w:hAnsi="仿宋" w:eastAsia="仿宋" w:cs="仿宋"/>
                <w:b/>
                <w:bCs/>
                <w:color w:val="auto"/>
                <w:sz w:val="24"/>
              </w:rPr>
            </w:pPr>
          </w:p>
        </w:tc>
        <w:tc>
          <w:tcPr>
            <w:tcW w:w="709" w:type="dxa"/>
            <w:vMerge w:val="continue"/>
            <w:vAlign w:val="center"/>
          </w:tcPr>
          <w:p w14:paraId="06EE6F7D">
            <w:pPr>
              <w:adjustRightInd w:val="0"/>
              <w:spacing w:line="400" w:lineRule="exact"/>
              <w:jc w:val="center"/>
              <w:textAlignment w:val="baseline"/>
              <w:rPr>
                <w:rFonts w:hint="eastAsia" w:ascii="仿宋" w:hAnsi="仿宋" w:eastAsia="仿宋" w:cs="仿宋"/>
                <w:b/>
                <w:color w:val="auto"/>
                <w:sz w:val="24"/>
              </w:rPr>
            </w:pPr>
          </w:p>
        </w:tc>
        <w:tc>
          <w:tcPr>
            <w:tcW w:w="6969" w:type="dxa"/>
            <w:shd w:val="clear" w:color="auto" w:fill="auto"/>
            <w:vAlign w:val="center"/>
          </w:tcPr>
          <w:p w14:paraId="24A4AA1E">
            <w:pPr>
              <w:spacing w:line="400" w:lineRule="exact"/>
              <w:jc w:val="left"/>
              <w:rPr>
                <w:rFonts w:ascii="仿宋" w:eastAsia="仿宋" w:cs="仿宋"/>
                <w:b/>
                <w:bCs w:val="0"/>
                <w:color w:val="auto"/>
                <w:sz w:val="24"/>
              </w:rPr>
            </w:pPr>
            <w:r>
              <w:rPr>
                <w:rFonts w:hint="eastAsia" w:ascii="仿宋" w:eastAsia="仿宋" w:cs="仿宋"/>
                <w:b/>
                <w:bCs w:val="0"/>
                <w:color w:val="auto"/>
                <w:sz w:val="24"/>
                <w:lang w:val="en-US" w:eastAsia="zh-CN"/>
              </w:rPr>
              <w:t>2.3</w:t>
            </w:r>
            <w:r>
              <w:rPr>
                <w:rFonts w:hint="eastAsia" w:ascii="仿宋" w:eastAsia="仿宋" w:cs="仿宋"/>
                <w:b/>
                <w:bCs w:val="0"/>
                <w:color w:val="auto"/>
                <w:sz w:val="24"/>
              </w:rPr>
              <w:t>项目实施方案分（</w:t>
            </w:r>
            <w:r>
              <w:rPr>
                <w:rFonts w:ascii="仿宋" w:eastAsia="仿宋" w:cs="仿宋"/>
                <w:b/>
                <w:bCs w:val="0"/>
                <w:color w:val="auto"/>
                <w:sz w:val="24"/>
              </w:rPr>
              <w:t>2</w:t>
            </w:r>
            <w:r>
              <w:rPr>
                <w:rFonts w:hint="eastAsia" w:ascii="仿宋" w:eastAsia="仿宋" w:cs="仿宋"/>
                <w:b/>
                <w:bCs w:val="0"/>
                <w:color w:val="auto"/>
                <w:sz w:val="24"/>
              </w:rPr>
              <w:t>分）</w:t>
            </w:r>
          </w:p>
          <w:p w14:paraId="2A13B5ED">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评委根据应标供应商提供的项目实施方案独立评分，包含以下评审因素：①技术响应及实施内容完全满足招标文件要求；②总体进度计划清晰可行；③项目实施人员不少于15人，且组织分工合理；</w:t>
            </w:r>
            <w:r>
              <w:rPr>
                <w:rFonts w:hint="eastAsia" w:ascii="仿宋" w:hAnsi="仿宋" w:eastAsia="仿宋" w:cs="仿宋"/>
                <w:bCs/>
                <w:color w:val="auto"/>
                <w:sz w:val="24"/>
              </w:rPr>
              <w:t>④有安全措施及服务质量保证措施</w:t>
            </w:r>
            <w:r>
              <w:rPr>
                <w:rFonts w:hint="eastAsia" w:ascii="仿宋" w:eastAsia="仿宋" w:cs="仿宋"/>
                <w:bCs/>
                <w:color w:val="auto"/>
                <w:sz w:val="24"/>
              </w:rPr>
              <w:t>。</w:t>
            </w:r>
          </w:p>
          <w:p w14:paraId="3A44AA95">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一档（0.5分）：4项评审因素内容不齐全，仅能清晰表述其中2项内容。</w:t>
            </w:r>
          </w:p>
          <w:p w14:paraId="364F02C9">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二档（1分）：4项评审因素内容不齐全，仅能清晰表述其中3项内容</w:t>
            </w:r>
          </w:p>
          <w:p w14:paraId="4DAB6BA3">
            <w:pPr>
              <w:spacing w:line="400" w:lineRule="exact"/>
              <w:ind w:firstLine="424" w:firstLineChars="177"/>
              <w:jc w:val="left"/>
              <w:rPr>
                <w:rFonts w:ascii="仿宋" w:eastAsia="仿宋" w:cs="仿宋"/>
                <w:bCs/>
                <w:color w:val="auto"/>
                <w:sz w:val="24"/>
              </w:rPr>
            </w:pPr>
            <w:r>
              <w:rPr>
                <w:rFonts w:hint="eastAsia" w:ascii="仿宋" w:eastAsia="仿宋" w:cs="仿宋"/>
                <w:bCs/>
                <w:color w:val="auto"/>
                <w:sz w:val="24"/>
              </w:rPr>
              <w:t>三档（2分）：4项评审因素内容齐全，表述清晰。</w:t>
            </w:r>
          </w:p>
          <w:p w14:paraId="6021974F">
            <w:pPr>
              <w:widowControl/>
              <w:spacing w:line="400" w:lineRule="exact"/>
              <w:ind w:firstLine="480" w:firstLineChars="200"/>
              <w:rPr>
                <w:rFonts w:hint="eastAsia" w:ascii="仿宋" w:hAnsi="仿宋" w:eastAsia="仿宋" w:cs="Times New Roman"/>
                <w:color w:val="auto"/>
                <w:kern w:val="0"/>
                <w:sz w:val="24"/>
                <w:szCs w:val="24"/>
                <w:lang w:val="en-US" w:eastAsia="zh-CN" w:bidi="ar-SA"/>
              </w:rPr>
            </w:pPr>
            <w:r>
              <w:rPr>
                <w:rFonts w:hint="eastAsia" w:ascii="仿宋" w:eastAsia="仿宋" w:cs="仿宋"/>
                <w:bCs/>
                <w:color w:val="auto"/>
                <w:sz w:val="24"/>
              </w:rPr>
              <w:t>未达到一档要求的本项不得分。</w:t>
            </w:r>
          </w:p>
        </w:tc>
      </w:tr>
      <w:tr w14:paraId="1DF4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0" w:type="dxa"/>
            <w:vMerge w:val="continue"/>
            <w:vAlign w:val="center"/>
          </w:tcPr>
          <w:p w14:paraId="40A4C4D6">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35ED4DC8">
            <w:pPr>
              <w:adjustRightInd w:val="0"/>
              <w:spacing w:line="400" w:lineRule="exact"/>
              <w:jc w:val="center"/>
              <w:textAlignment w:val="baseline"/>
              <w:rPr>
                <w:rFonts w:hint="eastAsia" w:ascii="仿宋" w:hAnsi="仿宋" w:eastAsia="仿宋" w:cs="仿宋"/>
                <w:b/>
                <w:bCs/>
                <w:color w:val="auto"/>
                <w:sz w:val="24"/>
              </w:rPr>
            </w:pPr>
          </w:p>
        </w:tc>
        <w:tc>
          <w:tcPr>
            <w:tcW w:w="709" w:type="dxa"/>
            <w:vMerge w:val="continue"/>
            <w:vAlign w:val="center"/>
          </w:tcPr>
          <w:p w14:paraId="6BCDD263">
            <w:pPr>
              <w:adjustRightInd w:val="0"/>
              <w:spacing w:line="400" w:lineRule="exact"/>
              <w:jc w:val="center"/>
              <w:textAlignment w:val="baseline"/>
              <w:rPr>
                <w:rFonts w:hint="eastAsia" w:ascii="仿宋" w:hAnsi="仿宋" w:eastAsia="仿宋" w:cs="仿宋"/>
                <w:b/>
                <w:color w:val="auto"/>
                <w:sz w:val="24"/>
              </w:rPr>
            </w:pPr>
          </w:p>
        </w:tc>
        <w:tc>
          <w:tcPr>
            <w:tcW w:w="6969" w:type="dxa"/>
            <w:vAlign w:val="center"/>
          </w:tcPr>
          <w:p w14:paraId="520D0CE9">
            <w:pPr>
              <w:spacing w:line="400" w:lineRule="exact"/>
              <w:jc w:val="left"/>
              <w:rPr>
                <w:rFonts w:ascii="仿宋" w:eastAsia="仿宋" w:cs="仿宋"/>
                <w:bCs/>
                <w:color w:val="auto"/>
                <w:sz w:val="24"/>
              </w:rPr>
            </w:pPr>
            <w:r>
              <w:rPr>
                <w:rFonts w:hint="eastAsia" w:ascii="仿宋" w:eastAsia="仿宋" w:cs="仿宋"/>
                <w:b/>
                <w:color w:val="auto"/>
                <w:sz w:val="24"/>
              </w:rPr>
              <w:t>2.</w:t>
            </w:r>
            <w:r>
              <w:rPr>
                <w:rFonts w:hint="eastAsia" w:ascii="仿宋" w:eastAsia="仿宋" w:cs="仿宋"/>
                <w:b/>
                <w:color w:val="auto"/>
                <w:sz w:val="24"/>
                <w:lang w:val="en-US" w:eastAsia="zh-CN"/>
              </w:rPr>
              <w:t>4</w:t>
            </w:r>
            <w:r>
              <w:rPr>
                <w:rFonts w:hint="eastAsia" w:ascii="仿宋" w:eastAsia="仿宋" w:cs="仿宋"/>
                <w:b/>
                <w:color w:val="auto"/>
                <w:sz w:val="24"/>
              </w:rPr>
              <w:t>附属开发项目内容成果分（10分）</w:t>
            </w:r>
          </w:p>
          <w:p w14:paraId="59B524AE">
            <w:pPr>
              <w:spacing w:line="400" w:lineRule="exact"/>
              <w:jc w:val="left"/>
              <w:rPr>
                <w:rFonts w:ascii="仿宋" w:eastAsia="仿宋" w:cs="仿宋"/>
                <w:bCs/>
                <w:color w:val="auto"/>
                <w:sz w:val="24"/>
              </w:rPr>
            </w:pPr>
            <w:r>
              <w:rPr>
                <w:rFonts w:hint="eastAsia" w:ascii="仿宋" w:eastAsia="仿宋" w:cs="仿宋"/>
                <w:bCs/>
                <w:color w:val="auto"/>
                <w:sz w:val="24"/>
              </w:rPr>
              <w:t>根据供应商提供的附属开发项目活动方案进行评价：</w:t>
            </w:r>
          </w:p>
          <w:p w14:paraId="154CFF7B">
            <w:pPr>
              <w:pStyle w:val="100"/>
              <w:spacing w:line="400" w:lineRule="exact"/>
              <w:ind w:firstLine="480"/>
              <w:jc w:val="left"/>
              <w:rPr>
                <w:rFonts w:ascii="仿宋" w:eastAsia="仿宋" w:cs="仿宋"/>
                <w:bCs/>
                <w:color w:val="auto"/>
                <w:sz w:val="24"/>
              </w:rPr>
            </w:pPr>
            <w:r>
              <w:rPr>
                <w:rFonts w:hint="eastAsia" w:ascii="仿宋" w:eastAsia="仿宋" w:cs="仿宋"/>
                <w:bCs/>
                <w:color w:val="auto"/>
                <w:sz w:val="24"/>
              </w:rPr>
              <w:t>一档（5分）：附属开发项目活动方案具有课程简介、教学目标、教学过程、教具教材的，且所提供的教育活动数量满足需求文件中要求的9项，得5分；</w:t>
            </w:r>
          </w:p>
          <w:p w14:paraId="45F1C41C">
            <w:pPr>
              <w:pStyle w:val="100"/>
              <w:spacing w:line="400" w:lineRule="exact"/>
              <w:ind w:firstLine="480"/>
              <w:jc w:val="left"/>
              <w:rPr>
                <w:rFonts w:ascii="仿宋" w:eastAsia="仿宋" w:cs="仿宋"/>
                <w:bCs/>
                <w:color w:val="auto"/>
                <w:sz w:val="24"/>
              </w:rPr>
            </w:pPr>
            <w:r>
              <w:rPr>
                <w:rFonts w:hint="eastAsia" w:ascii="仿宋" w:eastAsia="仿宋" w:cs="仿宋"/>
                <w:bCs/>
                <w:color w:val="auto"/>
                <w:sz w:val="24"/>
              </w:rPr>
              <w:t>二档（8分）：在满足一档要求的基础上，提出了课程的重点难点，且课程重点难点表述准确；教学过程所展示的内容体系有进行分阶段表述，且各阶段内容中详细描述了引入、探究、实践、展品体验等环节；教学内容与展品展示的原理契合的，且所提供的教育活动数量在原需求上增加2项的，得8分。</w:t>
            </w:r>
          </w:p>
          <w:p w14:paraId="33C67048">
            <w:pPr>
              <w:pStyle w:val="100"/>
              <w:spacing w:line="400" w:lineRule="exact"/>
              <w:ind w:firstLine="480"/>
              <w:jc w:val="left"/>
              <w:rPr>
                <w:rFonts w:ascii="仿宋" w:eastAsia="仿宋" w:cs="仿宋"/>
                <w:bCs/>
                <w:color w:val="auto"/>
                <w:sz w:val="24"/>
              </w:rPr>
            </w:pPr>
            <w:r>
              <w:rPr>
                <w:rFonts w:hint="eastAsia" w:ascii="仿宋" w:eastAsia="仿宋" w:cs="仿宋"/>
                <w:bCs/>
                <w:color w:val="auto"/>
                <w:sz w:val="24"/>
              </w:rPr>
              <w:t>三档（10分）：在满足二档要求的基础上，所提供的教育活动数量在原需求上增加4项的，得10分。</w:t>
            </w:r>
          </w:p>
          <w:p w14:paraId="66FD4960">
            <w:pPr>
              <w:pStyle w:val="100"/>
              <w:spacing w:line="400" w:lineRule="exact"/>
              <w:ind w:firstLine="480"/>
              <w:jc w:val="left"/>
              <w:rPr>
                <w:rFonts w:ascii="仿宋" w:eastAsia="仿宋" w:cs="仿宋"/>
                <w:b/>
                <w:bCs/>
                <w:color w:val="auto"/>
                <w:sz w:val="24"/>
              </w:rPr>
            </w:pPr>
            <w:r>
              <w:rPr>
                <w:rFonts w:hint="eastAsia" w:ascii="仿宋" w:eastAsia="仿宋" w:cs="仿宋"/>
                <w:bCs/>
                <w:color w:val="auto"/>
                <w:sz w:val="24"/>
              </w:rPr>
              <w:t>未提供或未达到一档要求的本项不得分。</w:t>
            </w:r>
          </w:p>
        </w:tc>
      </w:tr>
      <w:tr w14:paraId="169E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restart"/>
            <w:vAlign w:val="center"/>
          </w:tcPr>
          <w:p w14:paraId="548CBA90">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3</w:t>
            </w:r>
          </w:p>
        </w:tc>
        <w:tc>
          <w:tcPr>
            <w:tcW w:w="1280" w:type="dxa"/>
            <w:vMerge w:val="restart"/>
            <w:vAlign w:val="center"/>
          </w:tcPr>
          <w:p w14:paraId="35DDFD01">
            <w:pPr>
              <w:adjustRightInd w:val="0"/>
              <w:spacing w:line="400" w:lineRule="exact"/>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商务分（满分</w:t>
            </w:r>
            <w:r>
              <w:rPr>
                <w:rFonts w:hint="eastAsia" w:ascii="仿宋" w:hAnsi="仿宋" w:eastAsia="仿宋" w:cs="仿宋"/>
                <w:b/>
                <w:color w:val="auto"/>
                <w:sz w:val="24"/>
                <w:lang w:val="en-US" w:eastAsia="zh-CN"/>
              </w:rPr>
              <w:t>28</w:t>
            </w:r>
            <w:r>
              <w:rPr>
                <w:rFonts w:hint="eastAsia" w:ascii="仿宋" w:hAnsi="仿宋" w:eastAsia="仿宋" w:cs="仿宋"/>
                <w:b/>
                <w:color w:val="auto"/>
                <w:sz w:val="24"/>
              </w:rPr>
              <w:t>分）</w:t>
            </w:r>
          </w:p>
        </w:tc>
        <w:tc>
          <w:tcPr>
            <w:tcW w:w="709" w:type="dxa"/>
            <w:vMerge w:val="restart"/>
            <w:vAlign w:val="center"/>
          </w:tcPr>
          <w:p w14:paraId="203FEF46">
            <w:pPr>
              <w:widowControl/>
              <w:spacing w:line="400" w:lineRule="exact"/>
              <w:contextualSpacing/>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28</w:t>
            </w:r>
            <w:r>
              <w:rPr>
                <w:rFonts w:hint="eastAsia" w:ascii="仿宋" w:hAnsi="仿宋" w:eastAsia="仿宋" w:cs="仿宋"/>
                <w:b/>
                <w:bCs/>
                <w:color w:val="auto"/>
                <w:sz w:val="24"/>
              </w:rPr>
              <w:t>分</w:t>
            </w:r>
          </w:p>
        </w:tc>
        <w:tc>
          <w:tcPr>
            <w:tcW w:w="6969" w:type="dxa"/>
            <w:vAlign w:val="center"/>
          </w:tcPr>
          <w:p w14:paraId="66B43CAC">
            <w:pPr>
              <w:widowControl/>
              <w:spacing w:line="400" w:lineRule="exact"/>
              <w:contextualSpacing/>
              <w:rPr>
                <w:rFonts w:hint="eastAsia" w:ascii="仿宋" w:hAnsi="仿宋" w:eastAsia="仿宋" w:cs="仿宋"/>
                <w:bCs/>
                <w:color w:val="auto"/>
                <w:sz w:val="24"/>
              </w:rPr>
            </w:pPr>
            <w:r>
              <w:rPr>
                <w:rFonts w:hint="eastAsia" w:ascii="仿宋" w:hAnsi="仿宋" w:eastAsia="仿宋" w:cs="仿宋"/>
                <w:bCs/>
                <w:color w:val="auto"/>
                <w:sz w:val="24"/>
              </w:rPr>
              <w:t>3.1同类业绩（满分12分）</w:t>
            </w:r>
          </w:p>
          <w:p w14:paraId="4FCB1716">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投标人近四年内（2021年1月1日至投标文件递交截止时间，以合同签订时间为准）具有科技展品展厅建设、</w:t>
            </w:r>
            <w:r>
              <w:rPr>
                <w:rFonts w:hint="eastAsia" w:ascii="仿宋" w:hAnsi="仿宋" w:eastAsia="仿宋" w:cs="仿宋"/>
                <w:color w:val="auto"/>
                <w:sz w:val="24"/>
                <w:lang w:val="en-US" w:eastAsia="zh-CN"/>
              </w:rPr>
              <w:t>或</w:t>
            </w:r>
            <w:r>
              <w:rPr>
                <w:rFonts w:hint="eastAsia" w:ascii="仿宋" w:hAnsi="仿宋" w:eastAsia="仿宋" w:cs="仿宋"/>
                <w:color w:val="auto"/>
                <w:sz w:val="24"/>
              </w:rPr>
              <w:t>科技展品展厅升级改造项目业绩，或独立承担完成科技馆单个展厅设计施工一体化业绩的，每个得3分，满分为12分。</w:t>
            </w:r>
          </w:p>
          <w:p w14:paraId="3D418BD9">
            <w:pPr>
              <w:widowControl/>
              <w:spacing w:line="400" w:lineRule="exact"/>
              <w:contextualSpacing/>
              <w:rPr>
                <w:rFonts w:hint="eastAsia" w:ascii="仿宋" w:hAnsi="仿宋" w:eastAsia="仿宋" w:cs="仿宋"/>
                <w:bCs/>
                <w:color w:val="auto"/>
                <w:sz w:val="24"/>
              </w:rPr>
            </w:pPr>
            <w:r>
              <w:rPr>
                <w:rFonts w:hint="eastAsia" w:ascii="仿宋" w:hAnsi="仿宋" w:eastAsia="仿宋" w:cs="仿宋"/>
                <w:color w:val="auto"/>
                <w:sz w:val="24"/>
              </w:rPr>
              <w:t>投标文件中提供合同复印件，包括合同关键信息页及盖章页，否则不得分。</w:t>
            </w:r>
          </w:p>
        </w:tc>
      </w:tr>
      <w:tr w14:paraId="6F28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2D443D8E">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2DFA2E8E">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71D8B960">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157C1325">
            <w:pPr>
              <w:widowControl/>
              <w:spacing w:line="400" w:lineRule="exact"/>
              <w:contextualSpacing/>
              <w:rPr>
                <w:rFonts w:ascii="仿宋" w:hAnsi="仿宋" w:eastAsia="仿宋" w:cs="仿宋"/>
                <w:bCs/>
                <w:color w:val="auto"/>
                <w:sz w:val="24"/>
              </w:rPr>
            </w:pPr>
            <w:r>
              <w:rPr>
                <w:rFonts w:hint="eastAsia" w:ascii="仿宋" w:hAnsi="仿宋" w:eastAsia="仿宋" w:cs="仿宋"/>
                <w:bCs/>
                <w:color w:val="auto"/>
                <w:sz w:val="24"/>
              </w:rPr>
              <w:t>3.2 项目资质（满分3分）</w:t>
            </w:r>
          </w:p>
          <w:p w14:paraId="224C9622">
            <w:pPr>
              <w:widowControl/>
              <w:spacing w:line="400" w:lineRule="exact"/>
              <w:contextualSpacing/>
              <w:rPr>
                <w:rFonts w:hint="eastAsia" w:ascii="仿宋" w:hAnsi="仿宋" w:eastAsia="仿宋" w:cs="仿宋"/>
                <w:bCs/>
                <w:color w:val="auto"/>
                <w:sz w:val="24"/>
              </w:rPr>
            </w:pPr>
            <w:r>
              <w:rPr>
                <w:rFonts w:hint="eastAsia" w:ascii="仿宋" w:hAnsi="仿宋" w:eastAsia="仿宋" w:cs="仿宋"/>
                <w:bCs/>
                <w:color w:val="auto"/>
                <w:sz w:val="24"/>
              </w:rPr>
              <w:t>投标人具备建筑装饰工程或展览陈列工程的设计资质和施工资质，并提供相应资质证书扫描件</w:t>
            </w:r>
            <w:r>
              <w:rPr>
                <w:rFonts w:hint="eastAsia" w:ascii="仿宋" w:hAnsi="仿宋" w:eastAsia="仿宋" w:cs="仿宋"/>
                <w:bCs/>
                <w:color w:val="auto"/>
                <w:sz w:val="24"/>
                <w:lang w:eastAsia="zh-CN"/>
              </w:rPr>
              <w:t>的</w:t>
            </w:r>
            <w:r>
              <w:rPr>
                <w:rFonts w:hint="eastAsia" w:ascii="仿宋" w:hAnsi="仿宋" w:eastAsia="仿宋" w:cs="仿宋"/>
                <w:bCs/>
                <w:color w:val="auto"/>
                <w:sz w:val="24"/>
              </w:rPr>
              <w:t>，得3分。否则不得分。</w:t>
            </w:r>
          </w:p>
        </w:tc>
      </w:tr>
      <w:tr w14:paraId="3779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64B9C30A">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57C3591">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491FDAD6">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2945885D">
            <w:pPr>
              <w:widowControl/>
              <w:spacing w:line="400" w:lineRule="exact"/>
              <w:contextualSpacing/>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运维及售后保障能力（</w:t>
            </w:r>
            <w:r>
              <w:rPr>
                <w:rFonts w:hint="eastAsia" w:ascii="仿宋" w:hAnsi="仿宋" w:eastAsia="仿宋" w:cs="仿宋"/>
                <w:bCs/>
                <w:color w:val="auto"/>
                <w:sz w:val="24"/>
              </w:rPr>
              <w:t>满分</w:t>
            </w:r>
            <w:r>
              <w:rPr>
                <w:rFonts w:hint="eastAsia" w:ascii="仿宋" w:hAnsi="仿宋" w:eastAsia="仿宋" w:cs="仿宋"/>
                <w:color w:val="auto"/>
                <w:sz w:val="24"/>
              </w:rPr>
              <w:t>6分）。</w:t>
            </w:r>
          </w:p>
          <w:p w14:paraId="3C8BDB65">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.1投标人提供的科技馆维保案例（展品维修、维护或维保服务）证明进行评审，每个场馆案例得1分，同一场馆不同案例不重复计分，最高得3分。注：投标人提供有效的合同复印件，否则不得分。</w:t>
            </w:r>
          </w:p>
          <w:p w14:paraId="0CCD7650">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.2售后服务承诺（满分3分）：评委根据投标人提供的售后服务承诺进行评分，包含以下评审因素：①售后服务维修人员及团队情况；②服务应答；③巡检及展品维修方案。</w:t>
            </w:r>
          </w:p>
          <w:p w14:paraId="41C1688F">
            <w:pPr>
              <w:widowControl/>
              <w:spacing w:line="40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（1）完全满足要求的每项得1分；（2）部分满足要求的每项得0.5分；（3）不满足要求的每项得0分。</w:t>
            </w:r>
          </w:p>
        </w:tc>
      </w:tr>
      <w:tr w14:paraId="3FDF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30" w:type="dxa"/>
            <w:vMerge w:val="continue"/>
            <w:vAlign w:val="center"/>
          </w:tcPr>
          <w:p w14:paraId="3891C593">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4B5576A9">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28B61E91">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1333C322">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4</w:t>
            </w:r>
            <w:r>
              <w:rPr>
                <w:rFonts w:hint="eastAsia" w:ascii="仿宋" w:hAnsi="仿宋" w:eastAsia="仿宋"/>
                <w:color w:val="auto"/>
                <w:kern w:val="0"/>
                <w:sz w:val="24"/>
              </w:rPr>
              <w:t>项目团队（</w:t>
            </w:r>
            <w:r>
              <w:rPr>
                <w:rFonts w:hint="eastAsia" w:ascii="仿宋" w:hAnsi="仿宋" w:eastAsia="仿宋" w:cs="仿宋"/>
                <w:bCs/>
                <w:color w:val="auto"/>
                <w:sz w:val="24"/>
              </w:rPr>
              <w:t>满分</w:t>
            </w:r>
            <w:r>
              <w:rPr>
                <w:rFonts w:hint="eastAsia" w:ascii="仿宋" w:hAnsi="仿宋" w:eastAsia="仿宋"/>
                <w:color w:val="auto"/>
                <w:kern w:val="0"/>
                <w:sz w:val="24"/>
              </w:rPr>
              <w:t>5分）</w:t>
            </w:r>
          </w:p>
          <w:p w14:paraId="6DBF6D1A">
            <w:pPr>
              <w:widowControl/>
              <w:spacing w:line="400" w:lineRule="exact"/>
              <w:ind w:firstLine="480" w:firstLineChars="200"/>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4</w:t>
            </w:r>
            <w:r>
              <w:rPr>
                <w:rFonts w:hint="eastAsia" w:ascii="仿宋" w:hAnsi="仿宋" w:eastAsia="仿宋"/>
                <w:color w:val="auto"/>
                <w:kern w:val="0"/>
                <w:sz w:val="24"/>
              </w:rPr>
              <w:t>.1根据供应商拟为本项目配备的项目经理是否具有类似项目相同职位工作经历业绩进行评价：须完整提供类似项目工作经历业绩的有效证明文件，每个项目得1分，满分2分。</w:t>
            </w:r>
          </w:p>
          <w:p w14:paraId="63C962C6">
            <w:pPr>
              <w:widowControl/>
              <w:spacing w:line="400" w:lineRule="exact"/>
              <w:contextualSpacing/>
              <w:rPr>
                <w:rFonts w:hint="eastAsia" w:ascii="仿宋" w:hAnsi="仿宋" w:eastAsia="仿宋"/>
                <w:color w:val="auto"/>
                <w:kern w:val="0"/>
                <w:sz w:val="24"/>
              </w:rPr>
            </w:pPr>
            <w:r>
              <w:rPr>
                <w:rFonts w:hint="eastAsia" w:ascii="仿宋" w:hAnsi="仿宋" w:eastAsia="仿宋"/>
                <w:color w:val="auto"/>
                <w:kern w:val="0"/>
                <w:sz w:val="24"/>
              </w:rPr>
              <w:t>【注：①类似项目相同职位工作经历业绩是指担任过类似项目[展馆展品展项采购或者展厅布展（含展品采购）项目]的项目经理；②</w:t>
            </w:r>
            <w:r>
              <w:rPr>
                <w:rFonts w:ascii="仿宋" w:hAnsi="仿宋" w:eastAsia="仿宋"/>
                <w:color w:val="auto"/>
                <w:kern w:val="0"/>
                <w:sz w:val="24"/>
              </w:rPr>
              <w:t>有效证明文件完整包括该业绩的采购合同文本扫描件，以及能够证明该业绩项目已经采购人验收合格（验收合格证明可以是考核通过、履约完毕等证明文件）的相关证明文件扫描件；</w:t>
            </w:r>
            <w:r>
              <w:rPr>
                <w:rFonts w:hint="eastAsia" w:ascii="仿宋" w:hAnsi="仿宋" w:eastAsia="仿宋"/>
                <w:color w:val="auto"/>
                <w:kern w:val="0"/>
                <w:sz w:val="24"/>
              </w:rPr>
              <w:t>材料需能清楚的证明拟为本项目配备的项目经理在该项目中担任项目经理职位；</w:t>
            </w:r>
            <w:r>
              <w:rPr>
                <w:rFonts w:ascii="仿宋" w:hAnsi="仿宋" w:eastAsia="仿宋"/>
                <w:color w:val="auto"/>
                <w:kern w:val="0"/>
                <w:sz w:val="24"/>
              </w:rPr>
              <w:t>如未按照</w:t>
            </w:r>
            <w:r>
              <w:rPr>
                <w:rFonts w:hint="eastAsia" w:ascii="仿宋" w:hAnsi="仿宋" w:eastAsia="仿宋"/>
                <w:color w:val="auto"/>
                <w:kern w:val="0"/>
                <w:sz w:val="24"/>
              </w:rPr>
              <w:t>招标</w:t>
            </w:r>
            <w:r>
              <w:rPr>
                <w:rFonts w:ascii="仿宋" w:hAnsi="仿宋" w:eastAsia="仿宋"/>
                <w:color w:val="auto"/>
                <w:kern w:val="0"/>
                <w:sz w:val="24"/>
              </w:rPr>
              <w:t>文件要求提供该项业绩完整资料的，评</w:t>
            </w:r>
            <w:r>
              <w:rPr>
                <w:rFonts w:hint="eastAsia" w:ascii="仿宋" w:hAnsi="仿宋" w:eastAsia="仿宋"/>
                <w:color w:val="auto"/>
                <w:kern w:val="0"/>
                <w:sz w:val="24"/>
              </w:rPr>
              <w:t>委</w:t>
            </w:r>
            <w:r>
              <w:rPr>
                <w:rFonts w:ascii="仿宋" w:hAnsi="仿宋" w:eastAsia="仿宋"/>
                <w:color w:val="auto"/>
                <w:kern w:val="0"/>
                <w:sz w:val="24"/>
              </w:rPr>
              <w:t>对该项业绩将不予采信。</w:t>
            </w:r>
            <w:r>
              <w:rPr>
                <w:rFonts w:hint="eastAsia" w:ascii="仿宋" w:hAnsi="仿宋" w:eastAsia="仿宋"/>
                <w:color w:val="auto"/>
                <w:kern w:val="0"/>
                <w:sz w:val="24"/>
              </w:rPr>
              <w:t>】</w:t>
            </w:r>
          </w:p>
          <w:p w14:paraId="1EE027AA">
            <w:pPr>
              <w:widowControl/>
              <w:spacing w:line="400" w:lineRule="exact"/>
              <w:ind w:firstLine="480" w:firstLineChars="200"/>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4</w:t>
            </w:r>
            <w:r>
              <w:rPr>
                <w:rFonts w:hint="eastAsia" w:ascii="仿宋" w:hAnsi="仿宋" w:eastAsia="仿宋"/>
                <w:color w:val="auto"/>
                <w:kern w:val="0"/>
                <w:sz w:val="24"/>
              </w:rPr>
              <w:t>.2根据投标人拟为本项目配备的实施团队人员（项目经理除外）进行评价：①负责环境氛围布展设计的人员具备环境艺术或工艺美术类</w:t>
            </w:r>
            <w:bookmarkStart w:id="162" w:name="_GoBack"/>
            <w:bookmarkEnd w:id="162"/>
            <w:r>
              <w:rPr>
                <w:rFonts w:hint="eastAsia" w:ascii="仿宋" w:hAnsi="仿宋" w:eastAsia="仿宋"/>
                <w:color w:val="auto"/>
                <w:kern w:val="0"/>
                <w:sz w:val="24"/>
              </w:rPr>
              <w:t>（中级及以上）资格证书的得1分；②负责展品展项电气图设计的人员具备中级及以上电气工程师职业资格证书的得1分；③负责展品展项机械结构图设计的人员具备机械专业工程师（中级及以上）资格证书的得1分；本项满分3分。投标人应提供有效的职称证书或职业资格证书扫描件，否则不得分。</w:t>
            </w:r>
          </w:p>
        </w:tc>
      </w:tr>
      <w:tr w14:paraId="0F82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4C7E47C1">
            <w:pPr>
              <w:adjustRightInd w:val="0"/>
              <w:spacing w:line="400" w:lineRule="exact"/>
              <w:jc w:val="center"/>
              <w:textAlignment w:val="baseline"/>
              <w:rPr>
                <w:rFonts w:hint="eastAsia" w:ascii="仿宋" w:hAnsi="仿宋" w:eastAsia="仿宋" w:cs="仿宋"/>
                <w:b/>
                <w:color w:val="auto"/>
                <w:sz w:val="24"/>
              </w:rPr>
            </w:pPr>
          </w:p>
        </w:tc>
        <w:tc>
          <w:tcPr>
            <w:tcW w:w="1280" w:type="dxa"/>
            <w:vMerge w:val="continue"/>
            <w:vAlign w:val="center"/>
          </w:tcPr>
          <w:p w14:paraId="2DB6EDF2">
            <w:pPr>
              <w:adjustRightInd w:val="0"/>
              <w:spacing w:line="400" w:lineRule="exact"/>
              <w:jc w:val="center"/>
              <w:textAlignment w:val="baseline"/>
              <w:rPr>
                <w:rFonts w:hint="eastAsia" w:ascii="仿宋" w:hAnsi="仿宋" w:eastAsia="仿宋" w:cs="仿宋"/>
                <w:b/>
                <w:color w:val="auto"/>
                <w:sz w:val="24"/>
              </w:rPr>
            </w:pPr>
          </w:p>
        </w:tc>
        <w:tc>
          <w:tcPr>
            <w:tcW w:w="709" w:type="dxa"/>
            <w:vMerge w:val="continue"/>
            <w:vAlign w:val="center"/>
          </w:tcPr>
          <w:p w14:paraId="5DD33315">
            <w:pPr>
              <w:widowControl/>
              <w:spacing w:line="400" w:lineRule="exact"/>
              <w:contextualSpacing/>
              <w:jc w:val="center"/>
              <w:rPr>
                <w:rFonts w:hint="eastAsia" w:ascii="仿宋" w:hAnsi="仿宋" w:eastAsia="仿宋" w:cs="仿宋"/>
                <w:b/>
                <w:bCs/>
                <w:color w:val="auto"/>
                <w:sz w:val="24"/>
              </w:rPr>
            </w:pPr>
          </w:p>
        </w:tc>
        <w:tc>
          <w:tcPr>
            <w:tcW w:w="6969" w:type="dxa"/>
            <w:vAlign w:val="center"/>
          </w:tcPr>
          <w:p w14:paraId="0A5B8220">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3.</w:t>
            </w:r>
            <w:r>
              <w:rPr>
                <w:rFonts w:hint="eastAsia" w:ascii="仿宋" w:hAnsi="仿宋" w:eastAsia="仿宋"/>
                <w:color w:val="auto"/>
                <w:kern w:val="0"/>
                <w:sz w:val="24"/>
                <w:lang w:val="en-US" w:eastAsia="zh-CN"/>
              </w:rPr>
              <w:t>5</w:t>
            </w:r>
            <w:r>
              <w:rPr>
                <w:rFonts w:hint="eastAsia" w:ascii="仿宋" w:hAnsi="仿宋" w:eastAsia="仿宋"/>
                <w:color w:val="auto"/>
                <w:kern w:val="0"/>
                <w:sz w:val="24"/>
              </w:rPr>
              <w:t>节能环保加分（满分2分）。</w:t>
            </w:r>
          </w:p>
          <w:p w14:paraId="739BC2C3">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（1）节能产品分（满分1分）</w:t>
            </w:r>
          </w:p>
          <w:p w14:paraId="398BBB6F">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投标产品属于节能产品的，投标时提供国家确定的认证机构出具的、处于有效期之内的有效的节能产品认证证书复印件并加盖投标人公章（适用于非强制采购节能产品），每提供1份得0.5分，满分1分。</w:t>
            </w:r>
          </w:p>
          <w:p w14:paraId="40A27042">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（2）环境标志产品分（满分1分）</w:t>
            </w:r>
          </w:p>
          <w:p w14:paraId="32B97323">
            <w:pPr>
              <w:widowControl/>
              <w:spacing w:line="400" w:lineRule="exact"/>
              <w:rPr>
                <w:rFonts w:hint="eastAsia" w:ascii="仿宋" w:hAnsi="仿宋" w:eastAsia="仿宋"/>
                <w:color w:val="auto"/>
                <w:kern w:val="0"/>
                <w:sz w:val="24"/>
              </w:rPr>
            </w:pPr>
            <w:r>
              <w:rPr>
                <w:rFonts w:hint="eastAsia" w:ascii="仿宋" w:hAnsi="仿宋" w:eastAsia="仿宋"/>
                <w:color w:val="auto"/>
                <w:kern w:val="0"/>
                <w:sz w:val="24"/>
              </w:rPr>
              <w:t>投标产品属于环境标志产品的，投标时提供国家确定的认证机构出具的、处于有效期之内的有效的环境标志产品认证证书复印件并加盖投标人公章，每提供1份得0.5分，满分1分。</w:t>
            </w:r>
          </w:p>
        </w:tc>
      </w:tr>
      <w:tr w14:paraId="6B04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vAlign w:val="center"/>
          </w:tcPr>
          <w:p w14:paraId="28F57136">
            <w:pPr>
              <w:pStyle w:val="25"/>
              <w:spacing w:line="400" w:lineRule="exact"/>
              <w:rPr>
                <w:rFonts w:hint="eastAsia" w:ascii="仿宋" w:hAnsi="仿宋" w:eastAsia="仿宋" w:cs="仿宋"/>
                <w:bCs/>
                <w:color w:val="auto"/>
                <w:kern w:val="2"/>
                <w:sz w:val="24"/>
                <w:szCs w:val="24"/>
              </w:rPr>
            </w:pPr>
            <w:r>
              <w:rPr>
                <w:rFonts w:hint="eastAsia" w:ascii="仿宋" w:hAnsi="仿宋" w:eastAsia="仿宋" w:cs="仿宋"/>
                <w:b/>
                <w:bCs/>
                <w:color w:val="auto"/>
                <w:kern w:val="2"/>
                <w:sz w:val="24"/>
                <w:szCs w:val="24"/>
              </w:rPr>
              <w:t>总得分=1+2+3。</w:t>
            </w:r>
          </w:p>
        </w:tc>
      </w:tr>
    </w:tbl>
    <w:p w14:paraId="2306D1B3">
      <w:pPr>
        <w:spacing w:line="440" w:lineRule="exact"/>
        <w:rPr>
          <w:rFonts w:hint="eastAsia" w:ascii="仿宋" w:hAnsi="仿宋" w:eastAsia="仿宋" w:cs="仿宋"/>
          <w:b/>
          <w:bCs/>
          <w:color w:val="auto"/>
        </w:rPr>
      </w:pPr>
    </w:p>
    <w:p w14:paraId="4916AA00">
      <w:pPr>
        <w:pStyle w:val="4"/>
        <w:keepNext w:val="0"/>
        <w:keepLines w:val="0"/>
        <w:jc w:val="center"/>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最低评标价法</w:t>
      </w:r>
    </w:p>
    <w:p w14:paraId="05849C5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一、评标委员会计算通过资格审查、符合性审查的投标人的</w:t>
      </w:r>
      <w:r>
        <w:rPr>
          <w:rFonts w:hint="eastAsia" w:ascii="仿宋" w:hAnsi="仿宋" w:eastAsia="仿宋" w:cs="仿宋"/>
          <w:bCs/>
          <w:color w:val="auto"/>
          <w:szCs w:val="21"/>
        </w:rPr>
        <w:t>评标价</w:t>
      </w:r>
      <w:r>
        <w:rPr>
          <w:rFonts w:hint="eastAsia" w:ascii="仿宋" w:hAnsi="仿宋" w:eastAsia="仿宋" w:cs="仿宋"/>
          <w:color w:val="auto"/>
          <w:szCs w:val="21"/>
        </w:rPr>
        <w:t>。</w:t>
      </w:r>
      <w:r>
        <w:rPr>
          <w:rFonts w:hint="eastAsia" w:ascii="仿宋" w:hAnsi="仿宋" w:eastAsia="仿宋" w:cs="仿宋"/>
          <w:bCs/>
          <w:color w:val="auto"/>
          <w:szCs w:val="21"/>
        </w:rPr>
        <w:t>评标价</w:t>
      </w:r>
      <w:r>
        <w:rPr>
          <w:rFonts w:hint="eastAsia" w:ascii="仿宋" w:hAnsi="仿宋" w:eastAsia="仿宋" w:cs="仿宋"/>
          <w:color w:val="auto"/>
          <w:szCs w:val="21"/>
        </w:rPr>
        <w:t>为投标人的投标报价进行政策性扣除后的价格，</w:t>
      </w:r>
      <w:r>
        <w:rPr>
          <w:rFonts w:hint="eastAsia" w:ascii="仿宋" w:hAnsi="仿宋" w:eastAsia="仿宋" w:cs="仿宋"/>
          <w:bCs/>
          <w:color w:val="auto"/>
          <w:szCs w:val="21"/>
        </w:rPr>
        <w:t>评标价</w:t>
      </w:r>
      <w:r>
        <w:rPr>
          <w:rFonts w:hint="eastAsia" w:ascii="仿宋" w:hAnsi="仿宋" w:eastAsia="仿宋" w:cs="仿宋"/>
          <w:color w:val="auto"/>
          <w:szCs w:val="21"/>
        </w:rPr>
        <w:t>只是作为评标时使用。最终中标人的中标金额等于投标报价（如有修正，以确认修正后的投标报价为准）。</w:t>
      </w:r>
    </w:p>
    <w:p w14:paraId="4B6F77D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二、政府采购政策扣除：</w:t>
      </w:r>
    </w:p>
    <w:p w14:paraId="0E5688E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根据《政府采购促进中小企业发展管理办法》的规定，投标人属于《政府采购促进中小企业发展管理办法》规定的小微企业的，对投标报价给予10%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3%（工程项目为2%）的扣除，用扣除后的价格参加评审。符合上述规定对报价给予扣除的，扣除后的价格为评标价，即评标价=投标报价×（1 - 扣除比例）；不符合上述给予扣除情形的，评标价=投标报价。</w:t>
      </w:r>
    </w:p>
    <w:p w14:paraId="28CF703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14:paraId="3910EDC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hint="eastAsia" w:ascii="仿宋" w:hAnsi="仿宋" w:eastAsia="仿宋" w:cs="仿宋"/>
          <w:color w:val="auto"/>
          <w:szCs w:val="21"/>
        </w:rPr>
        <w:br w:type="page"/>
      </w:r>
    </w:p>
    <w:p w14:paraId="597FF364">
      <w:pPr>
        <w:pStyle w:val="4"/>
        <w:keepNext w:val="0"/>
        <w:keepLines w:val="0"/>
        <w:jc w:val="center"/>
        <w:rPr>
          <w:rFonts w:hint="eastAsia" w:ascii="仿宋" w:hAnsi="仿宋" w:eastAsia="仿宋" w:cs="仿宋"/>
          <w:color w:val="auto"/>
          <w:sz w:val="30"/>
          <w:szCs w:val="30"/>
        </w:rPr>
      </w:pPr>
      <w:r>
        <w:rPr>
          <w:rFonts w:hint="eastAsia" w:ascii="仿宋" w:hAnsi="仿宋" w:eastAsia="仿宋" w:cs="仿宋"/>
          <w:color w:val="auto"/>
          <w:sz w:val="30"/>
          <w:szCs w:val="30"/>
        </w:rPr>
        <w:t>四、中标候选人推荐原则</w:t>
      </w:r>
    </w:p>
    <w:p w14:paraId="1CA93153">
      <w:pPr>
        <w:pStyle w:val="25"/>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rPr>
        <w:t>（一）综合评分法</w:t>
      </w:r>
    </w:p>
    <w:p w14:paraId="21D60982">
      <w:pPr>
        <w:pStyle w:val="25"/>
        <w:spacing w:line="360" w:lineRule="auto"/>
        <w:ind w:firstLine="420" w:firstLineChars="200"/>
        <w:contextualSpacing/>
        <w:rPr>
          <w:rFonts w:hint="eastAsia" w:ascii="仿宋" w:hAnsi="仿宋" w:eastAsia="仿宋" w:cs="仿宋"/>
          <w:color w:val="auto"/>
          <w:sz w:val="21"/>
        </w:rPr>
      </w:pPr>
      <w:r>
        <w:rPr>
          <w:rFonts w:hint="eastAsia" w:ascii="仿宋" w:hAnsi="仿宋" w:eastAsia="仿宋" w:cs="仿宋"/>
          <w:color w:val="auto"/>
          <w:sz w:val="21"/>
        </w:rPr>
        <w:t>1.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2B37773A">
      <w:pPr>
        <w:pStyle w:val="25"/>
        <w:spacing w:line="360" w:lineRule="auto"/>
        <w:ind w:firstLine="420" w:firstLineChars="200"/>
        <w:contextualSpacing/>
        <w:rPr>
          <w:rFonts w:hint="eastAsia" w:ascii="仿宋" w:hAnsi="仿宋" w:eastAsia="仿宋" w:cs="仿宋"/>
          <w:color w:val="auto"/>
          <w:sz w:val="21"/>
        </w:rPr>
      </w:pPr>
    </w:p>
    <w:p w14:paraId="09E5ABFD">
      <w:pPr>
        <w:pStyle w:val="25"/>
        <w:spacing w:line="360" w:lineRule="auto"/>
        <w:ind w:firstLine="420" w:firstLineChars="200"/>
        <w:contextualSpacing/>
        <w:rPr>
          <w:rFonts w:hint="eastAsia" w:ascii="仿宋" w:hAnsi="仿宋" w:eastAsia="仿宋" w:cs="仿宋"/>
          <w:color w:val="auto"/>
          <w:sz w:val="21"/>
        </w:rPr>
      </w:pPr>
    </w:p>
    <w:p w14:paraId="4B03BA10">
      <w:pPr>
        <w:pStyle w:val="25"/>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rPr>
        <w:t>（二）最低评标价法</w:t>
      </w:r>
    </w:p>
    <w:p w14:paraId="6905D7A5">
      <w:pPr>
        <w:spacing w:line="360" w:lineRule="auto"/>
        <w:ind w:firstLine="420" w:firstLineChars="200"/>
        <w:contextualSpacing/>
        <w:rPr>
          <w:rFonts w:hint="eastAsia" w:ascii="仿宋" w:hAnsi="仿宋" w:eastAsia="仿宋" w:cs="仿宋"/>
          <w:color w:val="auto"/>
        </w:rPr>
      </w:pPr>
      <w:r>
        <w:rPr>
          <w:rFonts w:hint="eastAsia" w:ascii="仿宋" w:hAnsi="仿宋" w:eastAsia="仿宋" w:cs="仿宋"/>
          <w:color w:val="auto"/>
        </w:rPr>
        <w:t>评标委员会按照评标价从低到高排序并推荐中标候选人，评标价相同的并列。投标文件满足招标文件全部实质性要求且评标价最低的投标人为排名第一的中标候选人。</w:t>
      </w:r>
    </w:p>
    <w:p w14:paraId="202EBAFF">
      <w:pPr>
        <w:spacing w:line="360" w:lineRule="auto"/>
        <w:contextualSpacing/>
        <w:rPr>
          <w:rFonts w:hint="eastAsia" w:ascii="仿宋" w:hAnsi="仿宋" w:eastAsia="仿宋" w:cs="仿宋"/>
          <w:b/>
          <w:bCs/>
          <w:color w:val="auto"/>
          <w:sz w:val="24"/>
        </w:rPr>
      </w:pPr>
    </w:p>
    <w:p w14:paraId="3BC88B40">
      <w:pPr>
        <w:spacing w:line="360" w:lineRule="auto"/>
        <w:ind w:firstLine="420" w:firstLineChars="200"/>
        <w:contextualSpacing/>
        <w:rPr>
          <w:rFonts w:hint="eastAsia" w:ascii="仿宋" w:hAnsi="仿宋" w:eastAsia="仿宋" w:cs="仿宋"/>
          <w:color w:val="auto"/>
        </w:rPr>
      </w:pPr>
    </w:p>
    <w:p w14:paraId="1792DC16">
      <w:pPr>
        <w:spacing w:line="360" w:lineRule="auto"/>
        <w:ind w:firstLine="482" w:firstLineChars="200"/>
        <w:contextualSpacing/>
        <w:rPr>
          <w:rFonts w:hint="eastAsia" w:ascii="仿宋" w:hAnsi="仿宋" w:eastAsia="仿宋" w:cs="仿宋"/>
          <w:b/>
          <w:color w:val="auto"/>
          <w:sz w:val="24"/>
        </w:rPr>
      </w:pPr>
    </w:p>
    <w:p w14:paraId="7811F68E">
      <w:pPr>
        <w:spacing w:before="120" w:beforeLines="50" w:after="120" w:afterLines="50" w:line="400" w:lineRule="exact"/>
        <w:rPr>
          <w:rFonts w:hint="eastAsia" w:ascii="仿宋" w:hAnsi="仿宋" w:eastAsia="仿宋" w:cs="仿宋"/>
          <w:b/>
          <w:color w:val="auto"/>
          <w:sz w:val="24"/>
        </w:rPr>
      </w:pPr>
    </w:p>
    <w:p w14:paraId="642C9920">
      <w:pPr>
        <w:spacing w:before="120" w:beforeLines="50" w:after="120" w:afterLines="50" w:line="400" w:lineRule="exact"/>
        <w:rPr>
          <w:rFonts w:hint="eastAsia" w:ascii="仿宋" w:hAnsi="仿宋" w:eastAsia="仿宋" w:cs="仿宋"/>
          <w:b/>
          <w:color w:val="auto"/>
          <w:sz w:val="24"/>
        </w:rPr>
      </w:pPr>
    </w:p>
    <w:p w14:paraId="1DFB3E10">
      <w:pPr>
        <w:spacing w:before="120" w:beforeLines="50" w:after="120" w:afterLines="50" w:line="400" w:lineRule="exact"/>
        <w:rPr>
          <w:rFonts w:hint="eastAsia" w:ascii="仿宋" w:hAnsi="仿宋" w:eastAsia="仿宋" w:cs="仿宋"/>
          <w:b/>
          <w:color w:val="auto"/>
          <w:sz w:val="24"/>
        </w:rPr>
      </w:pPr>
    </w:p>
    <w:p w14:paraId="4A88B2B2">
      <w:pPr>
        <w:spacing w:before="120" w:beforeLines="50" w:after="120" w:afterLines="50" w:line="400" w:lineRule="exact"/>
        <w:rPr>
          <w:rFonts w:hint="eastAsia" w:ascii="仿宋" w:hAnsi="仿宋" w:eastAsia="仿宋" w:cs="仿宋"/>
          <w:b/>
          <w:color w:val="auto"/>
          <w:sz w:val="24"/>
        </w:rPr>
      </w:pPr>
    </w:p>
    <w:p w14:paraId="793C2A0E">
      <w:pPr>
        <w:spacing w:before="120" w:beforeLines="50" w:after="120" w:afterLines="50" w:line="400" w:lineRule="exact"/>
        <w:rPr>
          <w:rFonts w:hint="eastAsia" w:ascii="仿宋" w:hAnsi="仿宋" w:eastAsia="仿宋" w:cs="仿宋"/>
          <w:b/>
          <w:color w:val="auto"/>
          <w:sz w:val="24"/>
        </w:rPr>
      </w:pPr>
    </w:p>
    <w:p w14:paraId="142661A9">
      <w:pPr>
        <w:spacing w:before="120" w:beforeLines="50" w:after="120" w:afterLines="50" w:line="400" w:lineRule="exact"/>
        <w:rPr>
          <w:rFonts w:hint="eastAsia" w:ascii="仿宋" w:hAnsi="仿宋" w:eastAsia="仿宋" w:cs="仿宋"/>
          <w:b/>
          <w:color w:val="auto"/>
          <w:sz w:val="24"/>
        </w:rPr>
      </w:pPr>
    </w:p>
    <w:p w14:paraId="1F7D4C90">
      <w:pPr>
        <w:spacing w:before="120" w:beforeLines="50" w:after="120" w:afterLines="50" w:line="400" w:lineRule="exact"/>
        <w:rPr>
          <w:rFonts w:hint="eastAsia" w:ascii="仿宋" w:hAnsi="仿宋" w:eastAsia="仿宋" w:cs="仿宋"/>
          <w:b/>
          <w:color w:val="auto"/>
          <w:sz w:val="24"/>
        </w:rPr>
      </w:pPr>
    </w:p>
    <w:p w14:paraId="24EF04AF">
      <w:pPr>
        <w:spacing w:before="120" w:beforeLines="50" w:after="120" w:afterLines="50" w:line="400" w:lineRule="exact"/>
        <w:rPr>
          <w:rFonts w:hint="eastAsia" w:ascii="仿宋" w:hAnsi="仿宋" w:eastAsia="仿宋" w:cs="仿宋"/>
          <w:b/>
          <w:color w:val="auto"/>
          <w:sz w:val="24"/>
        </w:rPr>
      </w:pPr>
    </w:p>
    <w:p w14:paraId="00937549">
      <w:pPr>
        <w:spacing w:before="120" w:beforeLines="50" w:after="120" w:afterLines="50" w:line="400" w:lineRule="exact"/>
        <w:rPr>
          <w:rFonts w:hint="eastAsia" w:ascii="仿宋" w:hAnsi="仿宋" w:eastAsia="仿宋" w:cs="仿宋"/>
          <w:b/>
          <w:color w:val="auto"/>
          <w:sz w:val="24"/>
        </w:rPr>
      </w:pPr>
    </w:p>
    <w:p w14:paraId="34071E7A">
      <w:pPr>
        <w:spacing w:before="120" w:beforeLines="50" w:after="120" w:afterLines="50" w:line="400" w:lineRule="exact"/>
        <w:rPr>
          <w:rFonts w:hint="eastAsia" w:ascii="仿宋" w:hAnsi="仿宋" w:eastAsia="仿宋" w:cs="仿宋"/>
          <w:b/>
          <w:color w:val="auto"/>
          <w:sz w:val="24"/>
        </w:rPr>
      </w:pPr>
    </w:p>
    <w:p w14:paraId="10290790">
      <w:pPr>
        <w:pStyle w:val="3"/>
        <w:keepNext w:val="0"/>
        <w:keepLines w:val="0"/>
        <w:jc w:val="center"/>
        <w:rPr>
          <w:rFonts w:hint="eastAsia" w:ascii="仿宋" w:hAnsi="仿宋" w:eastAsia="仿宋" w:cs="仿宋"/>
          <w:color w:val="auto"/>
        </w:rPr>
      </w:pPr>
      <w:r>
        <w:rPr>
          <w:rFonts w:hint="eastAsia" w:ascii="仿宋" w:hAnsi="仿宋" w:eastAsia="仿宋" w:cs="仿宋"/>
          <w:color w:val="auto"/>
        </w:rPr>
        <w:br w:type="page"/>
      </w:r>
    </w:p>
    <w:p w14:paraId="1113EB1B">
      <w:pPr>
        <w:pStyle w:val="3"/>
        <w:keepNext w:val="0"/>
        <w:keepLines w:val="0"/>
        <w:jc w:val="center"/>
        <w:rPr>
          <w:rFonts w:hint="eastAsia" w:ascii="仿宋" w:hAnsi="仿宋" w:eastAsia="仿宋" w:cs="仿宋"/>
          <w:color w:val="auto"/>
        </w:rPr>
      </w:pPr>
    </w:p>
    <w:p w14:paraId="442F2717">
      <w:pPr>
        <w:pStyle w:val="3"/>
        <w:keepNext w:val="0"/>
        <w:keepLines w:val="0"/>
        <w:jc w:val="center"/>
        <w:rPr>
          <w:rFonts w:hint="eastAsia" w:ascii="仿宋" w:hAnsi="仿宋" w:eastAsia="仿宋" w:cs="仿宋"/>
          <w:color w:val="auto"/>
        </w:rPr>
      </w:pPr>
    </w:p>
    <w:p w14:paraId="5FFB68FE">
      <w:pPr>
        <w:pStyle w:val="3"/>
        <w:keepNext w:val="0"/>
        <w:keepLines w:val="0"/>
        <w:jc w:val="center"/>
        <w:rPr>
          <w:rFonts w:hint="eastAsia" w:ascii="仿宋" w:hAnsi="仿宋" w:eastAsia="仿宋" w:cs="仿宋"/>
          <w:color w:val="auto"/>
        </w:rPr>
      </w:pPr>
    </w:p>
    <w:p w14:paraId="4AF7D34E">
      <w:pPr>
        <w:pStyle w:val="3"/>
        <w:keepNext w:val="0"/>
        <w:keepLines w:val="0"/>
        <w:jc w:val="center"/>
        <w:rPr>
          <w:rFonts w:hint="eastAsia" w:ascii="仿宋" w:hAnsi="仿宋" w:eastAsia="仿宋" w:cs="仿宋"/>
          <w:color w:val="auto"/>
        </w:rPr>
      </w:pPr>
    </w:p>
    <w:p w14:paraId="20723AEB">
      <w:pPr>
        <w:pStyle w:val="3"/>
        <w:keepNext w:val="0"/>
        <w:keepLines w:val="0"/>
        <w:jc w:val="center"/>
        <w:rPr>
          <w:rFonts w:hint="eastAsia" w:ascii="仿宋" w:hAnsi="仿宋" w:eastAsia="仿宋" w:cs="仿宋"/>
          <w:color w:val="auto"/>
        </w:rPr>
      </w:pPr>
    </w:p>
    <w:p w14:paraId="594B0C35">
      <w:pPr>
        <w:pStyle w:val="2"/>
        <w:jc w:val="center"/>
        <w:rPr>
          <w:rFonts w:hint="eastAsia" w:ascii="仿宋" w:hAnsi="仿宋" w:eastAsia="仿宋" w:cs="仿宋"/>
          <w:color w:val="auto"/>
        </w:rPr>
      </w:pPr>
      <w:bookmarkStart w:id="152" w:name="_Toc74320804"/>
      <w:r>
        <w:rPr>
          <w:rFonts w:hint="eastAsia" w:ascii="仿宋" w:hAnsi="仿宋" w:eastAsia="仿宋" w:cs="仿宋"/>
          <w:color w:val="auto"/>
        </w:rPr>
        <w:t>第五章  拟签订的合同文本</w:t>
      </w:r>
      <w:bookmarkEnd w:id="152"/>
    </w:p>
    <w:p w14:paraId="2F2027FE">
      <w:pPr>
        <w:snapToGrid w:val="0"/>
        <w:jc w:val="center"/>
        <w:rPr>
          <w:rFonts w:hint="eastAsia" w:ascii="仿宋" w:hAnsi="仿宋" w:eastAsia="仿宋" w:cs="仿宋"/>
          <w:bCs/>
          <w:color w:val="auto"/>
          <w:sz w:val="32"/>
          <w:szCs w:val="32"/>
        </w:rPr>
      </w:pPr>
    </w:p>
    <w:p w14:paraId="7FAB13D6">
      <w:pPr>
        <w:snapToGrid w:val="0"/>
        <w:jc w:val="center"/>
        <w:rPr>
          <w:rFonts w:hint="eastAsia" w:ascii="仿宋" w:hAnsi="仿宋" w:eastAsia="仿宋" w:cs="仿宋"/>
          <w:bCs/>
          <w:color w:val="auto"/>
          <w:sz w:val="32"/>
          <w:szCs w:val="32"/>
        </w:rPr>
      </w:pPr>
    </w:p>
    <w:p w14:paraId="6124ED67">
      <w:pPr>
        <w:snapToGrid w:val="0"/>
        <w:jc w:val="center"/>
        <w:rPr>
          <w:rFonts w:hint="eastAsia" w:ascii="仿宋" w:hAnsi="仿宋" w:eastAsia="仿宋" w:cs="仿宋"/>
          <w:bCs/>
          <w:color w:val="auto"/>
          <w:sz w:val="32"/>
          <w:szCs w:val="32"/>
        </w:rPr>
      </w:pPr>
    </w:p>
    <w:p w14:paraId="60B48193">
      <w:pPr>
        <w:snapToGrid w:val="0"/>
        <w:jc w:val="center"/>
        <w:rPr>
          <w:rFonts w:hint="eastAsia" w:ascii="仿宋" w:hAnsi="仿宋" w:eastAsia="仿宋" w:cs="仿宋"/>
          <w:bCs/>
          <w:color w:val="auto"/>
          <w:sz w:val="32"/>
          <w:szCs w:val="32"/>
        </w:rPr>
      </w:pPr>
    </w:p>
    <w:p w14:paraId="07DBD998">
      <w:pPr>
        <w:snapToGrid w:val="0"/>
        <w:jc w:val="center"/>
        <w:rPr>
          <w:rFonts w:hint="eastAsia" w:ascii="仿宋" w:hAnsi="仿宋" w:eastAsia="仿宋" w:cs="仿宋"/>
          <w:bCs/>
          <w:color w:val="auto"/>
          <w:sz w:val="32"/>
          <w:szCs w:val="32"/>
        </w:rPr>
      </w:pPr>
    </w:p>
    <w:p w14:paraId="183752FE">
      <w:pPr>
        <w:snapToGrid w:val="0"/>
        <w:jc w:val="center"/>
        <w:rPr>
          <w:rFonts w:hint="eastAsia" w:ascii="仿宋" w:hAnsi="仿宋" w:eastAsia="仿宋" w:cs="仿宋"/>
          <w:bCs/>
          <w:color w:val="auto"/>
          <w:sz w:val="32"/>
          <w:szCs w:val="32"/>
        </w:rPr>
      </w:pPr>
    </w:p>
    <w:p w14:paraId="1D77ABA6">
      <w:pPr>
        <w:snapToGrid w:val="0"/>
        <w:jc w:val="center"/>
        <w:rPr>
          <w:rFonts w:hint="eastAsia" w:ascii="仿宋" w:hAnsi="仿宋" w:eastAsia="仿宋" w:cs="仿宋"/>
          <w:bCs/>
          <w:color w:val="auto"/>
          <w:sz w:val="32"/>
          <w:szCs w:val="32"/>
        </w:rPr>
      </w:pPr>
    </w:p>
    <w:p w14:paraId="1300BCD3">
      <w:pPr>
        <w:snapToGrid w:val="0"/>
        <w:jc w:val="center"/>
        <w:rPr>
          <w:rFonts w:hint="eastAsia" w:ascii="仿宋" w:hAnsi="仿宋" w:eastAsia="仿宋" w:cs="仿宋"/>
          <w:bCs/>
          <w:color w:val="auto"/>
          <w:sz w:val="32"/>
          <w:szCs w:val="32"/>
        </w:rPr>
      </w:pPr>
    </w:p>
    <w:p w14:paraId="1E58A300">
      <w:pPr>
        <w:snapToGrid w:val="0"/>
        <w:jc w:val="center"/>
        <w:rPr>
          <w:rFonts w:hint="eastAsia" w:ascii="仿宋" w:hAnsi="仿宋" w:eastAsia="仿宋" w:cs="仿宋"/>
          <w:bCs/>
          <w:color w:val="auto"/>
          <w:sz w:val="32"/>
          <w:szCs w:val="32"/>
        </w:rPr>
      </w:pPr>
    </w:p>
    <w:p w14:paraId="49720141">
      <w:pPr>
        <w:snapToGrid w:val="0"/>
        <w:jc w:val="center"/>
        <w:rPr>
          <w:rFonts w:hint="eastAsia" w:ascii="仿宋" w:hAnsi="仿宋" w:eastAsia="仿宋" w:cs="仿宋"/>
          <w:bCs/>
          <w:color w:val="auto"/>
          <w:sz w:val="32"/>
          <w:szCs w:val="32"/>
        </w:rPr>
      </w:pPr>
    </w:p>
    <w:p w14:paraId="35A6F4AE">
      <w:pPr>
        <w:snapToGrid w:val="0"/>
        <w:jc w:val="center"/>
        <w:rPr>
          <w:rFonts w:hint="eastAsia" w:ascii="仿宋" w:hAnsi="仿宋" w:eastAsia="仿宋" w:cs="仿宋"/>
          <w:bCs/>
          <w:color w:val="auto"/>
          <w:sz w:val="32"/>
          <w:szCs w:val="32"/>
        </w:rPr>
      </w:pPr>
    </w:p>
    <w:p w14:paraId="6105776C">
      <w:pPr>
        <w:snapToGrid w:val="0"/>
        <w:jc w:val="left"/>
        <w:rPr>
          <w:rFonts w:hint="eastAsia" w:ascii="仿宋" w:hAnsi="仿宋" w:eastAsia="仿宋" w:cs="仿宋"/>
          <w:color w:val="auto"/>
          <w:szCs w:val="21"/>
        </w:rPr>
      </w:pPr>
      <w:r>
        <w:rPr>
          <w:rFonts w:hint="eastAsia" w:ascii="仿宋" w:hAnsi="仿宋" w:eastAsia="仿宋" w:cs="仿宋"/>
          <w:bCs/>
          <w:color w:val="auto"/>
          <w:sz w:val="32"/>
          <w:szCs w:val="32"/>
        </w:rPr>
        <w:br w:type="page"/>
      </w:r>
      <w:bookmarkStart w:id="153" w:name="_Hlk55381736"/>
      <w:r>
        <w:rPr>
          <w:rFonts w:hint="eastAsia" w:ascii="仿宋" w:hAnsi="仿宋" w:eastAsia="仿宋" w:cs="仿宋"/>
          <w:b/>
          <w:color w:val="auto"/>
          <w:sz w:val="32"/>
          <w:szCs w:val="32"/>
        </w:rPr>
        <w:t xml:space="preserve">一般服务类（参考）： </w:t>
      </w:r>
    </w:p>
    <w:p w14:paraId="29C35DA0">
      <w:pPr>
        <w:snapToGrid w:val="0"/>
        <w:spacing w:line="400" w:lineRule="exact"/>
        <w:jc w:val="center"/>
        <w:rPr>
          <w:rFonts w:hint="eastAsia" w:ascii="仿宋" w:hAnsi="仿宋" w:eastAsia="仿宋" w:cs="仿宋"/>
          <w:b/>
          <w:bCs/>
          <w:color w:val="auto"/>
          <w:sz w:val="32"/>
          <w:szCs w:val="32"/>
        </w:rPr>
      </w:pPr>
    </w:p>
    <w:p w14:paraId="46EB9279">
      <w:pPr>
        <w:snapToGrid w:val="0"/>
        <w:spacing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《广西壮族自治区政府采购合同》</w:t>
      </w:r>
    </w:p>
    <w:p w14:paraId="565F1382">
      <w:pPr>
        <w:snapToGrid w:val="0"/>
        <w:spacing w:line="400" w:lineRule="exact"/>
        <w:jc w:val="center"/>
        <w:rPr>
          <w:rFonts w:hint="eastAsia" w:ascii="仿宋" w:hAnsi="仿宋" w:eastAsia="仿宋" w:cs="仿宋"/>
          <w:b/>
          <w:bCs/>
          <w:color w:val="auto"/>
          <w:sz w:val="32"/>
          <w:szCs w:val="32"/>
        </w:rPr>
      </w:pPr>
      <w:r>
        <w:rPr>
          <w:rFonts w:hint="eastAsia" w:ascii="仿宋" w:hAnsi="仿宋" w:eastAsia="仿宋" w:cs="仿宋"/>
          <w:b/>
          <w:color w:val="auto"/>
          <w:sz w:val="32"/>
          <w:szCs w:val="32"/>
        </w:rPr>
        <w:t>文本</w:t>
      </w:r>
    </w:p>
    <w:p w14:paraId="187C3D1E">
      <w:pPr>
        <w:snapToGrid w:val="0"/>
        <w:spacing w:line="400" w:lineRule="exact"/>
        <w:ind w:right="480" w:firstLine="5250" w:firstLineChars="2500"/>
        <w:rPr>
          <w:rFonts w:hint="eastAsia" w:ascii="仿宋" w:hAnsi="仿宋" w:eastAsia="仿宋" w:cs="仿宋"/>
          <w:bCs/>
          <w:color w:val="auto"/>
          <w:szCs w:val="21"/>
          <w:u w:val="single"/>
        </w:rPr>
      </w:pPr>
      <w:r>
        <w:rPr>
          <w:rFonts w:hint="eastAsia" w:ascii="仿宋" w:hAnsi="仿宋" w:eastAsia="仿宋" w:cs="仿宋"/>
          <w:bCs/>
          <w:color w:val="auto"/>
          <w:szCs w:val="21"/>
        </w:rPr>
        <w:t>合同编号：</w:t>
      </w:r>
    </w:p>
    <w:p w14:paraId="71416809">
      <w:pPr>
        <w:snapToGrid w:val="0"/>
        <w:spacing w:line="360" w:lineRule="exact"/>
        <w:rPr>
          <w:rFonts w:hint="eastAsia" w:ascii="仿宋" w:hAnsi="仿宋" w:eastAsia="仿宋" w:cs="仿宋"/>
          <w:color w:val="auto"/>
          <w:szCs w:val="21"/>
        </w:rPr>
      </w:pPr>
    </w:p>
    <w:p w14:paraId="75410DB0">
      <w:pPr>
        <w:snapToGrid w:val="0"/>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采购人（甲方）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pacing w:val="-20"/>
          <w:szCs w:val="21"/>
        </w:rPr>
        <w:t>采 购 计 划 号</w:t>
      </w:r>
      <w:r>
        <w:rPr>
          <w:rFonts w:hint="eastAsia" w:ascii="仿宋" w:hAnsi="仿宋" w:eastAsia="仿宋" w:cs="仿宋"/>
          <w:color w:val="auto"/>
          <w:szCs w:val="21"/>
          <w:u w:val="single"/>
        </w:rPr>
        <w:t xml:space="preserve">             </w:t>
      </w:r>
    </w:p>
    <w:p w14:paraId="5BB712D8">
      <w:pPr>
        <w:snapToGrid w:val="0"/>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供 应 商（乙方）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pacing w:val="-20"/>
          <w:szCs w:val="21"/>
        </w:rPr>
        <w:t>招  标  编  号</w:t>
      </w:r>
      <w:r>
        <w:rPr>
          <w:rFonts w:hint="eastAsia" w:ascii="仿宋" w:hAnsi="仿宋" w:eastAsia="仿宋" w:cs="仿宋"/>
          <w:color w:val="auto"/>
          <w:szCs w:val="21"/>
          <w:u w:val="single"/>
        </w:rPr>
        <w:t xml:space="preserve">             </w:t>
      </w:r>
    </w:p>
    <w:p w14:paraId="195AD6B1">
      <w:pPr>
        <w:snapToGrid w:val="0"/>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 xml:space="preserve">签  订  地  点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签 订 时 间</w:t>
      </w:r>
      <w:r>
        <w:rPr>
          <w:rFonts w:hint="eastAsia" w:ascii="仿宋" w:hAnsi="仿宋" w:eastAsia="仿宋" w:cs="仿宋"/>
          <w:color w:val="auto"/>
          <w:szCs w:val="21"/>
          <w:u w:val="single"/>
        </w:rPr>
        <w:t xml:space="preserve">             </w:t>
      </w:r>
    </w:p>
    <w:p w14:paraId="4CEAFF32">
      <w:pPr>
        <w:spacing w:line="360" w:lineRule="auto"/>
        <w:rPr>
          <w:rFonts w:hint="eastAsia" w:ascii="仿宋" w:hAnsi="仿宋" w:eastAsia="仿宋" w:cs="仿宋"/>
          <w:color w:val="auto"/>
          <w:szCs w:val="21"/>
        </w:rPr>
      </w:pPr>
      <w:r>
        <w:rPr>
          <w:rFonts w:hint="eastAsia" w:ascii="仿宋" w:hAnsi="仿宋" w:eastAsia="仿宋" w:cs="仿宋"/>
          <w:color w:val="auto"/>
          <w:szCs w:val="21"/>
        </w:rPr>
        <w:t>本合同为中小企业预留合同：</w:t>
      </w:r>
      <w:r>
        <w:rPr>
          <w:rFonts w:hint="eastAsia" w:ascii="仿宋" w:hAnsi="仿宋" w:eastAsia="仿宋" w:cs="仿宋"/>
          <w:color w:val="auto"/>
          <w:szCs w:val="21"/>
          <w:u w:val="single"/>
        </w:rPr>
        <w:t>（是/否）</w:t>
      </w:r>
      <w:r>
        <w:rPr>
          <w:rFonts w:hint="eastAsia" w:ascii="仿宋" w:hAnsi="仿宋" w:eastAsia="仿宋" w:cs="仿宋"/>
          <w:color w:val="auto"/>
          <w:szCs w:val="21"/>
        </w:rPr>
        <w:t>。</w:t>
      </w:r>
    </w:p>
    <w:p w14:paraId="6E4CF22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根据《中华人民共和国政府采购法》、《中华人民共和国民法典》等法律、法规规定，按照招标文件规定条款和乙方投标文件及其承诺，甲乙双方签订本合同。</w:t>
      </w:r>
    </w:p>
    <w:p w14:paraId="18F2F64C">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第一条　合同标的</w:t>
      </w:r>
    </w:p>
    <w:p w14:paraId="3BDF8E9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1、项目一览表</w:t>
      </w:r>
    </w:p>
    <w:tbl>
      <w:tblPr>
        <w:tblStyle w:val="47"/>
        <w:tblW w:w="9360"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4"/>
        <w:gridCol w:w="2675"/>
        <w:gridCol w:w="1524"/>
        <w:gridCol w:w="1300"/>
        <w:gridCol w:w="1207"/>
      </w:tblGrid>
      <w:tr w14:paraId="6881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A6CF2B2">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934" w:type="dxa"/>
            <w:tcBorders>
              <w:top w:val="single" w:color="auto" w:sz="4" w:space="0"/>
              <w:left w:val="single" w:color="auto" w:sz="4" w:space="0"/>
              <w:bottom w:val="single" w:color="auto" w:sz="4" w:space="0"/>
              <w:right w:val="single" w:color="auto" w:sz="4" w:space="0"/>
            </w:tcBorders>
            <w:vAlign w:val="center"/>
          </w:tcPr>
          <w:p w14:paraId="10A75BFA">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名称</w:t>
            </w:r>
          </w:p>
        </w:tc>
        <w:tc>
          <w:tcPr>
            <w:tcW w:w="2675" w:type="dxa"/>
            <w:tcBorders>
              <w:top w:val="single" w:color="auto" w:sz="4" w:space="0"/>
              <w:left w:val="single" w:color="auto" w:sz="4" w:space="0"/>
              <w:bottom w:val="single" w:color="auto" w:sz="4" w:space="0"/>
              <w:right w:val="single" w:color="auto" w:sz="4" w:space="0"/>
            </w:tcBorders>
            <w:vAlign w:val="center"/>
          </w:tcPr>
          <w:p w14:paraId="7F8039F8">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服务内容</w:t>
            </w:r>
          </w:p>
        </w:tc>
        <w:tc>
          <w:tcPr>
            <w:tcW w:w="1524" w:type="dxa"/>
            <w:tcBorders>
              <w:top w:val="single" w:color="auto" w:sz="4" w:space="0"/>
              <w:left w:val="single" w:color="auto" w:sz="4" w:space="0"/>
              <w:bottom w:val="single" w:color="auto" w:sz="4" w:space="0"/>
              <w:right w:val="single" w:color="auto" w:sz="4" w:space="0"/>
            </w:tcBorders>
            <w:vAlign w:val="center"/>
          </w:tcPr>
          <w:p w14:paraId="753CC91D">
            <w:pPr>
              <w:jc w:val="center"/>
              <w:rPr>
                <w:rFonts w:hint="eastAsia" w:ascii="仿宋" w:hAnsi="仿宋" w:eastAsia="仿宋" w:cs="仿宋"/>
                <w:color w:val="auto"/>
                <w:szCs w:val="21"/>
              </w:rPr>
            </w:pPr>
            <w:r>
              <w:rPr>
                <w:rFonts w:hint="eastAsia" w:ascii="仿宋" w:hAnsi="仿宋" w:eastAsia="仿宋" w:cs="仿宋"/>
                <w:color w:val="auto"/>
                <w:szCs w:val="21"/>
              </w:rPr>
              <w:t>数量及单位</w:t>
            </w:r>
          </w:p>
        </w:tc>
        <w:tc>
          <w:tcPr>
            <w:tcW w:w="1300" w:type="dxa"/>
            <w:tcBorders>
              <w:top w:val="single" w:color="auto" w:sz="4" w:space="0"/>
              <w:left w:val="single" w:color="auto" w:sz="4" w:space="0"/>
              <w:bottom w:val="single" w:color="auto" w:sz="4" w:space="0"/>
              <w:right w:val="single" w:color="auto" w:sz="4" w:space="0"/>
            </w:tcBorders>
            <w:vAlign w:val="center"/>
          </w:tcPr>
          <w:p w14:paraId="37FC5EA3">
            <w:pPr>
              <w:jc w:val="center"/>
              <w:rPr>
                <w:rFonts w:hint="eastAsia" w:ascii="仿宋" w:hAnsi="仿宋" w:eastAsia="仿宋" w:cs="仿宋"/>
                <w:color w:val="auto"/>
                <w:szCs w:val="21"/>
              </w:rPr>
            </w:pPr>
            <w:r>
              <w:rPr>
                <w:rFonts w:hint="eastAsia" w:ascii="仿宋" w:hAnsi="仿宋" w:eastAsia="仿宋" w:cs="仿宋"/>
                <w:color w:val="auto"/>
                <w:szCs w:val="21"/>
              </w:rPr>
              <w:t>单价（元</w:t>
            </w:r>
            <w:r>
              <w:rPr>
                <w:rFonts w:hint="eastAsia" w:ascii="仿宋" w:hAnsi="仿宋" w:eastAsia="仿宋" w:cs="仿宋"/>
                <w:color w:val="auto"/>
              </w:rPr>
              <w:t>/个样品</w:t>
            </w:r>
            <w:r>
              <w:rPr>
                <w:rFonts w:hint="eastAsia" w:ascii="仿宋" w:hAnsi="仿宋" w:eastAsia="仿宋" w:cs="仿宋"/>
                <w:color w:val="auto"/>
                <w:kern w:val="0"/>
              </w:rPr>
              <w:t>点</w:t>
            </w:r>
            <w:r>
              <w:rPr>
                <w:rFonts w:hint="eastAsia" w:ascii="仿宋" w:hAnsi="仿宋" w:eastAsia="仿宋" w:cs="仿宋"/>
                <w:color w:val="auto"/>
                <w:szCs w:val="21"/>
              </w:rPr>
              <w:t>）</w:t>
            </w:r>
          </w:p>
        </w:tc>
        <w:tc>
          <w:tcPr>
            <w:tcW w:w="1207" w:type="dxa"/>
            <w:tcBorders>
              <w:top w:val="single" w:color="auto" w:sz="4" w:space="0"/>
              <w:left w:val="single" w:color="auto" w:sz="4" w:space="0"/>
              <w:bottom w:val="single" w:color="auto" w:sz="4" w:space="0"/>
              <w:right w:val="single" w:color="auto" w:sz="4" w:space="0"/>
            </w:tcBorders>
            <w:vAlign w:val="center"/>
          </w:tcPr>
          <w:p w14:paraId="67C76BDA">
            <w:pPr>
              <w:jc w:val="center"/>
              <w:rPr>
                <w:rFonts w:hint="eastAsia" w:ascii="仿宋" w:hAnsi="仿宋" w:eastAsia="仿宋" w:cs="仿宋"/>
                <w:color w:val="auto"/>
                <w:szCs w:val="21"/>
              </w:rPr>
            </w:pPr>
            <w:r>
              <w:rPr>
                <w:rFonts w:hint="eastAsia" w:ascii="仿宋" w:hAnsi="仿宋" w:eastAsia="仿宋" w:cs="仿宋"/>
                <w:color w:val="auto"/>
                <w:szCs w:val="21"/>
              </w:rPr>
              <w:t>总价（元）</w:t>
            </w:r>
          </w:p>
        </w:tc>
      </w:tr>
      <w:tr w14:paraId="7299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BF7E49D">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934" w:type="dxa"/>
            <w:tcBorders>
              <w:top w:val="single" w:color="auto" w:sz="4" w:space="0"/>
              <w:left w:val="single" w:color="auto" w:sz="4" w:space="0"/>
              <w:bottom w:val="single" w:color="auto" w:sz="4" w:space="0"/>
              <w:right w:val="single" w:color="auto" w:sz="4" w:space="0"/>
            </w:tcBorders>
            <w:vAlign w:val="center"/>
          </w:tcPr>
          <w:p w14:paraId="000A49A2">
            <w:pPr>
              <w:spacing w:line="400" w:lineRule="exact"/>
              <w:contextualSpacing/>
              <w:jc w:val="left"/>
              <w:rPr>
                <w:rFonts w:hint="eastAsia" w:ascii="仿宋" w:hAnsi="仿宋" w:eastAsia="仿宋" w:cs="仿宋"/>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14:paraId="25B7833A">
            <w:pPr>
              <w:jc w:val="center"/>
              <w:rPr>
                <w:rFonts w:hint="eastAsia" w:ascii="仿宋" w:hAnsi="仿宋" w:eastAsia="仿宋" w:cs="仿宋"/>
                <w:color w:val="auto"/>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0C320478">
            <w:pPr>
              <w:spacing w:line="360" w:lineRule="auto"/>
              <w:jc w:val="center"/>
              <w:rPr>
                <w:rFonts w:hint="eastAsia" w:ascii="仿宋" w:hAnsi="仿宋" w:eastAsia="仿宋" w:cs="仿宋"/>
                <w:color w:val="auto"/>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75E219C7">
            <w:pPr>
              <w:spacing w:line="360" w:lineRule="auto"/>
              <w:jc w:val="center"/>
              <w:rPr>
                <w:rFonts w:hint="eastAsia" w:ascii="仿宋" w:hAnsi="仿宋" w:eastAsia="仿宋" w:cs="仿宋"/>
                <w:color w:val="auto"/>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7E03CB3E">
            <w:pPr>
              <w:spacing w:line="360" w:lineRule="auto"/>
              <w:jc w:val="center"/>
              <w:rPr>
                <w:rFonts w:hint="eastAsia" w:ascii="仿宋" w:hAnsi="仿宋" w:eastAsia="仿宋" w:cs="仿宋"/>
                <w:color w:val="auto"/>
                <w:szCs w:val="21"/>
              </w:rPr>
            </w:pPr>
          </w:p>
        </w:tc>
      </w:tr>
      <w:tr w14:paraId="1BF6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75E2E19F">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详见开标一览表</w:t>
            </w:r>
          </w:p>
        </w:tc>
      </w:tr>
      <w:tr w14:paraId="5C8B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5D0D2683">
            <w:pPr>
              <w:spacing w:line="360" w:lineRule="auto"/>
              <w:rPr>
                <w:rFonts w:hint="eastAsia" w:ascii="仿宋" w:hAnsi="仿宋" w:eastAsia="仿宋" w:cs="仿宋"/>
                <w:color w:val="auto"/>
                <w:szCs w:val="21"/>
              </w:rPr>
            </w:pPr>
            <w:r>
              <w:rPr>
                <w:rFonts w:hint="eastAsia" w:ascii="仿宋" w:hAnsi="仿宋" w:eastAsia="仿宋" w:cs="仿宋"/>
                <w:color w:val="auto"/>
                <w:szCs w:val="21"/>
              </w:rPr>
              <w:t>人民币合计金额（大写）：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tc>
      </w:tr>
    </w:tbl>
    <w:p w14:paraId="66B7F0B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合同合计金额包括但不限于满足本次投标全部采购需求所应提供的服务，以及伴随的货物和工程的价格；包含但不限于人工、材料、交通、保险、利润、税金等所有与本项目有关的所有费用。如招标文件对其另有规定的，从其规定。</w:t>
      </w:r>
    </w:p>
    <w:p w14:paraId="39999E9A">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第二条　质量保证</w:t>
      </w:r>
    </w:p>
    <w:p w14:paraId="55664DC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50C32209">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第三条　权利保证</w:t>
      </w:r>
    </w:p>
    <w:p w14:paraId="68FDA36F">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1、乙方应保证所提供服务在使用时不会侵犯任何第三方的专利权、商标权、工业设计权等知识产权及其他合法权利，且所有权、处分权等没有受到任何限制。</w:t>
      </w:r>
    </w:p>
    <w:p w14:paraId="6573D64D">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7F14747">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第四条　交付和验收</w:t>
      </w:r>
    </w:p>
    <w:p w14:paraId="6E48399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1、提交服务成果时间：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，服务地点：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63D57A84">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2、乙方应按投标文件的承诺向甲方提供相应的服务以及伴随的货物和工程，并提供本项目的相关技术资料。</w:t>
      </w:r>
    </w:p>
    <w:p w14:paraId="0FCA0A2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3、乙方提供不符合投标文件和本合同规定的成果，甲方有权拒绝接受。</w:t>
      </w:r>
    </w:p>
    <w:p w14:paraId="54F31DE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0DCE19A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5、甲乙双方应按照《广西壮族自治区政府采购项目履约验收管理办法》、双方合同、投标文件验收。</w:t>
      </w:r>
    </w:p>
    <w:p w14:paraId="36BBF2F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14:paraId="6365B86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7、甲方验收时以书面形式提出异议的，乙方应自收到甲方书面异议后五个工作日内及时予以解决，否则甲方有权不出具验收合格单。</w:t>
      </w:r>
    </w:p>
    <w:p w14:paraId="505F9E0F">
      <w:p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第五条  售后服务及培训</w:t>
      </w:r>
    </w:p>
    <w:p w14:paraId="7F3F7518">
      <w:pPr>
        <w:snapToGrid w:val="0"/>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1、乙方应按照国家有关法律法规和“三包”规定以及本合同所附的《服务承诺》，为甲方提供售后服务。</w:t>
      </w:r>
    </w:p>
    <w:p w14:paraId="407C1D25">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color w:val="auto"/>
          <w:sz w:val="21"/>
        </w:rPr>
        <w:t>2、在保修期内，乙方应对货物出现的质量及安全问题负责处理解决并承担一切费用。</w:t>
      </w:r>
    </w:p>
    <w:p w14:paraId="7476DEFE">
      <w:pPr>
        <w:snapToGrid w:val="0"/>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3、上述的货物保修期为</w:t>
      </w:r>
      <w:r>
        <w:rPr>
          <w:rFonts w:hint="eastAsia" w:ascii="仿宋" w:hAnsi="仿宋" w:eastAsia="仿宋"/>
          <w:color w:val="auto"/>
          <w:szCs w:val="21"/>
          <w:u w:val="single"/>
        </w:rPr>
        <w:t xml:space="preserve">     </w:t>
      </w:r>
      <w:r>
        <w:rPr>
          <w:rFonts w:hint="eastAsia" w:ascii="仿宋" w:hAnsi="仿宋" w:eastAsia="仿宋"/>
          <w:color w:val="auto"/>
          <w:szCs w:val="21"/>
        </w:rPr>
        <w:t>年，因人为因素出现的故障不在免费保修范围内。超过保修期的机器设备，终生维修，维修时只收部件成本费。</w:t>
      </w:r>
    </w:p>
    <w:p w14:paraId="0F55AC37">
      <w:pPr>
        <w:snapToGrid w:val="0"/>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4、乙方提供的服务承诺和售后服务及保修期责任等其它具体约定事项。（见合同附件）</w:t>
      </w:r>
    </w:p>
    <w:p w14:paraId="64BC69D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5、甲方应提供必要测试条件（如场地、电源、水源等）。</w:t>
      </w:r>
    </w:p>
    <w:p w14:paraId="2B35F96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6、乙方负责甲方有关人员的培训。培训时间、地点：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0AD03FC">
      <w:pPr>
        <w:snapToGrid w:val="0"/>
        <w:spacing w:line="360" w:lineRule="auto"/>
        <w:ind w:left="-61" w:firstLine="514"/>
        <w:rPr>
          <w:rFonts w:hint="eastAsia" w:ascii="仿宋" w:hAnsi="仿宋" w:eastAsia="仿宋"/>
          <w:color w:val="auto"/>
          <w:szCs w:val="21"/>
        </w:rPr>
      </w:pPr>
      <w:r>
        <w:rPr>
          <w:rFonts w:hint="eastAsia" w:ascii="仿宋" w:hAnsi="仿宋" w:eastAsia="仿宋"/>
          <w:b/>
          <w:color w:val="auto"/>
          <w:szCs w:val="21"/>
        </w:rPr>
        <w:t>第六条  质量保证、质保期</w:t>
      </w:r>
    </w:p>
    <w:p w14:paraId="187EBD28">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bCs/>
          <w:color w:val="auto"/>
          <w:sz w:val="21"/>
        </w:rPr>
        <w:t>1、</w:t>
      </w:r>
      <w:r>
        <w:rPr>
          <w:rFonts w:hint="eastAsia" w:ascii="仿宋" w:hAnsi="仿宋" w:eastAsia="仿宋"/>
          <w:color w:val="auto"/>
          <w:sz w:val="21"/>
        </w:rPr>
        <w:t>乙方应按投标文件承诺的产品名称、技术参数、质量标准向甲方提供未经使用的全新产品。不符合要求的，根据实际情况，经双方协商，可按以下办法处理：</w:t>
      </w:r>
    </w:p>
    <w:p w14:paraId="512B5C81">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color w:val="auto"/>
          <w:sz w:val="21"/>
        </w:rPr>
        <w:t>⑴更换：由乙方承担所发生的全部费用。</w:t>
      </w:r>
    </w:p>
    <w:p w14:paraId="0788AAD1">
      <w:pPr>
        <w:pStyle w:val="25"/>
        <w:snapToGrid w:val="0"/>
        <w:spacing w:line="360" w:lineRule="auto"/>
        <w:ind w:firstLine="420"/>
        <w:rPr>
          <w:rFonts w:hint="eastAsia" w:ascii="仿宋" w:hAnsi="仿宋" w:eastAsia="仿宋"/>
          <w:color w:val="auto"/>
          <w:sz w:val="21"/>
        </w:rPr>
      </w:pPr>
      <w:r>
        <w:rPr>
          <w:rFonts w:hint="eastAsia" w:ascii="仿宋" w:hAnsi="仿宋" w:eastAsia="仿宋"/>
          <w:color w:val="auto"/>
          <w:sz w:val="21"/>
        </w:rPr>
        <w:t>⑵贬值处理：由甲乙双方合议定价。</w:t>
      </w:r>
    </w:p>
    <w:p w14:paraId="210DC142">
      <w:pPr>
        <w:pStyle w:val="25"/>
        <w:snapToGrid w:val="0"/>
        <w:spacing w:line="360" w:lineRule="auto"/>
        <w:ind w:firstLine="420"/>
        <w:rPr>
          <w:rFonts w:hint="eastAsia" w:ascii="仿宋" w:hAnsi="仿宋" w:eastAsia="仿宋"/>
          <w:color w:val="auto"/>
          <w:sz w:val="21"/>
        </w:rPr>
      </w:pPr>
      <w:r>
        <w:rPr>
          <w:rFonts w:hint="eastAsia" w:ascii="仿宋" w:hAnsi="仿宋" w:eastAsia="仿宋"/>
          <w:color w:val="auto"/>
          <w:sz w:val="21"/>
        </w:rPr>
        <w:t>⑶退货处理：乙方应退还甲方支付的合同款，同时应承担该货物的直接费用（运输、保险、检验、货款利息及银行手续费等）。</w:t>
      </w:r>
    </w:p>
    <w:p w14:paraId="27BBD6B2">
      <w:pPr>
        <w:pStyle w:val="25"/>
        <w:snapToGrid w:val="0"/>
        <w:spacing w:line="360" w:lineRule="auto"/>
        <w:ind w:firstLine="400" w:firstLineChars="200"/>
        <w:rPr>
          <w:rFonts w:hint="eastAsia" w:ascii="仿宋" w:hAnsi="仿宋" w:eastAsia="仿宋"/>
          <w:color w:val="auto"/>
          <w:u w:val="single"/>
        </w:rPr>
      </w:pPr>
      <w:r>
        <w:rPr>
          <w:rFonts w:hint="eastAsia" w:ascii="仿宋" w:hAnsi="仿宋" w:eastAsia="仿宋"/>
          <w:color w:val="auto"/>
        </w:rPr>
        <w:t>2、货物质保期：</w:t>
      </w:r>
      <w:r>
        <w:rPr>
          <w:rFonts w:hint="eastAsia" w:ascii="仿宋" w:hAnsi="仿宋" w:eastAsia="仿宋"/>
          <w:color w:val="auto"/>
          <w:u w:val="single"/>
        </w:rPr>
        <w:t xml:space="preserve">                                          。</w:t>
      </w:r>
    </w:p>
    <w:p w14:paraId="6C283CB5">
      <w:pPr>
        <w:pStyle w:val="25"/>
        <w:snapToGrid w:val="0"/>
        <w:spacing w:line="360" w:lineRule="auto"/>
        <w:ind w:firstLine="420" w:firstLineChars="200"/>
        <w:rPr>
          <w:rFonts w:hint="eastAsia" w:ascii="仿宋" w:hAnsi="仿宋" w:eastAsia="仿宋"/>
          <w:color w:val="auto"/>
          <w:sz w:val="21"/>
        </w:rPr>
      </w:pPr>
      <w:r>
        <w:rPr>
          <w:rFonts w:hint="eastAsia" w:ascii="仿宋" w:hAnsi="仿宋" w:eastAsia="仿宋"/>
          <w:color w:val="auto"/>
          <w:sz w:val="21"/>
        </w:rPr>
        <w:t>3、如在使用过程中发生质量问题，乙方在接到甲方通知后到达甲方现场处理的时间（</w:t>
      </w:r>
      <w:r>
        <w:rPr>
          <w:rFonts w:hint="eastAsia" w:ascii="仿宋" w:hAnsi="仿宋" w:eastAsia="仿宋"/>
          <w:color w:val="auto"/>
          <w:sz w:val="21"/>
          <w:u w:val="single"/>
        </w:rPr>
        <w:t>按投标文件承诺的数据填写</w:t>
      </w:r>
      <w:r>
        <w:rPr>
          <w:rFonts w:hint="eastAsia" w:ascii="仿宋" w:hAnsi="仿宋" w:eastAsia="仿宋"/>
          <w:color w:val="auto"/>
          <w:sz w:val="21"/>
        </w:rPr>
        <w:t>）小时内。</w:t>
      </w:r>
    </w:p>
    <w:p w14:paraId="5EADE7FC">
      <w:pPr>
        <w:snapToGrid w:val="0"/>
        <w:spacing w:line="360" w:lineRule="auto"/>
        <w:ind w:firstLine="422" w:firstLineChars="200"/>
        <w:rPr>
          <w:rFonts w:hint="eastAsia" w:ascii="仿宋" w:hAnsi="仿宋" w:eastAsia="仿宋" w:cs="仿宋"/>
          <w:color w:val="auto"/>
          <w:szCs w:val="21"/>
          <w:u w:val="single"/>
        </w:rPr>
      </w:pPr>
      <w:r>
        <w:rPr>
          <w:rFonts w:hint="eastAsia" w:ascii="仿宋" w:hAnsi="仿宋" w:eastAsia="仿宋" w:cs="仿宋"/>
          <w:b/>
          <w:color w:val="auto"/>
          <w:szCs w:val="21"/>
        </w:rPr>
        <w:t>第七条　付款方式</w:t>
      </w:r>
    </w:p>
    <w:p w14:paraId="50A98EAE">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甲乙双方同意本合同金额的支付按以下第</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项约定执行：</w:t>
      </w:r>
    </w:p>
    <w:p w14:paraId="13D384C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1、一次性支付</w:t>
      </w:r>
    </w:p>
    <w:p w14:paraId="3499786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2、分期支付</w:t>
      </w:r>
    </w:p>
    <w:p w14:paraId="7EAD8E9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详见招标文件《第二章  采购项目内容》商务条款。</w:t>
      </w:r>
    </w:p>
    <w:p w14:paraId="63432784">
      <w:pPr>
        <w:snapToGrid w:val="0"/>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第八条　履约保证金（收取履约保证金时填写）</w:t>
      </w:r>
    </w:p>
    <w:p w14:paraId="224FE0E0">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1、履约保证金金额：按分标合同金额的</w:t>
      </w:r>
      <w:r>
        <w:rPr>
          <w:rFonts w:hint="eastAsia" w:ascii="仿宋" w:hAnsi="仿宋" w:eastAsia="仿宋" w:cs="仿宋"/>
          <w:color w:val="auto"/>
          <w:szCs w:val="21"/>
          <w:u w:val="single"/>
        </w:rPr>
        <w:t>5%</w:t>
      </w:r>
      <w:r>
        <w:rPr>
          <w:rFonts w:hint="eastAsia" w:ascii="仿宋" w:hAnsi="仿宋" w:eastAsia="仿宋" w:cs="仿宋"/>
          <w:bCs/>
          <w:color w:val="auto"/>
          <w:szCs w:val="21"/>
          <w:u w:val="single"/>
        </w:rPr>
        <w:t>，</w:t>
      </w:r>
      <w:r>
        <w:rPr>
          <w:rFonts w:hint="eastAsia" w:ascii="仿宋" w:hAnsi="仿宋" w:eastAsia="仿宋" w:cs="仿宋"/>
          <w:color w:val="auto"/>
          <w:szCs w:val="21"/>
        </w:rPr>
        <w:t>若为中小企业的按合同金额的2%，即</w:t>
      </w:r>
      <w:r>
        <w:rPr>
          <w:rFonts w:hint="eastAsia" w:ascii="仿宋" w:hAnsi="仿宋" w:eastAsia="仿宋" w:cs="仿宋"/>
          <w:color w:val="auto"/>
          <w:szCs w:val="21"/>
          <w:u w:val="single"/>
        </w:rPr>
        <w:t xml:space="preserve">   </w:t>
      </w:r>
      <w:r>
        <w:rPr>
          <w:rFonts w:hint="eastAsia" w:ascii="仿宋" w:hAnsi="仿宋" w:eastAsia="仿宋" w:cs="仿宋"/>
          <w:color w:val="auto"/>
        </w:rPr>
        <w:t>分标：</w:t>
      </w: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（小写）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i/>
          <w:iCs/>
          <w:color w:val="auto"/>
          <w:szCs w:val="21"/>
        </w:rPr>
        <w:t>（注：履约保证金数额不得超过政府采购合同金额的5%，对中小企业收取的履约保证金数额不得超过政府采购合同金额的2%）</w:t>
      </w:r>
    </w:p>
    <w:p w14:paraId="6D72B6C2">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2、履约保证金递交方式：乙方在</w:t>
      </w:r>
      <w:r>
        <w:rPr>
          <w:rFonts w:hint="eastAsia" w:ascii="仿宋" w:hAnsi="仿宋" w:eastAsia="仿宋" w:cs="仿宋"/>
          <w:color w:val="auto"/>
          <w:szCs w:val="21"/>
          <w:u w:val="single"/>
        </w:rPr>
        <w:t>签订合同前</w:t>
      </w:r>
      <w:r>
        <w:rPr>
          <w:rFonts w:hint="eastAsia" w:ascii="仿宋" w:hAnsi="仿宋" w:eastAsia="仿宋" w:cs="仿宋"/>
          <w:color w:val="auto"/>
          <w:szCs w:val="21"/>
        </w:rPr>
        <w:t>以银行转账、支票、汇票、本票或者金融机构、担保机构出具的保函等非现金方式向甲方提交。</w:t>
      </w:r>
    </w:p>
    <w:p w14:paraId="64DA11F5">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3、履约保证金退付方式、时间及条件：</w:t>
      </w:r>
      <w:r>
        <w:rPr>
          <w:rFonts w:hint="eastAsia" w:ascii="仿宋" w:hAnsi="仿宋" w:eastAsia="仿宋" w:cs="仿宋"/>
          <w:color w:val="auto"/>
          <w:szCs w:val="21"/>
          <w:u w:val="single"/>
        </w:rPr>
        <w:t>项目服务验收合格后，由乙方向甲方财务部门提供审签完成的《政府采购项目合同验收书》（详见桂财采〔2015〕22号）及《政府采购项目履约保证金退付意见书》，甲方财务部门在收到合格材料后5个工作日内办理退还手续（不计利息）。</w:t>
      </w:r>
      <w:r>
        <w:rPr>
          <w:rFonts w:hint="eastAsia" w:ascii="仿宋" w:hAnsi="仿宋" w:eastAsia="仿宋" w:cs="仿宋"/>
          <w:i/>
          <w:iCs/>
          <w:color w:val="auto"/>
          <w:szCs w:val="21"/>
        </w:rPr>
        <w:t>（注：验收合格的政府采购项目，采购人应当按照合同约定的退还方式，在5个工作日内办理履约保证金退还手续。）</w:t>
      </w:r>
    </w:p>
    <w:p w14:paraId="1CEFC9FC">
      <w:pPr>
        <w:autoSpaceDE w:val="0"/>
        <w:autoSpaceDN w:val="0"/>
        <w:snapToGrid w:val="0"/>
        <w:spacing w:line="360" w:lineRule="auto"/>
        <w:ind w:firstLine="420" w:firstLineChars="200"/>
        <w:textAlignment w:val="bottom"/>
        <w:rPr>
          <w:rFonts w:hint="eastAsia" w:ascii="仿宋" w:hAnsi="仿宋" w:eastAsia="仿宋" w:cs="仿宋"/>
          <w:color w:val="auto"/>
          <w:szCs w:val="21"/>
        </w:rPr>
      </w:pPr>
      <w:r>
        <w:rPr>
          <w:rFonts w:hint="eastAsia" w:ascii="仿宋" w:hAnsi="仿宋" w:eastAsia="仿宋" w:cs="仿宋"/>
          <w:color w:val="auto"/>
          <w:szCs w:val="21"/>
        </w:rPr>
        <w:t>4、缴纳履约保证金的指定账户：</w:t>
      </w:r>
    </w:p>
    <w:p w14:paraId="36248431">
      <w:pPr>
        <w:snapToGrid w:val="0"/>
        <w:spacing w:line="360" w:lineRule="auto"/>
        <w:ind w:firstLine="424" w:firstLineChars="202"/>
        <w:rPr>
          <w:rFonts w:hint="eastAsia" w:ascii="仿宋" w:hAnsi="仿宋" w:eastAsia="仿宋" w:cs="仿宋"/>
          <w:color w:val="auto"/>
        </w:rPr>
      </w:pPr>
      <w:r>
        <w:rPr>
          <w:rFonts w:hint="eastAsia" w:ascii="仿宋" w:hAnsi="仿宋" w:eastAsia="仿宋" w:cs="仿宋"/>
          <w:color w:val="auto"/>
        </w:rPr>
        <w:t>开户名称：</w:t>
      </w:r>
      <w:r>
        <w:rPr>
          <w:rFonts w:hint="eastAsia" w:ascii="仿宋" w:hAnsi="仿宋" w:eastAsia="仿宋" w:cs="仿宋"/>
          <w:color w:val="auto"/>
          <w:u w:val="single"/>
        </w:rPr>
        <w:t xml:space="preserve">                              </w:t>
      </w:r>
    </w:p>
    <w:p w14:paraId="31F015C2">
      <w:pPr>
        <w:snapToGrid w:val="0"/>
        <w:spacing w:line="360" w:lineRule="auto"/>
        <w:ind w:firstLine="424" w:firstLineChars="202"/>
        <w:rPr>
          <w:rFonts w:hint="eastAsia" w:ascii="仿宋" w:hAnsi="仿宋" w:eastAsia="仿宋" w:cs="仿宋"/>
          <w:color w:val="auto"/>
        </w:rPr>
      </w:pPr>
      <w:r>
        <w:rPr>
          <w:rFonts w:hint="eastAsia" w:ascii="仿宋" w:hAnsi="仿宋" w:eastAsia="仿宋" w:cs="仿宋"/>
          <w:color w:val="auto"/>
        </w:rPr>
        <w:t>开户银行：</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27F71AA">
      <w:pPr>
        <w:snapToGrid w:val="0"/>
        <w:spacing w:line="360" w:lineRule="auto"/>
        <w:ind w:firstLine="424" w:firstLineChars="202"/>
        <w:rPr>
          <w:rFonts w:hint="eastAsia" w:ascii="仿宋" w:hAnsi="仿宋" w:eastAsia="仿宋" w:cs="仿宋"/>
          <w:color w:val="auto"/>
          <w:szCs w:val="21"/>
        </w:rPr>
      </w:pPr>
      <w:r>
        <w:rPr>
          <w:rFonts w:hint="eastAsia" w:ascii="仿宋" w:hAnsi="仿宋" w:eastAsia="仿宋" w:cs="仿宋"/>
          <w:color w:val="auto"/>
        </w:rPr>
        <w:t>银行账号：</w:t>
      </w:r>
      <w:r>
        <w:rPr>
          <w:rFonts w:hint="eastAsia" w:ascii="仿宋" w:hAnsi="仿宋" w:eastAsia="仿宋" w:cs="仿宋"/>
          <w:color w:val="auto"/>
          <w:u w:val="single"/>
        </w:rPr>
        <w:t xml:space="preserve">                            </w:t>
      </w:r>
    </w:p>
    <w:p w14:paraId="4E387DD1">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第九条  税费</w:t>
      </w:r>
    </w:p>
    <w:p w14:paraId="683FACD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本合同执行中相关的一切税费均由乙方负担，合同另有约定的除外。</w:t>
      </w:r>
    </w:p>
    <w:p w14:paraId="6DD5AB5C">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第十条　违约责任</w:t>
      </w:r>
    </w:p>
    <w:p w14:paraId="391BD5A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除不可抗力原因外，乙方没有按照合同规定的时间提供服务的，甲方可要求乙方支付违约金。每推迟一天按合同金额的0.5‰支付违约金，该违约金累计不超过合同金额的20%。达到20天时甲方有权单方面解除本合同，合同金额没有支付的，不再支付；已经支付的，甲方有权追回；如因此造成用方损失的，还应赔偿甲方损失。</w:t>
      </w:r>
    </w:p>
    <w:p w14:paraId="7BE0D4A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乙方所提供的服务成果、数量、技术参数要求（技术参数需求）等不符合招标文件及甲方要求的，应及时整改；乙方在甲方规定期限内不能完成整改的或无正当理由拒绝整改或经整改后仍不能达到甲方要求的，甲方有权终止合同，追回已付款项，并按本合同总价的 10%计算违约金。</w:t>
      </w:r>
    </w:p>
    <w:p w14:paraId="7B4B6BE6">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甲方有权依据招标文件、投标文件对乙方的服务人员进行管理或要求更换，对于甲方要求更换服务人员的，乙方应无条件及时更换；乙方拒绝更换的，甲方有权终止合同，追回已付款项，并按本合同总价的10%计算违约金。</w:t>
      </w:r>
    </w:p>
    <w:p w14:paraId="1777575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14:paraId="585F213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5、除因甲方自身原因外，乙方操作造成甲方系统数据丢失、泄密的，应按合同金额的三倍支付违约金，违约金不足以弥补甲方损失的，还应支付赔偿甲方的全部损失。</w:t>
      </w:r>
    </w:p>
    <w:p w14:paraId="54891430">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6、乙方未按本合同和投标文件中规定的服务承诺提供售后服务的，每出现一次，乙方应按本合同金额的1%向甲方支付违约金；甲方有权聘请第三方提供售后服务，因此产生的费用均由乙方承担。</w:t>
      </w:r>
    </w:p>
    <w:p w14:paraId="29D868E7">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7、乙方提供的服务及其成果在服务期及售后期内，因设计缺陷或其它质量原因造成的问题，由乙方负责。</w:t>
      </w:r>
    </w:p>
    <w:p w14:paraId="6E3D3C3C">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如乙方违反合同约定的信息安全及保密要求，每违反一次收取合同金额1%的违约金，累计不超过合同金额的30%，累计违约次数超过30次的，甲方有权终止合同，追回已付款项。违约金不足以弥补甲方实际损失的，还应支付赔偿金。</w:t>
      </w:r>
    </w:p>
    <w:p w14:paraId="3E3CAD3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9、甲方延期付款的，每天向乙方偿付延期款额3‰的违约金，但违约金金累计不得超过延期款额5%。</w:t>
      </w:r>
    </w:p>
    <w:p w14:paraId="38CE6569">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10、本条所称损失是指一方因另一方违约而遭受的全部经济损失（包括但不限于直接损失、间接损失及实现债权的费用，如诉讼费、律师费、差旅费、调查费、财产保全责任险保险费等）。</w:t>
      </w:r>
    </w:p>
    <w:p w14:paraId="611530BA">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11、甲方有权从未付价款、履约保证金中先行扣除乙方应支付的违约金、赔偿金，不足另补。</w:t>
      </w:r>
    </w:p>
    <w:p w14:paraId="04FB49A2">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第十一条  不可抗力事件处理</w:t>
      </w:r>
    </w:p>
    <w:p w14:paraId="37447B3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1、在合同有效期内，任何一方因不可抗力事件导致不能履行合同，则合同履行期可延长，其延长期与不可抗力影响期相同。</w:t>
      </w:r>
    </w:p>
    <w:p w14:paraId="5937724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2、不可抗力事件发生后，应立即通知对方，并寄送有关权威机构出具的证明。</w:t>
      </w:r>
    </w:p>
    <w:p w14:paraId="3F28C9D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3、不可抗力事件延续一百二十天以上，双方应通过友好协商，确定是否继续履行合同。</w:t>
      </w:r>
    </w:p>
    <w:p w14:paraId="1AD41D17">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第十二条  合同争议解决</w:t>
      </w:r>
    </w:p>
    <w:p w14:paraId="566CC8F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1、因服务质量问题发生争议的，应邀请国家认可的质量检测机构进行鉴定。服务符合标准的，鉴定费由甲方承担；服务不符合标准的，鉴定费由乙方承担。</w:t>
      </w:r>
    </w:p>
    <w:p w14:paraId="266725EB">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2、因履行本合同引起的或者与本合同有关的争议，甲乙双方应首先通过友好协商解决，如果协商不能解决，可向甲方所在地有管辖权人民法院提起诉讼。</w:t>
      </w:r>
    </w:p>
    <w:p w14:paraId="5E266EF4">
      <w:pPr>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3、诉讼期间，本合同继续履行。</w:t>
      </w:r>
    </w:p>
    <w:p w14:paraId="037B6488">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第十三条  合同生效及其它</w:t>
      </w:r>
    </w:p>
    <w:p w14:paraId="2FCC596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1、合同经双方法定代表人或者授权代表签字并加盖单位公章后生效（委托代理人签字的需后附授权委托书，格式自拟）。</w:t>
      </w:r>
    </w:p>
    <w:p w14:paraId="4D8D728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2、合同执行中涉及采购资金和采购内容修改或者补充的，可签书面补充协议，作为主合同不可分割的一部分。</w:t>
      </w:r>
    </w:p>
    <w:p w14:paraId="467020F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3、本合同未尽事宜，遵照《中华人民共和国民法典》有关条文执行。</w:t>
      </w:r>
    </w:p>
    <w:p w14:paraId="56ACFE0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4、送达</w:t>
      </w:r>
    </w:p>
    <w:p w14:paraId="459AB7D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第本合同任何通知、主张、要求、请求或其他函件联系等均采用书面形式方为有效。书面文件可面呈，也可通过本合同约定的通讯地址、联系电话、挂号信或特快专递进行递送，通过面呈方式送达的，乙方确认乙方委托代理人的签收视为乙方签收。若甲乙双方产生诉讼，本合同约定的通讯地址、电子邮箱地址即为送达地址。</w:t>
      </w:r>
    </w:p>
    <w:p w14:paraId="5B8AEC99">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第十四条　合同的变更、终止与转让</w:t>
      </w:r>
    </w:p>
    <w:p w14:paraId="7BA3865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1、除《中华人民共和国政府采购法》第五十条规定的情形外，本合同一经签订，甲乙双方不得擅自变更、中止或者终止。</w:t>
      </w:r>
    </w:p>
    <w:p w14:paraId="4B65B2D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2、乙方不得擅自转让其应履行的合同义务。</w:t>
      </w:r>
    </w:p>
    <w:p w14:paraId="178B9A7C">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第十五条　签订本合同依据</w:t>
      </w:r>
    </w:p>
    <w:p w14:paraId="61B2447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1、中标通知书；</w:t>
      </w:r>
    </w:p>
    <w:p w14:paraId="0EFA472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2、开标一览表；</w:t>
      </w:r>
    </w:p>
    <w:p w14:paraId="3288718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3、商务要求偏离表和技术要求偏离表；</w:t>
      </w:r>
    </w:p>
    <w:p w14:paraId="3778BB3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4、服务方案；</w:t>
      </w:r>
    </w:p>
    <w:p w14:paraId="2DB1E42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5、投标文件中的其他相关文件。</w:t>
      </w:r>
    </w:p>
    <w:p w14:paraId="1C8B4D9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6、上述合同文件互相补充和解释。如果合同文件之间存在矛盾或者不一致之处，以上述文件的排列顺序在先者为准。</w:t>
      </w:r>
    </w:p>
    <w:p w14:paraId="272D73E0">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color w:val="auto"/>
          <w:szCs w:val="21"/>
        </w:rPr>
        <w:t>第十六条　</w:t>
      </w:r>
      <w:r>
        <w:rPr>
          <w:rFonts w:hint="eastAsia" w:ascii="仿宋" w:hAnsi="仿宋" w:eastAsia="仿宋" w:cs="仿宋"/>
          <w:color w:val="auto"/>
          <w:szCs w:val="21"/>
        </w:rPr>
        <w:t>本合同一式五份，具有同等法律效力，甲乙双方各两份（可根据需要另增加），采购代理机构存一份。</w:t>
      </w:r>
    </w:p>
    <w:p w14:paraId="15C32B2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本合同甲乙双方签字盖章后生效，自签订之日起七个工作日内，甲方应当将合同副本报同级财政部门备案。</w:t>
      </w:r>
    </w:p>
    <w:p w14:paraId="7B5C05C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本合同自签订之日起2个工作日内，甲方应当将采购合同在广西壮族自治区财政厅指定的媒体上公告。</w:t>
      </w:r>
    </w:p>
    <w:p w14:paraId="1457B357">
      <w:pPr>
        <w:spacing w:line="360" w:lineRule="auto"/>
        <w:ind w:firstLine="420" w:firstLineChars="200"/>
        <w:rPr>
          <w:rFonts w:hint="eastAsia" w:ascii="仿宋" w:hAnsi="仿宋" w:eastAsia="仿宋" w:cs="仿宋"/>
          <w:color w:val="auto"/>
          <w:szCs w:val="21"/>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53B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4516" w:type="dxa"/>
            <w:vAlign w:val="center"/>
          </w:tcPr>
          <w:p w14:paraId="0387BBB1">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甲方（章） 广西壮族自治区科学技术馆（广西青少年科技中心）  </w:t>
            </w:r>
          </w:p>
          <w:p w14:paraId="093839CA">
            <w:pPr>
              <w:snapToGrid w:val="0"/>
              <w:spacing w:line="360" w:lineRule="auto"/>
              <w:rPr>
                <w:rFonts w:hint="eastAsia" w:ascii="仿宋" w:hAnsi="仿宋" w:eastAsia="仿宋" w:cs="仿宋"/>
                <w:color w:val="auto"/>
                <w:szCs w:val="21"/>
              </w:rPr>
            </w:pPr>
          </w:p>
          <w:p w14:paraId="4D0DAE9B">
            <w:pPr>
              <w:snapToGrid w:val="0"/>
              <w:spacing w:line="360" w:lineRule="auto"/>
              <w:ind w:firstLine="945" w:firstLineChars="450"/>
              <w:jc w:val="right"/>
              <w:rPr>
                <w:rFonts w:hint="eastAsia" w:ascii="仿宋" w:hAnsi="仿宋" w:eastAsia="仿宋" w:cs="仿宋"/>
                <w:color w:val="auto"/>
                <w:szCs w:val="21"/>
              </w:rPr>
            </w:pPr>
            <w:r>
              <w:rPr>
                <w:rFonts w:hint="eastAsia" w:ascii="仿宋" w:hAnsi="仿宋" w:eastAsia="仿宋" w:cs="仿宋"/>
                <w:color w:val="auto"/>
                <w:szCs w:val="21"/>
              </w:rPr>
              <w:t>年   月   日</w:t>
            </w:r>
          </w:p>
        </w:tc>
        <w:tc>
          <w:tcPr>
            <w:tcW w:w="4517" w:type="dxa"/>
            <w:vAlign w:val="center"/>
          </w:tcPr>
          <w:p w14:paraId="20F0614D">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乙方（章）              </w:t>
            </w:r>
          </w:p>
          <w:p w14:paraId="40D19D84">
            <w:pPr>
              <w:snapToGrid w:val="0"/>
              <w:spacing w:line="360" w:lineRule="auto"/>
              <w:rPr>
                <w:rFonts w:hint="eastAsia" w:ascii="仿宋" w:hAnsi="仿宋" w:eastAsia="仿宋" w:cs="仿宋"/>
                <w:color w:val="auto"/>
                <w:szCs w:val="21"/>
              </w:rPr>
            </w:pPr>
          </w:p>
          <w:p w14:paraId="4494A2ED">
            <w:pPr>
              <w:snapToGrid w:val="0"/>
              <w:spacing w:line="360" w:lineRule="auto"/>
              <w:jc w:val="right"/>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r w14:paraId="7D53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1A3A16BE">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单位地址：广西南宁市青秀区民族大道20号</w:t>
            </w:r>
          </w:p>
        </w:tc>
        <w:tc>
          <w:tcPr>
            <w:tcW w:w="4517" w:type="dxa"/>
            <w:vAlign w:val="center"/>
          </w:tcPr>
          <w:p w14:paraId="41874446">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单位地址：</w:t>
            </w:r>
          </w:p>
        </w:tc>
      </w:tr>
      <w:tr w14:paraId="79EB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516" w:type="dxa"/>
          </w:tcPr>
          <w:p w14:paraId="7773B5C2">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法定代表人或者委托代理人：</w:t>
            </w:r>
          </w:p>
        </w:tc>
        <w:tc>
          <w:tcPr>
            <w:tcW w:w="4517" w:type="dxa"/>
          </w:tcPr>
          <w:p w14:paraId="2D10D5EE">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法定代表人或者委托代理人：</w:t>
            </w:r>
          </w:p>
        </w:tc>
      </w:tr>
      <w:tr w14:paraId="1721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65677F14">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电话：</w:t>
            </w:r>
          </w:p>
        </w:tc>
        <w:tc>
          <w:tcPr>
            <w:tcW w:w="4517" w:type="dxa"/>
            <w:vAlign w:val="center"/>
          </w:tcPr>
          <w:p w14:paraId="4E831DF9">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电话：</w:t>
            </w:r>
          </w:p>
        </w:tc>
      </w:tr>
      <w:tr w14:paraId="398F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024463A8">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电子邮箱：</w:t>
            </w:r>
          </w:p>
        </w:tc>
        <w:tc>
          <w:tcPr>
            <w:tcW w:w="4517" w:type="dxa"/>
            <w:vAlign w:val="center"/>
          </w:tcPr>
          <w:p w14:paraId="14AFDBC8">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电子邮箱：</w:t>
            </w:r>
          </w:p>
        </w:tc>
      </w:tr>
      <w:tr w14:paraId="5D19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47AB66B7">
            <w:pPr>
              <w:snapToGrid w:val="0"/>
              <w:spacing w:line="436" w:lineRule="exact"/>
              <w:rPr>
                <w:rFonts w:hint="eastAsia" w:ascii="仿宋" w:hAnsi="仿宋" w:eastAsia="仿宋" w:cs="仿宋"/>
                <w:color w:val="auto"/>
                <w:szCs w:val="21"/>
              </w:rPr>
            </w:pPr>
            <w:r>
              <w:rPr>
                <w:rFonts w:hint="eastAsia" w:ascii="仿宋" w:hAnsi="仿宋" w:eastAsia="仿宋" w:cs="仿宋"/>
                <w:color w:val="auto"/>
                <w:szCs w:val="21"/>
              </w:rPr>
              <w:t>开户银行：</w:t>
            </w:r>
          </w:p>
        </w:tc>
        <w:tc>
          <w:tcPr>
            <w:tcW w:w="4517" w:type="dxa"/>
            <w:vAlign w:val="center"/>
          </w:tcPr>
          <w:p w14:paraId="159054FF">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开户银行：</w:t>
            </w:r>
          </w:p>
        </w:tc>
      </w:tr>
      <w:tr w14:paraId="6BFD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360F0446">
            <w:pPr>
              <w:snapToGrid w:val="0"/>
              <w:spacing w:line="436" w:lineRule="exact"/>
              <w:rPr>
                <w:rFonts w:hint="eastAsia" w:ascii="仿宋" w:hAnsi="仿宋" w:eastAsia="仿宋" w:cs="仿宋"/>
                <w:color w:val="auto"/>
                <w:szCs w:val="21"/>
              </w:rPr>
            </w:pPr>
            <w:r>
              <w:rPr>
                <w:rFonts w:hint="eastAsia" w:ascii="仿宋" w:hAnsi="仿宋" w:eastAsia="仿宋" w:cs="仿宋"/>
                <w:color w:val="auto"/>
                <w:szCs w:val="21"/>
              </w:rPr>
              <w:t>账号：</w:t>
            </w:r>
          </w:p>
        </w:tc>
        <w:tc>
          <w:tcPr>
            <w:tcW w:w="4517" w:type="dxa"/>
            <w:vAlign w:val="center"/>
          </w:tcPr>
          <w:p w14:paraId="7923C306">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账号：</w:t>
            </w:r>
          </w:p>
        </w:tc>
      </w:tr>
      <w:tr w14:paraId="17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516" w:type="dxa"/>
            <w:vAlign w:val="center"/>
          </w:tcPr>
          <w:p w14:paraId="7F3A9713">
            <w:pPr>
              <w:snapToGrid w:val="0"/>
              <w:spacing w:line="436" w:lineRule="exact"/>
              <w:rPr>
                <w:rFonts w:hint="eastAsia" w:ascii="仿宋" w:hAnsi="仿宋" w:eastAsia="仿宋" w:cs="仿宋"/>
                <w:color w:val="auto"/>
                <w:szCs w:val="21"/>
              </w:rPr>
            </w:pPr>
            <w:r>
              <w:rPr>
                <w:rFonts w:hint="eastAsia" w:ascii="仿宋" w:hAnsi="仿宋" w:eastAsia="仿宋" w:cs="仿宋"/>
                <w:color w:val="auto"/>
                <w:szCs w:val="21"/>
              </w:rPr>
              <w:t xml:space="preserve">邮政编码： </w:t>
            </w:r>
          </w:p>
        </w:tc>
        <w:tc>
          <w:tcPr>
            <w:tcW w:w="4517" w:type="dxa"/>
            <w:vAlign w:val="center"/>
          </w:tcPr>
          <w:p w14:paraId="05C2A5B9">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邮政编码：</w:t>
            </w:r>
          </w:p>
        </w:tc>
      </w:tr>
    </w:tbl>
    <w:p w14:paraId="4D0459F0">
      <w:pPr>
        <w:snapToGrid w:val="0"/>
        <w:jc w:val="center"/>
        <w:rPr>
          <w:rFonts w:hint="eastAsia" w:ascii="仿宋" w:hAnsi="仿宋" w:eastAsia="仿宋" w:cs="仿宋"/>
          <w:bCs/>
          <w:color w:val="auto"/>
          <w:sz w:val="32"/>
          <w:szCs w:val="32"/>
        </w:rPr>
      </w:pPr>
    </w:p>
    <w:bookmarkEnd w:id="153"/>
    <w:p w14:paraId="3AFB1B16">
      <w:pPr>
        <w:snapToGrid w:val="0"/>
        <w:spacing w:line="480" w:lineRule="auto"/>
        <w:rPr>
          <w:rFonts w:hint="eastAsia" w:ascii="仿宋" w:hAnsi="仿宋" w:eastAsia="仿宋" w:cs="仿宋"/>
          <w:bCs/>
          <w:color w:val="auto"/>
          <w:sz w:val="32"/>
          <w:szCs w:val="32"/>
        </w:rPr>
      </w:pPr>
      <w:r>
        <w:rPr>
          <w:rFonts w:hint="eastAsia" w:ascii="仿宋" w:hAnsi="仿宋" w:eastAsia="仿宋" w:cs="仿宋"/>
          <w:bCs/>
          <w:color w:val="auto"/>
          <w:sz w:val="32"/>
          <w:szCs w:val="32"/>
        </w:rPr>
        <w:br w:type="page"/>
      </w:r>
    </w:p>
    <w:p w14:paraId="4E4AFF19">
      <w:pPr>
        <w:snapToGrid w:val="0"/>
        <w:jc w:val="center"/>
        <w:rPr>
          <w:rFonts w:hint="eastAsia" w:ascii="仿宋" w:hAnsi="仿宋" w:eastAsia="仿宋" w:cs="仿宋"/>
          <w:bCs/>
          <w:color w:val="auto"/>
          <w:sz w:val="32"/>
          <w:szCs w:val="32"/>
        </w:rPr>
      </w:pPr>
    </w:p>
    <w:p w14:paraId="2E292F56">
      <w:pPr>
        <w:snapToGrid w:val="0"/>
        <w:jc w:val="center"/>
        <w:rPr>
          <w:rFonts w:hint="eastAsia" w:ascii="仿宋" w:hAnsi="仿宋" w:eastAsia="仿宋" w:cs="仿宋"/>
          <w:bCs/>
          <w:color w:val="auto"/>
          <w:sz w:val="32"/>
          <w:szCs w:val="32"/>
        </w:rPr>
      </w:pPr>
    </w:p>
    <w:p w14:paraId="7D09B421">
      <w:pPr>
        <w:snapToGrid w:val="0"/>
        <w:jc w:val="center"/>
        <w:rPr>
          <w:rFonts w:hint="eastAsia" w:ascii="仿宋" w:hAnsi="仿宋" w:eastAsia="仿宋" w:cs="仿宋"/>
          <w:bCs/>
          <w:color w:val="auto"/>
          <w:sz w:val="32"/>
          <w:szCs w:val="32"/>
        </w:rPr>
      </w:pPr>
    </w:p>
    <w:p w14:paraId="78505789">
      <w:pPr>
        <w:snapToGrid w:val="0"/>
        <w:jc w:val="center"/>
        <w:rPr>
          <w:rFonts w:hint="eastAsia" w:ascii="仿宋" w:hAnsi="仿宋" w:eastAsia="仿宋" w:cs="仿宋"/>
          <w:bCs/>
          <w:color w:val="auto"/>
          <w:sz w:val="32"/>
          <w:szCs w:val="32"/>
        </w:rPr>
      </w:pPr>
    </w:p>
    <w:p w14:paraId="3D3B2538">
      <w:pPr>
        <w:snapToGrid w:val="0"/>
        <w:jc w:val="center"/>
        <w:rPr>
          <w:rFonts w:hint="eastAsia" w:ascii="仿宋" w:hAnsi="仿宋" w:eastAsia="仿宋" w:cs="仿宋"/>
          <w:bCs/>
          <w:color w:val="auto"/>
          <w:sz w:val="32"/>
          <w:szCs w:val="32"/>
        </w:rPr>
      </w:pPr>
    </w:p>
    <w:p w14:paraId="210FB854">
      <w:pPr>
        <w:snapToGrid w:val="0"/>
        <w:jc w:val="center"/>
        <w:rPr>
          <w:rFonts w:hint="eastAsia" w:ascii="仿宋" w:hAnsi="仿宋" w:eastAsia="仿宋" w:cs="仿宋"/>
          <w:bCs/>
          <w:color w:val="auto"/>
          <w:sz w:val="32"/>
          <w:szCs w:val="32"/>
        </w:rPr>
      </w:pPr>
    </w:p>
    <w:p w14:paraId="731F1FF7">
      <w:pPr>
        <w:snapToGrid w:val="0"/>
        <w:jc w:val="center"/>
        <w:rPr>
          <w:rFonts w:hint="eastAsia" w:ascii="仿宋" w:hAnsi="仿宋" w:eastAsia="仿宋" w:cs="仿宋"/>
          <w:bCs/>
          <w:color w:val="auto"/>
          <w:sz w:val="32"/>
          <w:szCs w:val="32"/>
        </w:rPr>
      </w:pPr>
    </w:p>
    <w:p w14:paraId="0C1A4271">
      <w:pPr>
        <w:snapToGrid w:val="0"/>
        <w:jc w:val="center"/>
        <w:rPr>
          <w:rFonts w:hint="eastAsia" w:ascii="仿宋" w:hAnsi="仿宋" w:eastAsia="仿宋" w:cs="仿宋"/>
          <w:bCs/>
          <w:color w:val="auto"/>
          <w:sz w:val="32"/>
          <w:szCs w:val="32"/>
        </w:rPr>
      </w:pPr>
    </w:p>
    <w:p w14:paraId="66739854">
      <w:pPr>
        <w:snapToGrid w:val="0"/>
        <w:jc w:val="center"/>
        <w:rPr>
          <w:rFonts w:hint="eastAsia" w:ascii="仿宋" w:hAnsi="仿宋" w:eastAsia="仿宋" w:cs="仿宋"/>
          <w:bCs/>
          <w:color w:val="auto"/>
          <w:sz w:val="32"/>
          <w:szCs w:val="32"/>
        </w:rPr>
      </w:pPr>
    </w:p>
    <w:p w14:paraId="7BA7BFF4">
      <w:pPr>
        <w:snapToGrid w:val="0"/>
        <w:jc w:val="center"/>
        <w:rPr>
          <w:rFonts w:hint="eastAsia" w:ascii="仿宋" w:hAnsi="仿宋" w:eastAsia="仿宋" w:cs="仿宋"/>
          <w:bCs/>
          <w:color w:val="auto"/>
          <w:sz w:val="32"/>
          <w:szCs w:val="32"/>
        </w:rPr>
      </w:pPr>
    </w:p>
    <w:p w14:paraId="6D7BF3FE">
      <w:pPr>
        <w:snapToGrid w:val="0"/>
        <w:jc w:val="center"/>
        <w:rPr>
          <w:rFonts w:hint="eastAsia" w:ascii="仿宋" w:hAnsi="仿宋" w:eastAsia="仿宋" w:cs="仿宋"/>
          <w:bCs/>
          <w:color w:val="auto"/>
          <w:sz w:val="32"/>
          <w:szCs w:val="32"/>
        </w:rPr>
      </w:pPr>
    </w:p>
    <w:p w14:paraId="474C36F5">
      <w:pPr>
        <w:pStyle w:val="2"/>
        <w:jc w:val="center"/>
        <w:rPr>
          <w:rFonts w:hint="eastAsia" w:ascii="仿宋" w:hAnsi="仿宋" w:eastAsia="仿宋" w:cs="仿宋"/>
          <w:color w:val="auto"/>
        </w:rPr>
      </w:pPr>
      <w:bookmarkStart w:id="154" w:name="_Toc74320805"/>
      <w:r>
        <w:rPr>
          <w:rFonts w:hint="eastAsia" w:ascii="仿宋" w:hAnsi="仿宋" w:eastAsia="仿宋" w:cs="仿宋"/>
          <w:color w:val="auto"/>
        </w:rPr>
        <w:t>第六章　投标文件格式</w:t>
      </w:r>
      <w:bookmarkEnd w:id="154"/>
    </w:p>
    <w:p w14:paraId="51E52D32">
      <w:pPr>
        <w:snapToGrid w:val="0"/>
        <w:spacing w:before="50" w:after="50"/>
        <w:outlineLvl w:val="1"/>
        <w:rPr>
          <w:rFonts w:hint="eastAsia" w:ascii="仿宋" w:hAnsi="仿宋" w:eastAsia="仿宋" w:cs="仿宋"/>
          <w:color w:val="auto"/>
          <w:sz w:val="32"/>
          <w:szCs w:val="20"/>
        </w:rPr>
      </w:pPr>
    </w:p>
    <w:p w14:paraId="6003A8FC">
      <w:pPr>
        <w:snapToGrid w:val="0"/>
        <w:spacing w:before="50" w:after="50"/>
        <w:outlineLvl w:val="1"/>
        <w:rPr>
          <w:rFonts w:hint="eastAsia" w:ascii="仿宋" w:hAnsi="仿宋" w:eastAsia="仿宋" w:cs="仿宋"/>
          <w:color w:val="auto"/>
          <w:sz w:val="32"/>
          <w:szCs w:val="20"/>
        </w:rPr>
      </w:pPr>
    </w:p>
    <w:p w14:paraId="0776B2E0">
      <w:pPr>
        <w:snapToGrid w:val="0"/>
        <w:spacing w:before="50" w:after="50"/>
        <w:outlineLvl w:val="1"/>
        <w:rPr>
          <w:rFonts w:hint="eastAsia" w:ascii="仿宋" w:hAnsi="仿宋" w:eastAsia="仿宋" w:cs="仿宋"/>
          <w:color w:val="auto"/>
          <w:sz w:val="32"/>
          <w:szCs w:val="20"/>
        </w:rPr>
      </w:pPr>
    </w:p>
    <w:p w14:paraId="6FB9015B">
      <w:pPr>
        <w:snapToGrid w:val="0"/>
        <w:spacing w:before="50" w:after="50"/>
        <w:outlineLvl w:val="1"/>
        <w:rPr>
          <w:rFonts w:hint="eastAsia" w:ascii="仿宋" w:hAnsi="仿宋" w:eastAsia="仿宋" w:cs="仿宋"/>
          <w:color w:val="auto"/>
          <w:sz w:val="32"/>
          <w:szCs w:val="20"/>
        </w:rPr>
      </w:pPr>
    </w:p>
    <w:p w14:paraId="2775F2ED">
      <w:pPr>
        <w:snapToGrid w:val="0"/>
        <w:spacing w:before="50" w:after="50"/>
        <w:outlineLvl w:val="1"/>
        <w:rPr>
          <w:rFonts w:hint="eastAsia" w:ascii="仿宋" w:hAnsi="仿宋" w:eastAsia="仿宋" w:cs="仿宋"/>
          <w:color w:val="auto"/>
          <w:sz w:val="32"/>
          <w:szCs w:val="20"/>
        </w:rPr>
      </w:pPr>
    </w:p>
    <w:p w14:paraId="72F5331B">
      <w:pPr>
        <w:snapToGrid w:val="0"/>
        <w:spacing w:before="50" w:after="50"/>
        <w:outlineLvl w:val="1"/>
        <w:rPr>
          <w:rFonts w:hint="eastAsia" w:ascii="仿宋" w:hAnsi="仿宋" w:eastAsia="仿宋" w:cs="仿宋"/>
          <w:color w:val="auto"/>
          <w:sz w:val="32"/>
          <w:szCs w:val="20"/>
        </w:rPr>
      </w:pPr>
    </w:p>
    <w:p w14:paraId="43B677D0">
      <w:pPr>
        <w:snapToGrid w:val="0"/>
        <w:spacing w:before="50" w:after="50"/>
        <w:outlineLvl w:val="1"/>
        <w:rPr>
          <w:rFonts w:hint="eastAsia" w:ascii="仿宋" w:hAnsi="仿宋" w:eastAsia="仿宋" w:cs="仿宋"/>
          <w:color w:val="auto"/>
          <w:sz w:val="32"/>
          <w:szCs w:val="20"/>
        </w:rPr>
      </w:pPr>
    </w:p>
    <w:p w14:paraId="4A1F3AB5">
      <w:pPr>
        <w:snapToGrid w:val="0"/>
        <w:spacing w:before="50" w:after="50"/>
        <w:outlineLvl w:val="1"/>
        <w:rPr>
          <w:rFonts w:hint="eastAsia" w:ascii="仿宋" w:hAnsi="仿宋" w:eastAsia="仿宋" w:cs="仿宋"/>
          <w:color w:val="auto"/>
          <w:sz w:val="32"/>
          <w:szCs w:val="20"/>
        </w:rPr>
      </w:pPr>
    </w:p>
    <w:p w14:paraId="2B1C0AEC">
      <w:pPr>
        <w:snapToGrid w:val="0"/>
        <w:spacing w:before="50" w:after="50"/>
        <w:outlineLvl w:val="1"/>
        <w:rPr>
          <w:rFonts w:hint="eastAsia" w:ascii="仿宋" w:hAnsi="仿宋" w:eastAsia="仿宋" w:cs="仿宋"/>
          <w:color w:val="auto"/>
          <w:sz w:val="32"/>
          <w:szCs w:val="20"/>
        </w:rPr>
      </w:pPr>
    </w:p>
    <w:p w14:paraId="6DDBB90D">
      <w:pPr>
        <w:snapToGrid w:val="0"/>
        <w:spacing w:before="50" w:after="50"/>
        <w:outlineLvl w:val="1"/>
        <w:rPr>
          <w:rFonts w:hint="eastAsia" w:ascii="仿宋" w:hAnsi="仿宋" w:eastAsia="仿宋" w:cs="仿宋"/>
          <w:color w:val="auto"/>
          <w:sz w:val="32"/>
          <w:szCs w:val="20"/>
        </w:rPr>
      </w:pPr>
    </w:p>
    <w:p w14:paraId="21572634">
      <w:pPr>
        <w:snapToGrid w:val="0"/>
        <w:spacing w:before="50" w:after="50"/>
        <w:outlineLvl w:val="1"/>
        <w:rPr>
          <w:rFonts w:hint="eastAsia" w:ascii="仿宋" w:hAnsi="仿宋" w:eastAsia="仿宋" w:cs="仿宋"/>
          <w:color w:val="auto"/>
          <w:sz w:val="32"/>
          <w:szCs w:val="20"/>
        </w:rPr>
      </w:pPr>
    </w:p>
    <w:p w14:paraId="276163BF">
      <w:pPr>
        <w:snapToGrid w:val="0"/>
        <w:spacing w:before="120" w:beforeLines="50" w:after="50"/>
        <w:jc w:val="center"/>
        <w:outlineLvl w:val="1"/>
        <w:rPr>
          <w:rFonts w:hint="eastAsia" w:ascii="仿宋" w:hAnsi="仿宋" w:eastAsia="仿宋" w:cs="仿宋"/>
          <w:color w:val="auto"/>
        </w:rPr>
      </w:pPr>
    </w:p>
    <w:p w14:paraId="5E3C5B78">
      <w:pPr>
        <w:rPr>
          <w:rFonts w:hint="eastAsia" w:ascii="仿宋" w:hAnsi="仿宋" w:eastAsia="仿宋" w:cs="仿宋"/>
          <w:b/>
          <w:color w:val="auto"/>
          <w:sz w:val="28"/>
          <w:szCs w:val="28"/>
        </w:rPr>
      </w:pPr>
      <w:bookmarkStart w:id="155" w:name="_Toc19686836"/>
      <w:bookmarkStart w:id="156" w:name="_Toc254970698"/>
      <w:bookmarkStart w:id="157" w:name="_Toc254970557"/>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一、报价文件格式</w:t>
      </w:r>
      <w:bookmarkEnd w:id="155"/>
    </w:p>
    <w:p w14:paraId="4C8DF691">
      <w:pPr>
        <w:snapToGrid w:val="0"/>
        <w:spacing w:before="120" w:beforeLines="50" w:after="50" w:line="360" w:lineRule="auto"/>
        <w:ind w:left="142"/>
        <w:jc w:val="left"/>
        <w:rPr>
          <w:rFonts w:hint="eastAsia" w:ascii="仿宋" w:hAnsi="仿宋" w:eastAsia="仿宋" w:cs="仿宋"/>
          <w:color w:val="auto"/>
          <w:sz w:val="24"/>
          <w:szCs w:val="20"/>
        </w:rPr>
      </w:pPr>
      <w:r>
        <w:rPr>
          <w:rFonts w:hint="eastAsia" w:ascii="仿宋" w:hAnsi="仿宋" w:eastAsia="仿宋" w:cs="仿宋"/>
          <w:b/>
          <w:color w:val="auto"/>
          <w:sz w:val="24"/>
        </w:rPr>
        <w:t xml:space="preserve">1. 报价文件封面格式： </w:t>
      </w:r>
    </w:p>
    <w:p w14:paraId="7D38E8B2">
      <w:pPr>
        <w:snapToGrid w:val="0"/>
        <w:spacing w:before="120" w:beforeLines="50" w:after="50" w:line="400" w:lineRule="exact"/>
        <w:rPr>
          <w:rFonts w:hint="eastAsia" w:ascii="仿宋" w:hAnsi="仿宋" w:eastAsia="仿宋" w:cs="仿宋"/>
          <w:bCs/>
          <w:color w:val="auto"/>
          <w:sz w:val="32"/>
          <w:szCs w:val="20"/>
        </w:rPr>
      </w:pPr>
      <w:r>
        <w:rPr>
          <w:rFonts w:hint="eastAsia" w:ascii="仿宋" w:hAnsi="仿宋" w:eastAsia="仿宋" w:cs="仿宋"/>
          <w:color w:val="auto"/>
          <w:sz w:val="24"/>
        </w:rPr>
        <w:t xml:space="preserve">                                                   </w:t>
      </w:r>
    </w:p>
    <w:p w14:paraId="0B43F492">
      <w:pPr>
        <w:snapToGrid w:val="0"/>
        <w:spacing w:before="120" w:beforeLines="50" w:after="50" w:line="400" w:lineRule="exact"/>
        <w:jc w:val="center"/>
        <w:rPr>
          <w:rFonts w:hint="eastAsia" w:ascii="仿宋" w:hAnsi="仿宋" w:eastAsia="仿宋" w:cs="仿宋"/>
          <w:bCs/>
          <w:color w:val="auto"/>
          <w:sz w:val="24"/>
          <w:szCs w:val="20"/>
        </w:rPr>
      </w:pPr>
    </w:p>
    <w:p w14:paraId="490A3AEA">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2882ED7D">
      <w:pPr>
        <w:snapToGrid w:val="0"/>
        <w:spacing w:before="120" w:beforeLines="50" w:after="50" w:line="400" w:lineRule="exact"/>
        <w:jc w:val="center"/>
        <w:rPr>
          <w:rFonts w:hint="eastAsia" w:ascii="仿宋" w:hAnsi="仿宋" w:eastAsia="仿宋" w:cs="仿宋"/>
          <w:bCs/>
          <w:color w:val="auto"/>
          <w:sz w:val="32"/>
          <w:szCs w:val="32"/>
        </w:rPr>
      </w:pPr>
    </w:p>
    <w:p w14:paraId="41DD9D04">
      <w:pPr>
        <w:snapToGrid w:val="0"/>
        <w:spacing w:before="120" w:beforeLines="50" w:after="50"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报  价  文  件</w:t>
      </w:r>
    </w:p>
    <w:p w14:paraId="6DDD7CAA">
      <w:pPr>
        <w:snapToGrid w:val="0"/>
        <w:spacing w:before="120" w:beforeLines="50" w:after="50" w:line="400" w:lineRule="exact"/>
        <w:rPr>
          <w:rFonts w:hint="eastAsia" w:ascii="仿宋" w:hAnsi="仿宋" w:eastAsia="仿宋" w:cs="仿宋"/>
          <w:bCs/>
          <w:color w:val="auto"/>
          <w:sz w:val="24"/>
          <w:szCs w:val="20"/>
        </w:rPr>
      </w:pPr>
    </w:p>
    <w:p w14:paraId="65047A45">
      <w:pPr>
        <w:snapToGrid w:val="0"/>
        <w:spacing w:before="120" w:beforeLines="50" w:after="50" w:line="400" w:lineRule="exact"/>
        <w:rPr>
          <w:rFonts w:hint="eastAsia" w:ascii="仿宋" w:hAnsi="仿宋" w:eastAsia="仿宋" w:cs="仿宋"/>
          <w:bCs/>
          <w:color w:val="auto"/>
          <w:sz w:val="24"/>
          <w:szCs w:val="20"/>
        </w:rPr>
      </w:pPr>
    </w:p>
    <w:p w14:paraId="77D39449">
      <w:pPr>
        <w:snapToGrid w:val="0"/>
        <w:spacing w:before="120" w:beforeLines="50" w:after="50" w:line="400" w:lineRule="exact"/>
        <w:rPr>
          <w:rFonts w:hint="eastAsia" w:ascii="仿宋" w:hAnsi="仿宋" w:eastAsia="仿宋" w:cs="仿宋"/>
          <w:bCs/>
          <w:color w:val="auto"/>
          <w:sz w:val="24"/>
          <w:szCs w:val="20"/>
        </w:rPr>
      </w:pPr>
    </w:p>
    <w:p w14:paraId="0AECB1F4">
      <w:pPr>
        <w:snapToGrid w:val="0"/>
        <w:spacing w:before="120" w:beforeLines="50" w:after="50" w:line="400" w:lineRule="exact"/>
        <w:rPr>
          <w:rFonts w:hint="eastAsia" w:ascii="仿宋" w:hAnsi="仿宋" w:eastAsia="仿宋" w:cs="仿宋"/>
          <w:bCs/>
          <w:color w:val="auto"/>
          <w:sz w:val="24"/>
          <w:szCs w:val="20"/>
        </w:rPr>
      </w:pPr>
    </w:p>
    <w:p w14:paraId="357393D1">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项目名称： </w:t>
      </w:r>
    </w:p>
    <w:p w14:paraId="2DFA78EA">
      <w:pPr>
        <w:snapToGrid w:val="0"/>
        <w:spacing w:before="120" w:beforeLines="50" w:after="50" w:line="400" w:lineRule="exact"/>
        <w:ind w:firstLine="360" w:firstLineChars="150"/>
        <w:rPr>
          <w:rFonts w:hint="eastAsia" w:ascii="仿宋" w:hAnsi="仿宋" w:eastAsia="仿宋" w:cs="仿宋"/>
          <w:bCs/>
          <w:color w:val="auto"/>
          <w:sz w:val="24"/>
        </w:rPr>
      </w:pPr>
    </w:p>
    <w:p w14:paraId="7CFD877D">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项目编号： </w:t>
      </w:r>
    </w:p>
    <w:p w14:paraId="2543C87D">
      <w:pPr>
        <w:snapToGrid w:val="0"/>
        <w:spacing w:before="120" w:beforeLines="50" w:after="50" w:line="400" w:lineRule="exact"/>
        <w:ind w:firstLine="360" w:firstLineChars="150"/>
        <w:rPr>
          <w:rFonts w:hint="eastAsia" w:ascii="仿宋" w:hAnsi="仿宋" w:eastAsia="仿宋" w:cs="仿宋"/>
          <w:bCs/>
          <w:color w:val="auto"/>
          <w:sz w:val="24"/>
        </w:rPr>
      </w:pPr>
    </w:p>
    <w:p w14:paraId="346F237A">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所投分标：</w:t>
      </w:r>
    </w:p>
    <w:p w14:paraId="26B0BE69">
      <w:pPr>
        <w:snapToGrid w:val="0"/>
        <w:spacing w:before="120" w:beforeLines="50" w:after="50" w:line="400" w:lineRule="exact"/>
        <w:ind w:firstLine="360" w:firstLineChars="150"/>
        <w:rPr>
          <w:rFonts w:hint="eastAsia" w:ascii="仿宋" w:hAnsi="仿宋" w:eastAsia="仿宋" w:cs="仿宋"/>
          <w:bCs/>
          <w:color w:val="auto"/>
          <w:sz w:val="24"/>
        </w:rPr>
      </w:pPr>
    </w:p>
    <w:p w14:paraId="658599BC">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投标人名称：</w:t>
      </w:r>
    </w:p>
    <w:p w14:paraId="5167A819">
      <w:pPr>
        <w:snapToGrid w:val="0"/>
        <w:spacing w:before="120" w:beforeLines="50" w:after="50" w:line="400" w:lineRule="exact"/>
        <w:ind w:firstLine="360" w:firstLineChars="150"/>
        <w:rPr>
          <w:rFonts w:hint="eastAsia" w:ascii="仿宋" w:hAnsi="仿宋" w:eastAsia="仿宋" w:cs="仿宋"/>
          <w:bCs/>
          <w:color w:val="auto"/>
          <w:sz w:val="24"/>
        </w:rPr>
      </w:pPr>
    </w:p>
    <w:p w14:paraId="10A8A904">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投标人地址：</w:t>
      </w:r>
    </w:p>
    <w:p w14:paraId="3168C171">
      <w:pPr>
        <w:pStyle w:val="6"/>
        <w:snapToGrid w:val="0"/>
        <w:spacing w:before="50" w:after="50" w:line="400" w:lineRule="exact"/>
        <w:ind w:firstLine="960" w:firstLineChars="400"/>
        <w:rPr>
          <w:rFonts w:hint="eastAsia" w:ascii="仿宋" w:hAnsi="仿宋" w:eastAsia="仿宋" w:cs="仿宋"/>
          <w:bCs/>
          <w:color w:val="auto"/>
          <w:sz w:val="24"/>
          <w:szCs w:val="24"/>
        </w:rPr>
      </w:pPr>
    </w:p>
    <w:p w14:paraId="1AD1CE5D">
      <w:pPr>
        <w:snapToGrid w:val="0"/>
        <w:spacing w:before="120" w:beforeLines="50" w:after="50" w:line="400" w:lineRule="exact"/>
        <w:rPr>
          <w:rFonts w:hint="eastAsia" w:ascii="仿宋" w:hAnsi="仿宋" w:eastAsia="仿宋" w:cs="仿宋"/>
          <w:color w:val="auto"/>
          <w:sz w:val="30"/>
          <w:szCs w:val="20"/>
        </w:rPr>
      </w:pPr>
      <w:r>
        <w:rPr>
          <w:rFonts w:hint="eastAsia" w:ascii="仿宋" w:hAnsi="仿宋" w:eastAsia="仿宋" w:cs="仿宋"/>
          <w:color w:val="auto"/>
          <w:sz w:val="24"/>
        </w:rPr>
        <w:t xml:space="preserve">                                   年  月  日</w:t>
      </w:r>
    </w:p>
    <w:p w14:paraId="7DE6961B">
      <w:pPr>
        <w:snapToGrid w:val="0"/>
        <w:spacing w:before="120" w:beforeLines="50" w:after="50" w:line="360" w:lineRule="auto"/>
        <w:jc w:val="left"/>
        <w:rPr>
          <w:rFonts w:hint="eastAsia" w:ascii="仿宋" w:hAnsi="仿宋" w:eastAsia="仿宋" w:cs="仿宋"/>
          <w:color w:val="auto"/>
          <w:sz w:val="24"/>
          <w:szCs w:val="20"/>
        </w:rPr>
      </w:pPr>
      <w:r>
        <w:rPr>
          <w:rFonts w:hint="eastAsia" w:ascii="仿宋" w:hAnsi="仿宋" w:eastAsia="仿宋" w:cs="仿宋"/>
          <w:b/>
          <w:color w:val="auto"/>
          <w:sz w:val="24"/>
        </w:rPr>
        <w:br w:type="page"/>
      </w:r>
      <w:r>
        <w:rPr>
          <w:rFonts w:hint="eastAsia" w:ascii="仿宋" w:hAnsi="仿宋" w:eastAsia="仿宋" w:cs="仿宋"/>
          <w:b/>
          <w:color w:val="auto"/>
          <w:sz w:val="24"/>
        </w:rPr>
        <w:t>2.</w:t>
      </w:r>
      <w:r>
        <w:rPr>
          <w:rFonts w:hint="eastAsia" w:ascii="仿宋" w:hAnsi="仿宋" w:eastAsia="仿宋" w:cs="仿宋"/>
          <w:b/>
          <w:bCs/>
          <w:color w:val="auto"/>
          <w:sz w:val="24"/>
        </w:rPr>
        <w:t>报价文件目录</w:t>
      </w:r>
    </w:p>
    <w:p w14:paraId="12197F39">
      <w:pPr>
        <w:snapToGrid w:val="0"/>
        <w:spacing w:before="50" w:after="120" w:afterLines="50" w:line="360" w:lineRule="auto"/>
        <w:jc w:val="left"/>
        <w:rPr>
          <w:rFonts w:hint="eastAsia" w:ascii="仿宋" w:hAnsi="仿宋" w:eastAsia="仿宋" w:cs="仿宋"/>
          <w:b/>
          <w:color w:val="auto"/>
          <w:sz w:val="24"/>
        </w:rPr>
      </w:pPr>
      <w:r>
        <w:rPr>
          <w:rFonts w:hint="eastAsia" w:ascii="仿宋" w:hAnsi="仿宋" w:eastAsia="仿宋" w:cs="仿宋"/>
          <w:color w:val="auto"/>
          <w:szCs w:val="21"/>
        </w:rPr>
        <w:t>根据招标文件规定及投标人提供的材料自行编写目录。</w:t>
      </w:r>
    </w:p>
    <w:p w14:paraId="77327975">
      <w:pPr>
        <w:snapToGrid w:val="0"/>
        <w:spacing w:before="120" w:beforeLines="50" w:after="50"/>
        <w:rPr>
          <w:rFonts w:hint="eastAsia" w:ascii="仿宋" w:hAnsi="仿宋" w:eastAsia="仿宋" w:cs="仿宋"/>
          <w:b/>
          <w:color w:val="auto"/>
          <w:sz w:val="24"/>
        </w:rPr>
      </w:pPr>
    </w:p>
    <w:p w14:paraId="666A6FD8">
      <w:pPr>
        <w:snapToGrid w:val="0"/>
        <w:spacing w:before="120" w:beforeLines="50" w:after="50"/>
        <w:rPr>
          <w:rFonts w:hint="eastAsia" w:ascii="仿宋" w:hAnsi="仿宋" w:eastAsia="仿宋" w:cs="仿宋"/>
          <w:b/>
          <w:color w:val="auto"/>
          <w:sz w:val="24"/>
        </w:rPr>
      </w:pPr>
    </w:p>
    <w:p w14:paraId="1C519281">
      <w:pPr>
        <w:snapToGrid w:val="0"/>
        <w:spacing w:before="120" w:beforeLines="50" w:after="50"/>
        <w:rPr>
          <w:rFonts w:hint="eastAsia" w:ascii="仿宋" w:hAnsi="仿宋" w:eastAsia="仿宋" w:cs="仿宋"/>
          <w:b/>
          <w:color w:val="auto"/>
          <w:sz w:val="24"/>
        </w:rPr>
      </w:pPr>
    </w:p>
    <w:p w14:paraId="006E1AF6">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 投标函格式：</w:t>
      </w:r>
    </w:p>
    <w:p w14:paraId="1B0CF668">
      <w:pPr>
        <w:snapToGrid w:val="0"/>
        <w:spacing w:before="120" w:beforeLines="50" w:after="50" w:line="360" w:lineRule="auto"/>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投 标 函</w:t>
      </w:r>
    </w:p>
    <w:p w14:paraId="5B55BF9C">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采购人名称</w:t>
      </w:r>
    </w:p>
    <w:p w14:paraId="03A4A21F">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rPr>
        <w:t>根据贵方</w:t>
      </w:r>
      <w:r>
        <w:rPr>
          <w:rFonts w:hint="eastAsia" w:ascii="仿宋" w:hAnsi="仿宋" w:eastAsia="仿宋" w:cs="仿宋"/>
          <w:color w:val="auto"/>
          <w:sz w:val="24"/>
          <w:u w:val="single"/>
        </w:rPr>
        <w:t xml:space="preserve"> 项目名称</w:t>
      </w: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）的招标公告，签字代表______</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（姓名）经正式授权并代表投标人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（投标人名称）提交投标文件。</w:t>
      </w:r>
    </w:p>
    <w:p w14:paraId="5DEC4458">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据此函，我方宣布同意如下：</w:t>
      </w:r>
    </w:p>
    <w:p w14:paraId="4C06CFF1">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14:paraId="3C642093">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2.我方在投标之前已经完全理解并接受招标文件的各项规定和要求，对招标文件的合理性、合法性不再有异议。</w:t>
      </w:r>
    </w:p>
    <w:p w14:paraId="684280F1">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3.本投标有效期自投标截止之日起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A5979B6">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4.如中标，本投标文件至本项目合同履行完毕止均保持有效，我方将按“招标文件”及政府采购法律、法规的规定履行合同责任和义务。</w:t>
      </w:r>
    </w:p>
    <w:p w14:paraId="359F24FE">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5.我方同意按照贵方要求提供与投标有关的一切数据或者资料。</w:t>
      </w:r>
    </w:p>
    <w:p w14:paraId="355AF100">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6.我方向贵方提交的所有投标文件、资料都是准确的和真实的。</w:t>
      </w:r>
    </w:p>
    <w:p w14:paraId="7CDC66D6">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7.以上事项如有虚假或者隐瞒，我方愿意承担一切后果，并不再寻求任何旨在减轻或者免除法律责任的辩解。</w:t>
      </w:r>
    </w:p>
    <w:p w14:paraId="2E6217C7">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43706D6">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□我方本次投标文件</w:t>
      </w:r>
      <w:r>
        <w:rPr>
          <w:rFonts w:hint="eastAsia" w:ascii="仿宋" w:hAnsi="仿宋" w:eastAsia="仿宋" w:cs="仿宋"/>
          <w:color w:val="auto"/>
          <w:kern w:val="0"/>
          <w:sz w:val="24"/>
        </w:rPr>
        <w:t>内容中</w:t>
      </w:r>
      <w:r>
        <w:rPr>
          <w:rFonts w:hint="eastAsia" w:ascii="仿宋" w:hAnsi="仿宋" w:eastAsia="仿宋" w:cs="仿宋"/>
          <w:color w:val="auto"/>
          <w:sz w:val="24"/>
        </w:rPr>
        <w:t>未</w:t>
      </w:r>
      <w:r>
        <w:rPr>
          <w:rFonts w:hint="eastAsia" w:ascii="仿宋" w:hAnsi="仿宋" w:eastAsia="仿宋" w:cs="仿宋"/>
          <w:color w:val="auto"/>
          <w:kern w:val="0"/>
          <w:sz w:val="24"/>
        </w:rPr>
        <w:t>涉及商业秘密；</w:t>
      </w:r>
    </w:p>
    <w:p w14:paraId="4E0DF58A">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□我方本次投标文件</w:t>
      </w:r>
      <w:r>
        <w:rPr>
          <w:rFonts w:hint="eastAsia" w:ascii="仿宋" w:hAnsi="仿宋" w:eastAsia="仿宋" w:cs="仿宋"/>
          <w:color w:val="auto"/>
          <w:kern w:val="0"/>
          <w:sz w:val="24"/>
        </w:rPr>
        <w:t>涉及商业秘密的内容有：</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919903">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9.与本投标有关的一切正式往来信函请寄：</w:t>
      </w:r>
    </w:p>
    <w:p w14:paraId="54A7AE74">
      <w:pPr>
        <w:spacing w:line="440" w:lineRule="exact"/>
        <w:ind w:firstLine="480" w:firstLineChars="200"/>
        <w:contextualSpacing/>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邮编：</w:t>
      </w:r>
      <w:r>
        <w:rPr>
          <w:rFonts w:hint="eastAsia" w:ascii="仿宋" w:hAnsi="仿宋" w:eastAsia="仿宋" w:cs="仿宋"/>
          <w:color w:val="auto"/>
          <w:sz w:val="24"/>
          <w:u w:val="single"/>
        </w:rPr>
        <w:t xml:space="preserve">            </w:t>
      </w:r>
    </w:p>
    <w:p w14:paraId="3FDC71FB">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p>
    <w:p w14:paraId="070D7BDC">
      <w:pPr>
        <w:spacing w:line="440" w:lineRule="exact"/>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p>
    <w:p w14:paraId="2B5559F3">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银行帐号：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4688D82">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法定代表人或者委托代理人签字：___________ </w:t>
      </w:r>
    </w:p>
    <w:p w14:paraId="3A09599E">
      <w:pPr>
        <w:pStyle w:val="25"/>
        <w:spacing w:line="440" w:lineRule="exact"/>
        <w:contextualSpacing/>
        <w:jc w:val="center"/>
        <w:rPr>
          <w:rFonts w:hint="eastAsia" w:ascii="仿宋" w:hAnsi="仿宋" w:eastAsia="仿宋" w:cs="仿宋"/>
          <w:color w:val="auto"/>
          <w:sz w:val="24"/>
          <w:szCs w:val="24"/>
          <w:u w:val="single"/>
        </w:rPr>
      </w:pPr>
      <w:r>
        <w:rPr>
          <w:rFonts w:hint="eastAsia" w:ascii="仿宋" w:hAnsi="仿宋" w:eastAsia="仿宋" w:cs="仿宋"/>
          <w:color w:val="auto"/>
          <w:sz w:val="24"/>
        </w:rPr>
        <w:t xml:space="preserve">                                    投标人（盖公章）：</w:t>
      </w:r>
    </w:p>
    <w:p w14:paraId="13BFCE61">
      <w:pPr>
        <w:pStyle w:val="25"/>
        <w:spacing w:line="440" w:lineRule="exact"/>
        <w:contextualSpacing/>
        <w:rPr>
          <w:rFonts w:hint="eastAsia" w:ascii="仿宋" w:hAnsi="仿宋" w:eastAsia="仿宋" w:cs="仿宋"/>
          <w:color w:val="auto"/>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05D19C2">
      <w:pPr>
        <w:snapToGrid w:val="0"/>
        <w:spacing w:before="120" w:beforeLines="50" w:after="50" w:line="440" w:lineRule="exact"/>
        <w:jc w:val="left"/>
        <w:rPr>
          <w:rFonts w:hint="eastAsia" w:ascii="仿宋" w:hAnsi="仿宋" w:eastAsia="仿宋" w:cs="仿宋"/>
          <w:b/>
          <w:color w:val="auto"/>
          <w:sz w:val="24"/>
          <w:szCs w:val="20"/>
        </w:rPr>
      </w:pPr>
      <w:r>
        <w:rPr>
          <w:rFonts w:hint="eastAsia" w:ascii="仿宋" w:hAnsi="仿宋" w:eastAsia="仿宋" w:cs="仿宋"/>
          <w:color w:val="auto"/>
          <w:u w:val="single"/>
        </w:rPr>
        <w:br w:type="page"/>
      </w:r>
      <w:r>
        <w:rPr>
          <w:rFonts w:hint="eastAsia" w:ascii="仿宋" w:hAnsi="仿宋" w:eastAsia="仿宋" w:cs="仿宋"/>
          <w:b/>
          <w:color w:val="auto"/>
          <w:sz w:val="24"/>
        </w:rPr>
        <w:t>4. 开标一览表（服务类格式）</w:t>
      </w:r>
    </w:p>
    <w:p w14:paraId="4EB1FBFF">
      <w:pPr>
        <w:snapToGrid w:val="0"/>
        <w:spacing w:before="50" w:after="50"/>
        <w:jc w:val="center"/>
        <w:rPr>
          <w:rFonts w:hint="eastAsia" w:ascii="仿宋" w:hAnsi="仿宋" w:eastAsia="仿宋" w:cs="仿宋"/>
          <w:b/>
          <w:color w:val="auto"/>
          <w:sz w:val="30"/>
        </w:rPr>
      </w:pPr>
      <w:r>
        <w:rPr>
          <w:rFonts w:hint="eastAsia" w:ascii="仿宋" w:hAnsi="仿宋" w:eastAsia="仿宋" w:cs="仿宋"/>
          <w:b/>
          <w:color w:val="auto"/>
          <w:sz w:val="30"/>
        </w:rPr>
        <w:t>开标一览表</w:t>
      </w:r>
    </w:p>
    <w:p w14:paraId="1D1D3B48">
      <w:pPr>
        <w:snapToGrid w:val="0"/>
        <w:spacing w:before="50" w:after="50"/>
        <w:jc w:val="center"/>
        <w:rPr>
          <w:rFonts w:hint="eastAsia" w:ascii="仿宋" w:hAnsi="仿宋" w:eastAsia="仿宋" w:cs="仿宋"/>
          <w:b/>
          <w:color w:val="auto"/>
          <w:sz w:val="30"/>
          <w:szCs w:val="20"/>
        </w:rPr>
      </w:pPr>
    </w:p>
    <w:p w14:paraId="0578043D">
      <w:pPr>
        <w:snapToGrid w:val="0"/>
        <w:spacing w:before="50" w:after="50" w:line="360" w:lineRule="auto"/>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分标：</w:t>
      </w:r>
      <w:r>
        <w:rPr>
          <w:rFonts w:hint="eastAsia" w:ascii="仿宋" w:hAnsi="仿宋" w:eastAsia="仿宋" w:cs="仿宋"/>
          <w:color w:val="auto"/>
          <w:sz w:val="24"/>
          <w:u w:val="single"/>
        </w:rPr>
        <w:t xml:space="preserve">           </w:t>
      </w:r>
    </w:p>
    <w:p w14:paraId="68474BC9">
      <w:pPr>
        <w:snapToGrid w:val="0"/>
        <w:spacing w:before="50" w:after="50" w:line="360" w:lineRule="auto"/>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单位：元                                        </w:t>
      </w:r>
    </w:p>
    <w:tbl>
      <w:tblPr>
        <w:tblStyle w:val="4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1984"/>
        <w:gridCol w:w="1418"/>
        <w:gridCol w:w="1275"/>
        <w:gridCol w:w="1418"/>
        <w:gridCol w:w="1029"/>
      </w:tblGrid>
      <w:tr w14:paraId="6417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62" w:type="dxa"/>
            <w:tcBorders>
              <w:top w:val="single" w:color="auto" w:sz="4" w:space="0"/>
              <w:left w:val="single" w:color="auto" w:sz="4" w:space="0"/>
              <w:bottom w:val="single" w:color="auto" w:sz="4" w:space="0"/>
              <w:right w:val="single" w:color="auto" w:sz="4" w:space="0"/>
            </w:tcBorders>
            <w:vAlign w:val="center"/>
          </w:tcPr>
          <w:p w14:paraId="12333DA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127" w:type="dxa"/>
            <w:tcBorders>
              <w:top w:val="single" w:color="auto" w:sz="4" w:space="0"/>
              <w:left w:val="nil"/>
              <w:bottom w:val="single" w:color="auto" w:sz="4" w:space="0"/>
              <w:right w:val="single" w:color="auto" w:sz="4" w:space="0"/>
            </w:tcBorders>
            <w:vAlign w:val="center"/>
          </w:tcPr>
          <w:p w14:paraId="52D01AA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标的名称</w:t>
            </w:r>
          </w:p>
        </w:tc>
        <w:tc>
          <w:tcPr>
            <w:tcW w:w="1984" w:type="dxa"/>
            <w:tcBorders>
              <w:top w:val="single" w:color="auto" w:sz="4" w:space="0"/>
              <w:left w:val="nil"/>
              <w:bottom w:val="single" w:color="auto" w:sz="4" w:space="0"/>
              <w:right w:val="single" w:color="auto" w:sz="4" w:space="0"/>
            </w:tcBorders>
            <w:vAlign w:val="center"/>
          </w:tcPr>
          <w:p w14:paraId="149AAE3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服务内容</w:t>
            </w:r>
          </w:p>
        </w:tc>
        <w:tc>
          <w:tcPr>
            <w:tcW w:w="1418" w:type="dxa"/>
            <w:tcBorders>
              <w:top w:val="single" w:color="auto" w:sz="4" w:space="0"/>
              <w:left w:val="nil"/>
              <w:bottom w:val="single" w:color="auto" w:sz="4" w:space="0"/>
              <w:right w:val="single" w:color="auto" w:sz="4" w:space="0"/>
            </w:tcBorders>
            <w:vAlign w:val="center"/>
          </w:tcPr>
          <w:p w14:paraId="0D19528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数量及单位①</w:t>
            </w:r>
          </w:p>
        </w:tc>
        <w:tc>
          <w:tcPr>
            <w:tcW w:w="1275" w:type="dxa"/>
            <w:tcBorders>
              <w:top w:val="single" w:color="auto" w:sz="4" w:space="0"/>
              <w:left w:val="nil"/>
              <w:bottom w:val="single" w:color="auto" w:sz="4" w:space="0"/>
              <w:right w:val="single" w:color="auto" w:sz="4" w:space="0"/>
            </w:tcBorders>
            <w:vAlign w:val="center"/>
          </w:tcPr>
          <w:p w14:paraId="1F7F34B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单价(元)②</w:t>
            </w:r>
          </w:p>
        </w:tc>
        <w:tc>
          <w:tcPr>
            <w:tcW w:w="1418" w:type="dxa"/>
            <w:tcBorders>
              <w:top w:val="single" w:color="auto" w:sz="4" w:space="0"/>
              <w:left w:val="nil"/>
              <w:bottom w:val="single" w:color="auto" w:sz="4" w:space="0"/>
              <w:right w:val="single" w:color="auto" w:sz="4" w:space="0"/>
            </w:tcBorders>
            <w:vAlign w:val="center"/>
          </w:tcPr>
          <w:p w14:paraId="6E165B7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总价（元）③＝①×②</w:t>
            </w:r>
          </w:p>
        </w:tc>
        <w:tc>
          <w:tcPr>
            <w:tcW w:w="1029" w:type="dxa"/>
            <w:tcBorders>
              <w:top w:val="single" w:color="auto" w:sz="4" w:space="0"/>
              <w:left w:val="nil"/>
              <w:bottom w:val="single" w:color="auto" w:sz="4" w:space="0"/>
              <w:right w:val="single" w:color="auto" w:sz="4" w:space="0"/>
            </w:tcBorders>
            <w:vAlign w:val="center"/>
          </w:tcPr>
          <w:p w14:paraId="6AC0089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94A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7AD563F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27" w:type="dxa"/>
            <w:tcBorders>
              <w:top w:val="single" w:color="auto" w:sz="4" w:space="0"/>
              <w:left w:val="nil"/>
              <w:bottom w:val="single" w:color="auto" w:sz="4" w:space="0"/>
              <w:right w:val="single" w:color="auto" w:sz="4" w:space="0"/>
            </w:tcBorders>
            <w:vAlign w:val="center"/>
          </w:tcPr>
          <w:p w14:paraId="67688F7C">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31556E07">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56ABE30">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5B0F0164">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69B53DE1">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6913D7CC">
            <w:pPr>
              <w:spacing w:line="360" w:lineRule="auto"/>
              <w:rPr>
                <w:rFonts w:hint="eastAsia" w:ascii="仿宋" w:hAnsi="仿宋" w:eastAsia="仿宋" w:cs="仿宋"/>
                <w:color w:val="auto"/>
                <w:sz w:val="24"/>
              </w:rPr>
            </w:pPr>
          </w:p>
        </w:tc>
      </w:tr>
      <w:tr w14:paraId="0B91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7EC2A06F">
            <w:pPr>
              <w:spacing w:before="240" w:beforeLines="100" w:line="360" w:lineRule="auto"/>
              <w:rPr>
                <w:rFonts w:hint="eastAsia" w:ascii="仿宋" w:hAnsi="仿宋" w:eastAsia="仿宋" w:cs="仿宋"/>
                <w:color w:val="auto"/>
                <w:sz w:val="24"/>
              </w:rPr>
            </w:pPr>
            <w:r>
              <w:rPr>
                <w:rFonts w:hint="eastAsia" w:ascii="仿宋" w:hAnsi="仿宋" w:eastAsia="仿宋" w:cs="仿宋"/>
                <w:color w:val="auto"/>
                <w:sz w:val="24"/>
              </w:rPr>
              <w:t xml:space="preserve">投标总报价（包含税费等所有费用）：（大写）人民币 </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p>
        </w:tc>
      </w:tr>
      <w:tr w14:paraId="520C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6F094795">
            <w:pPr>
              <w:spacing w:before="240" w:beforeLines="100" w:line="360" w:lineRule="auto"/>
              <w:rPr>
                <w:rFonts w:hint="eastAsia" w:ascii="仿宋" w:hAnsi="仿宋" w:eastAsia="仿宋" w:cs="仿宋"/>
                <w:color w:val="auto"/>
                <w:sz w:val="24"/>
              </w:rPr>
            </w:pPr>
            <w:r>
              <w:rPr>
                <w:rFonts w:hint="eastAsia" w:ascii="仿宋" w:hAnsi="仿宋" w:eastAsia="仿宋" w:cs="仿宋"/>
                <w:color w:val="auto"/>
                <w:sz w:val="24"/>
              </w:rPr>
              <w:t>提交服务成果时间：</w:t>
            </w:r>
          </w:p>
        </w:tc>
      </w:tr>
    </w:tbl>
    <w:p w14:paraId="336610DF">
      <w:pPr>
        <w:snapToGrid w:val="0"/>
        <w:spacing w:before="50" w:after="50"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注： </w:t>
      </w:r>
    </w:p>
    <w:p w14:paraId="6DA1F7B4">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1.投标人的开标一览表必须加盖投标人公章并由法定代表人或者委托代理人签字，</w:t>
      </w:r>
      <w:r>
        <w:rPr>
          <w:rFonts w:hint="eastAsia" w:ascii="仿宋" w:hAnsi="仿宋" w:eastAsia="仿宋" w:cs="仿宋"/>
          <w:b/>
          <w:color w:val="auto"/>
          <w:sz w:val="24"/>
        </w:rPr>
        <w:t>否则其投标作无效标处理</w:t>
      </w:r>
      <w:r>
        <w:rPr>
          <w:rFonts w:hint="eastAsia" w:ascii="仿宋" w:hAnsi="仿宋" w:eastAsia="仿宋" w:cs="仿宋"/>
          <w:color w:val="auto"/>
          <w:sz w:val="24"/>
        </w:rPr>
        <w:t>。</w:t>
      </w:r>
    </w:p>
    <w:p w14:paraId="79A8932C">
      <w:pPr>
        <w:snapToGrid w:val="0"/>
        <w:spacing w:before="50" w:after="50" w:line="360" w:lineRule="auto"/>
        <w:ind w:firstLine="480" w:firstLineChars="200"/>
        <w:jc w:val="left"/>
        <w:rPr>
          <w:rFonts w:hint="eastAsia" w:ascii="仿宋" w:hAnsi="仿宋" w:eastAsia="仿宋" w:cs="仿宋"/>
          <w:b/>
          <w:color w:val="auto"/>
          <w:sz w:val="24"/>
        </w:rPr>
      </w:pPr>
      <w:r>
        <w:rPr>
          <w:rFonts w:hint="eastAsia" w:ascii="仿宋" w:hAnsi="仿宋" w:eastAsia="仿宋" w:cs="仿宋"/>
          <w:bCs/>
          <w:color w:val="auto"/>
          <w:sz w:val="24"/>
        </w:rPr>
        <w:t>2.</w:t>
      </w:r>
      <w:r>
        <w:rPr>
          <w:rFonts w:hint="eastAsia" w:ascii="仿宋" w:hAnsi="仿宋" w:eastAsia="仿宋" w:cs="仿宋"/>
          <w:color w:val="auto"/>
          <w:sz w:val="24"/>
        </w:rPr>
        <w:t>报价一经涂改，应在涂改处加盖投标人公章或者由法定代表人或者委托代理人签字或者盖章</w:t>
      </w:r>
      <w:r>
        <w:rPr>
          <w:rFonts w:hint="eastAsia" w:ascii="仿宋" w:hAnsi="仿宋" w:eastAsia="仿宋" w:cs="仿宋"/>
          <w:b/>
          <w:color w:val="auto"/>
          <w:sz w:val="24"/>
        </w:rPr>
        <w:t>，否则其投标作无效标处理。</w:t>
      </w:r>
    </w:p>
    <w:p w14:paraId="5322F6A5">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3.如为联合体投标，“投标人名称”处必须列明联合体各方名称，并标注联合体牵头人名称，</w:t>
      </w:r>
      <w:r>
        <w:rPr>
          <w:rFonts w:hint="eastAsia" w:ascii="仿宋" w:hAnsi="仿宋" w:eastAsia="仿宋" w:cs="仿宋"/>
          <w:b/>
          <w:color w:val="auto"/>
          <w:sz w:val="24"/>
        </w:rPr>
        <w:t>否则其投标作无效标处理。</w:t>
      </w:r>
    </w:p>
    <w:p w14:paraId="7F5CF4ED">
      <w:pPr>
        <w:snapToGrid w:val="0"/>
        <w:spacing w:before="50" w:after="50" w:line="360" w:lineRule="auto"/>
        <w:ind w:firstLine="456" w:firstLineChars="200"/>
        <w:jc w:val="left"/>
        <w:rPr>
          <w:rFonts w:hint="eastAsia" w:ascii="仿宋" w:hAnsi="仿宋" w:eastAsia="仿宋" w:cs="仿宋"/>
          <w:color w:val="auto"/>
          <w:spacing w:val="-6"/>
          <w:sz w:val="24"/>
        </w:rPr>
      </w:pPr>
      <w:r>
        <w:rPr>
          <w:rFonts w:hint="eastAsia" w:ascii="仿宋" w:hAnsi="仿宋" w:eastAsia="仿宋" w:cs="仿宋"/>
          <w:color w:val="auto"/>
          <w:spacing w:val="-6"/>
          <w:sz w:val="24"/>
        </w:rPr>
        <w:t>4.如为联合体投标，盖章处须加盖联合体各方公章，</w:t>
      </w:r>
      <w:r>
        <w:rPr>
          <w:rFonts w:hint="eastAsia" w:ascii="仿宋" w:hAnsi="仿宋" w:eastAsia="仿宋" w:cs="仿宋"/>
          <w:b/>
          <w:color w:val="auto"/>
          <w:spacing w:val="-6"/>
          <w:sz w:val="24"/>
        </w:rPr>
        <w:t>否则其投标作无效标处理。</w:t>
      </w:r>
    </w:p>
    <w:p w14:paraId="2C2D11E6">
      <w:pPr>
        <w:snapToGrid w:val="0"/>
        <w:spacing w:before="50" w:after="50"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5.如有多分标，按分标分别提供开标一览表，</w:t>
      </w:r>
      <w:r>
        <w:rPr>
          <w:rFonts w:hint="eastAsia" w:ascii="仿宋" w:hAnsi="仿宋" w:eastAsia="仿宋" w:cs="仿宋"/>
          <w:b/>
          <w:color w:val="auto"/>
          <w:sz w:val="24"/>
        </w:rPr>
        <w:t>否则投标无效。</w:t>
      </w:r>
    </w:p>
    <w:p w14:paraId="58146A50">
      <w:pPr>
        <w:snapToGrid w:val="0"/>
        <w:spacing w:before="50" w:after="50" w:line="360" w:lineRule="auto"/>
        <w:ind w:firstLine="482" w:firstLineChars="200"/>
        <w:rPr>
          <w:rFonts w:hint="eastAsia" w:ascii="仿宋" w:hAnsi="仿宋" w:eastAsia="仿宋" w:cs="仿宋"/>
          <w:b/>
          <w:color w:val="auto"/>
          <w:sz w:val="24"/>
        </w:rPr>
      </w:pPr>
    </w:p>
    <w:p w14:paraId="223F5D06">
      <w:pPr>
        <w:snapToGrid w:val="0"/>
        <w:spacing w:before="50" w:after="50" w:line="360" w:lineRule="auto"/>
        <w:ind w:left="-2" w:leftChars="-1" w:right="-817" w:rightChars="-389"/>
        <w:rPr>
          <w:rFonts w:hint="eastAsia" w:ascii="仿宋" w:hAnsi="仿宋" w:eastAsia="仿宋" w:cs="仿宋"/>
          <w:color w:val="auto"/>
          <w:sz w:val="24"/>
        </w:rPr>
      </w:pPr>
      <w:r>
        <w:rPr>
          <w:rFonts w:hint="eastAsia" w:ascii="仿宋" w:hAnsi="仿宋" w:eastAsia="仿宋" w:cs="仿宋"/>
          <w:color w:val="auto"/>
          <w:sz w:val="24"/>
        </w:rPr>
        <w:t xml:space="preserve">法定代表人或者委托代理人（签字）：                    </w:t>
      </w:r>
    </w:p>
    <w:p w14:paraId="73E08079">
      <w:pPr>
        <w:snapToGrid w:val="0"/>
        <w:spacing w:before="50" w:after="50" w:line="360" w:lineRule="auto"/>
        <w:ind w:left="-3" w:leftChars="-15" w:right="-817" w:rightChars="-389" w:hanging="28" w:hangingChars="12"/>
        <w:rPr>
          <w:rFonts w:hint="eastAsia" w:ascii="仿宋" w:hAnsi="仿宋" w:eastAsia="仿宋" w:cs="仿宋"/>
          <w:color w:val="auto"/>
          <w:szCs w:val="21"/>
        </w:rPr>
      </w:pPr>
      <w:r>
        <w:rPr>
          <w:rFonts w:hint="eastAsia" w:ascii="仿宋" w:hAnsi="仿宋" w:eastAsia="仿宋" w:cs="仿宋"/>
          <w:color w:val="auto"/>
          <w:sz w:val="24"/>
        </w:rPr>
        <w:t>投标人（盖公章）：                                 日期：    年   月   日</w:t>
      </w:r>
    </w:p>
    <w:p w14:paraId="06ADA53C">
      <w:pPr>
        <w:snapToGrid w:val="0"/>
        <w:spacing w:before="50" w:after="50"/>
        <w:jc w:val="center"/>
        <w:rPr>
          <w:rFonts w:hint="eastAsia" w:ascii="仿宋" w:hAnsi="仿宋" w:eastAsia="仿宋" w:cs="仿宋"/>
          <w:b/>
          <w:color w:val="auto"/>
          <w:sz w:val="30"/>
        </w:rPr>
      </w:pPr>
    </w:p>
    <w:p w14:paraId="4EA8AB43">
      <w:pPr>
        <w:snapToGrid w:val="0"/>
        <w:spacing w:before="50" w:after="50"/>
        <w:jc w:val="center"/>
        <w:rPr>
          <w:rFonts w:hint="eastAsia" w:ascii="仿宋" w:hAnsi="仿宋" w:eastAsia="仿宋" w:cs="仿宋"/>
          <w:b/>
          <w:color w:val="auto"/>
          <w:sz w:val="30"/>
        </w:rPr>
      </w:pPr>
    </w:p>
    <w:p w14:paraId="37BF1995">
      <w:pPr>
        <w:snapToGrid w:val="0"/>
        <w:spacing w:before="50" w:after="50"/>
        <w:jc w:val="center"/>
        <w:rPr>
          <w:rFonts w:hint="eastAsia" w:ascii="仿宋" w:hAnsi="仿宋" w:eastAsia="仿宋" w:cs="仿宋"/>
          <w:b/>
          <w:color w:val="auto"/>
          <w:sz w:val="30"/>
        </w:rPr>
      </w:pPr>
    </w:p>
    <w:p w14:paraId="394546B7">
      <w:pPr>
        <w:snapToGrid w:val="0"/>
        <w:spacing w:before="50" w:after="50"/>
        <w:jc w:val="center"/>
        <w:rPr>
          <w:rFonts w:hint="eastAsia" w:ascii="仿宋" w:hAnsi="仿宋" w:eastAsia="仿宋" w:cs="仿宋"/>
          <w:b/>
          <w:color w:val="auto"/>
          <w:sz w:val="30"/>
        </w:rPr>
      </w:pPr>
    </w:p>
    <w:p w14:paraId="31B6AF4D">
      <w:pPr>
        <w:snapToGrid w:val="0"/>
        <w:spacing w:before="50" w:after="50"/>
        <w:jc w:val="center"/>
        <w:rPr>
          <w:rFonts w:hint="eastAsia" w:ascii="仿宋" w:hAnsi="仿宋" w:eastAsia="仿宋" w:cs="仿宋"/>
          <w:b/>
          <w:color w:val="auto"/>
          <w:sz w:val="30"/>
        </w:rPr>
      </w:pPr>
      <w:r>
        <w:rPr>
          <w:rFonts w:hint="eastAsia" w:ascii="仿宋" w:hAnsi="仿宋" w:eastAsia="仿宋" w:cs="仿宋"/>
          <w:b/>
          <w:color w:val="auto"/>
          <w:sz w:val="30"/>
        </w:rPr>
        <w:t>报价明细表</w:t>
      </w:r>
    </w:p>
    <w:p w14:paraId="486FE820">
      <w:pPr>
        <w:snapToGrid w:val="0"/>
        <w:spacing w:before="50" w:after="50"/>
        <w:jc w:val="center"/>
        <w:rPr>
          <w:rFonts w:hint="eastAsia" w:ascii="仿宋" w:hAnsi="仿宋" w:eastAsia="仿宋" w:cs="仿宋"/>
          <w:b/>
          <w:color w:val="auto"/>
          <w:sz w:val="30"/>
          <w:szCs w:val="20"/>
        </w:rPr>
      </w:pPr>
    </w:p>
    <w:p w14:paraId="0828F496">
      <w:pPr>
        <w:snapToGrid w:val="0"/>
        <w:spacing w:before="50" w:after="50" w:line="360" w:lineRule="auto"/>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分标：</w:t>
      </w:r>
      <w:r>
        <w:rPr>
          <w:rFonts w:hint="eastAsia" w:ascii="仿宋" w:hAnsi="仿宋" w:eastAsia="仿宋" w:cs="仿宋"/>
          <w:color w:val="auto"/>
          <w:sz w:val="24"/>
          <w:u w:val="single"/>
        </w:rPr>
        <w:t xml:space="preserve">           </w:t>
      </w:r>
    </w:p>
    <w:p w14:paraId="263BD39E">
      <w:pPr>
        <w:snapToGrid w:val="0"/>
        <w:spacing w:before="50" w:after="50" w:line="360" w:lineRule="auto"/>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单位：元                                        </w:t>
      </w:r>
    </w:p>
    <w:tbl>
      <w:tblPr>
        <w:tblStyle w:val="4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1984"/>
        <w:gridCol w:w="1418"/>
        <w:gridCol w:w="1275"/>
        <w:gridCol w:w="1418"/>
        <w:gridCol w:w="1029"/>
      </w:tblGrid>
      <w:tr w14:paraId="7BD5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62" w:type="dxa"/>
            <w:tcBorders>
              <w:top w:val="single" w:color="auto" w:sz="4" w:space="0"/>
              <w:left w:val="single" w:color="auto" w:sz="4" w:space="0"/>
              <w:bottom w:val="single" w:color="auto" w:sz="4" w:space="0"/>
              <w:right w:val="single" w:color="auto" w:sz="4" w:space="0"/>
            </w:tcBorders>
            <w:vAlign w:val="center"/>
          </w:tcPr>
          <w:p w14:paraId="603225E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127" w:type="dxa"/>
            <w:tcBorders>
              <w:top w:val="single" w:color="auto" w:sz="4" w:space="0"/>
              <w:left w:val="nil"/>
              <w:bottom w:val="single" w:color="auto" w:sz="4" w:space="0"/>
              <w:right w:val="single" w:color="auto" w:sz="4" w:space="0"/>
            </w:tcBorders>
            <w:vAlign w:val="center"/>
          </w:tcPr>
          <w:p w14:paraId="7EE59A2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分项服务名称</w:t>
            </w:r>
          </w:p>
        </w:tc>
        <w:tc>
          <w:tcPr>
            <w:tcW w:w="1984" w:type="dxa"/>
            <w:tcBorders>
              <w:top w:val="single" w:color="auto" w:sz="4" w:space="0"/>
              <w:left w:val="nil"/>
              <w:bottom w:val="single" w:color="auto" w:sz="4" w:space="0"/>
              <w:right w:val="single" w:color="auto" w:sz="4" w:space="0"/>
            </w:tcBorders>
            <w:vAlign w:val="center"/>
          </w:tcPr>
          <w:p w14:paraId="4958F9E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具体服务内容</w:t>
            </w:r>
          </w:p>
        </w:tc>
        <w:tc>
          <w:tcPr>
            <w:tcW w:w="1418" w:type="dxa"/>
            <w:tcBorders>
              <w:top w:val="single" w:color="auto" w:sz="4" w:space="0"/>
              <w:left w:val="nil"/>
              <w:bottom w:val="single" w:color="auto" w:sz="4" w:space="0"/>
              <w:right w:val="single" w:color="auto" w:sz="4" w:space="0"/>
            </w:tcBorders>
            <w:vAlign w:val="center"/>
          </w:tcPr>
          <w:p w14:paraId="7578046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数量及单位①</w:t>
            </w:r>
          </w:p>
        </w:tc>
        <w:tc>
          <w:tcPr>
            <w:tcW w:w="1275" w:type="dxa"/>
            <w:tcBorders>
              <w:top w:val="single" w:color="auto" w:sz="4" w:space="0"/>
              <w:left w:val="nil"/>
              <w:bottom w:val="single" w:color="auto" w:sz="4" w:space="0"/>
              <w:right w:val="single" w:color="auto" w:sz="4" w:space="0"/>
            </w:tcBorders>
            <w:vAlign w:val="center"/>
          </w:tcPr>
          <w:p w14:paraId="184EF74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单价(元)②</w:t>
            </w:r>
          </w:p>
        </w:tc>
        <w:tc>
          <w:tcPr>
            <w:tcW w:w="1418" w:type="dxa"/>
            <w:tcBorders>
              <w:top w:val="single" w:color="auto" w:sz="4" w:space="0"/>
              <w:left w:val="nil"/>
              <w:bottom w:val="single" w:color="auto" w:sz="4" w:space="0"/>
              <w:right w:val="single" w:color="auto" w:sz="4" w:space="0"/>
            </w:tcBorders>
            <w:vAlign w:val="center"/>
          </w:tcPr>
          <w:p w14:paraId="287160C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总价（元）③＝①×②</w:t>
            </w:r>
          </w:p>
        </w:tc>
        <w:tc>
          <w:tcPr>
            <w:tcW w:w="1029" w:type="dxa"/>
            <w:tcBorders>
              <w:top w:val="single" w:color="auto" w:sz="4" w:space="0"/>
              <w:left w:val="nil"/>
              <w:bottom w:val="single" w:color="auto" w:sz="4" w:space="0"/>
              <w:right w:val="single" w:color="auto" w:sz="4" w:space="0"/>
            </w:tcBorders>
            <w:vAlign w:val="center"/>
          </w:tcPr>
          <w:p w14:paraId="209B2B3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6D87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41EFD37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27" w:type="dxa"/>
            <w:tcBorders>
              <w:top w:val="single" w:color="auto" w:sz="4" w:space="0"/>
              <w:left w:val="nil"/>
              <w:bottom w:val="single" w:color="auto" w:sz="4" w:space="0"/>
              <w:right w:val="single" w:color="auto" w:sz="4" w:space="0"/>
            </w:tcBorders>
            <w:vAlign w:val="center"/>
          </w:tcPr>
          <w:p w14:paraId="288FA6BD">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29FC70D6">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548182DB">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0785DF7B">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5DB35F2">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35B14A99">
            <w:pPr>
              <w:spacing w:line="360" w:lineRule="auto"/>
              <w:rPr>
                <w:rFonts w:hint="eastAsia" w:ascii="仿宋" w:hAnsi="仿宋" w:eastAsia="仿宋" w:cs="仿宋"/>
                <w:color w:val="auto"/>
                <w:sz w:val="24"/>
              </w:rPr>
            </w:pPr>
          </w:p>
        </w:tc>
      </w:tr>
      <w:tr w14:paraId="2411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080E2AD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127" w:type="dxa"/>
            <w:tcBorders>
              <w:top w:val="single" w:color="auto" w:sz="4" w:space="0"/>
              <w:left w:val="nil"/>
              <w:bottom w:val="single" w:color="auto" w:sz="4" w:space="0"/>
              <w:right w:val="single" w:color="auto" w:sz="4" w:space="0"/>
            </w:tcBorders>
            <w:vAlign w:val="center"/>
          </w:tcPr>
          <w:p w14:paraId="228D96D4">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2CE00302">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28E01BD9">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38992F8C">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67C1CDEC">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1105BC31">
            <w:pPr>
              <w:spacing w:line="360" w:lineRule="auto"/>
              <w:rPr>
                <w:rFonts w:hint="eastAsia" w:ascii="仿宋" w:hAnsi="仿宋" w:eastAsia="仿宋" w:cs="仿宋"/>
                <w:color w:val="auto"/>
                <w:sz w:val="24"/>
              </w:rPr>
            </w:pPr>
          </w:p>
        </w:tc>
      </w:tr>
      <w:tr w14:paraId="45F5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47F7D45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127" w:type="dxa"/>
            <w:tcBorders>
              <w:top w:val="single" w:color="auto" w:sz="4" w:space="0"/>
              <w:left w:val="nil"/>
              <w:bottom w:val="single" w:color="auto" w:sz="4" w:space="0"/>
              <w:right w:val="single" w:color="auto" w:sz="4" w:space="0"/>
            </w:tcBorders>
            <w:vAlign w:val="center"/>
          </w:tcPr>
          <w:p w14:paraId="099A15E7">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774701E7">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7A20E397">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5AC80E9E">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47E5997E">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4E3E454C">
            <w:pPr>
              <w:spacing w:line="360" w:lineRule="auto"/>
              <w:rPr>
                <w:rFonts w:hint="eastAsia" w:ascii="仿宋" w:hAnsi="仿宋" w:eastAsia="仿宋" w:cs="仿宋"/>
                <w:color w:val="auto"/>
                <w:sz w:val="24"/>
              </w:rPr>
            </w:pPr>
          </w:p>
        </w:tc>
      </w:tr>
      <w:tr w14:paraId="65A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70E04BA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127" w:type="dxa"/>
            <w:tcBorders>
              <w:top w:val="single" w:color="auto" w:sz="4" w:space="0"/>
              <w:left w:val="nil"/>
              <w:bottom w:val="single" w:color="auto" w:sz="4" w:space="0"/>
              <w:right w:val="single" w:color="auto" w:sz="4" w:space="0"/>
            </w:tcBorders>
            <w:vAlign w:val="center"/>
          </w:tcPr>
          <w:p w14:paraId="67C3280C">
            <w:pPr>
              <w:spacing w:line="360" w:lineRule="auto"/>
              <w:rPr>
                <w:rFonts w:hint="eastAsia" w:ascii="仿宋" w:hAnsi="仿宋" w:eastAsia="仿宋" w:cs="仿宋"/>
                <w:color w:val="auto"/>
                <w:sz w:val="24"/>
              </w:rPr>
            </w:pPr>
          </w:p>
        </w:tc>
        <w:tc>
          <w:tcPr>
            <w:tcW w:w="1984" w:type="dxa"/>
            <w:tcBorders>
              <w:top w:val="single" w:color="auto" w:sz="4" w:space="0"/>
              <w:left w:val="nil"/>
              <w:bottom w:val="single" w:color="auto" w:sz="4" w:space="0"/>
              <w:right w:val="single" w:color="auto" w:sz="4" w:space="0"/>
            </w:tcBorders>
            <w:vAlign w:val="center"/>
          </w:tcPr>
          <w:p w14:paraId="44E4413B">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03A74B5B">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44028A25">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07A8E1A">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68AA3B0F">
            <w:pPr>
              <w:spacing w:line="360" w:lineRule="auto"/>
              <w:rPr>
                <w:rFonts w:hint="eastAsia" w:ascii="仿宋" w:hAnsi="仿宋" w:eastAsia="仿宋" w:cs="仿宋"/>
                <w:color w:val="auto"/>
                <w:sz w:val="24"/>
              </w:rPr>
            </w:pPr>
          </w:p>
        </w:tc>
      </w:tr>
      <w:tr w14:paraId="4754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0EBAA276">
            <w:pPr>
              <w:spacing w:line="360" w:lineRule="auto"/>
              <w:jc w:val="center"/>
              <w:rPr>
                <w:rFonts w:hint="eastAsia" w:ascii="仿宋" w:hAnsi="仿宋" w:eastAsia="仿宋" w:cs="仿宋"/>
                <w:color w:val="auto"/>
                <w:sz w:val="24"/>
              </w:rPr>
            </w:pPr>
            <w:r>
              <w:rPr>
                <w:rFonts w:ascii="Arial" w:hAnsi="Arial" w:eastAsia="仿宋" w:cs="Arial"/>
                <w:color w:val="auto"/>
                <w:sz w:val="24"/>
              </w:rPr>
              <w:t>…</w:t>
            </w:r>
          </w:p>
        </w:tc>
        <w:tc>
          <w:tcPr>
            <w:tcW w:w="2127" w:type="dxa"/>
            <w:tcBorders>
              <w:top w:val="single" w:color="auto" w:sz="4" w:space="0"/>
              <w:left w:val="nil"/>
              <w:bottom w:val="single" w:color="auto" w:sz="4" w:space="0"/>
              <w:right w:val="single" w:color="auto" w:sz="4" w:space="0"/>
            </w:tcBorders>
            <w:vAlign w:val="center"/>
          </w:tcPr>
          <w:p w14:paraId="28F7470F">
            <w:pPr>
              <w:spacing w:line="360" w:lineRule="auto"/>
              <w:rPr>
                <w:rFonts w:hint="eastAsia" w:ascii="仿宋" w:hAnsi="仿宋" w:eastAsia="仿宋" w:cs="仿宋"/>
                <w:color w:val="auto"/>
                <w:sz w:val="24"/>
              </w:rPr>
            </w:pPr>
            <w:r>
              <w:rPr>
                <w:rFonts w:ascii="Arial" w:hAnsi="Arial" w:eastAsia="仿宋" w:cs="Arial"/>
                <w:color w:val="auto"/>
                <w:sz w:val="24"/>
              </w:rPr>
              <w:t>…</w:t>
            </w:r>
          </w:p>
        </w:tc>
        <w:tc>
          <w:tcPr>
            <w:tcW w:w="1984" w:type="dxa"/>
            <w:tcBorders>
              <w:top w:val="single" w:color="auto" w:sz="4" w:space="0"/>
              <w:left w:val="nil"/>
              <w:bottom w:val="single" w:color="auto" w:sz="4" w:space="0"/>
              <w:right w:val="single" w:color="auto" w:sz="4" w:space="0"/>
            </w:tcBorders>
            <w:vAlign w:val="center"/>
          </w:tcPr>
          <w:p w14:paraId="316DDB26">
            <w:pPr>
              <w:spacing w:line="360" w:lineRule="auto"/>
              <w:rPr>
                <w:rFonts w:hint="eastAsia" w:ascii="仿宋" w:hAnsi="仿宋" w:eastAsia="仿宋" w:cs="仿宋"/>
                <w:color w:val="auto"/>
                <w:sz w:val="24"/>
              </w:rPr>
            </w:pPr>
            <w:r>
              <w:rPr>
                <w:rFonts w:ascii="Arial" w:hAnsi="Arial" w:eastAsia="仿宋" w:cs="Arial"/>
                <w:color w:val="auto"/>
                <w:sz w:val="24"/>
              </w:rPr>
              <w:t>…</w:t>
            </w:r>
          </w:p>
        </w:tc>
        <w:tc>
          <w:tcPr>
            <w:tcW w:w="1418" w:type="dxa"/>
            <w:tcBorders>
              <w:top w:val="single" w:color="auto" w:sz="4" w:space="0"/>
              <w:left w:val="nil"/>
              <w:bottom w:val="single" w:color="auto" w:sz="4" w:space="0"/>
              <w:right w:val="single" w:color="auto" w:sz="4" w:space="0"/>
            </w:tcBorders>
            <w:vAlign w:val="center"/>
          </w:tcPr>
          <w:p w14:paraId="5E7D0C55">
            <w:pPr>
              <w:spacing w:line="360" w:lineRule="auto"/>
              <w:rPr>
                <w:rFonts w:hint="eastAsia" w:ascii="仿宋" w:hAnsi="仿宋" w:eastAsia="仿宋" w:cs="仿宋"/>
                <w:color w:val="auto"/>
                <w:sz w:val="24"/>
              </w:rPr>
            </w:pPr>
          </w:p>
        </w:tc>
        <w:tc>
          <w:tcPr>
            <w:tcW w:w="1275" w:type="dxa"/>
            <w:tcBorders>
              <w:top w:val="single" w:color="auto" w:sz="4" w:space="0"/>
              <w:left w:val="nil"/>
              <w:bottom w:val="single" w:color="auto" w:sz="4" w:space="0"/>
              <w:right w:val="single" w:color="auto" w:sz="4" w:space="0"/>
            </w:tcBorders>
            <w:vAlign w:val="center"/>
          </w:tcPr>
          <w:p w14:paraId="7E4EF650">
            <w:pPr>
              <w:spacing w:line="360" w:lineRule="auto"/>
              <w:rPr>
                <w:rFonts w:hint="eastAsia" w:ascii="仿宋" w:hAnsi="仿宋" w:eastAsia="仿宋" w:cs="仿宋"/>
                <w:color w:val="auto"/>
                <w:sz w:val="24"/>
              </w:rPr>
            </w:pPr>
          </w:p>
        </w:tc>
        <w:tc>
          <w:tcPr>
            <w:tcW w:w="1418" w:type="dxa"/>
            <w:tcBorders>
              <w:top w:val="single" w:color="auto" w:sz="4" w:space="0"/>
              <w:left w:val="nil"/>
              <w:bottom w:val="single" w:color="auto" w:sz="4" w:space="0"/>
              <w:right w:val="single" w:color="auto" w:sz="4" w:space="0"/>
            </w:tcBorders>
            <w:vAlign w:val="center"/>
          </w:tcPr>
          <w:p w14:paraId="364C484F">
            <w:pPr>
              <w:spacing w:line="360" w:lineRule="auto"/>
              <w:rPr>
                <w:rFonts w:hint="eastAsia" w:ascii="仿宋" w:hAnsi="仿宋" w:eastAsia="仿宋" w:cs="仿宋"/>
                <w:color w:val="auto"/>
                <w:sz w:val="24"/>
              </w:rPr>
            </w:pPr>
          </w:p>
        </w:tc>
        <w:tc>
          <w:tcPr>
            <w:tcW w:w="1029" w:type="dxa"/>
            <w:tcBorders>
              <w:top w:val="single" w:color="auto" w:sz="4" w:space="0"/>
              <w:left w:val="nil"/>
              <w:bottom w:val="single" w:color="auto" w:sz="4" w:space="0"/>
              <w:right w:val="single" w:color="auto" w:sz="4" w:space="0"/>
            </w:tcBorders>
            <w:vAlign w:val="center"/>
          </w:tcPr>
          <w:p w14:paraId="277ED23F">
            <w:pPr>
              <w:spacing w:line="360" w:lineRule="auto"/>
              <w:rPr>
                <w:rFonts w:hint="eastAsia" w:ascii="仿宋" w:hAnsi="仿宋" w:eastAsia="仿宋" w:cs="仿宋"/>
                <w:color w:val="auto"/>
                <w:sz w:val="24"/>
              </w:rPr>
            </w:pPr>
          </w:p>
        </w:tc>
      </w:tr>
      <w:tr w14:paraId="1186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1025B46A">
            <w:pPr>
              <w:spacing w:before="240" w:beforeLines="100" w:line="360" w:lineRule="auto"/>
              <w:rPr>
                <w:rFonts w:hint="eastAsia" w:ascii="仿宋" w:hAnsi="仿宋" w:eastAsia="仿宋" w:cs="仿宋"/>
                <w:color w:val="auto"/>
                <w:sz w:val="24"/>
              </w:rPr>
            </w:pPr>
            <w:r>
              <w:rPr>
                <w:rFonts w:hint="eastAsia" w:ascii="仿宋" w:hAnsi="仿宋" w:eastAsia="仿宋" w:cs="仿宋"/>
                <w:color w:val="auto"/>
                <w:sz w:val="24"/>
              </w:rPr>
              <w:t xml:space="preserve">投标总报价（包含税费等所有费用）：（大写）人民币 </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p>
        </w:tc>
      </w:tr>
    </w:tbl>
    <w:p w14:paraId="017BF25F">
      <w:pPr>
        <w:snapToGrid w:val="0"/>
        <w:spacing w:before="50" w:after="50"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注： </w:t>
      </w:r>
    </w:p>
    <w:p w14:paraId="0B0DD0A0">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1.投标人的开标一览表必须加盖投标人公章并由法定代表人或者委托代理人签字，</w:t>
      </w:r>
      <w:r>
        <w:rPr>
          <w:rFonts w:hint="eastAsia" w:ascii="仿宋" w:hAnsi="仿宋" w:eastAsia="仿宋" w:cs="仿宋"/>
          <w:b/>
          <w:color w:val="auto"/>
          <w:sz w:val="24"/>
        </w:rPr>
        <w:t>否则其投标作无效标处理</w:t>
      </w:r>
      <w:r>
        <w:rPr>
          <w:rFonts w:hint="eastAsia" w:ascii="仿宋" w:hAnsi="仿宋" w:eastAsia="仿宋" w:cs="仿宋"/>
          <w:color w:val="auto"/>
          <w:sz w:val="24"/>
        </w:rPr>
        <w:t>。</w:t>
      </w:r>
    </w:p>
    <w:p w14:paraId="2C0940C0">
      <w:pPr>
        <w:snapToGrid w:val="0"/>
        <w:spacing w:before="50" w:after="50" w:line="360" w:lineRule="auto"/>
        <w:ind w:firstLine="480" w:firstLineChars="200"/>
        <w:jc w:val="left"/>
        <w:rPr>
          <w:rFonts w:hint="eastAsia" w:ascii="仿宋" w:hAnsi="仿宋" w:eastAsia="仿宋" w:cs="仿宋"/>
          <w:b/>
          <w:color w:val="auto"/>
          <w:sz w:val="24"/>
        </w:rPr>
      </w:pPr>
      <w:r>
        <w:rPr>
          <w:rFonts w:hint="eastAsia" w:ascii="仿宋" w:hAnsi="仿宋" w:eastAsia="仿宋" w:cs="仿宋"/>
          <w:bCs/>
          <w:color w:val="auto"/>
          <w:sz w:val="24"/>
        </w:rPr>
        <w:t>2.</w:t>
      </w:r>
      <w:r>
        <w:rPr>
          <w:rFonts w:hint="eastAsia" w:ascii="仿宋" w:hAnsi="仿宋" w:eastAsia="仿宋" w:cs="仿宋"/>
          <w:color w:val="auto"/>
          <w:sz w:val="24"/>
        </w:rPr>
        <w:t>报价一经涂改，应在涂改处加盖投标人公章或者由法定代表人或者委托代理人签字或者盖章</w:t>
      </w:r>
      <w:r>
        <w:rPr>
          <w:rFonts w:hint="eastAsia" w:ascii="仿宋" w:hAnsi="仿宋" w:eastAsia="仿宋" w:cs="仿宋"/>
          <w:b/>
          <w:color w:val="auto"/>
          <w:sz w:val="24"/>
        </w:rPr>
        <w:t>，否则其投标作无效标处理。</w:t>
      </w:r>
    </w:p>
    <w:p w14:paraId="7A05D4AF">
      <w:pPr>
        <w:snapToGrid w:val="0"/>
        <w:spacing w:before="50" w:after="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3.如为联合体投标，“投标人名称”处必须列明联合体各方名称，并标注联合体牵头人名称，</w:t>
      </w:r>
      <w:r>
        <w:rPr>
          <w:rFonts w:hint="eastAsia" w:ascii="仿宋" w:hAnsi="仿宋" w:eastAsia="仿宋" w:cs="仿宋"/>
          <w:b/>
          <w:color w:val="auto"/>
          <w:sz w:val="24"/>
        </w:rPr>
        <w:t>否则其投标作无效标处理。</w:t>
      </w:r>
    </w:p>
    <w:p w14:paraId="4CBD3858">
      <w:pPr>
        <w:snapToGrid w:val="0"/>
        <w:spacing w:before="50" w:after="50" w:line="360" w:lineRule="auto"/>
        <w:ind w:firstLine="456" w:firstLineChars="200"/>
        <w:jc w:val="left"/>
        <w:rPr>
          <w:rFonts w:hint="eastAsia" w:ascii="仿宋" w:hAnsi="仿宋" w:eastAsia="仿宋" w:cs="仿宋"/>
          <w:color w:val="auto"/>
          <w:spacing w:val="-6"/>
          <w:sz w:val="24"/>
        </w:rPr>
      </w:pPr>
      <w:r>
        <w:rPr>
          <w:rFonts w:hint="eastAsia" w:ascii="仿宋" w:hAnsi="仿宋" w:eastAsia="仿宋" w:cs="仿宋"/>
          <w:color w:val="auto"/>
          <w:spacing w:val="-6"/>
          <w:sz w:val="24"/>
        </w:rPr>
        <w:t>4.如为联合体投标，盖章处须加盖联合体各方公章，</w:t>
      </w:r>
      <w:r>
        <w:rPr>
          <w:rFonts w:hint="eastAsia" w:ascii="仿宋" w:hAnsi="仿宋" w:eastAsia="仿宋" w:cs="仿宋"/>
          <w:b/>
          <w:color w:val="auto"/>
          <w:spacing w:val="-6"/>
          <w:sz w:val="24"/>
        </w:rPr>
        <w:t>否则其投标作无效标处理。</w:t>
      </w:r>
    </w:p>
    <w:p w14:paraId="12276675">
      <w:pPr>
        <w:snapToGrid w:val="0"/>
        <w:spacing w:before="50" w:after="50"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5.如有多分标，按分标分别提供开标一览表，</w:t>
      </w:r>
      <w:r>
        <w:rPr>
          <w:rFonts w:hint="eastAsia" w:ascii="仿宋" w:hAnsi="仿宋" w:eastAsia="仿宋" w:cs="仿宋"/>
          <w:b/>
          <w:color w:val="auto"/>
          <w:sz w:val="24"/>
        </w:rPr>
        <w:t>否则投标无效。</w:t>
      </w:r>
    </w:p>
    <w:p w14:paraId="0C924BDB">
      <w:pPr>
        <w:snapToGrid w:val="0"/>
        <w:spacing w:before="50" w:after="50" w:line="360" w:lineRule="auto"/>
        <w:ind w:firstLine="482" w:firstLineChars="200"/>
        <w:rPr>
          <w:rFonts w:hint="eastAsia" w:ascii="仿宋" w:hAnsi="仿宋" w:eastAsia="仿宋" w:cs="仿宋"/>
          <w:b/>
          <w:color w:val="auto"/>
          <w:sz w:val="24"/>
        </w:rPr>
      </w:pPr>
    </w:p>
    <w:p w14:paraId="6374D09F">
      <w:pPr>
        <w:snapToGrid w:val="0"/>
        <w:spacing w:before="50" w:after="50" w:line="360" w:lineRule="auto"/>
        <w:ind w:left="-2" w:leftChars="-1" w:right="-817" w:rightChars="-389"/>
        <w:rPr>
          <w:rFonts w:hint="eastAsia" w:ascii="仿宋" w:hAnsi="仿宋" w:eastAsia="仿宋" w:cs="仿宋"/>
          <w:color w:val="auto"/>
          <w:sz w:val="24"/>
        </w:rPr>
      </w:pPr>
      <w:r>
        <w:rPr>
          <w:rFonts w:hint="eastAsia" w:ascii="仿宋" w:hAnsi="仿宋" w:eastAsia="仿宋" w:cs="仿宋"/>
          <w:color w:val="auto"/>
          <w:sz w:val="24"/>
        </w:rPr>
        <w:t xml:space="preserve">法定代表人或者委托代理人（签字）：                    </w:t>
      </w:r>
    </w:p>
    <w:p w14:paraId="13744938">
      <w:pPr>
        <w:snapToGrid w:val="0"/>
        <w:spacing w:before="50" w:after="50" w:line="360" w:lineRule="auto"/>
        <w:ind w:left="-3" w:leftChars="-15" w:right="-817" w:rightChars="-389" w:hanging="28" w:hangingChars="12"/>
        <w:rPr>
          <w:rFonts w:hint="eastAsia" w:ascii="仿宋" w:hAnsi="仿宋" w:eastAsia="仿宋" w:cs="仿宋"/>
          <w:color w:val="auto"/>
          <w:szCs w:val="21"/>
        </w:rPr>
      </w:pPr>
      <w:r>
        <w:rPr>
          <w:rFonts w:hint="eastAsia" w:ascii="仿宋" w:hAnsi="仿宋" w:eastAsia="仿宋" w:cs="仿宋"/>
          <w:color w:val="auto"/>
          <w:sz w:val="24"/>
        </w:rPr>
        <w:t>投标人（盖公章）：                                 日期：    年   月   日</w:t>
      </w:r>
    </w:p>
    <w:p w14:paraId="6F299A92">
      <w:pPr>
        <w:rPr>
          <w:rFonts w:hint="eastAsia" w:ascii="仿宋" w:hAnsi="仿宋" w:eastAsia="仿宋" w:cs="仿宋"/>
          <w:b/>
          <w:color w:val="auto"/>
          <w:sz w:val="28"/>
          <w:szCs w:val="28"/>
        </w:rPr>
      </w:pPr>
      <w:r>
        <w:rPr>
          <w:rFonts w:hint="eastAsia" w:ascii="仿宋" w:hAnsi="仿宋" w:eastAsia="仿宋" w:cs="仿宋"/>
          <w:b/>
          <w:bCs/>
          <w:color w:val="auto"/>
          <w:sz w:val="24"/>
        </w:rPr>
        <w:br w:type="page"/>
      </w:r>
      <w:bookmarkStart w:id="158" w:name="_Toc19686837"/>
      <w:r>
        <w:rPr>
          <w:rFonts w:hint="eastAsia" w:ascii="仿宋" w:hAnsi="仿宋" w:eastAsia="仿宋" w:cs="仿宋"/>
          <w:b/>
          <w:color w:val="auto"/>
          <w:sz w:val="28"/>
          <w:szCs w:val="28"/>
        </w:rPr>
        <w:t>二、资格证明文件格式</w:t>
      </w:r>
      <w:bookmarkEnd w:id="156"/>
      <w:bookmarkEnd w:id="157"/>
      <w:bookmarkEnd w:id="158"/>
    </w:p>
    <w:p w14:paraId="2A1BB9D8">
      <w:pPr>
        <w:numPr>
          <w:ilvl w:val="2"/>
          <w:numId w:val="10"/>
        </w:numPr>
        <w:snapToGrid w:val="0"/>
        <w:spacing w:before="120" w:beforeLines="50" w:after="50" w:line="360" w:lineRule="auto"/>
        <w:ind w:left="0" w:firstLine="0"/>
        <w:jc w:val="left"/>
        <w:rPr>
          <w:rFonts w:hint="eastAsia" w:ascii="仿宋" w:hAnsi="仿宋" w:eastAsia="仿宋" w:cs="仿宋"/>
          <w:b/>
          <w:color w:val="auto"/>
          <w:sz w:val="24"/>
        </w:rPr>
      </w:pPr>
      <w:r>
        <w:rPr>
          <w:rFonts w:hint="eastAsia" w:ascii="仿宋" w:hAnsi="仿宋" w:eastAsia="仿宋" w:cs="仿宋"/>
          <w:b/>
          <w:color w:val="auto"/>
          <w:sz w:val="24"/>
        </w:rPr>
        <w:t xml:space="preserve">资格证明文件封面格式： </w:t>
      </w:r>
    </w:p>
    <w:p w14:paraId="04B54F0A">
      <w:pPr>
        <w:snapToGrid w:val="0"/>
        <w:spacing w:before="120" w:beforeLines="50" w:after="50"/>
        <w:rPr>
          <w:rFonts w:hint="eastAsia" w:ascii="仿宋" w:hAnsi="仿宋" w:eastAsia="仿宋" w:cs="仿宋"/>
          <w:bCs/>
          <w:color w:val="auto"/>
          <w:sz w:val="32"/>
          <w:szCs w:val="20"/>
        </w:rPr>
      </w:pPr>
      <w:r>
        <w:rPr>
          <w:rFonts w:hint="eastAsia" w:ascii="仿宋" w:hAnsi="仿宋" w:eastAsia="仿宋" w:cs="仿宋"/>
          <w:color w:val="auto"/>
          <w:sz w:val="24"/>
        </w:rPr>
        <w:t xml:space="preserve">                                                   </w:t>
      </w:r>
    </w:p>
    <w:p w14:paraId="3AA5F59F">
      <w:pPr>
        <w:snapToGrid w:val="0"/>
        <w:spacing w:before="120" w:beforeLines="50" w:after="50"/>
        <w:rPr>
          <w:rFonts w:hint="eastAsia" w:ascii="仿宋" w:hAnsi="仿宋" w:eastAsia="仿宋" w:cs="仿宋"/>
          <w:color w:val="auto"/>
          <w:sz w:val="24"/>
          <w:szCs w:val="20"/>
        </w:rPr>
      </w:pPr>
    </w:p>
    <w:p w14:paraId="0BCC9714">
      <w:pPr>
        <w:snapToGrid w:val="0"/>
        <w:spacing w:before="120" w:beforeLines="50" w:after="50"/>
        <w:rPr>
          <w:rFonts w:hint="eastAsia" w:ascii="仿宋" w:hAnsi="仿宋" w:eastAsia="仿宋" w:cs="仿宋"/>
          <w:color w:val="auto"/>
          <w:sz w:val="24"/>
          <w:szCs w:val="20"/>
        </w:rPr>
      </w:pPr>
    </w:p>
    <w:p w14:paraId="42CC843A">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3AF9741F">
      <w:pPr>
        <w:snapToGrid w:val="0"/>
        <w:spacing w:before="120" w:beforeLines="50" w:after="50"/>
        <w:rPr>
          <w:rFonts w:hint="eastAsia" w:ascii="仿宋" w:hAnsi="仿宋" w:eastAsia="仿宋" w:cs="仿宋"/>
          <w:color w:val="auto"/>
          <w:sz w:val="24"/>
          <w:szCs w:val="20"/>
        </w:rPr>
      </w:pPr>
    </w:p>
    <w:p w14:paraId="0EE894F1">
      <w:pPr>
        <w:snapToGrid w:val="0"/>
        <w:spacing w:before="120" w:beforeLines="50" w:after="50"/>
        <w:rPr>
          <w:rFonts w:hint="eastAsia" w:ascii="仿宋" w:hAnsi="仿宋" w:eastAsia="仿宋" w:cs="仿宋"/>
          <w:color w:val="auto"/>
          <w:sz w:val="24"/>
          <w:szCs w:val="20"/>
        </w:rPr>
      </w:pPr>
    </w:p>
    <w:p w14:paraId="0BA6A690">
      <w:pPr>
        <w:snapToGrid w:val="0"/>
        <w:spacing w:before="120" w:beforeLines="50" w:after="50"/>
        <w:jc w:val="center"/>
        <w:rPr>
          <w:rFonts w:hint="eastAsia" w:ascii="仿宋" w:hAnsi="仿宋" w:eastAsia="仿宋" w:cs="仿宋"/>
          <w:b/>
          <w:color w:val="auto"/>
          <w:sz w:val="24"/>
          <w:szCs w:val="20"/>
        </w:rPr>
      </w:pPr>
      <w:r>
        <w:rPr>
          <w:rFonts w:hint="eastAsia" w:ascii="仿宋" w:hAnsi="仿宋" w:eastAsia="仿宋" w:cs="仿宋"/>
          <w:b/>
          <w:color w:val="auto"/>
          <w:sz w:val="32"/>
          <w:szCs w:val="32"/>
        </w:rPr>
        <w:t>资 格 证 明 文 件</w:t>
      </w:r>
    </w:p>
    <w:p w14:paraId="1350A0F5">
      <w:pPr>
        <w:snapToGrid w:val="0"/>
        <w:spacing w:before="120" w:beforeLines="50" w:after="50"/>
        <w:rPr>
          <w:rFonts w:hint="eastAsia" w:ascii="仿宋" w:hAnsi="仿宋" w:eastAsia="仿宋" w:cs="仿宋"/>
          <w:bCs/>
          <w:color w:val="auto"/>
          <w:sz w:val="24"/>
          <w:szCs w:val="20"/>
        </w:rPr>
      </w:pPr>
    </w:p>
    <w:p w14:paraId="173B84CA">
      <w:pPr>
        <w:snapToGrid w:val="0"/>
        <w:spacing w:before="120" w:beforeLines="50" w:after="50"/>
        <w:rPr>
          <w:rFonts w:hint="eastAsia" w:ascii="仿宋" w:hAnsi="仿宋" w:eastAsia="仿宋" w:cs="仿宋"/>
          <w:bCs/>
          <w:color w:val="auto"/>
          <w:sz w:val="24"/>
          <w:szCs w:val="20"/>
        </w:rPr>
      </w:pPr>
    </w:p>
    <w:p w14:paraId="6161EC2F">
      <w:pPr>
        <w:snapToGrid w:val="0"/>
        <w:spacing w:before="120" w:beforeLines="50" w:after="50"/>
        <w:rPr>
          <w:rFonts w:hint="eastAsia" w:ascii="仿宋" w:hAnsi="仿宋" w:eastAsia="仿宋" w:cs="仿宋"/>
          <w:bCs/>
          <w:color w:val="auto"/>
          <w:sz w:val="24"/>
          <w:szCs w:val="20"/>
        </w:rPr>
      </w:pPr>
    </w:p>
    <w:p w14:paraId="04AEA6C3">
      <w:pPr>
        <w:snapToGrid w:val="0"/>
        <w:spacing w:before="120" w:beforeLines="50" w:after="50"/>
        <w:rPr>
          <w:rFonts w:hint="eastAsia" w:ascii="仿宋" w:hAnsi="仿宋" w:eastAsia="仿宋" w:cs="仿宋"/>
          <w:bCs/>
          <w:color w:val="auto"/>
          <w:sz w:val="24"/>
          <w:szCs w:val="20"/>
        </w:rPr>
      </w:pPr>
    </w:p>
    <w:p w14:paraId="3B403898">
      <w:pPr>
        <w:snapToGrid w:val="0"/>
        <w:spacing w:before="120" w:beforeLines="50" w:after="50"/>
        <w:rPr>
          <w:rFonts w:hint="eastAsia" w:ascii="仿宋" w:hAnsi="仿宋" w:eastAsia="仿宋" w:cs="仿宋"/>
          <w:bCs/>
          <w:color w:val="auto"/>
          <w:sz w:val="24"/>
          <w:szCs w:val="20"/>
        </w:rPr>
      </w:pPr>
    </w:p>
    <w:p w14:paraId="29C7EA13">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项目名称：</w:t>
      </w:r>
    </w:p>
    <w:p w14:paraId="756B9FFC">
      <w:pPr>
        <w:snapToGrid w:val="0"/>
        <w:spacing w:before="120" w:beforeLines="50" w:after="50"/>
        <w:ind w:firstLine="540" w:firstLineChars="225"/>
        <w:rPr>
          <w:rFonts w:hint="eastAsia" w:ascii="仿宋" w:hAnsi="仿宋" w:eastAsia="仿宋" w:cs="仿宋"/>
          <w:bCs/>
          <w:color w:val="auto"/>
          <w:sz w:val="24"/>
          <w:szCs w:val="20"/>
        </w:rPr>
      </w:pPr>
    </w:p>
    <w:p w14:paraId="3CE57285">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项目编号：</w:t>
      </w:r>
    </w:p>
    <w:p w14:paraId="4967286A">
      <w:pPr>
        <w:snapToGrid w:val="0"/>
        <w:spacing w:before="120" w:beforeLines="50" w:after="50"/>
        <w:ind w:firstLine="540" w:firstLineChars="225"/>
        <w:rPr>
          <w:rFonts w:hint="eastAsia" w:ascii="仿宋" w:hAnsi="仿宋" w:eastAsia="仿宋" w:cs="仿宋"/>
          <w:bCs/>
          <w:color w:val="auto"/>
          <w:sz w:val="24"/>
          <w:szCs w:val="20"/>
        </w:rPr>
      </w:pPr>
      <w:r>
        <w:rPr>
          <w:rFonts w:hint="eastAsia" w:ascii="仿宋" w:hAnsi="仿宋" w:eastAsia="仿宋" w:cs="仿宋"/>
          <w:bCs/>
          <w:color w:val="auto"/>
          <w:sz w:val="24"/>
        </w:rPr>
        <w:t xml:space="preserve"> </w:t>
      </w:r>
    </w:p>
    <w:p w14:paraId="15864B05">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所投分标：</w:t>
      </w:r>
    </w:p>
    <w:p w14:paraId="5BF8B07E">
      <w:pPr>
        <w:pStyle w:val="6"/>
        <w:snapToGrid w:val="0"/>
        <w:spacing w:before="50" w:after="50"/>
        <w:ind w:firstLine="540" w:firstLineChars="225"/>
        <w:rPr>
          <w:rFonts w:hint="eastAsia" w:ascii="仿宋" w:hAnsi="仿宋" w:eastAsia="仿宋" w:cs="仿宋"/>
          <w:bCs/>
          <w:color w:val="auto"/>
          <w:sz w:val="24"/>
          <w:szCs w:val="24"/>
        </w:rPr>
      </w:pPr>
    </w:p>
    <w:p w14:paraId="6E97BC05">
      <w:pPr>
        <w:pStyle w:val="6"/>
        <w:snapToGrid w:val="0"/>
        <w:spacing w:before="50" w:after="50"/>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w:t>
      </w:r>
    </w:p>
    <w:p w14:paraId="4E14FB62">
      <w:pPr>
        <w:pStyle w:val="6"/>
        <w:snapToGrid w:val="0"/>
        <w:spacing w:before="50" w:after="50"/>
        <w:ind w:firstLine="540" w:firstLineChars="225"/>
        <w:rPr>
          <w:rFonts w:hint="eastAsia" w:ascii="仿宋" w:hAnsi="仿宋" w:eastAsia="仿宋" w:cs="仿宋"/>
          <w:bCs/>
          <w:color w:val="auto"/>
          <w:sz w:val="24"/>
          <w:szCs w:val="24"/>
        </w:rPr>
      </w:pPr>
    </w:p>
    <w:p w14:paraId="15FCCA47">
      <w:pPr>
        <w:pStyle w:val="6"/>
        <w:snapToGrid w:val="0"/>
        <w:spacing w:before="50" w:after="50"/>
        <w:ind w:firstLine="960" w:firstLineChars="400"/>
        <w:rPr>
          <w:rFonts w:hint="eastAsia" w:ascii="仿宋" w:hAnsi="仿宋" w:eastAsia="仿宋" w:cs="仿宋"/>
          <w:bCs/>
          <w:color w:val="auto"/>
          <w:sz w:val="24"/>
          <w:szCs w:val="24"/>
        </w:rPr>
      </w:pPr>
    </w:p>
    <w:p w14:paraId="1DE8B9F2">
      <w:pPr>
        <w:snapToGrid w:val="0"/>
        <w:spacing w:before="120" w:beforeLines="50" w:after="50"/>
        <w:ind w:firstLine="645"/>
        <w:jc w:val="center"/>
        <w:rPr>
          <w:rFonts w:hint="eastAsia" w:ascii="仿宋" w:hAnsi="仿宋" w:eastAsia="仿宋" w:cs="仿宋"/>
          <w:color w:val="auto"/>
          <w:sz w:val="24"/>
        </w:rPr>
      </w:pPr>
      <w:r>
        <w:rPr>
          <w:rFonts w:hint="eastAsia" w:ascii="仿宋" w:hAnsi="仿宋" w:eastAsia="仿宋" w:cs="仿宋"/>
          <w:color w:val="auto"/>
          <w:sz w:val="24"/>
        </w:rPr>
        <w:t>年  月  日</w:t>
      </w:r>
    </w:p>
    <w:p w14:paraId="04323C94">
      <w:pPr>
        <w:snapToGrid w:val="0"/>
        <w:spacing w:before="120" w:beforeLines="50" w:after="50"/>
        <w:rPr>
          <w:rFonts w:hint="eastAsia" w:ascii="仿宋" w:hAnsi="仿宋" w:eastAsia="仿宋" w:cs="仿宋"/>
          <w:color w:val="auto"/>
          <w:sz w:val="24"/>
          <w:szCs w:val="20"/>
        </w:rPr>
      </w:pPr>
      <w:r>
        <w:rPr>
          <w:rFonts w:hint="eastAsia" w:ascii="仿宋" w:hAnsi="仿宋" w:eastAsia="仿宋" w:cs="仿宋"/>
          <w:color w:val="auto"/>
          <w:sz w:val="24"/>
          <w:szCs w:val="20"/>
        </w:rPr>
        <w:t xml:space="preserve"> </w:t>
      </w:r>
    </w:p>
    <w:p w14:paraId="164AAE12">
      <w:pPr>
        <w:snapToGrid w:val="0"/>
        <w:spacing w:before="120" w:beforeLines="50" w:after="50"/>
        <w:rPr>
          <w:rFonts w:hint="eastAsia" w:ascii="仿宋" w:hAnsi="仿宋" w:eastAsia="仿宋" w:cs="仿宋"/>
          <w:color w:val="auto"/>
          <w:sz w:val="24"/>
          <w:szCs w:val="20"/>
        </w:rPr>
      </w:pPr>
    </w:p>
    <w:p w14:paraId="4A0493C6">
      <w:pPr>
        <w:numPr>
          <w:ilvl w:val="2"/>
          <w:numId w:val="10"/>
        </w:numPr>
        <w:snapToGrid w:val="0"/>
        <w:spacing w:before="120" w:beforeLines="50" w:after="50" w:line="360" w:lineRule="auto"/>
        <w:ind w:left="0" w:firstLine="0"/>
        <w:jc w:val="left"/>
        <w:rPr>
          <w:rFonts w:hint="eastAsia" w:ascii="仿宋" w:hAnsi="仿宋" w:eastAsia="仿宋" w:cs="仿宋"/>
          <w:color w:val="auto"/>
          <w:sz w:val="24"/>
          <w:szCs w:val="20"/>
        </w:rPr>
      </w:pPr>
      <w:r>
        <w:rPr>
          <w:rFonts w:hint="eastAsia" w:ascii="仿宋" w:hAnsi="仿宋" w:eastAsia="仿宋" w:cs="仿宋"/>
          <w:b/>
          <w:bCs/>
          <w:color w:val="auto"/>
          <w:sz w:val="24"/>
        </w:rPr>
        <w:br w:type="page"/>
      </w:r>
      <w:r>
        <w:rPr>
          <w:rFonts w:hint="eastAsia" w:ascii="仿宋" w:hAnsi="仿宋" w:eastAsia="仿宋" w:cs="仿宋"/>
          <w:b/>
          <w:bCs/>
          <w:color w:val="auto"/>
          <w:sz w:val="24"/>
        </w:rPr>
        <w:t>资格证明文件目录</w:t>
      </w:r>
    </w:p>
    <w:p w14:paraId="2CA5E55A">
      <w:pPr>
        <w:snapToGri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根据招标文件规定及投标人提供的材料自行编写目录。</w:t>
      </w:r>
    </w:p>
    <w:p w14:paraId="735C800A">
      <w:pPr>
        <w:snapToGrid w:val="0"/>
        <w:spacing w:before="50" w:after="120" w:afterLines="50"/>
        <w:jc w:val="left"/>
        <w:rPr>
          <w:rFonts w:hint="eastAsia" w:ascii="仿宋" w:hAnsi="仿宋" w:eastAsia="仿宋" w:cs="仿宋"/>
          <w:color w:val="auto"/>
          <w:sz w:val="24"/>
        </w:rPr>
      </w:pPr>
    </w:p>
    <w:p w14:paraId="3EA8F160">
      <w:pPr>
        <w:snapToGrid w:val="0"/>
        <w:spacing w:before="50" w:after="120" w:afterLines="50"/>
        <w:jc w:val="left"/>
        <w:rPr>
          <w:rFonts w:hint="eastAsia" w:ascii="仿宋" w:hAnsi="仿宋" w:eastAsia="仿宋" w:cs="仿宋"/>
          <w:color w:val="auto"/>
          <w:sz w:val="24"/>
        </w:rPr>
      </w:pPr>
    </w:p>
    <w:p w14:paraId="7240BF85">
      <w:pPr>
        <w:numPr>
          <w:ilvl w:val="2"/>
          <w:numId w:val="10"/>
        </w:numPr>
        <w:snapToGrid w:val="0"/>
        <w:spacing w:before="120" w:beforeLines="50" w:after="50"/>
        <w:ind w:left="0" w:firstLine="0"/>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8"/>
          <w:szCs w:val="28"/>
        </w:rPr>
        <w:t>投标人直接控股、管理关系信息表</w:t>
      </w:r>
    </w:p>
    <w:p w14:paraId="390054BE">
      <w:pPr>
        <w:snapToGrid w:val="0"/>
        <w:spacing w:before="50" w:after="120" w:afterLines="50"/>
        <w:jc w:val="center"/>
        <w:rPr>
          <w:rFonts w:hint="eastAsia" w:ascii="仿宋" w:hAnsi="仿宋" w:eastAsia="仿宋" w:cs="仿宋"/>
          <w:b/>
          <w:color w:val="auto"/>
          <w:sz w:val="28"/>
          <w:szCs w:val="28"/>
        </w:rPr>
      </w:pPr>
    </w:p>
    <w:p w14:paraId="5CBFC793">
      <w:pPr>
        <w:snapToGrid w:val="0"/>
        <w:spacing w:before="50" w:after="120" w:afterLines="50"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16A745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584857">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DC07B4">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202C8D">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5A04D9">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78DAB1">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备注</w:t>
            </w:r>
          </w:p>
        </w:tc>
      </w:tr>
      <w:tr w14:paraId="6869D0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FD3439">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C93EA8">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75859A">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3453A">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D3AB92">
            <w:pPr>
              <w:spacing w:line="360" w:lineRule="auto"/>
              <w:jc w:val="center"/>
              <w:rPr>
                <w:rFonts w:hint="eastAsia" w:ascii="仿宋" w:hAnsi="仿宋" w:eastAsia="仿宋" w:cs="仿宋"/>
                <w:color w:val="auto"/>
                <w:kern w:val="0"/>
                <w:sz w:val="24"/>
              </w:rPr>
            </w:pPr>
          </w:p>
        </w:tc>
      </w:tr>
      <w:tr w14:paraId="52B50B7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86EF7">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75C987">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C12B0B">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D0728">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287248">
            <w:pPr>
              <w:spacing w:line="360" w:lineRule="auto"/>
              <w:jc w:val="center"/>
              <w:rPr>
                <w:rFonts w:hint="eastAsia" w:ascii="仿宋" w:hAnsi="仿宋" w:eastAsia="仿宋" w:cs="仿宋"/>
                <w:color w:val="auto"/>
                <w:kern w:val="0"/>
                <w:sz w:val="24"/>
              </w:rPr>
            </w:pPr>
          </w:p>
        </w:tc>
      </w:tr>
      <w:tr w14:paraId="7B9CF0C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505B6">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38BCCF">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B012AF">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9BA56">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FE4B57">
            <w:pPr>
              <w:spacing w:line="360" w:lineRule="auto"/>
              <w:jc w:val="center"/>
              <w:rPr>
                <w:rFonts w:hint="eastAsia" w:ascii="仿宋" w:hAnsi="仿宋" w:eastAsia="仿宋" w:cs="仿宋"/>
                <w:color w:val="auto"/>
                <w:kern w:val="0"/>
                <w:sz w:val="24"/>
              </w:rPr>
            </w:pPr>
          </w:p>
        </w:tc>
      </w:tr>
      <w:tr w14:paraId="6B45365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CD76D4">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484F3">
            <w:pPr>
              <w:spacing w:line="360" w:lineRule="auto"/>
              <w:jc w:val="center"/>
              <w:rPr>
                <w:rFonts w:hint="eastAsia" w:ascii="仿宋" w:hAnsi="仿宋" w:eastAsia="仿宋" w:cs="仿宋"/>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7D2144">
            <w:pPr>
              <w:spacing w:line="360" w:lineRule="auto"/>
              <w:jc w:val="center"/>
              <w:rPr>
                <w:rFonts w:hint="eastAsia" w:ascii="仿宋" w:hAnsi="仿宋" w:eastAsia="仿宋" w:cs="仿宋"/>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71F004">
            <w:pPr>
              <w:spacing w:line="360" w:lineRule="auto"/>
              <w:jc w:val="center"/>
              <w:rPr>
                <w:rFonts w:hint="eastAsia" w:ascii="仿宋" w:hAnsi="仿宋" w:eastAsia="仿宋" w:cs="仿宋"/>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199C8">
            <w:pPr>
              <w:spacing w:line="360" w:lineRule="auto"/>
              <w:jc w:val="center"/>
              <w:rPr>
                <w:rFonts w:hint="eastAsia" w:ascii="仿宋" w:hAnsi="仿宋" w:eastAsia="仿宋" w:cs="仿宋"/>
                <w:color w:val="auto"/>
                <w:kern w:val="0"/>
                <w:sz w:val="24"/>
              </w:rPr>
            </w:pPr>
          </w:p>
        </w:tc>
      </w:tr>
    </w:tbl>
    <w:p w14:paraId="594299A5">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注：</w:t>
      </w:r>
    </w:p>
    <w:p w14:paraId="6B0D3A76">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88B3CE">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2.本表所指的控股关系仅限于直接控股关系，不包括间接的控股关系。公司实际控制人与公司之间的关系不属于本表所指的直接控股关系。</w:t>
      </w:r>
    </w:p>
    <w:p w14:paraId="1866D841">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3.供应商不存在直接控股股东的，则填“无”。</w:t>
      </w:r>
    </w:p>
    <w:p w14:paraId="3C82F72D">
      <w:pPr>
        <w:snapToGrid w:val="0"/>
        <w:spacing w:line="360" w:lineRule="auto"/>
        <w:jc w:val="left"/>
        <w:rPr>
          <w:rFonts w:hint="eastAsia" w:ascii="仿宋" w:hAnsi="仿宋" w:eastAsia="仿宋" w:cs="仿宋"/>
          <w:color w:val="auto"/>
          <w:sz w:val="24"/>
        </w:rPr>
      </w:pPr>
    </w:p>
    <w:p w14:paraId="075150B8">
      <w:pPr>
        <w:snapToGrid w:val="0"/>
        <w:spacing w:line="360" w:lineRule="auto"/>
        <w:jc w:val="left"/>
        <w:rPr>
          <w:rFonts w:hint="eastAsia" w:ascii="仿宋" w:hAnsi="仿宋" w:eastAsia="仿宋" w:cs="仿宋"/>
          <w:color w:val="auto"/>
          <w:sz w:val="24"/>
        </w:rPr>
      </w:pPr>
    </w:p>
    <w:p w14:paraId="55924E60">
      <w:pPr>
        <w:snapToGrid w:val="0"/>
        <w:spacing w:line="360" w:lineRule="auto"/>
        <w:jc w:val="left"/>
        <w:rPr>
          <w:rFonts w:hint="eastAsia" w:ascii="仿宋" w:hAnsi="仿宋" w:eastAsia="仿宋" w:cs="仿宋"/>
          <w:color w:val="auto"/>
          <w:sz w:val="24"/>
        </w:rPr>
      </w:pPr>
    </w:p>
    <w:p w14:paraId="68D5A72B">
      <w:pPr>
        <w:snapToGrid w:val="0"/>
        <w:spacing w:line="360" w:lineRule="auto"/>
        <w:jc w:val="left"/>
        <w:rPr>
          <w:rFonts w:hint="eastAsia" w:ascii="仿宋" w:hAnsi="仿宋" w:eastAsia="仿宋" w:cs="仿宋"/>
          <w:color w:val="auto"/>
          <w:sz w:val="24"/>
        </w:rPr>
      </w:pPr>
    </w:p>
    <w:p w14:paraId="677B04D8">
      <w:pPr>
        <w:snapToGrid w:val="0"/>
        <w:spacing w:line="360" w:lineRule="auto"/>
        <w:jc w:val="left"/>
        <w:rPr>
          <w:rFonts w:hint="eastAsia" w:ascii="仿宋" w:hAnsi="仿宋" w:eastAsia="仿宋" w:cs="仿宋"/>
          <w:color w:val="auto"/>
          <w:sz w:val="24"/>
        </w:rPr>
      </w:pPr>
    </w:p>
    <w:p w14:paraId="7575C5B5">
      <w:pPr>
        <w:snapToGrid w:val="0"/>
        <w:spacing w:before="120" w:beforeLines="50" w:line="360" w:lineRule="auto"/>
        <w:ind w:right="480" w:firstLine="3967" w:firstLineChars="1653"/>
        <w:rPr>
          <w:rFonts w:hint="eastAsia" w:ascii="仿宋" w:hAnsi="仿宋" w:eastAsia="仿宋" w:cs="仿宋"/>
          <w:color w:val="auto"/>
          <w:sz w:val="24"/>
          <w:u w:val="single"/>
        </w:rPr>
      </w:pPr>
      <w:r>
        <w:rPr>
          <w:rFonts w:hint="eastAsia" w:ascii="仿宋" w:hAnsi="仿宋" w:eastAsia="仿宋" w:cs="仿宋"/>
          <w:color w:val="auto"/>
          <w:sz w:val="24"/>
        </w:rPr>
        <w:t>法定代表人或者委托代理人（签字）：</w:t>
      </w:r>
      <w:r>
        <w:rPr>
          <w:rFonts w:hint="eastAsia" w:ascii="仿宋" w:hAnsi="仿宋" w:eastAsia="仿宋" w:cs="仿宋"/>
          <w:color w:val="auto"/>
          <w:sz w:val="24"/>
          <w:u w:val="single"/>
        </w:rPr>
        <w:t xml:space="preserve">             </w:t>
      </w:r>
    </w:p>
    <w:p w14:paraId="422E9888">
      <w:pPr>
        <w:snapToGrid w:val="0"/>
        <w:spacing w:before="120" w:beforeLines="50" w:after="50" w:line="360" w:lineRule="auto"/>
        <w:ind w:right="480" w:firstLine="5520" w:firstLineChars="2300"/>
        <w:rPr>
          <w:rFonts w:hint="eastAsia" w:ascii="仿宋" w:hAnsi="仿宋" w:eastAsia="仿宋" w:cs="仿宋"/>
          <w:color w:val="auto"/>
          <w:sz w:val="24"/>
          <w:u w:val="single"/>
        </w:rPr>
      </w:pPr>
      <w:r>
        <w:rPr>
          <w:rFonts w:hint="eastAsia" w:ascii="仿宋" w:hAnsi="仿宋" w:eastAsia="仿宋" w:cs="仿宋"/>
          <w:color w:val="auto"/>
          <w:sz w:val="24"/>
        </w:rPr>
        <w:t>投标人（盖公章）：</w:t>
      </w:r>
      <w:r>
        <w:rPr>
          <w:rFonts w:hint="eastAsia" w:ascii="仿宋" w:hAnsi="仿宋" w:eastAsia="仿宋" w:cs="仿宋"/>
          <w:color w:val="auto"/>
          <w:sz w:val="24"/>
          <w:u w:val="single"/>
        </w:rPr>
        <w:t xml:space="preserve">                 </w:t>
      </w:r>
    </w:p>
    <w:p w14:paraId="109E62EA">
      <w:pPr>
        <w:snapToGrid w:val="0"/>
        <w:spacing w:before="120" w:beforeLines="50" w:after="50" w:line="360" w:lineRule="auto"/>
        <w:ind w:right="480" w:firstLine="5520" w:firstLineChars="2300"/>
        <w:rPr>
          <w:rFonts w:hint="eastAsia" w:ascii="仿宋" w:hAnsi="仿宋" w:eastAsia="仿宋" w:cs="仿宋"/>
          <w:b/>
          <w:color w:val="auto"/>
          <w:sz w:val="28"/>
          <w:szCs w:val="28"/>
        </w:rPr>
      </w:pPr>
      <w:r>
        <w:rPr>
          <w:rFonts w:hint="eastAsia" w:ascii="仿宋" w:hAnsi="仿宋" w:eastAsia="仿宋" w:cs="仿宋"/>
          <w:color w:val="auto"/>
          <w:sz w:val="24"/>
        </w:rPr>
        <w:t>年    月    日</w:t>
      </w:r>
    </w:p>
    <w:p w14:paraId="274565C1">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b/>
          <w:color w:val="auto"/>
          <w:sz w:val="32"/>
          <w:szCs w:val="32"/>
        </w:rPr>
        <w:t>投标人直接管理关系信息表</w:t>
      </w:r>
    </w:p>
    <w:tbl>
      <w:tblPr>
        <w:tblStyle w:val="47"/>
        <w:tblW w:w="0" w:type="auto"/>
        <w:tblInd w:w="0" w:type="dxa"/>
        <w:tblLayout w:type="fixed"/>
        <w:tblCellMar>
          <w:top w:w="0" w:type="dxa"/>
          <w:left w:w="0" w:type="dxa"/>
          <w:bottom w:w="0" w:type="dxa"/>
          <w:right w:w="0" w:type="dxa"/>
        </w:tblCellMar>
      </w:tblPr>
      <w:tblGrid>
        <w:gridCol w:w="1005"/>
        <w:gridCol w:w="2659"/>
        <w:gridCol w:w="3924"/>
        <w:gridCol w:w="2064"/>
      </w:tblGrid>
      <w:tr w14:paraId="4CFED7B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5D602D">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3F67A1">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7757B1">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6BF0B9">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备注</w:t>
            </w:r>
          </w:p>
        </w:tc>
      </w:tr>
      <w:tr w14:paraId="68DB794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A6D156">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B9B71F">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B2E2CC">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B39157">
            <w:pPr>
              <w:spacing w:line="360" w:lineRule="auto"/>
              <w:jc w:val="center"/>
              <w:rPr>
                <w:rFonts w:hint="eastAsia" w:ascii="仿宋" w:hAnsi="仿宋" w:eastAsia="仿宋" w:cs="仿宋"/>
                <w:color w:val="auto"/>
                <w:kern w:val="0"/>
                <w:sz w:val="24"/>
              </w:rPr>
            </w:pPr>
          </w:p>
        </w:tc>
      </w:tr>
      <w:tr w14:paraId="6AC1A47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C8FF0C">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ED502B">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294F2C">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CF24C1">
            <w:pPr>
              <w:spacing w:line="360" w:lineRule="auto"/>
              <w:jc w:val="center"/>
              <w:rPr>
                <w:rFonts w:hint="eastAsia" w:ascii="仿宋" w:hAnsi="仿宋" w:eastAsia="仿宋" w:cs="仿宋"/>
                <w:color w:val="auto"/>
                <w:kern w:val="0"/>
                <w:sz w:val="24"/>
              </w:rPr>
            </w:pPr>
          </w:p>
        </w:tc>
      </w:tr>
      <w:tr w14:paraId="398350B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1CED3A7">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9A7B85">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816C97">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2FBD70">
            <w:pPr>
              <w:spacing w:line="360" w:lineRule="auto"/>
              <w:jc w:val="center"/>
              <w:rPr>
                <w:rFonts w:hint="eastAsia" w:ascii="仿宋" w:hAnsi="仿宋" w:eastAsia="仿宋" w:cs="仿宋"/>
                <w:color w:val="auto"/>
                <w:kern w:val="0"/>
                <w:sz w:val="24"/>
              </w:rPr>
            </w:pPr>
          </w:p>
        </w:tc>
      </w:tr>
      <w:tr w14:paraId="043EE15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BBA2CA">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610F54">
            <w:pPr>
              <w:spacing w:line="360" w:lineRule="auto"/>
              <w:jc w:val="center"/>
              <w:rPr>
                <w:rFonts w:hint="eastAsia" w:ascii="仿宋" w:hAnsi="仿宋" w:eastAsia="仿宋" w:cs="仿宋"/>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95CB62">
            <w:pPr>
              <w:spacing w:line="360" w:lineRule="auto"/>
              <w:jc w:val="center"/>
              <w:rPr>
                <w:rFonts w:hint="eastAsia" w:ascii="仿宋" w:hAnsi="仿宋" w:eastAsia="仿宋" w:cs="仿宋"/>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A8151E">
            <w:pPr>
              <w:spacing w:line="360" w:lineRule="auto"/>
              <w:jc w:val="center"/>
              <w:rPr>
                <w:rFonts w:hint="eastAsia" w:ascii="仿宋" w:hAnsi="仿宋" w:eastAsia="仿宋" w:cs="仿宋"/>
                <w:color w:val="auto"/>
                <w:kern w:val="0"/>
                <w:sz w:val="24"/>
              </w:rPr>
            </w:pPr>
          </w:p>
        </w:tc>
      </w:tr>
    </w:tbl>
    <w:p w14:paraId="7B568EFE">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注：</w:t>
      </w:r>
    </w:p>
    <w:p w14:paraId="42B88F10">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1.管理关系：是指不具有出资持股关系的其他单位之间存在的管理与被管理关系，如一些上下级关系的事业单位和团体组织。</w:t>
      </w:r>
    </w:p>
    <w:p w14:paraId="3D552085">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pacing w:val="-6"/>
          <w:sz w:val="24"/>
        </w:rPr>
        <w:t>本表所指的管理关系仅限于直接管理关系，不包括间接的管理关系。</w:t>
      </w:r>
    </w:p>
    <w:p w14:paraId="05CD61A4">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3.供应商不存在直接管理关系的，则填“无”。</w:t>
      </w:r>
    </w:p>
    <w:p w14:paraId="33278375">
      <w:pPr>
        <w:snapToGrid w:val="0"/>
        <w:spacing w:line="360" w:lineRule="auto"/>
        <w:jc w:val="left"/>
        <w:rPr>
          <w:rFonts w:hint="eastAsia" w:ascii="仿宋" w:hAnsi="仿宋" w:eastAsia="仿宋" w:cs="仿宋"/>
          <w:color w:val="auto"/>
          <w:sz w:val="24"/>
        </w:rPr>
      </w:pPr>
    </w:p>
    <w:p w14:paraId="0DEADFCC">
      <w:pPr>
        <w:snapToGrid w:val="0"/>
        <w:spacing w:line="360" w:lineRule="auto"/>
        <w:jc w:val="left"/>
        <w:rPr>
          <w:rFonts w:hint="eastAsia" w:ascii="仿宋" w:hAnsi="仿宋" w:eastAsia="仿宋" w:cs="仿宋"/>
          <w:color w:val="auto"/>
          <w:sz w:val="24"/>
        </w:rPr>
      </w:pPr>
    </w:p>
    <w:p w14:paraId="069842BF">
      <w:pPr>
        <w:snapToGrid w:val="0"/>
        <w:spacing w:line="360" w:lineRule="auto"/>
        <w:jc w:val="left"/>
        <w:rPr>
          <w:rFonts w:hint="eastAsia" w:ascii="仿宋" w:hAnsi="仿宋" w:eastAsia="仿宋" w:cs="仿宋"/>
          <w:color w:val="auto"/>
          <w:sz w:val="24"/>
        </w:rPr>
      </w:pPr>
    </w:p>
    <w:p w14:paraId="1A453E41">
      <w:pPr>
        <w:snapToGrid w:val="0"/>
        <w:spacing w:line="360" w:lineRule="auto"/>
        <w:jc w:val="left"/>
        <w:rPr>
          <w:rFonts w:hint="eastAsia" w:ascii="仿宋" w:hAnsi="仿宋" w:eastAsia="仿宋" w:cs="仿宋"/>
          <w:color w:val="auto"/>
          <w:sz w:val="24"/>
        </w:rPr>
      </w:pPr>
    </w:p>
    <w:p w14:paraId="6D72052C">
      <w:pPr>
        <w:snapToGrid w:val="0"/>
        <w:spacing w:line="360" w:lineRule="auto"/>
        <w:jc w:val="left"/>
        <w:rPr>
          <w:rFonts w:hint="eastAsia" w:ascii="仿宋" w:hAnsi="仿宋" w:eastAsia="仿宋" w:cs="仿宋"/>
          <w:color w:val="auto"/>
          <w:sz w:val="24"/>
        </w:rPr>
      </w:pPr>
    </w:p>
    <w:p w14:paraId="4A3D66B7">
      <w:pPr>
        <w:snapToGrid w:val="0"/>
        <w:spacing w:line="360" w:lineRule="auto"/>
        <w:jc w:val="left"/>
        <w:rPr>
          <w:rFonts w:hint="eastAsia" w:ascii="仿宋" w:hAnsi="仿宋" w:eastAsia="仿宋" w:cs="仿宋"/>
          <w:color w:val="auto"/>
          <w:sz w:val="24"/>
        </w:rPr>
      </w:pPr>
    </w:p>
    <w:p w14:paraId="309A4C87">
      <w:pPr>
        <w:snapToGrid w:val="0"/>
        <w:spacing w:line="360" w:lineRule="auto"/>
        <w:jc w:val="left"/>
        <w:rPr>
          <w:rFonts w:hint="eastAsia" w:ascii="仿宋" w:hAnsi="仿宋" w:eastAsia="仿宋" w:cs="仿宋"/>
          <w:color w:val="auto"/>
          <w:sz w:val="24"/>
        </w:rPr>
      </w:pPr>
    </w:p>
    <w:p w14:paraId="2A76ACEA">
      <w:pPr>
        <w:snapToGrid w:val="0"/>
        <w:spacing w:before="120" w:beforeLines="50" w:line="360" w:lineRule="auto"/>
        <w:ind w:right="480" w:firstLine="3967" w:firstLineChars="1653"/>
        <w:rPr>
          <w:rFonts w:hint="eastAsia" w:ascii="仿宋" w:hAnsi="仿宋" w:eastAsia="仿宋" w:cs="仿宋"/>
          <w:color w:val="auto"/>
          <w:sz w:val="24"/>
          <w:u w:val="single"/>
        </w:rPr>
      </w:pPr>
      <w:r>
        <w:rPr>
          <w:rFonts w:hint="eastAsia" w:ascii="仿宋" w:hAnsi="仿宋" w:eastAsia="仿宋" w:cs="仿宋"/>
          <w:color w:val="auto"/>
          <w:sz w:val="24"/>
        </w:rPr>
        <w:t>法定代表人或者委托代理人（签字）：</w:t>
      </w:r>
      <w:r>
        <w:rPr>
          <w:rFonts w:hint="eastAsia" w:ascii="仿宋" w:hAnsi="仿宋" w:eastAsia="仿宋" w:cs="仿宋"/>
          <w:color w:val="auto"/>
          <w:sz w:val="24"/>
          <w:u w:val="single"/>
        </w:rPr>
        <w:t xml:space="preserve">             </w:t>
      </w:r>
    </w:p>
    <w:p w14:paraId="25D446A1">
      <w:pPr>
        <w:snapToGrid w:val="0"/>
        <w:spacing w:before="120" w:beforeLines="50" w:after="50" w:line="360" w:lineRule="auto"/>
        <w:ind w:right="480" w:firstLine="5520" w:firstLineChars="2300"/>
        <w:rPr>
          <w:rFonts w:hint="eastAsia" w:ascii="仿宋" w:hAnsi="仿宋" w:eastAsia="仿宋" w:cs="仿宋"/>
          <w:color w:val="auto"/>
          <w:sz w:val="24"/>
        </w:rPr>
      </w:pPr>
      <w:r>
        <w:rPr>
          <w:rFonts w:hint="eastAsia" w:ascii="仿宋" w:hAnsi="仿宋" w:eastAsia="仿宋" w:cs="仿宋"/>
          <w:color w:val="auto"/>
          <w:sz w:val="24"/>
        </w:rPr>
        <w:t>投标人（盖公章）：</w:t>
      </w:r>
      <w:r>
        <w:rPr>
          <w:rFonts w:hint="eastAsia" w:ascii="仿宋" w:hAnsi="仿宋" w:eastAsia="仿宋" w:cs="仿宋"/>
          <w:color w:val="auto"/>
          <w:sz w:val="24"/>
          <w:u w:val="single"/>
        </w:rPr>
        <w:t xml:space="preserve">                 </w:t>
      </w:r>
    </w:p>
    <w:p w14:paraId="5BA65C1D">
      <w:pPr>
        <w:snapToGrid w:val="0"/>
        <w:spacing w:before="120" w:beforeLines="50" w:after="50" w:line="360" w:lineRule="auto"/>
        <w:ind w:right="480" w:firstLine="240" w:firstLineChars="100"/>
        <w:jc w:val="right"/>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1828A545">
      <w:pPr>
        <w:snapToGrid w:val="0"/>
        <w:spacing w:before="50" w:after="120" w:afterLines="50"/>
        <w:jc w:val="left"/>
        <w:rPr>
          <w:rFonts w:hint="eastAsia" w:ascii="仿宋" w:hAnsi="仿宋" w:eastAsia="仿宋" w:cs="仿宋"/>
          <w:color w:val="auto"/>
          <w:szCs w:val="21"/>
        </w:rPr>
      </w:pPr>
    </w:p>
    <w:p w14:paraId="6A590EA6">
      <w:pPr>
        <w:snapToGrid w:val="0"/>
        <w:spacing w:before="120" w:beforeLines="50" w:after="50"/>
        <w:jc w:val="left"/>
        <w:rPr>
          <w:rFonts w:hint="eastAsia" w:ascii="仿宋" w:hAnsi="仿宋" w:eastAsia="仿宋" w:cs="仿宋"/>
          <w:b/>
          <w:color w:val="auto"/>
          <w:sz w:val="24"/>
          <w:szCs w:val="20"/>
        </w:rPr>
      </w:pPr>
    </w:p>
    <w:p w14:paraId="7593D430">
      <w:pPr>
        <w:numPr>
          <w:ilvl w:val="2"/>
          <w:numId w:val="10"/>
        </w:numPr>
        <w:snapToGrid w:val="0"/>
        <w:spacing w:before="120" w:beforeLines="50" w:after="50"/>
        <w:ind w:left="0" w:firstLine="0"/>
        <w:jc w:val="left"/>
        <w:rPr>
          <w:rFonts w:hint="eastAsia" w:ascii="仿宋" w:hAnsi="仿宋" w:eastAsia="仿宋" w:cs="仿宋"/>
          <w:b/>
          <w:color w:val="auto"/>
          <w:sz w:val="24"/>
          <w:szCs w:val="20"/>
        </w:rPr>
      </w:pPr>
      <w:r>
        <w:rPr>
          <w:rFonts w:hint="eastAsia" w:ascii="仿宋" w:hAnsi="仿宋" w:eastAsia="仿宋" w:cs="仿宋"/>
          <w:b/>
          <w:color w:val="auto"/>
          <w:sz w:val="24"/>
        </w:rPr>
        <w:br w:type="page"/>
      </w:r>
      <w:r>
        <w:rPr>
          <w:rFonts w:hint="eastAsia" w:ascii="仿宋" w:hAnsi="仿宋" w:eastAsia="仿宋" w:cs="仿宋"/>
          <w:b/>
          <w:color w:val="auto"/>
          <w:sz w:val="24"/>
        </w:rPr>
        <w:t>投标声明格式</w:t>
      </w:r>
    </w:p>
    <w:p w14:paraId="43402621">
      <w:pPr>
        <w:snapToGrid w:val="0"/>
        <w:spacing w:before="50" w:after="120" w:afterLines="50"/>
        <w:jc w:val="left"/>
        <w:rPr>
          <w:rFonts w:hint="eastAsia" w:ascii="仿宋" w:hAnsi="仿宋" w:eastAsia="仿宋" w:cs="仿宋"/>
          <w:color w:val="auto"/>
        </w:rPr>
      </w:pPr>
    </w:p>
    <w:p w14:paraId="0F03A106">
      <w:pPr>
        <w:snapToGrid w:val="0"/>
        <w:spacing w:before="50" w:after="120" w:afterLines="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投标声明</w:t>
      </w:r>
    </w:p>
    <w:p w14:paraId="19451F46">
      <w:pPr>
        <w:snapToGrid w:val="0"/>
        <w:spacing w:before="50" w:after="120" w:afterLines="50"/>
        <w:jc w:val="center"/>
        <w:rPr>
          <w:rFonts w:hint="eastAsia" w:ascii="仿宋" w:hAnsi="仿宋" w:eastAsia="仿宋" w:cs="仿宋"/>
          <w:bCs/>
          <w:color w:val="auto"/>
          <w:sz w:val="44"/>
          <w:szCs w:val="44"/>
        </w:rPr>
      </w:pPr>
    </w:p>
    <w:p w14:paraId="0BCD8DD6">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（采购人名称）：</w:t>
      </w:r>
    </w:p>
    <w:p w14:paraId="67C6F034">
      <w:pPr>
        <w:spacing w:line="400" w:lineRule="exact"/>
        <w:ind w:firstLine="523" w:firstLineChars="218"/>
        <w:contextualSpacing/>
        <w:jc w:val="left"/>
        <w:rPr>
          <w:rFonts w:hint="eastAsia" w:ascii="仿宋" w:hAnsi="仿宋" w:eastAsia="仿宋" w:cs="仿宋"/>
          <w:color w:val="auto"/>
          <w:sz w:val="24"/>
        </w:rPr>
      </w:pPr>
      <w:r>
        <w:rPr>
          <w:rFonts w:hint="eastAsia" w:ascii="仿宋" w:hAnsi="仿宋" w:eastAsia="仿宋" w:cs="仿宋"/>
          <w:color w:val="auto"/>
          <w:sz w:val="24"/>
        </w:rPr>
        <w:t>我方参加贵单位组织</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）的政府采购活动。我方在此郑重声明：</w:t>
      </w:r>
    </w:p>
    <w:p w14:paraId="55F9F433">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11A2549">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2.我方不是为本次采购项目提供整体设计、规范编制或者项目管理、监理、检测等服务的供应商。</w:t>
      </w:r>
    </w:p>
    <w:p w14:paraId="13155CC8">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3. 我方承诺符合《中华人民共和国政府采购法》第二十二条规定：</w:t>
      </w:r>
    </w:p>
    <w:p w14:paraId="3595107E">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（一）具有独立承担民事责任的能力；</w:t>
      </w:r>
    </w:p>
    <w:p w14:paraId="32A66F37">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（二）具有良好的商业信誉和健全的财务会计制度；</w:t>
      </w:r>
    </w:p>
    <w:p w14:paraId="360568B9">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（三）具有履行合同所必需的设备和专业技术能力；</w:t>
      </w:r>
    </w:p>
    <w:p w14:paraId="088F4F96">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（四）有依法缴纳税收和社会保障资金的良好记录；</w:t>
      </w:r>
    </w:p>
    <w:p w14:paraId="7CECE0D1">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（五）参加政府采购活动前三年内，在经营活动中没有重大违法记录；</w:t>
      </w:r>
    </w:p>
    <w:p w14:paraId="26799C07">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（六）法律、行政法规规定的其他条件。</w:t>
      </w:r>
    </w:p>
    <w:p w14:paraId="226373D0">
      <w:pPr>
        <w:spacing w:line="40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4.以上事项如有虚假或者隐瞒，我方愿意承担一切后果，并不再寻求任何旨在减轻或者免除法律责任的辩解。</w:t>
      </w:r>
    </w:p>
    <w:p w14:paraId="5C5EC009">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    特此承诺。</w:t>
      </w:r>
    </w:p>
    <w:p w14:paraId="39FA126E">
      <w:pPr>
        <w:spacing w:line="400" w:lineRule="exact"/>
        <w:contextualSpacing/>
        <w:jc w:val="left"/>
        <w:rPr>
          <w:rFonts w:hint="eastAsia" w:ascii="仿宋" w:hAnsi="仿宋" w:eastAsia="仿宋" w:cs="仿宋"/>
          <w:b/>
          <w:color w:val="auto"/>
          <w:sz w:val="24"/>
        </w:rPr>
      </w:pPr>
      <w:r>
        <w:rPr>
          <w:rFonts w:hint="eastAsia" w:ascii="仿宋" w:hAnsi="仿宋" w:eastAsia="仿宋" w:cs="仿宋"/>
          <w:b/>
          <w:color w:val="auto"/>
          <w:sz w:val="24"/>
        </w:rPr>
        <w:t xml:space="preserve">    注：如为联合体投标，盖章处须加盖联合体各方公章并由联合体各方法定代表人分别签字，否则投标无效。</w:t>
      </w:r>
    </w:p>
    <w:p w14:paraId="49A1D4C9">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                                          法定代表人（签字或者盖章）：</w:t>
      </w:r>
      <w:r>
        <w:rPr>
          <w:rFonts w:hint="eastAsia" w:ascii="仿宋" w:hAnsi="仿宋" w:eastAsia="仿宋" w:cs="仿宋"/>
          <w:color w:val="auto"/>
          <w:sz w:val="24"/>
          <w:u w:val="single"/>
        </w:rPr>
        <w:t xml:space="preserve">             </w:t>
      </w:r>
    </w:p>
    <w:p w14:paraId="606D0027">
      <w:pPr>
        <w:spacing w:line="400" w:lineRule="exact"/>
        <w:contextualSpacing/>
        <w:jc w:val="left"/>
        <w:rPr>
          <w:rFonts w:hint="eastAsia" w:ascii="仿宋" w:hAnsi="仿宋" w:eastAsia="仿宋" w:cs="仿宋"/>
          <w:color w:val="auto"/>
          <w:sz w:val="24"/>
        </w:rPr>
      </w:pPr>
      <w:r>
        <w:rPr>
          <w:rFonts w:hint="eastAsia" w:ascii="仿宋" w:hAnsi="仿宋" w:eastAsia="仿宋" w:cs="仿宋"/>
          <w:color w:val="auto"/>
          <w:sz w:val="24"/>
        </w:rPr>
        <w:t xml:space="preserve">                                          投标人（盖公章）：</w:t>
      </w:r>
      <w:r>
        <w:rPr>
          <w:rFonts w:hint="eastAsia" w:ascii="仿宋" w:hAnsi="仿宋" w:eastAsia="仿宋" w:cs="仿宋"/>
          <w:color w:val="auto"/>
          <w:sz w:val="24"/>
          <w:u w:val="single"/>
        </w:rPr>
        <w:t xml:space="preserve">                 </w:t>
      </w:r>
    </w:p>
    <w:p w14:paraId="50ABCFE7">
      <w:pPr>
        <w:spacing w:line="400" w:lineRule="exact"/>
        <w:contextualSpacing/>
        <w:jc w:val="left"/>
        <w:rPr>
          <w:rFonts w:hint="eastAsia" w:ascii="仿宋" w:hAnsi="仿宋" w:eastAsia="仿宋" w:cs="仿宋"/>
          <w:color w:val="auto"/>
        </w:rPr>
      </w:pPr>
      <w:r>
        <w:rPr>
          <w:rFonts w:hint="eastAsia" w:ascii="仿宋" w:hAnsi="仿宋" w:eastAsia="仿宋" w:cs="仿宋"/>
          <w:color w:val="auto"/>
          <w:sz w:val="24"/>
        </w:rPr>
        <w:t xml:space="preserve">                                                  年    月    日</w:t>
      </w:r>
    </w:p>
    <w:p w14:paraId="6A53B4CC">
      <w:pPr>
        <w:rPr>
          <w:rFonts w:hint="eastAsia" w:ascii="仿宋" w:hAnsi="仿宋" w:eastAsia="仿宋" w:cs="仿宋"/>
          <w:b/>
          <w:color w:val="auto"/>
          <w:sz w:val="28"/>
          <w:szCs w:val="28"/>
        </w:rPr>
      </w:pPr>
      <w:bookmarkStart w:id="159" w:name="_Toc19686838"/>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三、商务文件格式</w:t>
      </w:r>
      <w:bookmarkEnd w:id="159"/>
    </w:p>
    <w:p w14:paraId="284BD4D2">
      <w:pPr>
        <w:snapToGrid w:val="0"/>
        <w:spacing w:before="120" w:beforeLines="50" w:after="50" w:line="360" w:lineRule="auto"/>
        <w:jc w:val="left"/>
        <w:rPr>
          <w:rFonts w:hint="eastAsia" w:ascii="仿宋" w:hAnsi="仿宋" w:eastAsia="仿宋" w:cs="仿宋"/>
          <w:b/>
          <w:color w:val="auto"/>
          <w:sz w:val="24"/>
        </w:rPr>
      </w:pPr>
      <w:r>
        <w:rPr>
          <w:rFonts w:hint="eastAsia" w:ascii="仿宋" w:hAnsi="仿宋" w:eastAsia="仿宋" w:cs="仿宋"/>
          <w:b/>
          <w:color w:val="auto"/>
          <w:sz w:val="24"/>
        </w:rPr>
        <w:t xml:space="preserve">1.商务文件封面格式： </w:t>
      </w:r>
    </w:p>
    <w:p w14:paraId="0030468C">
      <w:pPr>
        <w:snapToGrid w:val="0"/>
        <w:spacing w:before="120" w:beforeLines="50" w:after="50"/>
        <w:rPr>
          <w:rFonts w:hint="eastAsia" w:ascii="仿宋" w:hAnsi="仿宋" w:eastAsia="仿宋" w:cs="仿宋"/>
          <w:bCs/>
          <w:color w:val="auto"/>
          <w:sz w:val="32"/>
          <w:szCs w:val="20"/>
        </w:rPr>
      </w:pPr>
      <w:r>
        <w:rPr>
          <w:rFonts w:hint="eastAsia" w:ascii="仿宋" w:hAnsi="仿宋" w:eastAsia="仿宋" w:cs="仿宋"/>
          <w:color w:val="auto"/>
          <w:sz w:val="24"/>
        </w:rPr>
        <w:t xml:space="preserve">                                                 </w:t>
      </w:r>
    </w:p>
    <w:p w14:paraId="570F1C8F">
      <w:pPr>
        <w:snapToGrid w:val="0"/>
        <w:spacing w:before="120" w:beforeLines="50" w:after="50"/>
        <w:rPr>
          <w:rFonts w:hint="eastAsia" w:ascii="仿宋" w:hAnsi="仿宋" w:eastAsia="仿宋" w:cs="仿宋"/>
          <w:color w:val="auto"/>
          <w:sz w:val="24"/>
          <w:szCs w:val="20"/>
        </w:rPr>
      </w:pPr>
    </w:p>
    <w:p w14:paraId="79C78086">
      <w:pPr>
        <w:snapToGrid w:val="0"/>
        <w:spacing w:before="120" w:beforeLines="50" w:after="50"/>
        <w:rPr>
          <w:rFonts w:hint="eastAsia" w:ascii="仿宋" w:hAnsi="仿宋" w:eastAsia="仿宋" w:cs="仿宋"/>
          <w:color w:val="auto"/>
          <w:sz w:val="24"/>
          <w:szCs w:val="20"/>
        </w:rPr>
      </w:pPr>
    </w:p>
    <w:p w14:paraId="759A9674">
      <w:pPr>
        <w:snapToGrid w:val="0"/>
        <w:spacing w:before="120" w:beforeLines="50" w:after="50"/>
        <w:rPr>
          <w:rFonts w:hint="eastAsia" w:ascii="仿宋" w:hAnsi="仿宋" w:eastAsia="仿宋" w:cs="仿宋"/>
          <w:color w:val="auto"/>
          <w:sz w:val="24"/>
          <w:szCs w:val="20"/>
        </w:rPr>
      </w:pPr>
    </w:p>
    <w:p w14:paraId="468AD10F">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5682FC19">
      <w:pPr>
        <w:snapToGrid w:val="0"/>
        <w:spacing w:before="120" w:beforeLines="50" w:after="50"/>
        <w:rPr>
          <w:rFonts w:hint="eastAsia" w:ascii="仿宋" w:hAnsi="仿宋" w:eastAsia="仿宋" w:cs="仿宋"/>
          <w:color w:val="auto"/>
          <w:sz w:val="24"/>
          <w:szCs w:val="20"/>
        </w:rPr>
      </w:pPr>
    </w:p>
    <w:p w14:paraId="7A0E2824">
      <w:pPr>
        <w:snapToGrid w:val="0"/>
        <w:spacing w:before="120" w:beforeLines="50" w:after="50"/>
        <w:rPr>
          <w:rFonts w:hint="eastAsia" w:ascii="仿宋" w:hAnsi="仿宋" w:eastAsia="仿宋" w:cs="仿宋"/>
          <w:color w:val="auto"/>
          <w:sz w:val="24"/>
          <w:szCs w:val="20"/>
        </w:rPr>
      </w:pPr>
    </w:p>
    <w:p w14:paraId="0C26DDD9">
      <w:pPr>
        <w:snapToGrid w:val="0"/>
        <w:spacing w:before="120" w:beforeLines="50" w:after="50"/>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商  务  文  件</w:t>
      </w:r>
    </w:p>
    <w:p w14:paraId="4A198F8B">
      <w:pPr>
        <w:snapToGrid w:val="0"/>
        <w:spacing w:before="120" w:beforeLines="50" w:after="50"/>
        <w:rPr>
          <w:rFonts w:hint="eastAsia" w:ascii="仿宋" w:hAnsi="仿宋" w:eastAsia="仿宋" w:cs="仿宋"/>
          <w:bCs/>
          <w:color w:val="auto"/>
          <w:sz w:val="24"/>
          <w:szCs w:val="20"/>
        </w:rPr>
      </w:pPr>
    </w:p>
    <w:p w14:paraId="51A4ACCC">
      <w:pPr>
        <w:snapToGrid w:val="0"/>
        <w:spacing w:before="120" w:beforeLines="50" w:after="50"/>
        <w:ind w:firstLine="540" w:firstLineChars="225"/>
        <w:rPr>
          <w:rFonts w:hint="eastAsia" w:ascii="仿宋" w:hAnsi="仿宋" w:eastAsia="仿宋" w:cs="仿宋"/>
          <w:bCs/>
          <w:color w:val="auto"/>
          <w:sz w:val="24"/>
        </w:rPr>
      </w:pPr>
    </w:p>
    <w:p w14:paraId="3585FE21">
      <w:pPr>
        <w:snapToGrid w:val="0"/>
        <w:spacing w:before="120" w:beforeLines="50" w:after="50"/>
        <w:ind w:firstLine="540" w:firstLineChars="225"/>
        <w:rPr>
          <w:rFonts w:hint="eastAsia" w:ascii="仿宋" w:hAnsi="仿宋" w:eastAsia="仿宋" w:cs="仿宋"/>
          <w:bCs/>
          <w:color w:val="auto"/>
          <w:sz w:val="24"/>
        </w:rPr>
      </w:pPr>
    </w:p>
    <w:p w14:paraId="707300AB">
      <w:pPr>
        <w:snapToGrid w:val="0"/>
        <w:spacing w:before="120" w:beforeLines="50" w:after="50"/>
        <w:ind w:firstLine="540" w:firstLineChars="225"/>
        <w:rPr>
          <w:rFonts w:hint="eastAsia" w:ascii="仿宋" w:hAnsi="仿宋" w:eastAsia="仿宋" w:cs="仿宋"/>
          <w:bCs/>
          <w:color w:val="auto"/>
          <w:sz w:val="24"/>
        </w:rPr>
      </w:pPr>
    </w:p>
    <w:p w14:paraId="06ED814F">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项目名称：</w:t>
      </w:r>
    </w:p>
    <w:p w14:paraId="60865770">
      <w:pPr>
        <w:snapToGrid w:val="0"/>
        <w:spacing w:before="120" w:beforeLines="50" w:after="50"/>
        <w:ind w:firstLine="540" w:firstLineChars="225"/>
        <w:rPr>
          <w:rFonts w:hint="eastAsia" w:ascii="仿宋" w:hAnsi="仿宋" w:eastAsia="仿宋" w:cs="仿宋"/>
          <w:bCs/>
          <w:color w:val="auto"/>
          <w:sz w:val="24"/>
          <w:szCs w:val="20"/>
        </w:rPr>
      </w:pPr>
    </w:p>
    <w:p w14:paraId="1CD5562E">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项目编号：</w:t>
      </w:r>
    </w:p>
    <w:p w14:paraId="3F57EB2B">
      <w:pPr>
        <w:snapToGrid w:val="0"/>
        <w:spacing w:before="120" w:beforeLines="50" w:after="50"/>
        <w:ind w:firstLine="540" w:firstLineChars="225"/>
        <w:rPr>
          <w:rFonts w:hint="eastAsia" w:ascii="仿宋" w:hAnsi="仿宋" w:eastAsia="仿宋" w:cs="仿宋"/>
          <w:bCs/>
          <w:color w:val="auto"/>
          <w:sz w:val="24"/>
          <w:szCs w:val="20"/>
        </w:rPr>
      </w:pPr>
      <w:r>
        <w:rPr>
          <w:rFonts w:hint="eastAsia" w:ascii="仿宋" w:hAnsi="仿宋" w:eastAsia="仿宋" w:cs="仿宋"/>
          <w:bCs/>
          <w:color w:val="auto"/>
          <w:sz w:val="24"/>
        </w:rPr>
        <w:t xml:space="preserve"> </w:t>
      </w:r>
    </w:p>
    <w:p w14:paraId="2AE59CE6">
      <w:pPr>
        <w:snapToGrid w:val="0"/>
        <w:spacing w:before="120" w:beforeLines="50" w:after="50"/>
        <w:ind w:firstLine="540" w:firstLineChars="225"/>
        <w:rPr>
          <w:rFonts w:hint="eastAsia" w:ascii="仿宋" w:hAnsi="仿宋" w:eastAsia="仿宋" w:cs="仿宋"/>
          <w:bCs/>
          <w:color w:val="auto"/>
          <w:sz w:val="24"/>
        </w:rPr>
      </w:pPr>
      <w:r>
        <w:rPr>
          <w:rFonts w:hint="eastAsia" w:ascii="仿宋" w:hAnsi="仿宋" w:eastAsia="仿宋" w:cs="仿宋"/>
          <w:bCs/>
          <w:color w:val="auto"/>
          <w:sz w:val="24"/>
        </w:rPr>
        <w:t>所投分标：</w:t>
      </w:r>
    </w:p>
    <w:p w14:paraId="45C0F9F2">
      <w:pPr>
        <w:snapToGrid w:val="0"/>
        <w:spacing w:before="120" w:beforeLines="50" w:after="50"/>
        <w:ind w:firstLine="540" w:firstLineChars="225"/>
        <w:rPr>
          <w:rFonts w:hint="eastAsia" w:ascii="仿宋" w:hAnsi="仿宋" w:eastAsia="仿宋" w:cs="仿宋"/>
          <w:bCs/>
          <w:color w:val="auto"/>
          <w:sz w:val="24"/>
          <w:szCs w:val="20"/>
        </w:rPr>
      </w:pPr>
    </w:p>
    <w:p w14:paraId="1741A351">
      <w:pPr>
        <w:pStyle w:val="6"/>
        <w:snapToGrid w:val="0"/>
        <w:spacing w:before="50" w:after="50"/>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w:t>
      </w:r>
    </w:p>
    <w:p w14:paraId="4C230B34">
      <w:pPr>
        <w:pStyle w:val="6"/>
        <w:snapToGrid w:val="0"/>
        <w:spacing w:before="50" w:after="50"/>
        <w:ind w:firstLine="540" w:firstLineChars="225"/>
        <w:rPr>
          <w:rFonts w:hint="eastAsia" w:ascii="仿宋" w:hAnsi="仿宋" w:eastAsia="仿宋" w:cs="仿宋"/>
          <w:bCs/>
          <w:color w:val="auto"/>
          <w:sz w:val="24"/>
          <w:szCs w:val="24"/>
        </w:rPr>
      </w:pPr>
    </w:p>
    <w:p w14:paraId="7771AD3E">
      <w:pPr>
        <w:pStyle w:val="6"/>
        <w:snapToGrid w:val="0"/>
        <w:spacing w:before="50" w:after="50"/>
        <w:ind w:firstLine="540" w:firstLineChars="225"/>
        <w:rPr>
          <w:rFonts w:hint="eastAsia" w:ascii="仿宋" w:hAnsi="仿宋" w:eastAsia="仿宋" w:cs="仿宋"/>
          <w:bCs/>
          <w:color w:val="auto"/>
          <w:sz w:val="24"/>
          <w:szCs w:val="24"/>
        </w:rPr>
      </w:pPr>
      <w:r>
        <w:rPr>
          <w:rFonts w:hint="eastAsia" w:ascii="仿宋" w:hAnsi="仿宋" w:eastAsia="仿宋" w:cs="仿宋"/>
          <w:bCs/>
          <w:color w:val="auto"/>
          <w:sz w:val="24"/>
          <w:szCs w:val="24"/>
        </w:rPr>
        <w:t>投标人地址：</w:t>
      </w:r>
    </w:p>
    <w:p w14:paraId="5F101E2E">
      <w:pPr>
        <w:pStyle w:val="6"/>
        <w:snapToGrid w:val="0"/>
        <w:spacing w:before="50" w:after="50"/>
        <w:ind w:firstLine="960" w:firstLineChars="400"/>
        <w:rPr>
          <w:rFonts w:hint="eastAsia" w:ascii="仿宋" w:hAnsi="仿宋" w:eastAsia="仿宋" w:cs="仿宋"/>
          <w:bCs/>
          <w:color w:val="auto"/>
          <w:sz w:val="24"/>
          <w:szCs w:val="24"/>
        </w:rPr>
      </w:pPr>
    </w:p>
    <w:p w14:paraId="0862B1E4">
      <w:pPr>
        <w:snapToGrid w:val="0"/>
        <w:spacing w:before="120" w:beforeLines="50" w:after="50"/>
        <w:ind w:firstLine="645"/>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4D4F2FE0">
      <w:pPr>
        <w:snapToGrid w:val="0"/>
        <w:spacing w:before="120" w:beforeLines="50" w:after="50"/>
        <w:rPr>
          <w:rFonts w:hint="eastAsia" w:ascii="仿宋" w:hAnsi="仿宋" w:eastAsia="仿宋" w:cs="仿宋"/>
          <w:color w:val="auto"/>
          <w:sz w:val="24"/>
          <w:szCs w:val="20"/>
        </w:rPr>
      </w:pPr>
      <w:r>
        <w:rPr>
          <w:rFonts w:hint="eastAsia" w:ascii="仿宋" w:hAnsi="仿宋" w:eastAsia="仿宋" w:cs="仿宋"/>
          <w:color w:val="auto"/>
          <w:sz w:val="24"/>
          <w:szCs w:val="20"/>
        </w:rPr>
        <w:t xml:space="preserve"> </w:t>
      </w:r>
    </w:p>
    <w:p w14:paraId="71EC791E">
      <w:pPr>
        <w:snapToGrid w:val="0"/>
        <w:spacing w:line="360" w:lineRule="auto"/>
        <w:jc w:val="left"/>
        <w:rPr>
          <w:rFonts w:hint="eastAsia" w:ascii="仿宋" w:hAnsi="仿宋" w:eastAsia="仿宋" w:cs="仿宋"/>
          <w:b/>
          <w:bCs/>
          <w:color w:val="auto"/>
          <w:sz w:val="28"/>
          <w:szCs w:val="28"/>
        </w:rPr>
      </w:pPr>
      <w:r>
        <w:rPr>
          <w:rFonts w:hint="eastAsia" w:ascii="仿宋" w:hAnsi="仿宋" w:eastAsia="仿宋" w:cs="仿宋"/>
          <w:color w:val="auto"/>
          <w:sz w:val="24"/>
          <w:szCs w:val="20"/>
        </w:rPr>
        <w:br w:type="page"/>
      </w:r>
      <w:r>
        <w:rPr>
          <w:rFonts w:hint="eastAsia" w:ascii="仿宋" w:hAnsi="仿宋" w:eastAsia="仿宋" w:cs="仿宋"/>
          <w:b/>
          <w:bCs/>
          <w:color w:val="auto"/>
          <w:sz w:val="24"/>
        </w:rPr>
        <w:t>2.商务文件目录</w:t>
      </w:r>
    </w:p>
    <w:p w14:paraId="17EF5E73">
      <w:pPr>
        <w:snapToGrid w:val="0"/>
        <w:spacing w:before="50" w:after="120" w:afterLines="50" w:line="360" w:lineRule="auto"/>
        <w:ind w:firstLine="480" w:firstLineChars="200"/>
        <w:jc w:val="left"/>
        <w:rPr>
          <w:rFonts w:hint="eastAsia" w:ascii="仿宋" w:hAnsi="仿宋" w:eastAsia="仿宋" w:cs="仿宋"/>
          <w:b/>
          <w:bCs/>
          <w:color w:val="auto"/>
          <w:sz w:val="32"/>
          <w:szCs w:val="32"/>
        </w:rPr>
      </w:pPr>
      <w:r>
        <w:rPr>
          <w:rFonts w:hint="eastAsia" w:ascii="仿宋" w:hAnsi="仿宋" w:eastAsia="仿宋" w:cs="仿宋"/>
          <w:color w:val="auto"/>
          <w:sz w:val="24"/>
        </w:rPr>
        <w:t>根据招标文件规定及投标人提供的材料自行编写目录。</w:t>
      </w:r>
    </w:p>
    <w:p w14:paraId="550720A4">
      <w:pPr>
        <w:snapToGrid w:val="0"/>
        <w:spacing w:before="50" w:after="120" w:afterLines="50"/>
        <w:jc w:val="left"/>
        <w:rPr>
          <w:rFonts w:hint="eastAsia" w:ascii="仿宋" w:hAnsi="仿宋" w:eastAsia="仿宋" w:cs="仿宋"/>
          <w:color w:val="auto"/>
        </w:rPr>
      </w:pPr>
    </w:p>
    <w:p w14:paraId="0D7C1CA2">
      <w:pPr>
        <w:snapToGrid w:val="0"/>
        <w:spacing w:before="120" w:beforeLines="50" w:after="50"/>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3.投标人参加本项目无围标串标行为的承诺</w:t>
      </w:r>
    </w:p>
    <w:p w14:paraId="6D63194A">
      <w:pPr>
        <w:snapToGrid w:val="0"/>
        <w:spacing w:before="120" w:beforeLines="50" w:after="50"/>
        <w:jc w:val="left"/>
        <w:rPr>
          <w:rFonts w:hint="eastAsia" w:ascii="仿宋" w:hAnsi="仿宋" w:eastAsia="仿宋" w:cs="仿宋"/>
          <w:b/>
          <w:color w:val="auto"/>
          <w:sz w:val="24"/>
        </w:rPr>
      </w:pPr>
    </w:p>
    <w:p w14:paraId="0DCE0CB2">
      <w:pPr>
        <w:spacing w:line="360" w:lineRule="auto"/>
        <w:ind w:left="420"/>
        <w:contextualSpacing/>
        <w:jc w:val="center"/>
        <w:rPr>
          <w:rFonts w:hint="eastAsia" w:ascii="仿宋" w:hAnsi="仿宋" w:eastAsia="仿宋" w:cs="仿宋"/>
          <w:b/>
          <w:color w:val="auto"/>
          <w:sz w:val="24"/>
        </w:rPr>
      </w:pPr>
      <w:r>
        <w:rPr>
          <w:rFonts w:hint="eastAsia" w:ascii="仿宋" w:hAnsi="仿宋" w:eastAsia="仿宋" w:cs="仿宋"/>
          <w:bCs/>
          <w:color w:val="auto"/>
          <w:spacing w:val="-11"/>
          <w:sz w:val="44"/>
          <w:szCs w:val="44"/>
        </w:rPr>
        <w:t>投标人参加本项目无围标串标行为的承诺函</w:t>
      </w:r>
    </w:p>
    <w:p w14:paraId="34C9AFDA">
      <w:pPr>
        <w:spacing w:line="440" w:lineRule="exact"/>
        <w:contextualSpacing/>
        <w:jc w:val="left"/>
        <w:rPr>
          <w:rFonts w:hint="eastAsia" w:ascii="仿宋" w:hAnsi="仿宋" w:eastAsia="仿宋" w:cs="仿宋"/>
          <w:b/>
          <w:color w:val="auto"/>
          <w:sz w:val="24"/>
        </w:rPr>
      </w:pPr>
      <w:r>
        <w:rPr>
          <w:rFonts w:hint="eastAsia" w:ascii="仿宋" w:hAnsi="仿宋" w:eastAsia="仿宋" w:cs="仿宋"/>
          <w:b/>
          <w:color w:val="auto"/>
          <w:sz w:val="24"/>
        </w:rPr>
        <w:t>一、我方承诺无下列相互串通投标的情形：</w:t>
      </w:r>
    </w:p>
    <w:p w14:paraId="386C17F6">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1.不同投标人的投标文件由同一单位或者个人编制；</w:t>
      </w:r>
    </w:p>
    <w:p w14:paraId="25E00313">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2.不同投标人委托同一单位或者个人办理投标事宜；</w:t>
      </w:r>
    </w:p>
    <w:p w14:paraId="1DE2A70D">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3.不同的投标人的投标文件载明的项目管理员为同一个人；</w:t>
      </w:r>
    </w:p>
    <w:p w14:paraId="1B2F6B93">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4.不同投标人的投标文件异常一致或者投标报价呈规律性差异；</w:t>
      </w:r>
    </w:p>
    <w:p w14:paraId="053EB5AE">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5.不同投标人的投标文件相互混装；</w:t>
      </w:r>
    </w:p>
    <w:p w14:paraId="51CC8E6E">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6.不同投标人的投标保证金从同一单位或者个人账户转出。</w:t>
      </w:r>
    </w:p>
    <w:p w14:paraId="2F80F0F9">
      <w:pPr>
        <w:spacing w:line="440" w:lineRule="exact"/>
        <w:contextualSpacing/>
        <w:jc w:val="left"/>
        <w:rPr>
          <w:rFonts w:hint="eastAsia" w:ascii="仿宋" w:hAnsi="仿宋" w:eastAsia="仿宋" w:cs="仿宋"/>
          <w:color w:val="auto"/>
          <w:sz w:val="24"/>
        </w:rPr>
      </w:pPr>
      <w:r>
        <w:rPr>
          <w:rFonts w:hint="eastAsia" w:ascii="仿宋" w:hAnsi="仿宋" w:eastAsia="仿宋" w:cs="仿宋"/>
          <w:b/>
          <w:color w:val="auto"/>
          <w:sz w:val="24"/>
        </w:rPr>
        <w:t>二、我方承诺无下列恶意串通的情形：</w:t>
      </w:r>
    </w:p>
    <w:p w14:paraId="00A9403A">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1.投标人直接或者间接从采购人或者采购代理机构处获得其他投标人的相关信息并修改其投标文件或者投标文件；</w:t>
      </w:r>
    </w:p>
    <w:p w14:paraId="78119449">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2.投标人按照采购人或者采购代理机构的授意撤换、修改投标文件或者投标文件；</w:t>
      </w:r>
    </w:p>
    <w:p w14:paraId="55729C98">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3.投标人之间协商报价、技术方案等投标文件或者投标文件的实质性内容；</w:t>
      </w:r>
    </w:p>
    <w:p w14:paraId="28EE6423">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4.属于同一集团、协会、商会等组织成员的投标人按照该组织要求协同参加政府采购活动；</w:t>
      </w:r>
    </w:p>
    <w:p w14:paraId="5C84624A">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5.投标人之间事先约定一致抬高或者压低投标报价，或者在招标项目中事先约定轮流以高价位或者低价位中标，或者事先约定由某一特定投标人中标，然后再参加投标；</w:t>
      </w:r>
    </w:p>
    <w:p w14:paraId="5DBB86F9">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6.投标人之间商定部分投标人放弃参加政府采购活动或者放弃中标；</w:t>
      </w:r>
    </w:p>
    <w:p w14:paraId="7E35F357">
      <w:pPr>
        <w:spacing w:line="440" w:lineRule="exact"/>
        <w:ind w:firstLine="470" w:firstLineChars="196"/>
        <w:contextualSpacing/>
        <w:jc w:val="left"/>
        <w:rPr>
          <w:rFonts w:hint="eastAsia" w:ascii="仿宋" w:hAnsi="仿宋" w:eastAsia="仿宋" w:cs="仿宋"/>
          <w:color w:val="auto"/>
          <w:sz w:val="24"/>
        </w:rPr>
      </w:pPr>
      <w:r>
        <w:rPr>
          <w:rFonts w:hint="eastAsia" w:ascii="仿宋" w:hAnsi="仿宋" w:eastAsia="仿宋" w:cs="仿宋"/>
          <w:color w:val="auto"/>
          <w:sz w:val="24"/>
        </w:rPr>
        <w:t>7.投标人与采购人或者采购代理机构之间、投标人相互之间，为谋求特定投标人中标或者排斥其他投标人的其他串通行为。</w:t>
      </w:r>
    </w:p>
    <w:p w14:paraId="76C55E97">
      <w:pPr>
        <w:spacing w:line="440" w:lineRule="exact"/>
        <w:ind w:firstLine="472" w:firstLineChars="196"/>
        <w:contextualSpacing/>
        <w:jc w:val="left"/>
        <w:rPr>
          <w:rFonts w:hint="eastAsia" w:ascii="仿宋" w:hAnsi="仿宋" w:eastAsia="仿宋" w:cs="仿宋"/>
          <w:b/>
          <w:color w:val="auto"/>
          <w:sz w:val="24"/>
        </w:rPr>
      </w:pPr>
      <w:r>
        <w:rPr>
          <w:rFonts w:hint="eastAsia" w:ascii="仿宋" w:hAnsi="仿宋" w:eastAsia="仿宋" w:cs="仿宋"/>
          <w:b/>
          <w:color w:val="auto"/>
          <w:sz w:val="24"/>
        </w:rPr>
        <w:t>以上情形一经核查属实，我方愿意承担一切后果，并不再寻求任何旨在减轻或者免除法律责任的辩解。</w:t>
      </w:r>
    </w:p>
    <w:p w14:paraId="0CCACF27">
      <w:pPr>
        <w:pStyle w:val="25"/>
        <w:spacing w:line="440" w:lineRule="exact"/>
        <w:ind w:firstLine="6840" w:firstLineChars="2850"/>
        <w:contextualSpacing/>
        <w:rPr>
          <w:rFonts w:hint="eastAsia" w:ascii="仿宋" w:hAnsi="仿宋" w:eastAsia="仿宋" w:cs="仿宋"/>
          <w:color w:val="auto"/>
          <w:sz w:val="24"/>
          <w:szCs w:val="24"/>
        </w:rPr>
      </w:pPr>
    </w:p>
    <w:p w14:paraId="5B79CE3A">
      <w:pPr>
        <w:pStyle w:val="25"/>
        <w:spacing w:line="440" w:lineRule="exact"/>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投标人名称（公章）</w:t>
      </w:r>
    </w:p>
    <w:p w14:paraId="6AE976B6">
      <w:pPr>
        <w:pStyle w:val="25"/>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97C16AF">
      <w:pPr>
        <w:snapToGrid w:val="0"/>
        <w:spacing w:before="120" w:beforeLines="50" w:after="50"/>
        <w:jc w:val="left"/>
        <w:rPr>
          <w:rFonts w:hint="eastAsia" w:ascii="仿宋" w:hAnsi="仿宋" w:eastAsia="仿宋" w:cs="仿宋"/>
          <w:b/>
          <w:color w:val="auto"/>
          <w:sz w:val="24"/>
          <w:szCs w:val="20"/>
        </w:rPr>
      </w:pPr>
      <w:r>
        <w:rPr>
          <w:rFonts w:hint="eastAsia" w:ascii="仿宋" w:hAnsi="仿宋" w:eastAsia="仿宋" w:cs="仿宋"/>
          <w:b/>
          <w:color w:val="auto"/>
          <w:sz w:val="24"/>
        </w:rPr>
        <w:t>4.法定代表人身份证明</w:t>
      </w:r>
    </w:p>
    <w:p w14:paraId="487F0713">
      <w:pPr>
        <w:spacing w:before="240" w:beforeLines="100" w:after="120" w:afterLines="50"/>
        <w:ind w:left="540"/>
        <w:jc w:val="center"/>
        <w:rPr>
          <w:rFonts w:hint="eastAsia" w:ascii="仿宋" w:hAnsi="仿宋" w:eastAsia="仿宋" w:cs="仿宋"/>
          <w:b/>
          <w:color w:val="auto"/>
          <w:sz w:val="32"/>
          <w:szCs w:val="32"/>
        </w:rPr>
      </w:pPr>
    </w:p>
    <w:p w14:paraId="4C3F3307">
      <w:pPr>
        <w:spacing w:before="240" w:beforeLines="100" w:after="120" w:afterLines="50"/>
        <w:ind w:left="54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br w:type="page"/>
      </w:r>
      <w:r>
        <w:rPr>
          <w:rFonts w:hint="eastAsia" w:ascii="仿宋" w:hAnsi="仿宋" w:eastAsia="仿宋" w:cs="仿宋"/>
          <w:bCs/>
          <w:color w:val="auto"/>
          <w:sz w:val="44"/>
          <w:szCs w:val="44"/>
        </w:rPr>
        <w:t>法定代表人身份证明</w:t>
      </w:r>
    </w:p>
    <w:p w14:paraId="2F956631">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117E26B1">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F9F1351">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      别：</w:t>
      </w:r>
      <w:r>
        <w:rPr>
          <w:rFonts w:hint="eastAsia" w:ascii="仿宋" w:hAnsi="仿宋" w:eastAsia="仿宋" w:cs="仿宋"/>
          <w:color w:val="auto"/>
          <w:sz w:val="24"/>
          <w:u w:val="single"/>
        </w:rPr>
        <w:t xml:space="preserve">                </w:t>
      </w:r>
    </w:p>
    <w:p w14:paraId="04B4DB0D">
      <w:pPr>
        <w:spacing w:line="500" w:lineRule="exact"/>
        <w:ind w:left="540"/>
        <w:rPr>
          <w:rFonts w:hint="eastAsia" w:ascii="仿宋" w:hAnsi="仿宋" w:eastAsia="仿宋" w:cs="仿宋"/>
          <w:color w:val="auto"/>
          <w:sz w:val="24"/>
          <w:u w:val="single"/>
        </w:rPr>
      </w:pPr>
      <w:r>
        <w:rPr>
          <w:rFonts w:hint="eastAsia" w:ascii="仿宋" w:hAnsi="仿宋" w:eastAsia="仿宋" w:cs="仿宋"/>
          <w:color w:val="auto"/>
          <w:sz w:val="24"/>
        </w:rPr>
        <w:t>年    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29444649">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3B4919B7">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（投标人名称）              </w:t>
      </w:r>
      <w:r>
        <w:rPr>
          <w:rFonts w:hint="eastAsia" w:ascii="仿宋" w:hAnsi="仿宋" w:eastAsia="仿宋" w:cs="仿宋"/>
          <w:color w:val="auto"/>
          <w:sz w:val="24"/>
        </w:rPr>
        <w:t>的法定代表人。</w:t>
      </w:r>
    </w:p>
    <w:p w14:paraId="7E6C47FC">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特此证明。</w:t>
      </w:r>
    </w:p>
    <w:p w14:paraId="1B128BD4">
      <w:pPr>
        <w:spacing w:line="500" w:lineRule="exact"/>
        <w:ind w:left="540"/>
        <w:rPr>
          <w:rFonts w:hint="eastAsia" w:ascii="仿宋" w:hAnsi="仿宋" w:eastAsia="仿宋" w:cs="仿宋"/>
          <w:color w:val="auto"/>
          <w:sz w:val="24"/>
        </w:rPr>
      </w:pPr>
    </w:p>
    <w:p w14:paraId="318B1277">
      <w:pPr>
        <w:spacing w:line="500" w:lineRule="exact"/>
        <w:ind w:left="540"/>
        <w:rPr>
          <w:rFonts w:hint="eastAsia" w:ascii="仿宋" w:hAnsi="仿宋" w:eastAsia="仿宋" w:cs="仿宋"/>
          <w:color w:val="auto"/>
          <w:sz w:val="24"/>
        </w:rPr>
      </w:pPr>
    </w:p>
    <w:p w14:paraId="3F503FE3">
      <w:pPr>
        <w:spacing w:line="500" w:lineRule="exact"/>
        <w:ind w:left="540"/>
        <w:rPr>
          <w:rFonts w:hint="eastAsia" w:ascii="仿宋" w:hAnsi="仿宋" w:eastAsia="仿宋" w:cs="仿宋"/>
          <w:color w:val="auto"/>
          <w:sz w:val="24"/>
        </w:rPr>
      </w:pPr>
      <w:r>
        <w:rPr>
          <w:rFonts w:hint="eastAsia" w:ascii="仿宋" w:hAnsi="仿宋" w:eastAsia="仿宋" w:cs="仿宋"/>
          <w:color w:val="auto"/>
          <w:sz w:val="24"/>
        </w:rPr>
        <w:t>附件：法定代表人有效身份证正反面复印件</w:t>
      </w:r>
    </w:p>
    <w:p w14:paraId="04AFCD72">
      <w:pPr>
        <w:spacing w:line="500" w:lineRule="exact"/>
        <w:ind w:left="540"/>
        <w:rPr>
          <w:rFonts w:hint="eastAsia" w:ascii="仿宋" w:hAnsi="仿宋" w:eastAsia="仿宋" w:cs="仿宋"/>
          <w:color w:val="auto"/>
          <w:sz w:val="24"/>
        </w:rPr>
      </w:pPr>
    </w:p>
    <w:p w14:paraId="67694A0E">
      <w:pPr>
        <w:spacing w:line="500" w:lineRule="exact"/>
        <w:ind w:left="540"/>
        <w:jc w:val="right"/>
        <w:rPr>
          <w:rFonts w:hint="eastAsia" w:ascii="仿宋" w:hAnsi="仿宋" w:eastAsia="仿宋" w:cs="仿宋"/>
          <w:color w:val="auto"/>
          <w:sz w:val="24"/>
        </w:rPr>
      </w:pPr>
      <w:r>
        <w:rPr>
          <w:rFonts w:hint="eastAsia" w:ascii="仿宋" w:hAnsi="仿宋" w:eastAsia="仿宋" w:cs="仿宋"/>
          <w:color w:val="auto"/>
          <w:sz w:val="24"/>
        </w:rPr>
        <w:t>投标人名称（公章）</w:t>
      </w:r>
    </w:p>
    <w:p w14:paraId="4D4AEB67">
      <w:pPr>
        <w:spacing w:line="500" w:lineRule="exact"/>
        <w:ind w:left="540"/>
        <w:jc w:val="right"/>
        <w:rPr>
          <w:rFonts w:hint="eastAsia" w:ascii="仿宋" w:hAnsi="仿宋" w:eastAsia="仿宋" w:cs="仿宋"/>
          <w:color w:val="auto"/>
          <w:sz w:val="24"/>
        </w:rPr>
      </w:pPr>
    </w:p>
    <w:p w14:paraId="4E35B2F9">
      <w:pPr>
        <w:snapToGrid w:val="0"/>
        <w:spacing w:before="120" w:beforeLines="50" w:after="50"/>
        <w:ind w:left="540"/>
        <w:jc w:val="right"/>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D1FCB27">
      <w:pPr>
        <w:snapToGrid w:val="0"/>
        <w:spacing w:before="120" w:beforeLines="50" w:after="50"/>
        <w:jc w:val="center"/>
        <w:rPr>
          <w:rFonts w:hint="eastAsia" w:ascii="仿宋" w:hAnsi="仿宋" w:eastAsia="仿宋" w:cs="仿宋"/>
          <w:b/>
          <w:color w:val="auto"/>
          <w:sz w:val="24"/>
        </w:rPr>
      </w:pPr>
    </w:p>
    <w:p w14:paraId="47C1890F">
      <w:pPr>
        <w:snapToGrid w:val="0"/>
        <w:spacing w:before="120" w:beforeLines="50" w:after="50"/>
        <w:jc w:val="left"/>
        <w:rPr>
          <w:rFonts w:hint="eastAsia" w:ascii="仿宋" w:hAnsi="仿宋" w:eastAsia="仿宋" w:cs="仿宋"/>
          <w:b/>
          <w:color w:val="auto"/>
          <w:sz w:val="24"/>
          <w:szCs w:val="20"/>
        </w:rPr>
      </w:pPr>
      <w:r>
        <w:rPr>
          <w:rFonts w:hint="eastAsia" w:ascii="仿宋" w:hAnsi="仿宋" w:eastAsia="仿宋" w:cs="仿宋"/>
          <w:color w:val="auto"/>
          <w:sz w:val="24"/>
        </w:rPr>
        <w:t>注：自然人投标的无需提供</w:t>
      </w:r>
    </w:p>
    <w:p w14:paraId="66B3E1E2">
      <w:pPr>
        <w:snapToGrid w:val="0"/>
        <w:spacing w:before="120" w:beforeLines="50" w:after="50"/>
        <w:jc w:val="left"/>
        <w:rPr>
          <w:rFonts w:hint="eastAsia" w:ascii="仿宋" w:hAnsi="仿宋" w:eastAsia="仿宋" w:cs="仿宋"/>
          <w:b/>
          <w:color w:val="auto"/>
          <w:sz w:val="24"/>
          <w:szCs w:val="20"/>
        </w:rPr>
      </w:pPr>
      <w:r>
        <w:rPr>
          <w:rFonts w:hint="eastAsia" w:ascii="仿宋" w:hAnsi="仿宋" w:eastAsia="仿宋" w:cs="仿宋"/>
          <w:b/>
          <w:color w:val="auto"/>
          <w:sz w:val="24"/>
        </w:rPr>
        <w:br w:type="page"/>
      </w:r>
      <w:r>
        <w:rPr>
          <w:rFonts w:hint="eastAsia" w:ascii="仿宋" w:hAnsi="仿宋" w:eastAsia="仿宋" w:cs="仿宋"/>
          <w:b/>
          <w:color w:val="auto"/>
          <w:sz w:val="24"/>
        </w:rPr>
        <w:t>5.授权委托书格式</w:t>
      </w:r>
    </w:p>
    <w:p w14:paraId="1DED8859">
      <w:pPr>
        <w:snapToGrid w:val="0"/>
        <w:spacing w:before="120" w:beforeLines="50" w:after="50"/>
        <w:jc w:val="center"/>
        <w:rPr>
          <w:rFonts w:hint="eastAsia" w:ascii="仿宋" w:hAnsi="仿宋" w:eastAsia="仿宋" w:cs="仿宋"/>
          <w:b/>
          <w:color w:val="auto"/>
          <w:sz w:val="44"/>
          <w:szCs w:val="44"/>
        </w:rPr>
      </w:pPr>
    </w:p>
    <w:p w14:paraId="3C9491BA">
      <w:pPr>
        <w:spacing w:line="360" w:lineRule="auto"/>
        <w:contextualSpacing/>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授权委托书</w:t>
      </w:r>
    </w:p>
    <w:p w14:paraId="2AA76CC8">
      <w:pPr>
        <w:spacing w:line="360" w:lineRule="auto"/>
        <w:contextualSpacing/>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（非联合体投标格式）</w:t>
      </w:r>
    </w:p>
    <w:p w14:paraId="7404F0D2">
      <w:pPr>
        <w:spacing w:line="360" w:lineRule="auto"/>
        <w:contextualSpacing/>
        <w:jc w:val="center"/>
        <w:rPr>
          <w:rFonts w:hint="eastAsia" w:ascii="仿宋" w:hAnsi="仿宋" w:eastAsia="仿宋" w:cs="仿宋"/>
          <w:bCs/>
          <w:color w:val="auto"/>
          <w:sz w:val="24"/>
        </w:rPr>
      </w:pPr>
      <w:r>
        <w:rPr>
          <w:rFonts w:hint="eastAsia" w:ascii="仿宋" w:hAnsi="仿宋" w:eastAsia="仿宋" w:cs="仿宋"/>
          <w:bCs/>
          <w:color w:val="auto"/>
          <w:sz w:val="32"/>
          <w:szCs w:val="32"/>
        </w:rPr>
        <w:t>（如有委托时）</w:t>
      </w:r>
    </w:p>
    <w:p w14:paraId="7C97A305">
      <w:pPr>
        <w:spacing w:line="440" w:lineRule="exact"/>
        <w:contextualSpacing/>
        <w:jc w:val="center"/>
        <w:rPr>
          <w:rFonts w:hint="eastAsia" w:ascii="仿宋" w:hAnsi="仿宋" w:eastAsia="仿宋" w:cs="仿宋"/>
          <w:b/>
          <w:color w:val="auto"/>
          <w:sz w:val="24"/>
        </w:rPr>
      </w:pPr>
    </w:p>
    <w:p w14:paraId="6055E509">
      <w:pPr>
        <w:spacing w:line="440" w:lineRule="exact"/>
        <w:contextualSpacing/>
        <w:rPr>
          <w:rFonts w:hint="eastAsia" w:ascii="仿宋" w:hAnsi="仿宋" w:eastAsia="仿宋" w:cs="仿宋"/>
          <w:b/>
          <w:bCs/>
          <w:color w:val="auto"/>
          <w:sz w:val="24"/>
        </w:rPr>
      </w:pPr>
      <w:r>
        <w:rPr>
          <w:rFonts w:hint="eastAsia" w:ascii="仿宋" w:hAnsi="仿宋" w:eastAsia="仿宋" w:cs="仿宋"/>
          <w:bCs/>
          <w:color w:val="auto"/>
          <w:sz w:val="24"/>
        </w:rPr>
        <w:t>致：</w:t>
      </w:r>
      <w:r>
        <w:rPr>
          <w:rFonts w:hint="eastAsia" w:ascii="仿宋" w:hAnsi="仿宋" w:eastAsia="仿宋" w:cs="仿宋"/>
          <w:color w:val="auto"/>
          <w:sz w:val="24"/>
          <w:u w:val="single"/>
        </w:rPr>
        <w:t>采购人名称</w:t>
      </w:r>
      <w:r>
        <w:rPr>
          <w:rFonts w:hint="eastAsia" w:ascii="仿宋" w:hAnsi="仿宋" w:eastAsia="仿宋" w:cs="仿宋"/>
          <w:color w:val="auto"/>
          <w:sz w:val="24"/>
        </w:rPr>
        <w:t>：</w:t>
      </w:r>
    </w:p>
    <w:p w14:paraId="5A406B9A">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（投标人名称）的法定代表人，现授权委托</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以我方的名义参加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项目的投标活动，并代表我方全权办理针对上述项目的所有采购程序和环节的具体事务和签署相关文件。</w:t>
      </w:r>
    </w:p>
    <w:p w14:paraId="746CCAE9">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 xml:space="preserve">    我方对委托代理人的签字事项负全部责任。</w:t>
      </w:r>
    </w:p>
    <w:p w14:paraId="0CB12FEE">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u w:val="single"/>
        </w:rPr>
        <w:t>本授权书自签署之日起生效，在撤销授权的书面通知以前，本授权书一直有效。委托代理人在授权书有效期内签署的所有文件不因授权的撤销而失效。</w:t>
      </w:r>
    </w:p>
    <w:p w14:paraId="04886481">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rPr>
        <w:t>委托代理人无转委托权，特此委托。</w:t>
      </w:r>
    </w:p>
    <w:p w14:paraId="7F844E53">
      <w:pPr>
        <w:spacing w:line="440" w:lineRule="exact"/>
        <w:ind w:firstLine="480"/>
        <w:contextualSpacing/>
        <w:rPr>
          <w:rFonts w:hint="eastAsia" w:ascii="仿宋" w:hAnsi="仿宋" w:eastAsia="仿宋" w:cs="仿宋"/>
          <w:color w:val="auto"/>
          <w:sz w:val="24"/>
        </w:rPr>
      </w:pPr>
      <w:r>
        <w:rPr>
          <w:rFonts w:hint="eastAsia" w:ascii="仿宋" w:hAnsi="仿宋" w:eastAsia="仿宋" w:cs="仿宋"/>
          <w:color w:val="auto"/>
          <w:sz w:val="24"/>
        </w:rPr>
        <w:t>附：法定代表人身份证明及委托代理人有效身份证正反面复印件</w:t>
      </w:r>
    </w:p>
    <w:p w14:paraId="11BDBF77">
      <w:pPr>
        <w:spacing w:line="440" w:lineRule="exact"/>
        <w:contextualSpacing/>
        <w:rPr>
          <w:rFonts w:hint="eastAsia" w:ascii="仿宋" w:hAnsi="仿宋" w:eastAsia="仿宋" w:cs="仿宋"/>
          <w:color w:val="auto"/>
          <w:sz w:val="24"/>
        </w:rPr>
      </w:pPr>
    </w:p>
    <w:p w14:paraId="3766EEB4">
      <w:pPr>
        <w:spacing w:line="440" w:lineRule="exact"/>
        <w:contextualSpacing/>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法定代表人（签字或者盖章）：</w:t>
      </w:r>
      <w:r>
        <w:rPr>
          <w:rFonts w:hint="eastAsia" w:ascii="仿宋" w:hAnsi="仿宋" w:eastAsia="仿宋" w:cs="仿宋"/>
          <w:color w:val="auto"/>
          <w:sz w:val="24"/>
          <w:u w:val="single"/>
        </w:rPr>
        <w:t xml:space="preserve">              </w:t>
      </w:r>
    </w:p>
    <w:p w14:paraId="02E04B42">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委托代理人身份证号码：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71B3CA9C">
      <w:pPr>
        <w:spacing w:line="440" w:lineRule="exact"/>
        <w:contextualSpacing/>
        <w:jc w:val="center"/>
        <w:rPr>
          <w:rFonts w:hint="eastAsia" w:ascii="仿宋" w:hAnsi="仿宋" w:eastAsia="仿宋" w:cs="仿宋"/>
          <w:color w:val="auto"/>
          <w:sz w:val="24"/>
        </w:rPr>
      </w:pPr>
      <w:r>
        <w:rPr>
          <w:rFonts w:hint="eastAsia" w:ascii="仿宋" w:hAnsi="仿宋" w:eastAsia="仿宋" w:cs="仿宋"/>
          <w:color w:val="auto"/>
          <w:sz w:val="24"/>
        </w:rPr>
        <w:t xml:space="preserve">                                                投标人（盖公章）：</w:t>
      </w:r>
    </w:p>
    <w:p w14:paraId="1970C640">
      <w:pPr>
        <w:spacing w:line="440" w:lineRule="exact"/>
        <w:contextualSpacing/>
        <w:jc w:val="center"/>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16724E4F">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注：1.</w:t>
      </w:r>
      <w:bookmarkStart w:id="160" w:name="_Hlk65851555"/>
      <w:bookmarkStart w:id="161" w:name="_Hlk65851620"/>
      <w:r>
        <w:rPr>
          <w:rFonts w:hint="eastAsia" w:ascii="仿宋" w:hAnsi="仿宋" w:eastAsia="仿宋" w:cs="仿宋"/>
          <w:color w:val="auto"/>
          <w:sz w:val="24"/>
        </w:rPr>
        <w:t>法定代表人必须在授权委托书上亲笔签字或者盖章，</w:t>
      </w:r>
      <w:bookmarkEnd w:id="160"/>
      <w:r>
        <w:rPr>
          <w:rFonts w:hint="eastAsia" w:ascii="仿宋" w:hAnsi="仿宋" w:eastAsia="仿宋" w:cs="仿宋"/>
          <w:color w:val="auto"/>
          <w:sz w:val="24"/>
        </w:rPr>
        <w:t>委托代理人必须在授权委托书上亲笔签字，</w:t>
      </w:r>
      <w:r>
        <w:rPr>
          <w:rFonts w:hint="eastAsia" w:ascii="仿宋" w:hAnsi="仿宋" w:eastAsia="仿宋" w:cs="仿宋"/>
          <w:b/>
          <w:bCs/>
          <w:color w:val="auto"/>
          <w:sz w:val="24"/>
        </w:rPr>
        <w:t>否则按无效投标处理</w:t>
      </w:r>
      <w:r>
        <w:rPr>
          <w:rFonts w:hint="eastAsia" w:ascii="仿宋" w:hAnsi="仿宋" w:eastAsia="仿宋" w:cs="仿宋"/>
          <w:color w:val="auto"/>
          <w:sz w:val="24"/>
        </w:rPr>
        <w:t>；</w:t>
      </w:r>
      <w:bookmarkEnd w:id="161"/>
    </w:p>
    <w:p w14:paraId="3A32E3FF">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2.法人、其他组织投标时“我方”是指“我单位”，自然人投标时“我方”是指“本人”。</w:t>
      </w:r>
    </w:p>
    <w:p w14:paraId="4D61896C">
      <w:pPr>
        <w:snapToGrid w:val="0"/>
        <w:spacing w:before="120" w:beforeLines="50" w:after="50"/>
        <w:ind w:firstLine="566" w:firstLineChars="236"/>
        <w:jc w:val="center"/>
        <w:rPr>
          <w:rFonts w:hint="eastAsia" w:ascii="仿宋" w:hAnsi="仿宋" w:eastAsia="仿宋" w:cs="仿宋"/>
          <w:color w:val="auto"/>
          <w:sz w:val="44"/>
          <w:szCs w:val="44"/>
        </w:rPr>
      </w:pPr>
      <w:r>
        <w:rPr>
          <w:rFonts w:hint="eastAsia" w:ascii="仿宋" w:hAnsi="仿宋" w:eastAsia="仿宋" w:cs="仿宋"/>
          <w:color w:val="auto"/>
          <w:sz w:val="24"/>
        </w:rPr>
        <w:br w:type="page"/>
      </w:r>
      <w:r>
        <w:rPr>
          <w:rFonts w:hint="eastAsia" w:ascii="仿宋" w:hAnsi="仿宋" w:eastAsia="仿宋" w:cs="仿宋"/>
          <w:color w:val="auto"/>
          <w:sz w:val="44"/>
          <w:szCs w:val="44"/>
        </w:rPr>
        <w:t>授权委托书</w:t>
      </w:r>
    </w:p>
    <w:p w14:paraId="31E1E1A2">
      <w:pPr>
        <w:snapToGrid w:val="0"/>
        <w:spacing w:before="120" w:beforeLines="50" w:after="50"/>
        <w:ind w:firstLine="755" w:firstLineChars="236"/>
        <w:jc w:val="center"/>
        <w:rPr>
          <w:rFonts w:hint="eastAsia" w:ascii="仿宋" w:hAnsi="仿宋" w:eastAsia="仿宋" w:cs="仿宋"/>
          <w:color w:val="auto"/>
          <w:sz w:val="32"/>
          <w:szCs w:val="32"/>
        </w:rPr>
      </w:pPr>
      <w:r>
        <w:rPr>
          <w:rFonts w:hint="eastAsia" w:ascii="仿宋" w:hAnsi="仿宋" w:eastAsia="仿宋" w:cs="仿宋"/>
          <w:color w:val="auto"/>
          <w:sz w:val="32"/>
          <w:szCs w:val="32"/>
        </w:rPr>
        <w:t>（联合体投标格式）</w:t>
      </w:r>
    </w:p>
    <w:p w14:paraId="4199BED2">
      <w:pPr>
        <w:snapToGrid w:val="0"/>
        <w:spacing w:before="120" w:beforeLines="50" w:after="50"/>
        <w:ind w:firstLine="755" w:firstLineChars="236"/>
        <w:jc w:val="center"/>
        <w:rPr>
          <w:rFonts w:hint="eastAsia" w:ascii="仿宋" w:hAnsi="仿宋" w:eastAsia="仿宋" w:cs="仿宋"/>
          <w:color w:val="auto"/>
          <w:sz w:val="24"/>
        </w:rPr>
      </w:pPr>
      <w:r>
        <w:rPr>
          <w:rFonts w:hint="eastAsia" w:ascii="仿宋" w:hAnsi="仿宋" w:eastAsia="仿宋" w:cs="仿宋"/>
          <w:color w:val="auto"/>
          <w:sz w:val="32"/>
          <w:szCs w:val="32"/>
        </w:rPr>
        <w:t>（如有委托时）</w:t>
      </w:r>
    </w:p>
    <w:p w14:paraId="423A5641">
      <w:pPr>
        <w:spacing w:line="440" w:lineRule="exact"/>
        <w:contextualSpacing/>
        <w:jc w:val="left"/>
        <w:rPr>
          <w:rFonts w:hint="eastAsia" w:ascii="仿宋" w:hAnsi="仿宋" w:eastAsia="仿宋" w:cs="仿宋"/>
          <w:color w:val="auto"/>
          <w:sz w:val="24"/>
        </w:rPr>
      </w:pPr>
      <w:r>
        <w:rPr>
          <w:rFonts w:hint="eastAsia" w:ascii="仿宋" w:hAnsi="仿宋" w:eastAsia="仿宋" w:cs="仿宋"/>
          <w:bCs/>
          <w:color w:val="auto"/>
          <w:sz w:val="24"/>
        </w:rPr>
        <w:t>致：</w:t>
      </w:r>
      <w:r>
        <w:rPr>
          <w:rFonts w:hint="eastAsia" w:ascii="仿宋" w:hAnsi="仿宋" w:eastAsia="仿宋" w:cs="仿宋"/>
          <w:color w:val="auto"/>
          <w:sz w:val="24"/>
          <w:u w:val="single"/>
        </w:rPr>
        <w:t>采购人名称</w:t>
      </w:r>
      <w:r>
        <w:rPr>
          <w:rFonts w:hint="eastAsia" w:ascii="仿宋" w:hAnsi="仿宋" w:eastAsia="仿宋" w:cs="仿宋"/>
          <w:color w:val="auto"/>
          <w:sz w:val="24"/>
        </w:rPr>
        <w:t>：</w:t>
      </w:r>
    </w:p>
    <w:p w14:paraId="530BDEE4">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 xml:space="preserve">根据 </w:t>
      </w:r>
      <w:r>
        <w:rPr>
          <w:rFonts w:hint="eastAsia" w:ascii="仿宋" w:hAnsi="仿宋" w:eastAsia="仿宋" w:cs="仿宋"/>
          <w:color w:val="auto"/>
          <w:sz w:val="24"/>
          <w:u w:val="single"/>
        </w:rPr>
        <w:t xml:space="preserve"> （牵头人名称）</w:t>
      </w:r>
      <w:r>
        <w:rPr>
          <w:rFonts w:hint="eastAsia" w:ascii="仿宋" w:hAnsi="仿宋" w:eastAsia="仿宋" w:cs="仿宋"/>
          <w:color w:val="auto"/>
          <w:sz w:val="24"/>
        </w:rPr>
        <w:t>与</w:t>
      </w:r>
      <w:r>
        <w:rPr>
          <w:rFonts w:hint="eastAsia" w:ascii="仿宋" w:hAnsi="仿宋" w:eastAsia="仿宋" w:cs="仿宋"/>
          <w:color w:val="auto"/>
          <w:sz w:val="24"/>
          <w:u w:val="single"/>
        </w:rPr>
        <w:t>（联合体其他成员名称）</w:t>
      </w:r>
      <w:r>
        <w:rPr>
          <w:rFonts w:hint="eastAsia" w:ascii="仿宋" w:hAnsi="仿宋" w:eastAsia="仿宋" w:cs="仿宋"/>
          <w:color w:val="auto"/>
          <w:sz w:val="24"/>
        </w:rPr>
        <w:t>签订的《联合体投标协议书》的内容，</w:t>
      </w:r>
      <w:r>
        <w:rPr>
          <w:rFonts w:hint="eastAsia" w:ascii="仿宋" w:hAnsi="仿宋" w:eastAsia="仿宋" w:cs="仿宋"/>
          <w:color w:val="auto"/>
          <w:sz w:val="24"/>
          <w:u w:val="single"/>
        </w:rPr>
        <w:t>（牵头人名称）</w:t>
      </w:r>
      <w:r>
        <w:rPr>
          <w:rFonts w:hint="eastAsia" w:ascii="仿宋" w:hAnsi="仿宋" w:eastAsia="仿宋" w:cs="仿宋"/>
          <w:color w:val="auto"/>
          <w:sz w:val="24"/>
        </w:rPr>
        <w:t>的法定代表人</w:t>
      </w:r>
      <w:r>
        <w:rPr>
          <w:rFonts w:hint="eastAsia" w:ascii="仿宋" w:hAnsi="仿宋" w:eastAsia="仿宋" w:cs="仿宋"/>
          <w:color w:val="auto"/>
          <w:sz w:val="24"/>
          <w:u w:val="single"/>
        </w:rPr>
        <w:t>（姓名）</w:t>
      </w:r>
      <w:r>
        <w:rPr>
          <w:rFonts w:hint="eastAsia" w:ascii="仿宋" w:hAnsi="仿宋" w:eastAsia="仿宋" w:cs="仿宋"/>
          <w:color w:val="auto"/>
          <w:sz w:val="24"/>
        </w:rPr>
        <w:t>现授权委托</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以我方的名义参加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项目的投标活动，并代表我方全权办理针对上述项目的所有采购程序和环节的具体事务和签署相关文件。</w:t>
      </w:r>
    </w:p>
    <w:p w14:paraId="0972C485">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我方对委托代理人的签字事项负全部责任。</w:t>
      </w:r>
    </w:p>
    <w:p w14:paraId="12E9E72E">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本授权书自签署之日起生效，在撤销授权的书面通知以前，本授权书一直有效。委托代理人在授权书有效期内签署的所有文件不因授权的撤销而失效。</w:t>
      </w:r>
    </w:p>
    <w:p w14:paraId="3256806A">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委托代理人无转委托权，特此委托。</w:t>
      </w:r>
    </w:p>
    <w:p w14:paraId="3B893EE5">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附：牵头人法定代表人身份证明及委托代理人有效身份证正反面复印件</w:t>
      </w:r>
    </w:p>
    <w:p w14:paraId="1B3EAF9C">
      <w:pPr>
        <w:spacing w:line="440" w:lineRule="exact"/>
        <w:ind w:firstLine="566" w:firstLineChars="236"/>
        <w:contextualSpacing/>
        <w:rPr>
          <w:rFonts w:hint="eastAsia" w:ascii="仿宋" w:hAnsi="仿宋" w:eastAsia="仿宋" w:cs="仿宋"/>
          <w:color w:val="auto"/>
          <w:sz w:val="24"/>
        </w:rPr>
      </w:pPr>
    </w:p>
    <w:p w14:paraId="4EE3B409">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牵头人法定代表人（签字或者盖章）：</w:t>
      </w:r>
    </w:p>
    <w:p w14:paraId="107E983C">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牵头人（盖公章）：</w:t>
      </w:r>
    </w:p>
    <w:p w14:paraId="63A2FCE7">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日期：    年   月   日</w:t>
      </w:r>
    </w:p>
    <w:p w14:paraId="7ECD1237">
      <w:pPr>
        <w:spacing w:line="440" w:lineRule="exact"/>
        <w:ind w:firstLine="566" w:firstLineChars="236"/>
        <w:contextualSpacing/>
        <w:rPr>
          <w:rFonts w:hint="eastAsia" w:ascii="仿宋" w:hAnsi="仿宋" w:eastAsia="仿宋" w:cs="仿宋"/>
          <w:color w:val="auto"/>
          <w:sz w:val="24"/>
        </w:rPr>
      </w:pPr>
    </w:p>
    <w:p w14:paraId="1C40C231">
      <w:pPr>
        <w:spacing w:line="440" w:lineRule="exact"/>
        <w:ind w:firstLine="566" w:firstLineChars="236"/>
        <w:contextualSpacing/>
        <w:rPr>
          <w:rFonts w:hint="eastAsia" w:ascii="仿宋" w:hAnsi="仿宋" w:eastAsia="仿宋" w:cs="仿宋"/>
          <w:color w:val="auto"/>
          <w:sz w:val="24"/>
        </w:rPr>
      </w:pPr>
      <w:r>
        <w:rPr>
          <w:rFonts w:hint="eastAsia" w:ascii="仿宋" w:hAnsi="仿宋" w:eastAsia="仿宋" w:cs="仿宋"/>
          <w:color w:val="auto"/>
          <w:sz w:val="24"/>
        </w:rPr>
        <w:t>被授权人（签字）：</w:t>
      </w:r>
    </w:p>
    <w:p w14:paraId="7B668F2A">
      <w:pPr>
        <w:spacing w:line="440" w:lineRule="exact"/>
        <w:ind w:firstLine="566" w:firstLineChars="236"/>
        <w:contextualSpacing/>
        <w:rPr>
          <w:rFonts w:hint="eastAsia" w:ascii="仿宋" w:hAnsi="仿宋" w:eastAsia="仿宋" w:cs="仿宋"/>
          <w:color w:val="auto"/>
          <w:sz w:val="32"/>
          <w:szCs w:val="32"/>
        </w:rPr>
      </w:pPr>
      <w:r>
        <w:rPr>
          <w:rFonts w:hint="eastAsia" w:ascii="仿宋" w:hAnsi="仿宋" w:eastAsia="仿宋" w:cs="仿宋"/>
          <w:color w:val="auto"/>
          <w:sz w:val="24"/>
        </w:rPr>
        <w:t>日期：    年   月   日</w:t>
      </w:r>
    </w:p>
    <w:p w14:paraId="288F3565">
      <w:pPr>
        <w:spacing w:line="440" w:lineRule="exact"/>
        <w:contextualSpacing/>
        <w:rPr>
          <w:rFonts w:hint="eastAsia" w:ascii="仿宋" w:hAnsi="仿宋" w:eastAsia="仿宋" w:cs="仿宋"/>
          <w:color w:val="auto"/>
          <w:sz w:val="24"/>
        </w:rPr>
      </w:pPr>
      <w:r>
        <w:rPr>
          <w:rFonts w:hint="eastAsia" w:ascii="仿宋" w:hAnsi="仿宋" w:eastAsia="仿宋" w:cs="仿宋"/>
          <w:color w:val="auto"/>
          <w:sz w:val="24"/>
        </w:rPr>
        <w:t>注：1. 法定代表人必须在授权委托书上亲笔签字或者盖章，委托代理人必须在授权委托书上亲笔签字，</w:t>
      </w:r>
      <w:r>
        <w:rPr>
          <w:rFonts w:hint="eastAsia" w:ascii="仿宋" w:hAnsi="仿宋" w:eastAsia="仿宋" w:cs="仿宋"/>
          <w:b/>
          <w:bCs/>
          <w:color w:val="auto"/>
          <w:sz w:val="24"/>
        </w:rPr>
        <w:t>否则按无效投标处理</w:t>
      </w:r>
      <w:r>
        <w:rPr>
          <w:rFonts w:hint="eastAsia" w:ascii="仿宋" w:hAnsi="仿宋" w:eastAsia="仿宋" w:cs="仿宋"/>
          <w:color w:val="auto"/>
          <w:sz w:val="24"/>
        </w:rPr>
        <w:t>；</w:t>
      </w:r>
    </w:p>
    <w:p w14:paraId="19003657">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2.本授权委托书应由联合体牵头人的法定代表人按上述规定签字。</w:t>
      </w:r>
    </w:p>
    <w:p w14:paraId="3831687F">
      <w:pPr>
        <w:spacing w:line="440" w:lineRule="exact"/>
        <w:ind w:firstLine="480" w:firstLineChars="200"/>
        <w:contextualSpacing/>
        <w:jc w:val="left"/>
        <w:rPr>
          <w:rFonts w:hint="eastAsia" w:ascii="仿宋" w:hAnsi="仿宋" w:eastAsia="仿宋" w:cs="仿宋"/>
          <w:color w:val="auto"/>
          <w:sz w:val="24"/>
        </w:rPr>
      </w:pPr>
      <w:r>
        <w:rPr>
          <w:rFonts w:hint="eastAsia" w:ascii="仿宋" w:hAnsi="仿宋" w:eastAsia="仿宋" w:cs="仿宋"/>
          <w:color w:val="auto"/>
          <w:sz w:val="24"/>
        </w:rPr>
        <w:t>3.法人、其他组织投标时“我方”是指“我单位”，自然人投标时“我方”是指“本人”。</w:t>
      </w:r>
    </w:p>
    <w:p w14:paraId="5A828F26">
      <w:pPr>
        <w:snapToGrid w:val="0"/>
        <w:spacing w:before="50" w:after="120" w:afterLines="50"/>
        <w:ind w:firstLine="480" w:firstLineChars="200"/>
        <w:jc w:val="left"/>
        <w:rPr>
          <w:rFonts w:hint="eastAsia" w:ascii="仿宋" w:hAnsi="仿宋" w:eastAsia="仿宋" w:cs="仿宋"/>
          <w:color w:val="auto"/>
          <w:sz w:val="24"/>
        </w:rPr>
        <w:sectPr>
          <w:footerReference r:id="rId7" w:type="first"/>
          <w:footerReference r:id="rId6" w:type="default"/>
          <w:pgSz w:w="11906" w:h="16838"/>
          <w:pgMar w:top="1134" w:right="1134" w:bottom="2269" w:left="1134" w:header="851" w:footer="567" w:gutter="0"/>
          <w:pgNumType w:start="1"/>
          <w:cols w:space="720" w:num="1"/>
          <w:docGrid w:linePitch="312" w:charSpace="0"/>
        </w:sectPr>
      </w:pPr>
    </w:p>
    <w:p w14:paraId="5DBA9BCA">
      <w:pPr>
        <w:rPr>
          <w:rFonts w:hint="eastAsia" w:ascii="仿宋" w:hAnsi="仿宋" w:eastAsia="仿宋" w:cs="仿宋"/>
          <w:color w:val="auto"/>
          <w:sz w:val="24"/>
        </w:rPr>
      </w:pPr>
    </w:p>
    <w:p w14:paraId="5AF77F4E">
      <w:pPr>
        <w:rPr>
          <w:rFonts w:hint="eastAsia" w:ascii="仿宋" w:hAnsi="仿宋" w:eastAsia="仿宋" w:cs="仿宋"/>
          <w:b/>
          <w:color w:val="auto"/>
          <w:sz w:val="24"/>
          <w:szCs w:val="20"/>
        </w:rPr>
      </w:pPr>
      <w:r>
        <w:rPr>
          <w:rFonts w:hint="eastAsia" w:ascii="仿宋" w:hAnsi="仿宋" w:eastAsia="仿宋" w:cs="仿宋"/>
          <w:b/>
          <w:color w:val="auto"/>
          <w:sz w:val="24"/>
        </w:rPr>
        <w:t>6.商务要求偏离表格式（注：按项目需求表具体项目修改）</w:t>
      </w:r>
    </w:p>
    <w:p w14:paraId="63DBB4E4">
      <w:pPr>
        <w:snapToGrid w:val="0"/>
        <w:spacing w:before="50"/>
        <w:jc w:val="left"/>
        <w:rPr>
          <w:rFonts w:hint="eastAsia" w:ascii="仿宋" w:hAnsi="仿宋" w:eastAsia="仿宋" w:cs="仿宋"/>
          <w:color w:val="auto"/>
          <w:sz w:val="24"/>
        </w:rPr>
      </w:pPr>
    </w:p>
    <w:p w14:paraId="7EB77BB2">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所投分标：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分标</w:t>
      </w:r>
    </w:p>
    <w:p w14:paraId="601158F1">
      <w:pPr>
        <w:snapToGrid w:val="0"/>
        <w:spacing w:before="50"/>
        <w:jc w:val="left"/>
        <w:rPr>
          <w:rFonts w:hint="eastAsia" w:ascii="仿宋" w:hAnsi="仿宋" w:eastAsia="仿宋" w:cs="仿宋"/>
          <w:color w:val="auto"/>
          <w:sz w:val="24"/>
          <w:u w:val="singl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744"/>
        <w:gridCol w:w="2352"/>
        <w:gridCol w:w="2035"/>
      </w:tblGrid>
      <w:tr w14:paraId="5434D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tcPr>
          <w:p w14:paraId="148E0A5E">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项目</w:t>
            </w:r>
          </w:p>
        </w:tc>
        <w:tc>
          <w:tcPr>
            <w:tcW w:w="2744" w:type="dxa"/>
            <w:tcBorders>
              <w:top w:val="single" w:color="auto" w:sz="4" w:space="0"/>
              <w:left w:val="single" w:color="auto" w:sz="4" w:space="0"/>
              <w:bottom w:val="single" w:color="auto" w:sz="4" w:space="0"/>
              <w:right w:val="single" w:color="auto" w:sz="4" w:space="0"/>
            </w:tcBorders>
          </w:tcPr>
          <w:p w14:paraId="28307272">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招标文件商务要求</w:t>
            </w:r>
          </w:p>
        </w:tc>
        <w:tc>
          <w:tcPr>
            <w:tcW w:w="2352" w:type="dxa"/>
            <w:tcBorders>
              <w:top w:val="single" w:color="auto" w:sz="4" w:space="0"/>
              <w:left w:val="single" w:color="auto" w:sz="4" w:space="0"/>
              <w:bottom w:val="single" w:color="auto" w:sz="4" w:space="0"/>
              <w:right w:val="single" w:color="auto" w:sz="4" w:space="0"/>
            </w:tcBorders>
          </w:tcPr>
          <w:p w14:paraId="65A33F07">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42B5D18D">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偏离说明</w:t>
            </w:r>
          </w:p>
        </w:tc>
      </w:tr>
      <w:tr w14:paraId="02F32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vAlign w:val="center"/>
          </w:tcPr>
          <w:p w14:paraId="0A561AE8">
            <w:pPr>
              <w:jc w:val="center"/>
              <w:rPr>
                <w:rFonts w:hint="eastAsia" w:ascii="仿宋" w:hAnsi="仿宋" w:eastAsia="仿宋" w:cs="仿宋"/>
                <w:color w:val="auto"/>
                <w:sz w:val="24"/>
              </w:rPr>
            </w:pPr>
          </w:p>
        </w:tc>
        <w:tc>
          <w:tcPr>
            <w:tcW w:w="2744" w:type="dxa"/>
            <w:tcBorders>
              <w:top w:val="single" w:color="auto" w:sz="4" w:space="0"/>
              <w:left w:val="single" w:color="auto" w:sz="4" w:space="0"/>
              <w:bottom w:val="single" w:color="auto" w:sz="4" w:space="0"/>
              <w:right w:val="single" w:color="auto" w:sz="4" w:space="0"/>
            </w:tcBorders>
          </w:tcPr>
          <w:p w14:paraId="2452E09E">
            <w:pPr>
              <w:snapToGrid w:val="0"/>
              <w:spacing w:before="120" w:beforeLines="50"/>
              <w:jc w:val="center"/>
              <w:rPr>
                <w:rFonts w:hint="eastAsia" w:ascii="仿宋" w:hAnsi="仿宋" w:eastAsia="仿宋" w:cs="仿宋"/>
                <w:color w:val="auto"/>
                <w:sz w:val="24"/>
              </w:rPr>
            </w:pPr>
          </w:p>
        </w:tc>
        <w:tc>
          <w:tcPr>
            <w:tcW w:w="2352" w:type="dxa"/>
            <w:tcBorders>
              <w:top w:val="single" w:color="auto" w:sz="4" w:space="0"/>
              <w:left w:val="single" w:color="auto" w:sz="4" w:space="0"/>
              <w:bottom w:val="single" w:color="auto" w:sz="4" w:space="0"/>
              <w:right w:val="single" w:color="auto" w:sz="4" w:space="0"/>
            </w:tcBorders>
          </w:tcPr>
          <w:p w14:paraId="1A7FD8EE">
            <w:pPr>
              <w:snapToGrid w:val="0"/>
              <w:spacing w:before="120" w:beforeLines="50"/>
              <w:jc w:val="center"/>
              <w:rPr>
                <w:rFonts w:hint="eastAsia" w:ascii="仿宋" w:hAnsi="仿宋" w:eastAsia="仿宋" w:cs="仿宋"/>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35B1D989">
            <w:pPr>
              <w:snapToGrid w:val="0"/>
              <w:spacing w:before="120" w:beforeLines="50"/>
              <w:jc w:val="center"/>
              <w:rPr>
                <w:rFonts w:hint="eastAsia" w:ascii="仿宋" w:hAnsi="仿宋" w:eastAsia="仿宋" w:cs="仿宋"/>
                <w:color w:val="auto"/>
                <w:sz w:val="24"/>
              </w:rPr>
            </w:pPr>
          </w:p>
        </w:tc>
      </w:tr>
      <w:tr w14:paraId="2008F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vAlign w:val="center"/>
          </w:tcPr>
          <w:p w14:paraId="44AB9110">
            <w:pPr>
              <w:jc w:val="center"/>
              <w:rPr>
                <w:rFonts w:hint="eastAsia" w:ascii="仿宋" w:hAnsi="仿宋" w:eastAsia="仿宋" w:cs="仿宋"/>
                <w:color w:val="auto"/>
                <w:sz w:val="24"/>
              </w:rPr>
            </w:pPr>
          </w:p>
        </w:tc>
        <w:tc>
          <w:tcPr>
            <w:tcW w:w="2744" w:type="dxa"/>
            <w:tcBorders>
              <w:top w:val="single" w:color="auto" w:sz="4" w:space="0"/>
              <w:left w:val="single" w:color="auto" w:sz="4" w:space="0"/>
              <w:bottom w:val="single" w:color="auto" w:sz="4" w:space="0"/>
              <w:right w:val="single" w:color="auto" w:sz="4" w:space="0"/>
            </w:tcBorders>
          </w:tcPr>
          <w:p w14:paraId="04E8F307">
            <w:pPr>
              <w:snapToGrid w:val="0"/>
              <w:spacing w:before="120" w:beforeLines="50"/>
              <w:rPr>
                <w:rFonts w:hint="eastAsia" w:ascii="仿宋" w:hAnsi="仿宋" w:eastAsia="仿宋" w:cs="仿宋"/>
                <w:color w:val="auto"/>
                <w:sz w:val="24"/>
                <w:u w:val="single"/>
              </w:rPr>
            </w:pPr>
          </w:p>
        </w:tc>
        <w:tc>
          <w:tcPr>
            <w:tcW w:w="2352" w:type="dxa"/>
            <w:tcBorders>
              <w:top w:val="single" w:color="auto" w:sz="4" w:space="0"/>
              <w:left w:val="single" w:color="auto" w:sz="4" w:space="0"/>
              <w:bottom w:val="single" w:color="auto" w:sz="4" w:space="0"/>
              <w:right w:val="single" w:color="auto" w:sz="4" w:space="0"/>
            </w:tcBorders>
          </w:tcPr>
          <w:p w14:paraId="77C00059">
            <w:pPr>
              <w:snapToGrid w:val="0"/>
              <w:spacing w:before="120" w:beforeLines="50"/>
              <w:ind w:left="43"/>
              <w:jc w:val="center"/>
              <w:rPr>
                <w:rFonts w:hint="eastAsia" w:ascii="仿宋" w:hAnsi="仿宋" w:eastAsia="仿宋" w:cs="仿宋"/>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1BDA4800">
            <w:pPr>
              <w:snapToGrid w:val="0"/>
              <w:spacing w:before="120" w:beforeLines="50"/>
              <w:ind w:left="43"/>
              <w:jc w:val="center"/>
              <w:rPr>
                <w:rFonts w:hint="eastAsia" w:ascii="仿宋" w:hAnsi="仿宋" w:eastAsia="仿宋" w:cs="仿宋"/>
                <w:color w:val="auto"/>
                <w:sz w:val="24"/>
              </w:rPr>
            </w:pPr>
          </w:p>
        </w:tc>
      </w:tr>
      <w:tr w14:paraId="6E4E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10" w:type="dxa"/>
            <w:tcBorders>
              <w:top w:val="single" w:color="auto" w:sz="4" w:space="0"/>
              <w:left w:val="single" w:color="auto" w:sz="4" w:space="0"/>
              <w:bottom w:val="single" w:color="auto" w:sz="4" w:space="0"/>
              <w:right w:val="single" w:color="auto" w:sz="4" w:space="0"/>
            </w:tcBorders>
          </w:tcPr>
          <w:p w14:paraId="12034486">
            <w:pPr>
              <w:snapToGrid w:val="0"/>
              <w:spacing w:before="120" w:beforeLines="50"/>
              <w:jc w:val="center"/>
              <w:rPr>
                <w:rFonts w:hint="eastAsia" w:ascii="仿宋" w:hAnsi="仿宋" w:eastAsia="仿宋" w:cs="仿宋"/>
                <w:color w:val="auto"/>
                <w:sz w:val="24"/>
              </w:rPr>
            </w:pPr>
          </w:p>
        </w:tc>
        <w:tc>
          <w:tcPr>
            <w:tcW w:w="2744" w:type="dxa"/>
            <w:tcBorders>
              <w:top w:val="single" w:color="auto" w:sz="4" w:space="0"/>
              <w:left w:val="single" w:color="auto" w:sz="4" w:space="0"/>
              <w:bottom w:val="single" w:color="auto" w:sz="4" w:space="0"/>
              <w:right w:val="single" w:color="auto" w:sz="4" w:space="0"/>
            </w:tcBorders>
          </w:tcPr>
          <w:p w14:paraId="226896D5">
            <w:pPr>
              <w:snapToGrid w:val="0"/>
              <w:spacing w:before="120" w:beforeLines="50"/>
              <w:jc w:val="center"/>
              <w:rPr>
                <w:rFonts w:hint="eastAsia" w:ascii="仿宋" w:hAnsi="仿宋" w:eastAsia="仿宋" w:cs="仿宋"/>
                <w:color w:val="auto"/>
                <w:sz w:val="24"/>
              </w:rPr>
            </w:pPr>
          </w:p>
        </w:tc>
        <w:tc>
          <w:tcPr>
            <w:tcW w:w="2352" w:type="dxa"/>
            <w:tcBorders>
              <w:top w:val="single" w:color="auto" w:sz="4" w:space="0"/>
              <w:left w:val="single" w:color="auto" w:sz="4" w:space="0"/>
              <w:bottom w:val="single" w:color="auto" w:sz="4" w:space="0"/>
              <w:right w:val="single" w:color="auto" w:sz="4" w:space="0"/>
            </w:tcBorders>
          </w:tcPr>
          <w:p w14:paraId="216F2E2A">
            <w:pPr>
              <w:snapToGrid w:val="0"/>
              <w:spacing w:before="120" w:beforeLines="50"/>
              <w:jc w:val="center"/>
              <w:rPr>
                <w:rFonts w:hint="eastAsia" w:ascii="仿宋" w:hAnsi="仿宋" w:eastAsia="仿宋" w:cs="仿宋"/>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414AD15B">
            <w:pPr>
              <w:snapToGrid w:val="0"/>
              <w:spacing w:before="120" w:beforeLines="50"/>
              <w:jc w:val="center"/>
              <w:rPr>
                <w:rFonts w:hint="eastAsia" w:ascii="仿宋" w:hAnsi="仿宋" w:eastAsia="仿宋" w:cs="仿宋"/>
                <w:color w:val="auto"/>
                <w:sz w:val="24"/>
              </w:rPr>
            </w:pPr>
          </w:p>
        </w:tc>
      </w:tr>
    </w:tbl>
    <w:p w14:paraId="524142B7">
      <w:pPr>
        <w:pStyle w:val="17"/>
        <w:rPr>
          <w:rFonts w:hint="eastAsia" w:ascii="仿宋" w:hAnsi="仿宋" w:eastAsia="仿宋" w:cs="仿宋"/>
          <w:color w:val="auto"/>
        </w:rPr>
      </w:pPr>
      <w:r>
        <w:rPr>
          <w:rFonts w:hint="eastAsia" w:ascii="仿宋" w:hAnsi="仿宋" w:eastAsia="仿宋" w:cs="仿宋"/>
          <w:color w:val="auto"/>
        </w:rPr>
        <w:t>注：</w:t>
      </w:r>
    </w:p>
    <w:p w14:paraId="2CA950CE">
      <w:pPr>
        <w:pStyle w:val="19"/>
        <w:spacing w:line="520" w:lineRule="exact"/>
        <w:ind w:firstLine="0" w:firstLineChars="0"/>
        <w:rPr>
          <w:rFonts w:hint="eastAsia" w:ascii="仿宋" w:hAnsi="仿宋" w:eastAsia="仿宋" w:cs="仿宋"/>
          <w:color w:val="auto"/>
          <w:szCs w:val="32"/>
        </w:rPr>
      </w:pPr>
      <w:r>
        <w:rPr>
          <w:rFonts w:hint="eastAsia" w:ascii="仿宋" w:hAnsi="仿宋" w:eastAsia="仿宋" w:cs="仿宋"/>
          <w:color w:val="auto"/>
          <w:sz w:val="24"/>
          <w:szCs w:val="24"/>
        </w:rPr>
        <w:t>1.</w:t>
      </w:r>
      <w:r>
        <w:rPr>
          <w:rFonts w:hint="eastAsia" w:ascii="仿宋" w:hAnsi="仿宋" w:eastAsia="仿宋" w:cs="仿宋"/>
          <w:color w:val="auto"/>
        </w:rPr>
        <w:t xml:space="preserve"> </w:t>
      </w:r>
      <w:r>
        <w:rPr>
          <w:rFonts w:hint="eastAsia" w:ascii="仿宋" w:hAnsi="仿宋" w:eastAsia="仿宋" w:cs="仿宋"/>
          <w:color w:val="auto"/>
          <w:sz w:val="24"/>
          <w:szCs w:val="24"/>
        </w:rPr>
        <w:t>说明：应对照招标文件“第二章 采购需求”中的“第三部分 商务条款”要求逐条作明确的投标响应，并作出偏离说明。</w:t>
      </w:r>
    </w:p>
    <w:p w14:paraId="768DBF02">
      <w:pPr>
        <w:pStyle w:val="17"/>
        <w:rPr>
          <w:rFonts w:hint="eastAsia" w:ascii="仿宋" w:hAnsi="仿宋" w:eastAsia="仿宋" w:cs="仿宋"/>
          <w:b w:val="0"/>
          <w:bCs w:val="0"/>
          <w:color w:val="auto"/>
        </w:rPr>
      </w:pPr>
      <w:r>
        <w:rPr>
          <w:rFonts w:hint="eastAsia" w:ascii="仿宋" w:hAnsi="仿宋" w:eastAsia="仿宋" w:cs="仿宋"/>
          <w:b w:val="0"/>
          <w:bCs w:val="0"/>
          <w:color w:val="auto"/>
        </w:rPr>
        <w:t>2.投标人应根据自身的承诺，对照招标文件要求在“偏离说明”中注明“</w:t>
      </w:r>
      <w:r>
        <w:rPr>
          <w:rFonts w:hint="eastAsia" w:ascii="仿宋" w:hAnsi="仿宋" w:eastAsia="仿宋" w:cs="仿宋"/>
          <w:color w:val="auto"/>
        </w:rPr>
        <w:t>正偏离</w:t>
      </w:r>
      <w:r>
        <w:rPr>
          <w:rFonts w:hint="eastAsia" w:ascii="仿宋" w:hAnsi="仿宋" w:eastAsia="仿宋" w:cs="仿宋"/>
          <w:b w:val="0"/>
          <w:bCs w:val="0"/>
          <w:color w:val="auto"/>
        </w:rPr>
        <w:t>”、“</w:t>
      </w:r>
      <w:r>
        <w:rPr>
          <w:rFonts w:hint="eastAsia" w:ascii="仿宋" w:hAnsi="仿宋" w:eastAsia="仿宋" w:cs="仿宋"/>
          <w:color w:val="auto"/>
        </w:rPr>
        <w:t>负偏离</w:t>
      </w:r>
      <w:r>
        <w:rPr>
          <w:rFonts w:hint="eastAsia" w:ascii="仿宋" w:hAnsi="仿宋" w:eastAsia="仿宋" w:cs="仿宋"/>
          <w:b w:val="0"/>
          <w:bCs w:val="0"/>
          <w:color w:val="auto"/>
        </w:rPr>
        <w:t>”或者“</w:t>
      </w:r>
      <w:r>
        <w:rPr>
          <w:rFonts w:hint="eastAsia" w:ascii="仿宋" w:hAnsi="仿宋" w:eastAsia="仿宋" w:cs="仿宋"/>
          <w:color w:val="auto"/>
        </w:rPr>
        <w:t>无偏离</w:t>
      </w:r>
      <w:r>
        <w:rPr>
          <w:rFonts w:hint="eastAsia" w:ascii="仿宋" w:hAnsi="仿宋" w:eastAsia="仿宋" w:cs="仿宋"/>
          <w:b w:val="0"/>
          <w:bCs w:val="0"/>
          <w:color w:val="auto"/>
        </w:rPr>
        <w:t>”。既不属于“</w:t>
      </w:r>
      <w:r>
        <w:rPr>
          <w:rFonts w:hint="eastAsia" w:ascii="仿宋" w:hAnsi="仿宋" w:eastAsia="仿宋" w:cs="仿宋"/>
          <w:color w:val="auto"/>
        </w:rPr>
        <w:t>正偏离</w:t>
      </w:r>
      <w:r>
        <w:rPr>
          <w:rFonts w:hint="eastAsia" w:ascii="仿宋" w:hAnsi="仿宋" w:eastAsia="仿宋" w:cs="仿宋"/>
          <w:b w:val="0"/>
          <w:bCs w:val="0"/>
          <w:color w:val="auto"/>
        </w:rPr>
        <w:t>”也不属于“</w:t>
      </w:r>
      <w:r>
        <w:rPr>
          <w:rFonts w:hint="eastAsia" w:ascii="仿宋" w:hAnsi="仿宋" w:eastAsia="仿宋" w:cs="仿宋"/>
          <w:color w:val="auto"/>
        </w:rPr>
        <w:t>负偏离</w:t>
      </w:r>
      <w:r>
        <w:rPr>
          <w:rFonts w:hint="eastAsia" w:ascii="仿宋" w:hAnsi="仿宋" w:eastAsia="仿宋" w:cs="仿宋"/>
          <w:b w:val="0"/>
          <w:bCs w:val="0"/>
          <w:color w:val="auto"/>
        </w:rPr>
        <w:t>”即为“</w:t>
      </w:r>
      <w:r>
        <w:rPr>
          <w:rFonts w:hint="eastAsia" w:ascii="仿宋" w:hAnsi="仿宋" w:eastAsia="仿宋" w:cs="仿宋"/>
          <w:color w:val="auto"/>
        </w:rPr>
        <w:t>无偏离</w:t>
      </w:r>
      <w:r>
        <w:rPr>
          <w:rFonts w:hint="eastAsia" w:ascii="仿宋" w:hAnsi="仿宋" w:eastAsia="仿宋" w:cs="仿宋"/>
          <w:b w:val="0"/>
          <w:bCs w:val="0"/>
          <w:color w:val="auto"/>
        </w:rPr>
        <w:t>”。</w:t>
      </w:r>
    </w:p>
    <w:p w14:paraId="36E59734">
      <w:pPr>
        <w:snapToGrid w:val="0"/>
        <w:spacing w:before="50" w:after="50"/>
        <w:rPr>
          <w:rFonts w:hint="eastAsia" w:ascii="仿宋" w:hAnsi="仿宋" w:eastAsia="仿宋" w:cs="仿宋"/>
          <w:color w:val="auto"/>
          <w:sz w:val="24"/>
        </w:rPr>
      </w:pPr>
    </w:p>
    <w:p w14:paraId="20E679E3">
      <w:pPr>
        <w:snapToGrid w:val="0"/>
        <w:spacing w:before="50" w:after="50"/>
        <w:rPr>
          <w:rFonts w:hint="eastAsia" w:ascii="仿宋" w:hAnsi="仿宋" w:eastAsia="仿宋" w:cs="仿宋"/>
          <w:color w:val="auto"/>
          <w:spacing w:val="20"/>
          <w:sz w:val="24"/>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44DEC4B1">
      <w:pPr>
        <w:snapToGrid w:val="0"/>
        <w:spacing w:before="120" w:beforeLines="50"/>
        <w:rPr>
          <w:rFonts w:hint="eastAsia" w:ascii="仿宋" w:hAnsi="仿宋" w:eastAsia="仿宋" w:cs="仿宋"/>
          <w:color w:val="auto"/>
          <w:spacing w:val="20"/>
          <w:sz w:val="24"/>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w:t>
      </w:r>
    </w:p>
    <w:p w14:paraId="312CA23A">
      <w:pPr>
        <w:snapToGrid w:val="0"/>
        <w:spacing w:before="120" w:beforeLines="50"/>
        <w:rPr>
          <w:rFonts w:hint="eastAsia" w:ascii="仿宋" w:hAnsi="仿宋" w:eastAsia="仿宋" w:cs="仿宋"/>
          <w:color w:val="auto"/>
          <w:sz w:val="24"/>
          <w:szCs w:val="20"/>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18586270">
      <w:pPr>
        <w:snapToGrid w:val="0"/>
        <w:spacing w:before="120" w:beforeLines="50"/>
        <w:rPr>
          <w:rFonts w:hint="eastAsia" w:ascii="仿宋" w:hAnsi="仿宋" w:eastAsia="仿宋" w:cs="仿宋"/>
          <w:color w:val="auto"/>
          <w:sz w:val="24"/>
          <w:szCs w:val="20"/>
        </w:rPr>
      </w:pPr>
    </w:p>
    <w:p w14:paraId="11C53496">
      <w:pPr>
        <w:snapToGrid w:val="0"/>
        <w:spacing w:before="120" w:beforeLines="50" w:after="50"/>
        <w:jc w:val="left"/>
        <w:rPr>
          <w:rFonts w:hint="eastAsia" w:ascii="仿宋" w:hAnsi="仿宋" w:eastAsia="仿宋" w:cs="仿宋"/>
          <w:color w:val="auto"/>
          <w:sz w:val="24"/>
          <w:szCs w:val="20"/>
        </w:rPr>
      </w:pPr>
    </w:p>
    <w:p w14:paraId="557F266C">
      <w:pPr>
        <w:snapToGrid w:val="0"/>
        <w:spacing w:before="120" w:beforeLines="50" w:after="50"/>
        <w:jc w:val="left"/>
        <w:rPr>
          <w:rFonts w:hint="eastAsia" w:ascii="仿宋" w:hAnsi="仿宋" w:eastAsia="仿宋" w:cs="仿宋"/>
          <w:b/>
          <w:color w:val="auto"/>
          <w:sz w:val="24"/>
        </w:rPr>
      </w:pPr>
      <w:r>
        <w:rPr>
          <w:rFonts w:hint="eastAsia" w:ascii="仿宋" w:hAnsi="仿宋" w:eastAsia="仿宋" w:cs="仿宋"/>
          <w:color w:val="auto"/>
          <w:sz w:val="24"/>
          <w:szCs w:val="20"/>
        </w:rPr>
        <w:br w:type="page"/>
      </w:r>
      <w:r>
        <w:rPr>
          <w:rFonts w:hint="eastAsia" w:ascii="仿宋" w:hAnsi="仿宋" w:eastAsia="仿宋" w:cs="仿宋"/>
          <w:b/>
          <w:color w:val="auto"/>
          <w:sz w:val="24"/>
        </w:rPr>
        <w:t>7.投标人业绩证明材料</w:t>
      </w:r>
    </w:p>
    <w:p w14:paraId="09F1E577">
      <w:pPr>
        <w:pStyle w:val="35"/>
        <w:snapToGrid w:val="0"/>
        <w:ind w:left="480" w:hanging="480"/>
        <w:rPr>
          <w:rFonts w:hint="eastAsia" w:ascii="仿宋" w:hAnsi="仿宋" w:eastAsia="仿宋" w:cs="仿宋"/>
          <w:color w:val="auto"/>
          <w:sz w:val="24"/>
        </w:rPr>
      </w:pPr>
    </w:p>
    <w:p w14:paraId="1FFCACBF">
      <w:pPr>
        <w:pStyle w:val="35"/>
        <w:snapToGrid w:val="0"/>
        <w:ind w:left="480" w:hanging="480"/>
        <w:rPr>
          <w:rFonts w:hint="eastAsia" w:ascii="仿宋" w:hAnsi="仿宋" w:eastAsia="仿宋" w:cs="仿宋"/>
          <w:color w:val="auto"/>
          <w:sz w:val="24"/>
        </w:rPr>
      </w:pPr>
      <w:r>
        <w:rPr>
          <w:rFonts w:hint="eastAsia" w:ascii="仿宋" w:hAnsi="仿宋" w:eastAsia="仿宋" w:cs="仿宋"/>
          <w:color w:val="auto"/>
          <w:sz w:val="24"/>
        </w:rPr>
        <w:t xml:space="preserve">投标人业绩情况一览表格式：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14E5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B7BDCCD">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9D26DE8">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8CF110F">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合同金额</w:t>
            </w:r>
          </w:p>
          <w:p w14:paraId="7ACE33A1">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539F96C2">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采购人联系人及</w:t>
            </w:r>
          </w:p>
          <w:p w14:paraId="2C676047">
            <w:pPr>
              <w:snapToGrid w:val="0"/>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联系电话</w:t>
            </w:r>
          </w:p>
        </w:tc>
      </w:tr>
      <w:tr w14:paraId="6386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3B186620">
            <w:pPr>
              <w:jc w:val="left"/>
              <w:rPr>
                <w:rFonts w:hint="eastAsia" w:ascii="仿宋" w:hAnsi="仿宋" w:eastAsia="仿宋" w:cs="仿宋"/>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2129C03">
            <w:pPr>
              <w:jc w:val="left"/>
              <w:rPr>
                <w:rFonts w:hint="eastAsia" w:ascii="仿宋" w:hAnsi="仿宋" w:eastAsia="仿宋" w:cs="仿宋"/>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EF7F662">
            <w:pPr>
              <w:jc w:val="left"/>
              <w:rPr>
                <w:rFonts w:hint="eastAsia" w:ascii="仿宋" w:hAnsi="仿宋" w:eastAsia="仿宋" w:cs="仿宋"/>
                <w:color w:val="auto"/>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9B3D887">
            <w:pPr>
              <w:jc w:val="left"/>
              <w:rPr>
                <w:rFonts w:hint="eastAsia" w:ascii="仿宋" w:hAnsi="仿宋" w:eastAsia="仿宋" w:cs="仿宋"/>
                <w:color w:val="auto"/>
                <w:sz w:val="24"/>
              </w:rPr>
            </w:pPr>
          </w:p>
        </w:tc>
      </w:tr>
      <w:tr w14:paraId="37041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3F86615B">
            <w:pPr>
              <w:snapToGrid w:val="0"/>
              <w:spacing w:line="24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2151B075">
            <w:pPr>
              <w:snapToGrid w:val="0"/>
              <w:spacing w:line="24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5EB4E85">
            <w:pPr>
              <w:snapToGrid w:val="0"/>
              <w:spacing w:line="24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3F30323D">
            <w:pPr>
              <w:snapToGrid w:val="0"/>
              <w:spacing w:line="240" w:lineRule="exact"/>
              <w:jc w:val="left"/>
              <w:rPr>
                <w:rFonts w:hint="eastAsia" w:ascii="仿宋" w:hAnsi="仿宋" w:eastAsia="仿宋" w:cs="仿宋"/>
                <w:color w:val="auto"/>
                <w:sz w:val="24"/>
              </w:rPr>
            </w:pPr>
          </w:p>
        </w:tc>
      </w:tr>
      <w:tr w14:paraId="5487A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26E9CFB">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88908B9">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C207C3F">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254B4AF7">
            <w:pPr>
              <w:snapToGrid w:val="0"/>
              <w:spacing w:before="50" w:after="120" w:afterLines="50" w:line="400" w:lineRule="exact"/>
              <w:jc w:val="left"/>
              <w:rPr>
                <w:rFonts w:hint="eastAsia" w:ascii="仿宋" w:hAnsi="仿宋" w:eastAsia="仿宋" w:cs="仿宋"/>
                <w:color w:val="auto"/>
                <w:sz w:val="24"/>
              </w:rPr>
            </w:pPr>
          </w:p>
        </w:tc>
      </w:tr>
      <w:tr w14:paraId="3FD43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729A0613">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9E80D67">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7656DDB0">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7D83AEC2">
            <w:pPr>
              <w:snapToGrid w:val="0"/>
              <w:spacing w:before="50" w:after="120" w:afterLines="50" w:line="400" w:lineRule="exact"/>
              <w:jc w:val="left"/>
              <w:rPr>
                <w:rFonts w:hint="eastAsia" w:ascii="仿宋" w:hAnsi="仿宋" w:eastAsia="仿宋" w:cs="仿宋"/>
                <w:color w:val="auto"/>
                <w:sz w:val="24"/>
              </w:rPr>
            </w:pPr>
          </w:p>
        </w:tc>
      </w:tr>
      <w:tr w14:paraId="1D517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A96B3C1">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27ADC2A">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0E5D0410">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21719442">
            <w:pPr>
              <w:snapToGrid w:val="0"/>
              <w:spacing w:before="50" w:after="120" w:afterLines="50" w:line="400" w:lineRule="exact"/>
              <w:jc w:val="left"/>
              <w:rPr>
                <w:rFonts w:hint="eastAsia" w:ascii="仿宋" w:hAnsi="仿宋" w:eastAsia="仿宋" w:cs="仿宋"/>
                <w:color w:val="auto"/>
                <w:sz w:val="24"/>
              </w:rPr>
            </w:pPr>
          </w:p>
        </w:tc>
      </w:tr>
      <w:tr w14:paraId="48B1C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91695CE">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27DF0E7">
            <w:pPr>
              <w:snapToGrid w:val="0"/>
              <w:spacing w:before="50" w:after="120" w:afterLines="50" w:line="400" w:lineRule="exact"/>
              <w:jc w:val="left"/>
              <w:rPr>
                <w:rFonts w:hint="eastAsia" w:ascii="仿宋" w:hAnsi="仿宋" w:eastAsia="仿宋" w:cs="仿宋"/>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448FAB6E">
            <w:pPr>
              <w:snapToGrid w:val="0"/>
              <w:spacing w:before="50" w:after="120" w:afterLines="50" w:line="400" w:lineRule="exact"/>
              <w:jc w:val="left"/>
              <w:rPr>
                <w:rFonts w:hint="eastAsia" w:ascii="仿宋" w:hAnsi="仿宋" w:eastAsia="仿宋" w:cs="仿宋"/>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56B068CF">
            <w:pPr>
              <w:snapToGrid w:val="0"/>
              <w:spacing w:before="50" w:after="120" w:afterLines="50" w:line="400" w:lineRule="exact"/>
              <w:jc w:val="left"/>
              <w:rPr>
                <w:rFonts w:hint="eastAsia" w:ascii="仿宋" w:hAnsi="仿宋" w:eastAsia="仿宋" w:cs="仿宋"/>
                <w:color w:val="auto"/>
                <w:sz w:val="24"/>
              </w:rPr>
            </w:pPr>
          </w:p>
        </w:tc>
      </w:tr>
    </w:tbl>
    <w:p w14:paraId="668C6C53">
      <w:pPr>
        <w:pStyle w:val="14"/>
        <w:spacing w:before="0" w:after="0" w:line="360" w:lineRule="auto"/>
        <w:contextualSpacing/>
        <w:rPr>
          <w:rFonts w:hint="eastAsia" w:ascii="仿宋" w:hAnsi="仿宋" w:eastAsia="仿宋" w:cs="仿宋"/>
          <w:color w:val="auto"/>
          <w:sz w:val="24"/>
          <w:szCs w:val="24"/>
        </w:rPr>
      </w:pPr>
    </w:p>
    <w:p w14:paraId="34248B2A">
      <w:pPr>
        <w:pStyle w:val="14"/>
        <w:spacing w:before="0" w:after="0" w:line="360" w:lineRule="auto"/>
        <w:contextualSpacing/>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rPr>
        <w:t>投标人根据评标标准具体要求附业绩证明材料。</w:t>
      </w:r>
    </w:p>
    <w:p w14:paraId="78FB8A05">
      <w:pPr>
        <w:pStyle w:val="14"/>
        <w:spacing w:before="0" w:after="0" w:line="360" w:lineRule="auto"/>
        <w:contextualSpacing/>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法定代表人或者委托代理人（签字）：</w:t>
      </w:r>
      <w:r>
        <w:rPr>
          <w:rFonts w:hint="eastAsia" w:ascii="仿宋" w:hAnsi="仿宋" w:eastAsia="仿宋" w:cs="仿宋"/>
          <w:color w:val="auto"/>
          <w:sz w:val="24"/>
          <w:szCs w:val="24"/>
          <w:u w:val="single"/>
        </w:rPr>
        <w:t>　　　　　</w:t>
      </w:r>
    </w:p>
    <w:p w14:paraId="64EAD1C2">
      <w:pPr>
        <w:spacing w:line="360" w:lineRule="auto"/>
        <w:ind w:right="480"/>
        <w:contextualSpacing/>
        <w:jc w:val="left"/>
        <w:rPr>
          <w:rFonts w:hint="eastAsia" w:ascii="仿宋" w:hAnsi="仿宋" w:eastAsia="仿宋" w:cs="仿宋"/>
          <w:color w:val="auto"/>
          <w:sz w:val="24"/>
          <w:szCs w:val="20"/>
        </w:rPr>
      </w:pPr>
      <w:r>
        <w:rPr>
          <w:rFonts w:hint="eastAsia" w:ascii="仿宋" w:hAnsi="仿宋" w:eastAsia="仿宋" w:cs="仿宋"/>
          <w:color w:val="auto"/>
          <w:sz w:val="24"/>
        </w:rPr>
        <w:t xml:space="preserve">投标人（盖公章）：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    月    日</w:t>
      </w:r>
    </w:p>
    <w:p w14:paraId="1F7DE7B4">
      <w:pPr>
        <w:snapToGrid w:val="0"/>
        <w:spacing w:before="50"/>
        <w:ind w:firstLine="480" w:firstLineChars="200"/>
        <w:jc w:val="left"/>
        <w:rPr>
          <w:rFonts w:hint="eastAsia" w:ascii="仿宋" w:hAnsi="仿宋" w:eastAsia="仿宋" w:cs="仿宋"/>
          <w:color w:val="auto"/>
          <w:sz w:val="24"/>
          <w:szCs w:val="20"/>
        </w:rPr>
      </w:pPr>
    </w:p>
    <w:p w14:paraId="3C2EB145">
      <w:pPr>
        <w:snapToGrid w:val="0"/>
        <w:spacing w:before="50"/>
        <w:jc w:val="left"/>
        <w:rPr>
          <w:rFonts w:hint="eastAsia" w:ascii="仿宋" w:hAnsi="仿宋" w:eastAsia="仿宋" w:cs="仿宋"/>
          <w:color w:val="auto"/>
          <w:sz w:val="24"/>
        </w:rPr>
      </w:pPr>
    </w:p>
    <w:p w14:paraId="6653657A">
      <w:pPr>
        <w:snapToGrid w:val="0"/>
        <w:spacing w:before="120" w:beforeLines="50"/>
        <w:rPr>
          <w:rFonts w:hint="eastAsia" w:ascii="仿宋" w:hAnsi="仿宋" w:eastAsia="仿宋" w:cs="仿宋"/>
          <w:color w:val="auto"/>
          <w:sz w:val="24"/>
          <w:szCs w:val="20"/>
        </w:rPr>
        <w:sectPr>
          <w:pgSz w:w="11906" w:h="16838"/>
          <w:pgMar w:top="1440" w:right="1797" w:bottom="1440" w:left="1797" w:header="851" w:footer="992" w:gutter="0"/>
          <w:cols w:space="720" w:num="1"/>
          <w:docGrid w:linePitch="312" w:charSpace="0"/>
        </w:sectPr>
      </w:pPr>
    </w:p>
    <w:p w14:paraId="2868E91D">
      <w:pPr>
        <w:rPr>
          <w:rFonts w:hint="eastAsia" w:ascii="仿宋" w:hAnsi="仿宋" w:eastAsia="仿宋" w:cs="仿宋"/>
          <w:b/>
          <w:color w:val="auto"/>
          <w:sz w:val="28"/>
          <w:szCs w:val="28"/>
        </w:rPr>
      </w:pPr>
      <w:r>
        <w:rPr>
          <w:rFonts w:hint="eastAsia" w:ascii="仿宋" w:hAnsi="仿宋" w:eastAsia="仿宋" w:cs="仿宋"/>
          <w:b/>
          <w:color w:val="auto"/>
          <w:sz w:val="28"/>
          <w:szCs w:val="28"/>
        </w:rPr>
        <w:t>四、技术文件格式</w:t>
      </w:r>
    </w:p>
    <w:p w14:paraId="5BC3D7AC">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t xml:space="preserve">1. 技术文件封面格式： </w:t>
      </w:r>
    </w:p>
    <w:p w14:paraId="0335CF09">
      <w:pPr>
        <w:snapToGrid w:val="0"/>
        <w:spacing w:before="120" w:beforeLines="50" w:after="50"/>
        <w:rPr>
          <w:rFonts w:hint="eastAsia" w:ascii="仿宋" w:hAnsi="仿宋" w:eastAsia="仿宋" w:cs="仿宋"/>
          <w:b/>
          <w:bCs/>
          <w:color w:val="auto"/>
          <w:sz w:val="32"/>
          <w:szCs w:val="20"/>
        </w:rPr>
      </w:pPr>
      <w:r>
        <w:rPr>
          <w:rFonts w:hint="eastAsia" w:ascii="仿宋" w:hAnsi="仿宋" w:eastAsia="仿宋" w:cs="仿宋"/>
          <w:color w:val="auto"/>
          <w:sz w:val="24"/>
        </w:rPr>
        <w:t xml:space="preserve">                                                   </w:t>
      </w:r>
    </w:p>
    <w:p w14:paraId="42542ED0">
      <w:pPr>
        <w:snapToGrid w:val="0"/>
        <w:spacing w:before="120" w:beforeLines="50" w:after="50"/>
        <w:rPr>
          <w:rFonts w:hint="eastAsia" w:ascii="仿宋" w:hAnsi="仿宋" w:eastAsia="仿宋" w:cs="仿宋"/>
          <w:color w:val="auto"/>
          <w:sz w:val="24"/>
          <w:szCs w:val="20"/>
        </w:rPr>
      </w:pPr>
    </w:p>
    <w:p w14:paraId="3294B14A">
      <w:pPr>
        <w:snapToGrid w:val="0"/>
        <w:spacing w:before="120" w:beforeLines="50" w:after="50"/>
        <w:rPr>
          <w:rFonts w:hint="eastAsia" w:ascii="仿宋" w:hAnsi="仿宋" w:eastAsia="仿宋" w:cs="仿宋"/>
          <w:color w:val="auto"/>
          <w:sz w:val="24"/>
          <w:szCs w:val="20"/>
        </w:rPr>
      </w:pPr>
    </w:p>
    <w:p w14:paraId="0D62388E">
      <w:pPr>
        <w:snapToGrid w:val="0"/>
        <w:spacing w:before="120" w:beforeLines="50" w:after="50"/>
        <w:jc w:val="center"/>
        <w:rPr>
          <w:rFonts w:hint="eastAsia" w:ascii="仿宋" w:hAnsi="仿宋" w:eastAsia="仿宋" w:cs="仿宋"/>
          <w:color w:val="auto"/>
          <w:sz w:val="84"/>
          <w:szCs w:val="84"/>
        </w:rPr>
      </w:pPr>
      <w:r>
        <w:rPr>
          <w:rFonts w:hint="eastAsia" w:ascii="仿宋" w:hAnsi="仿宋" w:eastAsia="仿宋" w:cs="仿宋"/>
          <w:color w:val="auto"/>
          <w:sz w:val="84"/>
          <w:szCs w:val="84"/>
        </w:rPr>
        <w:t>投  标  文  件</w:t>
      </w:r>
    </w:p>
    <w:p w14:paraId="0C205CCE">
      <w:pPr>
        <w:snapToGrid w:val="0"/>
        <w:spacing w:before="120" w:beforeLines="50" w:after="50"/>
        <w:rPr>
          <w:rFonts w:hint="eastAsia" w:ascii="仿宋" w:hAnsi="仿宋" w:eastAsia="仿宋" w:cs="仿宋"/>
          <w:color w:val="auto"/>
          <w:sz w:val="24"/>
          <w:szCs w:val="20"/>
        </w:rPr>
      </w:pPr>
    </w:p>
    <w:p w14:paraId="50950DAC">
      <w:pPr>
        <w:snapToGrid w:val="0"/>
        <w:spacing w:before="120" w:beforeLines="50" w:after="50"/>
        <w:rPr>
          <w:rFonts w:hint="eastAsia" w:ascii="仿宋" w:hAnsi="仿宋" w:eastAsia="仿宋" w:cs="仿宋"/>
          <w:color w:val="auto"/>
          <w:sz w:val="24"/>
          <w:szCs w:val="20"/>
        </w:rPr>
      </w:pPr>
    </w:p>
    <w:p w14:paraId="013A5A3A">
      <w:pPr>
        <w:snapToGrid w:val="0"/>
        <w:spacing w:before="120" w:beforeLines="50" w:after="5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技  术  文  件</w:t>
      </w:r>
    </w:p>
    <w:p w14:paraId="36A41546">
      <w:pPr>
        <w:snapToGrid w:val="0"/>
        <w:spacing w:before="120" w:beforeLines="50" w:after="50"/>
        <w:rPr>
          <w:rFonts w:hint="eastAsia" w:ascii="仿宋" w:hAnsi="仿宋" w:eastAsia="仿宋" w:cs="仿宋"/>
          <w:bCs/>
          <w:color w:val="auto"/>
          <w:sz w:val="24"/>
          <w:szCs w:val="20"/>
        </w:rPr>
      </w:pPr>
    </w:p>
    <w:p w14:paraId="4FD0ECBB">
      <w:pPr>
        <w:snapToGrid w:val="0"/>
        <w:spacing w:before="120" w:beforeLines="50" w:after="50"/>
        <w:rPr>
          <w:rFonts w:hint="eastAsia" w:ascii="仿宋" w:hAnsi="仿宋" w:eastAsia="仿宋" w:cs="仿宋"/>
          <w:bCs/>
          <w:color w:val="auto"/>
          <w:sz w:val="24"/>
          <w:szCs w:val="20"/>
        </w:rPr>
      </w:pPr>
    </w:p>
    <w:p w14:paraId="1D16A01F">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项目名称： </w:t>
      </w:r>
    </w:p>
    <w:p w14:paraId="0809851B">
      <w:pPr>
        <w:snapToGrid w:val="0"/>
        <w:spacing w:before="120" w:beforeLines="50" w:after="50" w:line="400" w:lineRule="exact"/>
        <w:ind w:firstLine="360" w:firstLineChars="150"/>
        <w:rPr>
          <w:rFonts w:hint="eastAsia" w:ascii="仿宋" w:hAnsi="仿宋" w:eastAsia="仿宋" w:cs="仿宋"/>
          <w:bCs/>
          <w:color w:val="auto"/>
          <w:sz w:val="24"/>
          <w:szCs w:val="20"/>
        </w:rPr>
      </w:pPr>
    </w:p>
    <w:p w14:paraId="704406FE">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 xml:space="preserve">项目编号： </w:t>
      </w:r>
    </w:p>
    <w:p w14:paraId="7CCD2239">
      <w:pPr>
        <w:snapToGrid w:val="0"/>
        <w:spacing w:before="120" w:beforeLines="50" w:after="50" w:line="400" w:lineRule="exact"/>
        <w:ind w:firstLine="360" w:firstLineChars="150"/>
        <w:rPr>
          <w:rFonts w:hint="eastAsia" w:ascii="仿宋" w:hAnsi="仿宋" w:eastAsia="仿宋" w:cs="仿宋"/>
          <w:bCs/>
          <w:color w:val="auto"/>
          <w:sz w:val="24"/>
        </w:rPr>
      </w:pPr>
    </w:p>
    <w:p w14:paraId="64A6F0E5">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所投分标：</w:t>
      </w:r>
    </w:p>
    <w:p w14:paraId="73747BB2">
      <w:pPr>
        <w:snapToGrid w:val="0"/>
        <w:spacing w:before="120" w:beforeLines="50" w:after="50" w:line="400" w:lineRule="exact"/>
        <w:ind w:firstLine="360" w:firstLineChars="150"/>
        <w:rPr>
          <w:rFonts w:hint="eastAsia" w:ascii="仿宋" w:hAnsi="仿宋" w:eastAsia="仿宋" w:cs="仿宋"/>
          <w:bCs/>
          <w:color w:val="auto"/>
          <w:sz w:val="24"/>
        </w:rPr>
      </w:pPr>
    </w:p>
    <w:p w14:paraId="56BA5B31">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投标人名称：</w:t>
      </w:r>
    </w:p>
    <w:p w14:paraId="464946A2">
      <w:pPr>
        <w:snapToGrid w:val="0"/>
        <w:spacing w:before="120" w:beforeLines="50" w:after="50" w:line="400" w:lineRule="exact"/>
        <w:ind w:firstLine="360" w:firstLineChars="150"/>
        <w:rPr>
          <w:rFonts w:hint="eastAsia" w:ascii="仿宋" w:hAnsi="仿宋" w:eastAsia="仿宋" w:cs="仿宋"/>
          <w:bCs/>
          <w:color w:val="auto"/>
          <w:sz w:val="24"/>
        </w:rPr>
      </w:pPr>
    </w:p>
    <w:p w14:paraId="04279AE8">
      <w:pPr>
        <w:snapToGrid w:val="0"/>
        <w:spacing w:before="120" w:beforeLines="50" w:after="50" w:line="40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投标人地址：</w:t>
      </w:r>
    </w:p>
    <w:p w14:paraId="7E6E78E4">
      <w:pPr>
        <w:snapToGrid w:val="0"/>
        <w:spacing w:before="120" w:beforeLines="50" w:after="50" w:line="400" w:lineRule="exact"/>
        <w:ind w:firstLine="360" w:firstLineChars="150"/>
        <w:rPr>
          <w:rFonts w:hint="eastAsia" w:ascii="仿宋" w:hAnsi="仿宋" w:eastAsia="仿宋" w:cs="仿宋"/>
          <w:bCs/>
          <w:color w:val="auto"/>
          <w:sz w:val="24"/>
        </w:rPr>
      </w:pPr>
    </w:p>
    <w:p w14:paraId="6F20AF06">
      <w:pPr>
        <w:snapToGrid w:val="0"/>
        <w:spacing w:before="120" w:beforeLines="50" w:after="50"/>
        <w:ind w:firstLine="645"/>
        <w:jc w:val="center"/>
        <w:rPr>
          <w:rFonts w:hint="eastAsia" w:ascii="仿宋" w:hAnsi="仿宋" w:eastAsia="仿宋" w:cs="仿宋"/>
          <w:color w:val="auto"/>
          <w:sz w:val="24"/>
        </w:rPr>
      </w:pPr>
      <w:r>
        <w:rPr>
          <w:rFonts w:hint="eastAsia" w:ascii="仿宋" w:hAnsi="仿宋" w:eastAsia="仿宋" w:cs="仿宋"/>
          <w:color w:val="auto"/>
          <w:sz w:val="24"/>
        </w:rPr>
        <w:t xml:space="preserve">               </w:t>
      </w:r>
    </w:p>
    <w:p w14:paraId="53E75E1B">
      <w:pPr>
        <w:snapToGrid w:val="0"/>
        <w:spacing w:before="120" w:beforeLines="50" w:after="50"/>
        <w:ind w:firstLine="645"/>
        <w:jc w:val="center"/>
        <w:rPr>
          <w:rFonts w:hint="eastAsia" w:ascii="仿宋" w:hAnsi="仿宋" w:eastAsia="仿宋" w:cs="仿宋"/>
          <w:color w:val="auto"/>
          <w:sz w:val="24"/>
        </w:rPr>
      </w:pPr>
    </w:p>
    <w:p w14:paraId="6E12256C">
      <w:pPr>
        <w:snapToGrid w:val="0"/>
        <w:spacing w:before="120" w:beforeLines="50" w:after="50"/>
        <w:ind w:firstLine="645"/>
        <w:jc w:val="center"/>
        <w:rPr>
          <w:rFonts w:hint="eastAsia" w:ascii="仿宋" w:hAnsi="仿宋" w:eastAsia="仿宋" w:cs="仿宋"/>
          <w:color w:val="auto"/>
          <w:sz w:val="24"/>
        </w:rPr>
      </w:pPr>
      <w:r>
        <w:rPr>
          <w:rFonts w:hint="eastAsia" w:ascii="仿宋" w:hAnsi="仿宋" w:eastAsia="仿宋" w:cs="仿宋"/>
          <w:color w:val="auto"/>
          <w:sz w:val="24"/>
        </w:rPr>
        <w:t>年    月    日</w:t>
      </w:r>
    </w:p>
    <w:p w14:paraId="4932847D">
      <w:pPr>
        <w:snapToGrid w:val="0"/>
        <w:spacing w:before="120" w:beforeLines="50" w:after="50"/>
        <w:ind w:firstLine="645"/>
        <w:jc w:val="center"/>
        <w:rPr>
          <w:rFonts w:hint="eastAsia" w:ascii="仿宋" w:hAnsi="仿宋" w:eastAsia="仿宋" w:cs="仿宋"/>
          <w:color w:val="auto"/>
          <w:sz w:val="24"/>
          <w:szCs w:val="20"/>
        </w:rPr>
      </w:pPr>
    </w:p>
    <w:p w14:paraId="32118AC0">
      <w:pPr>
        <w:snapToGrid w:val="0"/>
        <w:spacing w:before="120" w:beforeLines="50" w:after="50"/>
        <w:ind w:left="142"/>
        <w:jc w:val="left"/>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4"/>
        </w:rPr>
        <w:t>2.技术文件目录</w:t>
      </w:r>
    </w:p>
    <w:p w14:paraId="6604AB55">
      <w:pPr>
        <w:snapToGrid w:val="0"/>
        <w:spacing w:before="50" w:after="120" w:afterLines="5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根据招标文件规定及投标人提供的材料自行编写目录。</w:t>
      </w:r>
    </w:p>
    <w:p w14:paraId="5C2DD5F0">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 技术要求偏离表格式</w:t>
      </w:r>
    </w:p>
    <w:p w14:paraId="65752DE7">
      <w:pPr>
        <w:snapToGrid w:val="0"/>
        <w:spacing w:before="120" w:beforeLines="50" w:after="50"/>
        <w:ind w:left="142"/>
        <w:jc w:val="left"/>
        <w:rPr>
          <w:rFonts w:hint="eastAsia" w:ascii="仿宋" w:hAnsi="仿宋" w:eastAsia="仿宋" w:cs="仿宋"/>
          <w:b/>
          <w:color w:val="auto"/>
          <w:sz w:val="24"/>
        </w:rPr>
      </w:pPr>
    </w:p>
    <w:p w14:paraId="5B6EEF54">
      <w:pPr>
        <w:snapToGrid w:val="0"/>
        <w:spacing w:before="120" w:beforeLines="50" w:after="50"/>
        <w:ind w:left="142"/>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技术要求偏离表</w:t>
      </w:r>
    </w:p>
    <w:p w14:paraId="49E03F62">
      <w:pPr>
        <w:snapToGrid w:val="0"/>
        <w:spacing w:before="120" w:beforeLines="50" w:after="50"/>
        <w:ind w:left="142"/>
        <w:jc w:val="left"/>
        <w:rPr>
          <w:rFonts w:hint="eastAsia" w:ascii="仿宋" w:hAnsi="仿宋" w:eastAsia="仿宋" w:cs="仿宋"/>
          <w:color w:val="auto"/>
          <w:sz w:val="24"/>
        </w:rPr>
      </w:pPr>
      <w:r>
        <w:rPr>
          <w:rFonts w:hint="eastAsia" w:ascii="仿宋" w:hAnsi="仿宋" w:eastAsia="仿宋" w:cs="仿宋"/>
          <w:color w:val="auto"/>
          <w:sz w:val="24"/>
        </w:rPr>
        <w:t>所投分标：</w:t>
      </w:r>
      <w:r>
        <w:rPr>
          <w:rFonts w:hint="eastAsia" w:ascii="仿宋" w:hAnsi="仿宋" w:eastAsia="仿宋" w:cs="仿宋"/>
          <w:color w:val="auto"/>
          <w:sz w:val="24"/>
          <w:u w:val="single"/>
        </w:rPr>
        <w:t xml:space="preserve">     </w:t>
      </w:r>
      <w:r>
        <w:rPr>
          <w:rFonts w:hint="eastAsia" w:ascii="仿宋" w:hAnsi="仿宋" w:eastAsia="仿宋" w:cs="仿宋"/>
          <w:color w:val="auto"/>
          <w:sz w:val="24"/>
        </w:rPr>
        <w:t>分标</w:t>
      </w:r>
    </w:p>
    <w:p w14:paraId="3AEC7296">
      <w:pPr>
        <w:snapToGrid w:val="0"/>
        <w:spacing w:before="120" w:beforeLines="50" w:after="50"/>
        <w:ind w:left="142"/>
        <w:jc w:val="left"/>
        <w:rPr>
          <w:rFonts w:hint="eastAsia" w:ascii="仿宋" w:hAnsi="仿宋" w:eastAsia="仿宋" w:cs="仿宋"/>
          <w:color w:val="auto"/>
          <w:sz w:val="24"/>
        </w:rPr>
      </w:pPr>
    </w:p>
    <w:p w14:paraId="1BF4B21F">
      <w:pPr>
        <w:snapToGrid w:val="0"/>
        <w:spacing w:before="120" w:beforeLines="50" w:after="50"/>
        <w:ind w:left="142"/>
        <w:jc w:val="left"/>
        <w:rPr>
          <w:rFonts w:hint="eastAsia" w:ascii="仿宋" w:hAnsi="仿宋" w:eastAsia="仿宋" w:cs="仿宋"/>
          <w:b/>
          <w:color w:val="auto"/>
          <w:sz w:val="32"/>
          <w:szCs w:val="32"/>
        </w:rPr>
      </w:pPr>
      <w:r>
        <w:rPr>
          <w:rFonts w:hint="eastAsia" w:ascii="宋体" w:hAnsi="宋体" w:cs="宋体"/>
          <w:b/>
          <w:color w:val="auto"/>
          <w:szCs w:val="21"/>
        </w:rPr>
        <w:t>一、广西科技馆常设展厅局部改造服务项目方案设计和布展实施要求及投标响应</w:t>
      </w:r>
    </w:p>
    <w:tbl>
      <w:tblPr>
        <w:tblStyle w:val="47"/>
        <w:tblpPr w:leftFromText="180" w:rightFromText="180" w:vertAnchor="text" w:horzAnchor="page" w:tblpX="1233" w:tblpY="301"/>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73"/>
        <w:gridCol w:w="2704"/>
        <w:gridCol w:w="3321"/>
        <w:gridCol w:w="1329"/>
      </w:tblGrid>
      <w:tr w14:paraId="6F97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2" w:type="dxa"/>
            <w:vAlign w:val="center"/>
          </w:tcPr>
          <w:p w14:paraId="156209A2">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项号</w:t>
            </w:r>
          </w:p>
        </w:tc>
        <w:tc>
          <w:tcPr>
            <w:tcW w:w="1273" w:type="dxa"/>
            <w:vAlign w:val="center"/>
          </w:tcPr>
          <w:p w14:paraId="6D18526E">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服务名称</w:t>
            </w:r>
          </w:p>
        </w:tc>
        <w:tc>
          <w:tcPr>
            <w:tcW w:w="2704" w:type="dxa"/>
            <w:vAlign w:val="center"/>
          </w:tcPr>
          <w:p w14:paraId="591F4A35">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技术要求</w:t>
            </w:r>
          </w:p>
        </w:tc>
        <w:tc>
          <w:tcPr>
            <w:tcW w:w="3321" w:type="dxa"/>
            <w:vAlign w:val="center"/>
          </w:tcPr>
          <w:p w14:paraId="206EC406">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投标响应</w:t>
            </w:r>
          </w:p>
        </w:tc>
        <w:tc>
          <w:tcPr>
            <w:tcW w:w="1329" w:type="dxa"/>
            <w:vAlign w:val="center"/>
          </w:tcPr>
          <w:p w14:paraId="5462DBD1">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偏离说明</w:t>
            </w:r>
          </w:p>
        </w:tc>
      </w:tr>
      <w:tr w14:paraId="53E5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B913B1E">
            <w:pPr>
              <w:pStyle w:val="25"/>
              <w:jc w:val="center"/>
              <w:rPr>
                <w:rFonts w:hint="eastAsia" w:ascii="仿宋" w:hAnsi="仿宋" w:eastAsia="仿宋" w:cs="仿宋"/>
                <w:color w:val="auto"/>
                <w:kern w:val="2"/>
                <w:sz w:val="24"/>
                <w:szCs w:val="24"/>
              </w:rPr>
            </w:pPr>
          </w:p>
        </w:tc>
        <w:tc>
          <w:tcPr>
            <w:tcW w:w="1273" w:type="dxa"/>
            <w:vAlign w:val="center"/>
          </w:tcPr>
          <w:p w14:paraId="7D95B65A">
            <w:pPr>
              <w:pStyle w:val="25"/>
              <w:jc w:val="center"/>
              <w:rPr>
                <w:rFonts w:hint="eastAsia" w:ascii="仿宋" w:hAnsi="仿宋" w:eastAsia="仿宋" w:cs="仿宋"/>
                <w:color w:val="auto"/>
                <w:kern w:val="2"/>
                <w:sz w:val="24"/>
                <w:szCs w:val="24"/>
              </w:rPr>
            </w:pPr>
          </w:p>
        </w:tc>
        <w:tc>
          <w:tcPr>
            <w:tcW w:w="2704" w:type="dxa"/>
          </w:tcPr>
          <w:p w14:paraId="73818D55">
            <w:pPr>
              <w:pStyle w:val="25"/>
              <w:spacing w:line="600" w:lineRule="exact"/>
              <w:rPr>
                <w:rFonts w:hint="eastAsia" w:ascii="仿宋" w:hAnsi="仿宋" w:eastAsia="仿宋" w:cs="仿宋"/>
                <w:color w:val="auto"/>
                <w:kern w:val="2"/>
                <w:sz w:val="24"/>
                <w:szCs w:val="24"/>
              </w:rPr>
            </w:pPr>
          </w:p>
        </w:tc>
        <w:tc>
          <w:tcPr>
            <w:tcW w:w="3321" w:type="dxa"/>
          </w:tcPr>
          <w:p w14:paraId="4C17F2C9">
            <w:pPr>
              <w:pStyle w:val="25"/>
              <w:spacing w:line="600" w:lineRule="exact"/>
              <w:rPr>
                <w:rFonts w:hint="eastAsia" w:ascii="仿宋" w:hAnsi="仿宋" w:eastAsia="仿宋" w:cs="仿宋"/>
                <w:color w:val="auto"/>
                <w:kern w:val="2"/>
                <w:sz w:val="24"/>
                <w:szCs w:val="24"/>
              </w:rPr>
            </w:pPr>
          </w:p>
        </w:tc>
        <w:tc>
          <w:tcPr>
            <w:tcW w:w="1329" w:type="dxa"/>
          </w:tcPr>
          <w:p w14:paraId="4DC9DB11">
            <w:pPr>
              <w:pStyle w:val="25"/>
              <w:spacing w:line="600" w:lineRule="exact"/>
              <w:rPr>
                <w:rFonts w:hint="eastAsia" w:ascii="仿宋" w:hAnsi="仿宋" w:eastAsia="仿宋" w:cs="仿宋"/>
                <w:color w:val="auto"/>
                <w:kern w:val="2"/>
                <w:sz w:val="24"/>
                <w:szCs w:val="24"/>
              </w:rPr>
            </w:pPr>
          </w:p>
        </w:tc>
      </w:tr>
      <w:tr w14:paraId="3423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75D12FB">
            <w:pPr>
              <w:pStyle w:val="25"/>
              <w:jc w:val="center"/>
              <w:rPr>
                <w:rFonts w:hint="eastAsia" w:ascii="仿宋" w:hAnsi="仿宋" w:eastAsia="仿宋" w:cs="仿宋"/>
                <w:color w:val="auto"/>
                <w:kern w:val="2"/>
                <w:sz w:val="24"/>
                <w:szCs w:val="24"/>
              </w:rPr>
            </w:pPr>
          </w:p>
        </w:tc>
        <w:tc>
          <w:tcPr>
            <w:tcW w:w="1273" w:type="dxa"/>
            <w:vAlign w:val="center"/>
          </w:tcPr>
          <w:p w14:paraId="08ADF4D0">
            <w:pPr>
              <w:pStyle w:val="25"/>
              <w:jc w:val="center"/>
              <w:rPr>
                <w:rFonts w:hint="eastAsia" w:ascii="仿宋" w:hAnsi="仿宋" w:eastAsia="仿宋" w:cs="仿宋"/>
                <w:color w:val="auto"/>
                <w:kern w:val="2"/>
                <w:sz w:val="24"/>
                <w:szCs w:val="24"/>
              </w:rPr>
            </w:pPr>
          </w:p>
        </w:tc>
        <w:tc>
          <w:tcPr>
            <w:tcW w:w="2704" w:type="dxa"/>
          </w:tcPr>
          <w:p w14:paraId="149589EF">
            <w:pPr>
              <w:pStyle w:val="25"/>
              <w:spacing w:line="600" w:lineRule="exact"/>
              <w:rPr>
                <w:rFonts w:hint="eastAsia" w:ascii="仿宋" w:hAnsi="仿宋" w:eastAsia="仿宋" w:cs="仿宋"/>
                <w:color w:val="auto"/>
                <w:kern w:val="2"/>
                <w:sz w:val="24"/>
                <w:szCs w:val="24"/>
              </w:rPr>
            </w:pPr>
          </w:p>
        </w:tc>
        <w:tc>
          <w:tcPr>
            <w:tcW w:w="3321" w:type="dxa"/>
          </w:tcPr>
          <w:p w14:paraId="47D95C68">
            <w:pPr>
              <w:pStyle w:val="25"/>
              <w:spacing w:line="600" w:lineRule="exact"/>
              <w:rPr>
                <w:rFonts w:hint="eastAsia" w:ascii="仿宋" w:hAnsi="仿宋" w:eastAsia="仿宋" w:cs="仿宋"/>
                <w:color w:val="auto"/>
                <w:kern w:val="2"/>
                <w:sz w:val="24"/>
                <w:szCs w:val="24"/>
              </w:rPr>
            </w:pPr>
          </w:p>
        </w:tc>
        <w:tc>
          <w:tcPr>
            <w:tcW w:w="1329" w:type="dxa"/>
          </w:tcPr>
          <w:p w14:paraId="78BADFAA">
            <w:pPr>
              <w:pStyle w:val="25"/>
              <w:spacing w:line="600" w:lineRule="exact"/>
              <w:rPr>
                <w:rFonts w:hint="eastAsia" w:ascii="仿宋" w:hAnsi="仿宋" w:eastAsia="仿宋" w:cs="仿宋"/>
                <w:color w:val="auto"/>
                <w:kern w:val="2"/>
                <w:sz w:val="24"/>
                <w:szCs w:val="24"/>
              </w:rPr>
            </w:pPr>
          </w:p>
        </w:tc>
      </w:tr>
      <w:tr w14:paraId="06D8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E2AB5CF">
            <w:pPr>
              <w:pStyle w:val="25"/>
              <w:jc w:val="center"/>
              <w:rPr>
                <w:rFonts w:hint="eastAsia" w:ascii="仿宋" w:hAnsi="仿宋" w:eastAsia="仿宋" w:cs="仿宋"/>
                <w:color w:val="auto"/>
                <w:kern w:val="2"/>
                <w:sz w:val="24"/>
                <w:szCs w:val="24"/>
              </w:rPr>
            </w:pPr>
          </w:p>
        </w:tc>
        <w:tc>
          <w:tcPr>
            <w:tcW w:w="1273" w:type="dxa"/>
            <w:vAlign w:val="center"/>
          </w:tcPr>
          <w:p w14:paraId="578DA8A7">
            <w:pPr>
              <w:pStyle w:val="25"/>
              <w:jc w:val="center"/>
              <w:rPr>
                <w:rFonts w:hint="eastAsia" w:ascii="仿宋" w:hAnsi="仿宋" w:eastAsia="仿宋" w:cs="仿宋"/>
                <w:color w:val="auto"/>
                <w:kern w:val="2"/>
                <w:sz w:val="24"/>
                <w:szCs w:val="24"/>
              </w:rPr>
            </w:pPr>
          </w:p>
        </w:tc>
        <w:tc>
          <w:tcPr>
            <w:tcW w:w="2704" w:type="dxa"/>
          </w:tcPr>
          <w:p w14:paraId="708C026E">
            <w:pPr>
              <w:pStyle w:val="25"/>
              <w:spacing w:line="600" w:lineRule="exact"/>
              <w:rPr>
                <w:rFonts w:hint="eastAsia" w:ascii="仿宋" w:hAnsi="仿宋" w:eastAsia="仿宋" w:cs="仿宋"/>
                <w:color w:val="auto"/>
                <w:kern w:val="2"/>
                <w:sz w:val="24"/>
                <w:szCs w:val="24"/>
              </w:rPr>
            </w:pPr>
          </w:p>
        </w:tc>
        <w:tc>
          <w:tcPr>
            <w:tcW w:w="3321" w:type="dxa"/>
          </w:tcPr>
          <w:p w14:paraId="46462827">
            <w:pPr>
              <w:pStyle w:val="25"/>
              <w:spacing w:line="600" w:lineRule="exact"/>
              <w:rPr>
                <w:rFonts w:hint="eastAsia" w:ascii="仿宋" w:hAnsi="仿宋" w:eastAsia="仿宋" w:cs="仿宋"/>
                <w:color w:val="auto"/>
                <w:kern w:val="2"/>
                <w:sz w:val="24"/>
                <w:szCs w:val="24"/>
              </w:rPr>
            </w:pPr>
          </w:p>
        </w:tc>
        <w:tc>
          <w:tcPr>
            <w:tcW w:w="1329" w:type="dxa"/>
          </w:tcPr>
          <w:p w14:paraId="0C7F331E">
            <w:pPr>
              <w:pStyle w:val="25"/>
              <w:spacing w:line="600" w:lineRule="exact"/>
              <w:rPr>
                <w:rFonts w:hint="eastAsia" w:ascii="仿宋" w:hAnsi="仿宋" w:eastAsia="仿宋" w:cs="仿宋"/>
                <w:color w:val="auto"/>
                <w:kern w:val="2"/>
                <w:sz w:val="24"/>
                <w:szCs w:val="24"/>
              </w:rPr>
            </w:pPr>
          </w:p>
        </w:tc>
      </w:tr>
      <w:tr w14:paraId="7CA4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3BC8481">
            <w:pPr>
              <w:pStyle w:val="25"/>
              <w:jc w:val="center"/>
              <w:rPr>
                <w:rFonts w:hint="eastAsia" w:ascii="仿宋" w:hAnsi="仿宋" w:eastAsia="仿宋" w:cs="仿宋"/>
                <w:color w:val="auto"/>
                <w:kern w:val="2"/>
                <w:sz w:val="24"/>
                <w:szCs w:val="24"/>
              </w:rPr>
            </w:pPr>
          </w:p>
        </w:tc>
        <w:tc>
          <w:tcPr>
            <w:tcW w:w="1273" w:type="dxa"/>
            <w:vAlign w:val="center"/>
          </w:tcPr>
          <w:p w14:paraId="32341AFC">
            <w:pPr>
              <w:pStyle w:val="25"/>
              <w:jc w:val="center"/>
              <w:rPr>
                <w:rFonts w:hint="eastAsia" w:ascii="仿宋" w:hAnsi="仿宋" w:eastAsia="仿宋" w:cs="仿宋"/>
                <w:color w:val="auto"/>
                <w:kern w:val="2"/>
                <w:sz w:val="24"/>
                <w:szCs w:val="24"/>
              </w:rPr>
            </w:pPr>
          </w:p>
        </w:tc>
        <w:tc>
          <w:tcPr>
            <w:tcW w:w="2704" w:type="dxa"/>
          </w:tcPr>
          <w:p w14:paraId="13FC1263">
            <w:pPr>
              <w:pStyle w:val="25"/>
              <w:spacing w:line="600" w:lineRule="exact"/>
              <w:rPr>
                <w:rFonts w:hint="eastAsia" w:ascii="仿宋" w:hAnsi="仿宋" w:eastAsia="仿宋" w:cs="仿宋"/>
                <w:color w:val="auto"/>
                <w:kern w:val="2"/>
                <w:sz w:val="24"/>
                <w:szCs w:val="24"/>
              </w:rPr>
            </w:pPr>
          </w:p>
        </w:tc>
        <w:tc>
          <w:tcPr>
            <w:tcW w:w="3321" w:type="dxa"/>
          </w:tcPr>
          <w:p w14:paraId="485A1577">
            <w:pPr>
              <w:pStyle w:val="25"/>
              <w:spacing w:line="600" w:lineRule="exact"/>
              <w:rPr>
                <w:rFonts w:hint="eastAsia" w:ascii="仿宋" w:hAnsi="仿宋" w:eastAsia="仿宋" w:cs="仿宋"/>
                <w:color w:val="auto"/>
                <w:kern w:val="2"/>
                <w:sz w:val="24"/>
                <w:szCs w:val="24"/>
              </w:rPr>
            </w:pPr>
          </w:p>
        </w:tc>
        <w:tc>
          <w:tcPr>
            <w:tcW w:w="1329" w:type="dxa"/>
          </w:tcPr>
          <w:p w14:paraId="42F6443B">
            <w:pPr>
              <w:pStyle w:val="25"/>
              <w:spacing w:line="600" w:lineRule="exact"/>
              <w:rPr>
                <w:rFonts w:hint="eastAsia" w:ascii="仿宋" w:hAnsi="仿宋" w:eastAsia="仿宋" w:cs="仿宋"/>
                <w:color w:val="auto"/>
                <w:kern w:val="2"/>
                <w:sz w:val="24"/>
                <w:szCs w:val="24"/>
              </w:rPr>
            </w:pPr>
          </w:p>
        </w:tc>
      </w:tr>
      <w:tr w14:paraId="78CE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A4F5A48">
            <w:pPr>
              <w:pStyle w:val="25"/>
              <w:jc w:val="center"/>
              <w:rPr>
                <w:rFonts w:hint="eastAsia" w:ascii="仿宋" w:hAnsi="仿宋" w:eastAsia="仿宋" w:cs="仿宋"/>
                <w:color w:val="auto"/>
                <w:kern w:val="2"/>
                <w:sz w:val="24"/>
                <w:szCs w:val="24"/>
              </w:rPr>
            </w:pPr>
          </w:p>
        </w:tc>
        <w:tc>
          <w:tcPr>
            <w:tcW w:w="1273" w:type="dxa"/>
            <w:vAlign w:val="center"/>
          </w:tcPr>
          <w:p w14:paraId="61475BFD">
            <w:pPr>
              <w:pStyle w:val="25"/>
              <w:jc w:val="center"/>
              <w:rPr>
                <w:rFonts w:hint="eastAsia" w:ascii="仿宋" w:hAnsi="仿宋" w:eastAsia="仿宋" w:cs="仿宋"/>
                <w:color w:val="auto"/>
                <w:kern w:val="2"/>
                <w:sz w:val="24"/>
                <w:szCs w:val="24"/>
              </w:rPr>
            </w:pPr>
          </w:p>
        </w:tc>
        <w:tc>
          <w:tcPr>
            <w:tcW w:w="2704" w:type="dxa"/>
          </w:tcPr>
          <w:p w14:paraId="09A0DEF7">
            <w:pPr>
              <w:pStyle w:val="25"/>
              <w:spacing w:line="600" w:lineRule="exact"/>
              <w:rPr>
                <w:rFonts w:hint="eastAsia" w:ascii="仿宋" w:hAnsi="仿宋" w:eastAsia="仿宋" w:cs="仿宋"/>
                <w:color w:val="auto"/>
                <w:kern w:val="2"/>
                <w:sz w:val="24"/>
                <w:szCs w:val="24"/>
              </w:rPr>
            </w:pPr>
          </w:p>
        </w:tc>
        <w:tc>
          <w:tcPr>
            <w:tcW w:w="3321" w:type="dxa"/>
          </w:tcPr>
          <w:p w14:paraId="7B966C57">
            <w:pPr>
              <w:pStyle w:val="25"/>
              <w:spacing w:line="600" w:lineRule="exact"/>
              <w:rPr>
                <w:rFonts w:hint="eastAsia" w:ascii="仿宋" w:hAnsi="仿宋" w:eastAsia="仿宋" w:cs="仿宋"/>
                <w:color w:val="auto"/>
                <w:kern w:val="2"/>
                <w:sz w:val="24"/>
                <w:szCs w:val="24"/>
              </w:rPr>
            </w:pPr>
          </w:p>
        </w:tc>
        <w:tc>
          <w:tcPr>
            <w:tcW w:w="1329" w:type="dxa"/>
          </w:tcPr>
          <w:p w14:paraId="54C731CD">
            <w:pPr>
              <w:pStyle w:val="25"/>
              <w:spacing w:line="600" w:lineRule="exact"/>
              <w:rPr>
                <w:rFonts w:hint="eastAsia" w:ascii="仿宋" w:hAnsi="仿宋" w:eastAsia="仿宋" w:cs="仿宋"/>
                <w:color w:val="auto"/>
                <w:kern w:val="2"/>
                <w:sz w:val="24"/>
                <w:szCs w:val="24"/>
              </w:rPr>
            </w:pPr>
          </w:p>
        </w:tc>
      </w:tr>
      <w:tr w14:paraId="7BC8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1D4BE99">
            <w:pPr>
              <w:pStyle w:val="25"/>
              <w:jc w:val="center"/>
              <w:rPr>
                <w:rFonts w:hint="eastAsia" w:ascii="仿宋" w:hAnsi="仿宋" w:eastAsia="仿宋" w:cs="仿宋"/>
                <w:color w:val="auto"/>
                <w:kern w:val="2"/>
                <w:sz w:val="24"/>
                <w:szCs w:val="24"/>
              </w:rPr>
            </w:pPr>
          </w:p>
        </w:tc>
        <w:tc>
          <w:tcPr>
            <w:tcW w:w="1273" w:type="dxa"/>
            <w:vAlign w:val="center"/>
          </w:tcPr>
          <w:p w14:paraId="79A0AAA7">
            <w:pPr>
              <w:pStyle w:val="25"/>
              <w:jc w:val="center"/>
              <w:rPr>
                <w:rFonts w:hint="eastAsia" w:ascii="仿宋" w:hAnsi="仿宋" w:eastAsia="仿宋" w:cs="仿宋"/>
                <w:color w:val="auto"/>
                <w:kern w:val="2"/>
                <w:sz w:val="24"/>
                <w:szCs w:val="24"/>
              </w:rPr>
            </w:pPr>
          </w:p>
        </w:tc>
        <w:tc>
          <w:tcPr>
            <w:tcW w:w="2704" w:type="dxa"/>
          </w:tcPr>
          <w:p w14:paraId="23BFB5EA">
            <w:pPr>
              <w:pStyle w:val="25"/>
              <w:spacing w:line="600" w:lineRule="exact"/>
              <w:rPr>
                <w:rFonts w:hint="eastAsia" w:ascii="仿宋" w:hAnsi="仿宋" w:eastAsia="仿宋" w:cs="仿宋"/>
                <w:color w:val="auto"/>
                <w:kern w:val="2"/>
                <w:sz w:val="24"/>
                <w:szCs w:val="24"/>
              </w:rPr>
            </w:pPr>
          </w:p>
        </w:tc>
        <w:tc>
          <w:tcPr>
            <w:tcW w:w="3321" w:type="dxa"/>
          </w:tcPr>
          <w:p w14:paraId="0CB2A58E">
            <w:pPr>
              <w:pStyle w:val="25"/>
              <w:spacing w:line="600" w:lineRule="exact"/>
              <w:rPr>
                <w:rFonts w:hint="eastAsia" w:ascii="仿宋" w:hAnsi="仿宋" w:eastAsia="仿宋" w:cs="仿宋"/>
                <w:color w:val="auto"/>
                <w:kern w:val="2"/>
                <w:sz w:val="24"/>
                <w:szCs w:val="24"/>
              </w:rPr>
            </w:pPr>
          </w:p>
        </w:tc>
        <w:tc>
          <w:tcPr>
            <w:tcW w:w="1329" w:type="dxa"/>
          </w:tcPr>
          <w:p w14:paraId="3C86005E">
            <w:pPr>
              <w:pStyle w:val="25"/>
              <w:spacing w:line="600" w:lineRule="exact"/>
              <w:rPr>
                <w:rFonts w:hint="eastAsia" w:ascii="仿宋" w:hAnsi="仿宋" w:eastAsia="仿宋" w:cs="仿宋"/>
                <w:color w:val="auto"/>
                <w:kern w:val="2"/>
                <w:sz w:val="24"/>
                <w:szCs w:val="24"/>
              </w:rPr>
            </w:pPr>
          </w:p>
        </w:tc>
      </w:tr>
    </w:tbl>
    <w:p w14:paraId="66BCCDCE">
      <w:pPr>
        <w:pStyle w:val="25"/>
        <w:rPr>
          <w:rFonts w:hint="eastAsia" w:ascii="仿宋" w:hAnsi="仿宋" w:eastAsia="仿宋" w:cs="仿宋"/>
          <w:color w:val="auto"/>
          <w:sz w:val="24"/>
          <w:szCs w:val="24"/>
        </w:rPr>
      </w:pPr>
    </w:p>
    <w:p w14:paraId="74303EDC">
      <w:pPr>
        <w:pStyle w:val="17"/>
        <w:numPr>
          <w:ilvl w:val="255"/>
          <w:numId w:val="0"/>
        </w:numPr>
        <w:rPr>
          <w:rFonts w:hint="eastAsia" w:ascii="宋体" w:hAnsi="宋体" w:cs="宋体"/>
          <w:color w:val="auto"/>
          <w:sz w:val="21"/>
          <w:szCs w:val="21"/>
        </w:rPr>
      </w:pPr>
      <w:r>
        <w:rPr>
          <w:rFonts w:hint="eastAsia" w:ascii="宋体" w:hAnsi="宋体" w:cs="宋体"/>
          <w:color w:val="auto"/>
          <w:szCs w:val="21"/>
        </w:rPr>
        <w:t>二、展项清单、教育活动清单及投标响应</w:t>
      </w:r>
    </w:p>
    <w:tbl>
      <w:tblPr>
        <w:tblStyle w:val="47"/>
        <w:tblpPr w:leftFromText="180" w:rightFromText="180" w:vertAnchor="text" w:horzAnchor="page" w:tblpX="1233" w:tblpY="301"/>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23"/>
        <w:gridCol w:w="808"/>
        <w:gridCol w:w="2767"/>
        <w:gridCol w:w="2900"/>
        <w:gridCol w:w="1329"/>
      </w:tblGrid>
      <w:tr w14:paraId="7EEC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2" w:type="dxa"/>
            <w:vAlign w:val="center"/>
          </w:tcPr>
          <w:p w14:paraId="79E874C1">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823" w:type="dxa"/>
            <w:vAlign w:val="center"/>
          </w:tcPr>
          <w:p w14:paraId="65D4139C">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展区名称</w:t>
            </w:r>
          </w:p>
        </w:tc>
        <w:tc>
          <w:tcPr>
            <w:tcW w:w="808" w:type="dxa"/>
            <w:vAlign w:val="center"/>
          </w:tcPr>
          <w:p w14:paraId="14013F7C">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展项名称</w:t>
            </w:r>
          </w:p>
        </w:tc>
        <w:tc>
          <w:tcPr>
            <w:tcW w:w="2767" w:type="dxa"/>
            <w:vAlign w:val="center"/>
          </w:tcPr>
          <w:p w14:paraId="0EED3C89">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规格及功能要求</w:t>
            </w:r>
          </w:p>
        </w:tc>
        <w:tc>
          <w:tcPr>
            <w:tcW w:w="2900" w:type="dxa"/>
            <w:vAlign w:val="center"/>
          </w:tcPr>
          <w:p w14:paraId="3E3807FF">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规格及功能投标响应</w:t>
            </w:r>
          </w:p>
        </w:tc>
        <w:tc>
          <w:tcPr>
            <w:tcW w:w="1329" w:type="dxa"/>
            <w:vAlign w:val="center"/>
          </w:tcPr>
          <w:p w14:paraId="06978C45">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偏离说明</w:t>
            </w:r>
          </w:p>
        </w:tc>
      </w:tr>
      <w:tr w14:paraId="111E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0D6B9DB">
            <w:pPr>
              <w:pStyle w:val="25"/>
              <w:jc w:val="center"/>
              <w:rPr>
                <w:rFonts w:hint="eastAsia" w:ascii="仿宋" w:hAnsi="仿宋" w:eastAsia="仿宋" w:cs="仿宋"/>
                <w:color w:val="auto"/>
                <w:kern w:val="2"/>
                <w:sz w:val="24"/>
                <w:szCs w:val="24"/>
              </w:rPr>
            </w:pPr>
          </w:p>
        </w:tc>
        <w:tc>
          <w:tcPr>
            <w:tcW w:w="823" w:type="dxa"/>
            <w:vAlign w:val="center"/>
          </w:tcPr>
          <w:p w14:paraId="28A4FBF9">
            <w:pPr>
              <w:pStyle w:val="25"/>
              <w:jc w:val="center"/>
              <w:rPr>
                <w:rFonts w:hint="eastAsia" w:ascii="仿宋" w:hAnsi="仿宋" w:eastAsia="仿宋" w:cs="仿宋"/>
                <w:color w:val="auto"/>
                <w:kern w:val="2"/>
                <w:sz w:val="24"/>
                <w:szCs w:val="24"/>
              </w:rPr>
            </w:pPr>
          </w:p>
        </w:tc>
        <w:tc>
          <w:tcPr>
            <w:tcW w:w="808" w:type="dxa"/>
            <w:vAlign w:val="center"/>
          </w:tcPr>
          <w:p w14:paraId="5C634B22">
            <w:pPr>
              <w:pStyle w:val="25"/>
              <w:jc w:val="center"/>
              <w:rPr>
                <w:rFonts w:hint="eastAsia" w:ascii="仿宋" w:hAnsi="仿宋" w:eastAsia="仿宋" w:cs="仿宋"/>
                <w:color w:val="auto"/>
                <w:kern w:val="2"/>
                <w:sz w:val="24"/>
                <w:szCs w:val="24"/>
              </w:rPr>
            </w:pPr>
          </w:p>
        </w:tc>
        <w:tc>
          <w:tcPr>
            <w:tcW w:w="2767" w:type="dxa"/>
          </w:tcPr>
          <w:p w14:paraId="684642B9">
            <w:pPr>
              <w:pStyle w:val="25"/>
              <w:spacing w:line="600" w:lineRule="exact"/>
              <w:rPr>
                <w:rFonts w:hint="eastAsia" w:ascii="仿宋" w:hAnsi="仿宋" w:eastAsia="仿宋" w:cs="仿宋"/>
                <w:color w:val="auto"/>
                <w:kern w:val="2"/>
                <w:sz w:val="24"/>
                <w:szCs w:val="24"/>
              </w:rPr>
            </w:pPr>
          </w:p>
        </w:tc>
        <w:tc>
          <w:tcPr>
            <w:tcW w:w="2900" w:type="dxa"/>
          </w:tcPr>
          <w:p w14:paraId="6A7A9835">
            <w:pPr>
              <w:pStyle w:val="25"/>
              <w:spacing w:line="600" w:lineRule="exact"/>
              <w:rPr>
                <w:rFonts w:hint="eastAsia" w:ascii="仿宋" w:hAnsi="仿宋" w:eastAsia="仿宋" w:cs="仿宋"/>
                <w:color w:val="auto"/>
                <w:kern w:val="2"/>
                <w:sz w:val="24"/>
                <w:szCs w:val="24"/>
              </w:rPr>
            </w:pPr>
          </w:p>
        </w:tc>
        <w:tc>
          <w:tcPr>
            <w:tcW w:w="1329" w:type="dxa"/>
          </w:tcPr>
          <w:p w14:paraId="7C2E23C2">
            <w:pPr>
              <w:pStyle w:val="25"/>
              <w:spacing w:line="600" w:lineRule="exact"/>
              <w:rPr>
                <w:rFonts w:hint="eastAsia" w:ascii="仿宋" w:hAnsi="仿宋" w:eastAsia="仿宋" w:cs="仿宋"/>
                <w:color w:val="auto"/>
                <w:kern w:val="2"/>
                <w:sz w:val="24"/>
                <w:szCs w:val="24"/>
              </w:rPr>
            </w:pPr>
          </w:p>
        </w:tc>
      </w:tr>
      <w:tr w14:paraId="7E1F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5120B32">
            <w:pPr>
              <w:pStyle w:val="25"/>
              <w:jc w:val="center"/>
              <w:rPr>
                <w:rFonts w:hint="eastAsia" w:ascii="仿宋" w:hAnsi="仿宋" w:eastAsia="仿宋" w:cs="仿宋"/>
                <w:color w:val="auto"/>
                <w:kern w:val="2"/>
                <w:sz w:val="24"/>
                <w:szCs w:val="24"/>
              </w:rPr>
            </w:pPr>
          </w:p>
        </w:tc>
        <w:tc>
          <w:tcPr>
            <w:tcW w:w="823" w:type="dxa"/>
            <w:vAlign w:val="center"/>
          </w:tcPr>
          <w:p w14:paraId="00446338">
            <w:pPr>
              <w:pStyle w:val="25"/>
              <w:jc w:val="center"/>
              <w:rPr>
                <w:rFonts w:hint="eastAsia" w:ascii="仿宋" w:hAnsi="仿宋" w:eastAsia="仿宋" w:cs="仿宋"/>
                <w:color w:val="auto"/>
                <w:kern w:val="2"/>
                <w:sz w:val="24"/>
                <w:szCs w:val="24"/>
              </w:rPr>
            </w:pPr>
          </w:p>
        </w:tc>
        <w:tc>
          <w:tcPr>
            <w:tcW w:w="808" w:type="dxa"/>
            <w:vAlign w:val="center"/>
          </w:tcPr>
          <w:p w14:paraId="5A9F1DF4">
            <w:pPr>
              <w:pStyle w:val="25"/>
              <w:jc w:val="center"/>
              <w:rPr>
                <w:rFonts w:hint="eastAsia" w:ascii="仿宋" w:hAnsi="仿宋" w:eastAsia="仿宋" w:cs="仿宋"/>
                <w:color w:val="auto"/>
                <w:kern w:val="2"/>
                <w:sz w:val="24"/>
                <w:szCs w:val="24"/>
              </w:rPr>
            </w:pPr>
          </w:p>
        </w:tc>
        <w:tc>
          <w:tcPr>
            <w:tcW w:w="2767" w:type="dxa"/>
          </w:tcPr>
          <w:p w14:paraId="254D05D7">
            <w:pPr>
              <w:pStyle w:val="25"/>
              <w:spacing w:line="600" w:lineRule="exact"/>
              <w:rPr>
                <w:rFonts w:hint="eastAsia" w:ascii="仿宋" w:hAnsi="仿宋" w:eastAsia="仿宋" w:cs="仿宋"/>
                <w:color w:val="auto"/>
                <w:kern w:val="2"/>
                <w:sz w:val="24"/>
                <w:szCs w:val="24"/>
              </w:rPr>
            </w:pPr>
          </w:p>
        </w:tc>
        <w:tc>
          <w:tcPr>
            <w:tcW w:w="2900" w:type="dxa"/>
          </w:tcPr>
          <w:p w14:paraId="16E5D60F">
            <w:pPr>
              <w:pStyle w:val="25"/>
              <w:spacing w:line="600" w:lineRule="exact"/>
              <w:rPr>
                <w:rFonts w:hint="eastAsia" w:ascii="仿宋" w:hAnsi="仿宋" w:eastAsia="仿宋" w:cs="仿宋"/>
                <w:color w:val="auto"/>
                <w:kern w:val="2"/>
                <w:sz w:val="24"/>
                <w:szCs w:val="24"/>
              </w:rPr>
            </w:pPr>
          </w:p>
        </w:tc>
        <w:tc>
          <w:tcPr>
            <w:tcW w:w="1329" w:type="dxa"/>
          </w:tcPr>
          <w:p w14:paraId="0A51C5D5">
            <w:pPr>
              <w:pStyle w:val="25"/>
              <w:spacing w:line="600" w:lineRule="exact"/>
              <w:rPr>
                <w:rFonts w:hint="eastAsia" w:ascii="仿宋" w:hAnsi="仿宋" w:eastAsia="仿宋" w:cs="仿宋"/>
                <w:color w:val="auto"/>
                <w:kern w:val="2"/>
                <w:sz w:val="24"/>
                <w:szCs w:val="24"/>
              </w:rPr>
            </w:pPr>
          </w:p>
        </w:tc>
      </w:tr>
      <w:tr w14:paraId="099C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027D774">
            <w:pPr>
              <w:pStyle w:val="25"/>
              <w:jc w:val="center"/>
              <w:rPr>
                <w:rFonts w:hint="eastAsia" w:ascii="仿宋" w:hAnsi="仿宋" w:eastAsia="仿宋" w:cs="仿宋"/>
                <w:color w:val="auto"/>
                <w:kern w:val="2"/>
                <w:sz w:val="24"/>
                <w:szCs w:val="24"/>
              </w:rPr>
            </w:pPr>
          </w:p>
        </w:tc>
        <w:tc>
          <w:tcPr>
            <w:tcW w:w="823" w:type="dxa"/>
            <w:vAlign w:val="center"/>
          </w:tcPr>
          <w:p w14:paraId="638140CD">
            <w:pPr>
              <w:pStyle w:val="25"/>
              <w:jc w:val="center"/>
              <w:rPr>
                <w:rFonts w:hint="eastAsia" w:ascii="仿宋" w:hAnsi="仿宋" w:eastAsia="仿宋" w:cs="仿宋"/>
                <w:color w:val="auto"/>
                <w:kern w:val="2"/>
                <w:sz w:val="24"/>
                <w:szCs w:val="24"/>
              </w:rPr>
            </w:pPr>
          </w:p>
        </w:tc>
        <w:tc>
          <w:tcPr>
            <w:tcW w:w="808" w:type="dxa"/>
            <w:vAlign w:val="center"/>
          </w:tcPr>
          <w:p w14:paraId="709FD322">
            <w:pPr>
              <w:pStyle w:val="25"/>
              <w:jc w:val="center"/>
              <w:rPr>
                <w:rFonts w:hint="eastAsia" w:ascii="仿宋" w:hAnsi="仿宋" w:eastAsia="仿宋" w:cs="仿宋"/>
                <w:color w:val="auto"/>
                <w:kern w:val="2"/>
                <w:sz w:val="24"/>
                <w:szCs w:val="24"/>
              </w:rPr>
            </w:pPr>
          </w:p>
        </w:tc>
        <w:tc>
          <w:tcPr>
            <w:tcW w:w="2767" w:type="dxa"/>
          </w:tcPr>
          <w:p w14:paraId="3E73B750">
            <w:pPr>
              <w:pStyle w:val="25"/>
              <w:spacing w:line="600" w:lineRule="exact"/>
              <w:rPr>
                <w:rFonts w:hint="eastAsia" w:ascii="仿宋" w:hAnsi="仿宋" w:eastAsia="仿宋" w:cs="仿宋"/>
                <w:color w:val="auto"/>
                <w:kern w:val="2"/>
                <w:sz w:val="24"/>
                <w:szCs w:val="24"/>
              </w:rPr>
            </w:pPr>
          </w:p>
        </w:tc>
        <w:tc>
          <w:tcPr>
            <w:tcW w:w="2900" w:type="dxa"/>
          </w:tcPr>
          <w:p w14:paraId="784C4A8E">
            <w:pPr>
              <w:pStyle w:val="25"/>
              <w:spacing w:line="600" w:lineRule="exact"/>
              <w:rPr>
                <w:rFonts w:hint="eastAsia" w:ascii="仿宋" w:hAnsi="仿宋" w:eastAsia="仿宋" w:cs="仿宋"/>
                <w:color w:val="auto"/>
                <w:kern w:val="2"/>
                <w:sz w:val="24"/>
                <w:szCs w:val="24"/>
              </w:rPr>
            </w:pPr>
          </w:p>
        </w:tc>
        <w:tc>
          <w:tcPr>
            <w:tcW w:w="1329" w:type="dxa"/>
          </w:tcPr>
          <w:p w14:paraId="21D52944">
            <w:pPr>
              <w:pStyle w:val="25"/>
              <w:spacing w:line="600" w:lineRule="exact"/>
              <w:rPr>
                <w:rFonts w:hint="eastAsia" w:ascii="仿宋" w:hAnsi="仿宋" w:eastAsia="仿宋" w:cs="仿宋"/>
                <w:color w:val="auto"/>
                <w:kern w:val="2"/>
                <w:sz w:val="24"/>
                <w:szCs w:val="24"/>
              </w:rPr>
            </w:pPr>
          </w:p>
        </w:tc>
      </w:tr>
      <w:tr w14:paraId="6311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1D5993D">
            <w:pPr>
              <w:pStyle w:val="25"/>
              <w:jc w:val="center"/>
              <w:rPr>
                <w:rFonts w:hint="eastAsia" w:ascii="仿宋" w:hAnsi="仿宋" w:eastAsia="仿宋" w:cs="仿宋"/>
                <w:color w:val="auto"/>
                <w:kern w:val="2"/>
                <w:sz w:val="24"/>
                <w:szCs w:val="24"/>
              </w:rPr>
            </w:pPr>
          </w:p>
        </w:tc>
        <w:tc>
          <w:tcPr>
            <w:tcW w:w="823" w:type="dxa"/>
            <w:vAlign w:val="center"/>
          </w:tcPr>
          <w:p w14:paraId="5A64AB20">
            <w:pPr>
              <w:pStyle w:val="25"/>
              <w:jc w:val="center"/>
              <w:rPr>
                <w:rFonts w:hint="eastAsia" w:ascii="仿宋" w:hAnsi="仿宋" w:eastAsia="仿宋" w:cs="仿宋"/>
                <w:color w:val="auto"/>
                <w:kern w:val="2"/>
                <w:sz w:val="24"/>
                <w:szCs w:val="24"/>
              </w:rPr>
            </w:pPr>
          </w:p>
        </w:tc>
        <w:tc>
          <w:tcPr>
            <w:tcW w:w="808" w:type="dxa"/>
            <w:vAlign w:val="center"/>
          </w:tcPr>
          <w:p w14:paraId="6305CF07">
            <w:pPr>
              <w:pStyle w:val="25"/>
              <w:jc w:val="center"/>
              <w:rPr>
                <w:rFonts w:hint="eastAsia" w:ascii="仿宋" w:hAnsi="仿宋" w:eastAsia="仿宋" w:cs="仿宋"/>
                <w:color w:val="auto"/>
                <w:kern w:val="2"/>
                <w:sz w:val="24"/>
                <w:szCs w:val="24"/>
              </w:rPr>
            </w:pPr>
          </w:p>
        </w:tc>
        <w:tc>
          <w:tcPr>
            <w:tcW w:w="2767" w:type="dxa"/>
          </w:tcPr>
          <w:p w14:paraId="70E428AA">
            <w:pPr>
              <w:pStyle w:val="25"/>
              <w:spacing w:line="600" w:lineRule="exact"/>
              <w:rPr>
                <w:rFonts w:hint="eastAsia" w:ascii="仿宋" w:hAnsi="仿宋" w:eastAsia="仿宋" w:cs="仿宋"/>
                <w:color w:val="auto"/>
                <w:kern w:val="2"/>
                <w:sz w:val="24"/>
                <w:szCs w:val="24"/>
              </w:rPr>
            </w:pPr>
          </w:p>
        </w:tc>
        <w:tc>
          <w:tcPr>
            <w:tcW w:w="2900" w:type="dxa"/>
          </w:tcPr>
          <w:p w14:paraId="7BF8FBE3">
            <w:pPr>
              <w:pStyle w:val="25"/>
              <w:spacing w:line="600" w:lineRule="exact"/>
              <w:rPr>
                <w:rFonts w:hint="eastAsia" w:ascii="仿宋" w:hAnsi="仿宋" w:eastAsia="仿宋" w:cs="仿宋"/>
                <w:color w:val="auto"/>
                <w:kern w:val="2"/>
                <w:sz w:val="24"/>
                <w:szCs w:val="24"/>
              </w:rPr>
            </w:pPr>
          </w:p>
        </w:tc>
        <w:tc>
          <w:tcPr>
            <w:tcW w:w="1329" w:type="dxa"/>
          </w:tcPr>
          <w:p w14:paraId="19E436AB">
            <w:pPr>
              <w:pStyle w:val="25"/>
              <w:spacing w:line="600" w:lineRule="exact"/>
              <w:rPr>
                <w:rFonts w:hint="eastAsia" w:ascii="仿宋" w:hAnsi="仿宋" w:eastAsia="仿宋" w:cs="仿宋"/>
                <w:color w:val="auto"/>
                <w:kern w:val="2"/>
                <w:sz w:val="24"/>
                <w:szCs w:val="24"/>
              </w:rPr>
            </w:pPr>
          </w:p>
        </w:tc>
      </w:tr>
      <w:tr w14:paraId="7574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2BEC8A2">
            <w:pPr>
              <w:pStyle w:val="25"/>
              <w:jc w:val="center"/>
              <w:rPr>
                <w:rFonts w:hint="eastAsia" w:ascii="仿宋" w:hAnsi="仿宋" w:eastAsia="仿宋" w:cs="仿宋"/>
                <w:color w:val="auto"/>
                <w:kern w:val="2"/>
                <w:sz w:val="24"/>
                <w:szCs w:val="24"/>
              </w:rPr>
            </w:pPr>
          </w:p>
        </w:tc>
        <w:tc>
          <w:tcPr>
            <w:tcW w:w="823" w:type="dxa"/>
            <w:vAlign w:val="center"/>
          </w:tcPr>
          <w:p w14:paraId="2C23C7F1">
            <w:pPr>
              <w:pStyle w:val="25"/>
              <w:jc w:val="center"/>
              <w:rPr>
                <w:rFonts w:hint="eastAsia" w:ascii="仿宋" w:hAnsi="仿宋" w:eastAsia="仿宋" w:cs="仿宋"/>
                <w:color w:val="auto"/>
                <w:kern w:val="2"/>
                <w:sz w:val="24"/>
                <w:szCs w:val="24"/>
              </w:rPr>
            </w:pPr>
          </w:p>
        </w:tc>
        <w:tc>
          <w:tcPr>
            <w:tcW w:w="808" w:type="dxa"/>
            <w:vAlign w:val="center"/>
          </w:tcPr>
          <w:p w14:paraId="73BA4143">
            <w:pPr>
              <w:pStyle w:val="25"/>
              <w:jc w:val="center"/>
              <w:rPr>
                <w:rFonts w:hint="eastAsia" w:ascii="仿宋" w:hAnsi="仿宋" w:eastAsia="仿宋" w:cs="仿宋"/>
                <w:color w:val="auto"/>
                <w:kern w:val="2"/>
                <w:sz w:val="24"/>
                <w:szCs w:val="24"/>
              </w:rPr>
            </w:pPr>
          </w:p>
        </w:tc>
        <w:tc>
          <w:tcPr>
            <w:tcW w:w="2767" w:type="dxa"/>
          </w:tcPr>
          <w:p w14:paraId="4B66A9F1">
            <w:pPr>
              <w:pStyle w:val="25"/>
              <w:spacing w:line="600" w:lineRule="exact"/>
              <w:rPr>
                <w:rFonts w:hint="eastAsia" w:ascii="仿宋" w:hAnsi="仿宋" w:eastAsia="仿宋" w:cs="仿宋"/>
                <w:color w:val="auto"/>
                <w:kern w:val="2"/>
                <w:sz w:val="24"/>
                <w:szCs w:val="24"/>
              </w:rPr>
            </w:pPr>
          </w:p>
        </w:tc>
        <w:tc>
          <w:tcPr>
            <w:tcW w:w="2900" w:type="dxa"/>
          </w:tcPr>
          <w:p w14:paraId="3C924D1B">
            <w:pPr>
              <w:pStyle w:val="25"/>
              <w:spacing w:line="600" w:lineRule="exact"/>
              <w:rPr>
                <w:rFonts w:hint="eastAsia" w:ascii="仿宋" w:hAnsi="仿宋" w:eastAsia="仿宋" w:cs="仿宋"/>
                <w:color w:val="auto"/>
                <w:kern w:val="2"/>
                <w:sz w:val="24"/>
                <w:szCs w:val="24"/>
              </w:rPr>
            </w:pPr>
          </w:p>
        </w:tc>
        <w:tc>
          <w:tcPr>
            <w:tcW w:w="1329" w:type="dxa"/>
          </w:tcPr>
          <w:p w14:paraId="53A4D462">
            <w:pPr>
              <w:pStyle w:val="25"/>
              <w:spacing w:line="600" w:lineRule="exact"/>
              <w:rPr>
                <w:rFonts w:hint="eastAsia" w:ascii="仿宋" w:hAnsi="仿宋" w:eastAsia="仿宋" w:cs="仿宋"/>
                <w:color w:val="auto"/>
                <w:kern w:val="2"/>
                <w:sz w:val="24"/>
                <w:szCs w:val="24"/>
              </w:rPr>
            </w:pPr>
          </w:p>
        </w:tc>
      </w:tr>
      <w:tr w14:paraId="0ADC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2D34031">
            <w:pPr>
              <w:pStyle w:val="25"/>
              <w:jc w:val="center"/>
              <w:rPr>
                <w:rFonts w:hint="eastAsia" w:ascii="仿宋" w:hAnsi="仿宋" w:eastAsia="仿宋" w:cs="仿宋"/>
                <w:color w:val="auto"/>
                <w:kern w:val="2"/>
                <w:sz w:val="24"/>
                <w:szCs w:val="24"/>
              </w:rPr>
            </w:pPr>
          </w:p>
        </w:tc>
        <w:tc>
          <w:tcPr>
            <w:tcW w:w="823" w:type="dxa"/>
            <w:vAlign w:val="center"/>
          </w:tcPr>
          <w:p w14:paraId="4D525910">
            <w:pPr>
              <w:pStyle w:val="25"/>
              <w:jc w:val="center"/>
              <w:rPr>
                <w:rFonts w:hint="eastAsia" w:ascii="仿宋" w:hAnsi="仿宋" w:eastAsia="仿宋" w:cs="仿宋"/>
                <w:color w:val="auto"/>
                <w:kern w:val="2"/>
                <w:sz w:val="24"/>
                <w:szCs w:val="24"/>
              </w:rPr>
            </w:pPr>
          </w:p>
        </w:tc>
        <w:tc>
          <w:tcPr>
            <w:tcW w:w="808" w:type="dxa"/>
            <w:vAlign w:val="center"/>
          </w:tcPr>
          <w:p w14:paraId="6B2F9CAB">
            <w:pPr>
              <w:pStyle w:val="25"/>
              <w:jc w:val="center"/>
              <w:rPr>
                <w:rFonts w:hint="eastAsia" w:ascii="仿宋" w:hAnsi="仿宋" w:eastAsia="仿宋" w:cs="仿宋"/>
                <w:color w:val="auto"/>
                <w:kern w:val="2"/>
                <w:sz w:val="24"/>
                <w:szCs w:val="24"/>
              </w:rPr>
            </w:pPr>
          </w:p>
        </w:tc>
        <w:tc>
          <w:tcPr>
            <w:tcW w:w="2767" w:type="dxa"/>
          </w:tcPr>
          <w:p w14:paraId="1C9A2E81">
            <w:pPr>
              <w:pStyle w:val="25"/>
              <w:spacing w:line="600" w:lineRule="exact"/>
              <w:rPr>
                <w:rFonts w:hint="eastAsia" w:ascii="仿宋" w:hAnsi="仿宋" w:eastAsia="仿宋" w:cs="仿宋"/>
                <w:color w:val="auto"/>
                <w:kern w:val="2"/>
                <w:sz w:val="24"/>
                <w:szCs w:val="24"/>
              </w:rPr>
            </w:pPr>
          </w:p>
        </w:tc>
        <w:tc>
          <w:tcPr>
            <w:tcW w:w="2900" w:type="dxa"/>
          </w:tcPr>
          <w:p w14:paraId="61F6D15E">
            <w:pPr>
              <w:pStyle w:val="25"/>
              <w:spacing w:line="600" w:lineRule="exact"/>
              <w:rPr>
                <w:rFonts w:hint="eastAsia" w:ascii="仿宋" w:hAnsi="仿宋" w:eastAsia="仿宋" w:cs="仿宋"/>
                <w:color w:val="auto"/>
                <w:kern w:val="2"/>
                <w:sz w:val="24"/>
                <w:szCs w:val="24"/>
              </w:rPr>
            </w:pPr>
          </w:p>
        </w:tc>
        <w:tc>
          <w:tcPr>
            <w:tcW w:w="1329" w:type="dxa"/>
          </w:tcPr>
          <w:p w14:paraId="54CB006D">
            <w:pPr>
              <w:pStyle w:val="25"/>
              <w:spacing w:line="600" w:lineRule="exact"/>
              <w:rPr>
                <w:rFonts w:hint="eastAsia" w:ascii="仿宋" w:hAnsi="仿宋" w:eastAsia="仿宋" w:cs="仿宋"/>
                <w:color w:val="auto"/>
                <w:kern w:val="2"/>
                <w:sz w:val="24"/>
                <w:szCs w:val="24"/>
              </w:rPr>
            </w:pPr>
          </w:p>
        </w:tc>
      </w:tr>
    </w:tbl>
    <w:p w14:paraId="401F7ECD">
      <w:pPr>
        <w:pStyle w:val="17"/>
        <w:rPr>
          <w:rFonts w:hint="eastAsia" w:ascii="宋体" w:hAnsi="宋体" w:cs="宋体"/>
          <w:color w:val="auto"/>
          <w:sz w:val="21"/>
          <w:szCs w:val="21"/>
        </w:rPr>
      </w:pPr>
    </w:p>
    <w:p w14:paraId="13506474">
      <w:pPr>
        <w:pStyle w:val="17"/>
        <w:rPr>
          <w:rFonts w:hint="eastAsia" w:ascii="宋体" w:hAnsi="宋体" w:cs="宋体"/>
          <w:color w:val="auto"/>
          <w:szCs w:val="21"/>
        </w:rPr>
      </w:pPr>
      <w:r>
        <w:rPr>
          <w:rFonts w:hint="eastAsia" w:ascii="宋体" w:hAnsi="宋体" w:cs="宋体"/>
          <w:color w:val="auto"/>
          <w:szCs w:val="21"/>
        </w:rPr>
        <w:t>三、本次采购项目通用技术要求及投标响应</w:t>
      </w:r>
    </w:p>
    <w:tbl>
      <w:tblPr>
        <w:tblStyle w:val="47"/>
        <w:tblpPr w:leftFromText="180" w:rightFromText="180" w:vertAnchor="text" w:horzAnchor="page" w:tblpX="1233" w:tblpY="301"/>
        <w:tblOverlap w:val="never"/>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704"/>
        <w:gridCol w:w="3321"/>
        <w:gridCol w:w="1665"/>
      </w:tblGrid>
      <w:tr w14:paraId="63CB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2" w:type="dxa"/>
            <w:vAlign w:val="center"/>
          </w:tcPr>
          <w:p w14:paraId="14B2BF4D">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项号</w:t>
            </w:r>
          </w:p>
        </w:tc>
        <w:tc>
          <w:tcPr>
            <w:tcW w:w="2704" w:type="dxa"/>
            <w:vAlign w:val="center"/>
          </w:tcPr>
          <w:p w14:paraId="23675EF6">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通用技术要求</w:t>
            </w:r>
          </w:p>
        </w:tc>
        <w:tc>
          <w:tcPr>
            <w:tcW w:w="3321" w:type="dxa"/>
            <w:vAlign w:val="center"/>
          </w:tcPr>
          <w:p w14:paraId="2D540963">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投标响应</w:t>
            </w:r>
          </w:p>
        </w:tc>
        <w:tc>
          <w:tcPr>
            <w:tcW w:w="1665" w:type="dxa"/>
            <w:vAlign w:val="center"/>
          </w:tcPr>
          <w:p w14:paraId="3EA1A6A2">
            <w:pPr>
              <w:pStyle w:val="25"/>
              <w:spacing w:line="40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偏离说明</w:t>
            </w:r>
          </w:p>
        </w:tc>
      </w:tr>
      <w:tr w14:paraId="6CA1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53EB2B3">
            <w:pPr>
              <w:pStyle w:val="25"/>
              <w:jc w:val="center"/>
              <w:rPr>
                <w:rFonts w:hint="eastAsia" w:ascii="仿宋" w:hAnsi="仿宋" w:eastAsia="仿宋" w:cs="仿宋"/>
                <w:color w:val="auto"/>
                <w:kern w:val="2"/>
                <w:sz w:val="24"/>
                <w:szCs w:val="24"/>
              </w:rPr>
            </w:pPr>
          </w:p>
        </w:tc>
        <w:tc>
          <w:tcPr>
            <w:tcW w:w="2704" w:type="dxa"/>
          </w:tcPr>
          <w:p w14:paraId="10081210">
            <w:pPr>
              <w:pStyle w:val="25"/>
              <w:spacing w:line="600" w:lineRule="exact"/>
              <w:rPr>
                <w:rFonts w:hint="eastAsia" w:ascii="仿宋" w:hAnsi="仿宋" w:eastAsia="仿宋" w:cs="仿宋"/>
                <w:color w:val="auto"/>
                <w:kern w:val="2"/>
                <w:sz w:val="24"/>
                <w:szCs w:val="24"/>
              </w:rPr>
            </w:pPr>
          </w:p>
        </w:tc>
        <w:tc>
          <w:tcPr>
            <w:tcW w:w="3321" w:type="dxa"/>
          </w:tcPr>
          <w:p w14:paraId="0A8ED654">
            <w:pPr>
              <w:pStyle w:val="25"/>
              <w:spacing w:line="600" w:lineRule="exact"/>
              <w:rPr>
                <w:rFonts w:hint="eastAsia" w:ascii="仿宋" w:hAnsi="仿宋" w:eastAsia="仿宋" w:cs="仿宋"/>
                <w:color w:val="auto"/>
                <w:kern w:val="2"/>
                <w:sz w:val="24"/>
                <w:szCs w:val="24"/>
              </w:rPr>
            </w:pPr>
          </w:p>
        </w:tc>
        <w:tc>
          <w:tcPr>
            <w:tcW w:w="1665" w:type="dxa"/>
          </w:tcPr>
          <w:p w14:paraId="1F380398">
            <w:pPr>
              <w:pStyle w:val="25"/>
              <w:spacing w:line="600" w:lineRule="exact"/>
              <w:rPr>
                <w:rFonts w:hint="eastAsia" w:ascii="仿宋" w:hAnsi="仿宋" w:eastAsia="仿宋" w:cs="仿宋"/>
                <w:color w:val="auto"/>
                <w:kern w:val="2"/>
                <w:sz w:val="24"/>
                <w:szCs w:val="24"/>
              </w:rPr>
            </w:pPr>
          </w:p>
        </w:tc>
      </w:tr>
      <w:tr w14:paraId="4F74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8809389">
            <w:pPr>
              <w:pStyle w:val="25"/>
              <w:jc w:val="center"/>
              <w:rPr>
                <w:rFonts w:hint="eastAsia" w:ascii="仿宋" w:hAnsi="仿宋" w:eastAsia="仿宋" w:cs="仿宋"/>
                <w:color w:val="auto"/>
                <w:kern w:val="2"/>
                <w:sz w:val="24"/>
                <w:szCs w:val="24"/>
              </w:rPr>
            </w:pPr>
          </w:p>
        </w:tc>
        <w:tc>
          <w:tcPr>
            <w:tcW w:w="2704" w:type="dxa"/>
          </w:tcPr>
          <w:p w14:paraId="7B09D03B">
            <w:pPr>
              <w:pStyle w:val="25"/>
              <w:spacing w:line="600" w:lineRule="exact"/>
              <w:rPr>
                <w:rFonts w:hint="eastAsia" w:ascii="仿宋" w:hAnsi="仿宋" w:eastAsia="仿宋" w:cs="仿宋"/>
                <w:color w:val="auto"/>
                <w:kern w:val="2"/>
                <w:sz w:val="24"/>
                <w:szCs w:val="24"/>
              </w:rPr>
            </w:pPr>
          </w:p>
        </w:tc>
        <w:tc>
          <w:tcPr>
            <w:tcW w:w="3321" w:type="dxa"/>
          </w:tcPr>
          <w:p w14:paraId="1B890B37">
            <w:pPr>
              <w:pStyle w:val="25"/>
              <w:spacing w:line="600" w:lineRule="exact"/>
              <w:rPr>
                <w:rFonts w:hint="eastAsia" w:ascii="仿宋" w:hAnsi="仿宋" w:eastAsia="仿宋" w:cs="仿宋"/>
                <w:color w:val="auto"/>
                <w:kern w:val="2"/>
                <w:sz w:val="24"/>
                <w:szCs w:val="24"/>
              </w:rPr>
            </w:pPr>
          </w:p>
        </w:tc>
        <w:tc>
          <w:tcPr>
            <w:tcW w:w="1665" w:type="dxa"/>
          </w:tcPr>
          <w:p w14:paraId="3EBB0049">
            <w:pPr>
              <w:pStyle w:val="25"/>
              <w:spacing w:line="600" w:lineRule="exact"/>
              <w:rPr>
                <w:rFonts w:hint="eastAsia" w:ascii="仿宋" w:hAnsi="仿宋" w:eastAsia="仿宋" w:cs="仿宋"/>
                <w:color w:val="auto"/>
                <w:kern w:val="2"/>
                <w:sz w:val="24"/>
                <w:szCs w:val="24"/>
              </w:rPr>
            </w:pPr>
          </w:p>
        </w:tc>
      </w:tr>
      <w:tr w14:paraId="73C7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368206A">
            <w:pPr>
              <w:pStyle w:val="25"/>
              <w:jc w:val="center"/>
              <w:rPr>
                <w:rFonts w:hint="eastAsia" w:ascii="仿宋" w:hAnsi="仿宋" w:eastAsia="仿宋" w:cs="仿宋"/>
                <w:color w:val="auto"/>
                <w:kern w:val="2"/>
                <w:sz w:val="24"/>
                <w:szCs w:val="24"/>
              </w:rPr>
            </w:pPr>
          </w:p>
        </w:tc>
        <w:tc>
          <w:tcPr>
            <w:tcW w:w="2704" w:type="dxa"/>
          </w:tcPr>
          <w:p w14:paraId="4DBBC487">
            <w:pPr>
              <w:pStyle w:val="25"/>
              <w:spacing w:line="600" w:lineRule="exact"/>
              <w:rPr>
                <w:rFonts w:hint="eastAsia" w:ascii="仿宋" w:hAnsi="仿宋" w:eastAsia="仿宋" w:cs="仿宋"/>
                <w:color w:val="auto"/>
                <w:kern w:val="2"/>
                <w:sz w:val="24"/>
                <w:szCs w:val="24"/>
              </w:rPr>
            </w:pPr>
          </w:p>
        </w:tc>
        <w:tc>
          <w:tcPr>
            <w:tcW w:w="3321" w:type="dxa"/>
          </w:tcPr>
          <w:p w14:paraId="2B03FC9B">
            <w:pPr>
              <w:pStyle w:val="25"/>
              <w:spacing w:line="600" w:lineRule="exact"/>
              <w:rPr>
                <w:rFonts w:hint="eastAsia" w:ascii="仿宋" w:hAnsi="仿宋" w:eastAsia="仿宋" w:cs="仿宋"/>
                <w:color w:val="auto"/>
                <w:kern w:val="2"/>
                <w:sz w:val="24"/>
                <w:szCs w:val="24"/>
              </w:rPr>
            </w:pPr>
          </w:p>
        </w:tc>
        <w:tc>
          <w:tcPr>
            <w:tcW w:w="1665" w:type="dxa"/>
          </w:tcPr>
          <w:p w14:paraId="4399CC0B">
            <w:pPr>
              <w:pStyle w:val="25"/>
              <w:spacing w:line="600" w:lineRule="exact"/>
              <w:rPr>
                <w:rFonts w:hint="eastAsia" w:ascii="仿宋" w:hAnsi="仿宋" w:eastAsia="仿宋" w:cs="仿宋"/>
                <w:color w:val="auto"/>
                <w:kern w:val="2"/>
                <w:sz w:val="24"/>
                <w:szCs w:val="24"/>
              </w:rPr>
            </w:pPr>
          </w:p>
        </w:tc>
      </w:tr>
      <w:tr w14:paraId="5690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0D2417F">
            <w:pPr>
              <w:pStyle w:val="25"/>
              <w:jc w:val="center"/>
              <w:rPr>
                <w:rFonts w:hint="eastAsia" w:ascii="仿宋" w:hAnsi="仿宋" w:eastAsia="仿宋" w:cs="仿宋"/>
                <w:color w:val="auto"/>
                <w:kern w:val="2"/>
                <w:sz w:val="24"/>
                <w:szCs w:val="24"/>
              </w:rPr>
            </w:pPr>
          </w:p>
        </w:tc>
        <w:tc>
          <w:tcPr>
            <w:tcW w:w="2704" w:type="dxa"/>
          </w:tcPr>
          <w:p w14:paraId="4D0EAFDF">
            <w:pPr>
              <w:pStyle w:val="25"/>
              <w:spacing w:line="600" w:lineRule="exact"/>
              <w:rPr>
                <w:rFonts w:hint="eastAsia" w:ascii="仿宋" w:hAnsi="仿宋" w:eastAsia="仿宋" w:cs="仿宋"/>
                <w:color w:val="auto"/>
                <w:kern w:val="2"/>
                <w:sz w:val="24"/>
                <w:szCs w:val="24"/>
              </w:rPr>
            </w:pPr>
          </w:p>
        </w:tc>
        <w:tc>
          <w:tcPr>
            <w:tcW w:w="3321" w:type="dxa"/>
          </w:tcPr>
          <w:p w14:paraId="4D6C32A9">
            <w:pPr>
              <w:pStyle w:val="25"/>
              <w:spacing w:line="600" w:lineRule="exact"/>
              <w:rPr>
                <w:rFonts w:hint="eastAsia" w:ascii="仿宋" w:hAnsi="仿宋" w:eastAsia="仿宋" w:cs="仿宋"/>
                <w:color w:val="auto"/>
                <w:kern w:val="2"/>
                <w:sz w:val="24"/>
                <w:szCs w:val="24"/>
              </w:rPr>
            </w:pPr>
          </w:p>
        </w:tc>
        <w:tc>
          <w:tcPr>
            <w:tcW w:w="1665" w:type="dxa"/>
          </w:tcPr>
          <w:p w14:paraId="1A6E6089">
            <w:pPr>
              <w:pStyle w:val="25"/>
              <w:spacing w:line="600" w:lineRule="exact"/>
              <w:rPr>
                <w:rFonts w:hint="eastAsia" w:ascii="仿宋" w:hAnsi="仿宋" w:eastAsia="仿宋" w:cs="仿宋"/>
                <w:color w:val="auto"/>
                <w:kern w:val="2"/>
                <w:sz w:val="24"/>
                <w:szCs w:val="24"/>
              </w:rPr>
            </w:pPr>
          </w:p>
        </w:tc>
      </w:tr>
      <w:tr w14:paraId="0801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74A451B6">
            <w:pPr>
              <w:pStyle w:val="25"/>
              <w:jc w:val="center"/>
              <w:rPr>
                <w:rFonts w:hint="eastAsia" w:ascii="仿宋" w:hAnsi="仿宋" w:eastAsia="仿宋" w:cs="仿宋"/>
                <w:color w:val="auto"/>
                <w:kern w:val="2"/>
                <w:sz w:val="24"/>
                <w:szCs w:val="24"/>
              </w:rPr>
            </w:pPr>
          </w:p>
        </w:tc>
        <w:tc>
          <w:tcPr>
            <w:tcW w:w="2704" w:type="dxa"/>
          </w:tcPr>
          <w:p w14:paraId="31A5CDBE">
            <w:pPr>
              <w:pStyle w:val="25"/>
              <w:spacing w:line="600" w:lineRule="exact"/>
              <w:rPr>
                <w:rFonts w:hint="eastAsia" w:ascii="仿宋" w:hAnsi="仿宋" w:eastAsia="仿宋" w:cs="仿宋"/>
                <w:color w:val="auto"/>
                <w:kern w:val="2"/>
                <w:sz w:val="24"/>
                <w:szCs w:val="24"/>
              </w:rPr>
            </w:pPr>
          </w:p>
        </w:tc>
        <w:tc>
          <w:tcPr>
            <w:tcW w:w="3321" w:type="dxa"/>
          </w:tcPr>
          <w:p w14:paraId="7412C813">
            <w:pPr>
              <w:pStyle w:val="25"/>
              <w:spacing w:line="600" w:lineRule="exact"/>
              <w:rPr>
                <w:rFonts w:hint="eastAsia" w:ascii="仿宋" w:hAnsi="仿宋" w:eastAsia="仿宋" w:cs="仿宋"/>
                <w:color w:val="auto"/>
                <w:kern w:val="2"/>
                <w:sz w:val="24"/>
                <w:szCs w:val="24"/>
              </w:rPr>
            </w:pPr>
          </w:p>
        </w:tc>
        <w:tc>
          <w:tcPr>
            <w:tcW w:w="1665" w:type="dxa"/>
          </w:tcPr>
          <w:p w14:paraId="142F62FA">
            <w:pPr>
              <w:pStyle w:val="25"/>
              <w:spacing w:line="600" w:lineRule="exact"/>
              <w:rPr>
                <w:rFonts w:hint="eastAsia" w:ascii="仿宋" w:hAnsi="仿宋" w:eastAsia="仿宋" w:cs="仿宋"/>
                <w:color w:val="auto"/>
                <w:kern w:val="2"/>
                <w:sz w:val="24"/>
                <w:szCs w:val="24"/>
              </w:rPr>
            </w:pPr>
          </w:p>
        </w:tc>
      </w:tr>
      <w:tr w14:paraId="1D78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7C4318D">
            <w:pPr>
              <w:pStyle w:val="25"/>
              <w:jc w:val="center"/>
              <w:rPr>
                <w:rFonts w:hint="eastAsia" w:ascii="仿宋" w:hAnsi="仿宋" w:eastAsia="仿宋" w:cs="仿宋"/>
                <w:color w:val="auto"/>
                <w:kern w:val="2"/>
                <w:sz w:val="24"/>
                <w:szCs w:val="24"/>
              </w:rPr>
            </w:pPr>
          </w:p>
        </w:tc>
        <w:tc>
          <w:tcPr>
            <w:tcW w:w="2704" w:type="dxa"/>
          </w:tcPr>
          <w:p w14:paraId="413A3771">
            <w:pPr>
              <w:pStyle w:val="25"/>
              <w:spacing w:line="600" w:lineRule="exact"/>
              <w:rPr>
                <w:rFonts w:hint="eastAsia" w:ascii="仿宋" w:hAnsi="仿宋" w:eastAsia="仿宋" w:cs="仿宋"/>
                <w:color w:val="auto"/>
                <w:kern w:val="2"/>
                <w:sz w:val="24"/>
                <w:szCs w:val="24"/>
              </w:rPr>
            </w:pPr>
          </w:p>
        </w:tc>
        <w:tc>
          <w:tcPr>
            <w:tcW w:w="3321" w:type="dxa"/>
          </w:tcPr>
          <w:p w14:paraId="47545FFE">
            <w:pPr>
              <w:pStyle w:val="25"/>
              <w:spacing w:line="600" w:lineRule="exact"/>
              <w:rPr>
                <w:rFonts w:hint="eastAsia" w:ascii="仿宋" w:hAnsi="仿宋" w:eastAsia="仿宋" w:cs="仿宋"/>
                <w:color w:val="auto"/>
                <w:kern w:val="2"/>
                <w:sz w:val="24"/>
                <w:szCs w:val="24"/>
              </w:rPr>
            </w:pPr>
          </w:p>
        </w:tc>
        <w:tc>
          <w:tcPr>
            <w:tcW w:w="1665" w:type="dxa"/>
          </w:tcPr>
          <w:p w14:paraId="362F3F1A">
            <w:pPr>
              <w:pStyle w:val="25"/>
              <w:spacing w:line="600" w:lineRule="exact"/>
              <w:rPr>
                <w:rFonts w:hint="eastAsia" w:ascii="仿宋" w:hAnsi="仿宋" w:eastAsia="仿宋" w:cs="仿宋"/>
                <w:color w:val="auto"/>
                <w:kern w:val="2"/>
                <w:sz w:val="24"/>
                <w:szCs w:val="24"/>
              </w:rPr>
            </w:pPr>
          </w:p>
        </w:tc>
      </w:tr>
    </w:tbl>
    <w:p w14:paraId="0E2A71C9">
      <w:pPr>
        <w:pStyle w:val="17"/>
        <w:rPr>
          <w:rFonts w:hint="eastAsia" w:ascii="仿宋" w:hAnsi="仿宋" w:eastAsia="仿宋" w:cs="仿宋"/>
          <w:color w:val="auto"/>
        </w:rPr>
      </w:pPr>
      <w:r>
        <w:rPr>
          <w:rFonts w:hint="eastAsia" w:ascii="仿宋" w:hAnsi="仿宋" w:eastAsia="仿宋" w:cs="仿宋"/>
          <w:color w:val="auto"/>
        </w:rPr>
        <w:t>注：</w:t>
      </w:r>
    </w:p>
    <w:p w14:paraId="0D5BF5FA">
      <w:pPr>
        <w:pStyle w:val="19"/>
        <w:spacing w:line="360" w:lineRule="auto"/>
        <w:ind w:firstLine="0" w:firstLineChars="0"/>
        <w:contextualSpacing/>
        <w:rPr>
          <w:rFonts w:hint="eastAsia" w:ascii="仿宋" w:hAnsi="仿宋" w:eastAsia="仿宋" w:cs="仿宋"/>
          <w:color w:val="auto"/>
          <w:szCs w:val="32"/>
        </w:rPr>
      </w:pPr>
      <w:r>
        <w:rPr>
          <w:rFonts w:hint="eastAsia" w:ascii="仿宋" w:hAnsi="仿宋" w:eastAsia="仿宋" w:cs="仿宋"/>
          <w:color w:val="auto"/>
          <w:sz w:val="24"/>
          <w:szCs w:val="24"/>
        </w:rPr>
        <w:t>1.说明：应对照招标文件“第二章 采购需求”中的“第二部分 技术要求”逐条作明确的投标响应，并作出偏离说明。</w:t>
      </w:r>
    </w:p>
    <w:p w14:paraId="1BF83603">
      <w:pPr>
        <w:pStyle w:val="17"/>
        <w:spacing w:line="360" w:lineRule="auto"/>
        <w:contextualSpacing/>
        <w:rPr>
          <w:rFonts w:hint="eastAsia" w:ascii="仿宋" w:hAnsi="仿宋" w:eastAsia="仿宋" w:cs="仿宋"/>
          <w:b w:val="0"/>
          <w:bCs w:val="0"/>
          <w:color w:val="auto"/>
        </w:rPr>
      </w:pPr>
      <w:r>
        <w:rPr>
          <w:rFonts w:hint="eastAsia" w:ascii="仿宋" w:hAnsi="仿宋" w:eastAsia="仿宋" w:cs="仿宋"/>
          <w:b w:val="0"/>
          <w:bCs w:val="0"/>
          <w:color w:val="auto"/>
        </w:rPr>
        <w:t>2.投标人应根据自身的承诺，对照招标文件要求，在“偏离说明”中注明“</w:t>
      </w:r>
      <w:r>
        <w:rPr>
          <w:rFonts w:hint="eastAsia" w:ascii="仿宋" w:hAnsi="仿宋" w:eastAsia="仿宋" w:cs="仿宋"/>
          <w:color w:val="auto"/>
        </w:rPr>
        <w:t>正偏离</w:t>
      </w:r>
      <w:r>
        <w:rPr>
          <w:rFonts w:hint="eastAsia" w:ascii="仿宋" w:hAnsi="仿宋" w:eastAsia="仿宋" w:cs="仿宋"/>
          <w:b w:val="0"/>
          <w:bCs w:val="0"/>
          <w:color w:val="auto"/>
        </w:rPr>
        <w:t>”、“</w:t>
      </w:r>
      <w:r>
        <w:rPr>
          <w:rFonts w:hint="eastAsia" w:ascii="仿宋" w:hAnsi="仿宋" w:eastAsia="仿宋" w:cs="仿宋"/>
          <w:color w:val="auto"/>
        </w:rPr>
        <w:t>负偏离</w:t>
      </w:r>
      <w:r>
        <w:rPr>
          <w:rFonts w:hint="eastAsia" w:ascii="仿宋" w:hAnsi="仿宋" w:eastAsia="仿宋" w:cs="仿宋"/>
          <w:b w:val="0"/>
          <w:bCs w:val="0"/>
          <w:color w:val="auto"/>
        </w:rPr>
        <w:t>”或者“</w:t>
      </w:r>
      <w:r>
        <w:rPr>
          <w:rFonts w:hint="eastAsia" w:ascii="仿宋" w:hAnsi="仿宋" w:eastAsia="仿宋" w:cs="仿宋"/>
          <w:color w:val="auto"/>
        </w:rPr>
        <w:t>无偏离</w:t>
      </w:r>
      <w:r>
        <w:rPr>
          <w:rFonts w:hint="eastAsia" w:ascii="仿宋" w:hAnsi="仿宋" w:eastAsia="仿宋" w:cs="仿宋"/>
          <w:b w:val="0"/>
          <w:bCs w:val="0"/>
          <w:color w:val="auto"/>
        </w:rPr>
        <w:t>”。既不属于“</w:t>
      </w:r>
      <w:r>
        <w:rPr>
          <w:rFonts w:hint="eastAsia" w:ascii="仿宋" w:hAnsi="仿宋" w:eastAsia="仿宋" w:cs="仿宋"/>
          <w:color w:val="auto"/>
        </w:rPr>
        <w:t>正偏离</w:t>
      </w:r>
      <w:r>
        <w:rPr>
          <w:rFonts w:hint="eastAsia" w:ascii="仿宋" w:hAnsi="仿宋" w:eastAsia="仿宋" w:cs="仿宋"/>
          <w:b w:val="0"/>
          <w:bCs w:val="0"/>
          <w:color w:val="auto"/>
        </w:rPr>
        <w:t>”也不属于“</w:t>
      </w:r>
      <w:r>
        <w:rPr>
          <w:rFonts w:hint="eastAsia" w:ascii="仿宋" w:hAnsi="仿宋" w:eastAsia="仿宋" w:cs="仿宋"/>
          <w:color w:val="auto"/>
        </w:rPr>
        <w:t>负偏离</w:t>
      </w:r>
      <w:r>
        <w:rPr>
          <w:rFonts w:hint="eastAsia" w:ascii="仿宋" w:hAnsi="仿宋" w:eastAsia="仿宋" w:cs="仿宋"/>
          <w:b w:val="0"/>
          <w:bCs w:val="0"/>
          <w:color w:val="auto"/>
        </w:rPr>
        <w:t>”即为“</w:t>
      </w:r>
      <w:r>
        <w:rPr>
          <w:rFonts w:hint="eastAsia" w:ascii="仿宋" w:hAnsi="仿宋" w:eastAsia="仿宋" w:cs="仿宋"/>
          <w:color w:val="auto"/>
        </w:rPr>
        <w:t>无偏离</w:t>
      </w:r>
      <w:r>
        <w:rPr>
          <w:rFonts w:hint="eastAsia" w:ascii="仿宋" w:hAnsi="仿宋" w:eastAsia="仿宋" w:cs="仿宋"/>
          <w:b w:val="0"/>
          <w:bCs w:val="0"/>
          <w:color w:val="auto"/>
        </w:rPr>
        <w:t>”。</w:t>
      </w:r>
    </w:p>
    <w:p w14:paraId="1C3CE1CA">
      <w:pPr>
        <w:pStyle w:val="17"/>
        <w:spacing w:line="360" w:lineRule="auto"/>
        <w:contextualSpacing/>
        <w:rPr>
          <w:rFonts w:hint="eastAsia" w:ascii="仿宋" w:hAnsi="仿宋" w:eastAsia="仿宋" w:cs="仿宋"/>
          <w:b w:val="0"/>
          <w:bCs w:val="0"/>
          <w:color w:val="auto"/>
        </w:rPr>
      </w:pPr>
    </w:p>
    <w:p w14:paraId="66AECDE9">
      <w:pPr>
        <w:snapToGrid w:val="0"/>
        <w:spacing w:before="50" w:after="50" w:line="360" w:lineRule="auto"/>
        <w:rPr>
          <w:rFonts w:hint="eastAsia" w:ascii="仿宋" w:hAnsi="仿宋" w:eastAsia="仿宋" w:cs="仿宋"/>
          <w:color w:val="auto"/>
          <w:spacing w:val="20"/>
          <w:sz w:val="24"/>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5B1E4114">
      <w:pPr>
        <w:snapToGrid w:val="0"/>
        <w:spacing w:before="50" w:after="50" w:line="360" w:lineRule="auto"/>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日 期：</w:t>
      </w:r>
      <w:r>
        <w:rPr>
          <w:rFonts w:hint="eastAsia" w:ascii="仿宋" w:hAnsi="仿宋" w:eastAsia="仿宋" w:cs="仿宋"/>
          <w:color w:val="auto"/>
          <w:spacing w:val="20"/>
          <w:sz w:val="24"/>
          <w:u w:val="single"/>
        </w:rPr>
        <w:t xml:space="preserve">        </w:t>
      </w:r>
    </w:p>
    <w:p w14:paraId="32B38983">
      <w:pPr>
        <w:snapToGrid w:val="0"/>
        <w:spacing w:before="50" w:after="50" w:line="360" w:lineRule="auto"/>
        <w:rPr>
          <w:rFonts w:hint="eastAsia" w:ascii="仿宋" w:hAnsi="仿宋" w:eastAsia="仿宋" w:cs="仿宋"/>
          <w:color w:val="auto"/>
          <w:sz w:val="24"/>
          <w:szCs w:val="20"/>
        </w:rPr>
      </w:pPr>
    </w:p>
    <w:p w14:paraId="71BDE61B">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4.设备性能配置清单</w:t>
      </w:r>
    </w:p>
    <w:p w14:paraId="262FE885">
      <w:pPr>
        <w:snapToGrid w:val="0"/>
        <w:spacing w:before="120" w:beforeLines="50" w:after="50"/>
        <w:ind w:left="142"/>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货物性能配置清单</w:t>
      </w:r>
    </w:p>
    <w:p w14:paraId="446AD502">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所投分标：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分标</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1380"/>
        <w:gridCol w:w="1220"/>
        <w:gridCol w:w="1302"/>
        <w:gridCol w:w="982"/>
        <w:gridCol w:w="1127"/>
        <w:gridCol w:w="1180"/>
      </w:tblGrid>
      <w:tr w14:paraId="44937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DF5E06">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4CA225D9">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货物品名</w:t>
            </w:r>
          </w:p>
        </w:tc>
        <w:tc>
          <w:tcPr>
            <w:tcW w:w="1220" w:type="dxa"/>
            <w:tcBorders>
              <w:top w:val="single" w:color="auto" w:sz="4" w:space="0"/>
              <w:left w:val="single" w:color="auto" w:sz="4" w:space="0"/>
              <w:bottom w:val="single" w:color="auto" w:sz="4" w:space="0"/>
              <w:right w:val="single" w:color="auto" w:sz="4" w:space="0"/>
            </w:tcBorders>
            <w:vAlign w:val="center"/>
          </w:tcPr>
          <w:p w14:paraId="06A925B2">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302" w:type="dxa"/>
            <w:tcBorders>
              <w:top w:val="single" w:color="auto" w:sz="4" w:space="0"/>
              <w:left w:val="single" w:color="auto" w:sz="4" w:space="0"/>
              <w:bottom w:val="single" w:color="auto" w:sz="4" w:space="0"/>
              <w:right w:val="single" w:color="auto" w:sz="4" w:space="0"/>
            </w:tcBorders>
            <w:vAlign w:val="center"/>
          </w:tcPr>
          <w:p w14:paraId="275DA496">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计量单位</w:t>
            </w:r>
          </w:p>
        </w:tc>
        <w:tc>
          <w:tcPr>
            <w:tcW w:w="982" w:type="dxa"/>
            <w:tcBorders>
              <w:top w:val="single" w:color="auto" w:sz="4" w:space="0"/>
              <w:left w:val="single" w:color="auto" w:sz="4" w:space="0"/>
              <w:bottom w:val="single" w:color="auto" w:sz="4" w:space="0"/>
              <w:right w:val="single" w:color="auto" w:sz="4" w:space="0"/>
            </w:tcBorders>
            <w:vAlign w:val="center"/>
          </w:tcPr>
          <w:p w14:paraId="1997CD88">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品牌</w:t>
            </w:r>
          </w:p>
        </w:tc>
        <w:tc>
          <w:tcPr>
            <w:tcW w:w="1127" w:type="dxa"/>
            <w:tcBorders>
              <w:top w:val="single" w:color="auto" w:sz="4" w:space="0"/>
              <w:left w:val="single" w:color="auto" w:sz="4" w:space="0"/>
              <w:bottom w:val="single" w:color="auto" w:sz="4" w:space="0"/>
              <w:right w:val="single" w:color="auto" w:sz="4" w:space="0"/>
            </w:tcBorders>
            <w:vAlign w:val="center"/>
          </w:tcPr>
          <w:p w14:paraId="3F8DB49F">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制造商</w:t>
            </w:r>
          </w:p>
        </w:tc>
        <w:tc>
          <w:tcPr>
            <w:tcW w:w="1180" w:type="dxa"/>
            <w:tcBorders>
              <w:top w:val="single" w:color="auto" w:sz="4" w:space="0"/>
              <w:left w:val="single" w:color="auto" w:sz="4" w:space="0"/>
              <w:bottom w:val="single" w:color="auto" w:sz="4" w:space="0"/>
              <w:right w:val="single" w:color="auto" w:sz="4" w:space="0"/>
            </w:tcBorders>
            <w:vAlign w:val="center"/>
          </w:tcPr>
          <w:p w14:paraId="6A222D98">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原产地</w:t>
            </w:r>
          </w:p>
        </w:tc>
      </w:tr>
      <w:tr w14:paraId="39880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58573F4">
            <w:pPr>
              <w:snapToGrid w:val="0"/>
              <w:spacing w:before="50" w:after="50"/>
              <w:jc w:val="center"/>
              <w:rPr>
                <w:rFonts w:hint="eastAsia" w:ascii="仿宋" w:hAnsi="仿宋" w:eastAsia="仿宋" w:cs="仿宋"/>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533E6D8">
            <w:pPr>
              <w:snapToGrid w:val="0"/>
              <w:spacing w:before="50" w:after="50"/>
              <w:jc w:val="center"/>
              <w:rPr>
                <w:rFonts w:hint="eastAsia" w:ascii="仿宋" w:hAnsi="仿宋" w:eastAsia="仿宋" w:cs="仿宋"/>
                <w:color w:val="auto"/>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7742E007">
            <w:pPr>
              <w:snapToGrid w:val="0"/>
              <w:spacing w:before="50" w:after="50"/>
              <w:jc w:val="center"/>
              <w:rPr>
                <w:rFonts w:hint="eastAsia" w:ascii="仿宋" w:hAnsi="仿宋" w:eastAsia="仿宋" w:cs="仿宋"/>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752EAB4D">
            <w:pPr>
              <w:snapToGrid w:val="0"/>
              <w:spacing w:before="50" w:after="50"/>
              <w:jc w:val="center"/>
              <w:rPr>
                <w:rFonts w:hint="eastAsia" w:ascii="仿宋" w:hAnsi="仿宋" w:eastAsia="仿宋" w:cs="仿宋"/>
                <w:color w:val="auto"/>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78F808C7">
            <w:pPr>
              <w:snapToGrid w:val="0"/>
              <w:spacing w:before="50" w:after="50"/>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vAlign w:val="center"/>
          </w:tcPr>
          <w:p w14:paraId="4E792E96">
            <w:pPr>
              <w:snapToGrid w:val="0"/>
              <w:spacing w:before="50" w:after="50"/>
              <w:jc w:val="center"/>
              <w:rPr>
                <w:rFonts w:hint="eastAsia" w:ascii="仿宋" w:hAnsi="仿宋" w:eastAsia="仿宋" w:cs="仿宋"/>
                <w:color w:val="auto"/>
                <w:sz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492E628A">
            <w:pPr>
              <w:snapToGrid w:val="0"/>
              <w:spacing w:before="50" w:after="50"/>
              <w:jc w:val="center"/>
              <w:rPr>
                <w:rFonts w:hint="eastAsia" w:ascii="仿宋" w:hAnsi="仿宋" w:eastAsia="仿宋" w:cs="仿宋"/>
                <w:color w:val="auto"/>
                <w:sz w:val="24"/>
              </w:rPr>
            </w:pPr>
          </w:p>
        </w:tc>
      </w:tr>
      <w:tr w14:paraId="30FEB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7F135C6">
            <w:pPr>
              <w:snapToGrid w:val="0"/>
              <w:spacing w:before="50" w:after="50"/>
              <w:jc w:val="center"/>
              <w:rPr>
                <w:rFonts w:hint="eastAsia" w:ascii="仿宋" w:hAnsi="仿宋" w:eastAsia="仿宋" w:cs="仿宋"/>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4D90443C">
            <w:pPr>
              <w:snapToGrid w:val="0"/>
              <w:spacing w:before="50" w:after="50"/>
              <w:jc w:val="center"/>
              <w:rPr>
                <w:rFonts w:hint="eastAsia" w:ascii="仿宋" w:hAnsi="仿宋" w:eastAsia="仿宋" w:cs="仿宋"/>
                <w:color w:val="auto"/>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5E7FE547">
            <w:pPr>
              <w:snapToGrid w:val="0"/>
              <w:spacing w:before="50" w:after="50"/>
              <w:jc w:val="center"/>
              <w:rPr>
                <w:rFonts w:hint="eastAsia" w:ascii="仿宋" w:hAnsi="仿宋" w:eastAsia="仿宋" w:cs="仿宋"/>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08FC68BB">
            <w:pPr>
              <w:snapToGrid w:val="0"/>
              <w:spacing w:before="50" w:after="50"/>
              <w:jc w:val="center"/>
              <w:rPr>
                <w:rFonts w:hint="eastAsia" w:ascii="仿宋" w:hAnsi="仿宋" w:eastAsia="仿宋" w:cs="仿宋"/>
                <w:color w:val="auto"/>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1DCC0920">
            <w:pPr>
              <w:snapToGrid w:val="0"/>
              <w:spacing w:before="50" w:after="50"/>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vAlign w:val="center"/>
          </w:tcPr>
          <w:p w14:paraId="2D456885">
            <w:pPr>
              <w:snapToGrid w:val="0"/>
              <w:spacing w:before="50" w:after="50"/>
              <w:jc w:val="center"/>
              <w:rPr>
                <w:rFonts w:hint="eastAsia" w:ascii="仿宋" w:hAnsi="仿宋" w:eastAsia="仿宋" w:cs="仿宋"/>
                <w:color w:val="auto"/>
                <w:sz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41C2F398">
            <w:pPr>
              <w:snapToGrid w:val="0"/>
              <w:spacing w:before="50" w:after="50"/>
              <w:jc w:val="center"/>
              <w:rPr>
                <w:rFonts w:hint="eastAsia" w:ascii="仿宋" w:hAnsi="仿宋" w:eastAsia="仿宋" w:cs="仿宋"/>
                <w:color w:val="auto"/>
                <w:sz w:val="24"/>
              </w:rPr>
            </w:pPr>
          </w:p>
        </w:tc>
      </w:tr>
      <w:tr w14:paraId="7EDB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9D8A4D7">
            <w:pPr>
              <w:snapToGrid w:val="0"/>
              <w:spacing w:before="50" w:after="50"/>
              <w:jc w:val="center"/>
              <w:rPr>
                <w:rFonts w:hint="eastAsia" w:ascii="仿宋" w:hAnsi="仿宋" w:eastAsia="仿宋" w:cs="仿宋"/>
                <w:color w:val="auto"/>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C786461">
            <w:pPr>
              <w:snapToGrid w:val="0"/>
              <w:spacing w:before="50" w:after="50"/>
              <w:jc w:val="center"/>
              <w:rPr>
                <w:rFonts w:hint="eastAsia" w:ascii="仿宋" w:hAnsi="仿宋" w:eastAsia="仿宋" w:cs="仿宋"/>
                <w:color w:val="auto"/>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296325C">
            <w:pPr>
              <w:snapToGrid w:val="0"/>
              <w:spacing w:before="50" w:after="50"/>
              <w:jc w:val="center"/>
              <w:rPr>
                <w:rFonts w:hint="eastAsia" w:ascii="仿宋" w:hAnsi="仿宋" w:eastAsia="仿宋" w:cs="仿宋"/>
                <w:color w:val="auto"/>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2D6F8F5A">
            <w:pPr>
              <w:snapToGrid w:val="0"/>
              <w:spacing w:before="50" w:after="50"/>
              <w:jc w:val="center"/>
              <w:rPr>
                <w:rFonts w:hint="eastAsia" w:ascii="仿宋" w:hAnsi="仿宋" w:eastAsia="仿宋" w:cs="仿宋"/>
                <w:color w:val="auto"/>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2632FE09">
            <w:pPr>
              <w:snapToGrid w:val="0"/>
              <w:spacing w:before="50" w:after="50"/>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vAlign w:val="center"/>
          </w:tcPr>
          <w:p w14:paraId="339ADCAD">
            <w:pPr>
              <w:snapToGrid w:val="0"/>
              <w:spacing w:before="50" w:after="50"/>
              <w:jc w:val="center"/>
              <w:rPr>
                <w:rFonts w:hint="eastAsia" w:ascii="仿宋" w:hAnsi="仿宋" w:eastAsia="仿宋" w:cs="仿宋"/>
                <w:color w:val="auto"/>
                <w:sz w:val="24"/>
              </w:rPr>
            </w:pPr>
          </w:p>
        </w:tc>
        <w:tc>
          <w:tcPr>
            <w:tcW w:w="1180" w:type="dxa"/>
            <w:tcBorders>
              <w:top w:val="single" w:color="auto" w:sz="4" w:space="0"/>
              <w:left w:val="single" w:color="auto" w:sz="4" w:space="0"/>
              <w:bottom w:val="single" w:color="auto" w:sz="4" w:space="0"/>
              <w:right w:val="single" w:color="auto" w:sz="4" w:space="0"/>
            </w:tcBorders>
            <w:vAlign w:val="center"/>
          </w:tcPr>
          <w:p w14:paraId="0DF32018">
            <w:pPr>
              <w:snapToGrid w:val="0"/>
              <w:spacing w:before="50" w:after="50"/>
              <w:jc w:val="center"/>
              <w:rPr>
                <w:rFonts w:hint="eastAsia" w:ascii="仿宋" w:hAnsi="仿宋" w:eastAsia="仿宋" w:cs="仿宋"/>
                <w:color w:val="auto"/>
                <w:sz w:val="24"/>
              </w:rPr>
            </w:pPr>
          </w:p>
        </w:tc>
      </w:tr>
    </w:tbl>
    <w:p w14:paraId="70F81807">
      <w:pPr>
        <w:spacing w:line="360" w:lineRule="auto"/>
        <w:contextualSpacing/>
        <w:rPr>
          <w:rFonts w:hint="eastAsia" w:ascii="仿宋" w:hAnsi="仿宋" w:eastAsia="仿宋" w:cs="仿宋"/>
          <w:color w:val="auto"/>
          <w:sz w:val="24"/>
        </w:rPr>
      </w:pPr>
      <w:r>
        <w:rPr>
          <w:rFonts w:hint="eastAsia" w:ascii="仿宋" w:hAnsi="仿宋" w:eastAsia="仿宋" w:cs="仿宋"/>
          <w:color w:val="auto"/>
          <w:sz w:val="24"/>
        </w:rPr>
        <w:t>备注：</w:t>
      </w:r>
    </w:p>
    <w:p w14:paraId="09838D8F">
      <w:pPr>
        <w:spacing w:line="360" w:lineRule="auto"/>
        <w:ind w:firstLine="480" w:firstLineChars="200"/>
        <w:contextualSpacing/>
        <w:rPr>
          <w:rFonts w:hint="eastAsia" w:ascii="仿宋" w:hAnsi="仿宋" w:eastAsia="仿宋" w:cs="仿宋"/>
          <w:b/>
          <w:color w:val="auto"/>
          <w:sz w:val="24"/>
        </w:rPr>
      </w:pPr>
      <w:r>
        <w:rPr>
          <w:rFonts w:hint="eastAsia" w:ascii="仿宋" w:hAnsi="仿宋" w:eastAsia="仿宋" w:cs="仿宋"/>
          <w:color w:val="auto"/>
          <w:sz w:val="24"/>
        </w:rPr>
        <w:t>供应商请按拟投入的主要设备提供设备性能配置清单，设备性能配置清单中“货物名称、规格型号、计量单位、品牌、制造商、原产地”应如实填写完整，品牌没有则填无</w:t>
      </w:r>
      <w:r>
        <w:rPr>
          <w:rFonts w:hint="eastAsia" w:ascii="仿宋" w:hAnsi="仿宋" w:eastAsia="仿宋" w:cs="仿宋"/>
          <w:b/>
          <w:color w:val="auto"/>
          <w:sz w:val="24"/>
        </w:rPr>
        <w:t>。</w:t>
      </w:r>
    </w:p>
    <w:p w14:paraId="672C296C">
      <w:pPr>
        <w:spacing w:line="360" w:lineRule="auto"/>
        <w:ind w:firstLine="480" w:firstLineChars="200"/>
        <w:contextualSpacing/>
        <w:rPr>
          <w:rFonts w:hint="eastAsia" w:ascii="仿宋" w:hAnsi="仿宋" w:eastAsia="仿宋" w:cs="仿宋"/>
          <w:color w:val="auto"/>
          <w:sz w:val="24"/>
        </w:rPr>
      </w:pPr>
    </w:p>
    <w:p w14:paraId="160B1BA5">
      <w:pPr>
        <w:spacing w:line="360" w:lineRule="auto"/>
        <w:contextualSpacing/>
        <w:rPr>
          <w:rFonts w:hint="eastAsia" w:ascii="仿宋" w:hAnsi="仿宋" w:eastAsia="仿宋" w:cs="仿宋"/>
          <w:color w:val="auto"/>
          <w:spacing w:val="20"/>
          <w:sz w:val="24"/>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59E456F2">
      <w:pPr>
        <w:spacing w:line="360" w:lineRule="auto"/>
        <w:contextualSpacing/>
        <w:rPr>
          <w:rFonts w:hint="eastAsia" w:ascii="仿宋" w:hAnsi="仿宋" w:eastAsia="仿宋" w:cs="仿宋"/>
          <w:color w:val="auto"/>
          <w:sz w:val="24"/>
          <w:szCs w:val="20"/>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日 期：</w:t>
      </w:r>
      <w:r>
        <w:rPr>
          <w:rFonts w:hint="eastAsia" w:ascii="仿宋" w:hAnsi="仿宋" w:eastAsia="仿宋" w:cs="仿宋"/>
          <w:color w:val="auto"/>
          <w:spacing w:val="20"/>
          <w:sz w:val="24"/>
          <w:u w:val="single"/>
        </w:rPr>
        <w:t xml:space="preserve">     </w:t>
      </w:r>
    </w:p>
    <w:p w14:paraId="28E91C42">
      <w:pPr>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2CAF39FD">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t>5. 项目实施人员一览表格式</w:t>
      </w:r>
    </w:p>
    <w:p w14:paraId="595058C1">
      <w:pPr>
        <w:snapToGrid w:val="0"/>
        <w:spacing w:before="120" w:beforeLines="50" w:after="50"/>
        <w:ind w:left="142"/>
        <w:jc w:val="left"/>
        <w:rPr>
          <w:rFonts w:hint="eastAsia" w:ascii="仿宋" w:hAnsi="仿宋" w:eastAsia="仿宋" w:cs="仿宋"/>
          <w:b/>
          <w:color w:val="auto"/>
          <w:sz w:val="24"/>
        </w:rPr>
      </w:pPr>
    </w:p>
    <w:p w14:paraId="7A69C6A4">
      <w:pPr>
        <w:snapToGrid w:val="0"/>
        <w:spacing w:before="120" w:beforeLines="50" w:after="50"/>
        <w:ind w:left="142"/>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项目实施人员一览表</w:t>
      </w:r>
    </w:p>
    <w:p w14:paraId="46F67C50">
      <w:pPr>
        <w:pStyle w:val="25"/>
        <w:rPr>
          <w:rFonts w:hint="eastAsia" w:ascii="仿宋" w:hAnsi="仿宋" w:eastAsia="仿宋" w:cs="仿宋"/>
          <w:color w:val="auto"/>
          <w:sz w:val="24"/>
          <w:szCs w:val="24"/>
        </w:rPr>
      </w:pPr>
      <w:r>
        <w:rPr>
          <w:rFonts w:hint="eastAsia" w:ascii="仿宋" w:hAnsi="仿宋" w:eastAsia="仿宋" w:cs="仿宋"/>
          <w:color w:val="auto"/>
          <w:sz w:val="24"/>
          <w:szCs w:val="24"/>
        </w:rPr>
        <w:t>所投分标：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789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0BD0EA">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姓名</w:t>
            </w:r>
          </w:p>
        </w:tc>
        <w:tc>
          <w:tcPr>
            <w:tcW w:w="709" w:type="dxa"/>
            <w:vAlign w:val="center"/>
          </w:tcPr>
          <w:p w14:paraId="555AA8A1">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职务</w:t>
            </w:r>
          </w:p>
        </w:tc>
        <w:tc>
          <w:tcPr>
            <w:tcW w:w="1701" w:type="dxa"/>
            <w:vAlign w:val="center"/>
          </w:tcPr>
          <w:p w14:paraId="1203F9A4">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专业技术资格（职称）或者职业资格或者执业资格证或者其他证书</w:t>
            </w:r>
          </w:p>
        </w:tc>
        <w:tc>
          <w:tcPr>
            <w:tcW w:w="1420" w:type="dxa"/>
            <w:vAlign w:val="center"/>
          </w:tcPr>
          <w:p w14:paraId="3D8CB131">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证书编号</w:t>
            </w:r>
          </w:p>
        </w:tc>
        <w:tc>
          <w:tcPr>
            <w:tcW w:w="1698" w:type="dxa"/>
            <w:vAlign w:val="center"/>
          </w:tcPr>
          <w:p w14:paraId="59766982">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参加本单位</w:t>
            </w:r>
          </w:p>
          <w:p w14:paraId="2EBA8FB9">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工作时间</w:t>
            </w:r>
          </w:p>
        </w:tc>
        <w:tc>
          <w:tcPr>
            <w:tcW w:w="1843" w:type="dxa"/>
            <w:vAlign w:val="center"/>
          </w:tcPr>
          <w:p w14:paraId="46286A79">
            <w:pPr>
              <w:snapToGrid w:val="0"/>
              <w:spacing w:before="50" w:after="120" w:afterLines="50"/>
              <w:jc w:val="center"/>
              <w:rPr>
                <w:rFonts w:hint="eastAsia" w:ascii="仿宋" w:hAnsi="仿宋" w:eastAsia="仿宋" w:cs="仿宋"/>
                <w:color w:val="auto"/>
                <w:sz w:val="24"/>
                <w:szCs w:val="20"/>
              </w:rPr>
            </w:pPr>
            <w:r>
              <w:rPr>
                <w:rFonts w:hint="eastAsia" w:ascii="仿宋" w:hAnsi="仿宋" w:eastAsia="仿宋" w:cs="仿宋"/>
                <w:color w:val="auto"/>
                <w:sz w:val="24"/>
                <w:szCs w:val="20"/>
              </w:rPr>
              <w:t>劳动合同编号</w:t>
            </w:r>
          </w:p>
        </w:tc>
      </w:tr>
      <w:tr w14:paraId="4742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587089">
            <w:pPr>
              <w:snapToGrid w:val="0"/>
              <w:spacing w:before="50" w:after="120" w:afterLines="50"/>
              <w:jc w:val="center"/>
              <w:rPr>
                <w:rFonts w:hint="eastAsia" w:ascii="仿宋" w:hAnsi="仿宋" w:eastAsia="仿宋" w:cs="仿宋"/>
                <w:color w:val="auto"/>
                <w:sz w:val="24"/>
                <w:szCs w:val="20"/>
              </w:rPr>
            </w:pPr>
          </w:p>
        </w:tc>
        <w:tc>
          <w:tcPr>
            <w:tcW w:w="709" w:type="dxa"/>
            <w:vAlign w:val="center"/>
          </w:tcPr>
          <w:p w14:paraId="2BE1EF38">
            <w:pPr>
              <w:snapToGrid w:val="0"/>
              <w:spacing w:before="50" w:after="120" w:afterLines="50"/>
              <w:jc w:val="center"/>
              <w:rPr>
                <w:rFonts w:hint="eastAsia" w:ascii="仿宋" w:hAnsi="仿宋" w:eastAsia="仿宋" w:cs="仿宋"/>
                <w:color w:val="auto"/>
                <w:sz w:val="24"/>
                <w:szCs w:val="20"/>
              </w:rPr>
            </w:pPr>
          </w:p>
        </w:tc>
        <w:tc>
          <w:tcPr>
            <w:tcW w:w="1701" w:type="dxa"/>
            <w:vAlign w:val="center"/>
          </w:tcPr>
          <w:p w14:paraId="15A2FAB5">
            <w:pPr>
              <w:snapToGrid w:val="0"/>
              <w:spacing w:before="50" w:after="120" w:afterLines="50"/>
              <w:jc w:val="center"/>
              <w:rPr>
                <w:rFonts w:hint="eastAsia" w:ascii="仿宋" w:hAnsi="仿宋" w:eastAsia="仿宋" w:cs="仿宋"/>
                <w:color w:val="auto"/>
                <w:sz w:val="24"/>
                <w:szCs w:val="20"/>
              </w:rPr>
            </w:pPr>
          </w:p>
        </w:tc>
        <w:tc>
          <w:tcPr>
            <w:tcW w:w="1420" w:type="dxa"/>
            <w:vAlign w:val="center"/>
          </w:tcPr>
          <w:p w14:paraId="2878B08C">
            <w:pPr>
              <w:snapToGrid w:val="0"/>
              <w:spacing w:before="50" w:after="120" w:afterLines="50"/>
              <w:jc w:val="center"/>
              <w:rPr>
                <w:rFonts w:hint="eastAsia" w:ascii="仿宋" w:hAnsi="仿宋" w:eastAsia="仿宋" w:cs="仿宋"/>
                <w:color w:val="auto"/>
                <w:sz w:val="24"/>
                <w:szCs w:val="20"/>
              </w:rPr>
            </w:pPr>
          </w:p>
        </w:tc>
        <w:tc>
          <w:tcPr>
            <w:tcW w:w="1698" w:type="dxa"/>
            <w:vAlign w:val="center"/>
          </w:tcPr>
          <w:p w14:paraId="3919A694">
            <w:pPr>
              <w:snapToGrid w:val="0"/>
              <w:spacing w:before="50" w:after="120" w:afterLines="50"/>
              <w:jc w:val="center"/>
              <w:rPr>
                <w:rFonts w:hint="eastAsia" w:ascii="仿宋" w:hAnsi="仿宋" w:eastAsia="仿宋" w:cs="仿宋"/>
                <w:color w:val="auto"/>
                <w:sz w:val="24"/>
                <w:szCs w:val="20"/>
              </w:rPr>
            </w:pPr>
          </w:p>
        </w:tc>
        <w:tc>
          <w:tcPr>
            <w:tcW w:w="1843" w:type="dxa"/>
            <w:vAlign w:val="center"/>
          </w:tcPr>
          <w:p w14:paraId="28184CB1">
            <w:pPr>
              <w:snapToGrid w:val="0"/>
              <w:spacing w:before="50" w:after="120" w:afterLines="50"/>
              <w:jc w:val="center"/>
              <w:rPr>
                <w:rFonts w:hint="eastAsia" w:ascii="仿宋" w:hAnsi="仿宋" w:eastAsia="仿宋" w:cs="仿宋"/>
                <w:color w:val="auto"/>
                <w:sz w:val="24"/>
                <w:szCs w:val="20"/>
              </w:rPr>
            </w:pPr>
          </w:p>
        </w:tc>
      </w:tr>
      <w:tr w14:paraId="6C34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0CF995">
            <w:pPr>
              <w:snapToGrid w:val="0"/>
              <w:spacing w:before="50" w:after="120" w:afterLines="50"/>
              <w:jc w:val="center"/>
              <w:rPr>
                <w:rFonts w:hint="eastAsia" w:ascii="仿宋" w:hAnsi="仿宋" w:eastAsia="仿宋" w:cs="仿宋"/>
                <w:color w:val="auto"/>
                <w:sz w:val="24"/>
                <w:szCs w:val="20"/>
              </w:rPr>
            </w:pPr>
          </w:p>
        </w:tc>
        <w:tc>
          <w:tcPr>
            <w:tcW w:w="709" w:type="dxa"/>
            <w:vAlign w:val="center"/>
          </w:tcPr>
          <w:p w14:paraId="6BCFB77F">
            <w:pPr>
              <w:snapToGrid w:val="0"/>
              <w:spacing w:before="50" w:after="120" w:afterLines="50"/>
              <w:jc w:val="center"/>
              <w:rPr>
                <w:rFonts w:hint="eastAsia" w:ascii="仿宋" w:hAnsi="仿宋" w:eastAsia="仿宋" w:cs="仿宋"/>
                <w:color w:val="auto"/>
                <w:sz w:val="24"/>
                <w:szCs w:val="20"/>
              </w:rPr>
            </w:pPr>
          </w:p>
        </w:tc>
        <w:tc>
          <w:tcPr>
            <w:tcW w:w="1701" w:type="dxa"/>
            <w:vAlign w:val="center"/>
          </w:tcPr>
          <w:p w14:paraId="1ABF7268">
            <w:pPr>
              <w:snapToGrid w:val="0"/>
              <w:spacing w:before="50" w:after="120" w:afterLines="50"/>
              <w:jc w:val="center"/>
              <w:rPr>
                <w:rFonts w:hint="eastAsia" w:ascii="仿宋" w:hAnsi="仿宋" w:eastAsia="仿宋" w:cs="仿宋"/>
                <w:color w:val="auto"/>
                <w:sz w:val="24"/>
                <w:szCs w:val="20"/>
              </w:rPr>
            </w:pPr>
          </w:p>
        </w:tc>
        <w:tc>
          <w:tcPr>
            <w:tcW w:w="1420" w:type="dxa"/>
            <w:vAlign w:val="center"/>
          </w:tcPr>
          <w:p w14:paraId="3D94CF95">
            <w:pPr>
              <w:snapToGrid w:val="0"/>
              <w:spacing w:before="50" w:after="120" w:afterLines="50"/>
              <w:jc w:val="center"/>
              <w:rPr>
                <w:rFonts w:hint="eastAsia" w:ascii="仿宋" w:hAnsi="仿宋" w:eastAsia="仿宋" w:cs="仿宋"/>
                <w:color w:val="auto"/>
                <w:sz w:val="24"/>
                <w:szCs w:val="20"/>
              </w:rPr>
            </w:pPr>
          </w:p>
        </w:tc>
        <w:tc>
          <w:tcPr>
            <w:tcW w:w="1698" w:type="dxa"/>
            <w:vAlign w:val="center"/>
          </w:tcPr>
          <w:p w14:paraId="10EC4BC4">
            <w:pPr>
              <w:snapToGrid w:val="0"/>
              <w:spacing w:before="50" w:after="120" w:afterLines="50"/>
              <w:jc w:val="center"/>
              <w:rPr>
                <w:rFonts w:hint="eastAsia" w:ascii="仿宋" w:hAnsi="仿宋" w:eastAsia="仿宋" w:cs="仿宋"/>
                <w:color w:val="auto"/>
                <w:sz w:val="24"/>
                <w:szCs w:val="20"/>
              </w:rPr>
            </w:pPr>
          </w:p>
        </w:tc>
        <w:tc>
          <w:tcPr>
            <w:tcW w:w="1843" w:type="dxa"/>
            <w:vAlign w:val="center"/>
          </w:tcPr>
          <w:p w14:paraId="5423605D">
            <w:pPr>
              <w:snapToGrid w:val="0"/>
              <w:spacing w:before="50" w:after="120" w:afterLines="50"/>
              <w:jc w:val="center"/>
              <w:rPr>
                <w:rFonts w:hint="eastAsia" w:ascii="仿宋" w:hAnsi="仿宋" w:eastAsia="仿宋" w:cs="仿宋"/>
                <w:color w:val="auto"/>
                <w:sz w:val="24"/>
                <w:szCs w:val="20"/>
              </w:rPr>
            </w:pPr>
          </w:p>
        </w:tc>
      </w:tr>
      <w:tr w14:paraId="7A76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983710">
            <w:pPr>
              <w:snapToGrid w:val="0"/>
              <w:spacing w:before="50" w:after="120" w:afterLines="50"/>
              <w:jc w:val="center"/>
              <w:rPr>
                <w:rFonts w:hint="eastAsia" w:ascii="仿宋" w:hAnsi="仿宋" w:eastAsia="仿宋" w:cs="仿宋"/>
                <w:color w:val="auto"/>
                <w:sz w:val="24"/>
                <w:szCs w:val="20"/>
              </w:rPr>
            </w:pPr>
          </w:p>
        </w:tc>
        <w:tc>
          <w:tcPr>
            <w:tcW w:w="709" w:type="dxa"/>
            <w:vAlign w:val="center"/>
          </w:tcPr>
          <w:p w14:paraId="13852BD2">
            <w:pPr>
              <w:snapToGrid w:val="0"/>
              <w:spacing w:before="50" w:after="120" w:afterLines="50"/>
              <w:jc w:val="center"/>
              <w:rPr>
                <w:rFonts w:hint="eastAsia" w:ascii="仿宋" w:hAnsi="仿宋" w:eastAsia="仿宋" w:cs="仿宋"/>
                <w:color w:val="auto"/>
                <w:sz w:val="24"/>
                <w:szCs w:val="20"/>
              </w:rPr>
            </w:pPr>
          </w:p>
        </w:tc>
        <w:tc>
          <w:tcPr>
            <w:tcW w:w="1701" w:type="dxa"/>
            <w:vAlign w:val="center"/>
          </w:tcPr>
          <w:p w14:paraId="76EEC3F1">
            <w:pPr>
              <w:snapToGrid w:val="0"/>
              <w:spacing w:before="50" w:after="120" w:afterLines="50"/>
              <w:jc w:val="center"/>
              <w:rPr>
                <w:rFonts w:hint="eastAsia" w:ascii="仿宋" w:hAnsi="仿宋" w:eastAsia="仿宋" w:cs="仿宋"/>
                <w:color w:val="auto"/>
                <w:sz w:val="24"/>
                <w:szCs w:val="20"/>
              </w:rPr>
            </w:pPr>
          </w:p>
        </w:tc>
        <w:tc>
          <w:tcPr>
            <w:tcW w:w="1420" w:type="dxa"/>
            <w:vAlign w:val="center"/>
          </w:tcPr>
          <w:p w14:paraId="40DFFEA5">
            <w:pPr>
              <w:snapToGrid w:val="0"/>
              <w:spacing w:before="50" w:after="120" w:afterLines="50"/>
              <w:jc w:val="center"/>
              <w:rPr>
                <w:rFonts w:hint="eastAsia" w:ascii="仿宋" w:hAnsi="仿宋" w:eastAsia="仿宋" w:cs="仿宋"/>
                <w:color w:val="auto"/>
                <w:sz w:val="24"/>
                <w:szCs w:val="20"/>
              </w:rPr>
            </w:pPr>
          </w:p>
        </w:tc>
        <w:tc>
          <w:tcPr>
            <w:tcW w:w="1698" w:type="dxa"/>
            <w:vAlign w:val="center"/>
          </w:tcPr>
          <w:p w14:paraId="6C38D0C9">
            <w:pPr>
              <w:snapToGrid w:val="0"/>
              <w:spacing w:before="50" w:after="120" w:afterLines="50"/>
              <w:jc w:val="center"/>
              <w:rPr>
                <w:rFonts w:hint="eastAsia" w:ascii="仿宋" w:hAnsi="仿宋" w:eastAsia="仿宋" w:cs="仿宋"/>
                <w:color w:val="auto"/>
                <w:sz w:val="24"/>
                <w:szCs w:val="20"/>
              </w:rPr>
            </w:pPr>
          </w:p>
        </w:tc>
        <w:tc>
          <w:tcPr>
            <w:tcW w:w="1843" w:type="dxa"/>
            <w:vAlign w:val="center"/>
          </w:tcPr>
          <w:p w14:paraId="5AAEAED9">
            <w:pPr>
              <w:snapToGrid w:val="0"/>
              <w:spacing w:before="50" w:after="120" w:afterLines="50"/>
              <w:jc w:val="center"/>
              <w:rPr>
                <w:rFonts w:hint="eastAsia" w:ascii="仿宋" w:hAnsi="仿宋" w:eastAsia="仿宋" w:cs="仿宋"/>
                <w:color w:val="auto"/>
                <w:sz w:val="24"/>
                <w:szCs w:val="20"/>
              </w:rPr>
            </w:pPr>
          </w:p>
        </w:tc>
      </w:tr>
    </w:tbl>
    <w:p w14:paraId="3185E3EB">
      <w:pPr>
        <w:snapToGrid w:val="0"/>
        <w:spacing w:before="50" w:after="120" w:afterLines="50"/>
        <w:jc w:val="left"/>
        <w:rPr>
          <w:rFonts w:hint="eastAsia" w:ascii="仿宋" w:hAnsi="仿宋" w:eastAsia="仿宋" w:cs="仿宋"/>
          <w:color w:val="auto"/>
          <w:sz w:val="24"/>
          <w:szCs w:val="20"/>
        </w:rPr>
      </w:pPr>
    </w:p>
    <w:p w14:paraId="788572A1">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z w:val="24"/>
          <w:szCs w:val="20"/>
        </w:rPr>
        <w:t>注：</w:t>
      </w:r>
    </w:p>
    <w:p w14:paraId="328B7689">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z w:val="24"/>
          <w:szCs w:val="20"/>
        </w:rPr>
        <w:t>1.在填写时，如本表格不适合投标单位的实际情况，可根据本表格式自行制表填写。</w:t>
      </w:r>
    </w:p>
    <w:p w14:paraId="2B4F3CEA">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z w:val="24"/>
          <w:szCs w:val="20"/>
        </w:rPr>
        <w:t>2.投标人应当附本表所列证书的复印件并加盖投标人公章。</w:t>
      </w:r>
    </w:p>
    <w:p w14:paraId="19E09A01">
      <w:pPr>
        <w:spacing w:line="360" w:lineRule="auto"/>
        <w:contextualSpacing/>
        <w:rPr>
          <w:rFonts w:hint="eastAsia" w:ascii="仿宋" w:hAnsi="仿宋" w:eastAsia="仿宋" w:cs="仿宋"/>
          <w:color w:val="auto"/>
          <w:spacing w:val="20"/>
          <w:sz w:val="24"/>
          <w:szCs w:val="20"/>
          <w:u w:val="single"/>
        </w:rPr>
      </w:pPr>
      <w:r>
        <w:rPr>
          <w:rFonts w:hint="eastAsia" w:ascii="仿宋" w:hAnsi="仿宋" w:eastAsia="仿宋" w:cs="仿宋"/>
          <w:color w:val="auto"/>
          <w:sz w:val="24"/>
        </w:rPr>
        <w:t>法定代表人或者委托代理人</w:t>
      </w:r>
      <w:r>
        <w:rPr>
          <w:rFonts w:hint="eastAsia" w:ascii="仿宋" w:hAnsi="仿宋" w:eastAsia="仿宋" w:cs="仿宋"/>
          <w:color w:val="auto"/>
          <w:spacing w:val="20"/>
          <w:sz w:val="24"/>
        </w:rPr>
        <w:t>（签字）：</w:t>
      </w:r>
      <w:r>
        <w:rPr>
          <w:rFonts w:hint="eastAsia" w:ascii="仿宋" w:hAnsi="仿宋" w:eastAsia="仿宋" w:cs="仿宋"/>
          <w:color w:val="auto"/>
          <w:spacing w:val="20"/>
          <w:sz w:val="24"/>
          <w:u w:val="single"/>
        </w:rPr>
        <w:t xml:space="preserve">        </w:t>
      </w:r>
    </w:p>
    <w:p w14:paraId="5880C64B">
      <w:pPr>
        <w:spacing w:line="360" w:lineRule="auto"/>
        <w:contextualSpacing/>
        <w:jc w:val="left"/>
        <w:rPr>
          <w:rFonts w:hint="eastAsia" w:ascii="仿宋" w:hAnsi="仿宋" w:eastAsia="仿宋" w:cs="仿宋"/>
          <w:color w:val="auto"/>
          <w:sz w:val="24"/>
          <w:szCs w:val="20"/>
        </w:rPr>
      </w:pPr>
      <w:r>
        <w:rPr>
          <w:rFonts w:hint="eastAsia" w:ascii="仿宋" w:hAnsi="仿宋" w:eastAsia="仿宋" w:cs="仿宋"/>
          <w:color w:val="auto"/>
          <w:spacing w:val="20"/>
          <w:sz w:val="24"/>
        </w:rPr>
        <w:t>投标人（盖公章）：</w:t>
      </w:r>
      <w:r>
        <w:rPr>
          <w:rFonts w:hint="eastAsia" w:ascii="仿宋" w:hAnsi="仿宋" w:eastAsia="仿宋" w:cs="仿宋"/>
          <w:color w:val="auto"/>
          <w:spacing w:val="20"/>
          <w:sz w:val="24"/>
          <w:u w:val="single"/>
        </w:rPr>
        <w:t xml:space="preserve">            </w:t>
      </w:r>
      <w:r>
        <w:rPr>
          <w:rFonts w:hint="eastAsia" w:ascii="仿宋" w:hAnsi="仿宋" w:eastAsia="仿宋" w:cs="仿宋"/>
          <w:color w:val="auto"/>
          <w:spacing w:val="20"/>
          <w:sz w:val="24"/>
        </w:rPr>
        <w:t xml:space="preserve">              日 期：</w:t>
      </w:r>
      <w:r>
        <w:rPr>
          <w:rFonts w:hint="eastAsia" w:ascii="仿宋" w:hAnsi="仿宋" w:eastAsia="仿宋" w:cs="仿宋"/>
          <w:color w:val="auto"/>
          <w:spacing w:val="20"/>
          <w:sz w:val="24"/>
          <w:u w:val="single"/>
        </w:rPr>
        <w:t xml:space="preserve">         </w:t>
      </w:r>
    </w:p>
    <w:p w14:paraId="5F441259">
      <w:pPr>
        <w:snapToGrid w:val="0"/>
        <w:spacing w:before="50" w:after="120" w:afterLines="50"/>
        <w:jc w:val="left"/>
        <w:rPr>
          <w:rFonts w:hint="eastAsia" w:ascii="仿宋" w:hAnsi="仿宋" w:eastAsia="仿宋" w:cs="仿宋"/>
          <w:color w:val="auto"/>
          <w:sz w:val="24"/>
          <w:szCs w:val="20"/>
        </w:rPr>
      </w:pPr>
    </w:p>
    <w:p w14:paraId="5180B7C6">
      <w:pPr>
        <w:snapToGrid w:val="0"/>
        <w:spacing w:before="120" w:beforeLines="50" w:after="50"/>
        <w:ind w:left="142"/>
        <w:jc w:val="left"/>
        <w:rPr>
          <w:rFonts w:hint="eastAsia" w:ascii="仿宋" w:hAnsi="仿宋" w:eastAsia="仿宋" w:cs="仿宋"/>
          <w:b/>
          <w:color w:val="auto"/>
          <w:sz w:val="28"/>
          <w:szCs w:val="28"/>
        </w:rPr>
      </w:pPr>
      <w:r>
        <w:rPr>
          <w:rFonts w:hint="eastAsia" w:ascii="仿宋" w:hAnsi="仿宋" w:eastAsia="仿宋" w:cs="仿宋"/>
          <w:b/>
          <w:color w:val="auto"/>
          <w:sz w:val="24"/>
        </w:rPr>
        <w:br w:type="page"/>
      </w:r>
      <w:r>
        <w:rPr>
          <w:rFonts w:hint="eastAsia" w:ascii="仿宋" w:hAnsi="仿宋" w:eastAsia="仿宋" w:cs="仿宋"/>
          <w:b/>
          <w:color w:val="auto"/>
          <w:sz w:val="28"/>
          <w:szCs w:val="28"/>
        </w:rPr>
        <w:t>五、其他文书、文件格式</w:t>
      </w:r>
    </w:p>
    <w:p w14:paraId="5216FFCB">
      <w:pPr>
        <w:snapToGrid w:val="0"/>
        <w:spacing w:before="120" w:beforeLines="50" w:after="50"/>
        <w:ind w:left="142"/>
        <w:jc w:val="left"/>
        <w:rPr>
          <w:rFonts w:hint="eastAsia" w:ascii="仿宋" w:hAnsi="仿宋" w:eastAsia="仿宋" w:cs="仿宋"/>
          <w:b/>
          <w:color w:val="auto"/>
          <w:spacing w:val="20"/>
          <w:sz w:val="24"/>
        </w:rPr>
      </w:pPr>
      <w:r>
        <w:rPr>
          <w:rFonts w:hint="eastAsia" w:ascii="仿宋" w:hAnsi="仿宋" w:eastAsia="仿宋" w:cs="仿宋"/>
          <w:b/>
          <w:color w:val="auto"/>
          <w:spacing w:val="20"/>
          <w:sz w:val="24"/>
        </w:rPr>
        <w:t>1.联合投标协议书格式</w:t>
      </w:r>
    </w:p>
    <w:p w14:paraId="575FF8EB">
      <w:pPr>
        <w:snapToGrid w:val="0"/>
        <w:spacing w:before="120" w:beforeLines="50" w:after="50"/>
        <w:ind w:left="142"/>
        <w:jc w:val="left"/>
        <w:rPr>
          <w:rFonts w:hint="eastAsia" w:ascii="仿宋" w:hAnsi="仿宋" w:eastAsia="仿宋" w:cs="仿宋"/>
          <w:b/>
          <w:color w:val="auto"/>
          <w:spacing w:val="20"/>
          <w:sz w:val="24"/>
        </w:rPr>
      </w:pPr>
    </w:p>
    <w:p w14:paraId="17DD37F9">
      <w:pPr>
        <w:pStyle w:val="6"/>
        <w:overflowPunct w:val="0"/>
        <w:ind w:firstLine="0"/>
        <w:jc w:val="center"/>
        <w:rPr>
          <w:rFonts w:hint="eastAsia" w:ascii="仿宋" w:hAnsi="仿宋" w:eastAsia="仿宋" w:cs="仿宋"/>
          <w:color w:val="auto"/>
          <w:sz w:val="44"/>
          <w:szCs w:val="44"/>
        </w:rPr>
      </w:pPr>
      <w:r>
        <w:rPr>
          <w:rFonts w:hint="eastAsia" w:ascii="仿宋" w:hAnsi="仿宋" w:eastAsia="仿宋" w:cs="仿宋"/>
          <w:color w:val="auto"/>
          <w:sz w:val="44"/>
          <w:szCs w:val="44"/>
        </w:rPr>
        <w:t>联合体协议书</w:t>
      </w:r>
    </w:p>
    <w:p w14:paraId="1CB914D0">
      <w:pPr>
        <w:pStyle w:val="6"/>
        <w:overflowPunct w:val="0"/>
        <w:rPr>
          <w:rFonts w:hint="eastAsia" w:ascii="仿宋" w:hAnsi="仿宋" w:eastAsia="仿宋" w:cs="仿宋"/>
          <w:color w:val="auto"/>
          <w:sz w:val="24"/>
        </w:rPr>
      </w:pPr>
    </w:p>
    <w:p w14:paraId="036042BD">
      <w:pPr>
        <w:pStyle w:val="6"/>
        <w:overflowPunct w:val="0"/>
        <w:spacing w:line="360" w:lineRule="auto"/>
        <w:contextualSpacing/>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（所有成员单位名称）自愿组成</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（联合体名称）联合体，共同参加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（项</w:t>
      </w:r>
      <w:r>
        <w:rPr>
          <w:rFonts w:hint="eastAsia" w:ascii="仿宋" w:hAnsi="仿宋" w:eastAsia="仿宋" w:cs="仿宋"/>
          <w:color w:val="auto"/>
          <w:sz w:val="24"/>
        </w:rPr>
        <w:t>目名称）采购招标项目投标。现就联合体投标事宜订立如下协议。</w:t>
      </w:r>
    </w:p>
    <w:p w14:paraId="1EECF19A">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（某成员单位名称）为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（联合体名称）牵头人。</w:t>
      </w:r>
    </w:p>
    <w:p w14:paraId="02FD697B">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4EC4409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14:paraId="59EDCCF3">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4.联合体各成员单位内部的职责分工如下：</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14:paraId="12DC61B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5.本协议书自所有成员单位法定代表人或者其委托代理人签字或者盖公章之日起生效，合同履行完毕后自动失效。</w:t>
      </w:r>
    </w:p>
    <w:p w14:paraId="2B9C8DDB">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6.本协议书一式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份，联合体成员和招标人各执一份。</w:t>
      </w:r>
    </w:p>
    <w:p w14:paraId="2FFADA22">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注：本协议书由法定代表人签字的，应附法定代表人身份证明；由委托代理人签字的，应附授权委托书。</w:t>
      </w:r>
    </w:p>
    <w:p w14:paraId="458F2072">
      <w:pPr>
        <w:pStyle w:val="6"/>
        <w:overflowPunct w:val="0"/>
        <w:spacing w:line="360" w:lineRule="auto"/>
        <w:ind w:firstLineChars="175"/>
        <w:contextualSpacing/>
        <w:rPr>
          <w:rFonts w:hint="eastAsia" w:ascii="仿宋" w:hAnsi="仿宋" w:eastAsia="仿宋" w:cs="仿宋"/>
          <w:color w:val="auto"/>
          <w:sz w:val="24"/>
        </w:rPr>
      </w:pPr>
    </w:p>
    <w:p w14:paraId="1EDC83F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联合体牵头人名称（盖公章）：</w:t>
      </w:r>
    </w:p>
    <w:p w14:paraId="0CBE75D1">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 xml:space="preserve">法定代表人或者其委托代理人： </w:t>
      </w:r>
      <w:r>
        <w:rPr>
          <w:rFonts w:hint="eastAsia" w:ascii="仿宋" w:hAnsi="仿宋" w:eastAsia="仿宋" w:cs="仿宋"/>
          <w:color w:val="auto"/>
          <w:sz w:val="24"/>
        </w:rPr>
        <w:tab/>
      </w:r>
      <w:r>
        <w:rPr>
          <w:rFonts w:hint="eastAsia" w:ascii="仿宋" w:hAnsi="仿宋" w:eastAsia="仿宋" w:cs="仿宋"/>
          <w:color w:val="auto"/>
          <w:sz w:val="24"/>
        </w:rPr>
        <w:t>（签字）</w:t>
      </w:r>
    </w:p>
    <w:p w14:paraId="01BA8E6C">
      <w:pPr>
        <w:pStyle w:val="6"/>
        <w:overflowPunct w:val="0"/>
        <w:spacing w:line="360" w:lineRule="auto"/>
        <w:ind w:firstLineChars="175"/>
        <w:contextualSpacing/>
        <w:rPr>
          <w:rFonts w:hint="eastAsia" w:ascii="仿宋" w:hAnsi="仿宋" w:eastAsia="仿宋" w:cs="仿宋"/>
          <w:color w:val="auto"/>
          <w:sz w:val="24"/>
        </w:rPr>
      </w:pPr>
    </w:p>
    <w:p w14:paraId="6CF68140">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联合体成员名称（盖公章）：</w:t>
      </w:r>
    </w:p>
    <w:p w14:paraId="47C9610C">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 xml:space="preserve">法定代表人或者其委托代理人： </w:t>
      </w:r>
      <w:r>
        <w:rPr>
          <w:rFonts w:hint="eastAsia" w:ascii="仿宋" w:hAnsi="仿宋" w:eastAsia="仿宋" w:cs="仿宋"/>
          <w:color w:val="auto"/>
          <w:sz w:val="24"/>
        </w:rPr>
        <w:tab/>
      </w:r>
      <w:r>
        <w:rPr>
          <w:rFonts w:hint="eastAsia" w:ascii="仿宋" w:hAnsi="仿宋" w:eastAsia="仿宋" w:cs="仿宋"/>
          <w:color w:val="auto"/>
          <w:sz w:val="24"/>
        </w:rPr>
        <w:t>（签字）</w:t>
      </w:r>
    </w:p>
    <w:p w14:paraId="139CF064">
      <w:pPr>
        <w:pStyle w:val="6"/>
        <w:overflowPunct w:val="0"/>
        <w:spacing w:line="360" w:lineRule="auto"/>
        <w:ind w:firstLineChars="175"/>
        <w:contextualSpacing/>
        <w:rPr>
          <w:rFonts w:hint="eastAsia" w:ascii="仿宋" w:hAnsi="仿宋" w:eastAsia="仿宋" w:cs="仿宋"/>
          <w:color w:val="auto"/>
          <w:sz w:val="24"/>
        </w:rPr>
      </w:pPr>
      <w:r>
        <w:rPr>
          <w:rFonts w:hint="eastAsia" w:ascii="仿宋" w:hAnsi="仿宋" w:eastAsia="仿宋" w:cs="仿宋"/>
          <w:color w:val="auto"/>
          <w:sz w:val="24"/>
        </w:rPr>
        <w:t>……</w:t>
      </w:r>
    </w:p>
    <w:p w14:paraId="06BED671">
      <w:pPr>
        <w:pStyle w:val="6"/>
        <w:overflowPunct w:val="0"/>
        <w:spacing w:line="360" w:lineRule="auto"/>
        <w:ind w:firstLineChars="175"/>
        <w:contextualSpacing/>
        <w:rPr>
          <w:rFonts w:hint="eastAsia" w:ascii="仿宋" w:hAnsi="仿宋" w:eastAsia="仿宋" w:cs="仿宋"/>
          <w:color w:val="auto"/>
          <w:sz w:val="24"/>
        </w:rPr>
      </w:pPr>
    </w:p>
    <w:p w14:paraId="623563AC">
      <w:pPr>
        <w:pStyle w:val="6"/>
        <w:overflowPunct w:val="0"/>
        <w:spacing w:line="360" w:lineRule="auto"/>
        <w:ind w:firstLineChars="175"/>
        <w:contextualSpacing/>
        <w:jc w:val="right"/>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年 </w:t>
      </w:r>
      <w:r>
        <w:rPr>
          <w:rFonts w:hint="eastAsia" w:ascii="仿宋" w:hAnsi="仿宋" w:eastAsia="仿宋" w:cs="仿宋"/>
          <w:color w:val="auto"/>
          <w:sz w:val="24"/>
        </w:rPr>
        <w:tab/>
      </w:r>
      <w:r>
        <w:rPr>
          <w:rFonts w:hint="eastAsia" w:ascii="仿宋" w:hAnsi="仿宋" w:eastAsia="仿宋" w:cs="仿宋"/>
          <w:color w:val="auto"/>
          <w:sz w:val="24"/>
        </w:rPr>
        <w:t xml:space="preserve">月 </w:t>
      </w:r>
      <w:r>
        <w:rPr>
          <w:rFonts w:hint="eastAsia" w:ascii="仿宋" w:hAnsi="仿宋" w:eastAsia="仿宋" w:cs="仿宋"/>
          <w:color w:val="auto"/>
          <w:sz w:val="24"/>
        </w:rPr>
        <w:tab/>
      </w:r>
      <w:r>
        <w:rPr>
          <w:rFonts w:hint="eastAsia" w:ascii="仿宋" w:hAnsi="仿宋" w:eastAsia="仿宋" w:cs="仿宋"/>
          <w:color w:val="auto"/>
          <w:sz w:val="24"/>
        </w:rPr>
        <w:t>日</w:t>
      </w:r>
    </w:p>
    <w:p w14:paraId="353DA749">
      <w:pPr>
        <w:snapToGrid w:val="0"/>
        <w:spacing w:before="120" w:beforeLines="50" w:after="50"/>
        <w:jc w:val="left"/>
        <w:rPr>
          <w:rFonts w:hint="eastAsia" w:ascii="仿宋" w:hAnsi="仿宋" w:eastAsia="仿宋" w:cs="仿宋"/>
          <w:color w:val="auto"/>
        </w:rPr>
      </w:pPr>
      <w:r>
        <w:rPr>
          <w:rFonts w:hint="eastAsia" w:ascii="仿宋" w:hAnsi="仿宋" w:eastAsia="仿宋" w:cs="仿宋"/>
          <w:b/>
          <w:color w:val="auto"/>
          <w:sz w:val="24"/>
        </w:rPr>
        <w:t xml:space="preserve"> 2.中小企业声明函格式</w:t>
      </w:r>
    </w:p>
    <w:p w14:paraId="19476148">
      <w:pPr>
        <w:rPr>
          <w:rFonts w:hint="eastAsia" w:ascii="仿宋" w:hAnsi="仿宋" w:eastAsia="仿宋" w:cs="仿宋"/>
          <w:color w:val="auto"/>
        </w:rPr>
      </w:pPr>
    </w:p>
    <w:p w14:paraId="626BBEC0">
      <w:pPr>
        <w:jc w:val="center"/>
        <w:rPr>
          <w:rFonts w:hint="eastAsia" w:ascii="仿宋" w:hAnsi="仿宋" w:eastAsia="仿宋" w:cs="仿宋"/>
          <w:color w:val="auto"/>
          <w:sz w:val="44"/>
          <w:szCs w:val="44"/>
        </w:rPr>
      </w:pPr>
      <w:r>
        <w:rPr>
          <w:rFonts w:hint="eastAsia" w:ascii="仿宋" w:hAnsi="仿宋" w:eastAsia="仿宋" w:cs="仿宋"/>
          <w:color w:val="auto"/>
          <w:sz w:val="44"/>
          <w:szCs w:val="44"/>
        </w:rPr>
        <w:t>中小企业声明函（服务）</w:t>
      </w:r>
    </w:p>
    <w:p w14:paraId="5A81C369">
      <w:pPr>
        <w:spacing w:before="2" w:line="500" w:lineRule="exact"/>
        <w:rPr>
          <w:rFonts w:hint="eastAsia" w:ascii="仿宋" w:hAnsi="仿宋" w:eastAsia="仿宋" w:cs="仿宋"/>
          <w:b/>
          <w:bCs/>
          <w:color w:val="auto"/>
          <w:sz w:val="27"/>
          <w:szCs w:val="27"/>
        </w:rPr>
      </w:pPr>
    </w:p>
    <w:p w14:paraId="3F32700E">
      <w:pPr>
        <w:pStyle w:val="18"/>
        <w:spacing w:line="360" w:lineRule="auto"/>
        <w:ind w:left="-426" w:leftChars="-203" w:right="142" w:firstLine="480" w:firstLineChars="200"/>
        <w:contextualSpacing/>
        <w:rPr>
          <w:rFonts w:hint="eastAsia" w:ascii="仿宋" w:hAnsi="仿宋" w:eastAsia="仿宋" w:cs="仿宋"/>
          <w:color w:val="auto"/>
          <w:kern w:val="24"/>
        </w:rPr>
      </w:pPr>
      <w:r>
        <w:rPr>
          <w:rFonts w:hint="eastAsia" w:ascii="仿宋" w:hAnsi="仿宋" w:eastAsia="仿宋" w:cs="仿宋"/>
          <w:color w:val="auto"/>
        </w:rPr>
        <w:t>本公司（联合体）郑重声明，根据《政府采购促进中小企业发展管理办法》（财库﹝2020﹞46号）的规定，本公司（联合体）参加</w:t>
      </w:r>
      <w:r>
        <w:rPr>
          <w:rFonts w:hint="eastAsia" w:ascii="仿宋" w:hAnsi="仿宋" w:eastAsia="仿宋" w:cs="仿宋"/>
          <w:color w:val="auto"/>
          <w:u w:val="single"/>
        </w:rPr>
        <w:t>（单位名称）</w:t>
      </w:r>
      <w:r>
        <w:rPr>
          <w:rFonts w:hint="eastAsia" w:ascii="仿宋" w:hAnsi="仿宋" w:eastAsia="仿宋" w:cs="仿宋"/>
          <w:color w:val="auto"/>
        </w:rPr>
        <w:t>的</w:t>
      </w:r>
      <w:r>
        <w:rPr>
          <w:rFonts w:hint="eastAsia" w:ascii="仿宋" w:hAnsi="仿宋" w:eastAsia="仿宋" w:cs="仿宋"/>
          <w:color w:val="auto"/>
          <w:u w:val="single"/>
        </w:rPr>
        <w:t>（项目名称）</w:t>
      </w:r>
      <w:r>
        <w:rPr>
          <w:rFonts w:hint="eastAsia" w:ascii="仿宋" w:hAnsi="仿宋" w:eastAsia="仿宋" w:cs="仿宋"/>
          <w:color w:val="auto"/>
        </w:rPr>
        <w:t>采购活动，服务全部由符合政策要求的中小企业承接。相关企业（含联合体中的中小企业、签订分包意向协议的中小企业）的具体情况如下：</w:t>
      </w:r>
    </w:p>
    <w:p w14:paraId="0D01ABEB">
      <w:pPr>
        <w:tabs>
          <w:tab w:val="left" w:pos="1384"/>
          <w:tab w:val="left" w:pos="4562"/>
          <w:tab w:val="left" w:pos="6803"/>
        </w:tabs>
        <w:spacing w:line="360" w:lineRule="auto"/>
        <w:ind w:left="-426" w:right="-58" w:firstLine="655"/>
        <w:contextualSpacing/>
        <w:rPr>
          <w:rFonts w:hint="eastAsia" w:ascii="仿宋" w:hAnsi="仿宋" w:eastAsia="仿宋" w:cs="仿宋"/>
          <w:color w:val="auto"/>
          <w:kern w:val="24"/>
          <w:sz w:val="24"/>
        </w:rPr>
      </w:pPr>
      <w:r>
        <w:rPr>
          <w:rFonts w:hint="eastAsia" w:ascii="仿宋" w:hAnsi="仿宋" w:eastAsia="仿宋" w:cs="仿宋"/>
          <w:color w:val="auto"/>
          <w:kern w:val="24"/>
          <w:sz w:val="24"/>
        </w:rPr>
        <w:t>1.</w:t>
      </w:r>
      <w:r>
        <w:rPr>
          <w:rFonts w:hint="eastAsia" w:ascii="仿宋" w:hAnsi="仿宋" w:eastAsia="仿宋" w:cs="仿宋"/>
          <w:color w:val="auto"/>
          <w:kern w:val="24"/>
          <w:sz w:val="24"/>
          <w:u w:val="single"/>
        </w:rPr>
        <w:t>（标的名称）</w:t>
      </w:r>
      <w:r>
        <w:rPr>
          <w:rFonts w:hint="eastAsia" w:ascii="仿宋" w:hAnsi="仿宋" w:eastAsia="仿宋" w:cs="仿宋"/>
          <w:color w:val="auto"/>
          <w:kern w:val="24"/>
          <w:sz w:val="24"/>
        </w:rPr>
        <w:t>，属于</w:t>
      </w:r>
      <w:r>
        <w:rPr>
          <w:rFonts w:hint="eastAsia" w:ascii="仿宋" w:hAnsi="仿宋" w:eastAsia="仿宋" w:cs="仿宋"/>
          <w:color w:val="auto"/>
          <w:kern w:val="24"/>
          <w:sz w:val="24"/>
          <w:u w:val="single"/>
        </w:rPr>
        <w:t>（其他未列明行业）</w:t>
      </w:r>
      <w:r>
        <w:rPr>
          <w:rFonts w:hint="eastAsia" w:ascii="仿宋" w:hAnsi="仿宋" w:eastAsia="仿宋" w:cs="仿宋"/>
          <w:color w:val="auto"/>
          <w:kern w:val="24"/>
          <w:sz w:val="24"/>
        </w:rPr>
        <w:t>行业；承接企业为</w:t>
      </w:r>
      <w:r>
        <w:rPr>
          <w:rFonts w:hint="eastAsia" w:ascii="仿宋" w:hAnsi="仿宋" w:eastAsia="仿宋" w:cs="仿宋"/>
          <w:color w:val="auto"/>
          <w:kern w:val="24"/>
          <w:sz w:val="24"/>
          <w:u w:val="single"/>
        </w:rPr>
        <w:t>（企业名称）</w:t>
      </w:r>
      <w:r>
        <w:rPr>
          <w:rFonts w:hint="eastAsia" w:ascii="仿宋" w:hAnsi="仿宋" w:eastAsia="仿宋" w:cs="仿宋"/>
          <w:color w:val="auto"/>
          <w:kern w:val="24"/>
          <w:sz w:val="24"/>
        </w:rPr>
        <w:t>，从业人员</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人，营业收入为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万元，资产总额为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万元，属于</w:t>
      </w:r>
      <w:r>
        <w:rPr>
          <w:rFonts w:hint="eastAsia" w:ascii="仿宋" w:hAnsi="仿宋" w:eastAsia="仿宋" w:cs="仿宋"/>
          <w:color w:val="auto"/>
          <w:kern w:val="24"/>
          <w:sz w:val="24"/>
          <w:u w:val="single"/>
        </w:rPr>
        <w:t>（中型企业、小型企业、微型企业）</w:t>
      </w:r>
      <w:r>
        <w:rPr>
          <w:rFonts w:hint="eastAsia" w:ascii="仿宋" w:hAnsi="仿宋" w:eastAsia="仿宋" w:cs="仿宋"/>
          <w:color w:val="auto"/>
          <w:kern w:val="24"/>
          <w:sz w:val="24"/>
        </w:rPr>
        <w:t>；</w:t>
      </w:r>
    </w:p>
    <w:p w14:paraId="142D2041">
      <w:pPr>
        <w:tabs>
          <w:tab w:val="left" w:pos="1065"/>
          <w:tab w:val="left" w:pos="6477"/>
        </w:tabs>
        <w:spacing w:line="360" w:lineRule="auto"/>
        <w:ind w:left="-426" w:right="-58" w:firstLine="655"/>
        <w:contextualSpacing/>
        <w:rPr>
          <w:rFonts w:hint="eastAsia" w:ascii="仿宋" w:hAnsi="仿宋" w:eastAsia="仿宋" w:cs="仿宋"/>
          <w:color w:val="auto"/>
          <w:kern w:val="24"/>
          <w:sz w:val="24"/>
        </w:rPr>
      </w:pPr>
      <w:r>
        <w:rPr>
          <w:rFonts w:hint="eastAsia" w:ascii="仿宋" w:hAnsi="仿宋" w:eastAsia="仿宋" w:cs="仿宋"/>
          <w:color w:val="auto"/>
          <w:kern w:val="24"/>
          <w:sz w:val="24"/>
        </w:rPr>
        <w:t>2.</w:t>
      </w:r>
      <w:r>
        <w:rPr>
          <w:rFonts w:hint="eastAsia" w:ascii="仿宋" w:hAnsi="仿宋" w:eastAsia="仿宋" w:cs="仿宋"/>
          <w:color w:val="auto"/>
          <w:kern w:val="24"/>
          <w:sz w:val="24"/>
          <w:u w:val="single"/>
        </w:rPr>
        <w:t>（标的名称）</w:t>
      </w:r>
      <w:r>
        <w:rPr>
          <w:rFonts w:hint="eastAsia" w:ascii="仿宋" w:hAnsi="仿宋" w:eastAsia="仿宋" w:cs="仿宋"/>
          <w:color w:val="auto"/>
          <w:kern w:val="24"/>
          <w:sz w:val="24"/>
        </w:rPr>
        <w:t>，属于</w:t>
      </w:r>
      <w:r>
        <w:rPr>
          <w:rFonts w:hint="eastAsia" w:ascii="仿宋" w:hAnsi="仿宋" w:eastAsia="仿宋" w:cs="仿宋"/>
          <w:color w:val="auto"/>
          <w:kern w:val="24"/>
          <w:sz w:val="24"/>
          <w:u w:val="single"/>
        </w:rPr>
        <w:t>（采购文件中明确的所属行业）</w:t>
      </w:r>
      <w:r>
        <w:rPr>
          <w:rFonts w:hint="eastAsia" w:ascii="仿宋" w:hAnsi="仿宋" w:eastAsia="仿宋" w:cs="仿宋"/>
          <w:color w:val="auto"/>
          <w:kern w:val="24"/>
          <w:sz w:val="24"/>
        </w:rPr>
        <w:t>行业；承接企业为</w:t>
      </w:r>
      <w:r>
        <w:rPr>
          <w:rFonts w:hint="eastAsia" w:ascii="仿宋" w:hAnsi="仿宋" w:eastAsia="仿宋" w:cs="仿宋"/>
          <w:color w:val="auto"/>
          <w:kern w:val="24"/>
          <w:sz w:val="24"/>
          <w:u w:val="single"/>
        </w:rPr>
        <w:t>（企业名称）</w:t>
      </w:r>
      <w:r>
        <w:rPr>
          <w:rFonts w:hint="eastAsia" w:ascii="仿宋" w:hAnsi="仿宋" w:eastAsia="仿宋" w:cs="仿宋"/>
          <w:color w:val="auto"/>
          <w:kern w:val="24"/>
          <w:sz w:val="24"/>
        </w:rPr>
        <w:t>，从业人员</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人，营业收入为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万元，资产总额为</w:t>
      </w:r>
      <w:r>
        <w:rPr>
          <w:rFonts w:hint="eastAsia" w:ascii="仿宋" w:hAnsi="仿宋" w:eastAsia="仿宋" w:cs="仿宋"/>
          <w:color w:val="auto"/>
          <w:kern w:val="24"/>
          <w:sz w:val="24"/>
          <w:u w:val="single"/>
        </w:rPr>
        <w:t xml:space="preserve">      </w:t>
      </w:r>
      <w:r>
        <w:rPr>
          <w:rFonts w:hint="eastAsia" w:ascii="仿宋" w:hAnsi="仿宋" w:eastAsia="仿宋" w:cs="仿宋"/>
          <w:color w:val="auto"/>
          <w:kern w:val="24"/>
          <w:sz w:val="24"/>
        </w:rPr>
        <w:t>万元，属于</w:t>
      </w:r>
      <w:r>
        <w:rPr>
          <w:rFonts w:hint="eastAsia" w:ascii="仿宋" w:hAnsi="仿宋" w:eastAsia="仿宋" w:cs="仿宋"/>
          <w:color w:val="auto"/>
          <w:kern w:val="24"/>
          <w:sz w:val="24"/>
          <w:u w:val="single"/>
        </w:rPr>
        <w:t>（中型企业、小型企业、微型企业）</w:t>
      </w:r>
      <w:r>
        <w:rPr>
          <w:rFonts w:hint="eastAsia" w:ascii="仿宋" w:hAnsi="仿宋" w:eastAsia="仿宋" w:cs="仿宋"/>
          <w:color w:val="auto"/>
          <w:kern w:val="24"/>
          <w:sz w:val="24"/>
        </w:rPr>
        <w:t>；</w:t>
      </w:r>
    </w:p>
    <w:p w14:paraId="223B14D6">
      <w:pPr>
        <w:pStyle w:val="18"/>
        <w:spacing w:line="360" w:lineRule="auto"/>
        <w:ind w:left="142" w:right="142"/>
        <w:contextualSpacing/>
        <w:rPr>
          <w:rFonts w:hint="eastAsia" w:ascii="仿宋" w:hAnsi="仿宋" w:eastAsia="仿宋" w:cs="仿宋"/>
          <w:color w:val="auto"/>
          <w:kern w:val="24"/>
        </w:rPr>
      </w:pPr>
      <w:r>
        <w:rPr>
          <w:rFonts w:hint="eastAsia" w:ascii="仿宋" w:hAnsi="仿宋" w:eastAsia="仿宋" w:cs="仿宋"/>
          <w:color w:val="auto"/>
          <w:kern w:val="24"/>
        </w:rPr>
        <w:t xml:space="preserve">…… </w:t>
      </w:r>
    </w:p>
    <w:p w14:paraId="4F9B2A8F">
      <w:pPr>
        <w:pStyle w:val="18"/>
        <w:spacing w:line="360" w:lineRule="auto"/>
        <w:ind w:left="-405" w:leftChars="-193" w:right="142" w:firstLine="453" w:firstLineChars="189"/>
        <w:contextualSpacing/>
        <w:rPr>
          <w:rFonts w:hint="eastAsia" w:ascii="仿宋" w:hAnsi="仿宋" w:eastAsia="仿宋" w:cs="仿宋"/>
          <w:color w:val="auto"/>
          <w:kern w:val="24"/>
        </w:rPr>
      </w:pPr>
      <w:r>
        <w:rPr>
          <w:rFonts w:hint="eastAsia" w:ascii="仿宋" w:hAnsi="仿宋" w:eastAsia="仿宋" w:cs="仿宋"/>
          <w:color w:val="auto"/>
          <w:kern w:val="24"/>
        </w:rPr>
        <w:t>以上企业，不属于大企业的分支机构，不存在控股股东为大企业的情形，也不存在与大企业的负责人为同一人的情形。</w:t>
      </w:r>
    </w:p>
    <w:p w14:paraId="0EBCA178">
      <w:pPr>
        <w:pStyle w:val="18"/>
        <w:spacing w:line="360" w:lineRule="auto"/>
        <w:ind w:left="-426" w:right="142" w:firstLine="567"/>
        <w:contextualSpacing/>
        <w:rPr>
          <w:rFonts w:hint="eastAsia" w:ascii="仿宋" w:hAnsi="仿宋" w:eastAsia="仿宋" w:cs="仿宋"/>
          <w:color w:val="auto"/>
          <w:kern w:val="24"/>
        </w:rPr>
      </w:pPr>
      <w:r>
        <w:rPr>
          <w:rFonts w:hint="eastAsia" w:ascii="仿宋" w:hAnsi="仿宋" w:eastAsia="仿宋" w:cs="仿宋"/>
          <w:color w:val="auto"/>
          <w:kern w:val="24"/>
        </w:rPr>
        <w:t>本企业对上述声明内容的真实性负责。如有虚假，将依法承担相应责任。</w:t>
      </w:r>
    </w:p>
    <w:p w14:paraId="758B332F">
      <w:pPr>
        <w:pStyle w:val="18"/>
        <w:spacing w:line="360" w:lineRule="auto"/>
        <w:ind w:left="3960" w:right="1808"/>
        <w:contextualSpacing/>
        <w:rPr>
          <w:rFonts w:hint="eastAsia" w:ascii="仿宋" w:hAnsi="仿宋" w:eastAsia="仿宋" w:cs="仿宋"/>
          <w:color w:val="auto"/>
          <w:kern w:val="24"/>
        </w:rPr>
      </w:pPr>
    </w:p>
    <w:p w14:paraId="783793EC">
      <w:pPr>
        <w:pStyle w:val="18"/>
        <w:spacing w:line="360" w:lineRule="auto"/>
        <w:ind w:left="3960" w:right="1808"/>
        <w:contextualSpacing/>
        <w:rPr>
          <w:rFonts w:hint="eastAsia" w:ascii="仿宋" w:hAnsi="仿宋" w:eastAsia="仿宋" w:cs="仿宋"/>
          <w:color w:val="auto"/>
          <w:kern w:val="24"/>
        </w:rPr>
      </w:pPr>
      <w:r>
        <w:rPr>
          <w:rFonts w:hint="eastAsia" w:ascii="仿宋" w:hAnsi="仿宋" w:eastAsia="仿宋" w:cs="仿宋"/>
          <w:color w:val="auto"/>
          <w:kern w:val="24"/>
        </w:rPr>
        <w:t xml:space="preserve">企业名称（章）： </w:t>
      </w:r>
    </w:p>
    <w:p w14:paraId="0732BCB3">
      <w:pPr>
        <w:pStyle w:val="18"/>
        <w:spacing w:line="360" w:lineRule="auto"/>
        <w:ind w:left="3960" w:right="1808"/>
        <w:contextualSpacing/>
        <w:rPr>
          <w:rFonts w:hint="eastAsia" w:ascii="仿宋" w:hAnsi="仿宋" w:eastAsia="仿宋" w:cs="仿宋"/>
          <w:color w:val="auto"/>
          <w:kern w:val="24"/>
        </w:rPr>
      </w:pPr>
      <w:r>
        <w:rPr>
          <w:rFonts w:hint="eastAsia" w:ascii="仿宋" w:hAnsi="仿宋" w:eastAsia="仿宋" w:cs="仿宋"/>
          <w:color w:val="auto"/>
          <w:kern w:val="24"/>
        </w:rPr>
        <w:t>日 期：</w:t>
      </w:r>
    </w:p>
    <w:p w14:paraId="407DCB29">
      <w:pPr>
        <w:pStyle w:val="18"/>
        <w:spacing w:line="360" w:lineRule="auto"/>
        <w:ind w:left="3960" w:right="1808"/>
        <w:contextualSpacing/>
        <w:rPr>
          <w:rFonts w:hint="eastAsia" w:ascii="仿宋" w:hAnsi="仿宋" w:eastAsia="仿宋" w:cs="仿宋"/>
          <w:color w:val="auto"/>
          <w:kern w:val="24"/>
        </w:rPr>
      </w:pPr>
    </w:p>
    <w:p w14:paraId="34E7BD36">
      <w:pPr>
        <w:pStyle w:val="18"/>
        <w:spacing w:line="360" w:lineRule="auto"/>
        <w:ind w:left="3960" w:right="1808"/>
        <w:contextualSpacing/>
        <w:rPr>
          <w:rFonts w:hint="eastAsia" w:ascii="仿宋" w:hAnsi="仿宋" w:eastAsia="仿宋" w:cs="仿宋"/>
          <w:color w:val="auto"/>
          <w:kern w:val="24"/>
        </w:rPr>
      </w:pPr>
    </w:p>
    <w:p w14:paraId="395287E0">
      <w:pPr>
        <w:pStyle w:val="18"/>
        <w:spacing w:line="360" w:lineRule="auto"/>
        <w:ind w:left="-426" w:right="142" w:firstLine="567"/>
        <w:contextualSpacing/>
        <w:rPr>
          <w:rFonts w:hint="eastAsia" w:ascii="仿宋" w:hAnsi="仿宋" w:eastAsia="仿宋" w:cs="仿宋"/>
          <w:color w:val="auto"/>
          <w:kern w:val="24"/>
        </w:rPr>
      </w:pPr>
      <w:r>
        <w:rPr>
          <w:rFonts w:hint="eastAsia" w:ascii="仿宋" w:hAnsi="仿宋" w:eastAsia="仿宋" w:cs="仿宋"/>
          <w:color w:val="auto"/>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E336C40">
      <w:pPr>
        <w:snapToGrid w:val="0"/>
        <w:spacing w:before="120" w:beforeLines="50" w:after="50"/>
        <w:ind w:left="142"/>
        <w:jc w:val="left"/>
        <w:rPr>
          <w:rFonts w:hint="eastAsia" w:ascii="仿宋" w:hAnsi="仿宋" w:eastAsia="仿宋" w:cs="仿宋"/>
          <w:b/>
          <w:color w:val="auto"/>
          <w:sz w:val="24"/>
        </w:rPr>
      </w:pPr>
    </w:p>
    <w:p w14:paraId="05CC9EDB">
      <w:pPr>
        <w:pStyle w:val="25"/>
        <w:jc w:val="left"/>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附：</w:t>
      </w:r>
    </w:p>
    <w:p w14:paraId="15F6F59A">
      <w:pPr>
        <w:jc w:val="center"/>
        <w:rPr>
          <w:rFonts w:hint="eastAsia" w:ascii="仿宋" w:hAnsi="仿宋" w:eastAsia="仿宋" w:cs="仿宋"/>
          <w:color w:val="auto"/>
          <w:sz w:val="44"/>
          <w:szCs w:val="44"/>
        </w:rPr>
      </w:pPr>
      <w:r>
        <w:rPr>
          <w:rFonts w:hint="eastAsia" w:ascii="仿宋" w:hAnsi="仿宋" w:eastAsia="仿宋" w:cs="仿宋"/>
          <w:color w:val="auto"/>
          <w:sz w:val="44"/>
          <w:szCs w:val="44"/>
        </w:rPr>
        <w:t>中小微企业划型标准</w:t>
      </w:r>
    </w:p>
    <w:p w14:paraId="3E38D7B5">
      <w:pPr>
        <w:ind w:left="1871"/>
        <w:rPr>
          <w:rFonts w:hint="eastAsia" w:ascii="仿宋" w:hAnsi="仿宋" w:eastAsia="仿宋" w:cs="仿宋"/>
          <w:color w:val="auto"/>
          <w:szCs w:val="21"/>
        </w:rPr>
      </w:pPr>
    </w:p>
    <w:tbl>
      <w:tblPr>
        <w:tblStyle w:val="47"/>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4CF57E52">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25B80E87">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2112075E">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4BB16F13">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70FF0224">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020221E8">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26DB7A74">
            <w:pPr>
              <w:widowControl/>
              <w:jc w:val="left"/>
              <w:rPr>
                <w:rFonts w:hint="eastAsia" w:ascii="仿宋" w:hAnsi="仿宋" w:eastAsia="仿宋" w:cs="仿宋"/>
                <w:b/>
                <w:color w:val="auto"/>
                <w:kern w:val="0"/>
                <w:sz w:val="24"/>
              </w:rPr>
            </w:pPr>
            <w:r>
              <w:rPr>
                <w:rFonts w:hint="eastAsia" w:ascii="仿宋" w:hAnsi="仿宋" w:eastAsia="仿宋" w:cs="仿宋"/>
                <w:b/>
                <w:color w:val="auto"/>
                <w:kern w:val="0"/>
                <w:sz w:val="24"/>
              </w:rPr>
              <w:t>微型</w:t>
            </w:r>
          </w:p>
        </w:tc>
      </w:tr>
      <w:tr w14:paraId="6C17798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0FBF9E4">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5DAE5B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4E99B9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1019B3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05AC2D6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39577B0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w:t>
            </w:r>
          </w:p>
        </w:tc>
      </w:tr>
      <w:tr w14:paraId="5FFDEA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9D5262">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3D6E51A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C3EEAD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4C3903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7D809FF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4A84B4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7E20A3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2ADA72">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60B186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2B45B8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C28D6D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35C5B1F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7C48563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Y＜300</w:t>
            </w:r>
          </w:p>
        </w:tc>
      </w:tr>
      <w:tr w14:paraId="510077F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22855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586341E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2E37A0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BCD533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2EFDEB0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5E2F208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Y＜300</w:t>
            </w:r>
          </w:p>
        </w:tc>
      </w:tr>
      <w:tr w14:paraId="7C751F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084303">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9FF879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6B02240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C2C9E1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66B8F2A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6042C46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Z＜300</w:t>
            </w:r>
          </w:p>
        </w:tc>
      </w:tr>
      <w:tr w14:paraId="01B077F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44A004F">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15FA945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91AA06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D89845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3FA6B20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5≤X＜20</w:t>
            </w:r>
          </w:p>
        </w:tc>
        <w:tc>
          <w:tcPr>
            <w:tcW w:w="925" w:type="dxa"/>
            <w:tcBorders>
              <w:top w:val="nil"/>
              <w:left w:val="nil"/>
              <w:bottom w:val="single" w:color="auto" w:sz="4" w:space="0"/>
              <w:right w:val="single" w:color="auto" w:sz="4" w:space="0"/>
            </w:tcBorders>
            <w:vAlign w:val="center"/>
          </w:tcPr>
          <w:p w14:paraId="7909A29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X＜5</w:t>
            </w:r>
          </w:p>
        </w:tc>
      </w:tr>
      <w:tr w14:paraId="7DC9D69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9F62BCB">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3FB036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FBDA20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8FD3E0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0640A26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78A219E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Y＜1000</w:t>
            </w:r>
          </w:p>
        </w:tc>
      </w:tr>
      <w:tr w14:paraId="78DA11F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33A46E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2DBFFDD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979F1B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63B577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7D985E5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10≤X＜50</w:t>
            </w:r>
          </w:p>
        </w:tc>
        <w:tc>
          <w:tcPr>
            <w:tcW w:w="925" w:type="dxa"/>
            <w:tcBorders>
              <w:top w:val="nil"/>
              <w:left w:val="nil"/>
              <w:bottom w:val="single" w:color="auto" w:sz="4" w:space="0"/>
              <w:right w:val="single" w:color="auto" w:sz="4" w:space="0"/>
            </w:tcBorders>
            <w:vAlign w:val="center"/>
          </w:tcPr>
          <w:p w14:paraId="5967A96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50EBC9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EFB96C">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7A940C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326ABE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D9E34D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195E914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5BF7EA7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1B63D07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938DAA">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37AE733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A86271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4796B88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7C321A0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291EBDC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506EC86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F413627">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3C7569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152230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7163ED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2B74ED8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3FCA56C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Y＜200</w:t>
            </w:r>
          </w:p>
        </w:tc>
      </w:tr>
      <w:tr w14:paraId="2995CA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0A4020">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354AF46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78DDE2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3890E28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2950074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7E33F04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62D0365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887FAD">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99704B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19D87E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3744AA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1F61451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71A5057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4875C5D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8C2A98F">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0EEFC4F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F65094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0221F42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6BA09D0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0BB561C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14:paraId="2CDCC2A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934D207">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A6A447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49D14E9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DC1BE8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0CB6B3D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81EB39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252363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C248B36">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10FD6AD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4F873E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A8233F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600F56A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477D188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08F917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9A6C816">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E56D8C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4C6E32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D05CE2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2C2665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06DDE07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7EF04C3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708C899">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070469A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F55FDD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30F8EB1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85FA9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68E6F27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19163EC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A7DDE6">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9F8A23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272D8E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AF85BC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04E6BCA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22E07C8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39E1F6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5733C2D">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30D842B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38370E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148FC17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69FCA60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1C7B1BB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4F616FF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CA8EC4C">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77DF37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5F18CC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EB337E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3C74E2A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6B26ED1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1FFC8F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810C844">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66DFD6B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43DB1B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3DD7243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194A24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E21566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6DD4193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719FDE3">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B2DC5E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60D2F7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2E2C34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3069FC2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6CFAD54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w:t>
            </w:r>
          </w:p>
        </w:tc>
      </w:tr>
      <w:tr w14:paraId="765E3E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CD7734B">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06F063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E4F7E6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AB1BF7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100BF88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364B007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X＜100</w:t>
            </w:r>
          </w:p>
        </w:tc>
      </w:tr>
      <w:tr w14:paraId="2A4EE68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892BF8E">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0CB68B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267C8B1F">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2F1F3EA">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67270EB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606C002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Y＜2000</w:t>
            </w:r>
          </w:p>
        </w:tc>
      </w:tr>
      <w:tr w14:paraId="69D582A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FEECDBE">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7757BFC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C65E3C6">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6BE02E1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12544E3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4749808D">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X＜100</w:t>
            </w:r>
          </w:p>
        </w:tc>
      </w:tr>
      <w:tr w14:paraId="1E9F4ED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F01396C">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D04C36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AC8C76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3962F0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6397085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3428DC7C">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Y＜500</w:t>
            </w:r>
          </w:p>
        </w:tc>
      </w:tr>
      <w:tr w14:paraId="24FF3E9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09FBCF5">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B20E7B5">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865E96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28B764B1">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1E9E9918">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4563E970">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14:paraId="356C015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F11C71A">
            <w:pPr>
              <w:widowControl/>
              <w:jc w:val="left"/>
              <w:rPr>
                <w:rFonts w:hint="eastAsia" w:ascii="仿宋" w:hAnsi="仿宋" w:eastAsia="仿宋" w:cs="仿宋"/>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81027E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3ED6D142">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226A7BE">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2FFE0AE7">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3FF5027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14:paraId="4E827C4F">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B7D5C34">
            <w:pPr>
              <w:widowControl/>
              <w:jc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346DD5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0A5C053">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620" w:type="dxa"/>
            <w:tcBorders>
              <w:top w:val="nil"/>
              <w:left w:val="nil"/>
              <w:bottom w:val="single" w:color="auto" w:sz="4" w:space="0"/>
              <w:right w:val="single" w:color="auto" w:sz="4" w:space="0"/>
            </w:tcBorders>
            <w:vAlign w:val="center"/>
          </w:tcPr>
          <w:p w14:paraId="61CFFDB4">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344BC29">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7EF3153B">
            <w:pPr>
              <w:widowControl/>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bl>
    <w:p w14:paraId="7EE7C7A0">
      <w:pPr>
        <w:spacing w:line="360" w:lineRule="auto"/>
        <w:ind w:firstLine="525" w:firstLineChars="250"/>
        <w:rPr>
          <w:rFonts w:hint="eastAsia" w:ascii="仿宋" w:hAnsi="仿宋" w:eastAsia="仿宋" w:cs="仿宋"/>
          <w:color w:val="auto"/>
          <w:szCs w:val="21"/>
        </w:rPr>
      </w:pPr>
    </w:p>
    <w:p w14:paraId="1CE238AB">
      <w:pPr>
        <w:spacing w:line="360" w:lineRule="auto"/>
        <w:ind w:firstLine="525" w:firstLineChars="250"/>
        <w:rPr>
          <w:rFonts w:hint="eastAsia" w:ascii="仿宋" w:hAnsi="仿宋" w:eastAsia="仿宋" w:cs="仿宋"/>
          <w:color w:val="auto"/>
          <w:szCs w:val="21"/>
        </w:rPr>
      </w:pPr>
      <w:r>
        <w:rPr>
          <w:rFonts w:hint="eastAsia" w:ascii="仿宋" w:hAnsi="仿宋" w:eastAsia="仿宋" w:cs="仿宋"/>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DA4AF32">
      <w:pPr>
        <w:snapToGrid w:val="0"/>
        <w:spacing w:before="120" w:beforeLines="50" w:after="50"/>
        <w:ind w:left="142"/>
        <w:jc w:val="left"/>
        <w:rPr>
          <w:rFonts w:hint="eastAsia" w:ascii="仿宋" w:hAnsi="仿宋" w:eastAsia="仿宋" w:cs="仿宋"/>
          <w:b/>
          <w:color w:val="auto"/>
          <w:sz w:val="24"/>
        </w:rPr>
      </w:pPr>
    </w:p>
    <w:p w14:paraId="21E1D80C">
      <w:pPr>
        <w:snapToGrid w:val="0"/>
        <w:spacing w:before="120" w:beforeLines="50" w:after="50"/>
        <w:ind w:left="142"/>
        <w:jc w:val="left"/>
        <w:rPr>
          <w:rFonts w:hint="eastAsia" w:ascii="仿宋" w:hAnsi="仿宋" w:eastAsia="仿宋" w:cs="仿宋"/>
          <w:b/>
          <w:color w:val="auto"/>
          <w:sz w:val="24"/>
        </w:rPr>
      </w:pPr>
    </w:p>
    <w:p w14:paraId="702A17C0">
      <w:pPr>
        <w:snapToGrid w:val="0"/>
        <w:spacing w:before="120" w:beforeLines="50" w:after="50"/>
        <w:ind w:left="142"/>
        <w:jc w:val="left"/>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sz w:val="24"/>
        </w:rPr>
        <w:t>3.残疾人福利性单位声明函格式</w:t>
      </w:r>
    </w:p>
    <w:p w14:paraId="19DE2753">
      <w:pPr>
        <w:spacing w:line="588" w:lineRule="exact"/>
        <w:jc w:val="center"/>
        <w:rPr>
          <w:rFonts w:hint="eastAsia" w:ascii="仿宋" w:hAnsi="仿宋" w:eastAsia="仿宋" w:cs="仿宋"/>
          <w:b/>
          <w:color w:val="auto"/>
          <w:spacing w:val="6"/>
          <w:sz w:val="32"/>
          <w:szCs w:val="32"/>
        </w:rPr>
      </w:pPr>
    </w:p>
    <w:p w14:paraId="7A975751">
      <w:pPr>
        <w:spacing w:line="588" w:lineRule="exact"/>
        <w:jc w:val="center"/>
        <w:rPr>
          <w:rFonts w:hint="eastAsia" w:ascii="仿宋" w:hAnsi="仿宋" w:eastAsia="仿宋" w:cs="仿宋"/>
          <w:bCs/>
          <w:color w:val="auto"/>
          <w:spacing w:val="6"/>
          <w:sz w:val="44"/>
          <w:szCs w:val="44"/>
        </w:rPr>
      </w:pPr>
      <w:r>
        <w:rPr>
          <w:rFonts w:hint="eastAsia" w:ascii="仿宋" w:hAnsi="仿宋" w:eastAsia="仿宋" w:cs="仿宋"/>
          <w:bCs/>
          <w:color w:val="auto"/>
          <w:spacing w:val="6"/>
          <w:sz w:val="44"/>
          <w:szCs w:val="44"/>
        </w:rPr>
        <w:t>残疾人福利性单位声明函</w:t>
      </w:r>
    </w:p>
    <w:p w14:paraId="1AFDB929">
      <w:pPr>
        <w:spacing w:line="360" w:lineRule="auto"/>
        <w:contextualSpacing/>
        <w:rPr>
          <w:rFonts w:hint="eastAsia" w:ascii="仿宋" w:hAnsi="仿宋" w:eastAsia="仿宋" w:cs="仿宋"/>
          <w:bCs/>
          <w:color w:val="auto"/>
          <w:spacing w:val="6"/>
          <w:sz w:val="30"/>
          <w:szCs w:val="30"/>
        </w:rPr>
      </w:pPr>
    </w:p>
    <w:p w14:paraId="12B521C1">
      <w:pPr>
        <w:spacing w:line="360" w:lineRule="auto"/>
        <w:ind w:firstLine="504" w:firstLineChars="200"/>
        <w:contextualSpacing/>
        <w:rPr>
          <w:rFonts w:hint="eastAsia"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color w:val="auto"/>
          <w:spacing w:val="-6"/>
          <w:sz w:val="24"/>
        </w:rPr>
        <w:t>疾人福利性单位制造的货物（不包括使用非残疾人福利性单位注册商标的货物）。</w:t>
      </w:r>
    </w:p>
    <w:p w14:paraId="49DCA402">
      <w:pPr>
        <w:spacing w:line="360" w:lineRule="auto"/>
        <w:ind w:firstLine="504" w:firstLineChars="200"/>
        <w:contextualSpacing/>
        <w:rPr>
          <w:rFonts w:hint="eastAsia"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14:paraId="308CB1BA">
      <w:pPr>
        <w:spacing w:line="360" w:lineRule="auto"/>
        <w:ind w:firstLine="504" w:firstLineChars="200"/>
        <w:contextualSpacing/>
        <w:rPr>
          <w:rFonts w:hint="eastAsia" w:ascii="仿宋" w:hAnsi="仿宋" w:eastAsia="仿宋" w:cs="仿宋"/>
          <w:color w:val="auto"/>
          <w:spacing w:val="6"/>
          <w:sz w:val="24"/>
        </w:rPr>
      </w:pPr>
    </w:p>
    <w:p w14:paraId="208AED9C">
      <w:pPr>
        <w:spacing w:line="360" w:lineRule="auto"/>
        <w:ind w:firstLine="504" w:firstLineChars="200"/>
        <w:contextualSpacing/>
        <w:rPr>
          <w:rFonts w:hint="eastAsia" w:ascii="仿宋" w:hAnsi="仿宋" w:eastAsia="仿宋" w:cs="仿宋"/>
          <w:color w:val="auto"/>
          <w:spacing w:val="6"/>
          <w:sz w:val="24"/>
        </w:rPr>
      </w:pPr>
    </w:p>
    <w:p w14:paraId="0CCA46A0">
      <w:pPr>
        <w:tabs>
          <w:tab w:val="left" w:pos="4860"/>
        </w:tabs>
        <w:spacing w:line="360" w:lineRule="auto"/>
        <w:ind w:right="1560" w:firstLine="504" w:firstLineChars="200"/>
        <w:contextualSpacing/>
        <w:jc w:val="center"/>
        <w:rPr>
          <w:rFonts w:hint="eastAsia" w:ascii="仿宋" w:hAnsi="仿宋" w:eastAsia="仿宋" w:cs="仿宋"/>
          <w:color w:val="auto"/>
          <w:spacing w:val="6"/>
          <w:sz w:val="24"/>
        </w:rPr>
      </w:pPr>
      <w:r>
        <w:rPr>
          <w:rFonts w:hint="eastAsia" w:ascii="仿宋" w:hAnsi="仿宋" w:eastAsia="仿宋" w:cs="仿宋"/>
          <w:color w:val="auto"/>
          <w:spacing w:val="6"/>
          <w:sz w:val="24"/>
        </w:rPr>
        <w:t>单位名称（盖公章）：</w:t>
      </w:r>
    </w:p>
    <w:p w14:paraId="47043081">
      <w:pPr>
        <w:tabs>
          <w:tab w:val="left" w:pos="4860"/>
        </w:tabs>
        <w:spacing w:line="360" w:lineRule="auto"/>
        <w:ind w:right="1560" w:firstLine="504" w:firstLineChars="200"/>
        <w:contextualSpacing/>
        <w:jc w:val="center"/>
        <w:rPr>
          <w:rFonts w:hint="eastAsia" w:ascii="仿宋" w:hAnsi="仿宋" w:eastAsia="仿宋" w:cs="仿宋"/>
          <w:color w:val="auto"/>
          <w:spacing w:val="6"/>
          <w:sz w:val="24"/>
        </w:rPr>
      </w:pPr>
      <w:r>
        <w:rPr>
          <w:rFonts w:hint="eastAsia" w:ascii="仿宋" w:hAnsi="仿宋" w:eastAsia="仿宋" w:cs="仿宋"/>
          <w:color w:val="auto"/>
          <w:spacing w:val="6"/>
          <w:sz w:val="24"/>
        </w:rPr>
        <w:t>日  期：</w:t>
      </w:r>
    </w:p>
    <w:p w14:paraId="06C5B08A">
      <w:pPr>
        <w:spacing w:line="360" w:lineRule="auto"/>
        <w:contextualSpacing/>
        <w:rPr>
          <w:rFonts w:hint="eastAsia" w:ascii="仿宋" w:hAnsi="仿宋" w:eastAsia="仿宋" w:cs="仿宋"/>
          <w:color w:val="auto"/>
          <w:sz w:val="24"/>
        </w:rPr>
      </w:pPr>
    </w:p>
    <w:p w14:paraId="69125248">
      <w:pPr>
        <w:spacing w:line="360" w:lineRule="auto"/>
        <w:contextualSpacing/>
        <w:rPr>
          <w:rFonts w:hint="eastAsia" w:ascii="仿宋" w:hAnsi="仿宋" w:eastAsia="仿宋" w:cs="仿宋"/>
          <w:color w:val="auto"/>
          <w:sz w:val="24"/>
        </w:rPr>
      </w:pPr>
    </w:p>
    <w:p w14:paraId="7EEB7E2D">
      <w:pPr>
        <w:spacing w:line="360" w:lineRule="auto"/>
        <w:contextualSpacing/>
        <w:rPr>
          <w:rFonts w:hint="eastAsia" w:ascii="仿宋" w:hAnsi="仿宋" w:eastAsia="仿宋" w:cs="仿宋"/>
          <w:color w:val="auto"/>
          <w:sz w:val="24"/>
        </w:rPr>
      </w:pPr>
    </w:p>
    <w:p w14:paraId="2B548560">
      <w:pPr>
        <w:spacing w:line="360" w:lineRule="auto"/>
        <w:contextualSpacing/>
        <w:rPr>
          <w:rFonts w:hint="eastAsia" w:ascii="仿宋" w:hAnsi="仿宋" w:eastAsia="仿宋" w:cs="仿宋"/>
          <w:color w:val="auto"/>
          <w:sz w:val="24"/>
        </w:rPr>
      </w:pPr>
      <w:r>
        <w:rPr>
          <w:rFonts w:hint="eastAsia" w:ascii="仿宋" w:hAnsi="仿宋" w:eastAsia="仿宋" w:cs="仿宋"/>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648D859F">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b/>
          <w:color w:val="auto"/>
          <w:sz w:val="24"/>
        </w:rPr>
        <w:t>4.质疑函格式</w:t>
      </w:r>
    </w:p>
    <w:p w14:paraId="244C051F">
      <w:pPr>
        <w:spacing w:line="360" w:lineRule="auto"/>
        <w:jc w:val="center"/>
        <w:rPr>
          <w:rFonts w:hint="eastAsia" w:ascii="仿宋" w:hAnsi="仿宋" w:eastAsia="仿宋" w:cs="仿宋"/>
          <w:color w:val="auto"/>
          <w:sz w:val="44"/>
          <w:szCs w:val="44"/>
        </w:rPr>
      </w:pPr>
      <w:r>
        <w:rPr>
          <w:rFonts w:hint="eastAsia" w:ascii="仿宋" w:hAnsi="仿宋" w:eastAsia="仿宋" w:cs="仿宋"/>
          <w:color w:val="auto"/>
          <w:sz w:val="44"/>
          <w:szCs w:val="44"/>
        </w:rPr>
        <w:t>质疑函</w:t>
      </w:r>
    </w:p>
    <w:p w14:paraId="136D405E">
      <w:pPr>
        <w:pStyle w:val="25"/>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一、质疑供应商基本信息：</w:t>
      </w:r>
    </w:p>
    <w:p w14:paraId="614B2246">
      <w:pPr>
        <w:pStyle w:val="25"/>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质疑供应商：</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1A6EC640">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26B85187">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081C7E70">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授权代表：</w:t>
      </w:r>
      <w:r>
        <w:rPr>
          <w:rFonts w:hint="eastAsia" w:ascii="仿宋" w:hAnsi="仿宋" w:eastAsia="仿宋" w:cs="仿宋"/>
          <w:bCs/>
          <w:color w:val="auto"/>
          <w:sz w:val="24"/>
          <w:szCs w:val="24"/>
          <w:u w:val="single"/>
        </w:rPr>
        <w:t xml:space="preserve">                      </w:t>
      </w:r>
    </w:p>
    <w:p w14:paraId="482B52B9">
      <w:pPr>
        <w:pStyle w:val="25"/>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41115A59">
      <w:pPr>
        <w:pStyle w:val="25"/>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51C3EBB0">
      <w:pPr>
        <w:pStyle w:val="25"/>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二、质疑项目基本情况：</w:t>
      </w:r>
    </w:p>
    <w:p w14:paraId="6435933B">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质疑</w:t>
      </w:r>
      <w:r>
        <w:rPr>
          <w:rFonts w:hint="eastAsia" w:ascii="仿宋" w:hAnsi="仿宋" w:eastAsia="仿宋" w:cs="仿宋"/>
          <w:color w:val="auto"/>
          <w:sz w:val="24"/>
          <w:szCs w:val="24"/>
        </w:rPr>
        <w:t>项目的名称：</w:t>
      </w:r>
      <w:r>
        <w:rPr>
          <w:rFonts w:hint="eastAsia" w:ascii="仿宋" w:hAnsi="仿宋" w:eastAsia="仿宋" w:cs="仿宋"/>
          <w:bCs/>
          <w:color w:val="auto"/>
          <w:sz w:val="24"/>
          <w:szCs w:val="24"/>
          <w:u w:val="single"/>
        </w:rPr>
        <w:t xml:space="preserve">                                     </w:t>
      </w:r>
    </w:p>
    <w:p w14:paraId="765E2588">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质疑</w:t>
      </w:r>
      <w:r>
        <w:rPr>
          <w:rFonts w:hint="eastAsia" w:ascii="仿宋" w:hAnsi="仿宋" w:eastAsia="仿宋" w:cs="仿宋"/>
          <w:color w:val="auto"/>
          <w:sz w:val="24"/>
          <w:szCs w:val="24"/>
        </w:rPr>
        <w:t>项目的编号：</w:t>
      </w:r>
      <w:r>
        <w:rPr>
          <w:rFonts w:hint="eastAsia" w:ascii="仿宋" w:hAnsi="仿宋" w:eastAsia="仿宋" w:cs="仿宋"/>
          <w:bCs/>
          <w:color w:val="auto"/>
          <w:sz w:val="24"/>
          <w:szCs w:val="24"/>
          <w:u w:val="single"/>
        </w:rPr>
        <w:t xml:space="preserve">                                     </w:t>
      </w:r>
    </w:p>
    <w:p w14:paraId="14D2D037">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r>
        <w:rPr>
          <w:rFonts w:hint="eastAsia" w:ascii="仿宋" w:hAnsi="仿宋" w:eastAsia="仿宋" w:cs="仿宋"/>
          <w:bCs/>
          <w:color w:val="auto"/>
          <w:sz w:val="24"/>
          <w:szCs w:val="24"/>
          <w:u w:val="single"/>
        </w:rPr>
        <w:t xml:space="preserve">                                         </w:t>
      </w:r>
    </w:p>
    <w:p w14:paraId="768A808E">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质疑事项：</w:t>
      </w:r>
    </w:p>
    <w:p w14:paraId="3A72B8BA">
      <w:pPr>
        <w:pStyle w:val="25"/>
        <w:spacing w:line="360" w:lineRule="auto"/>
        <w:ind w:left="25" w:leftChars="12"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□招标文件   招标文件获取日期：</w:t>
      </w:r>
      <w:r>
        <w:rPr>
          <w:rFonts w:hint="eastAsia" w:ascii="仿宋" w:hAnsi="仿宋" w:eastAsia="仿宋" w:cs="仿宋"/>
          <w:bCs/>
          <w:color w:val="auto"/>
          <w:sz w:val="24"/>
          <w:szCs w:val="24"/>
          <w:u w:val="single"/>
        </w:rPr>
        <w:t xml:space="preserve">                                   </w:t>
      </w:r>
    </w:p>
    <w:p w14:paraId="5E259C33">
      <w:pPr>
        <w:pStyle w:val="25"/>
        <w:spacing w:line="360" w:lineRule="auto"/>
        <w:ind w:left="25" w:leftChars="12"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□采购过程   </w:t>
      </w:r>
    </w:p>
    <w:p w14:paraId="63E62831">
      <w:pPr>
        <w:pStyle w:val="25"/>
        <w:spacing w:line="360" w:lineRule="auto"/>
        <w:ind w:left="25" w:leftChars="12" w:firstLine="352" w:firstLineChars="147"/>
        <w:rPr>
          <w:rFonts w:hint="eastAsia" w:ascii="仿宋" w:hAnsi="仿宋" w:eastAsia="仿宋" w:cs="仿宋"/>
          <w:bCs/>
          <w:color w:val="auto"/>
          <w:sz w:val="24"/>
          <w:szCs w:val="24"/>
          <w:u w:val="single"/>
        </w:rPr>
      </w:pPr>
      <w:r>
        <w:rPr>
          <w:rFonts w:hint="eastAsia" w:ascii="仿宋" w:hAnsi="仿宋" w:eastAsia="仿宋" w:cs="仿宋"/>
          <w:color w:val="auto"/>
          <w:sz w:val="24"/>
          <w:szCs w:val="24"/>
        </w:rPr>
        <w:t xml:space="preserve">□中标结果   </w:t>
      </w:r>
    </w:p>
    <w:p w14:paraId="0FA0CD93">
      <w:pPr>
        <w:pStyle w:val="25"/>
        <w:spacing w:line="360" w:lineRule="auto"/>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三、质疑事项具体内容</w:t>
      </w:r>
    </w:p>
    <w:p w14:paraId="26FB37DA">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质疑事项1：</w:t>
      </w:r>
      <w:r>
        <w:rPr>
          <w:rFonts w:hint="eastAsia" w:ascii="仿宋" w:hAnsi="仿宋" w:eastAsia="仿宋" w:cs="仿宋"/>
          <w:bCs/>
          <w:color w:val="auto"/>
          <w:sz w:val="24"/>
          <w:szCs w:val="24"/>
          <w:u w:val="single"/>
        </w:rPr>
        <w:t xml:space="preserve">                                                                    </w:t>
      </w:r>
    </w:p>
    <w:p w14:paraId="0E9A698F">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事实依据：</w:t>
      </w:r>
      <w:r>
        <w:rPr>
          <w:rFonts w:hint="eastAsia" w:ascii="仿宋" w:hAnsi="仿宋" w:eastAsia="仿宋" w:cs="仿宋"/>
          <w:bCs/>
          <w:color w:val="auto"/>
          <w:sz w:val="24"/>
          <w:szCs w:val="24"/>
          <w:u w:val="single"/>
        </w:rPr>
        <w:t xml:space="preserve">                                                                      </w:t>
      </w:r>
    </w:p>
    <w:p w14:paraId="54D051BD">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u w:val="single"/>
        </w:rPr>
        <w:t xml:space="preserve">               </w:t>
      </w:r>
    </w:p>
    <w:p w14:paraId="56DCA1BD">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质疑事项2</w:t>
      </w:r>
    </w:p>
    <w:p w14:paraId="6935C6F2">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4F1E1259">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四、与质疑事项相关的质疑请求：</w:t>
      </w:r>
    </w:p>
    <w:p w14:paraId="4FB2B167">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请求：</w:t>
      </w:r>
      <w:r>
        <w:rPr>
          <w:rFonts w:hint="eastAsia" w:ascii="仿宋" w:hAnsi="仿宋" w:eastAsia="仿宋" w:cs="仿宋"/>
          <w:bCs/>
          <w:color w:val="auto"/>
          <w:sz w:val="24"/>
          <w:szCs w:val="24"/>
          <w:u w:val="single"/>
        </w:rPr>
        <w:t xml:space="preserve">                                                                </w:t>
      </w:r>
    </w:p>
    <w:p w14:paraId="154CAACA">
      <w:pPr>
        <w:pStyle w:val="25"/>
        <w:spacing w:line="360" w:lineRule="auto"/>
        <w:ind w:left="25" w:leftChars="12" w:firstLine="352" w:firstLineChars="147"/>
        <w:rPr>
          <w:rFonts w:hint="eastAsia" w:ascii="仿宋" w:hAnsi="仿宋" w:eastAsia="仿宋" w:cs="仿宋"/>
          <w:color w:val="auto"/>
          <w:sz w:val="24"/>
          <w:szCs w:val="24"/>
        </w:rPr>
      </w:pPr>
    </w:p>
    <w:p w14:paraId="3940D037">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签字（签章）：                                       公章：</w:t>
      </w:r>
    </w:p>
    <w:p w14:paraId="068096BD">
      <w:pPr>
        <w:pStyle w:val="25"/>
        <w:spacing w:line="360" w:lineRule="auto"/>
        <w:ind w:left="25" w:leftChars="12" w:firstLine="352" w:firstLineChars="147"/>
        <w:rPr>
          <w:rFonts w:hint="eastAsia" w:ascii="仿宋" w:hAnsi="仿宋" w:eastAsia="仿宋" w:cs="仿宋"/>
          <w:color w:val="auto"/>
          <w:sz w:val="24"/>
          <w:szCs w:val="24"/>
        </w:rPr>
      </w:pPr>
    </w:p>
    <w:p w14:paraId="0E239273">
      <w:pPr>
        <w:pStyle w:val="25"/>
        <w:spacing w:line="360" w:lineRule="auto"/>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日期：</w:t>
      </w:r>
    </w:p>
    <w:p w14:paraId="05B60BB0">
      <w:pPr>
        <w:pStyle w:val="25"/>
        <w:snapToGrid w:val="0"/>
        <w:spacing w:line="360" w:lineRule="auto"/>
        <w:rPr>
          <w:rFonts w:hint="eastAsia" w:ascii="仿宋" w:hAnsi="仿宋" w:eastAsia="仿宋" w:cs="仿宋"/>
          <w:b/>
          <w:color w:val="auto"/>
          <w:sz w:val="24"/>
          <w:szCs w:val="24"/>
        </w:rPr>
      </w:pPr>
    </w:p>
    <w:p w14:paraId="33EB2479">
      <w:pPr>
        <w:pStyle w:val="25"/>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5EE2FF03">
      <w:pPr>
        <w:pStyle w:val="25"/>
        <w:spacing w:line="360" w:lineRule="auto"/>
        <w:ind w:left="25" w:leftChars="12" w:firstLine="354" w:firstLineChars="147"/>
        <w:rPr>
          <w:rFonts w:hint="eastAsia" w:ascii="仿宋" w:hAnsi="仿宋" w:eastAsia="仿宋" w:cs="仿宋"/>
          <w:b/>
          <w:bCs/>
          <w:color w:val="auto"/>
          <w:sz w:val="24"/>
          <w:szCs w:val="24"/>
        </w:rPr>
      </w:pPr>
      <w:r>
        <w:rPr>
          <w:rFonts w:hint="eastAsia" w:ascii="仿宋" w:hAnsi="仿宋" w:eastAsia="仿宋" w:cs="仿宋"/>
          <w:b/>
          <w:color w:val="auto"/>
          <w:sz w:val="24"/>
          <w:szCs w:val="24"/>
        </w:rPr>
        <w:t>1.供应商提出质疑时，应提交质疑函和必要的证明材料</w:t>
      </w:r>
      <w:r>
        <w:rPr>
          <w:rFonts w:hint="eastAsia" w:ascii="仿宋" w:hAnsi="仿宋" w:eastAsia="仿宋" w:cs="仿宋"/>
          <w:b/>
          <w:bCs/>
          <w:color w:val="auto"/>
          <w:sz w:val="24"/>
          <w:szCs w:val="24"/>
        </w:rPr>
        <w:t>。</w:t>
      </w:r>
    </w:p>
    <w:p w14:paraId="455DF3C0">
      <w:pPr>
        <w:pStyle w:val="25"/>
        <w:spacing w:line="360" w:lineRule="auto"/>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05CE88A">
      <w:pPr>
        <w:pStyle w:val="25"/>
        <w:spacing w:line="360" w:lineRule="auto"/>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3.质疑函的质疑事项应具体、明确，并有必要的事实依据和法律依据。</w:t>
      </w:r>
    </w:p>
    <w:p w14:paraId="4751BD2A">
      <w:pPr>
        <w:pStyle w:val="25"/>
        <w:spacing w:line="360" w:lineRule="auto"/>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4.质疑函的质疑请求应与质疑事项相关。</w:t>
      </w:r>
    </w:p>
    <w:p w14:paraId="25D2D597">
      <w:pPr>
        <w:pStyle w:val="25"/>
        <w:spacing w:line="360" w:lineRule="auto"/>
        <w:ind w:left="25" w:leftChars="12" w:firstLine="354" w:firstLineChars="147"/>
        <w:rPr>
          <w:rFonts w:hint="eastAsia" w:ascii="仿宋" w:hAnsi="仿宋" w:eastAsia="仿宋" w:cs="仿宋"/>
          <w:b/>
          <w:color w:val="auto"/>
        </w:rPr>
      </w:pPr>
      <w:r>
        <w:rPr>
          <w:rFonts w:hint="eastAsia" w:ascii="仿宋" w:hAnsi="仿宋" w:eastAsia="仿宋" w:cs="仿宋"/>
          <w:b/>
          <w:color w:val="auto"/>
          <w:sz w:val="24"/>
          <w:szCs w:val="24"/>
        </w:rPr>
        <w:t>5.质疑供应商为法人或者其他组织的，质疑函应由法定代表人、主要负责人，或者其授权代表签字或者盖章，并加盖公章。</w:t>
      </w:r>
    </w:p>
    <w:p w14:paraId="2458D9D3">
      <w:pPr>
        <w:pStyle w:val="25"/>
        <w:snapToGrid w:val="0"/>
        <w:rPr>
          <w:rFonts w:hint="eastAsia" w:ascii="仿宋" w:hAnsi="仿宋" w:eastAsia="仿宋" w:cs="仿宋"/>
          <w:b/>
          <w:color w:val="auto"/>
          <w:sz w:val="24"/>
          <w:szCs w:val="24"/>
        </w:rPr>
      </w:pPr>
    </w:p>
    <w:p w14:paraId="7FA93091">
      <w:pPr>
        <w:spacing w:line="360" w:lineRule="auto"/>
        <w:jc w:val="left"/>
        <w:rPr>
          <w:rFonts w:hint="eastAsia" w:ascii="仿宋" w:hAnsi="仿宋" w:eastAsia="仿宋" w:cs="仿宋"/>
          <w:b/>
          <w:bCs/>
          <w:color w:val="auto"/>
          <w:sz w:val="32"/>
          <w:szCs w:val="32"/>
        </w:rPr>
      </w:pPr>
      <w:r>
        <w:rPr>
          <w:rFonts w:hint="eastAsia" w:ascii="仿宋" w:hAnsi="仿宋" w:eastAsia="仿宋" w:cs="仿宋"/>
          <w:color w:val="auto"/>
          <w:sz w:val="44"/>
        </w:rPr>
        <w:br w:type="page"/>
      </w:r>
      <w:r>
        <w:rPr>
          <w:rFonts w:hint="eastAsia" w:ascii="仿宋" w:hAnsi="仿宋" w:eastAsia="仿宋" w:cs="仿宋"/>
          <w:b/>
          <w:color w:val="auto"/>
          <w:sz w:val="24"/>
        </w:rPr>
        <w:t>5.投诉书格式</w:t>
      </w:r>
    </w:p>
    <w:p w14:paraId="18B91E5E">
      <w:pPr>
        <w:jc w:val="center"/>
        <w:rPr>
          <w:rFonts w:hint="eastAsia" w:ascii="仿宋" w:hAnsi="仿宋" w:eastAsia="仿宋" w:cs="仿宋"/>
          <w:color w:val="auto"/>
          <w:sz w:val="44"/>
          <w:szCs w:val="44"/>
        </w:rPr>
      </w:pPr>
      <w:r>
        <w:rPr>
          <w:rFonts w:hint="eastAsia" w:ascii="仿宋" w:hAnsi="仿宋" w:eastAsia="仿宋" w:cs="仿宋"/>
          <w:color w:val="auto"/>
          <w:sz w:val="44"/>
          <w:szCs w:val="44"/>
        </w:rPr>
        <w:t>投诉书</w:t>
      </w:r>
    </w:p>
    <w:p w14:paraId="10CEC103">
      <w:pPr>
        <w:pStyle w:val="25"/>
        <w:snapToGrid w:val="0"/>
        <w:spacing w:line="440" w:lineRule="exact"/>
        <w:ind w:firstLine="482" w:firstLineChars="200"/>
        <w:rPr>
          <w:rFonts w:hint="eastAsia" w:ascii="仿宋" w:hAnsi="仿宋" w:eastAsia="仿宋" w:cs="仿宋"/>
          <w:b/>
          <w:bCs/>
          <w:color w:val="auto"/>
          <w:sz w:val="24"/>
          <w:szCs w:val="24"/>
        </w:rPr>
      </w:pPr>
    </w:p>
    <w:p w14:paraId="66CF40CB">
      <w:pPr>
        <w:pStyle w:val="25"/>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一、投诉相关主体基本情况：</w:t>
      </w:r>
    </w:p>
    <w:p w14:paraId="37F58822">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投标人：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617458C4">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477E3DEE">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法定代表人/主要负责人：</w:t>
      </w:r>
      <w:r>
        <w:rPr>
          <w:rFonts w:hint="eastAsia" w:ascii="仿宋" w:hAnsi="仿宋" w:eastAsia="仿宋" w:cs="仿宋"/>
          <w:bCs/>
          <w:color w:val="auto"/>
          <w:sz w:val="24"/>
          <w:szCs w:val="24"/>
          <w:u w:val="single"/>
        </w:rPr>
        <w:t xml:space="preserve">                                                         </w:t>
      </w:r>
    </w:p>
    <w:p w14:paraId="511AAE6C">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07A252B5">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授权代表：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794BABB0">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p>
    <w:p w14:paraId="67067925">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7E62642B">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被投诉人1：</w:t>
      </w:r>
    </w:p>
    <w:p w14:paraId="1FA9BCC2">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p>
    <w:p w14:paraId="4DBB311F">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21585984">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p>
    <w:p w14:paraId="556EDBF8">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被投诉人2：</w:t>
      </w:r>
    </w:p>
    <w:p w14:paraId="18F989B8">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w:t>
      </w:r>
    </w:p>
    <w:p w14:paraId="38251C67">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相关供应商：</w:t>
      </w:r>
      <w:r>
        <w:rPr>
          <w:rFonts w:hint="eastAsia" w:ascii="仿宋" w:hAnsi="仿宋" w:eastAsia="仿宋" w:cs="仿宋"/>
          <w:bCs/>
          <w:color w:val="auto"/>
          <w:sz w:val="24"/>
          <w:szCs w:val="24"/>
          <w:u w:val="single"/>
        </w:rPr>
        <w:t xml:space="preserve">                                                                       </w:t>
      </w:r>
    </w:p>
    <w:p w14:paraId="02BF7CFB">
      <w:pPr>
        <w:pStyle w:val="25"/>
        <w:snapToGrid w:val="0"/>
        <w:spacing w:line="440" w:lineRule="exact"/>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地址：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邮编：</w:t>
      </w:r>
      <w:r>
        <w:rPr>
          <w:rFonts w:hint="eastAsia" w:ascii="仿宋" w:hAnsi="仿宋" w:eastAsia="仿宋" w:cs="仿宋"/>
          <w:bCs/>
          <w:color w:val="auto"/>
          <w:sz w:val="24"/>
          <w:szCs w:val="24"/>
          <w:u w:val="single"/>
        </w:rPr>
        <w:t xml:space="preserve">                         </w:t>
      </w:r>
    </w:p>
    <w:p w14:paraId="072A4955">
      <w:pPr>
        <w:pStyle w:val="25"/>
        <w:snapToGrid w:val="0"/>
        <w:spacing w:line="44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联系电话：</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7C4BF26E">
      <w:pPr>
        <w:pStyle w:val="25"/>
        <w:snapToGrid w:val="0"/>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二、投诉项目基本情况：</w:t>
      </w:r>
    </w:p>
    <w:p w14:paraId="08A071C5">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采购</w:t>
      </w:r>
      <w:r>
        <w:rPr>
          <w:rFonts w:hint="eastAsia" w:ascii="仿宋" w:hAnsi="仿宋" w:eastAsia="仿宋" w:cs="仿宋"/>
          <w:color w:val="auto"/>
          <w:sz w:val="24"/>
          <w:szCs w:val="24"/>
        </w:rPr>
        <w:t>项目的名称：</w:t>
      </w:r>
      <w:r>
        <w:rPr>
          <w:rFonts w:hint="eastAsia" w:ascii="仿宋" w:hAnsi="仿宋" w:eastAsia="仿宋" w:cs="仿宋"/>
          <w:bCs/>
          <w:color w:val="auto"/>
          <w:sz w:val="24"/>
          <w:szCs w:val="24"/>
          <w:u w:val="single"/>
        </w:rPr>
        <w:t xml:space="preserve">                                                                   </w:t>
      </w:r>
    </w:p>
    <w:p w14:paraId="0E395B07">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采购</w:t>
      </w:r>
      <w:r>
        <w:rPr>
          <w:rFonts w:hint="eastAsia" w:ascii="仿宋" w:hAnsi="仿宋" w:eastAsia="仿宋" w:cs="仿宋"/>
          <w:color w:val="auto"/>
          <w:sz w:val="24"/>
          <w:szCs w:val="24"/>
        </w:rPr>
        <w:t>项目的编号：</w:t>
      </w:r>
      <w:r>
        <w:rPr>
          <w:rFonts w:hint="eastAsia" w:ascii="仿宋" w:hAnsi="仿宋" w:eastAsia="仿宋" w:cs="仿宋"/>
          <w:bCs/>
          <w:color w:val="auto"/>
          <w:sz w:val="24"/>
          <w:szCs w:val="24"/>
          <w:u w:val="single"/>
        </w:rPr>
        <w:t xml:space="preserve">                                          </w:t>
      </w:r>
    </w:p>
    <w:p w14:paraId="4965C175">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color w:val="auto"/>
          <w:sz w:val="24"/>
          <w:szCs w:val="24"/>
        </w:rPr>
        <w:t>采购人名称：</w:t>
      </w:r>
      <w:r>
        <w:rPr>
          <w:rFonts w:hint="eastAsia" w:ascii="仿宋" w:hAnsi="仿宋" w:eastAsia="仿宋" w:cs="仿宋"/>
          <w:bCs/>
          <w:color w:val="auto"/>
          <w:sz w:val="24"/>
          <w:szCs w:val="24"/>
          <w:u w:val="single"/>
        </w:rPr>
        <w:t xml:space="preserve">                                                                        </w:t>
      </w:r>
    </w:p>
    <w:p w14:paraId="5FBB7BE5">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color w:val="auto"/>
          <w:sz w:val="24"/>
          <w:szCs w:val="24"/>
        </w:rPr>
        <w:t>代理机构名称：</w:t>
      </w:r>
      <w:r>
        <w:rPr>
          <w:rFonts w:hint="eastAsia" w:ascii="仿宋" w:hAnsi="仿宋" w:eastAsia="仿宋" w:cs="仿宋"/>
          <w:bCs/>
          <w:color w:val="auto"/>
          <w:sz w:val="24"/>
          <w:szCs w:val="24"/>
          <w:u w:val="single"/>
        </w:rPr>
        <w:t xml:space="preserve">                                                                      </w:t>
      </w:r>
    </w:p>
    <w:p w14:paraId="368CEA97">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招标文件公告：</w:t>
      </w:r>
      <w:r>
        <w:rPr>
          <w:rFonts w:hint="eastAsia" w:ascii="仿宋" w:hAnsi="仿宋" w:eastAsia="仿宋" w:cs="仿宋"/>
          <w:bCs/>
          <w:color w:val="auto"/>
          <w:sz w:val="24"/>
          <w:szCs w:val="24"/>
          <w:u w:val="single"/>
        </w:rPr>
        <w:t>是/否</w:t>
      </w:r>
      <w:r>
        <w:rPr>
          <w:rFonts w:hint="eastAsia" w:ascii="仿宋" w:hAnsi="仿宋" w:eastAsia="仿宋" w:cs="仿宋"/>
          <w:bCs/>
          <w:color w:val="auto"/>
          <w:sz w:val="24"/>
          <w:szCs w:val="24"/>
        </w:rPr>
        <w:t>公告期限：</w:t>
      </w:r>
      <w:r>
        <w:rPr>
          <w:rFonts w:hint="eastAsia" w:ascii="仿宋" w:hAnsi="仿宋" w:eastAsia="仿宋" w:cs="仿宋"/>
          <w:bCs/>
          <w:color w:val="auto"/>
          <w:sz w:val="24"/>
          <w:szCs w:val="24"/>
          <w:u w:val="single"/>
        </w:rPr>
        <w:t xml:space="preserve">                                                       </w:t>
      </w:r>
    </w:p>
    <w:p w14:paraId="571079FF">
      <w:pPr>
        <w:pStyle w:val="25"/>
        <w:spacing w:line="440" w:lineRule="exact"/>
        <w:ind w:left="25" w:leftChars="12" w:firstLine="472" w:firstLineChars="197"/>
        <w:rPr>
          <w:rFonts w:hint="eastAsia" w:ascii="仿宋" w:hAnsi="仿宋" w:eastAsia="仿宋" w:cs="仿宋"/>
          <w:b/>
          <w:color w:val="auto"/>
          <w:sz w:val="24"/>
          <w:szCs w:val="24"/>
        </w:rPr>
      </w:pPr>
      <w:r>
        <w:rPr>
          <w:rFonts w:hint="eastAsia" w:ascii="仿宋" w:hAnsi="仿宋" w:eastAsia="仿宋" w:cs="仿宋"/>
          <w:bCs/>
          <w:color w:val="auto"/>
          <w:sz w:val="24"/>
          <w:szCs w:val="24"/>
        </w:rPr>
        <w:t>采购结果公告：</w:t>
      </w:r>
      <w:r>
        <w:rPr>
          <w:rFonts w:hint="eastAsia" w:ascii="仿宋" w:hAnsi="仿宋" w:eastAsia="仿宋" w:cs="仿宋"/>
          <w:bCs/>
          <w:color w:val="auto"/>
          <w:sz w:val="24"/>
          <w:szCs w:val="24"/>
          <w:u w:val="single"/>
        </w:rPr>
        <w:t>是/否</w:t>
      </w:r>
      <w:r>
        <w:rPr>
          <w:rFonts w:hint="eastAsia" w:ascii="仿宋" w:hAnsi="仿宋" w:eastAsia="仿宋" w:cs="仿宋"/>
          <w:bCs/>
          <w:color w:val="auto"/>
          <w:sz w:val="24"/>
          <w:szCs w:val="24"/>
        </w:rPr>
        <w:t>公告期限：</w:t>
      </w:r>
      <w:r>
        <w:rPr>
          <w:rFonts w:hint="eastAsia" w:ascii="仿宋" w:hAnsi="仿宋" w:eastAsia="仿宋" w:cs="仿宋"/>
          <w:bCs/>
          <w:color w:val="auto"/>
          <w:sz w:val="24"/>
          <w:szCs w:val="24"/>
          <w:u w:val="single"/>
        </w:rPr>
        <w:t xml:space="preserve">                                                       </w:t>
      </w:r>
    </w:p>
    <w:p w14:paraId="2E250EFE">
      <w:pPr>
        <w:pStyle w:val="25"/>
        <w:spacing w:line="440" w:lineRule="exact"/>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三、质疑基本情况</w:t>
      </w:r>
    </w:p>
    <w:p w14:paraId="5EBCFA91">
      <w:pPr>
        <w:pStyle w:val="25"/>
        <w:spacing w:line="440" w:lineRule="exact"/>
        <w:ind w:left="25" w:leftChars="12"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投诉人于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提出质疑，质疑事项为：</w:t>
      </w:r>
    </w:p>
    <w:p w14:paraId="12E573C8">
      <w:pPr>
        <w:pStyle w:val="25"/>
        <w:spacing w:line="440" w:lineRule="exact"/>
        <w:ind w:firstLine="241"/>
        <w:rPr>
          <w:rFonts w:hint="eastAsia" w:ascii="仿宋" w:hAnsi="仿宋" w:eastAsia="仿宋" w:cs="仿宋"/>
          <w:bCs/>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u w:val="single"/>
        </w:rPr>
        <w:t xml:space="preserve">                                                                                      </w:t>
      </w:r>
    </w:p>
    <w:p w14:paraId="079770BD">
      <w:pPr>
        <w:pStyle w:val="25"/>
        <w:spacing w:line="440" w:lineRule="exact"/>
        <w:ind w:firstLine="241"/>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u w:val="single"/>
        </w:rPr>
        <w:t xml:space="preserve">                                                                                      </w:t>
      </w:r>
    </w:p>
    <w:p w14:paraId="57CCB529">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u w:val="single"/>
        </w:rPr>
        <w:t>采购人/代理机构</w:t>
      </w:r>
      <w:r>
        <w:rPr>
          <w:rFonts w:hint="eastAsia" w:ascii="仿宋" w:hAnsi="仿宋" w:eastAsia="仿宋" w:cs="仿宋"/>
          <w:bCs/>
          <w:color w:val="auto"/>
          <w:sz w:val="24"/>
          <w:szCs w:val="24"/>
        </w:rPr>
        <w:t>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hint="eastAsia" w:ascii="仿宋" w:hAnsi="仿宋" w:eastAsia="仿宋" w:cs="仿宋"/>
          <w:bCs/>
          <w:color w:val="auto"/>
          <w:sz w:val="24"/>
          <w:szCs w:val="24"/>
        </w:rPr>
        <w:t xml:space="preserve">就质疑事项作出了答复/没有在法定期限内作出答复。                                                                                             </w:t>
      </w:r>
    </w:p>
    <w:p w14:paraId="634ED011">
      <w:pPr>
        <w:pStyle w:val="25"/>
        <w:spacing w:line="440" w:lineRule="exact"/>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四、投诉事项具体内容</w:t>
      </w:r>
    </w:p>
    <w:p w14:paraId="619104C6">
      <w:pPr>
        <w:pStyle w:val="25"/>
        <w:spacing w:line="440" w:lineRule="exact"/>
        <w:ind w:left="25" w:leftChars="12" w:firstLine="472" w:firstLineChars="197"/>
        <w:rPr>
          <w:rFonts w:hint="eastAsia" w:ascii="仿宋" w:hAnsi="仿宋" w:eastAsia="仿宋" w:cs="仿宋"/>
          <w:bCs/>
          <w:color w:val="auto"/>
          <w:sz w:val="24"/>
          <w:szCs w:val="24"/>
          <w:u w:val="single"/>
        </w:rPr>
      </w:pPr>
      <w:r>
        <w:rPr>
          <w:rFonts w:hint="eastAsia" w:ascii="仿宋" w:hAnsi="仿宋" w:eastAsia="仿宋" w:cs="仿宋"/>
          <w:color w:val="auto"/>
          <w:sz w:val="24"/>
          <w:szCs w:val="24"/>
        </w:rPr>
        <w:t>投诉事项1：</w:t>
      </w:r>
      <w:r>
        <w:rPr>
          <w:rFonts w:hint="eastAsia" w:ascii="仿宋" w:hAnsi="仿宋" w:eastAsia="仿宋" w:cs="仿宋"/>
          <w:bCs/>
          <w:color w:val="auto"/>
          <w:sz w:val="24"/>
          <w:szCs w:val="24"/>
          <w:u w:val="single"/>
        </w:rPr>
        <w:t xml:space="preserve">                                                                           </w:t>
      </w:r>
    </w:p>
    <w:p w14:paraId="13710FA7">
      <w:pPr>
        <w:pStyle w:val="25"/>
        <w:spacing w:line="440" w:lineRule="exact"/>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事实依据：</w:t>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u w:val="single"/>
        </w:rPr>
        <w:t xml:space="preserve">                                                                                      </w:t>
      </w:r>
    </w:p>
    <w:p w14:paraId="73722679">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u w:val="single"/>
        </w:rPr>
        <w:t xml:space="preserve">                                                                                        </w:t>
      </w:r>
    </w:p>
    <w:p w14:paraId="7D3AE19F">
      <w:pPr>
        <w:pStyle w:val="25"/>
        <w:spacing w:line="440" w:lineRule="exact"/>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法律依据：</w:t>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u w:val="single"/>
        </w:rPr>
        <w:t xml:space="preserve">                                                                                      </w:t>
      </w:r>
    </w:p>
    <w:p w14:paraId="56EE7FBB">
      <w:pPr>
        <w:pStyle w:val="25"/>
        <w:spacing w:line="440" w:lineRule="exact"/>
        <w:ind w:left="25" w:leftChars="12" w:firstLine="352" w:firstLineChars="147"/>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u w:val="single"/>
        </w:rPr>
        <w:t xml:space="preserve">                                                                                        </w:t>
      </w:r>
    </w:p>
    <w:p w14:paraId="16A7033A">
      <w:pPr>
        <w:pStyle w:val="25"/>
        <w:spacing w:line="440" w:lineRule="exact"/>
        <w:ind w:left="25" w:leftChars="12" w:firstLine="472" w:firstLineChars="197"/>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投诉事项2  </w:t>
      </w:r>
      <w:r>
        <w:rPr>
          <w:rFonts w:hint="eastAsia" w:ascii="仿宋" w:hAnsi="仿宋" w:eastAsia="仿宋" w:cs="仿宋"/>
          <w:bCs/>
          <w:color w:val="auto"/>
          <w:sz w:val="24"/>
          <w:szCs w:val="24"/>
        </w:rPr>
        <w:t xml:space="preserve">   </w:t>
      </w:r>
    </w:p>
    <w:p w14:paraId="203376D4">
      <w:pPr>
        <w:pStyle w:val="25"/>
        <w:spacing w:line="440" w:lineRule="exact"/>
        <w:ind w:left="25" w:leftChars="12" w:firstLine="472" w:firstLineChars="197"/>
        <w:rPr>
          <w:rFonts w:hint="eastAsia" w:ascii="仿宋" w:hAnsi="仿宋" w:eastAsia="仿宋" w:cs="仿宋"/>
          <w:bCs/>
          <w:color w:val="auto"/>
          <w:sz w:val="24"/>
          <w:szCs w:val="24"/>
        </w:rPr>
      </w:pPr>
      <w:r>
        <w:rPr>
          <w:rFonts w:hint="eastAsia" w:ascii="仿宋" w:hAnsi="仿宋" w:eastAsia="仿宋" w:cs="仿宋"/>
          <w:bCs/>
          <w:color w:val="auto"/>
          <w:sz w:val="24"/>
          <w:szCs w:val="24"/>
        </w:rPr>
        <w:t>……</w:t>
      </w:r>
    </w:p>
    <w:p w14:paraId="716263AD">
      <w:pPr>
        <w:pStyle w:val="25"/>
        <w:spacing w:line="440" w:lineRule="exact"/>
        <w:ind w:left="25" w:leftChars="12"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五、与投诉事项相关的投诉请求：</w:t>
      </w:r>
    </w:p>
    <w:p w14:paraId="6696DAAF">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请求：</w:t>
      </w:r>
      <w:r>
        <w:rPr>
          <w:rFonts w:hint="eastAsia" w:ascii="仿宋" w:hAnsi="仿宋" w:eastAsia="仿宋" w:cs="仿宋"/>
          <w:bCs/>
          <w:color w:val="auto"/>
          <w:sz w:val="24"/>
          <w:szCs w:val="24"/>
          <w:u w:val="single"/>
        </w:rPr>
        <w:t xml:space="preserve">                                                                                 </w:t>
      </w:r>
    </w:p>
    <w:p w14:paraId="445048B6">
      <w:pPr>
        <w:pStyle w:val="25"/>
        <w:spacing w:line="440" w:lineRule="exact"/>
        <w:ind w:left="25" w:leftChars="12" w:firstLine="352" w:firstLineChars="147"/>
        <w:rPr>
          <w:rFonts w:hint="eastAsia" w:ascii="仿宋" w:hAnsi="仿宋" w:eastAsia="仿宋" w:cs="仿宋"/>
          <w:color w:val="auto"/>
          <w:sz w:val="24"/>
          <w:szCs w:val="24"/>
        </w:rPr>
      </w:pPr>
    </w:p>
    <w:p w14:paraId="57023F7D">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签字（签章）：                                       公章：</w:t>
      </w:r>
    </w:p>
    <w:p w14:paraId="0C4A824B">
      <w:pPr>
        <w:pStyle w:val="25"/>
        <w:spacing w:line="440" w:lineRule="exact"/>
        <w:ind w:left="25" w:leftChars="12" w:firstLine="352" w:firstLineChars="147"/>
        <w:rPr>
          <w:rFonts w:hint="eastAsia" w:ascii="仿宋" w:hAnsi="仿宋" w:eastAsia="仿宋" w:cs="仿宋"/>
          <w:color w:val="auto"/>
          <w:sz w:val="24"/>
          <w:szCs w:val="24"/>
        </w:rPr>
      </w:pPr>
    </w:p>
    <w:p w14:paraId="21752F98">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color w:val="auto"/>
          <w:sz w:val="24"/>
          <w:szCs w:val="24"/>
        </w:rPr>
        <w:t>日期：</w:t>
      </w:r>
    </w:p>
    <w:p w14:paraId="27AFA479">
      <w:pPr>
        <w:pStyle w:val="25"/>
        <w:spacing w:line="440" w:lineRule="exact"/>
        <w:ind w:left="25" w:leftChars="12" w:firstLine="472" w:firstLineChars="197"/>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                                                                              </w:t>
      </w:r>
    </w:p>
    <w:p w14:paraId="18459006">
      <w:pPr>
        <w:pStyle w:val="25"/>
        <w:snapToGrid w:val="0"/>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3FB2F665">
      <w:pPr>
        <w:pStyle w:val="25"/>
        <w:spacing w:line="440" w:lineRule="exact"/>
        <w:ind w:left="25" w:leftChars="12" w:firstLine="354" w:firstLineChars="147"/>
        <w:rPr>
          <w:rFonts w:hint="eastAsia" w:ascii="仿宋" w:hAnsi="仿宋" w:eastAsia="仿宋" w:cs="仿宋"/>
          <w:b/>
          <w:bCs/>
          <w:color w:val="auto"/>
          <w:sz w:val="24"/>
          <w:szCs w:val="24"/>
        </w:rPr>
      </w:pPr>
      <w:r>
        <w:rPr>
          <w:rFonts w:hint="eastAsia" w:ascii="仿宋" w:hAnsi="仿宋" w:eastAsia="仿宋" w:cs="仿宋"/>
          <w:b/>
          <w:color w:val="auto"/>
          <w:sz w:val="24"/>
          <w:szCs w:val="24"/>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rPr>
        <w:t>。</w:t>
      </w:r>
    </w:p>
    <w:p w14:paraId="4FA34DB8">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95B31">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3.投诉书应简要列明质疑事项，质疑函、质疑答复等作为附件材料提供。</w:t>
      </w:r>
    </w:p>
    <w:p w14:paraId="015C4E5B">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4.投诉书的投诉事项应具体、明确，并有必要的事实依据和法律依据。</w:t>
      </w:r>
    </w:p>
    <w:p w14:paraId="4D36AD95">
      <w:pPr>
        <w:pStyle w:val="25"/>
        <w:spacing w:line="440" w:lineRule="exact"/>
        <w:ind w:left="25" w:leftChars="12" w:firstLine="354" w:firstLineChars="147"/>
        <w:rPr>
          <w:rFonts w:hint="eastAsia" w:ascii="仿宋" w:hAnsi="仿宋" w:eastAsia="仿宋" w:cs="仿宋"/>
          <w:b/>
          <w:color w:val="auto"/>
          <w:sz w:val="24"/>
          <w:szCs w:val="24"/>
        </w:rPr>
      </w:pPr>
      <w:r>
        <w:rPr>
          <w:rFonts w:hint="eastAsia" w:ascii="仿宋" w:hAnsi="仿宋" w:eastAsia="仿宋" w:cs="仿宋"/>
          <w:b/>
          <w:color w:val="auto"/>
          <w:sz w:val="24"/>
          <w:szCs w:val="24"/>
        </w:rPr>
        <w:t>5.投诉书的投诉请求应与投诉事项相关。</w:t>
      </w:r>
    </w:p>
    <w:p w14:paraId="45AE13A2">
      <w:pPr>
        <w:pStyle w:val="25"/>
        <w:spacing w:line="440" w:lineRule="exact"/>
        <w:ind w:left="25" w:leftChars="12" w:firstLine="354" w:firstLineChars="147"/>
        <w:rPr>
          <w:rFonts w:hint="eastAsia" w:ascii="仿宋" w:hAnsi="仿宋" w:eastAsia="仿宋" w:cs="仿宋"/>
          <w:b/>
          <w:color w:val="auto"/>
        </w:rPr>
      </w:pPr>
      <w:r>
        <w:rPr>
          <w:rFonts w:hint="eastAsia" w:ascii="仿宋" w:hAnsi="仿宋" w:eastAsia="仿宋" w:cs="仿宋"/>
          <w:b/>
          <w:color w:val="auto"/>
          <w:sz w:val="24"/>
          <w:szCs w:val="24"/>
        </w:rPr>
        <w:t>6.投诉人为法人或者其他组织的，投诉书应由法定代表人、主要负责人，或者其授权代表签字或者盖章，并加盖公章。</w:t>
      </w:r>
    </w:p>
    <w:p w14:paraId="4233FF60">
      <w:pPr>
        <w:rPr>
          <w:color w:val="auto"/>
        </w:rPr>
      </w:pPr>
    </w:p>
    <w:p w14:paraId="5FD8D154">
      <w:pPr>
        <w:rPr>
          <w:color w:val="auto"/>
        </w:rPr>
      </w:pPr>
    </w:p>
    <w:p w14:paraId="1BE359FC">
      <w:pPr>
        <w:rPr>
          <w:color w:val="auto"/>
        </w:rPr>
      </w:pPr>
    </w:p>
    <w:p w14:paraId="7BFFE38C">
      <w:pPr>
        <w:rPr>
          <w:color w:val="auto"/>
        </w:rPr>
      </w:pPr>
    </w:p>
    <w:p w14:paraId="22C96B3F">
      <w:pPr>
        <w:rPr>
          <w:color w:val="auto"/>
        </w:rPr>
      </w:pPr>
    </w:p>
    <w:p w14:paraId="24240D41">
      <w:pPr>
        <w:rPr>
          <w:color w:val="auto"/>
        </w:rPr>
      </w:pPr>
    </w:p>
    <w:p w14:paraId="161D4764">
      <w:pPr>
        <w:rPr>
          <w:color w:val="auto"/>
        </w:rPr>
      </w:pPr>
    </w:p>
    <w:p w14:paraId="7C487375">
      <w:pPr>
        <w:rPr>
          <w:color w:val="auto"/>
        </w:rPr>
      </w:pPr>
    </w:p>
    <w:p w14:paraId="02824F30">
      <w:pPr>
        <w:rPr>
          <w:color w:val="auto"/>
        </w:rPr>
      </w:pPr>
    </w:p>
    <w:p w14:paraId="5C248554">
      <w:pPr>
        <w:rPr>
          <w:color w:val="auto"/>
        </w:rPr>
      </w:pPr>
    </w:p>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7C7F">
    <w:pPr>
      <w:pStyle w:val="31"/>
      <w:framePr w:wrap="around" w:vAnchor="text" w:hAnchor="margin" w:xAlign="center" w:y="1"/>
      <w:rPr>
        <w:rStyle w:val="52"/>
      </w:rPr>
    </w:pPr>
    <w:r>
      <w:fldChar w:fldCharType="begin"/>
    </w:r>
    <w:r>
      <w:rPr>
        <w:rStyle w:val="52"/>
      </w:rPr>
      <w:instrText xml:space="preserve">PAGE  </w:instrText>
    </w:r>
    <w:r>
      <w:fldChar w:fldCharType="end"/>
    </w:r>
  </w:p>
  <w:p w14:paraId="330703D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C03D">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58C">
    <w:pPr>
      <w:pStyle w:val="31"/>
      <w:jc w:val="center"/>
    </w:pPr>
    <w:r>
      <w:fldChar w:fldCharType="begin"/>
    </w:r>
    <w:r>
      <w:instrText xml:space="preserve"> PAGE   \* MERGEFORMAT </w:instrText>
    </w:r>
    <w:r>
      <w:fldChar w:fldCharType="separate"/>
    </w:r>
    <w:r>
      <w:rPr>
        <w:lang w:val="zh-CN"/>
      </w:rPr>
      <w:t>44</w:t>
    </w:r>
    <w:r>
      <w:fldChar w:fldCharType="end"/>
    </w:r>
  </w:p>
  <w:p w14:paraId="001A2E23">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1676">
    <w:pPr>
      <w:pStyle w:val="31"/>
      <w:jc w:val="center"/>
    </w:pPr>
    <w:r>
      <w:fldChar w:fldCharType="begin"/>
    </w:r>
    <w:r>
      <w:instrText xml:space="preserve">PAGE   \* MERGEFORMAT</w:instrText>
    </w:r>
    <w:r>
      <w:fldChar w:fldCharType="separate"/>
    </w:r>
    <w:r>
      <w:rPr>
        <w:lang w:val="zh-CN"/>
      </w:rPr>
      <w:t>1</w:t>
    </w:r>
    <w:r>
      <w:fldChar w:fldCharType="end"/>
    </w:r>
  </w:p>
  <w:p w14:paraId="2A1189FF">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F308">
    <w:pPr>
      <w:pStyle w:val="31"/>
      <w:jc w:val="center"/>
    </w:pPr>
    <w:r>
      <w:fldChar w:fldCharType="begin"/>
    </w:r>
    <w:r>
      <w:instrText xml:space="preserve"> PAGE   \* MERGEFORMAT </w:instrText>
    </w:r>
    <w:r>
      <w:fldChar w:fldCharType="separate"/>
    </w:r>
    <w:r>
      <w:rPr>
        <w:lang w:val="zh-CN"/>
      </w:rPr>
      <w:t>85</w:t>
    </w:r>
    <w:r>
      <w:fldChar w:fldCharType="end"/>
    </w:r>
  </w:p>
  <w:p w14:paraId="578A44E9">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4695">
    <w:pPr>
      <w:pStyle w:val="31"/>
      <w:framePr w:wrap="around" w:vAnchor="text" w:hAnchor="margin" w:xAlign="center" w:y="1"/>
      <w:rPr>
        <w:rStyle w:val="52"/>
      </w:rPr>
    </w:pPr>
    <w:r>
      <w:fldChar w:fldCharType="begin"/>
    </w:r>
    <w:r>
      <w:rPr>
        <w:rStyle w:val="52"/>
      </w:rPr>
      <w:instrText xml:space="preserve">PAGE  </w:instrText>
    </w:r>
    <w:r>
      <w:fldChar w:fldCharType="end"/>
    </w:r>
  </w:p>
  <w:p w14:paraId="46D96738">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6A7D">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B4A24">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43FD">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2F3F0"/>
    <w:multiLevelType w:val="multilevel"/>
    <w:tmpl w:val="9E52F3F0"/>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A925EF21"/>
    <w:multiLevelType w:val="singleLevel"/>
    <w:tmpl w:val="A925EF21"/>
    <w:lvl w:ilvl="0" w:tentative="0">
      <w:start w:val="1"/>
      <w:numFmt w:val="decimal"/>
      <w:suff w:val="nothing"/>
      <w:lvlText w:val="%1）"/>
      <w:lvlJc w:val="left"/>
    </w:lvl>
  </w:abstractNum>
  <w:abstractNum w:abstractNumId="2">
    <w:nsid w:val="B65B8FCC"/>
    <w:multiLevelType w:val="multilevel"/>
    <w:tmpl w:val="B65B8FC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4">
    <w:nsid w:val="0000002A"/>
    <w:multiLevelType w:val="multilevel"/>
    <w:tmpl w:val="0000002A"/>
    <w:lvl w:ilvl="0" w:tentative="0">
      <w:start w:val="1"/>
      <w:numFmt w:val="bullet"/>
      <w:pStyle w:val="22"/>
      <w:lvlText w:val=""/>
      <w:lvlJc w:val="left"/>
      <w:pPr>
        <w:tabs>
          <w:tab w:val="left" w:pos="360"/>
        </w:tabs>
        <w:ind w:left="360" w:hanging="360"/>
      </w:pPr>
      <w:rPr>
        <w:rFonts w:hint="default" w:ascii="Wingdings" w:hAnsi="Wingdings" w:eastAsia="宋体"/>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13956BE3"/>
    <w:multiLevelType w:val="singleLevel"/>
    <w:tmpl w:val="13956BE3"/>
    <w:lvl w:ilvl="0" w:tentative="0">
      <w:start w:val="1"/>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4C601917"/>
    <w:multiLevelType w:val="singleLevel"/>
    <w:tmpl w:val="4C601917"/>
    <w:lvl w:ilvl="0" w:tentative="0">
      <w:start w:val="1"/>
      <w:numFmt w:val="decimal"/>
      <w:suff w:val="nothing"/>
      <w:lvlText w:val="（%1）"/>
      <w:lvlJc w:val="left"/>
      <w:pPr>
        <w:ind w:left="-2"/>
      </w:p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5MGE5Zjc1ODk1ZWM0MWZlM2FkMTFlZWU2NjkzN2Q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B9"/>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07F72"/>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15"/>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5D5"/>
    <w:rsid w:val="000337F3"/>
    <w:rsid w:val="00033DDB"/>
    <w:rsid w:val="00034B24"/>
    <w:rsid w:val="00034C27"/>
    <w:rsid w:val="00034E2A"/>
    <w:rsid w:val="0003577F"/>
    <w:rsid w:val="00035B29"/>
    <w:rsid w:val="00036140"/>
    <w:rsid w:val="00036466"/>
    <w:rsid w:val="0003675E"/>
    <w:rsid w:val="00037F87"/>
    <w:rsid w:val="00037FA2"/>
    <w:rsid w:val="000400D0"/>
    <w:rsid w:val="00040343"/>
    <w:rsid w:val="000424B8"/>
    <w:rsid w:val="000425AC"/>
    <w:rsid w:val="000427B8"/>
    <w:rsid w:val="00042D07"/>
    <w:rsid w:val="00042F4A"/>
    <w:rsid w:val="00043AC8"/>
    <w:rsid w:val="00043BE5"/>
    <w:rsid w:val="00043C80"/>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D9F"/>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CE5"/>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0C9"/>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CC"/>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C3F"/>
    <w:rsid w:val="00117EFC"/>
    <w:rsid w:val="001205A8"/>
    <w:rsid w:val="00121766"/>
    <w:rsid w:val="00122451"/>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1F7013"/>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2C"/>
    <w:rsid w:val="00215D95"/>
    <w:rsid w:val="00215ED8"/>
    <w:rsid w:val="00215FAF"/>
    <w:rsid w:val="00217700"/>
    <w:rsid w:val="002177E2"/>
    <w:rsid w:val="0021783B"/>
    <w:rsid w:val="00217B43"/>
    <w:rsid w:val="00217E71"/>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4FFD"/>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59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3B96"/>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A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0F"/>
    <w:rsid w:val="00294352"/>
    <w:rsid w:val="002944A0"/>
    <w:rsid w:val="002946E4"/>
    <w:rsid w:val="0029495C"/>
    <w:rsid w:val="002957D9"/>
    <w:rsid w:val="00295B52"/>
    <w:rsid w:val="00295ED9"/>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3F0"/>
    <w:rsid w:val="002A6406"/>
    <w:rsid w:val="002A6432"/>
    <w:rsid w:val="002A6CF0"/>
    <w:rsid w:val="002A6FFC"/>
    <w:rsid w:val="002A7010"/>
    <w:rsid w:val="002A70BA"/>
    <w:rsid w:val="002A7A57"/>
    <w:rsid w:val="002A7BB2"/>
    <w:rsid w:val="002A7CC1"/>
    <w:rsid w:val="002A7DCB"/>
    <w:rsid w:val="002B0685"/>
    <w:rsid w:val="002B0B53"/>
    <w:rsid w:val="002B0C16"/>
    <w:rsid w:val="002B1617"/>
    <w:rsid w:val="002B1A90"/>
    <w:rsid w:val="002B1D11"/>
    <w:rsid w:val="002B273B"/>
    <w:rsid w:val="002B29AA"/>
    <w:rsid w:val="002B2A7E"/>
    <w:rsid w:val="002B2F1B"/>
    <w:rsid w:val="002B2F40"/>
    <w:rsid w:val="002B3332"/>
    <w:rsid w:val="002B34C7"/>
    <w:rsid w:val="002B3F25"/>
    <w:rsid w:val="002B5AFB"/>
    <w:rsid w:val="002B6320"/>
    <w:rsid w:val="002B66AC"/>
    <w:rsid w:val="002B6852"/>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C9D"/>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C1D"/>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A0"/>
    <w:rsid w:val="003B11EE"/>
    <w:rsid w:val="003B15F8"/>
    <w:rsid w:val="003B166F"/>
    <w:rsid w:val="003B1B60"/>
    <w:rsid w:val="003B207E"/>
    <w:rsid w:val="003B230B"/>
    <w:rsid w:val="003B23BC"/>
    <w:rsid w:val="003B28BA"/>
    <w:rsid w:val="003B28F6"/>
    <w:rsid w:val="003B2B3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DCD"/>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8DA"/>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6BA"/>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7DB"/>
    <w:rsid w:val="00414D68"/>
    <w:rsid w:val="00414FD9"/>
    <w:rsid w:val="00415773"/>
    <w:rsid w:val="00415CAE"/>
    <w:rsid w:val="00415EE7"/>
    <w:rsid w:val="00415FD6"/>
    <w:rsid w:val="004160FA"/>
    <w:rsid w:val="0041669E"/>
    <w:rsid w:val="00416ACA"/>
    <w:rsid w:val="00416C56"/>
    <w:rsid w:val="00417294"/>
    <w:rsid w:val="004176B8"/>
    <w:rsid w:val="00417724"/>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13F"/>
    <w:rsid w:val="004305C0"/>
    <w:rsid w:val="00430B20"/>
    <w:rsid w:val="00430B6C"/>
    <w:rsid w:val="0043227C"/>
    <w:rsid w:val="004330B1"/>
    <w:rsid w:val="004335C0"/>
    <w:rsid w:val="004337B7"/>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0F16"/>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406"/>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97F77"/>
    <w:rsid w:val="004A040E"/>
    <w:rsid w:val="004A042D"/>
    <w:rsid w:val="004A11E0"/>
    <w:rsid w:val="004A1953"/>
    <w:rsid w:val="004A1FC5"/>
    <w:rsid w:val="004A2158"/>
    <w:rsid w:val="004A29A5"/>
    <w:rsid w:val="004A2A20"/>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FBB"/>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5E5C"/>
    <w:rsid w:val="004D6053"/>
    <w:rsid w:val="004D6FA4"/>
    <w:rsid w:val="004D703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BD2"/>
    <w:rsid w:val="004F4372"/>
    <w:rsid w:val="004F43E0"/>
    <w:rsid w:val="004F45EB"/>
    <w:rsid w:val="004F49F4"/>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0FEC"/>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04B"/>
    <w:rsid w:val="00540A37"/>
    <w:rsid w:val="00540B49"/>
    <w:rsid w:val="005418DB"/>
    <w:rsid w:val="0054230B"/>
    <w:rsid w:val="005434EA"/>
    <w:rsid w:val="00544ABA"/>
    <w:rsid w:val="00544F0B"/>
    <w:rsid w:val="00545D55"/>
    <w:rsid w:val="00545FE8"/>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7E2"/>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270"/>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2DD"/>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464"/>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9"/>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B1F"/>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4FA4"/>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8D1"/>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60D"/>
    <w:rsid w:val="006739E9"/>
    <w:rsid w:val="00674D52"/>
    <w:rsid w:val="00674F93"/>
    <w:rsid w:val="0067546F"/>
    <w:rsid w:val="00675624"/>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C7926"/>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41C"/>
    <w:rsid w:val="006E663E"/>
    <w:rsid w:val="006E6810"/>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279B6"/>
    <w:rsid w:val="007310B7"/>
    <w:rsid w:val="00731237"/>
    <w:rsid w:val="00731A22"/>
    <w:rsid w:val="0073207E"/>
    <w:rsid w:val="00732523"/>
    <w:rsid w:val="0073254B"/>
    <w:rsid w:val="00732664"/>
    <w:rsid w:val="00732BA7"/>
    <w:rsid w:val="007333EA"/>
    <w:rsid w:val="00733601"/>
    <w:rsid w:val="00733A57"/>
    <w:rsid w:val="00733F36"/>
    <w:rsid w:val="007340CE"/>
    <w:rsid w:val="00734684"/>
    <w:rsid w:val="00734781"/>
    <w:rsid w:val="007349FC"/>
    <w:rsid w:val="00734B6F"/>
    <w:rsid w:val="007351A5"/>
    <w:rsid w:val="00735293"/>
    <w:rsid w:val="00735376"/>
    <w:rsid w:val="007363EA"/>
    <w:rsid w:val="00736727"/>
    <w:rsid w:val="00736A02"/>
    <w:rsid w:val="00736E06"/>
    <w:rsid w:val="00736E37"/>
    <w:rsid w:val="00737286"/>
    <w:rsid w:val="007373DB"/>
    <w:rsid w:val="00737847"/>
    <w:rsid w:val="00737F27"/>
    <w:rsid w:val="00737FD3"/>
    <w:rsid w:val="00740240"/>
    <w:rsid w:val="007406CB"/>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846"/>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AD"/>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847"/>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0CE0"/>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755"/>
    <w:rsid w:val="00816805"/>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626"/>
    <w:rsid w:val="0087377E"/>
    <w:rsid w:val="00874594"/>
    <w:rsid w:val="0087465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14A"/>
    <w:rsid w:val="00880305"/>
    <w:rsid w:val="0088088A"/>
    <w:rsid w:val="00880A3F"/>
    <w:rsid w:val="00880EE2"/>
    <w:rsid w:val="008813BC"/>
    <w:rsid w:val="00881732"/>
    <w:rsid w:val="008818A2"/>
    <w:rsid w:val="00881FF9"/>
    <w:rsid w:val="0088213D"/>
    <w:rsid w:val="008821C6"/>
    <w:rsid w:val="0088243D"/>
    <w:rsid w:val="0088251A"/>
    <w:rsid w:val="00882554"/>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24A"/>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19D"/>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ACE"/>
    <w:rsid w:val="008E1DC9"/>
    <w:rsid w:val="008E211C"/>
    <w:rsid w:val="008E28EC"/>
    <w:rsid w:val="008E2BB3"/>
    <w:rsid w:val="008E2BC5"/>
    <w:rsid w:val="008E2C79"/>
    <w:rsid w:val="008E3176"/>
    <w:rsid w:val="008E3564"/>
    <w:rsid w:val="008E3A0B"/>
    <w:rsid w:val="008E3A90"/>
    <w:rsid w:val="008E3AAB"/>
    <w:rsid w:val="008E3F34"/>
    <w:rsid w:val="008E4043"/>
    <w:rsid w:val="008E43F3"/>
    <w:rsid w:val="008E4520"/>
    <w:rsid w:val="008E54E8"/>
    <w:rsid w:val="008E5740"/>
    <w:rsid w:val="008E5868"/>
    <w:rsid w:val="008E5ADB"/>
    <w:rsid w:val="008E5DC8"/>
    <w:rsid w:val="008E6465"/>
    <w:rsid w:val="008E6C57"/>
    <w:rsid w:val="008E7082"/>
    <w:rsid w:val="008E72AF"/>
    <w:rsid w:val="008F068D"/>
    <w:rsid w:val="008F0952"/>
    <w:rsid w:val="008F1154"/>
    <w:rsid w:val="008F1B84"/>
    <w:rsid w:val="008F1B9D"/>
    <w:rsid w:val="008F1DB6"/>
    <w:rsid w:val="008F337C"/>
    <w:rsid w:val="008F39C0"/>
    <w:rsid w:val="008F39E4"/>
    <w:rsid w:val="008F51F0"/>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428"/>
    <w:rsid w:val="009162DD"/>
    <w:rsid w:val="009163E7"/>
    <w:rsid w:val="009165E4"/>
    <w:rsid w:val="0091670A"/>
    <w:rsid w:val="0091671A"/>
    <w:rsid w:val="009169F6"/>
    <w:rsid w:val="0091719D"/>
    <w:rsid w:val="00917903"/>
    <w:rsid w:val="00917BEA"/>
    <w:rsid w:val="00920189"/>
    <w:rsid w:val="00920203"/>
    <w:rsid w:val="00920997"/>
    <w:rsid w:val="00920B19"/>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4C7D"/>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CAB"/>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1D3"/>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3B2F"/>
    <w:rsid w:val="00984149"/>
    <w:rsid w:val="00984788"/>
    <w:rsid w:val="00984909"/>
    <w:rsid w:val="00984FF3"/>
    <w:rsid w:val="00984FF9"/>
    <w:rsid w:val="009850C5"/>
    <w:rsid w:val="0098516C"/>
    <w:rsid w:val="00986259"/>
    <w:rsid w:val="00986326"/>
    <w:rsid w:val="00986849"/>
    <w:rsid w:val="00986BB7"/>
    <w:rsid w:val="00986D4B"/>
    <w:rsid w:val="00986F6D"/>
    <w:rsid w:val="0098727C"/>
    <w:rsid w:val="00987708"/>
    <w:rsid w:val="00987DF0"/>
    <w:rsid w:val="00987E2E"/>
    <w:rsid w:val="0099008B"/>
    <w:rsid w:val="00990E7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1E9"/>
    <w:rsid w:val="009A6665"/>
    <w:rsid w:val="009A6EE2"/>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01"/>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543"/>
    <w:rsid w:val="00A026F0"/>
    <w:rsid w:val="00A02F2D"/>
    <w:rsid w:val="00A02F61"/>
    <w:rsid w:val="00A03529"/>
    <w:rsid w:val="00A03671"/>
    <w:rsid w:val="00A03E0E"/>
    <w:rsid w:val="00A040D1"/>
    <w:rsid w:val="00A044B7"/>
    <w:rsid w:val="00A04A0A"/>
    <w:rsid w:val="00A050A8"/>
    <w:rsid w:val="00A056A3"/>
    <w:rsid w:val="00A059AF"/>
    <w:rsid w:val="00A05A59"/>
    <w:rsid w:val="00A05B51"/>
    <w:rsid w:val="00A06286"/>
    <w:rsid w:val="00A06318"/>
    <w:rsid w:val="00A063BC"/>
    <w:rsid w:val="00A068E1"/>
    <w:rsid w:val="00A06A80"/>
    <w:rsid w:val="00A06D8A"/>
    <w:rsid w:val="00A0711F"/>
    <w:rsid w:val="00A07B0B"/>
    <w:rsid w:val="00A102A0"/>
    <w:rsid w:val="00A1065D"/>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69A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BC4"/>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D1B"/>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9C5"/>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DAE"/>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1E2"/>
    <w:rsid w:val="00AF6986"/>
    <w:rsid w:val="00AF69FE"/>
    <w:rsid w:val="00AF6A77"/>
    <w:rsid w:val="00AF6D1B"/>
    <w:rsid w:val="00AF73ED"/>
    <w:rsid w:val="00AF7D69"/>
    <w:rsid w:val="00AF7ED2"/>
    <w:rsid w:val="00B004D8"/>
    <w:rsid w:val="00B00830"/>
    <w:rsid w:val="00B00CC5"/>
    <w:rsid w:val="00B016D2"/>
    <w:rsid w:val="00B02091"/>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95"/>
    <w:rsid w:val="00B15EA0"/>
    <w:rsid w:val="00B16069"/>
    <w:rsid w:val="00B1745A"/>
    <w:rsid w:val="00B17785"/>
    <w:rsid w:val="00B17A4E"/>
    <w:rsid w:val="00B17B30"/>
    <w:rsid w:val="00B17C2F"/>
    <w:rsid w:val="00B17CDA"/>
    <w:rsid w:val="00B210F1"/>
    <w:rsid w:val="00B2153E"/>
    <w:rsid w:val="00B2164F"/>
    <w:rsid w:val="00B218CB"/>
    <w:rsid w:val="00B21A77"/>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B9C"/>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0D0"/>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6C"/>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6C"/>
    <w:rsid w:val="00BD4EFB"/>
    <w:rsid w:val="00BD5076"/>
    <w:rsid w:val="00BD5551"/>
    <w:rsid w:val="00BD6D43"/>
    <w:rsid w:val="00BD6EA4"/>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730"/>
    <w:rsid w:val="00C128C9"/>
    <w:rsid w:val="00C12CF3"/>
    <w:rsid w:val="00C12F88"/>
    <w:rsid w:val="00C131A8"/>
    <w:rsid w:val="00C1322D"/>
    <w:rsid w:val="00C135A3"/>
    <w:rsid w:val="00C142B6"/>
    <w:rsid w:val="00C1455F"/>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734"/>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4C0"/>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2CB"/>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30C"/>
    <w:rsid w:val="00CF4416"/>
    <w:rsid w:val="00CF5762"/>
    <w:rsid w:val="00CF65B4"/>
    <w:rsid w:val="00CF6806"/>
    <w:rsid w:val="00CF69B0"/>
    <w:rsid w:val="00CF6C05"/>
    <w:rsid w:val="00CF7485"/>
    <w:rsid w:val="00CF7E56"/>
    <w:rsid w:val="00D01744"/>
    <w:rsid w:val="00D01C03"/>
    <w:rsid w:val="00D01D5D"/>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8BD"/>
    <w:rsid w:val="00D06F22"/>
    <w:rsid w:val="00D07A9C"/>
    <w:rsid w:val="00D07B44"/>
    <w:rsid w:val="00D10076"/>
    <w:rsid w:val="00D101FA"/>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2DF7"/>
    <w:rsid w:val="00D331A5"/>
    <w:rsid w:val="00D33565"/>
    <w:rsid w:val="00D33761"/>
    <w:rsid w:val="00D33762"/>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104"/>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C9C"/>
    <w:rsid w:val="00D61E7B"/>
    <w:rsid w:val="00D62111"/>
    <w:rsid w:val="00D62229"/>
    <w:rsid w:val="00D625B8"/>
    <w:rsid w:val="00D626F8"/>
    <w:rsid w:val="00D636DC"/>
    <w:rsid w:val="00D63F4C"/>
    <w:rsid w:val="00D64613"/>
    <w:rsid w:val="00D64702"/>
    <w:rsid w:val="00D649DC"/>
    <w:rsid w:val="00D66BFD"/>
    <w:rsid w:val="00D66C5B"/>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5B5"/>
    <w:rsid w:val="00D77961"/>
    <w:rsid w:val="00D77A47"/>
    <w:rsid w:val="00D77B20"/>
    <w:rsid w:val="00D77B3B"/>
    <w:rsid w:val="00D77BFF"/>
    <w:rsid w:val="00D8007C"/>
    <w:rsid w:val="00D8079F"/>
    <w:rsid w:val="00D8103B"/>
    <w:rsid w:val="00D8111B"/>
    <w:rsid w:val="00D81242"/>
    <w:rsid w:val="00D812D2"/>
    <w:rsid w:val="00D817EC"/>
    <w:rsid w:val="00D82259"/>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0BE2"/>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7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14C"/>
    <w:rsid w:val="00DF5F13"/>
    <w:rsid w:val="00DF63DD"/>
    <w:rsid w:val="00DF6B62"/>
    <w:rsid w:val="00DF6D27"/>
    <w:rsid w:val="00DF7BD0"/>
    <w:rsid w:val="00DF7BDF"/>
    <w:rsid w:val="00E00303"/>
    <w:rsid w:val="00E00A62"/>
    <w:rsid w:val="00E010A0"/>
    <w:rsid w:val="00E010A2"/>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36"/>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961"/>
    <w:rsid w:val="00E24A70"/>
    <w:rsid w:val="00E24C48"/>
    <w:rsid w:val="00E24EE4"/>
    <w:rsid w:val="00E25981"/>
    <w:rsid w:val="00E26056"/>
    <w:rsid w:val="00E26141"/>
    <w:rsid w:val="00E266F5"/>
    <w:rsid w:val="00E2673E"/>
    <w:rsid w:val="00E270D3"/>
    <w:rsid w:val="00E27209"/>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96B"/>
    <w:rsid w:val="00E55B28"/>
    <w:rsid w:val="00E56D4A"/>
    <w:rsid w:val="00E57119"/>
    <w:rsid w:val="00E5719E"/>
    <w:rsid w:val="00E57D7B"/>
    <w:rsid w:val="00E57F4B"/>
    <w:rsid w:val="00E601A5"/>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D24"/>
    <w:rsid w:val="00E64FAF"/>
    <w:rsid w:val="00E653A6"/>
    <w:rsid w:val="00E6549C"/>
    <w:rsid w:val="00E654B9"/>
    <w:rsid w:val="00E6589D"/>
    <w:rsid w:val="00E65E8C"/>
    <w:rsid w:val="00E662ED"/>
    <w:rsid w:val="00E663BF"/>
    <w:rsid w:val="00E665E7"/>
    <w:rsid w:val="00E6661C"/>
    <w:rsid w:val="00E66C96"/>
    <w:rsid w:val="00E674D0"/>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95B"/>
    <w:rsid w:val="00E85E4E"/>
    <w:rsid w:val="00E86327"/>
    <w:rsid w:val="00E86DF0"/>
    <w:rsid w:val="00E87BD2"/>
    <w:rsid w:val="00E87CDC"/>
    <w:rsid w:val="00E90B33"/>
    <w:rsid w:val="00E910E4"/>
    <w:rsid w:val="00E911E0"/>
    <w:rsid w:val="00E92115"/>
    <w:rsid w:val="00E9235E"/>
    <w:rsid w:val="00E93407"/>
    <w:rsid w:val="00E940A8"/>
    <w:rsid w:val="00E94307"/>
    <w:rsid w:val="00E947E8"/>
    <w:rsid w:val="00E94B0F"/>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117"/>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31F"/>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792"/>
    <w:rsid w:val="00ED3BDA"/>
    <w:rsid w:val="00ED5648"/>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0EFE"/>
    <w:rsid w:val="00F010BB"/>
    <w:rsid w:val="00F012C1"/>
    <w:rsid w:val="00F0175F"/>
    <w:rsid w:val="00F01A41"/>
    <w:rsid w:val="00F03280"/>
    <w:rsid w:val="00F0362A"/>
    <w:rsid w:val="00F0385C"/>
    <w:rsid w:val="00F03ABE"/>
    <w:rsid w:val="00F03B69"/>
    <w:rsid w:val="00F04345"/>
    <w:rsid w:val="00F047A4"/>
    <w:rsid w:val="00F04B40"/>
    <w:rsid w:val="00F04F52"/>
    <w:rsid w:val="00F0510F"/>
    <w:rsid w:val="00F0563F"/>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0F8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8E7"/>
    <w:rsid w:val="00F46BA6"/>
    <w:rsid w:val="00F46C97"/>
    <w:rsid w:val="00F4703E"/>
    <w:rsid w:val="00F4775F"/>
    <w:rsid w:val="00F47B16"/>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4F77"/>
    <w:rsid w:val="00F75731"/>
    <w:rsid w:val="00F75841"/>
    <w:rsid w:val="00F76333"/>
    <w:rsid w:val="00F770C6"/>
    <w:rsid w:val="00F77100"/>
    <w:rsid w:val="00F8090F"/>
    <w:rsid w:val="00F80A8A"/>
    <w:rsid w:val="00F8139A"/>
    <w:rsid w:val="00F82AAE"/>
    <w:rsid w:val="00F82D5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6D7"/>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6B"/>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E4927"/>
    <w:rsid w:val="01220B1D"/>
    <w:rsid w:val="0132010A"/>
    <w:rsid w:val="01365287"/>
    <w:rsid w:val="013A6F48"/>
    <w:rsid w:val="01AA2C10"/>
    <w:rsid w:val="01B42948"/>
    <w:rsid w:val="01C14C89"/>
    <w:rsid w:val="01C90E10"/>
    <w:rsid w:val="01FF477C"/>
    <w:rsid w:val="023A109F"/>
    <w:rsid w:val="02631873"/>
    <w:rsid w:val="027B039C"/>
    <w:rsid w:val="02D40B22"/>
    <w:rsid w:val="02EF5EA2"/>
    <w:rsid w:val="03231B33"/>
    <w:rsid w:val="034A0620"/>
    <w:rsid w:val="03521DAC"/>
    <w:rsid w:val="036C0ADA"/>
    <w:rsid w:val="037738D8"/>
    <w:rsid w:val="03BB0937"/>
    <w:rsid w:val="03D8291E"/>
    <w:rsid w:val="04272850"/>
    <w:rsid w:val="04310280"/>
    <w:rsid w:val="048F670A"/>
    <w:rsid w:val="04D62B9F"/>
    <w:rsid w:val="04F62A1A"/>
    <w:rsid w:val="05544226"/>
    <w:rsid w:val="05704DD8"/>
    <w:rsid w:val="05C01243"/>
    <w:rsid w:val="05E25CD6"/>
    <w:rsid w:val="05F17CC7"/>
    <w:rsid w:val="06495561"/>
    <w:rsid w:val="068955F4"/>
    <w:rsid w:val="068C5C42"/>
    <w:rsid w:val="06986401"/>
    <w:rsid w:val="06B41698"/>
    <w:rsid w:val="071D39E9"/>
    <w:rsid w:val="07342561"/>
    <w:rsid w:val="075F0692"/>
    <w:rsid w:val="07DB054A"/>
    <w:rsid w:val="07ED2710"/>
    <w:rsid w:val="083D2AF4"/>
    <w:rsid w:val="0855314D"/>
    <w:rsid w:val="085B58CB"/>
    <w:rsid w:val="08651D96"/>
    <w:rsid w:val="08670714"/>
    <w:rsid w:val="086C7996"/>
    <w:rsid w:val="08732C15"/>
    <w:rsid w:val="08923C42"/>
    <w:rsid w:val="08B03E69"/>
    <w:rsid w:val="08F46D33"/>
    <w:rsid w:val="08F53B23"/>
    <w:rsid w:val="09402F93"/>
    <w:rsid w:val="09567B34"/>
    <w:rsid w:val="09AA4D5C"/>
    <w:rsid w:val="09AB115C"/>
    <w:rsid w:val="09B53482"/>
    <w:rsid w:val="09CA0B1C"/>
    <w:rsid w:val="09CD18FD"/>
    <w:rsid w:val="09D45935"/>
    <w:rsid w:val="0A053C89"/>
    <w:rsid w:val="0A070656"/>
    <w:rsid w:val="0A182626"/>
    <w:rsid w:val="0A4230D4"/>
    <w:rsid w:val="0A4C5E14"/>
    <w:rsid w:val="0A8729A8"/>
    <w:rsid w:val="0A913ED8"/>
    <w:rsid w:val="0B24171E"/>
    <w:rsid w:val="0B437114"/>
    <w:rsid w:val="0B5C3243"/>
    <w:rsid w:val="0B5E59FA"/>
    <w:rsid w:val="0B7423F7"/>
    <w:rsid w:val="0BAD59A4"/>
    <w:rsid w:val="0BB4552A"/>
    <w:rsid w:val="0BBF43C3"/>
    <w:rsid w:val="0BE72E7F"/>
    <w:rsid w:val="0C013421"/>
    <w:rsid w:val="0C357211"/>
    <w:rsid w:val="0C3D49D2"/>
    <w:rsid w:val="0C466B45"/>
    <w:rsid w:val="0C4C20FB"/>
    <w:rsid w:val="0C8A5108"/>
    <w:rsid w:val="0C980270"/>
    <w:rsid w:val="0CD06D07"/>
    <w:rsid w:val="0D004E0C"/>
    <w:rsid w:val="0D352639"/>
    <w:rsid w:val="0D443CB1"/>
    <w:rsid w:val="0D584403"/>
    <w:rsid w:val="0D7D6AC3"/>
    <w:rsid w:val="0D956537"/>
    <w:rsid w:val="0DB678EE"/>
    <w:rsid w:val="0DEE7765"/>
    <w:rsid w:val="0E0C65B0"/>
    <w:rsid w:val="0E367C5D"/>
    <w:rsid w:val="0E476939"/>
    <w:rsid w:val="0EB75775"/>
    <w:rsid w:val="0EE65A0E"/>
    <w:rsid w:val="0F204221"/>
    <w:rsid w:val="0F2B5D1F"/>
    <w:rsid w:val="0F2C1D70"/>
    <w:rsid w:val="0F4D028A"/>
    <w:rsid w:val="10092127"/>
    <w:rsid w:val="101C0A97"/>
    <w:rsid w:val="10771710"/>
    <w:rsid w:val="10EF7331"/>
    <w:rsid w:val="10F67974"/>
    <w:rsid w:val="115F467E"/>
    <w:rsid w:val="11741C6B"/>
    <w:rsid w:val="117A14B8"/>
    <w:rsid w:val="11B60016"/>
    <w:rsid w:val="11C107B8"/>
    <w:rsid w:val="11DC343F"/>
    <w:rsid w:val="11DF2409"/>
    <w:rsid w:val="123E43D7"/>
    <w:rsid w:val="12524C6B"/>
    <w:rsid w:val="12685FCD"/>
    <w:rsid w:val="126B7053"/>
    <w:rsid w:val="12706417"/>
    <w:rsid w:val="12FE3A23"/>
    <w:rsid w:val="13052BC6"/>
    <w:rsid w:val="131A6D6F"/>
    <w:rsid w:val="135D1254"/>
    <w:rsid w:val="13620456"/>
    <w:rsid w:val="1370286E"/>
    <w:rsid w:val="13B14F39"/>
    <w:rsid w:val="13DC7E28"/>
    <w:rsid w:val="13EF0479"/>
    <w:rsid w:val="142100DC"/>
    <w:rsid w:val="144A161A"/>
    <w:rsid w:val="14542808"/>
    <w:rsid w:val="145C4EA5"/>
    <w:rsid w:val="14636234"/>
    <w:rsid w:val="146F2C7A"/>
    <w:rsid w:val="1494138F"/>
    <w:rsid w:val="149E4992"/>
    <w:rsid w:val="14BC1DE8"/>
    <w:rsid w:val="14CF5677"/>
    <w:rsid w:val="14F639A8"/>
    <w:rsid w:val="157E66AC"/>
    <w:rsid w:val="158926CC"/>
    <w:rsid w:val="158F4E06"/>
    <w:rsid w:val="15972E86"/>
    <w:rsid w:val="15A405BA"/>
    <w:rsid w:val="15B17473"/>
    <w:rsid w:val="15E21718"/>
    <w:rsid w:val="15EE5FD1"/>
    <w:rsid w:val="15FA4E10"/>
    <w:rsid w:val="16210CAE"/>
    <w:rsid w:val="162E2073"/>
    <w:rsid w:val="16337E88"/>
    <w:rsid w:val="1665095C"/>
    <w:rsid w:val="16E742AD"/>
    <w:rsid w:val="16FE3FF2"/>
    <w:rsid w:val="170830C2"/>
    <w:rsid w:val="170E5D26"/>
    <w:rsid w:val="17694B12"/>
    <w:rsid w:val="17732E3B"/>
    <w:rsid w:val="17A76437"/>
    <w:rsid w:val="17BE59A2"/>
    <w:rsid w:val="17CC40F0"/>
    <w:rsid w:val="18185849"/>
    <w:rsid w:val="183D0B4A"/>
    <w:rsid w:val="185A11F0"/>
    <w:rsid w:val="18820C52"/>
    <w:rsid w:val="18B72FDA"/>
    <w:rsid w:val="18C176C1"/>
    <w:rsid w:val="18E13BCB"/>
    <w:rsid w:val="18F2465E"/>
    <w:rsid w:val="19094ED0"/>
    <w:rsid w:val="192A247A"/>
    <w:rsid w:val="193B3DD0"/>
    <w:rsid w:val="194505FE"/>
    <w:rsid w:val="1A147FD0"/>
    <w:rsid w:val="1A3C7AE3"/>
    <w:rsid w:val="1A442DE9"/>
    <w:rsid w:val="1A657AF2"/>
    <w:rsid w:val="1A7867B1"/>
    <w:rsid w:val="1AB52EEB"/>
    <w:rsid w:val="1AFB2E83"/>
    <w:rsid w:val="1B161797"/>
    <w:rsid w:val="1B27381F"/>
    <w:rsid w:val="1B5317B0"/>
    <w:rsid w:val="1B6C7065"/>
    <w:rsid w:val="1BC305D3"/>
    <w:rsid w:val="1BD0092E"/>
    <w:rsid w:val="1BF14125"/>
    <w:rsid w:val="1BF52D89"/>
    <w:rsid w:val="1C136BED"/>
    <w:rsid w:val="1C3276CE"/>
    <w:rsid w:val="1C331E56"/>
    <w:rsid w:val="1CA4388D"/>
    <w:rsid w:val="1CB87339"/>
    <w:rsid w:val="1CC50941"/>
    <w:rsid w:val="1CD55680"/>
    <w:rsid w:val="1D1417F2"/>
    <w:rsid w:val="1D321E13"/>
    <w:rsid w:val="1D5F1562"/>
    <w:rsid w:val="1DB317DF"/>
    <w:rsid w:val="1DBC044E"/>
    <w:rsid w:val="1DE9287D"/>
    <w:rsid w:val="1E1D56A5"/>
    <w:rsid w:val="1E2057E1"/>
    <w:rsid w:val="1E24204F"/>
    <w:rsid w:val="1E5411DB"/>
    <w:rsid w:val="1E5B61CE"/>
    <w:rsid w:val="1E627290"/>
    <w:rsid w:val="1EB60577"/>
    <w:rsid w:val="1ED33FB6"/>
    <w:rsid w:val="1EE73F05"/>
    <w:rsid w:val="1F337FBF"/>
    <w:rsid w:val="1F3F33F9"/>
    <w:rsid w:val="1F406193"/>
    <w:rsid w:val="1F4849CA"/>
    <w:rsid w:val="1F527CFE"/>
    <w:rsid w:val="1F6410B2"/>
    <w:rsid w:val="1F873477"/>
    <w:rsid w:val="1F921807"/>
    <w:rsid w:val="1F963F8B"/>
    <w:rsid w:val="1FA74DBF"/>
    <w:rsid w:val="1FE04B36"/>
    <w:rsid w:val="1FE30229"/>
    <w:rsid w:val="20AF45AF"/>
    <w:rsid w:val="20B00655"/>
    <w:rsid w:val="20F3747A"/>
    <w:rsid w:val="21001184"/>
    <w:rsid w:val="2129479D"/>
    <w:rsid w:val="21455F84"/>
    <w:rsid w:val="21A25EC1"/>
    <w:rsid w:val="21D71C28"/>
    <w:rsid w:val="221E7C3E"/>
    <w:rsid w:val="2247135C"/>
    <w:rsid w:val="22E31448"/>
    <w:rsid w:val="23097256"/>
    <w:rsid w:val="2309793A"/>
    <w:rsid w:val="231177A3"/>
    <w:rsid w:val="23143B2C"/>
    <w:rsid w:val="2346435F"/>
    <w:rsid w:val="236A2BA1"/>
    <w:rsid w:val="236B6DD9"/>
    <w:rsid w:val="23B2210F"/>
    <w:rsid w:val="23EB639D"/>
    <w:rsid w:val="24066307"/>
    <w:rsid w:val="24081C9F"/>
    <w:rsid w:val="24217571"/>
    <w:rsid w:val="244119C2"/>
    <w:rsid w:val="24977600"/>
    <w:rsid w:val="24A3442A"/>
    <w:rsid w:val="24AE34FB"/>
    <w:rsid w:val="24B831E2"/>
    <w:rsid w:val="24E63832"/>
    <w:rsid w:val="250B120F"/>
    <w:rsid w:val="252C7220"/>
    <w:rsid w:val="25387F6D"/>
    <w:rsid w:val="25457290"/>
    <w:rsid w:val="25A339D6"/>
    <w:rsid w:val="25C32FD6"/>
    <w:rsid w:val="25C60ECD"/>
    <w:rsid w:val="260F621B"/>
    <w:rsid w:val="26527EB6"/>
    <w:rsid w:val="26643CD6"/>
    <w:rsid w:val="26697889"/>
    <w:rsid w:val="26944985"/>
    <w:rsid w:val="26A50560"/>
    <w:rsid w:val="270F55EE"/>
    <w:rsid w:val="272F1A96"/>
    <w:rsid w:val="27550E8B"/>
    <w:rsid w:val="278B262C"/>
    <w:rsid w:val="2791112C"/>
    <w:rsid w:val="27B506FD"/>
    <w:rsid w:val="27F52753"/>
    <w:rsid w:val="27FC27CF"/>
    <w:rsid w:val="287B4705"/>
    <w:rsid w:val="28BA3EF7"/>
    <w:rsid w:val="28C876FF"/>
    <w:rsid w:val="28E76FDC"/>
    <w:rsid w:val="2907776F"/>
    <w:rsid w:val="290D044B"/>
    <w:rsid w:val="294F655C"/>
    <w:rsid w:val="29735D01"/>
    <w:rsid w:val="297B0CF7"/>
    <w:rsid w:val="298F4ADE"/>
    <w:rsid w:val="29933CE2"/>
    <w:rsid w:val="29B449E4"/>
    <w:rsid w:val="29B96C47"/>
    <w:rsid w:val="29BD5F8E"/>
    <w:rsid w:val="29E75EC1"/>
    <w:rsid w:val="2A0F0515"/>
    <w:rsid w:val="2A1B3587"/>
    <w:rsid w:val="2A262F22"/>
    <w:rsid w:val="2AA5195D"/>
    <w:rsid w:val="2AAB11FC"/>
    <w:rsid w:val="2ACB77CC"/>
    <w:rsid w:val="2AF01521"/>
    <w:rsid w:val="2AF94848"/>
    <w:rsid w:val="2B021EE1"/>
    <w:rsid w:val="2B1C1EC0"/>
    <w:rsid w:val="2B6D36FD"/>
    <w:rsid w:val="2B755B15"/>
    <w:rsid w:val="2B822DA1"/>
    <w:rsid w:val="2BAD0C2F"/>
    <w:rsid w:val="2BB92785"/>
    <w:rsid w:val="2BEE03F9"/>
    <w:rsid w:val="2C0B44D1"/>
    <w:rsid w:val="2C8B34B2"/>
    <w:rsid w:val="2C9B4CBA"/>
    <w:rsid w:val="2CD535EF"/>
    <w:rsid w:val="2CD77367"/>
    <w:rsid w:val="2CFA4516"/>
    <w:rsid w:val="2D282439"/>
    <w:rsid w:val="2D623A20"/>
    <w:rsid w:val="2D7626DC"/>
    <w:rsid w:val="2D832A39"/>
    <w:rsid w:val="2D8E211C"/>
    <w:rsid w:val="2D8F6A09"/>
    <w:rsid w:val="2D992479"/>
    <w:rsid w:val="2DBB4593"/>
    <w:rsid w:val="2E053A60"/>
    <w:rsid w:val="2E114AFB"/>
    <w:rsid w:val="2E47051C"/>
    <w:rsid w:val="2E720D12"/>
    <w:rsid w:val="2EA133AF"/>
    <w:rsid w:val="2EDD2DD9"/>
    <w:rsid w:val="2F04396E"/>
    <w:rsid w:val="2F0D46D3"/>
    <w:rsid w:val="2F282329"/>
    <w:rsid w:val="2F2B399A"/>
    <w:rsid w:val="2F2C7545"/>
    <w:rsid w:val="2F6628DC"/>
    <w:rsid w:val="2F723467"/>
    <w:rsid w:val="2F765818"/>
    <w:rsid w:val="2F827A5E"/>
    <w:rsid w:val="2F922149"/>
    <w:rsid w:val="2FBC1406"/>
    <w:rsid w:val="2FCA743A"/>
    <w:rsid w:val="2FE125A5"/>
    <w:rsid w:val="2FF00B81"/>
    <w:rsid w:val="30442F65"/>
    <w:rsid w:val="306835D0"/>
    <w:rsid w:val="307A0CF3"/>
    <w:rsid w:val="3086532C"/>
    <w:rsid w:val="30976FF4"/>
    <w:rsid w:val="30B3378C"/>
    <w:rsid w:val="30C92825"/>
    <w:rsid w:val="30FD72FC"/>
    <w:rsid w:val="31342FDA"/>
    <w:rsid w:val="316E1F6C"/>
    <w:rsid w:val="31EC5663"/>
    <w:rsid w:val="32153FA4"/>
    <w:rsid w:val="322113BA"/>
    <w:rsid w:val="324A07BF"/>
    <w:rsid w:val="32662F17"/>
    <w:rsid w:val="32690A61"/>
    <w:rsid w:val="32785148"/>
    <w:rsid w:val="32997D7F"/>
    <w:rsid w:val="32A0292F"/>
    <w:rsid w:val="32A02B99"/>
    <w:rsid w:val="32A0644D"/>
    <w:rsid w:val="32A10A97"/>
    <w:rsid w:val="32AC094E"/>
    <w:rsid w:val="32BE76B1"/>
    <w:rsid w:val="32F56432"/>
    <w:rsid w:val="32FC090F"/>
    <w:rsid w:val="3301513E"/>
    <w:rsid w:val="330F2BAA"/>
    <w:rsid w:val="337D5F7B"/>
    <w:rsid w:val="3391585B"/>
    <w:rsid w:val="33D414D0"/>
    <w:rsid w:val="33D766DE"/>
    <w:rsid w:val="33F441ED"/>
    <w:rsid w:val="33F86C3D"/>
    <w:rsid w:val="3411197D"/>
    <w:rsid w:val="341D56D4"/>
    <w:rsid w:val="34441786"/>
    <w:rsid w:val="34603E67"/>
    <w:rsid w:val="34784F8C"/>
    <w:rsid w:val="350635C4"/>
    <w:rsid w:val="353F2671"/>
    <w:rsid w:val="35595EB8"/>
    <w:rsid w:val="357A4D33"/>
    <w:rsid w:val="357A546B"/>
    <w:rsid w:val="358D7389"/>
    <w:rsid w:val="35AA5640"/>
    <w:rsid w:val="35B7388B"/>
    <w:rsid w:val="35CD358A"/>
    <w:rsid w:val="35F27820"/>
    <w:rsid w:val="36232DB0"/>
    <w:rsid w:val="36257395"/>
    <w:rsid w:val="365A5CAA"/>
    <w:rsid w:val="366C4FC4"/>
    <w:rsid w:val="367530D4"/>
    <w:rsid w:val="368C2F70"/>
    <w:rsid w:val="36987B67"/>
    <w:rsid w:val="36C82182"/>
    <w:rsid w:val="37691503"/>
    <w:rsid w:val="37915FF8"/>
    <w:rsid w:val="379252D3"/>
    <w:rsid w:val="37A61E10"/>
    <w:rsid w:val="37B6670C"/>
    <w:rsid w:val="37FE1C4C"/>
    <w:rsid w:val="38115675"/>
    <w:rsid w:val="382B5607"/>
    <w:rsid w:val="385F359C"/>
    <w:rsid w:val="38D570F4"/>
    <w:rsid w:val="38DD3F57"/>
    <w:rsid w:val="390A63CE"/>
    <w:rsid w:val="391159AF"/>
    <w:rsid w:val="3970219E"/>
    <w:rsid w:val="39FC040D"/>
    <w:rsid w:val="3A2E22BA"/>
    <w:rsid w:val="3A425597"/>
    <w:rsid w:val="3A5B6BEB"/>
    <w:rsid w:val="3A777A93"/>
    <w:rsid w:val="3AF54FCB"/>
    <w:rsid w:val="3AFD268F"/>
    <w:rsid w:val="3B290643"/>
    <w:rsid w:val="3BA80B19"/>
    <w:rsid w:val="3BEA7426"/>
    <w:rsid w:val="3BF44347"/>
    <w:rsid w:val="3C074E88"/>
    <w:rsid w:val="3C3A292A"/>
    <w:rsid w:val="3C3E4D0D"/>
    <w:rsid w:val="3C4240EC"/>
    <w:rsid w:val="3C6660AA"/>
    <w:rsid w:val="3C991F43"/>
    <w:rsid w:val="3CBF13D6"/>
    <w:rsid w:val="3CC94A4B"/>
    <w:rsid w:val="3CD36EA9"/>
    <w:rsid w:val="3CDD2778"/>
    <w:rsid w:val="3D711B40"/>
    <w:rsid w:val="3D97619E"/>
    <w:rsid w:val="3DE47B36"/>
    <w:rsid w:val="3DFB0640"/>
    <w:rsid w:val="3E1877DF"/>
    <w:rsid w:val="3E1B3E2B"/>
    <w:rsid w:val="3E235EC8"/>
    <w:rsid w:val="3E800AA6"/>
    <w:rsid w:val="3EA42E21"/>
    <w:rsid w:val="3EEC4EF4"/>
    <w:rsid w:val="3EED2A1A"/>
    <w:rsid w:val="3EF77AE6"/>
    <w:rsid w:val="3EFB0FFF"/>
    <w:rsid w:val="3F0B2EA0"/>
    <w:rsid w:val="3F3A1FEB"/>
    <w:rsid w:val="3F4A7E6C"/>
    <w:rsid w:val="3F5C0140"/>
    <w:rsid w:val="3F874C1D"/>
    <w:rsid w:val="3F9335C1"/>
    <w:rsid w:val="3F9A1727"/>
    <w:rsid w:val="403A3A3D"/>
    <w:rsid w:val="40877969"/>
    <w:rsid w:val="40A67243"/>
    <w:rsid w:val="40D71F30"/>
    <w:rsid w:val="40EB3F89"/>
    <w:rsid w:val="4159631C"/>
    <w:rsid w:val="416D28F9"/>
    <w:rsid w:val="41764F49"/>
    <w:rsid w:val="41931657"/>
    <w:rsid w:val="41DE2E55"/>
    <w:rsid w:val="41E4605C"/>
    <w:rsid w:val="41E81A0D"/>
    <w:rsid w:val="41EA4FEF"/>
    <w:rsid w:val="42253D73"/>
    <w:rsid w:val="422C7D41"/>
    <w:rsid w:val="423346D0"/>
    <w:rsid w:val="42A930FC"/>
    <w:rsid w:val="42D244AC"/>
    <w:rsid w:val="42D31F27"/>
    <w:rsid w:val="42EB7271"/>
    <w:rsid w:val="42F17338"/>
    <w:rsid w:val="4346740A"/>
    <w:rsid w:val="43EC6D56"/>
    <w:rsid w:val="44044A88"/>
    <w:rsid w:val="440B65FC"/>
    <w:rsid w:val="44112D07"/>
    <w:rsid w:val="442C7B41"/>
    <w:rsid w:val="44485EDC"/>
    <w:rsid w:val="445D5F4C"/>
    <w:rsid w:val="44B268E0"/>
    <w:rsid w:val="44E4602A"/>
    <w:rsid w:val="452D6B44"/>
    <w:rsid w:val="45507A2B"/>
    <w:rsid w:val="45594419"/>
    <w:rsid w:val="456A4DC4"/>
    <w:rsid w:val="45723C79"/>
    <w:rsid w:val="45933D32"/>
    <w:rsid w:val="45997458"/>
    <w:rsid w:val="45B80788"/>
    <w:rsid w:val="45D55AA5"/>
    <w:rsid w:val="45DB2E04"/>
    <w:rsid w:val="45F026AD"/>
    <w:rsid w:val="45F4468E"/>
    <w:rsid w:val="46115B46"/>
    <w:rsid w:val="46480997"/>
    <w:rsid w:val="469A3487"/>
    <w:rsid w:val="46B06807"/>
    <w:rsid w:val="46D36999"/>
    <w:rsid w:val="46EA4E15"/>
    <w:rsid w:val="46F210A6"/>
    <w:rsid w:val="478A0415"/>
    <w:rsid w:val="47A876A1"/>
    <w:rsid w:val="47C35F17"/>
    <w:rsid w:val="47D80C5B"/>
    <w:rsid w:val="47E9061B"/>
    <w:rsid w:val="47EC1AC1"/>
    <w:rsid w:val="47F57549"/>
    <w:rsid w:val="481925EE"/>
    <w:rsid w:val="48221986"/>
    <w:rsid w:val="483C64D6"/>
    <w:rsid w:val="484245C7"/>
    <w:rsid w:val="486567A6"/>
    <w:rsid w:val="48677399"/>
    <w:rsid w:val="486F2409"/>
    <w:rsid w:val="488D7CFE"/>
    <w:rsid w:val="48BF5427"/>
    <w:rsid w:val="49323FD7"/>
    <w:rsid w:val="496117F6"/>
    <w:rsid w:val="498779AB"/>
    <w:rsid w:val="49E8204B"/>
    <w:rsid w:val="49FD0ED9"/>
    <w:rsid w:val="49FE6663"/>
    <w:rsid w:val="4A0E4855"/>
    <w:rsid w:val="4A253068"/>
    <w:rsid w:val="4A2F038B"/>
    <w:rsid w:val="4A3D7D66"/>
    <w:rsid w:val="4AB34258"/>
    <w:rsid w:val="4AEA33F6"/>
    <w:rsid w:val="4BD25A8A"/>
    <w:rsid w:val="4C075A54"/>
    <w:rsid w:val="4C12409B"/>
    <w:rsid w:val="4C433C79"/>
    <w:rsid w:val="4C51283A"/>
    <w:rsid w:val="4C7636E2"/>
    <w:rsid w:val="4C983D77"/>
    <w:rsid w:val="4CA8645C"/>
    <w:rsid w:val="4CDC4ADA"/>
    <w:rsid w:val="4CDC65DC"/>
    <w:rsid w:val="4D137AF0"/>
    <w:rsid w:val="4D2C0BB1"/>
    <w:rsid w:val="4D4518BD"/>
    <w:rsid w:val="4D5601C7"/>
    <w:rsid w:val="4D5636C2"/>
    <w:rsid w:val="4D862070"/>
    <w:rsid w:val="4DC3619D"/>
    <w:rsid w:val="4E097A0F"/>
    <w:rsid w:val="4E1E1582"/>
    <w:rsid w:val="4E1E5E30"/>
    <w:rsid w:val="4E4A6D7C"/>
    <w:rsid w:val="4E606A50"/>
    <w:rsid w:val="4E873E5B"/>
    <w:rsid w:val="4EAC5711"/>
    <w:rsid w:val="4EC07803"/>
    <w:rsid w:val="4ECF696D"/>
    <w:rsid w:val="4EF95800"/>
    <w:rsid w:val="4F1560AE"/>
    <w:rsid w:val="4F19364B"/>
    <w:rsid w:val="4F5C46C2"/>
    <w:rsid w:val="4FE41302"/>
    <w:rsid w:val="50946380"/>
    <w:rsid w:val="50A53155"/>
    <w:rsid w:val="50AC1958"/>
    <w:rsid w:val="50BE74BB"/>
    <w:rsid w:val="50CC2B78"/>
    <w:rsid w:val="50F17578"/>
    <w:rsid w:val="50FD6AED"/>
    <w:rsid w:val="513E2C61"/>
    <w:rsid w:val="51502C40"/>
    <w:rsid w:val="51B2004B"/>
    <w:rsid w:val="51BE24D8"/>
    <w:rsid w:val="51EE6435"/>
    <w:rsid w:val="51F03A65"/>
    <w:rsid w:val="52006F0A"/>
    <w:rsid w:val="52075749"/>
    <w:rsid w:val="520E67ED"/>
    <w:rsid w:val="525F471D"/>
    <w:rsid w:val="528227A2"/>
    <w:rsid w:val="529B6F46"/>
    <w:rsid w:val="52A42F98"/>
    <w:rsid w:val="52C673B2"/>
    <w:rsid w:val="52FE7559"/>
    <w:rsid w:val="5307019F"/>
    <w:rsid w:val="53A476F3"/>
    <w:rsid w:val="53D356F0"/>
    <w:rsid w:val="53E67B86"/>
    <w:rsid w:val="54556AEA"/>
    <w:rsid w:val="548D796A"/>
    <w:rsid w:val="54C97656"/>
    <w:rsid w:val="5504033D"/>
    <w:rsid w:val="55131A57"/>
    <w:rsid w:val="5516017D"/>
    <w:rsid w:val="55622629"/>
    <w:rsid w:val="55807CEC"/>
    <w:rsid w:val="55D5003B"/>
    <w:rsid w:val="568F468B"/>
    <w:rsid w:val="56AD0C0E"/>
    <w:rsid w:val="56E568B0"/>
    <w:rsid w:val="56F3629C"/>
    <w:rsid w:val="574D2D3C"/>
    <w:rsid w:val="577D71D5"/>
    <w:rsid w:val="57AC3625"/>
    <w:rsid w:val="57C2639A"/>
    <w:rsid w:val="57C32AA3"/>
    <w:rsid w:val="57DC5C5E"/>
    <w:rsid w:val="57F011FA"/>
    <w:rsid w:val="57FD3876"/>
    <w:rsid w:val="58156E12"/>
    <w:rsid w:val="58931AE5"/>
    <w:rsid w:val="58B54151"/>
    <w:rsid w:val="58CD6DC8"/>
    <w:rsid w:val="58DC348C"/>
    <w:rsid w:val="59425D4D"/>
    <w:rsid w:val="59710078"/>
    <w:rsid w:val="59853B23"/>
    <w:rsid w:val="598819AD"/>
    <w:rsid w:val="5988716F"/>
    <w:rsid w:val="598E06F5"/>
    <w:rsid w:val="59B575ED"/>
    <w:rsid w:val="5A0A5DD6"/>
    <w:rsid w:val="5A1756BB"/>
    <w:rsid w:val="5A3A2DDD"/>
    <w:rsid w:val="5A3D43FE"/>
    <w:rsid w:val="5A507FFB"/>
    <w:rsid w:val="5A8042EB"/>
    <w:rsid w:val="5A8C2F3D"/>
    <w:rsid w:val="5A9658BC"/>
    <w:rsid w:val="5ADF1011"/>
    <w:rsid w:val="5B0311A3"/>
    <w:rsid w:val="5B2678FE"/>
    <w:rsid w:val="5B7B2369"/>
    <w:rsid w:val="5B871DD5"/>
    <w:rsid w:val="5B9C6F02"/>
    <w:rsid w:val="5BC671A5"/>
    <w:rsid w:val="5BF01A57"/>
    <w:rsid w:val="5BF918A2"/>
    <w:rsid w:val="5C0827EA"/>
    <w:rsid w:val="5C5679F9"/>
    <w:rsid w:val="5C642116"/>
    <w:rsid w:val="5C9654EB"/>
    <w:rsid w:val="5C974299"/>
    <w:rsid w:val="5CF144E0"/>
    <w:rsid w:val="5D1A4582"/>
    <w:rsid w:val="5D5E7F3F"/>
    <w:rsid w:val="5D9C0A65"/>
    <w:rsid w:val="5DA65D35"/>
    <w:rsid w:val="5DB23D3B"/>
    <w:rsid w:val="5DBC6EDD"/>
    <w:rsid w:val="5DBE7604"/>
    <w:rsid w:val="5DF474C9"/>
    <w:rsid w:val="5E5166CA"/>
    <w:rsid w:val="5E6B1977"/>
    <w:rsid w:val="5EBF3633"/>
    <w:rsid w:val="5EF4178D"/>
    <w:rsid w:val="5F337039"/>
    <w:rsid w:val="5F41522B"/>
    <w:rsid w:val="5F6C6F8E"/>
    <w:rsid w:val="5FA11DDC"/>
    <w:rsid w:val="5FB409C4"/>
    <w:rsid w:val="5FB533AE"/>
    <w:rsid w:val="5FBF25BC"/>
    <w:rsid w:val="600F3492"/>
    <w:rsid w:val="6016372D"/>
    <w:rsid w:val="602B0C01"/>
    <w:rsid w:val="603C552C"/>
    <w:rsid w:val="607F3CD1"/>
    <w:rsid w:val="60AB17D3"/>
    <w:rsid w:val="60AD685F"/>
    <w:rsid w:val="60E87D80"/>
    <w:rsid w:val="60F32B9D"/>
    <w:rsid w:val="60FE2CC9"/>
    <w:rsid w:val="6140449A"/>
    <w:rsid w:val="616A7CEE"/>
    <w:rsid w:val="616C45AA"/>
    <w:rsid w:val="616E6854"/>
    <w:rsid w:val="61AB4343"/>
    <w:rsid w:val="61C139EE"/>
    <w:rsid w:val="61ED495B"/>
    <w:rsid w:val="62093465"/>
    <w:rsid w:val="62315204"/>
    <w:rsid w:val="623D5798"/>
    <w:rsid w:val="624B5626"/>
    <w:rsid w:val="625978FB"/>
    <w:rsid w:val="627B4304"/>
    <w:rsid w:val="629422F6"/>
    <w:rsid w:val="629E1CA0"/>
    <w:rsid w:val="62B8336A"/>
    <w:rsid w:val="62FC72F4"/>
    <w:rsid w:val="630E3F0B"/>
    <w:rsid w:val="63D61AC1"/>
    <w:rsid w:val="640D6A68"/>
    <w:rsid w:val="64284BF5"/>
    <w:rsid w:val="64337579"/>
    <w:rsid w:val="64441196"/>
    <w:rsid w:val="64AD2180"/>
    <w:rsid w:val="64BC3993"/>
    <w:rsid w:val="64CF0348"/>
    <w:rsid w:val="65091B75"/>
    <w:rsid w:val="65B23EF2"/>
    <w:rsid w:val="65BC6440"/>
    <w:rsid w:val="65C36E7F"/>
    <w:rsid w:val="65D21A26"/>
    <w:rsid w:val="663242F3"/>
    <w:rsid w:val="663B7430"/>
    <w:rsid w:val="6650413E"/>
    <w:rsid w:val="667967BE"/>
    <w:rsid w:val="66A01F9C"/>
    <w:rsid w:val="66CE5850"/>
    <w:rsid w:val="6717262A"/>
    <w:rsid w:val="6727446C"/>
    <w:rsid w:val="67283DE8"/>
    <w:rsid w:val="672A0BC3"/>
    <w:rsid w:val="6778422B"/>
    <w:rsid w:val="67945FBE"/>
    <w:rsid w:val="67A10D30"/>
    <w:rsid w:val="67A46E32"/>
    <w:rsid w:val="67D363A2"/>
    <w:rsid w:val="685F3791"/>
    <w:rsid w:val="687775B2"/>
    <w:rsid w:val="68BF6993"/>
    <w:rsid w:val="692B50DF"/>
    <w:rsid w:val="6944439E"/>
    <w:rsid w:val="69821E2D"/>
    <w:rsid w:val="699C5D55"/>
    <w:rsid w:val="699F29DF"/>
    <w:rsid w:val="69E94088"/>
    <w:rsid w:val="6A1B14A7"/>
    <w:rsid w:val="6A5C267E"/>
    <w:rsid w:val="6A5F216E"/>
    <w:rsid w:val="6A664BE2"/>
    <w:rsid w:val="6AA47D04"/>
    <w:rsid w:val="6AA87672"/>
    <w:rsid w:val="6AD36841"/>
    <w:rsid w:val="6AE5012B"/>
    <w:rsid w:val="6AE86A2C"/>
    <w:rsid w:val="6AEC1C54"/>
    <w:rsid w:val="6B032AFA"/>
    <w:rsid w:val="6B04097D"/>
    <w:rsid w:val="6B0F23AB"/>
    <w:rsid w:val="6B241A17"/>
    <w:rsid w:val="6B3C7DBA"/>
    <w:rsid w:val="6B7636D8"/>
    <w:rsid w:val="6B987B83"/>
    <w:rsid w:val="6C077347"/>
    <w:rsid w:val="6C156F89"/>
    <w:rsid w:val="6C5720D9"/>
    <w:rsid w:val="6C692E30"/>
    <w:rsid w:val="6C731F01"/>
    <w:rsid w:val="6CCE0573"/>
    <w:rsid w:val="6D1C1338"/>
    <w:rsid w:val="6D327E28"/>
    <w:rsid w:val="6D827516"/>
    <w:rsid w:val="6D957CEF"/>
    <w:rsid w:val="6E1148C4"/>
    <w:rsid w:val="6E762971"/>
    <w:rsid w:val="6E836BA0"/>
    <w:rsid w:val="6E914282"/>
    <w:rsid w:val="6E947720"/>
    <w:rsid w:val="6E9C0F6F"/>
    <w:rsid w:val="6F0D03EB"/>
    <w:rsid w:val="6F0E4EC3"/>
    <w:rsid w:val="6F0F5F11"/>
    <w:rsid w:val="6F1A17D3"/>
    <w:rsid w:val="6F2F25FC"/>
    <w:rsid w:val="6F5222A2"/>
    <w:rsid w:val="6F675D4D"/>
    <w:rsid w:val="70390D6C"/>
    <w:rsid w:val="703A4839"/>
    <w:rsid w:val="705557C5"/>
    <w:rsid w:val="70557737"/>
    <w:rsid w:val="70827E61"/>
    <w:rsid w:val="70A87CEF"/>
    <w:rsid w:val="70BE7F61"/>
    <w:rsid w:val="70D6480D"/>
    <w:rsid w:val="70FC1286"/>
    <w:rsid w:val="71500A63"/>
    <w:rsid w:val="716D41E0"/>
    <w:rsid w:val="71866233"/>
    <w:rsid w:val="71AB5C99"/>
    <w:rsid w:val="71AD7318"/>
    <w:rsid w:val="71C0472B"/>
    <w:rsid w:val="71C37A53"/>
    <w:rsid w:val="71DA3FA1"/>
    <w:rsid w:val="71F92EA9"/>
    <w:rsid w:val="7222299C"/>
    <w:rsid w:val="723839D1"/>
    <w:rsid w:val="72424CFF"/>
    <w:rsid w:val="72514A93"/>
    <w:rsid w:val="72553376"/>
    <w:rsid w:val="726D70E7"/>
    <w:rsid w:val="72A63D8F"/>
    <w:rsid w:val="735C724B"/>
    <w:rsid w:val="73711400"/>
    <w:rsid w:val="7389674C"/>
    <w:rsid w:val="7399224D"/>
    <w:rsid w:val="73B41655"/>
    <w:rsid w:val="73C975C3"/>
    <w:rsid w:val="73CA0659"/>
    <w:rsid w:val="73F52C69"/>
    <w:rsid w:val="74122000"/>
    <w:rsid w:val="742F670E"/>
    <w:rsid w:val="743E6263"/>
    <w:rsid w:val="74471CA9"/>
    <w:rsid w:val="74781E45"/>
    <w:rsid w:val="747D74F0"/>
    <w:rsid w:val="74831634"/>
    <w:rsid w:val="74B43545"/>
    <w:rsid w:val="74C31ECB"/>
    <w:rsid w:val="74D252CE"/>
    <w:rsid w:val="74DE78D9"/>
    <w:rsid w:val="74DF0134"/>
    <w:rsid w:val="751A5610"/>
    <w:rsid w:val="754E350B"/>
    <w:rsid w:val="75530B22"/>
    <w:rsid w:val="755564CD"/>
    <w:rsid w:val="75864A53"/>
    <w:rsid w:val="75942919"/>
    <w:rsid w:val="75AB44C9"/>
    <w:rsid w:val="763F39A3"/>
    <w:rsid w:val="76FE0619"/>
    <w:rsid w:val="77057A22"/>
    <w:rsid w:val="771A08AE"/>
    <w:rsid w:val="775748F9"/>
    <w:rsid w:val="77613357"/>
    <w:rsid w:val="77955421"/>
    <w:rsid w:val="77AA57AB"/>
    <w:rsid w:val="77B214F6"/>
    <w:rsid w:val="77C6382D"/>
    <w:rsid w:val="77D77BA0"/>
    <w:rsid w:val="786F5C73"/>
    <w:rsid w:val="78CC6A0B"/>
    <w:rsid w:val="79123ACF"/>
    <w:rsid w:val="79370FF4"/>
    <w:rsid w:val="793D1FED"/>
    <w:rsid w:val="796B01E8"/>
    <w:rsid w:val="799C2199"/>
    <w:rsid w:val="79A24E4F"/>
    <w:rsid w:val="79AB4A88"/>
    <w:rsid w:val="79B3393D"/>
    <w:rsid w:val="79ED32F3"/>
    <w:rsid w:val="7A173ECC"/>
    <w:rsid w:val="7A721A4A"/>
    <w:rsid w:val="7A7915E1"/>
    <w:rsid w:val="7AAA36FF"/>
    <w:rsid w:val="7ADA5163"/>
    <w:rsid w:val="7AE94C40"/>
    <w:rsid w:val="7B2C2BB5"/>
    <w:rsid w:val="7B4A4345"/>
    <w:rsid w:val="7B4E4F55"/>
    <w:rsid w:val="7B5353D8"/>
    <w:rsid w:val="7B8657AD"/>
    <w:rsid w:val="7B9C6D7F"/>
    <w:rsid w:val="7C2334A7"/>
    <w:rsid w:val="7C2D3E7B"/>
    <w:rsid w:val="7C8021FC"/>
    <w:rsid w:val="7C9C4E59"/>
    <w:rsid w:val="7CBD4EBE"/>
    <w:rsid w:val="7CEF7382"/>
    <w:rsid w:val="7CFE5461"/>
    <w:rsid w:val="7D21507B"/>
    <w:rsid w:val="7D24527D"/>
    <w:rsid w:val="7D2A03BA"/>
    <w:rsid w:val="7D3F20B7"/>
    <w:rsid w:val="7D4F7E21"/>
    <w:rsid w:val="7D5E1E12"/>
    <w:rsid w:val="7DCA16B1"/>
    <w:rsid w:val="7DCB56F9"/>
    <w:rsid w:val="7DEA7CC7"/>
    <w:rsid w:val="7E1628B9"/>
    <w:rsid w:val="7E2272E3"/>
    <w:rsid w:val="7E2F1D63"/>
    <w:rsid w:val="7E494870"/>
    <w:rsid w:val="7E6B1782"/>
    <w:rsid w:val="7E80688D"/>
    <w:rsid w:val="7E962D6C"/>
    <w:rsid w:val="7EB9429C"/>
    <w:rsid w:val="7ED21514"/>
    <w:rsid w:val="7ED47A9F"/>
    <w:rsid w:val="7EE34F1B"/>
    <w:rsid w:val="7EFD1537"/>
    <w:rsid w:val="7EFF756B"/>
    <w:rsid w:val="7F016F84"/>
    <w:rsid w:val="7F0C0192"/>
    <w:rsid w:val="7F4D5C54"/>
    <w:rsid w:val="7FA653A4"/>
    <w:rsid w:val="7FB9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60"/>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2"/>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5"/>
    <w:unhideWhenUsed/>
    <w:qFormat/>
    <w:uiPriority w:val="0"/>
    <w:pPr>
      <w:shd w:val="clear" w:color="auto" w:fill="000080"/>
    </w:pPr>
    <w:rPr>
      <w:rFonts w:hint="eastAsia" w:ascii="宋体" w:hAnsi="宋体"/>
      <w:kern w:val="0"/>
      <w:sz w:val="20"/>
      <w:szCs w:val="20"/>
    </w:rPr>
  </w:style>
  <w:style w:type="paragraph" w:styleId="16">
    <w:name w:val="annotation text"/>
    <w:basedOn w:val="1"/>
    <w:link w:val="66"/>
    <w:unhideWhenUsed/>
    <w:qFormat/>
    <w:uiPriority w:val="0"/>
    <w:pPr>
      <w:jc w:val="left"/>
    </w:pPr>
  </w:style>
  <w:style w:type="paragraph" w:styleId="17">
    <w:name w:val="Body Text 3"/>
    <w:basedOn w:val="1"/>
    <w:link w:val="67"/>
    <w:qFormat/>
    <w:uiPriority w:val="0"/>
    <w:pPr>
      <w:spacing w:line="500" w:lineRule="exact"/>
    </w:pPr>
    <w:rPr>
      <w:b/>
      <w:bCs/>
      <w:kern w:val="0"/>
      <w:sz w:val="24"/>
    </w:rPr>
  </w:style>
  <w:style w:type="paragraph" w:styleId="18">
    <w:name w:val="Body Text"/>
    <w:basedOn w:val="1"/>
    <w:next w:val="1"/>
    <w:link w:val="68"/>
    <w:qFormat/>
    <w:uiPriority w:val="99"/>
    <w:pPr>
      <w:spacing w:line="380" w:lineRule="exact"/>
    </w:pPr>
    <w:rPr>
      <w:kern w:val="0"/>
      <w:sz w:val="24"/>
    </w:rPr>
  </w:style>
  <w:style w:type="paragraph" w:styleId="19">
    <w:name w:val="Body Text Indent"/>
    <w:basedOn w:val="1"/>
    <w:link w:val="69"/>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unhideWhenUsed/>
    <w:qFormat/>
    <w:uiPriority w:val="0"/>
    <w:pPr>
      <w:numPr>
        <w:ilvl w:val="0"/>
        <w:numId w:val="3"/>
      </w:numPr>
      <w:spacing w:after="120"/>
      <w:ind w:right="1440"/>
    </w:pPr>
    <w:rPr>
      <w:rFonts w:hint="eastAsia"/>
      <w:sz w:val="24"/>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
    <w:link w:val="70"/>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1"/>
    <w:qFormat/>
    <w:uiPriority w:val="0"/>
    <w:pPr>
      <w:ind w:left="100" w:leftChars="2500"/>
    </w:pPr>
    <w:rPr>
      <w:rFonts w:ascii="宋体" w:hAnsi="Courier New"/>
      <w:kern w:val="0"/>
      <w:sz w:val="20"/>
      <w:szCs w:val="21"/>
    </w:rPr>
  </w:style>
  <w:style w:type="paragraph" w:styleId="28">
    <w:name w:val="Body Text Indent 2"/>
    <w:basedOn w:val="1"/>
    <w:link w:val="72"/>
    <w:qFormat/>
    <w:uiPriority w:val="0"/>
    <w:pPr>
      <w:ind w:firstLine="630"/>
    </w:pPr>
    <w:rPr>
      <w:kern w:val="0"/>
      <w:sz w:val="32"/>
      <w:szCs w:val="20"/>
    </w:rPr>
  </w:style>
  <w:style w:type="paragraph" w:styleId="29">
    <w:name w:val="endnote text"/>
    <w:basedOn w:val="1"/>
    <w:link w:val="73"/>
    <w:unhideWhenUsed/>
    <w:qFormat/>
    <w:uiPriority w:val="99"/>
    <w:pPr>
      <w:snapToGrid w:val="0"/>
      <w:jc w:val="left"/>
    </w:pPr>
  </w:style>
  <w:style w:type="paragraph" w:styleId="30">
    <w:name w:val="Balloon Text"/>
    <w:basedOn w:val="1"/>
    <w:link w:val="74"/>
    <w:semiHidden/>
    <w:qFormat/>
    <w:uiPriority w:val="0"/>
    <w:rPr>
      <w:kern w:val="0"/>
      <w:sz w:val="18"/>
      <w:szCs w:val="18"/>
    </w:rPr>
  </w:style>
  <w:style w:type="paragraph" w:styleId="31">
    <w:name w:val="footer"/>
    <w:basedOn w:val="1"/>
    <w:link w:val="75"/>
    <w:unhideWhenUsed/>
    <w:qFormat/>
    <w:uiPriority w:val="99"/>
    <w:pPr>
      <w:tabs>
        <w:tab w:val="center" w:pos="4153"/>
        <w:tab w:val="right" w:pos="8306"/>
      </w:tabs>
      <w:snapToGrid w:val="0"/>
      <w:jc w:val="left"/>
    </w:pPr>
    <w:rPr>
      <w:kern w:val="0"/>
      <w:sz w:val="18"/>
      <w:szCs w:val="18"/>
    </w:rPr>
  </w:style>
  <w:style w:type="paragraph" w:styleId="32">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77"/>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78"/>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79"/>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0"/>
    <w:qFormat/>
    <w:uiPriority w:val="10"/>
    <w:pPr>
      <w:spacing w:before="240" w:after="60"/>
      <w:jc w:val="center"/>
      <w:outlineLvl w:val="0"/>
    </w:pPr>
    <w:rPr>
      <w:rFonts w:ascii="Cambria" w:hAnsi="Cambria"/>
      <w:b/>
      <w:bCs/>
      <w:sz w:val="32"/>
      <w:szCs w:val="32"/>
    </w:rPr>
  </w:style>
  <w:style w:type="paragraph" w:styleId="45">
    <w:name w:val="annotation subject"/>
    <w:basedOn w:val="16"/>
    <w:next w:val="16"/>
    <w:link w:val="81"/>
    <w:unhideWhenUsed/>
    <w:qFormat/>
    <w:uiPriority w:val="99"/>
    <w:rPr>
      <w:b/>
      <w:bCs/>
    </w:rPr>
  </w:style>
  <w:style w:type="paragraph" w:styleId="46">
    <w:name w:val="Body Text First Indent 2"/>
    <w:basedOn w:val="19"/>
    <w:qFormat/>
    <w:uiPriority w:val="0"/>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yperlink"/>
    <w:qFormat/>
    <w:uiPriority w:val="99"/>
    <w:rPr>
      <w:color w:val="000000"/>
      <w:u w:val="non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character" w:customStyle="1" w:styleId="57">
    <w:name w:val="标题 2 字符"/>
    <w:link w:val="3"/>
    <w:qFormat/>
    <w:uiPriority w:val="0"/>
    <w:rPr>
      <w:rFonts w:ascii="Arial" w:hAnsi="Arial" w:eastAsia="黑体" w:cs="Times New Roman"/>
      <w:b/>
      <w:bCs/>
      <w:sz w:val="32"/>
      <w:szCs w:val="32"/>
    </w:rPr>
  </w:style>
  <w:style w:type="character" w:customStyle="1" w:styleId="58">
    <w:name w:val="标题 1 字符1"/>
    <w:link w:val="2"/>
    <w:qFormat/>
    <w:uiPriority w:val="0"/>
    <w:rPr>
      <w:rFonts w:ascii="Times New Roman" w:hAnsi="Times New Roman" w:eastAsia="宋体" w:cs="Times New Roman"/>
      <w:b/>
      <w:bCs/>
      <w:kern w:val="44"/>
      <w:sz w:val="44"/>
      <w:szCs w:val="44"/>
    </w:rPr>
  </w:style>
  <w:style w:type="character" w:customStyle="1" w:styleId="59">
    <w:name w:val="标题 3 字符"/>
    <w:link w:val="4"/>
    <w:qFormat/>
    <w:uiPriority w:val="0"/>
    <w:rPr>
      <w:rFonts w:ascii="Times New Roman" w:hAnsi="Times New Roman" w:eastAsia="宋体" w:cs="Times New Roman"/>
      <w:b/>
      <w:bCs/>
      <w:sz w:val="32"/>
      <w:szCs w:val="32"/>
    </w:rPr>
  </w:style>
  <w:style w:type="character" w:customStyle="1" w:styleId="60">
    <w:name w:val="标题 5 字符"/>
    <w:link w:val="5"/>
    <w:qFormat/>
    <w:uiPriority w:val="0"/>
    <w:rPr>
      <w:b/>
      <w:kern w:val="2"/>
      <w:sz w:val="28"/>
      <w:szCs w:val="24"/>
    </w:rPr>
  </w:style>
  <w:style w:type="character" w:customStyle="1" w:styleId="61">
    <w:name w:val="标题 6 字符"/>
    <w:link w:val="7"/>
    <w:qFormat/>
    <w:uiPriority w:val="0"/>
    <w:rPr>
      <w:rFonts w:ascii="Arial" w:hAnsi="Arial" w:eastAsia="黑体"/>
      <w:b/>
      <w:kern w:val="2"/>
      <w:sz w:val="24"/>
      <w:szCs w:val="24"/>
    </w:rPr>
  </w:style>
  <w:style w:type="character" w:customStyle="1" w:styleId="62">
    <w:name w:val="标题 7 字符"/>
    <w:link w:val="8"/>
    <w:qFormat/>
    <w:uiPriority w:val="0"/>
    <w:rPr>
      <w:rFonts w:ascii="Times New Roman" w:hAnsi="Times New Roman"/>
      <w:b/>
      <w:kern w:val="2"/>
      <w:sz w:val="24"/>
      <w:szCs w:val="24"/>
    </w:rPr>
  </w:style>
  <w:style w:type="character" w:customStyle="1" w:styleId="63">
    <w:name w:val="标题 8 字符"/>
    <w:link w:val="9"/>
    <w:qFormat/>
    <w:uiPriority w:val="0"/>
    <w:rPr>
      <w:rFonts w:ascii="Arial" w:hAnsi="Arial" w:eastAsia="黑体"/>
      <w:kern w:val="2"/>
      <w:sz w:val="24"/>
      <w:szCs w:val="24"/>
    </w:rPr>
  </w:style>
  <w:style w:type="character" w:customStyle="1" w:styleId="64">
    <w:name w:val="标题 9 字符"/>
    <w:link w:val="10"/>
    <w:qFormat/>
    <w:uiPriority w:val="0"/>
    <w:rPr>
      <w:rFonts w:ascii="Arial" w:hAnsi="Arial" w:eastAsia="黑体"/>
      <w:kern w:val="2"/>
      <w:sz w:val="21"/>
      <w:szCs w:val="24"/>
    </w:rPr>
  </w:style>
  <w:style w:type="character" w:customStyle="1" w:styleId="65">
    <w:name w:val="文档结构图 字符"/>
    <w:link w:val="15"/>
    <w:qFormat/>
    <w:uiPriority w:val="0"/>
    <w:rPr>
      <w:rFonts w:hint="eastAsia" w:ascii="宋体" w:hAnsi="宋体" w:eastAsia="宋体" w:cs="宋体"/>
    </w:rPr>
  </w:style>
  <w:style w:type="character" w:customStyle="1" w:styleId="66">
    <w:name w:val="批注文字 字符2"/>
    <w:link w:val="16"/>
    <w:qFormat/>
    <w:uiPriority w:val="0"/>
    <w:rPr>
      <w:rFonts w:ascii="Times New Roman" w:hAnsi="Times New Roman"/>
      <w:kern w:val="2"/>
      <w:sz w:val="21"/>
      <w:szCs w:val="24"/>
    </w:rPr>
  </w:style>
  <w:style w:type="character" w:customStyle="1" w:styleId="67">
    <w:name w:val="正文文本 3 字符"/>
    <w:link w:val="17"/>
    <w:qFormat/>
    <w:uiPriority w:val="0"/>
    <w:rPr>
      <w:rFonts w:ascii="Times New Roman" w:hAnsi="Times New Roman" w:eastAsia="宋体" w:cs="Times New Roman"/>
      <w:b/>
      <w:bCs/>
      <w:sz w:val="24"/>
      <w:szCs w:val="24"/>
    </w:rPr>
  </w:style>
  <w:style w:type="character" w:customStyle="1" w:styleId="68">
    <w:name w:val="正文文本 字符"/>
    <w:link w:val="18"/>
    <w:qFormat/>
    <w:uiPriority w:val="99"/>
    <w:rPr>
      <w:rFonts w:ascii="Times New Roman" w:hAnsi="Times New Roman" w:eastAsia="宋体" w:cs="Times New Roman"/>
      <w:sz w:val="24"/>
      <w:szCs w:val="24"/>
    </w:rPr>
  </w:style>
  <w:style w:type="character" w:customStyle="1" w:styleId="69">
    <w:name w:val="正文文本缩进 字符1"/>
    <w:link w:val="19"/>
    <w:qFormat/>
    <w:uiPriority w:val="0"/>
    <w:rPr>
      <w:rFonts w:ascii="仿宋_GB2312" w:hAnsi="Times New Roman" w:eastAsia="仿宋_GB2312" w:cs="Times New Roman"/>
      <w:sz w:val="32"/>
      <w:szCs w:val="20"/>
    </w:rPr>
  </w:style>
  <w:style w:type="character" w:customStyle="1" w:styleId="70">
    <w:name w:val="纯文本 字符2"/>
    <w:link w:val="25"/>
    <w:qFormat/>
    <w:uiPriority w:val="0"/>
    <w:rPr>
      <w:rFonts w:ascii="宋体" w:hAnsi="Courier New" w:eastAsia="宋体" w:cs="Courier New"/>
      <w:szCs w:val="21"/>
    </w:rPr>
  </w:style>
  <w:style w:type="character" w:customStyle="1" w:styleId="71">
    <w:name w:val="日期 字符"/>
    <w:link w:val="27"/>
    <w:qFormat/>
    <w:uiPriority w:val="0"/>
    <w:rPr>
      <w:rFonts w:ascii="宋体" w:hAnsi="Courier New" w:eastAsia="宋体" w:cs="Courier New"/>
      <w:szCs w:val="21"/>
    </w:rPr>
  </w:style>
  <w:style w:type="character" w:customStyle="1" w:styleId="72">
    <w:name w:val="正文文本缩进 2 字符"/>
    <w:link w:val="28"/>
    <w:qFormat/>
    <w:uiPriority w:val="0"/>
    <w:rPr>
      <w:rFonts w:ascii="Times New Roman" w:hAnsi="Times New Roman" w:eastAsia="宋体" w:cs="Times New Roman"/>
      <w:sz w:val="32"/>
      <w:szCs w:val="20"/>
    </w:rPr>
  </w:style>
  <w:style w:type="character" w:customStyle="1" w:styleId="73">
    <w:name w:val="尾注文本 字符"/>
    <w:link w:val="29"/>
    <w:semiHidden/>
    <w:qFormat/>
    <w:uiPriority w:val="99"/>
    <w:rPr>
      <w:rFonts w:ascii="Times New Roman" w:hAnsi="Times New Roman"/>
      <w:kern w:val="2"/>
      <w:sz w:val="21"/>
      <w:szCs w:val="24"/>
    </w:rPr>
  </w:style>
  <w:style w:type="character" w:customStyle="1" w:styleId="74">
    <w:name w:val="批注框文本 字符"/>
    <w:link w:val="30"/>
    <w:semiHidden/>
    <w:qFormat/>
    <w:uiPriority w:val="0"/>
    <w:rPr>
      <w:rFonts w:ascii="Times New Roman" w:hAnsi="Times New Roman" w:eastAsia="宋体" w:cs="Times New Roman"/>
      <w:sz w:val="18"/>
      <w:szCs w:val="18"/>
    </w:rPr>
  </w:style>
  <w:style w:type="character" w:customStyle="1" w:styleId="75">
    <w:name w:val="页脚 字符1"/>
    <w:link w:val="31"/>
    <w:qFormat/>
    <w:uiPriority w:val="99"/>
    <w:rPr>
      <w:sz w:val="18"/>
      <w:szCs w:val="18"/>
    </w:rPr>
  </w:style>
  <w:style w:type="character" w:customStyle="1" w:styleId="76">
    <w:name w:val="页眉 字符"/>
    <w:link w:val="32"/>
    <w:qFormat/>
    <w:uiPriority w:val="99"/>
    <w:rPr>
      <w:rFonts w:ascii="Times New Roman" w:hAnsi="Times New Roman"/>
      <w:kern w:val="2"/>
      <w:sz w:val="18"/>
      <w:szCs w:val="18"/>
    </w:rPr>
  </w:style>
  <w:style w:type="character" w:customStyle="1" w:styleId="77">
    <w:name w:val="脚注文本 字符"/>
    <w:link w:val="36"/>
    <w:semiHidden/>
    <w:qFormat/>
    <w:uiPriority w:val="99"/>
    <w:rPr>
      <w:rFonts w:ascii="Times New Roman" w:hAnsi="Times New Roman"/>
      <w:kern w:val="2"/>
      <w:sz w:val="18"/>
      <w:szCs w:val="18"/>
    </w:rPr>
  </w:style>
  <w:style w:type="character" w:customStyle="1" w:styleId="78">
    <w:name w:val="正文文本缩进 3 字符"/>
    <w:link w:val="38"/>
    <w:qFormat/>
    <w:uiPriority w:val="0"/>
    <w:rPr>
      <w:rFonts w:ascii="Times New Roman" w:hAnsi="Times New Roman" w:eastAsia="宋体" w:cs="Times New Roman"/>
      <w:sz w:val="16"/>
      <w:szCs w:val="16"/>
    </w:rPr>
  </w:style>
  <w:style w:type="character" w:customStyle="1" w:styleId="79">
    <w:name w:val="正文文本 2 字符"/>
    <w:link w:val="41"/>
    <w:qFormat/>
    <w:uiPriority w:val="0"/>
    <w:rPr>
      <w:rFonts w:ascii="Times New Roman" w:hAnsi="Times New Roman" w:eastAsia="宋体" w:cs="Times New Roman"/>
      <w:szCs w:val="24"/>
    </w:rPr>
  </w:style>
  <w:style w:type="character" w:customStyle="1" w:styleId="80">
    <w:name w:val="标题 字符"/>
    <w:link w:val="44"/>
    <w:qFormat/>
    <w:uiPriority w:val="10"/>
    <w:rPr>
      <w:rFonts w:ascii="Cambria" w:hAnsi="Cambria" w:cs="Times New Roman"/>
      <w:b/>
      <w:bCs/>
      <w:kern w:val="2"/>
      <w:sz w:val="32"/>
      <w:szCs w:val="32"/>
    </w:rPr>
  </w:style>
  <w:style w:type="character" w:customStyle="1" w:styleId="81">
    <w:name w:val="批注主题 字符"/>
    <w:link w:val="45"/>
    <w:semiHidden/>
    <w:qFormat/>
    <w:uiPriority w:val="99"/>
    <w:rPr>
      <w:rFonts w:ascii="Times New Roman" w:hAnsi="Times New Roman"/>
      <w:b/>
      <w:bCs/>
      <w:kern w:val="2"/>
      <w:sz w:val="21"/>
      <w:szCs w:val="24"/>
    </w:rPr>
  </w:style>
  <w:style w:type="character" w:customStyle="1" w:styleId="82">
    <w:name w:val="批注文字 Char1"/>
    <w:qFormat/>
    <w:locked/>
    <w:uiPriority w:val="0"/>
    <w:rPr>
      <w:rFonts w:ascii="Times New Roman" w:hAnsi="Times New Roman"/>
      <w:kern w:val="2"/>
      <w:sz w:val="21"/>
      <w:szCs w:val="24"/>
    </w:rPr>
  </w:style>
  <w:style w:type="character" w:customStyle="1" w:styleId="83">
    <w:name w:val="case31"/>
    <w:qFormat/>
    <w:uiPriority w:val="0"/>
    <w:rPr>
      <w:rFonts w:hint="default"/>
      <w:sz w:val="21"/>
      <w:szCs w:val="21"/>
    </w:rPr>
  </w:style>
  <w:style w:type="character" w:customStyle="1" w:styleId="84">
    <w:name w:val="批注文字 Char"/>
    <w:qFormat/>
    <w:uiPriority w:val="0"/>
    <w:rPr>
      <w:rFonts w:ascii="Times New Roman" w:hAnsi="Times New Roman"/>
      <w:kern w:val="2"/>
      <w:sz w:val="21"/>
      <w:szCs w:val="24"/>
    </w:rPr>
  </w:style>
  <w:style w:type="character" w:customStyle="1" w:styleId="85">
    <w:name w:val="纯文本 Char"/>
    <w:qFormat/>
    <w:uiPriority w:val="0"/>
    <w:rPr>
      <w:rFonts w:ascii="宋体" w:hAnsi="Courier New" w:eastAsia="宋体"/>
      <w:kern w:val="2"/>
      <w:sz w:val="21"/>
      <w:lang w:val="en-US" w:eastAsia="zh-CN" w:bidi="ar-SA"/>
    </w:rPr>
  </w:style>
  <w:style w:type="character" w:customStyle="1" w:styleId="86">
    <w:name w:val="纯文本 字符1"/>
    <w:qFormat/>
    <w:uiPriority w:val="0"/>
    <w:rPr>
      <w:rFonts w:ascii="宋体" w:hAnsi="Courier New"/>
    </w:rPr>
  </w:style>
  <w:style w:type="character" w:customStyle="1" w:styleId="87">
    <w:name w:val="批注文字 字符1"/>
    <w:qFormat/>
    <w:uiPriority w:val="0"/>
    <w:rPr>
      <w:rFonts w:ascii="Times New Roman" w:hAnsi="Times New Roman"/>
      <w:kern w:val="2"/>
      <w:sz w:val="21"/>
      <w:szCs w:val="24"/>
    </w:rPr>
  </w:style>
  <w:style w:type="character" w:customStyle="1" w:styleId="88">
    <w:name w:val="正文文本 Char1"/>
    <w:semiHidden/>
    <w:qFormat/>
    <w:locked/>
    <w:uiPriority w:val="99"/>
    <w:rPr>
      <w:sz w:val="24"/>
      <w:szCs w:val="24"/>
    </w:rPr>
  </w:style>
  <w:style w:type="character" w:customStyle="1" w:styleId="89">
    <w:name w:val="apple-style-span"/>
    <w:qFormat/>
    <w:uiPriority w:val="0"/>
  </w:style>
  <w:style w:type="character" w:customStyle="1" w:styleId="90">
    <w:name w:val="textcontents"/>
    <w:qFormat/>
    <w:uiPriority w:val="0"/>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标题 5 Char"/>
    <w:qFormat/>
    <w:uiPriority w:val="9"/>
    <w:rPr>
      <w:b/>
      <w:kern w:val="2"/>
      <w:sz w:val="28"/>
      <w:szCs w:val="24"/>
    </w:rPr>
  </w:style>
  <w:style w:type="character" w:customStyle="1" w:styleId="93">
    <w:name w:val="批注文字 字符"/>
    <w:qFormat/>
    <w:uiPriority w:val="0"/>
    <w:rPr>
      <w:rFonts w:ascii="Times New Roman" w:hAnsi="Times New Roman"/>
      <w:kern w:val="2"/>
      <w:sz w:val="21"/>
      <w:szCs w:val="24"/>
    </w:rPr>
  </w:style>
  <w:style w:type="character" w:customStyle="1" w:styleId="94">
    <w:name w:val="标题 1 字符"/>
    <w:qFormat/>
    <w:uiPriority w:val="9"/>
    <w:rPr>
      <w:rFonts w:ascii="Times New Roman" w:hAnsi="Times New Roman" w:eastAsia="宋体" w:cs="Times New Roman"/>
      <w:b/>
      <w:bCs/>
      <w:kern w:val="44"/>
      <w:sz w:val="44"/>
      <w:szCs w:val="44"/>
    </w:rPr>
  </w:style>
  <w:style w:type="character" w:customStyle="1" w:styleId="95">
    <w:name w:val="纯文本 字符"/>
    <w:qFormat/>
    <w:uiPriority w:val="0"/>
    <w:rPr>
      <w:rFonts w:ascii="宋体" w:hAnsi="Courier New" w:eastAsia="宋体" w:cs="Courier New"/>
      <w:szCs w:val="21"/>
    </w:rPr>
  </w:style>
  <w:style w:type="character" w:customStyle="1" w:styleId="96">
    <w:name w:val="headline-content4"/>
    <w:qFormat/>
    <w:uiPriority w:val="0"/>
  </w:style>
  <w:style w:type="character" w:customStyle="1" w:styleId="9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8">
    <w:name w:val="正文文本缩进 字符"/>
    <w:qFormat/>
    <w:uiPriority w:val="0"/>
    <w:rPr>
      <w:rFonts w:ascii="仿宋_GB2312" w:hAnsi="Times New Roman" w:eastAsia="仿宋_GB2312" w:cs="Times New Roman"/>
      <w:sz w:val="32"/>
      <w:szCs w:val="20"/>
    </w:rPr>
  </w:style>
  <w:style w:type="paragraph" w:customStyle="1" w:styleId="99">
    <w:name w:val="Char1"/>
    <w:basedOn w:val="1"/>
    <w:qFormat/>
    <w:uiPriority w:val="0"/>
    <w:rPr>
      <w:szCs w:val="21"/>
    </w:rPr>
  </w:style>
  <w:style w:type="paragraph" w:styleId="100">
    <w:name w:val="List Paragraph"/>
    <w:basedOn w:val="1"/>
    <w:qFormat/>
    <w:uiPriority w:val="34"/>
    <w:pPr>
      <w:ind w:firstLine="420" w:firstLineChars="200"/>
    </w:p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4">
    <w:name w:val="纯文本1"/>
    <w:basedOn w:val="1"/>
    <w:qFormat/>
    <w:uiPriority w:val="0"/>
    <w:rPr>
      <w:rFonts w:ascii="宋体" w:hAnsi="Courier New" w:cs="Century"/>
      <w:szCs w:val="21"/>
    </w:rPr>
  </w:style>
  <w:style w:type="paragraph" w:customStyle="1" w:styleId="105">
    <w:name w:val="Table Paragraph"/>
    <w:basedOn w:val="1"/>
    <w:qFormat/>
    <w:uiPriority w:val="1"/>
    <w:pPr>
      <w:jc w:val="left"/>
    </w:pPr>
    <w:rPr>
      <w:rFonts w:ascii="Calibri" w:hAnsi="Calibri"/>
      <w:kern w:val="0"/>
      <w:sz w:val="22"/>
      <w:szCs w:val="22"/>
      <w:lang w:eastAsia="en-US"/>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表格"/>
    <w:basedOn w:val="1"/>
    <w:qFormat/>
    <w:uiPriority w:val="0"/>
    <w:pPr>
      <w:spacing w:line="400" w:lineRule="exact"/>
    </w:pPr>
    <w:rPr>
      <w:sz w:val="24"/>
    </w:rPr>
  </w:style>
  <w:style w:type="paragraph" w:customStyle="1" w:styleId="108">
    <w:name w:val="样式 首行缩进:  2 字符"/>
    <w:basedOn w:val="1"/>
    <w:qFormat/>
    <w:uiPriority w:val="0"/>
    <w:pPr>
      <w:spacing w:line="400" w:lineRule="exact"/>
      <w:ind w:firstLine="200" w:firstLineChars="200"/>
    </w:pPr>
    <w:rPr>
      <w:rFonts w:cs="宋体"/>
      <w:sz w:val="24"/>
    </w:rPr>
  </w:style>
  <w:style w:type="paragraph" w:customStyle="1" w:styleId="10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1">
    <w:name w:val="正文首行缩进两字符"/>
    <w:basedOn w:val="1"/>
    <w:qFormat/>
    <w:uiPriority w:val="0"/>
    <w:pPr>
      <w:spacing w:line="360" w:lineRule="auto"/>
      <w:ind w:firstLine="200" w:firstLineChars="200"/>
    </w:pPr>
  </w:style>
  <w:style w:type="paragraph" w:customStyle="1" w:styleId="112">
    <w:name w:val="正文段"/>
    <w:basedOn w:val="1"/>
    <w:qFormat/>
    <w:uiPriority w:val="0"/>
    <w:pPr>
      <w:widowControl/>
      <w:snapToGrid w:val="0"/>
      <w:spacing w:after="50" w:afterLines="50"/>
      <w:ind w:firstLine="200" w:firstLineChars="200"/>
    </w:pPr>
    <w:rPr>
      <w:kern w:val="0"/>
      <w:sz w:val="24"/>
      <w:szCs w:val="20"/>
    </w:rPr>
  </w:style>
  <w:style w:type="table" w:customStyle="1" w:styleId="113">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4">
    <w:name w:val="页脚 字符"/>
    <w:qFormat/>
    <w:uiPriority w:val="99"/>
  </w:style>
  <w:style w:type="character" w:customStyle="1" w:styleId="115">
    <w:name w:val="标题 1 Char1"/>
    <w:qFormat/>
    <w:uiPriority w:val="0"/>
    <w:rPr>
      <w:rFonts w:eastAsia="宋体"/>
      <w:b/>
      <w:bCs/>
      <w:kern w:val="44"/>
      <w:sz w:val="44"/>
      <w:szCs w:val="44"/>
      <w:lang w:val="en-US" w:eastAsia="zh-CN" w:bidi="ar-SA"/>
    </w:rPr>
  </w:style>
  <w:style w:type="character" w:customStyle="1" w:styleId="116">
    <w:name w:val="纯文本 Char2"/>
    <w:qFormat/>
    <w:uiPriority w:val="0"/>
    <w:rPr>
      <w:rFonts w:ascii="宋体" w:hAnsi="Courier New" w:eastAsia="宋体" w:cs="Courier New"/>
      <w:szCs w:val="21"/>
    </w:rPr>
  </w:style>
  <w:style w:type="paragraph" w:customStyle="1" w:styleId="117">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18">
    <w:name w:val="next2"/>
    <w:qFormat/>
    <w:uiPriority w:val="0"/>
    <w:rPr>
      <w:rFonts w:ascii="微软雅黑" w:hAnsi="微软雅黑" w:eastAsia="微软雅黑" w:cs="微软雅黑"/>
      <w:sz w:val="21"/>
      <w:szCs w:val="21"/>
    </w:rPr>
  </w:style>
  <w:style w:type="character" w:customStyle="1" w:styleId="119">
    <w:name w:val="next3"/>
    <w:qFormat/>
    <w:uiPriority w:val="0"/>
    <w:rPr>
      <w:color w:val="888888"/>
    </w:rPr>
  </w:style>
  <w:style w:type="character" w:customStyle="1" w:styleId="120">
    <w:name w:val="prev"/>
    <w:qFormat/>
    <w:uiPriority w:val="0"/>
    <w:rPr>
      <w:rFonts w:hint="eastAsia" w:ascii="微软雅黑" w:hAnsi="微软雅黑" w:eastAsia="微软雅黑" w:cs="微软雅黑"/>
      <w:sz w:val="21"/>
      <w:szCs w:val="21"/>
    </w:rPr>
  </w:style>
  <w:style w:type="character" w:customStyle="1" w:styleId="121">
    <w:name w:val="prev1"/>
    <w:qFormat/>
    <w:uiPriority w:val="0"/>
    <w:rPr>
      <w:color w:val="888888"/>
    </w:rPr>
  </w:style>
  <w:style w:type="character" w:customStyle="1" w:styleId="122">
    <w:name w:val="displayarti"/>
    <w:qFormat/>
    <w:uiPriority w:val="0"/>
    <w:rPr>
      <w:color w:val="FFFFFF"/>
      <w:shd w:val="clear" w:color="auto" w:fill="A00000"/>
    </w:rPr>
  </w:style>
  <w:style w:type="character" w:customStyle="1" w:styleId="123">
    <w:name w:val="qxdate"/>
    <w:qFormat/>
    <w:uiPriority w:val="0"/>
    <w:rPr>
      <w:color w:val="333333"/>
      <w:sz w:val="18"/>
      <w:szCs w:val="18"/>
    </w:rPr>
  </w:style>
  <w:style w:type="character" w:customStyle="1" w:styleId="124">
    <w:name w:val="redfilenumber"/>
    <w:qFormat/>
    <w:uiPriority w:val="0"/>
    <w:rPr>
      <w:color w:val="BA2636"/>
      <w:sz w:val="18"/>
      <w:szCs w:val="18"/>
    </w:rPr>
  </w:style>
  <w:style w:type="character" w:customStyle="1" w:styleId="125">
    <w:name w:val="gjfg"/>
    <w:qFormat/>
    <w:uiPriority w:val="0"/>
  </w:style>
  <w:style w:type="character" w:customStyle="1" w:styleId="126">
    <w:name w:val="redfilefwwh"/>
    <w:qFormat/>
    <w:uiPriority w:val="0"/>
    <w:rPr>
      <w:color w:val="BA2636"/>
      <w:sz w:val="18"/>
      <w:szCs w:val="18"/>
    </w:rPr>
  </w:style>
  <w:style w:type="character" w:customStyle="1" w:styleId="127">
    <w:name w:val="cfdate"/>
    <w:qFormat/>
    <w:uiPriority w:val="0"/>
    <w:rPr>
      <w:color w:val="333333"/>
      <w:sz w:val="18"/>
      <w:szCs w:val="18"/>
    </w:rPr>
  </w:style>
  <w:style w:type="character" w:customStyle="1" w:styleId="128">
    <w:name w:val="next"/>
    <w:qFormat/>
    <w:uiPriority w:val="0"/>
    <w:rPr>
      <w:color w:val="888888"/>
    </w:rPr>
  </w:style>
  <w:style w:type="paragraph" w:customStyle="1" w:styleId="12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3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3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109</Pages>
  <Words>4007</Words>
  <Characters>4524</Characters>
  <Lines>537</Lines>
  <Paragraphs>151</Paragraphs>
  <TotalTime>4</TotalTime>
  <ScaleCrop>false</ScaleCrop>
  <LinksUpToDate>false</LinksUpToDate>
  <CharactersWithSpaces>4671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2025-05-20T02:20:00Z</dcterms:created>
  <dc:creator>KWZB</dc:creator>
  <cp:lastModifiedBy>shadow</cp:lastModifiedBy>
  <cp:lastPrinted>2025-05-15T00:35:00Z</cp:lastPrinted>
  <dcterms:modified xsi:type="dcterms:W3CDTF">2025-05-26T08:33:42Z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823CC45DB1D14481AF79A9E4BB9F5D6B_13</vt:lpwstr>
  </property>
  <property fmtid="{D5CDD505-2E9C-101B-9397-08002B2CF9AE}" pid="4" name="KSOTemplateDocerSaveRecord">
    <vt:lpwstr>eyJoZGlkIjoiNjE5MGE5Zjc1ODk1ZWM0MWZlM2FkMTFlZWU2NjkzN2QiLCJ1c2VySWQiOiIzNzk5MTQ1NTQifQ==</vt:lpwstr>
  </property>
</Properties>
</file>