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A58AE">
      <w:pPr>
        <w:pStyle w:val="12"/>
        <w:jc w:val="center"/>
        <w:rPr>
          <w:rFonts w:ascii="黑体" w:hAnsi="黑体" w:eastAsia="黑体"/>
          <w:color w:val="auto"/>
          <w:spacing w:val="30"/>
          <w:kern w:val="52"/>
          <w:sz w:val="64"/>
          <w:szCs w:val="64"/>
        </w:rPr>
      </w:pPr>
      <w:r>
        <w:rPr>
          <w:rFonts w:ascii="黑体" w:hAnsi="黑体" w:eastAsia="黑体"/>
          <w:color w:val="auto"/>
          <w:spacing w:val="30"/>
          <w:kern w:val="52"/>
          <w:sz w:val="64"/>
          <w:szCs w:val="64"/>
        </w:rPr>
        <w:t>广西科文招标有限公司</w:t>
      </w:r>
    </w:p>
    <w:p w14:paraId="685A8875">
      <w:pPr>
        <w:pStyle w:val="12"/>
        <w:jc w:val="center"/>
        <w:rPr>
          <w:rFonts w:ascii="黑体" w:hAnsi="黑体" w:eastAsia="黑体" w:cs="方正小标宋简体"/>
          <w:b/>
          <w:color w:val="auto"/>
          <w:sz w:val="44"/>
          <w:szCs w:val="44"/>
        </w:rPr>
      </w:pPr>
      <w:r>
        <w:rPr>
          <w:rFonts w:ascii="黑体" w:hAnsi="黑体" w:eastAsia="黑体"/>
          <w:b/>
          <w:color w:val="auto"/>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9rBQzU&#10;AAAACAEAAA8AAAAAAAAAAQAgAAAAIgAAAGRycy9kb3ducmV2LnhtbFBLAQIUABQAAAAIAIdO4kAY&#10;TiCN6wEAANkDAAAOAAAAAAAAAAEAIAAAACMBAABkcnMvZTJvRG9jLnhtbFBLBQYAAAAABgAGAFkB&#10;AACABQAAAAA=&#10;">
                <v:fill on="f" focussize="0,0"/>
                <v:stroke weight="1pt" color="#000000" joinstyle="round"/>
                <v:imagedata o:title=""/>
                <o:lock v:ext="edit" aspectratio="f"/>
              </v:line>
            </w:pict>
          </mc:Fallback>
        </mc:AlternateContent>
      </w:r>
    </w:p>
    <w:p w14:paraId="0513B48E">
      <w:pPr>
        <w:snapToGrid w:val="0"/>
        <w:spacing w:before="156" w:beforeLines="50" w:line="360" w:lineRule="auto"/>
        <w:jc w:val="center"/>
        <w:rPr>
          <w:rFonts w:ascii="黑体" w:hAnsi="黑体" w:eastAsia="黑体"/>
          <w:color w:val="auto"/>
          <w:sz w:val="84"/>
          <w:szCs w:val="84"/>
        </w:rPr>
      </w:pPr>
      <w:r>
        <w:rPr>
          <w:rFonts w:hint="eastAsia" w:ascii="黑体" w:hAnsi="黑体" w:eastAsia="黑体"/>
          <w:color w:val="auto"/>
          <w:sz w:val="84"/>
          <w:szCs w:val="84"/>
        </w:rPr>
        <w:t>竞争性磋商文件</w:t>
      </w:r>
    </w:p>
    <w:p w14:paraId="0532D44C">
      <w:pPr>
        <w:rPr>
          <w:rFonts w:ascii="仿宋_GB2312" w:hAnsi="宋体" w:eastAsia="仿宋_GB2312"/>
          <w:b/>
          <w:color w:val="auto"/>
          <w:sz w:val="48"/>
          <w:szCs w:val="48"/>
        </w:rPr>
      </w:pPr>
    </w:p>
    <w:p w14:paraId="5387AA9A">
      <w:pPr>
        <w:pStyle w:val="2"/>
        <w:rPr>
          <w:rFonts w:ascii="仿宋_GB2312" w:hAnsi="宋体" w:eastAsia="仿宋_GB2312"/>
          <w:b/>
          <w:color w:val="auto"/>
          <w:sz w:val="48"/>
          <w:szCs w:val="48"/>
        </w:rPr>
      </w:pPr>
    </w:p>
    <w:p w14:paraId="1F4D0EA1">
      <w:pPr>
        <w:rPr>
          <w:color w:val="auto"/>
        </w:rPr>
      </w:pPr>
    </w:p>
    <w:p w14:paraId="70955932">
      <w:pPr>
        <w:pStyle w:val="12"/>
        <w:snapToGrid w:val="0"/>
        <w:spacing w:line="360" w:lineRule="auto"/>
        <w:ind w:firstLine="1506" w:firstLineChars="500"/>
        <w:rPr>
          <w:rFonts w:hint="eastAsia" w:ascii="仿宋_GB2312" w:hAnsi="宋体" w:eastAsia="仿宋_GB2312" w:cs="Courier New"/>
          <w:b/>
          <w:bCs/>
          <w:color w:val="auto"/>
          <w:w w:val="95"/>
          <w:sz w:val="30"/>
          <w:szCs w:val="30"/>
          <w:lang w:eastAsia="zh-CN"/>
        </w:rPr>
      </w:pPr>
      <w:r>
        <w:rPr>
          <w:rFonts w:hint="eastAsia" w:ascii="仿宋_GB2312" w:hAnsi="宋体" w:eastAsia="仿宋_GB2312"/>
          <w:b/>
          <w:bCs/>
          <w:color w:val="auto"/>
          <w:sz w:val="30"/>
          <w:szCs w:val="30"/>
        </w:rPr>
        <w:t>项目</w:t>
      </w:r>
      <w:r>
        <w:rPr>
          <w:rFonts w:hint="eastAsia" w:ascii="仿宋_GB2312" w:hAnsi="宋体" w:eastAsia="仿宋_GB2312" w:cs="Courier New"/>
          <w:b/>
          <w:bCs/>
          <w:color w:val="auto"/>
          <w:w w:val="95"/>
          <w:sz w:val="30"/>
          <w:szCs w:val="30"/>
        </w:rPr>
        <w:t>名称</w:t>
      </w:r>
      <w:r>
        <w:rPr>
          <w:rFonts w:hint="eastAsia" w:ascii="仿宋_GB2312" w:hAnsi="宋体" w:eastAsia="仿宋_GB2312"/>
          <w:b/>
          <w:bCs/>
          <w:color w:val="auto"/>
          <w:sz w:val="30"/>
          <w:szCs w:val="30"/>
        </w:rPr>
        <w:t>：</w:t>
      </w:r>
      <w:r>
        <w:rPr>
          <w:rFonts w:hint="eastAsia" w:ascii="仿宋_GB2312" w:hAnsi="宋体" w:eastAsia="仿宋_GB2312" w:cs="Courier New"/>
          <w:b/>
          <w:bCs/>
          <w:color w:val="auto"/>
          <w:w w:val="95"/>
          <w:sz w:val="30"/>
          <w:szCs w:val="30"/>
          <w:lang w:eastAsia="zh-CN"/>
        </w:rPr>
        <w:t>广西伴生放射性固体废物环境风险</w:t>
      </w:r>
    </w:p>
    <w:p w14:paraId="34C87BDC">
      <w:pPr>
        <w:pStyle w:val="12"/>
        <w:snapToGrid w:val="0"/>
        <w:spacing w:line="360" w:lineRule="auto"/>
        <w:ind w:firstLine="3148" w:firstLineChars="1100"/>
        <w:rPr>
          <w:rFonts w:hint="eastAsia" w:ascii="仿宋_GB2312" w:hAnsi="宋体" w:eastAsia="仿宋_GB2312" w:cs="Courier New"/>
          <w:b/>
          <w:bCs/>
          <w:color w:val="auto"/>
          <w:w w:val="95"/>
          <w:sz w:val="30"/>
          <w:szCs w:val="30"/>
          <w:lang w:eastAsia="zh-CN"/>
        </w:rPr>
      </w:pPr>
      <w:r>
        <w:rPr>
          <w:rFonts w:hint="eastAsia" w:ascii="仿宋_GB2312" w:hAnsi="宋体" w:eastAsia="仿宋_GB2312" w:cs="Courier New"/>
          <w:b/>
          <w:bCs/>
          <w:color w:val="auto"/>
          <w:w w:val="95"/>
          <w:sz w:val="30"/>
          <w:szCs w:val="30"/>
          <w:lang w:eastAsia="zh-CN"/>
        </w:rPr>
        <w:t>隐患排查</w:t>
      </w:r>
    </w:p>
    <w:p w14:paraId="1B9D3677">
      <w:pPr>
        <w:ind w:firstLine="1431" w:firstLineChars="500"/>
        <w:rPr>
          <w:rFonts w:hint="eastAsia" w:ascii="仿宋_GB2312" w:hAnsi="宋体" w:eastAsia="仿宋_GB2312" w:cs="Courier New"/>
          <w:b/>
          <w:bCs/>
          <w:color w:val="auto"/>
          <w:w w:val="95"/>
          <w:kern w:val="0"/>
          <w:sz w:val="30"/>
          <w:szCs w:val="30"/>
          <w:lang w:val="en-US" w:eastAsia="zh-CN"/>
        </w:rPr>
      </w:pPr>
      <w:r>
        <w:rPr>
          <w:rFonts w:hint="eastAsia" w:ascii="仿宋_GB2312" w:hAnsi="宋体" w:eastAsia="仿宋_GB2312" w:cs="Courier New"/>
          <w:b/>
          <w:bCs/>
          <w:color w:val="auto"/>
          <w:w w:val="95"/>
          <w:sz w:val="30"/>
          <w:szCs w:val="30"/>
        </w:rPr>
        <w:t>项目编号：</w:t>
      </w:r>
      <w:bookmarkStart w:id="0" w:name="OLE_LINK1"/>
      <w:r>
        <w:rPr>
          <w:rFonts w:hint="default"/>
          <w:color w:val="auto"/>
          <w:lang w:val="en-US" w:eastAsia="zh-CN"/>
        </w:rPr>
        <w:t xml:space="preserve"> </w:t>
      </w:r>
      <w:r>
        <w:rPr>
          <w:rFonts w:hint="eastAsia" w:ascii="仿宋_GB2312" w:hAnsi="宋体" w:eastAsia="仿宋_GB2312" w:cs="Courier New"/>
          <w:b/>
          <w:bCs/>
          <w:color w:val="auto"/>
          <w:w w:val="95"/>
          <w:kern w:val="0"/>
          <w:sz w:val="30"/>
          <w:szCs w:val="30"/>
          <w:lang w:val="en-US" w:eastAsia="zh-CN"/>
        </w:rPr>
        <w:t>GXZC2025-C3-001083-KWZB</w:t>
      </w:r>
    </w:p>
    <w:bookmarkEnd w:id="0"/>
    <w:p w14:paraId="444F2AE9">
      <w:pPr>
        <w:pStyle w:val="12"/>
        <w:snapToGrid w:val="0"/>
        <w:spacing w:line="360" w:lineRule="auto"/>
        <w:ind w:firstLine="1205" w:firstLineChars="400"/>
        <w:rPr>
          <w:rFonts w:ascii="仿宋_GB2312" w:hAnsi="宋体" w:eastAsia="仿宋_GB2312"/>
          <w:b/>
          <w:bCs/>
          <w:color w:val="auto"/>
          <w:sz w:val="30"/>
          <w:szCs w:val="30"/>
        </w:rPr>
      </w:pPr>
    </w:p>
    <w:p w14:paraId="19B1EE9A">
      <w:pPr>
        <w:snapToGrid w:val="0"/>
        <w:spacing w:line="360" w:lineRule="auto"/>
        <w:rPr>
          <w:rFonts w:ascii="仿宋_GB2312" w:hAnsi="宋体" w:eastAsia="仿宋_GB2312" w:cs="Courier New"/>
          <w:b/>
          <w:bCs/>
          <w:color w:val="auto"/>
          <w:w w:val="95"/>
          <w:sz w:val="30"/>
          <w:szCs w:val="30"/>
        </w:rPr>
      </w:pPr>
    </w:p>
    <w:p w14:paraId="7183BC1F">
      <w:pPr>
        <w:pStyle w:val="2"/>
        <w:rPr>
          <w:rFonts w:ascii="仿宋_GB2312" w:hAnsi="宋体" w:eastAsia="仿宋_GB2312" w:cs="Courier New"/>
          <w:b/>
          <w:bCs/>
          <w:color w:val="auto"/>
          <w:w w:val="95"/>
          <w:sz w:val="30"/>
          <w:szCs w:val="30"/>
        </w:rPr>
      </w:pPr>
    </w:p>
    <w:p w14:paraId="0D52711B">
      <w:pPr>
        <w:snapToGrid w:val="0"/>
        <w:spacing w:line="360" w:lineRule="auto"/>
        <w:ind w:firstLine="1200" w:firstLineChars="400"/>
        <w:rPr>
          <w:rFonts w:hint="eastAsia" w:ascii="仿宋_GB2312" w:hAnsi="宋体" w:eastAsia="仿宋_GB2312" w:cs="Times New Roman"/>
          <w:color w:val="auto"/>
          <w:sz w:val="30"/>
          <w:szCs w:val="72"/>
        </w:rPr>
      </w:pPr>
      <w:r>
        <w:rPr>
          <w:rFonts w:hint="eastAsia" w:ascii="仿宋_GB2312" w:hAnsi="宋体" w:eastAsia="仿宋_GB2312" w:cs="Times New Roman"/>
          <w:color w:val="auto"/>
          <w:sz w:val="30"/>
          <w:szCs w:val="72"/>
        </w:rPr>
        <w:t>项目所属区划：广西壮族自治区</w:t>
      </w:r>
    </w:p>
    <w:p w14:paraId="50A8571C">
      <w:pPr>
        <w:rPr>
          <w:color w:val="auto"/>
        </w:rPr>
      </w:pPr>
    </w:p>
    <w:p w14:paraId="3A0DF0A1">
      <w:pPr>
        <w:snapToGrid w:val="0"/>
        <w:spacing w:line="360" w:lineRule="auto"/>
        <w:ind w:firstLine="1145" w:firstLineChars="400"/>
        <w:rPr>
          <w:rFonts w:ascii="仿宋_GB2312" w:hAnsi="宋体" w:eastAsia="仿宋_GB2312" w:cs="Courier New"/>
          <w:b/>
          <w:bCs/>
          <w:color w:val="auto"/>
          <w:w w:val="95"/>
          <w:sz w:val="30"/>
          <w:szCs w:val="30"/>
        </w:rPr>
      </w:pPr>
    </w:p>
    <w:p w14:paraId="3BD4825F">
      <w:pPr>
        <w:snapToGrid w:val="0"/>
        <w:spacing w:line="360" w:lineRule="auto"/>
        <w:ind w:firstLine="1205" w:firstLineChars="400"/>
        <w:rPr>
          <w:rFonts w:ascii="仿宋_GB2312" w:hAnsi="宋体" w:eastAsia="仿宋_GB2312"/>
          <w:color w:val="auto"/>
          <w:sz w:val="30"/>
          <w:szCs w:val="72"/>
        </w:rPr>
      </w:pPr>
      <w:r>
        <w:rPr>
          <w:rFonts w:hint="eastAsia" w:ascii="仿宋_GB2312" w:hAnsi="宋体" w:eastAsia="仿宋_GB2312"/>
          <w:b/>
          <w:color w:val="auto"/>
          <w:sz w:val="30"/>
          <w:szCs w:val="48"/>
        </w:rPr>
        <w:t xml:space="preserve"> </w:t>
      </w:r>
    </w:p>
    <w:p w14:paraId="3FF3A805">
      <w:pPr>
        <w:pStyle w:val="12"/>
        <w:snapToGrid w:val="0"/>
        <w:spacing w:line="360" w:lineRule="auto"/>
        <w:ind w:firstLine="1125" w:firstLineChars="393"/>
        <w:rPr>
          <w:rFonts w:hint="eastAsia" w:ascii="仿宋_GB2312" w:hAnsi="宋体" w:eastAsia="仿宋_GB2312"/>
          <w:b/>
          <w:bCs/>
          <w:color w:val="auto"/>
          <w:w w:val="95"/>
          <w:sz w:val="30"/>
          <w:szCs w:val="30"/>
          <w:lang w:eastAsia="zh-CN"/>
        </w:rPr>
      </w:pPr>
      <w:r>
        <w:rPr>
          <w:rFonts w:hint="eastAsia" w:ascii="仿宋_GB2312" w:hAnsi="宋体" w:eastAsia="仿宋_GB2312"/>
          <w:b/>
          <w:bCs/>
          <w:color w:val="auto"/>
          <w:w w:val="95"/>
          <w:sz w:val="30"/>
          <w:szCs w:val="30"/>
        </w:rPr>
        <w:t>采 购 人：</w:t>
      </w:r>
      <w:r>
        <w:rPr>
          <w:rFonts w:hint="eastAsia" w:ascii="仿宋_GB2312" w:hAnsi="宋体" w:eastAsia="仿宋_GB2312"/>
          <w:b/>
          <w:color w:val="auto"/>
          <w:sz w:val="32"/>
          <w:szCs w:val="32"/>
          <w:lang w:eastAsia="zh-CN"/>
        </w:rPr>
        <w:t>广西壮族自治区生态环境厅</w:t>
      </w:r>
    </w:p>
    <w:p w14:paraId="0E44D0A6">
      <w:pPr>
        <w:pStyle w:val="12"/>
        <w:snapToGrid w:val="0"/>
        <w:spacing w:line="360" w:lineRule="auto"/>
        <w:ind w:firstLine="1125" w:firstLineChars="393"/>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采购代理机构：</w:t>
      </w:r>
      <w:r>
        <w:rPr>
          <w:rFonts w:hint="eastAsia" w:ascii="仿宋_GB2312" w:hAnsi="宋体" w:eastAsia="仿宋_GB2312"/>
          <w:b/>
          <w:color w:val="auto"/>
          <w:sz w:val="32"/>
          <w:szCs w:val="32"/>
        </w:rPr>
        <w:t>广西科文招标有限公司</w:t>
      </w:r>
    </w:p>
    <w:p w14:paraId="38EF7A2C">
      <w:pPr>
        <w:pStyle w:val="12"/>
        <w:snapToGrid w:val="0"/>
        <w:spacing w:line="360" w:lineRule="auto"/>
        <w:ind w:firstLine="1125" w:firstLineChars="393"/>
        <w:rPr>
          <w:rFonts w:ascii="仿宋_GB2312" w:hAnsi="宋体" w:eastAsia="仿宋_GB2312"/>
          <w:b/>
          <w:bCs/>
          <w:color w:val="auto"/>
          <w:w w:val="95"/>
          <w:sz w:val="30"/>
          <w:szCs w:val="30"/>
        </w:rPr>
      </w:pPr>
    </w:p>
    <w:p w14:paraId="3628EA51">
      <w:pPr>
        <w:pStyle w:val="12"/>
        <w:snapToGrid w:val="0"/>
        <w:spacing w:line="360" w:lineRule="auto"/>
        <w:ind w:left="420" w:firstLine="841" w:firstLineChars="294"/>
        <w:rPr>
          <w:rFonts w:hint="eastAsia" w:ascii="仿宋_GB2312" w:hAnsi="宋体" w:eastAsia="仿宋_GB2312"/>
          <w:b/>
          <w:bCs/>
          <w:color w:val="auto"/>
          <w:w w:val="95"/>
          <w:sz w:val="30"/>
          <w:szCs w:val="30"/>
          <w:lang w:eastAsia="zh-CN"/>
        </w:rPr>
      </w:pPr>
      <w:r>
        <w:rPr>
          <w:rFonts w:hint="eastAsia" w:ascii="仿宋_GB2312" w:hAnsi="宋体" w:eastAsia="仿宋_GB2312"/>
          <w:b/>
          <w:bCs/>
          <w:color w:val="auto"/>
          <w:w w:val="95"/>
          <w:sz w:val="30"/>
          <w:szCs w:val="30"/>
        </w:rPr>
        <w:t xml:space="preserve">            </w:t>
      </w:r>
      <w:r>
        <w:rPr>
          <w:rFonts w:hint="eastAsia" w:ascii="仿宋_GB2312" w:hAnsi="宋体" w:eastAsia="仿宋_GB2312"/>
          <w:b/>
          <w:bCs/>
          <w:color w:val="auto"/>
          <w:w w:val="95"/>
          <w:sz w:val="30"/>
          <w:szCs w:val="30"/>
          <w:lang w:eastAsia="zh-CN"/>
        </w:rPr>
        <w:t>202</w:t>
      </w:r>
      <w:r>
        <w:rPr>
          <w:rFonts w:hint="eastAsia" w:ascii="仿宋_GB2312" w:hAnsi="宋体" w:eastAsia="仿宋_GB2312"/>
          <w:b/>
          <w:bCs/>
          <w:color w:val="auto"/>
          <w:w w:val="95"/>
          <w:sz w:val="30"/>
          <w:szCs w:val="30"/>
          <w:lang w:val="en-US" w:eastAsia="zh-CN"/>
        </w:rPr>
        <w:t>5</w:t>
      </w:r>
      <w:r>
        <w:rPr>
          <w:rFonts w:hint="eastAsia" w:ascii="仿宋_GB2312" w:hAnsi="宋体" w:eastAsia="仿宋_GB2312"/>
          <w:b/>
          <w:bCs/>
          <w:color w:val="auto"/>
          <w:w w:val="95"/>
          <w:sz w:val="30"/>
          <w:szCs w:val="30"/>
          <w:lang w:eastAsia="zh-CN"/>
        </w:rPr>
        <w:t>年</w:t>
      </w:r>
      <w:r>
        <w:rPr>
          <w:rFonts w:hint="eastAsia" w:ascii="仿宋_GB2312" w:hAnsi="宋体" w:eastAsia="仿宋_GB2312"/>
          <w:b/>
          <w:bCs/>
          <w:color w:val="auto"/>
          <w:w w:val="95"/>
          <w:sz w:val="30"/>
          <w:szCs w:val="30"/>
          <w:lang w:val="en-US" w:eastAsia="zh-CN"/>
        </w:rPr>
        <w:t>5</w:t>
      </w:r>
      <w:r>
        <w:rPr>
          <w:rFonts w:hint="eastAsia" w:ascii="仿宋_GB2312" w:hAnsi="宋体" w:eastAsia="仿宋_GB2312"/>
          <w:b/>
          <w:bCs/>
          <w:color w:val="auto"/>
          <w:w w:val="95"/>
          <w:sz w:val="30"/>
          <w:szCs w:val="30"/>
          <w:lang w:eastAsia="zh-CN"/>
        </w:rPr>
        <w:t>月</w:t>
      </w:r>
    </w:p>
    <w:p w14:paraId="03061A66">
      <w:pPr>
        <w:spacing w:line="360" w:lineRule="auto"/>
        <w:jc w:val="both"/>
        <w:rPr>
          <w:rFonts w:ascii="宋体" w:hAnsi="宋体" w:cs="宋体"/>
          <w:b/>
          <w:bCs/>
          <w:color w:val="auto"/>
          <w:kern w:val="0"/>
          <w:sz w:val="32"/>
          <w:szCs w:val="32"/>
        </w:rPr>
      </w:pPr>
    </w:p>
    <w:p w14:paraId="2107FB73">
      <w:pPr>
        <w:spacing w:line="360" w:lineRule="auto"/>
        <w:jc w:val="center"/>
        <w:rPr>
          <w:rFonts w:hint="eastAsia" w:ascii="宋体" w:hAnsi="宋体"/>
          <w:b/>
          <w:color w:val="auto"/>
          <w:sz w:val="44"/>
          <w:szCs w:val="44"/>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32F37CD6">
      <w:pPr>
        <w:spacing w:line="360" w:lineRule="auto"/>
        <w:jc w:val="center"/>
        <w:rPr>
          <w:rFonts w:ascii="宋体" w:hAnsi="宋体"/>
          <w:b/>
          <w:color w:val="auto"/>
          <w:sz w:val="44"/>
          <w:szCs w:val="44"/>
        </w:rPr>
      </w:pPr>
      <w:r>
        <w:rPr>
          <w:rFonts w:hint="eastAsia" w:ascii="宋体" w:hAnsi="宋体"/>
          <w:b/>
          <w:color w:val="auto"/>
          <w:sz w:val="44"/>
          <w:szCs w:val="44"/>
        </w:rPr>
        <w:t>目  录</w:t>
      </w:r>
    </w:p>
    <w:p w14:paraId="604F8901">
      <w:pPr>
        <w:spacing w:line="400" w:lineRule="exact"/>
        <w:jc w:val="center"/>
        <w:rPr>
          <w:rFonts w:ascii="宋体" w:hAnsi="宋体"/>
          <w:b/>
          <w:color w:val="auto"/>
          <w:sz w:val="44"/>
          <w:szCs w:val="44"/>
        </w:rPr>
      </w:pPr>
    </w:p>
    <w:p w14:paraId="5FC46CBA">
      <w:pPr>
        <w:pStyle w:val="15"/>
        <w:tabs>
          <w:tab w:val="right" w:leader="dot" w:pos="8879"/>
        </w:tabs>
        <w:spacing w:line="520" w:lineRule="exact"/>
        <w:rPr>
          <w:color w:val="auto"/>
          <w:sz w:val="30"/>
          <w:szCs w:val="30"/>
        </w:rPr>
      </w:pPr>
      <w:r>
        <w:rPr>
          <w:rFonts w:ascii="宋体" w:hAnsi="宋体"/>
          <w:b/>
          <w:color w:val="auto"/>
          <w:sz w:val="30"/>
          <w:szCs w:val="30"/>
        </w:rPr>
        <w:fldChar w:fldCharType="begin"/>
      </w:r>
      <w:r>
        <w:rPr>
          <w:rFonts w:ascii="宋体" w:hAnsi="宋体"/>
          <w:b/>
          <w:color w:val="auto"/>
          <w:sz w:val="30"/>
          <w:szCs w:val="30"/>
        </w:rPr>
        <w:instrText xml:space="preserve"> </w:instrText>
      </w:r>
      <w:r>
        <w:rPr>
          <w:rFonts w:hint="eastAsia" w:ascii="宋体" w:hAnsi="宋体"/>
          <w:b/>
          <w:color w:val="auto"/>
          <w:sz w:val="30"/>
          <w:szCs w:val="30"/>
        </w:rPr>
        <w:instrText xml:space="preserve">TOC \o "1-3" \h \z \u</w:instrText>
      </w:r>
      <w:r>
        <w:rPr>
          <w:rFonts w:ascii="宋体" w:hAnsi="宋体"/>
          <w:b/>
          <w:color w:val="auto"/>
          <w:sz w:val="30"/>
          <w:szCs w:val="30"/>
        </w:rPr>
        <w:instrText xml:space="preserve"> </w:instrText>
      </w:r>
      <w:r>
        <w:rPr>
          <w:rFonts w:ascii="宋体" w:hAnsi="宋体"/>
          <w:b/>
          <w:color w:val="auto"/>
          <w:sz w:val="30"/>
          <w:szCs w:val="30"/>
        </w:rPr>
        <w:fldChar w:fldCharType="separate"/>
      </w:r>
      <w:r>
        <w:rPr>
          <w:rFonts w:ascii="宋体" w:hAnsi="宋体"/>
          <w:color w:val="auto"/>
          <w:sz w:val="30"/>
          <w:szCs w:val="30"/>
        </w:rPr>
        <w:fldChar w:fldCharType="begin"/>
      </w:r>
      <w:r>
        <w:rPr>
          <w:rFonts w:ascii="宋体" w:hAnsi="宋体"/>
          <w:color w:val="auto"/>
          <w:sz w:val="30"/>
          <w:szCs w:val="30"/>
        </w:rPr>
        <w:instrText xml:space="preserve"> HYPERLINK \l _Toc9849 </w:instrText>
      </w:r>
      <w:r>
        <w:rPr>
          <w:rFonts w:ascii="宋体" w:hAnsi="宋体"/>
          <w:color w:val="auto"/>
          <w:sz w:val="30"/>
          <w:szCs w:val="30"/>
        </w:rPr>
        <w:fldChar w:fldCharType="separate"/>
      </w:r>
      <w:r>
        <w:rPr>
          <w:rFonts w:hint="eastAsia"/>
          <w:color w:val="auto"/>
          <w:sz w:val="30"/>
          <w:szCs w:val="30"/>
        </w:rPr>
        <w:t>第一章 竞争性磋商公告</w:t>
      </w:r>
      <w:r>
        <w:rPr>
          <w:color w:val="auto"/>
          <w:sz w:val="30"/>
          <w:szCs w:val="30"/>
        </w:rPr>
        <w:tab/>
      </w:r>
      <w:r>
        <w:rPr>
          <w:color w:val="auto"/>
          <w:sz w:val="30"/>
          <w:szCs w:val="30"/>
        </w:rPr>
        <w:fldChar w:fldCharType="begin"/>
      </w:r>
      <w:r>
        <w:rPr>
          <w:color w:val="auto"/>
          <w:sz w:val="30"/>
          <w:szCs w:val="30"/>
        </w:rPr>
        <w:instrText xml:space="preserve"> PAGEREF _Toc9849 </w:instrText>
      </w:r>
      <w:r>
        <w:rPr>
          <w:color w:val="auto"/>
          <w:sz w:val="30"/>
          <w:szCs w:val="30"/>
        </w:rPr>
        <w:fldChar w:fldCharType="separate"/>
      </w:r>
      <w:r>
        <w:rPr>
          <w:color w:val="auto"/>
          <w:sz w:val="30"/>
          <w:szCs w:val="30"/>
        </w:rPr>
        <w:t>2</w:t>
      </w:r>
      <w:r>
        <w:rPr>
          <w:color w:val="auto"/>
          <w:sz w:val="30"/>
          <w:szCs w:val="30"/>
        </w:rPr>
        <w:fldChar w:fldCharType="end"/>
      </w:r>
      <w:r>
        <w:rPr>
          <w:rFonts w:ascii="宋体" w:hAnsi="宋体"/>
          <w:color w:val="auto"/>
          <w:sz w:val="30"/>
          <w:szCs w:val="30"/>
        </w:rPr>
        <w:fldChar w:fldCharType="end"/>
      </w:r>
    </w:p>
    <w:p w14:paraId="4B6FBAB5">
      <w:pPr>
        <w:pStyle w:val="15"/>
        <w:tabs>
          <w:tab w:val="right" w:leader="dot" w:pos="8879"/>
        </w:tabs>
        <w:spacing w:line="520" w:lineRule="exact"/>
        <w:rPr>
          <w:color w:val="auto"/>
          <w:sz w:val="30"/>
          <w:szCs w:val="30"/>
        </w:rPr>
      </w:pPr>
      <w:r>
        <w:rPr>
          <w:rFonts w:ascii="宋体" w:hAnsi="宋体"/>
          <w:color w:val="auto"/>
          <w:sz w:val="30"/>
          <w:szCs w:val="30"/>
        </w:rPr>
        <w:fldChar w:fldCharType="begin"/>
      </w:r>
      <w:r>
        <w:rPr>
          <w:rFonts w:ascii="宋体" w:hAnsi="宋体"/>
          <w:color w:val="auto"/>
          <w:sz w:val="30"/>
          <w:szCs w:val="30"/>
        </w:rPr>
        <w:instrText xml:space="preserve"> HYPERLINK \l _Toc6236 </w:instrText>
      </w:r>
      <w:r>
        <w:rPr>
          <w:rFonts w:ascii="宋体" w:hAnsi="宋体"/>
          <w:color w:val="auto"/>
          <w:sz w:val="30"/>
          <w:szCs w:val="30"/>
        </w:rPr>
        <w:fldChar w:fldCharType="separate"/>
      </w:r>
      <w:r>
        <w:rPr>
          <w:rFonts w:hint="eastAsia"/>
          <w:color w:val="auto"/>
          <w:sz w:val="30"/>
          <w:szCs w:val="30"/>
        </w:rPr>
        <w:t>第二章 供应商须知</w:t>
      </w:r>
      <w:r>
        <w:rPr>
          <w:color w:val="auto"/>
          <w:sz w:val="30"/>
          <w:szCs w:val="30"/>
        </w:rPr>
        <w:tab/>
      </w:r>
      <w:r>
        <w:rPr>
          <w:color w:val="auto"/>
          <w:sz w:val="30"/>
          <w:szCs w:val="30"/>
        </w:rPr>
        <w:fldChar w:fldCharType="begin"/>
      </w:r>
      <w:r>
        <w:rPr>
          <w:color w:val="auto"/>
          <w:sz w:val="30"/>
          <w:szCs w:val="30"/>
        </w:rPr>
        <w:instrText xml:space="preserve"> PAGEREF _Toc6236 </w:instrText>
      </w:r>
      <w:r>
        <w:rPr>
          <w:color w:val="auto"/>
          <w:sz w:val="30"/>
          <w:szCs w:val="30"/>
        </w:rPr>
        <w:fldChar w:fldCharType="separate"/>
      </w:r>
      <w:r>
        <w:rPr>
          <w:color w:val="auto"/>
          <w:sz w:val="30"/>
          <w:szCs w:val="30"/>
        </w:rPr>
        <w:t>6</w:t>
      </w:r>
      <w:r>
        <w:rPr>
          <w:color w:val="auto"/>
          <w:sz w:val="30"/>
          <w:szCs w:val="30"/>
        </w:rPr>
        <w:fldChar w:fldCharType="end"/>
      </w:r>
      <w:r>
        <w:rPr>
          <w:rFonts w:ascii="宋体" w:hAnsi="宋体"/>
          <w:color w:val="auto"/>
          <w:sz w:val="30"/>
          <w:szCs w:val="30"/>
        </w:rPr>
        <w:fldChar w:fldCharType="end"/>
      </w:r>
    </w:p>
    <w:p w14:paraId="68E1EB59">
      <w:pPr>
        <w:pStyle w:val="15"/>
        <w:tabs>
          <w:tab w:val="right" w:leader="dot" w:pos="8879"/>
        </w:tabs>
        <w:spacing w:line="520" w:lineRule="exact"/>
        <w:rPr>
          <w:color w:val="auto"/>
          <w:sz w:val="30"/>
          <w:szCs w:val="30"/>
        </w:rPr>
      </w:pPr>
      <w:r>
        <w:rPr>
          <w:rFonts w:ascii="宋体" w:hAnsi="宋体"/>
          <w:color w:val="auto"/>
          <w:sz w:val="30"/>
          <w:szCs w:val="30"/>
        </w:rPr>
        <w:fldChar w:fldCharType="begin"/>
      </w:r>
      <w:r>
        <w:rPr>
          <w:rFonts w:ascii="宋体" w:hAnsi="宋体"/>
          <w:color w:val="auto"/>
          <w:sz w:val="30"/>
          <w:szCs w:val="30"/>
        </w:rPr>
        <w:instrText xml:space="preserve"> HYPERLINK \l _Toc11651 </w:instrText>
      </w:r>
      <w:r>
        <w:rPr>
          <w:rFonts w:ascii="宋体" w:hAnsi="宋体"/>
          <w:color w:val="auto"/>
          <w:sz w:val="30"/>
          <w:szCs w:val="30"/>
        </w:rPr>
        <w:fldChar w:fldCharType="separate"/>
      </w:r>
      <w:r>
        <w:rPr>
          <w:rFonts w:hint="eastAsia"/>
          <w:color w:val="auto"/>
          <w:sz w:val="30"/>
          <w:szCs w:val="30"/>
        </w:rPr>
        <w:t>第三章 采购需求</w:t>
      </w:r>
      <w:r>
        <w:rPr>
          <w:color w:val="auto"/>
          <w:sz w:val="30"/>
          <w:szCs w:val="30"/>
        </w:rPr>
        <w:tab/>
      </w:r>
      <w:r>
        <w:rPr>
          <w:color w:val="auto"/>
          <w:sz w:val="30"/>
          <w:szCs w:val="30"/>
        </w:rPr>
        <w:fldChar w:fldCharType="begin"/>
      </w:r>
      <w:r>
        <w:rPr>
          <w:color w:val="auto"/>
          <w:sz w:val="30"/>
          <w:szCs w:val="30"/>
        </w:rPr>
        <w:instrText xml:space="preserve"> PAGEREF _Toc11651 </w:instrText>
      </w:r>
      <w:r>
        <w:rPr>
          <w:color w:val="auto"/>
          <w:sz w:val="30"/>
          <w:szCs w:val="30"/>
        </w:rPr>
        <w:fldChar w:fldCharType="separate"/>
      </w:r>
      <w:r>
        <w:rPr>
          <w:color w:val="auto"/>
          <w:sz w:val="30"/>
          <w:szCs w:val="30"/>
        </w:rPr>
        <w:t>23</w:t>
      </w:r>
      <w:r>
        <w:rPr>
          <w:color w:val="auto"/>
          <w:sz w:val="30"/>
          <w:szCs w:val="30"/>
        </w:rPr>
        <w:fldChar w:fldCharType="end"/>
      </w:r>
      <w:r>
        <w:rPr>
          <w:rFonts w:ascii="宋体" w:hAnsi="宋体"/>
          <w:color w:val="auto"/>
          <w:sz w:val="30"/>
          <w:szCs w:val="30"/>
        </w:rPr>
        <w:fldChar w:fldCharType="end"/>
      </w:r>
    </w:p>
    <w:p w14:paraId="4EC18D4C">
      <w:pPr>
        <w:pStyle w:val="15"/>
        <w:tabs>
          <w:tab w:val="right" w:leader="dot" w:pos="8879"/>
        </w:tabs>
        <w:spacing w:line="520" w:lineRule="exact"/>
        <w:rPr>
          <w:color w:val="auto"/>
          <w:sz w:val="30"/>
          <w:szCs w:val="30"/>
        </w:rPr>
      </w:pPr>
      <w:r>
        <w:rPr>
          <w:rFonts w:ascii="宋体" w:hAnsi="宋体"/>
          <w:color w:val="auto"/>
          <w:sz w:val="30"/>
          <w:szCs w:val="30"/>
        </w:rPr>
        <w:fldChar w:fldCharType="begin"/>
      </w:r>
      <w:r>
        <w:rPr>
          <w:rFonts w:ascii="宋体" w:hAnsi="宋体"/>
          <w:color w:val="auto"/>
          <w:sz w:val="30"/>
          <w:szCs w:val="30"/>
        </w:rPr>
        <w:instrText xml:space="preserve"> HYPERLINK \l _Toc11340 </w:instrText>
      </w:r>
      <w:r>
        <w:rPr>
          <w:rFonts w:ascii="宋体" w:hAnsi="宋体"/>
          <w:color w:val="auto"/>
          <w:sz w:val="30"/>
          <w:szCs w:val="30"/>
        </w:rPr>
        <w:fldChar w:fldCharType="separate"/>
      </w:r>
      <w:r>
        <w:rPr>
          <w:rFonts w:hint="eastAsia"/>
          <w:color w:val="auto"/>
          <w:sz w:val="30"/>
          <w:szCs w:val="30"/>
        </w:rPr>
        <w:t>第四章  评审程序、评审方法和评审标准</w:t>
      </w:r>
      <w:r>
        <w:rPr>
          <w:color w:val="auto"/>
          <w:sz w:val="30"/>
          <w:szCs w:val="30"/>
        </w:rPr>
        <w:tab/>
      </w:r>
      <w:r>
        <w:rPr>
          <w:color w:val="auto"/>
          <w:sz w:val="30"/>
          <w:szCs w:val="30"/>
        </w:rPr>
        <w:fldChar w:fldCharType="begin"/>
      </w:r>
      <w:r>
        <w:rPr>
          <w:color w:val="auto"/>
          <w:sz w:val="30"/>
          <w:szCs w:val="30"/>
        </w:rPr>
        <w:instrText xml:space="preserve"> PAGEREF _Toc11340 </w:instrText>
      </w:r>
      <w:r>
        <w:rPr>
          <w:color w:val="auto"/>
          <w:sz w:val="30"/>
          <w:szCs w:val="30"/>
        </w:rPr>
        <w:fldChar w:fldCharType="separate"/>
      </w:r>
      <w:r>
        <w:rPr>
          <w:color w:val="auto"/>
          <w:sz w:val="30"/>
          <w:szCs w:val="30"/>
        </w:rPr>
        <w:t>29</w:t>
      </w:r>
      <w:r>
        <w:rPr>
          <w:color w:val="auto"/>
          <w:sz w:val="30"/>
          <w:szCs w:val="30"/>
        </w:rPr>
        <w:fldChar w:fldCharType="end"/>
      </w:r>
      <w:r>
        <w:rPr>
          <w:rFonts w:ascii="宋体" w:hAnsi="宋体"/>
          <w:color w:val="auto"/>
          <w:sz w:val="30"/>
          <w:szCs w:val="30"/>
        </w:rPr>
        <w:fldChar w:fldCharType="end"/>
      </w:r>
    </w:p>
    <w:p w14:paraId="54A4A52B">
      <w:pPr>
        <w:pStyle w:val="15"/>
        <w:tabs>
          <w:tab w:val="right" w:leader="dot" w:pos="8879"/>
        </w:tabs>
        <w:spacing w:line="520" w:lineRule="exact"/>
        <w:rPr>
          <w:color w:val="auto"/>
          <w:sz w:val="30"/>
          <w:szCs w:val="30"/>
        </w:rPr>
      </w:pPr>
      <w:r>
        <w:rPr>
          <w:rFonts w:ascii="宋体" w:hAnsi="宋体"/>
          <w:color w:val="auto"/>
          <w:sz w:val="30"/>
          <w:szCs w:val="30"/>
        </w:rPr>
        <w:fldChar w:fldCharType="begin"/>
      </w:r>
      <w:r>
        <w:rPr>
          <w:rFonts w:ascii="宋体" w:hAnsi="宋体"/>
          <w:color w:val="auto"/>
          <w:sz w:val="30"/>
          <w:szCs w:val="30"/>
        </w:rPr>
        <w:instrText xml:space="preserve"> HYPERLINK \l _Toc14624 </w:instrText>
      </w:r>
      <w:r>
        <w:rPr>
          <w:rFonts w:ascii="宋体" w:hAnsi="宋体"/>
          <w:color w:val="auto"/>
          <w:sz w:val="30"/>
          <w:szCs w:val="30"/>
        </w:rPr>
        <w:fldChar w:fldCharType="separate"/>
      </w:r>
      <w:r>
        <w:rPr>
          <w:rFonts w:hint="eastAsia"/>
          <w:color w:val="auto"/>
          <w:sz w:val="30"/>
          <w:szCs w:val="30"/>
        </w:rPr>
        <w:t>第五章 响应文件格式</w:t>
      </w:r>
      <w:r>
        <w:rPr>
          <w:color w:val="auto"/>
          <w:sz w:val="30"/>
          <w:szCs w:val="30"/>
        </w:rPr>
        <w:tab/>
      </w:r>
      <w:r>
        <w:rPr>
          <w:color w:val="auto"/>
          <w:sz w:val="30"/>
          <w:szCs w:val="30"/>
        </w:rPr>
        <w:fldChar w:fldCharType="begin"/>
      </w:r>
      <w:r>
        <w:rPr>
          <w:color w:val="auto"/>
          <w:sz w:val="30"/>
          <w:szCs w:val="30"/>
        </w:rPr>
        <w:instrText xml:space="preserve"> PAGEREF _Toc14624 </w:instrText>
      </w:r>
      <w:r>
        <w:rPr>
          <w:color w:val="auto"/>
          <w:sz w:val="30"/>
          <w:szCs w:val="30"/>
        </w:rPr>
        <w:fldChar w:fldCharType="separate"/>
      </w:r>
      <w:r>
        <w:rPr>
          <w:color w:val="auto"/>
          <w:sz w:val="30"/>
          <w:szCs w:val="30"/>
        </w:rPr>
        <w:t>38</w:t>
      </w:r>
      <w:r>
        <w:rPr>
          <w:color w:val="auto"/>
          <w:sz w:val="30"/>
          <w:szCs w:val="30"/>
        </w:rPr>
        <w:fldChar w:fldCharType="end"/>
      </w:r>
      <w:r>
        <w:rPr>
          <w:rFonts w:ascii="宋体" w:hAnsi="宋体"/>
          <w:color w:val="auto"/>
          <w:sz w:val="30"/>
          <w:szCs w:val="30"/>
        </w:rPr>
        <w:fldChar w:fldCharType="end"/>
      </w:r>
    </w:p>
    <w:p w14:paraId="3597B02F">
      <w:pPr>
        <w:pStyle w:val="16"/>
        <w:tabs>
          <w:tab w:val="right" w:leader="dot" w:pos="8931"/>
          <w:tab w:val="clear" w:pos="8296"/>
        </w:tabs>
        <w:snapToGrid w:val="0"/>
        <w:spacing w:line="520" w:lineRule="exact"/>
        <w:ind w:left="0" w:leftChars="0"/>
        <w:rPr>
          <w:rFonts w:ascii="宋体" w:hAnsi="宋体"/>
          <w:b/>
          <w:color w:val="auto"/>
          <w:sz w:val="30"/>
          <w:szCs w:val="30"/>
        </w:rPr>
      </w:pPr>
      <w:r>
        <w:rPr>
          <w:rFonts w:ascii="宋体" w:hAnsi="宋体"/>
          <w:color w:val="auto"/>
          <w:sz w:val="30"/>
          <w:szCs w:val="30"/>
        </w:rPr>
        <w:fldChar w:fldCharType="end"/>
      </w:r>
    </w:p>
    <w:p w14:paraId="29ABF968">
      <w:pPr>
        <w:spacing w:line="400" w:lineRule="exact"/>
        <w:jc w:val="left"/>
        <w:rPr>
          <w:rFonts w:ascii="宋体" w:hAnsi="宋体"/>
          <w:b/>
          <w:color w:val="auto"/>
          <w:sz w:val="32"/>
          <w:szCs w:val="32"/>
        </w:rPr>
      </w:pPr>
    </w:p>
    <w:p w14:paraId="2F273646">
      <w:pPr>
        <w:spacing w:line="400" w:lineRule="exact"/>
        <w:jc w:val="center"/>
        <w:rPr>
          <w:rFonts w:ascii="宋体" w:hAnsi="宋体"/>
          <w:b/>
          <w:color w:val="auto"/>
          <w:sz w:val="32"/>
          <w:szCs w:val="32"/>
        </w:rPr>
      </w:pPr>
    </w:p>
    <w:p w14:paraId="3CC04DEA">
      <w:pPr>
        <w:spacing w:line="400" w:lineRule="exact"/>
        <w:jc w:val="center"/>
        <w:rPr>
          <w:rFonts w:ascii="宋体" w:hAnsi="宋体"/>
          <w:b/>
          <w:color w:val="auto"/>
          <w:sz w:val="32"/>
          <w:szCs w:val="32"/>
        </w:rPr>
      </w:pPr>
    </w:p>
    <w:p w14:paraId="17906872">
      <w:pPr>
        <w:spacing w:line="400" w:lineRule="exact"/>
        <w:jc w:val="center"/>
        <w:rPr>
          <w:rFonts w:ascii="宋体" w:hAnsi="宋体"/>
          <w:b/>
          <w:color w:val="auto"/>
          <w:sz w:val="32"/>
          <w:szCs w:val="32"/>
        </w:rPr>
      </w:pPr>
    </w:p>
    <w:p w14:paraId="67B1504C">
      <w:pPr>
        <w:spacing w:line="400" w:lineRule="exact"/>
        <w:jc w:val="center"/>
        <w:rPr>
          <w:rFonts w:ascii="宋体" w:hAnsi="宋体"/>
          <w:b/>
          <w:color w:val="auto"/>
          <w:sz w:val="32"/>
          <w:szCs w:val="32"/>
        </w:rPr>
      </w:pPr>
    </w:p>
    <w:p w14:paraId="3BAEB0A9">
      <w:pPr>
        <w:spacing w:line="400" w:lineRule="exact"/>
        <w:rPr>
          <w:rFonts w:ascii="宋体" w:hAnsi="宋体"/>
          <w:b/>
          <w:color w:val="auto"/>
          <w:sz w:val="32"/>
          <w:szCs w:val="32"/>
        </w:rPr>
        <w:sectPr>
          <w:footerReference r:id="rId8" w:type="first"/>
          <w:footerReference r:id="rId7" w:type="default"/>
          <w:pgSz w:w="11906" w:h="16838"/>
          <w:pgMar w:top="1440" w:right="1440" w:bottom="1440" w:left="1587" w:header="851" w:footer="992" w:gutter="0"/>
          <w:pgNumType w:fmt="decimal" w:start="1"/>
          <w:cols w:space="720" w:num="1"/>
          <w:titlePg/>
          <w:docGrid w:type="lines" w:linePitch="312" w:charSpace="0"/>
        </w:sectPr>
      </w:pPr>
    </w:p>
    <w:p w14:paraId="25FB050B">
      <w:pPr>
        <w:pStyle w:val="3"/>
        <w:spacing w:line="400" w:lineRule="exact"/>
        <w:jc w:val="center"/>
        <w:rPr>
          <w:rFonts w:ascii="宋体" w:hAnsi="宋体"/>
          <w:b w:val="0"/>
          <w:bCs w:val="0"/>
          <w:color w:val="auto"/>
          <w:sz w:val="32"/>
          <w:szCs w:val="32"/>
        </w:rPr>
      </w:pPr>
      <w:bookmarkStart w:id="1" w:name="_Toc9849"/>
      <w:r>
        <w:rPr>
          <w:rFonts w:hint="eastAsia"/>
          <w:color w:val="auto"/>
          <w:sz w:val="32"/>
          <w:szCs w:val="32"/>
        </w:rPr>
        <w:t>第一章 竞争性磋商公告</w:t>
      </w:r>
      <w:bookmarkEnd w:id="1"/>
    </w:p>
    <w:p w14:paraId="616718CD">
      <w:pPr>
        <w:pStyle w:val="12"/>
        <w:spacing w:line="500" w:lineRule="exact"/>
        <w:jc w:val="center"/>
        <w:rPr>
          <w:rFonts w:hint="eastAsia" w:ascii="宋体" w:hAnsi="Courier New"/>
          <w:b/>
          <w:color w:val="auto"/>
          <w:kern w:val="2"/>
          <w:sz w:val="32"/>
          <w:szCs w:val="32"/>
        </w:rPr>
      </w:pPr>
      <w:r>
        <w:rPr>
          <w:rFonts w:hint="eastAsia"/>
          <w:b/>
          <w:color w:val="auto"/>
          <w:kern w:val="2"/>
          <w:sz w:val="32"/>
          <w:szCs w:val="32"/>
        </w:rPr>
        <w:t>广西科文招标有限公司</w:t>
      </w:r>
      <w:r>
        <w:rPr>
          <w:rFonts w:hint="eastAsia"/>
          <w:b/>
          <w:color w:val="auto"/>
          <w:kern w:val="2"/>
          <w:sz w:val="32"/>
          <w:szCs w:val="32"/>
          <w:lang w:val="en-US" w:eastAsia="zh-CN"/>
        </w:rPr>
        <w:t>关于</w:t>
      </w:r>
      <w:bookmarkStart w:id="2" w:name="OLE_LINK26"/>
      <w:bookmarkStart w:id="3" w:name="OLE_LINK7"/>
      <w:r>
        <w:rPr>
          <w:rFonts w:hint="eastAsia"/>
          <w:b/>
          <w:color w:val="auto"/>
          <w:sz w:val="32"/>
          <w:szCs w:val="32"/>
          <w:lang w:eastAsia="zh-CN"/>
        </w:rPr>
        <w:t>广西伴生放射性固体废物环境风险隐患排查</w:t>
      </w:r>
      <w:r>
        <w:rPr>
          <w:rFonts w:hint="eastAsia" w:ascii="宋体" w:hAnsi="Courier New"/>
          <w:b/>
          <w:color w:val="auto"/>
          <w:sz w:val="32"/>
          <w:szCs w:val="32"/>
        </w:rPr>
        <w:t>（</w:t>
      </w:r>
      <w:bookmarkStart w:id="4" w:name="OLE_LINK6"/>
      <w:r>
        <w:rPr>
          <w:rFonts w:hint="eastAsia"/>
          <w:b/>
          <w:color w:val="auto"/>
          <w:sz w:val="32"/>
          <w:szCs w:val="32"/>
          <w:lang w:eastAsia="zh-CN"/>
        </w:rPr>
        <w:t>GXZC2025-C3-001083-KWZB</w:t>
      </w:r>
      <w:bookmarkEnd w:id="4"/>
      <w:r>
        <w:rPr>
          <w:rFonts w:hint="eastAsia" w:ascii="宋体" w:hAnsi="Courier New"/>
          <w:b/>
          <w:color w:val="auto"/>
          <w:sz w:val="32"/>
          <w:szCs w:val="32"/>
        </w:rPr>
        <w:t>）</w:t>
      </w:r>
      <w:bookmarkEnd w:id="2"/>
      <w:r>
        <w:rPr>
          <w:rFonts w:hint="eastAsia"/>
          <w:b/>
          <w:color w:val="auto"/>
          <w:sz w:val="32"/>
          <w:szCs w:val="32"/>
          <w:lang w:val="en-US" w:eastAsia="zh-CN"/>
        </w:rPr>
        <w:t>的</w:t>
      </w:r>
      <w:r>
        <w:rPr>
          <w:rFonts w:hint="eastAsia" w:ascii="宋体" w:hAnsi="Courier New"/>
          <w:b/>
          <w:color w:val="auto"/>
          <w:kern w:val="2"/>
          <w:sz w:val="32"/>
          <w:szCs w:val="32"/>
        </w:rPr>
        <w:t>竞争性磋商公告</w:t>
      </w:r>
    </w:p>
    <w:p w14:paraId="39839E08">
      <w:pPr>
        <w:spacing w:line="400" w:lineRule="exact"/>
        <w:jc w:val="center"/>
        <w:rPr>
          <w:rFonts w:ascii="宋体" w:hAnsi="宋体"/>
          <w:color w:val="auto"/>
          <w:szCs w:val="21"/>
        </w:rPr>
      </w:pPr>
    </w:p>
    <w:p w14:paraId="26C78E1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5" w:name="_Hlk37430271"/>
      <w:r>
        <w:rPr>
          <w:rFonts w:hint="eastAsia" w:ascii="宋体" w:hAnsi="宋体"/>
          <w:color w:val="auto"/>
          <w:szCs w:val="21"/>
        </w:rPr>
        <w:t>项目概况</w:t>
      </w:r>
    </w:p>
    <w:p w14:paraId="0803504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lang w:eastAsia="zh-CN"/>
        </w:rPr>
      </w:pPr>
      <w:r>
        <w:rPr>
          <w:rFonts w:hint="eastAsia" w:ascii="宋体" w:hAnsi="宋体"/>
          <w:color w:val="auto"/>
          <w:szCs w:val="21"/>
          <w:lang w:eastAsia="zh-CN"/>
        </w:rPr>
        <w:t>广西伴生放射性固体废物环境风险隐患排查</w:t>
      </w:r>
      <w:r>
        <w:rPr>
          <w:rFonts w:hint="eastAsia" w:ascii="宋体" w:hAnsi="宋体"/>
          <w:color w:val="auto"/>
          <w:szCs w:val="21"/>
        </w:rPr>
        <w:t>的潜在供应商应在</w:t>
      </w:r>
      <w:r>
        <w:rPr>
          <w:rFonts w:hint="eastAsia" w:ascii="宋体" w:hAnsi="宋体"/>
          <w:color w:val="auto"/>
          <w:szCs w:val="21"/>
          <w:lang w:eastAsia="zh-CN"/>
        </w:rPr>
        <w:t>广西政府采购云平台（</w:t>
      </w:r>
      <w:r>
        <w:rPr>
          <w:rFonts w:hint="eastAsia" w:ascii="宋体" w:hAnsi="宋体"/>
          <w:color w:val="auto"/>
          <w:szCs w:val="21"/>
          <w:lang w:eastAsia="zh-CN"/>
        </w:rPr>
        <w:fldChar w:fldCharType="begin"/>
      </w:r>
      <w:r>
        <w:rPr>
          <w:rFonts w:hint="eastAsia" w:ascii="宋体" w:hAnsi="宋体"/>
          <w:color w:val="auto"/>
          <w:szCs w:val="21"/>
          <w:lang w:eastAsia="zh-CN"/>
        </w:rPr>
        <w:instrText xml:space="preserve"> HYPERLINK "https://www.zcygov.cn/）获取（下载）竞争性磋商文件，并于2023年" </w:instrText>
      </w:r>
      <w:r>
        <w:rPr>
          <w:rFonts w:hint="eastAsia" w:ascii="宋体" w:hAnsi="宋体"/>
          <w:color w:val="auto"/>
          <w:szCs w:val="21"/>
          <w:lang w:eastAsia="zh-CN"/>
        </w:rPr>
        <w:fldChar w:fldCharType="separate"/>
      </w:r>
      <w:r>
        <w:rPr>
          <w:rFonts w:hint="eastAsia" w:ascii="宋体" w:hAnsi="宋体"/>
          <w:color w:val="auto"/>
          <w:szCs w:val="21"/>
          <w:lang w:eastAsia="zh-CN"/>
        </w:rPr>
        <w:t>https://www.gcy.zfcg.gxzf.gov.cn/）获取（下载）竞争性磋商文件，并于202</w:t>
      </w:r>
      <w:r>
        <w:rPr>
          <w:rFonts w:hint="eastAsia" w:ascii="宋体" w:hAnsi="宋体"/>
          <w:color w:val="auto"/>
          <w:szCs w:val="21"/>
          <w:lang w:val="en-US" w:eastAsia="zh-CN"/>
        </w:rPr>
        <w:t>5</w:t>
      </w:r>
      <w:r>
        <w:rPr>
          <w:rFonts w:hint="eastAsia" w:ascii="宋体" w:hAnsi="宋体"/>
          <w:color w:val="auto"/>
          <w:szCs w:val="21"/>
          <w:lang w:eastAsia="zh-CN"/>
        </w:rPr>
        <w:t>年</w:t>
      </w:r>
      <w:r>
        <w:rPr>
          <w:rFonts w:hint="eastAsia" w:ascii="宋体" w:hAnsi="宋体"/>
          <w:color w:val="auto"/>
          <w:szCs w:val="21"/>
          <w:lang w:eastAsia="zh-CN"/>
        </w:rPr>
        <w:fldChar w:fldCharType="end"/>
      </w:r>
      <w:r>
        <w:rPr>
          <w:rFonts w:hint="eastAsia" w:ascii="宋体" w:hAnsi="宋体"/>
          <w:color w:val="auto"/>
          <w:szCs w:val="21"/>
          <w:lang w:val="en-US" w:eastAsia="zh-CN"/>
        </w:rPr>
        <w:t>6</w:t>
      </w:r>
      <w:r>
        <w:rPr>
          <w:rFonts w:hint="eastAsia" w:ascii="宋体" w:hAnsi="宋体"/>
          <w:color w:val="auto"/>
          <w:szCs w:val="21"/>
          <w:lang w:eastAsia="zh-CN"/>
        </w:rPr>
        <w:t>月</w:t>
      </w:r>
      <w:r>
        <w:rPr>
          <w:rFonts w:hint="eastAsia" w:ascii="宋体" w:hAnsi="宋体"/>
          <w:color w:val="auto"/>
          <w:szCs w:val="21"/>
          <w:lang w:val="en-US" w:eastAsia="zh-CN"/>
        </w:rPr>
        <w:t>4</w:t>
      </w:r>
      <w:r>
        <w:rPr>
          <w:rFonts w:hint="eastAsia" w:ascii="宋体" w:hAnsi="宋体"/>
          <w:color w:val="auto"/>
          <w:szCs w:val="21"/>
          <w:lang w:eastAsia="zh-CN"/>
        </w:rPr>
        <w:t>日</w:t>
      </w:r>
      <w:r>
        <w:rPr>
          <w:rFonts w:hint="eastAsia" w:ascii="宋体" w:hAnsi="宋体"/>
          <w:color w:val="auto"/>
          <w:szCs w:val="21"/>
          <w:lang w:val="en-US" w:eastAsia="zh-CN"/>
        </w:rPr>
        <w:t>15</w:t>
      </w:r>
      <w:r>
        <w:rPr>
          <w:rFonts w:hint="eastAsia" w:ascii="宋体" w:hAnsi="宋体"/>
          <w:color w:val="auto"/>
          <w:szCs w:val="21"/>
          <w:lang w:eastAsia="zh-CN"/>
        </w:rPr>
        <w:t>时00分（北京时间）前提交响应文件。</w:t>
      </w:r>
    </w:p>
    <w:p w14:paraId="56DE2483">
      <w:pPr>
        <w:spacing w:line="360" w:lineRule="auto"/>
        <w:ind w:firstLine="241" w:firstLineChars="100"/>
        <w:rPr>
          <w:rFonts w:ascii="黑体" w:hAnsi="黑体" w:eastAsia="黑体"/>
          <w:b/>
          <w:color w:val="auto"/>
          <w:sz w:val="24"/>
        </w:rPr>
      </w:pPr>
      <w:bookmarkStart w:id="6" w:name="_Hlk37429674"/>
      <w:bookmarkStart w:id="7" w:name="_Toc28359018"/>
      <w:bookmarkStart w:id="8" w:name="_Toc28359095"/>
      <w:bookmarkStart w:id="9" w:name="_Toc44229885"/>
      <w:bookmarkStart w:id="10" w:name="_Toc35393636"/>
      <w:bookmarkStart w:id="11" w:name="_Toc35393805"/>
      <w:r>
        <w:rPr>
          <w:rFonts w:hint="eastAsia" w:ascii="黑体" w:hAnsi="黑体" w:eastAsia="黑体"/>
          <w:b/>
          <w:color w:val="auto"/>
          <w:sz w:val="24"/>
        </w:rPr>
        <w:t>一、项目基本情况</w:t>
      </w:r>
    </w:p>
    <w:p w14:paraId="33E28100">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项目编号：</w:t>
      </w:r>
      <w:r>
        <w:rPr>
          <w:rFonts w:hint="eastAsia" w:ascii="宋体" w:hAnsi="宋体"/>
          <w:color w:val="auto"/>
          <w:szCs w:val="21"/>
          <w:lang w:eastAsia="zh-CN"/>
        </w:rPr>
        <w:t>GXZC2025-C3-001083-KWZB</w:t>
      </w:r>
    </w:p>
    <w:p w14:paraId="756374EE">
      <w:pPr>
        <w:spacing w:line="360" w:lineRule="auto"/>
        <w:ind w:firstLine="420" w:firstLineChars="200"/>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lang w:eastAsia="zh-CN"/>
        </w:rPr>
        <w:t>广西伴生放射性固体废物环境风险隐患排查</w:t>
      </w:r>
    </w:p>
    <w:p w14:paraId="038FB45E">
      <w:pPr>
        <w:spacing w:line="360" w:lineRule="auto"/>
        <w:ind w:firstLine="420" w:firstLineChars="200"/>
        <w:rPr>
          <w:rFonts w:ascii="宋体" w:hAnsi="宋体"/>
          <w:color w:val="auto"/>
          <w:szCs w:val="21"/>
        </w:rPr>
      </w:pPr>
      <w:r>
        <w:rPr>
          <w:rFonts w:hint="eastAsia" w:ascii="宋体" w:hAnsi="宋体"/>
          <w:color w:val="auto"/>
          <w:szCs w:val="21"/>
        </w:rPr>
        <w:t>采购方式：竞争性磋商</w:t>
      </w:r>
    </w:p>
    <w:p w14:paraId="5217B69F">
      <w:pPr>
        <w:spacing w:line="360" w:lineRule="auto"/>
        <w:ind w:firstLine="420" w:firstLineChars="200"/>
        <w:rPr>
          <w:rFonts w:ascii="宋体" w:hAnsi="宋体"/>
          <w:color w:val="auto"/>
          <w:szCs w:val="21"/>
        </w:rPr>
      </w:pPr>
      <w:r>
        <w:rPr>
          <w:rFonts w:hint="eastAsia" w:ascii="宋体" w:hAnsi="宋体"/>
          <w:color w:val="auto"/>
        </w:rPr>
        <w:t>预算总金额：</w:t>
      </w:r>
      <w:r>
        <w:rPr>
          <w:rFonts w:hint="eastAsia" w:ascii="宋体" w:hAnsi="宋体"/>
          <w:color w:val="auto"/>
          <w:lang w:val="en-US" w:eastAsia="zh-CN"/>
        </w:rPr>
        <w:t>人民币壹佰陆拾万元整（￥1,600,000.00元）</w:t>
      </w:r>
      <w:r>
        <w:rPr>
          <w:rFonts w:hint="eastAsia" w:ascii="宋体" w:hAnsi="宋体"/>
          <w:color w:val="auto"/>
          <w:szCs w:val="21"/>
        </w:rPr>
        <w:t>。</w:t>
      </w:r>
    </w:p>
    <w:p w14:paraId="52C4FF16">
      <w:pPr>
        <w:spacing w:line="360" w:lineRule="auto"/>
        <w:ind w:firstLine="420" w:firstLineChars="200"/>
        <w:rPr>
          <w:rFonts w:ascii="宋体" w:hAnsi="宋体"/>
          <w:color w:val="auto"/>
          <w:szCs w:val="21"/>
        </w:rPr>
      </w:pPr>
      <w:r>
        <w:rPr>
          <w:rFonts w:hint="eastAsia" w:ascii="宋体" w:hAnsi="宋体"/>
          <w:color w:val="auto"/>
          <w:szCs w:val="21"/>
        </w:rPr>
        <w:t>最高限价：</w:t>
      </w:r>
      <w:r>
        <w:rPr>
          <w:rFonts w:hint="eastAsia" w:ascii="宋体" w:hAnsi="宋体"/>
          <w:color w:val="auto"/>
          <w:lang w:val="en-US" w:eastAsia="zh-CN"/>
        </w:rPr>
        <w:t>人民币壹佰陆拾万元整（￥1,600,000.00元）</w:t>
      </w:r>
      <w:r>
        <w:rPr>
          <w:rFonts w:hint="eastAsia" w:ascii="宋体" w:hAnsi="宋体"/>
          <w:color w:val="auto"/>
          <w:szCs w:val="21"/>
        </w:rPr>
        <w:t>。</w:t>
      </w:r>
    </w:p>
    <w:p w14:paraId="3E62B421">
      <w:pPr>
        <w:spacing w:line="360" w:lineRule="auto"/>
        <w:ind w:firstLine="420" w:firstLineChars="200"/>
        <w:rPr>
          <w:rFonts w:ascii="宋体" w:hAnsi="宋体"/>
          <w:color w:val="auto"/>
          <w:szCs w:val="21"/>
        </w:rPr>
      </w:pPr>
      <w:r>
        <w:rPr>
          <w:rFonts w:hint="eastAsia" w:ascii="宋体" w:hAnsi="宋体"/>
          <w:color w:val="auto"/>
          <w:szCs w:val="21"/>
        </w:rPr>
        <w:t>采购需求：</w:t>
      </w:r>
      <w:bookmarkStart w:id="12" w:name="OLE_LINK15"/>
      <w:r>
        <w:rPr>
          <w:rFonts w:hint="eastAsia" w:ascii="宋体" w:hAnsi="宋体"/>
          <w:color w:val="auto"/>
          <w:szCs w:val="21"/>
          <w:lang w:eastAsia="zh-CN"/>
        </w:rPr>
        <w:t>广西伴生放射性固体废物环境风险隐患排查</w:t>
      </w:r>
      <w:r>
        <w:rPr>
          <w:rFonts w:hint="eastAsia" w:ascii="宋体" w:hAnsi="宋体"/>
          <w:color w:val="auto"/>
          <w:szCs w:val="21"/>
          <w:lang w:val="en-US" w:eastAsia="zh-CN"/>
        </w:rPr>
        <w:t>一项，</w:t>
      </w:r>
      <w:r>
        <w:rPr>
          <w:rFonts w:hint="eastAsia" w:ascii="宋体" w:hAnsi="宋体"/>
          <w:color w:val="auto"/>
          <w:szCs w:val="21"/>
          <w:highlight w:val="none"/>
          <w:lang w:eastAsia="zh-CN"/>
        </w:rPr>
        <w:t>如需进一步了解详细内容，详见采购文件。</w:t>
      </w:r>
      <w:bookmarkEnd w:id="12"/>
    </w:p>
    <w:p w14:paraId="614F06A1">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合同履行期限：</w:t>
      </w:r>
      <w:bookmarkStart w:id="13" w:name="OLE_LINK14"/>
      <w:bookmarkStart w:id="14" w:name="OLE_LINK12"/>
      <w:r>
        <w:rPr>
          <w:rFonts w:hint="eastAsia" w:ascii="宋体" w:hAnsi="宋体"/>
          <w:color w:val="auto"/>
          <w:szCs w:val="21"/>
          <w:highlight w:val="none"/>
        </w:rPr>
        <w:t>自签订合同之日起至202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bookmarkEnd w:id="13"/>
      <w:r>
        <w:rPr>
          <w:rFonts w:hint="eastAsia" w:ascii="宋体" w:hAnsi="宋体"/>
          <w:color w:val="auto"/>
          <w:szCs w:val="21"/>
          <w:highlight w:val="none"/>
          <w:lang w:val="en-US" w:eastAsia="zh-CN"/>
        </w:rPr>
        <w:t>31日</w:t>
      </w:r>
      <w:bookmarkEnd w:id="14"/>
      <w:r>
        <w:rPr>
          <w:rFonts w:hint="eastAsia" w:ascii="宋体" w:hAnsi="宋体"/>
          <w:color w:val="auto"/>
          <w:szCs w:val="21"/>
          <w:highlight w:val="none"/>
          <w:lang w:eastAsia="zh-CN"/>
        </w:rPr>
        <w:t>。</w:t>
      </w:r>
    </w:p>
    <w:p w14:paraId="3491218C">
      <w:pPr>
        <w:spacing w:line="360" w:lineRule="auto"/>
        <w:ind w:firstLine="422" w:firstLineChars="200"/>
        <w:rPr>
          <w:rFonts w:ascii="宋体" w:hAnsi="宋体"/>
          <w:b/>
          <w:bCs/>
          <w:color w:val="auto"/>
          <w:szCs w:val="21"/>
        </w:rPr>
      </w:pPr>
      <w:r>
        <w:rPr>
          <w:rFonts w:hint="eastAsia" w:ascii="宋体" w:hAnsi="宋体"/>
          <w:b/>
          <w:bCs/>
          <w:color w:val="auto"/>
          <w:szCs w:val="21"/>
        </w:rPr>
        <w:t>本项目（是</w:t>
      </w:r>
      <w:r>
        <w:rPr>
          <w:rFonts w:ascii="宋体" w:hAnsi="宋体"/>
          <w:b/>
          <w:bCs/>
          <w:color w:val="auto"/>
          <w:szCs w:val="21"/>
        </w:rPr>
        <w:t>/否</w:t>
      </w:r>
      <w:r>
        <w:rPr>
          <w:rFonts w:hint="eastAsia" w:ascii="宋体" w:hAnsi="宋体"/>
          <w:b/>
          <w:bCs/>
          <w:color w:val="auto"/>
          <w:szCs w:val="21"/>
        </w:rPr>
        <w:t>）接受联合体</w:t>
      </w:r>
      <w:r>
        <w:rPr>
          <w:rFonts w:hint="eastAsia" w:ascii="宋体" w:hAnsi="宋体"/>
          <w:b/>
          <w:bCs/>
          <w:color w:val="auto"/>
          <w:szCs w:val="21"/>
          <w:lang w:val="en-US" w:eastAsia="zh-CN"/>
        </w:rPr>
        <w:t>竞标</w:t>
      </w:r>
      <w:r>
        <w:rPr>
          <w:rFonts w:hint="eastAsia" w:ascii="宋体" w:hAnsi="宋体"/>
          <w:b/>
          <w:bCs/>
          <w:color w:val="auto"/>
          <w:szCs w:val="21"/>
        </w:rPr>
        <w:t>：不接受</w:t>
      </w:r>
    </w:p>
    <w:p w14:paraId="0FC92375">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二、申请人的资格条件：</w:t>
      </w:r>
    </w:p>
    <w:p w14:paraId="5CAC9E09">
      <w:pPr>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14:paraId="07840E16">
      <w:pPr>
        <w:spacing w:line="36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p>
    <w:p w14:paraId="4F337C3D">
      <w:pPr>
        <w:spacing w:line="360" w:lineRule="auto"/>
        <w:ind w:firstLine="420" w:firstLineChars="200"/>
        <w:rPr>
          <w:rFonts w:ascii="宋体" w:hAnsi="宋体"/>
          <w:color w:val="auto"/>
          <w:szCs w:val="21"/>
        </w:rPr>
      </w:pPr>
      <w:r>
        <w:rPr>
          <w:rFonts w:hint="eastAsia" w:ascii="宋体" w:hAnsi="宋体"/>
          <w:color w:val="auto"/>
          <w:szCs w:val="21"/>
        </w:rPr>
        <w:t>□专门面向中小企业采购的项目（供应商应为中小微企业或监狱企业或残疾人福利性单位)</w:t>
      </w:r>
    </w:p>
    <w:p w14:paraId="584A39C1">
      <w:pPr>
        <w:spacing w:line="360" w:lineRule="auto"/>
        <w:ind w:firstLine="420" w:firstLineChars="200"/>
        <w:rPr>
          <w:rFonts w:ascii="宋体" w:hAnsi="宋体"/>
          <w:color w:val="auto"/>
          <w:szCs w:val="21"/>
          <w:u w:val="single"/>
        </w:rPr>
      </w:pPr>
      <w:r>
        <w:rPr>
          <w:rFonts w:hint="eastAsia" w:ascii="MS Mincho" w:hAnsi="MS Mincho" w:cs="MS Mincho"/>
          <w:color w:val="auto"/>
          <w:szCs w:val="21"/>
        </w:rPr>
        <w:t>☑</w:t>
      </w:r>
      <w:r>
        <w:rPr>
          <w:rFonts w:hint="eastAsia" w:ascii="宋体" w:hAnsi="宋体"/>
          <w:color w:val="auto"/>
          <w:szCs w:val="21"/>
        </w:rPr>
        <w:t>非专门面向中小企业采购的项目</w:t>
      </w:r>
    </w:p>
    <w:p w14:paraId="73740221">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3、本项目的特定资格要求：供应商须</w:t>
      </w:r>
      <w:r>
        <w:rPr>
          <w:rFonts w:hint="eastAsia" w:ascii="宋体" w:hAnsi="宋体"/>
          <w:color w:val="auto"/>
          <w:szCs w:val="21"/>
          <w:lang w:val="en-US" w:eastAsia="zh-CN"/>
        </w:rPr>
        <w:t>提供</w:t>
      </w:r>
      <w:r>
        <w:rPr>
          <w:rFonts w:hint="eastAsia" w:ascii="宋体" w:hAnsi="宋体"/>
          <w:color w:val="auto"/>
          <w:szCs w:val="21"/>
        </w:rPr>
        <w:t>有效期内检验检测机构资质认定证书（CMA 证书）</w:t>
      </w:r>
      <w:r>
        <w:rPr>
          <w:rFonts w:hint="eastAsia" w:ascii="宋体" w:hAnsi="宋体"/>
          <w:color w:val="auto"/>
          <w:szCs w:val="21"/>
          <w:lang w:eastAsia="zh-CN"/>
        </w:rPr>
        <w:t>。</w:t>
      </w:r>
    </w:p>
    <w:p w14:paraId="1533C1D6">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三、获取竞争性磋商文件</w:t>
      </w:r>
    </w:p>
    <w:p w14:paraId="73A0C6DE">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时间：</w:t>
      </w:r>
      <w:r>
        <w:rPr>
          <w:rFonts w:hint="eastAsia" w:ascii="宋体" w:hAnsi="宋体" w:cs="Arial"/>
          <w:color w:val="auto"/>
          <w:lang w:eastAsia="zh-CN"/>
        </w:rPr>
        <w:t>202</w:t>
      </w:r>
      <w:r>
        <w:rPr>
          <w:rFonts w:hint="eastAsia" w:ascii="宋体" w:hAnsi="宋体" w:cs="Arial"/>
          <w:color w:val="auto"/>
          <w:lang w:val="en-US" w:eastAsia="zh-CN"/>
        </w:rPr>
        <w:t>5</w:t>
      </w:r>
      <w:r>
        <w:rPr>
          <w:rFonts w:hint="eastAsia" w:ascii="宋体" w:hAnsi="宋体" w:cs="Arial"/>
          <w:color w:val="auto"/>
          <w:lang w:eastAsia="zh-CN"/>
        </w:rPr>
        <w:t>年</w:t>
      </w:r>
      <w:r>
        <w:rPr>
          <w:rFonts w:hint="eastAsia" w:ascii="宋体" w:hAnsi="宋体" w:cs="Arial"/>
          <w:color w:val="auto"/>
          <w:lang w:val="en-US" w:eastAsia="zh-CN"/>
        </w:rPr>
        <w:t>5</w:t>
      </w:r>
      <w:r>
        <w:rPr>
          <w:rFonts w:hint="eastAsia" w:ascii="宋体" w:hAnsi="宋体" w:cs="Arial"/>
          <w:color w:val="auto"/>
          <w:lang w:eastAsia="zh-CN"/>
        </w:rPr>
        <w:t>月</w:t>
      </w:r>
      <w:r>
        <w:rPr>
          <w:rFonts w:hint="eastAsia" w:ascii="宋体" w:hAnsi="宋体" w:cs="Arial"/>
          <w:color w:val="auto"/>
          <w:lang w:val="en-US" w:eastAsia="zh-CN"/>
        </w:rPr>
        <w:t>21</w:t>
      </w:r>
      <w:r>
        <w:rPr>
          <w:rFonts w:hint="eastAsia" w:ascii="宋体" w:hAnsi="宋体" w:cs="Arial"/>
          <w:color w:val="auto"/>
        </w:rPr>
        <w:t>日</w:t>
      </w:r>
      <w:r>
        <w:rPr>
          <w:rFonts w:hint="eastAsia" w:ascii="宋体" w:hAnsi="宋体" w:cs="Arial"/>
          <w:color w:val="auto"/>
          <w:szCs w:val="21"/>
        </w:rPr>
        <w:t>至</w:t>
      </w:r>
      <w:r>
        <w:rPr>
          <w:rFonts w:hint="eastAsia" w:ascii="宋体" w:hAnsi="宋体" w:cs="Arial"/>
          <w:color w:val="auto"/>
        </w:rPr>
        <w:t>202</w:t>
      </w:r>
      <w:r>
        <w:rPr>
          <w:rFonts w:hint="eastAsia" w:ascii="宋体" w:hAnsi="宋体" w:cs="Arial"/>
          <w:color w:val="auto"/>
          <w:lang w:val="en-US" w:eastAsia="zh-CN"/>
        </w:rPr>
        <w:t>5</w:t>
      </w:r>
      <w:r>
        <w:rPr>
          <w:rFonts w:hint="eastAsia" w:ascii="宋体" w:hAnsi="宋体" w:cs="Arial"/>
          <w:color w:val="auto"/>
        </w:rPr>
        <w:t>年</w:t>
      </w:r>
      <w:r>
        <w:rPr>
          <w:rFonts w:hint="eastAsia" w:ascii="宋体" w:hAnsi="宋体" w:cs="Arial"/>
          <w:color w:val="auto"/>
          <w:lang w:val="en-US" w:eastAsia="zh-CN"/>
        </w:rPr>
        <w:t>5</w:t>
      </w:r>
      <w:r>
        <w:rPr>
          <w:rFonts w:hint="eastAsia" w:ascii="宋体" w:hAnsi="宋体" w:cs="Arial"/>
          <w:color w:val="auto"/>
        </w:rPr>
        <w:t>月</w:t>
      </w:r>
      <w:r>
        <w:rPr>
          <w:rFonts w:hint="eastAsia" w:ascii="宋体" w:hAnsi="宋体" w:cs="Arial"/>
          <w:color w:val="auto"/>
          <w:lang w:val="en-US" w:eastAsia="zh-CN"/>
        </w:rPr>
        <w:t>28</w:t>
      </w:r>
      <w:r>
        <w:rPr>
          <w:rFonts w:hint="eastAsia" w:ascii="宋体" w:hAnsi="宋体" w:cs="Arial"/>
          <w:color w:val="auto"/>
        </w:rPr>
        <w:t>日</w:t>
      </w:r>
      <w:r>
        <w:rPr>
          <w:rFonts w:hint="eastAsia" w:ascii="宋体" w:hAnsi="宋体" w:cs="Arial"/>
          <w:color w:val="auto"/>
          <w:szCs w:val="21"/>
        </w:rPr>
        <w:t>，每天上午00:00-12:00；下午1</w:t>
      </w:r>
      <w:r>
        <w:rPr>
          <w:rFonts w:hint="eastAsia" w:ascii="宋体" w:hAnsi="宋体" w:cs="Arial"/>
          <w:color w:val="auto"/>
        </w:rPr>
        <w:t>2</w:t>
      </w:r>
      <w:r>
        <w:rPr>
          <w:rFonts w:hint="eastAsia" w:ascii="宋体" w:hAnsi="宋体" w:cs="Arial"/>
          <w:color w:val="auto"/>
          <w:szCs w:val="21"/>
        </w:rPr>
        <w:t>:</w:t>
      </w:r>
      <w:r>
        <w:rPr>
          <w:rFonts w:hint="eastAsia" w:ascii="宋体" w:hAnsi="宋体" w:cs="Arial"/>
          <w:color w:val="auto"/>
        </w:rPr>
        <w:t>00</w:t>
      </w:r>
      <w:r>
        <w:rPr>
          <w:rFonts w:hint="eastAsia" w:ascii="宋体" w:hAnsi="宋体" w:cs="Arial"/>
          <w:color w:val="auto"/>
          <w:szCs w:val="21"/>
        </w:rPr>
        <w:t>-23:</w:t>
      </w:r>
      <w:r>
        <w:rPr>
          <w:rFonts w:hint="eastAsia" w:ascii="宋体" w:hAnsi="宋体" w:cs="Arial"/>
          <w:color w:val="auto"/>
        </w:rPr>
        <w:t>59</w:t>
      </w:r>
      <w:r>
        <w:rPr>
          <w:rFonts w:hint="eastAsia" w:ascii="宋体" w:hAnsi="宋体" w:cs="Arial"/>
          <w:color w:val="auto"/>
          <w:szCs w:val="21"/>
        </w:rPr>
        <w:t>（北京时间，</w:t>
      </w:r>
      <w:r>
        <w:rPr>
          <w:rFonts w:ascii="宋体" w:hAnsi="宋体" w:cs="Arial"/>
          <w:color w:val="auto"/>
          <w:szCs w:val="21"/>
        </w:rPr>
        <w:t>法定节假日</w:t>
      </w:r>
      <w:r>
        <w:rPr>
          <w:rFonts w:hint="eastAsia" w:ascii="宋体" w:hAnsi="宋体" w:cs="Arial"/>
          <w:color w:val="auto"/>
          <w:szCs w:val="21"/>
        </w:rPr>
        <w:t>除外）</w:t>
      </w:r>
      <w:r>
        <w:rPr>
          <w:rFonts w:hint="eastAsia" w:ascii="宋体" w:hAnsi="宋体" w:cs="宋体"/>
          <w:bCs/>
          <w:color w:val="auto"/>
          <w:kern w:val="0"/>
          <w:szCs w:val="21"/>
        </w:rPr>
        <w:t>。</w:t>
      </w:r>
    </w:p>
    <w:p w14:paraId="6DFDE395">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地点：“</w:t>
      </w:r>
      <w:r>
        <w:rPr>
          <w:rFonts w:hint="eastAsia" w:ascii="宋体" w:hAnsi="宋体" w:cs="宋体"/>
          <w:bCs/>
          <w:color w:val="auto"/>
          <w:kern w:val="0"/>
          <w:szCs w:val="21"/>
          <w:lang w:eastAsia="zh-CN"/>
        </w:rPr>
        <w:t>广西政府采购云平台</w:t>
      </w:r>
      <w:r>
        <w:rPr>
          <w:rFonts w:hint="eastAsia" w:ascii="宋体" w:hAnsi="宋体" w:cs="宋体"/>
          <w:bCs/>
          <w:color w:val="auto"/>
          <w:kern w:val="0"/>
          <w:szCs w:val="21"/>
        </w:rPr>
        <w:t>”平台（https://www.gcy.zfcg.gxzf.gov.cn/）</w:t>
      </w:r>
    </w:p>
    <w:p w14:paraId="7F9C0033">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方式：网上下载。本项目不发放纸质文件，供应商应自行在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s="宋体"/>
          <w:bCs/>
          <w:color w:val="auto"/>
          <w:kern w:val="0"/>
          <w:szCs w:val="21"/>
        </w:rPr>
        <w:t>“</w:t>
      </w:r>
      <w:r>
        <w:rPr>
          <w:rFonts w:hint="eastAsia" w:ascii="宋体" w:hAnsi="宋体" w:cs="宋体"/>
          <w:bCs/>
          <w:color w:val="auto"/>
          <w:kern w:val="0"/>
          <w:szCs w:val="21"/>
          <w:lang w:eastAsia="zh-CN"/>
        </w:rPr>
        <w:t>广西政府采购云平台</w:t>
      </w:r>
      <w:r>
        <w:rPr>
          <w:rFonts w:hint="eastAsia" w:ascii="宋体" w:hAnsi="宋体" w:cs="宋体"/>
          <w:bCs/>
          <w:color w:val="auto"/>
          <w:kern w:val="0"/>
          <w:szCs w:val="21"/>
        </w:rPr>
        <w:t>”平台（https://www.gcy.zfcg.gxzf.gov.cn/）下载竞争性磋商文件（操作路径：登录“</w:t>
      </w:r>
      <w:r>
        <w:rPr>
          <w:rFonts w:hint="eastAsia" w:ascii="宋体" w:hAnsi="宋体" w:cs="宋体"/>
          <w:bCs/>
          <w:color w:val="auto"/>
          <w:kern w:val="0"/>
          <w:szCs w:val="21"/>
          <w:lang w:eastAsia="zh-CN"/>
        </w:rPr>
        <w:t>广西政府采购云平台</w:t>
      </w:r>
      <w:r>
        <w:rPr>
          <w:rFonts w:hint="eastAsia" w:ascii="宋体" w:hAnsi="宋体" w:cs="宋体"/>
          <w:bCs/>
          <w:color w:val="auto"/>
          <w:kern w:val="0"/>
          <w:szCs w:val="21"/>
        </w:rPr>
        <w:t>”平台-项目采购-获取采购文件-找到本项目-点击“申请获取采购文件”），电子响应文件制作需要基于“</w:t>
      </w:r>
      <w:r>
        <w:rPr>
          <w:rFonts w:hint="eastAsia" w:ascii="宋体" w:hAnsi="宋体" w:cs="宋体"/>
          <w:bCs/>
          <w:color w:val="auto"/>
          <w:kern w:val="0"/>
          <w:szCs w:val="21"/>
          <w:lang w:eastAsia="zh-CN"/>
        </w:rPr>
        <w:t>广西政府采购云平台</w:t>
      </w:r>
      <w:r>
        <w:rPr>
          <w:rFonts w:hint="eastAsia" w:ascii="宋体" w:hAnsi="宋体" w:cs="宋体"/>
          <w:bCs/>
          <w:color w:val="auto"/>
          <w:kern w:val="0"/>
          <w:szCs w:val="21"/>
        </w:rPr>
        <w:t>”平台获取的竞争性磋商文件编制。</w:t>
      </w:r>
    </w:p>
    <w:p w14:paraId="708228C4">
      <w:pPr>
        <w:spacing w:line="360" w:lineRule="auto"/>
        <w:ind w:firstLine="420" w:firstLineChars="200"/>
        <w:rPr>
          <w:rFonts w:ascii="宋体" w:hAnsi="宋体" w:cs="宋体"/>
          <w:color w:val="auto"/>
          <w:szCs w:val="21"/>
        </w:rPr>
      </w:pPr>
      <w:r>
        <w:rPr>
          <w:rFonts w:hint="eastAsia" w:ascii="宋体" w:hAnsi="宋体" w:cs="宋体"/>
          <w:bCs/>
          <w:color w:val="auto"/>
          <w:kern w:val="0"/>
          <w:szCs w:val="21"/>
        </w:rPr>
        <w:t>售价：0元。</w:t>
      </w:r>
    </w:p>
    <w:p w14:paraId="0AF05B46">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四、响应文件提交</w:t>
      </w:r>
    </w:p>
    <w:p w14:paraId="02BE8B87">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1、首次响应文件提交截止时间</w:t>
      </w:r>
      <w:r>
        <w:rPr>
          <w:rFonts w:hint="eastAsia" w:ascii="宋体" w:hAnsi="宋体"/>
          <w:color w:val="auto"/>
          <w:szCs w:val="21"/>
        </w:rPr>
        <w:t>：</w:t>
      </w:r>
      <w:r>
        <w:rPr>
          <w:rFonts w:hint="eastAsia" w:ascii="宋体" w:hAnsi="宋体" w:cs="宋体"/>
          <w:bCs/>
          <w:color w:val="auto"/>
          <w:kern w:val="0"/>
          <w:szCs w:val="21"/>
          <w:lang w:eastAsia="zh-CN"/>
        </w:rPr>
        <w:t>2025年</w:t>
      </w:r>
      <w:r>
        <w:rPr>
          <w:rFonts w:hint="eastAsia" w:ascii="宋体" w:hAnsi="宋体" w:cs="宋体"/>
          <w:bCs/>
          <w:color w:val="auto"/>
          <w:kern w:val="0"/>
          <w:szCs w:val="21"/>
          <w:lang w:val="en-US" w:eastAsia="zh-CN"/>
        </w:rPr>
        <w:t>6</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4</w:t>
      </w:r>
      <w:r>
        <w:rPr>
          <w:rFonts w:hint="eastAsia" w:ascii="宋体" w:hAnsi="宋体" w:cs="宋体"/>
          <w:bCs/>
          <w:color w:val="auto"/>
          <w:kern w:val="0"/>
          <w:szCs w:val="21"/>
        </w:rPr>
        <w:t>日</w:t>
      </w:r>
      <w:r>
        <w:rPr>
          <w:rFonts w:hint="eastAsia" w:ascii="宋体" w:hAnsi="宋体" w:cs="宋体"/>
          <w:bCs/>
          <w:color w:val="auto"/>
          <w:kern w:val="0"/>
          <w:szCs w:val="21"/>
          <w:lang w:val="en-US" w:eastAsia="zh-CN"/>
        </w:rPr>
        <w:t>15</w:t>
      </w:r>
      <w:r>
        <w:rPr>
          <w:rFonts w:hint="eastAsia" w:ascii="宋体" w:hAnsi="宋体" w:cs="宋体"/>
          <w:bCs/>
          <w:color w:val="auto"/>
          <w:kern w:val="0"/>
          <w:szCs w:val="21"/>
        </w:rPr>
        <w:t>时00分（北京时间）</w:t>
      </w:r>
    </w:p>
    <w:p w14:paraId="3CDFD415">
      <w:pPr>
        <w:spacing w:line="360" w:lineRule="auto"/>
        <w:ind w:firstLine="420" w:firstLineChars="200"/>
        <w:rPr>
          <w:rFonts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通过“</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”平台在线提交。</w:t>
      </w:r>
    </w:p>
    <w:p w14:paraId="0150A9A7">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五、开启</w:t>
      </w:r>
    </w:p>
    <w:p w14:paraId="422C2C2F">
      <w:pPr>
        <w:spacing w:line="360" w:lineRule="auto"/>
        <w:ind w:firstLine="420" w:firstLineChars="200"/>
        <w:rPr>
          <w:rFonts w:ascii="宋体" w:hAnsi="宋体"/>
          <w:bCs/>
          <w:color w:val="auto"/>
          <w:szCs w:val="21"/>
          <w:u w:val="single"/>
        </w:rPr>
      </w:pPr>
      <w:r>
        <w:rPr>
          <w:rFonts w:hint="eastAsia" w:ascii="宋体" w:hAnsi="宋体"/>
          <w:color w:val="auto"/>
          <w:szCs w:val="21"/>
        </w:rPr>
        <w:t>1、首次响应文件开启时间：</w:t>
      </w:r>
      <w:r>
        <w:rPr>
          <w:rFonts w:hint="eastAsia" w:ascii="宋体" w:hAnsi="宋体" w:cs="宋体"/>
          <w:bCs/>
          <w:color w:val="auto"/>
          <w:kern w:val="0"/>
          <w:szCs w:val="21"/>
          <w:lang w:eastAsia="zh-CN"/>
        </w:rPr>
        <w:t>2025年</w:t>
      </w:r>
      <w:r>
        <w:rPr>
          <w:rFonts w:hint="eastAsia" w:ascii="宋体" w:hAnsi="宋体" w:cs="宋体"/>
          <w:bCs/>
          <w:color w:val="auto"/>
          <w:kern w:val="0"/>
          <w:szCs w:val="21"/>
          <w:lang w:val="en-US" w:eastAsia="zh-CN"/>
        </w:rPr>
        <w:t>6月4日15时</w:t>
      </w:r>
      <w:r>
        <w:rPr>
          <w:rFonts w:hint="eastAsia" w:ascii="宋体" w:hAnsi="宋体" w:cs="宋体"/>
          <w:bCs/>
          <w:color w:val="auto"/>
          <w:kern w:val="0"/>
          <w:szCs w:val="21"/>
        </w:rPr>
        <w:t>00分（北京时间）</w:t>
      </w:r>
    </w:p>
    <w:p w14:paraId="31160288">
      <w:pPr>
        <w:spacing w:line="360" w:lineRule="auto"/>
        <w:ind w:firstLine="420" w:firstLineChars="200"/>
        <w:rPr>
          <w:rFonts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本项目将在“</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”平台电子开标大厅解密、开启。</w:t>
      </w:r>
    </w:p>
    <w:p w14:paraId="0F26DC0D">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六、公告期限</w:t>
      </w:r>
    </w:p>
    <w:p w14:paraId="20B0AA75">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14:paraId="44DB22DE">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七、其他补充事宜</w:t>
      </w:r>
    </w:p>
    <w:p w14:paraId="3E2CC94F">
      <w:pPr>
        <w:widowControl/>
        <w:spacing w:line="360" w:lineRule="auto"/>
        <w:ind w:firstLine="420" w:firstLineChars="200"/>
        <w:rPr>
          <w:rFonts w:ascii="宋体" w:hAnsi="宋体" w:cs="宋体"/>
          <w:color w:val="auto"/>
          <w:szCs w:val="21"/>
          <w:lang w:bidi="ar"/>
        </w:rPr>
      </w:pPr>
      <w:bookmarkStart w:id="15" w:name="OLE_LINK19"/>
      <w:r>
        <w:rPr>
          <w:rFonts w:hint="eastAsia" w:ascii="宋体" w:hAnsi="宋体" w:cs="宋体"/>
          <w:color w:val="auto"/>
          <w:szCs w:val="21"/>
          <w:lang w:bidi="ar"/>
        </w:rPr>
        <w:t>1、磋商保证金（人民币）：</w:t>
      </w:r>
      <w:r>
        <w:rPr>
          <w:rFonts w:hint="eastAsia" w:ascii="宋体" w:hAnsi="宋体" w:cs="宋体"/>
          <w:color w:val="auto"/>
          <w:szCs w:val="21"/>
          <w:lang w:val="en-US" w:eastAsia="zh-CN" w:bidi="ar"/>
        </w:rPr>
        <w:t>1.6</w:t>
      </w:r>
      <w:r>
        <w:rPr>
          <w:rFonts w:hint="eastAsia" w:ascii="宋体" w:hAnsi="宋体" w:cs="宋体"/>
          <w:color w:val="auto"/>
          <w:szCs w:val="21"/>
          <w:lang w:bidi="ar"/>
        </w:rPr>
        <w:t>万元整。</w:t>
      </w:r>
    </w:p>
    <w:p w14:paraId="3421D0EC">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C2DCD86">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278B8CA">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4、网上查询地址：</w:t>
      </w:r>
      <w:bookmarkStart w:id="16" w:name="OLE_LINK8"/>
      <w:r>
        <w:rPr>
          <w:rFonts w:hint="eastAsia" w:ascii="宋体" w:hAnsi="宋体" w:cs="宋体"/>
          <w:color w:val="auto"/>
          <w:szCs w:val="21"/>
          <w:lang w:bidi="ar"/>
        </w:rPr>
        <w:t>中国政府采购网、广西政府采购网</w:t>
      </w:r>
      <w:r>
        <w:rPr>
          <w:rFonts w:hint="eastAsia" w:ascii="宋体" w:hAnsi="宋体" w:cs="宋体"/>
          <w:color w:val="auto"/>
          <w:szCs w:val="21"/>
          <w:lang w:eastAsia="zh-CN" w:bidi="ar"/>
        </w:rPr>
        <w:t>、</w:t>
      </w:r>
      <w:bookmarkStart w:id="17" w:name="OLE_LINK11"/>
      <w:r>
        <w:rPr>
          <w:rFonts w:hint="eastAsia" w:ascii="宋体" w:hAnsi="宋体" w:eastAsia="宋体" w:cs="Times New Roman"/>
          <w:color w:val="auto"/>
          <w:szCs w:val="21"/>
          <w:highlight w:val="none"/>
        </w:rPr>
        <w:t>广西壮族自治区生态环境厅网</w:t>
      </w:r>
      <w:bookmarkEnd w:id="16"/>
      <w:bookmarkEnd w:id="17"/>
      <w:r>
        <w:rPr>
          <w:rFonts w:hint="eastAsia" w:ascii="宋体" w:hAnsi="宋体" w:cs="宋体"/>
          <w:color w:val="auto"/>
          <w:szCs w:val="21"/>
          <w:lang w:bidi="ar"/>
        </w:rPr>
        <w:t>。</w:t>
      </w:r>
    </w:p>
    <w:p w14:paraId="799C1EE6">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5、本项目需要落实的政府采购政策：</w:t>
      </w:r>
    </w:p>
    <w:p w14:paraId="68D5156A">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（1）政府采购促进中小企业发展。</w:t>
      </w:r>
    </w:p>
    <w:p w14:paraId="0CFB2613">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（2）政府采购支持采用本国产品的政策。</w:t>
      </w:r>
    </w:p>
    <w:p w14:paraId="11A08F3D">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（3）强制采购节能产品；优先采购节能产品、环境标志产品。</w:t>
      </w:r>
    </w:p>
    <w:p w14:paraId="6FB58038">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（4）政府采购促进残疾人就业政策。</w:t>
      </w:r>
    </w:p>
    <w:p w14:paraId="7C4E6BDB">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（5）政府采购支持监狱企业发展。</w:t>
      </w:r>
    </w:p>
    <w:p w14:paraId="70B06D75">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（6）扶持不发达地区和少数民族地区政策</w:t>
      </w:r>
    </w:p>
    <w:p w14:paraId="54046DB7">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6、磋商注意事项：</w:t>
      </w:r>
    </w:p>
    <w:p w14:paraId="6BA44568">
      <w:pPr>
        <w:widowControl/>
        <w:spacing w:line="360" w:lineRule="auto"/>
        <w:ind w:firstLine="420" w:firstLineChars="200"/>
        <w:rPr>
          <w:rFonts w:ascii="宋体" w:hAnsi="宋体" w:cs="宋体"/>
          <w:bCs/>
          <w:color w:val="auto"/>
          <w:szCs w:val="21"/>
        </w:rPr>
      </w:pPr>
      <w:r>
        <w:rPr>
          <w:rFonts w:hint="eastAsia" w:ascii="宋体" w:hAnsi="宋体" w:cs="宋体"/>
          <w:color w:val="auto"/>
          <w:szCs w:val="21"/>
          <w:lang w:bidi="ar"/>
        </w:rPr>
        <w:t>（1）</w:t>
      </w:r>
      <w:r>
        <w:rPr>
          <w:rFonts w:hint="eastAsia" w:ascii="宋体" w:hAnsi="宋体" w:cs="宋体"/>
          <w:color w:val="auto"/>
          <w:szCs w:val="21"/>
        </w:rPr>
        <w:t>响应文件</w:t>
      </w:r>
      <w:r>
        <w:rPr>
          <w:rFonts w:hint="eastAsia" w:ascii="宋体" w:hAnsi="宋体" w:cs="宋体"/>
          <w:color w:val="auto"/>
          <w:szCs w:val="21"/>
          <w:lang w:bidi="ar"/>
        </w:rPr>
        <w:t>提交方式：本项目为全流程电子化政府采购项目，通过“</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”平台（https://www.gcy.zfcg.gxzf.gov.cn/）实行在线电子磋商采购，供应商应先安装“</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电子交易客户端”（请自行前往“</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”平台进行下载），并按照本项目竞争性磋商文件和“</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”平台的要求编制、加密后在</w:t>
      </w:r>
      <w:r>
        <w:rPr>
          <w:rFonts w:hint="eastAsia" w:ascii="宋体" w:hAnsi="宋体" w:cs="宋体"/>
          <w:color w:val="auto"/>
          <w:szCs w:val="21"/>
        </w:rPr>
        <w:t>首次响应文件提交截止时间</w:t>
      </w:r>
      <w:r>
        <w:rPr>
          <w:rFonts w:hint="eastAsia" w:ascii="宋体" w:hAnsi="宋体" w:cs="宋体"/>
          <w:color w:val="auto"/>
          <w:szCs w:val="21"/>
          <w:lang w:bidi="ar"/>
        </w:rPr>
        <w:t>前通过网络上传至“</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w:t>
      </w:r>
      <w:r>
        <w:rPr>
          <w:rFonts w:hint="eastAsia" w:ascii="宋体" w:hAnsi="宋体" w:cs="宋体"/>
          <w:b/>
          <w:color w:val="auto"/>
          <w:szCs w:val="21"/>
          <w:lang w:bidi="ar"/>
        </w:rPr>
        <w:t>供应商在“</w:t>
      </w:r>
      <w:r>
        <w:rPr>
          <w:rFonts w:hint="eastAsia" w:ascii="宋体" w:hAnsi="宋体" w:cs="宋体"/>
          <w:b/>
          <w:color w:val="auto"/>
          <w:szCs w:val="21"/>
          <w:lang w:eastAsia="zh-CN" w:bidi="ar"/>
        </w:rPr>
        <w:t>广西政府采购云平台</w:t>
      </w:r>
      <w:r>
        <w:rPr>
          <w:rFonts w:hint="eastAsia" w:ascii="宋体" w:hAnsi="宋体" w:cs="宋体"/>
          <w:b/>
          <w:color w:val="auto"/>
          <w:szCs w:val="21"/>
          <w:lang w:bidi="ar"/>
        </w:rPr>
        <w:t>”平台提交电子版响应文件时，请填写参加远程开标活动经办人联系方式。</w:t>
      </w:r>
    </w:p>
    <w:p w14:paraId="7FA06811">
      <w:pPr>
        <w:widowControl/>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（2）</w:t>
      </w:r>
      <w:r>
        <w:rPr>
          <w:rFonts w:ascii="宋体" w:hAnsi="宋体" w:cs="宋体"/>
          <w:color w:val="auto"/>
          <w:szCs w:val="21"/>
          <w:lang w:bidi="ar"/>
        </w:rPr>
        <w:t>供应商应及时熟悉掌握电子</w:t>
      </w:r>
      <w:r>
        <w:rPr>
          <w:rFonts w:hint="eastAsia" w:ascii="宋体" w:hAnsi="宋体" w:cs="宋体"/>
          <w:color w:val="auto"/>
          <w:szCs w:val="21"/>
          <w:lang w:bidi="ar"/>
        </w:rPr>
        <w:t>竞</w:t>
      </w:r>
      <w:r>
        <w:rPr>
          <w:rFonts w:ascii="宋体" w:hAnsi="宋体" w:cs="宋体"/>
          <w:color w:val="auto"/>
          <w:szCs w:val="21"/>
          <w:lang w:bidi="ar"/>
        </w:rPr>
        <w:t>标系统操作指南（见</w:t>
      </w:r>
      <w:r>
        <w:rPr>
          <w:rFonts w:hint="eastAsia" w:ascii="宋体" w:hAnsi="宋体" w:cs="宋体"/>
          <w:color w:val="auto"/>
          <w:szCs w:val="21"/>
          <w:lang w:eastAsia="zh-CN" w:bidi="ar"/>
        </w:rPr>
        <w:t>广西政府采购云平台</w:t>
      </w:r>
      <w:r>
        <w:rPr>
          <w:rFonts w:ascii="宋体" w:hAnsi="宋体" w:cs="宋体"/>
          <w:color w:val="auto"/>
          <w:szCs w:val="21"/>
          <w:lang w:bidi="ar"/>
        </w:rPr>
        <w:t>电子卖场首页右上角—服务中心—帮助文档—项目采购）</w:t>
      </w:r>
      <w:r>
        <w:rPr>
          <w:rFonts w:hint="eastAsia" w:ascii="宋体" w:hAnsi="宋体" w:cs="宋体"/>
          <w:color w:val="auto"/>
          <w:szCs w:val="21"/>
          <w:lang w:bidi="ar"/>
        </w:rPr>
        <w:t>；</w:t>
      </w:r>
      <w:r>
        <w:rPr>
          <w:rFonts w:ascii="宋体" w:hAnsi="宋体" w:cs="宋体"/>
          <w:color w:val="auto"/>
          <w:szCs w:val="21"/>
          <w:lang w:bidi="ar"/>
        </w:rPr>
        <w:t>及时完成CA申领和绑定（见广西壮族自治区政府采购网—办事服务—下载专区-</w:t>
      </w:r>
      <w:r>
        <w:rPr>
          <w:rFonts w:hint="eastAsia" w:ascii="宋体" w:hAnsi="宋体" w:cs="宋体"/>
          <w:color w:val="auto"/>
          <w:szCs w:val="21"/>
          <w:lang w:eastAsia="zh-CN" w:bidi="ar"/>
        </w:rPr>
        <w:t>广西政府采购云平台</w:t>
      </w:r>
      <w:r>
        <w:rPr>
          <w:rFonts w:ascii="宋体" w:hAnsi="宋体" w:cs="宋体"/>
          <w:color w:val="auto"/>
          <w:szCs w:val="21"/>
          <w:lang w:bidi="ar"/>
        </w:rPr>
        <w:t>CA证书办理操作指南）。</w:t>
      </w:r>
    </w:p>
    <w:p w14:paraId="70B619B3">
      <w:pPr>
        <w:widowControl/>
        <w:spacing w:line="360" w:lineRule="auto"/>
        <w:ind w:firstLine="420" w:firstLineChars="200"/>
        <w:rPr>
          <w:rFonts w:ascii="宋体" w:hAnsi="宋体" w:cs="宋体"/>
          <w:color w:val="auto"/>
          <w:szCs w:val="21"/>
        </w:rPr>
      </w:pPr>
      <w:r>
        <w:rPr>
          <w:rFonts w:hint="eastAsia" w:ascii="宋体" w:hAnsi="宋体" w:cs="宋体"/>
          <w:color w:val="auto"/>
          <w:szCs w:val="21"/>
          <w:lang w:bidi="ar"/>
        </w:rPr>
        <w:t>（3）未进行网上注册并办理数字证书（CA认证）的供应商将无法参与本项目政府采购活动，潜在供应商应当在</w:t>
      </w:r>
      <w:r>
        <w:rPr>
          <w:rFonts w:hint="eastAsia" w:ascii="宋体" w:hAnsi="宋体" w:cs="宋体"/>
          <w:color w:val="auto"/>
          <w:szCs w:val="21"/>
        </w:rPr>
        <w:t>首次响应文件提交截止时间</w:t>
      </w:r>
      <w:r>
        <w:rPr>
          <w:rFonts w:hint="eastAsia" w:ascii="宋体" w:hAnsi="宋体" w:cs="宋体"/>
          <w:color w:val="auto"/>
          <w:szCs w:val="21"/>
          <w:lang w:bidi="ar"/>
        </w:rPr>
        <w:t>前，完成电子交易平台上的CA数字证书办理及响应文件的提交。完成CA数字证书办理预计7日左右，供应商只需办理其中一家CA数字证书及签章，建议各供应商抓紧时间办理。</w:t>
      </w:r>
    </w:p>
    <w:p w14:paraId="4D753AE1">
      <w:pPr>
        <w:widowControl/>
        <w:spacing w:line="360" w:lineRule="auto"/>
        <w:ind w:firstLine="420" w:firstLineChars="200"/>
        <w:rPr>
          <w:rFonts w:ascii="宋体" w:hAnsi="宋体" w:cs="宋体"/>
          <w:color w:val="auto"/>
          <w:szCs w:val="21"/>
        </w:rPr>
      </w:pPr>
      <w:r>
        <w:rPr>
          <w:rFonts w:hint="eastAsia" w:ascii="宋体" w:hAnsi="宋体" w:cs="宋体"/>
          <w:color w:val="auto"/>
          <w:szCs w:val="21"/>
          <w:lang w:bidi="ar"/>
        </w:rPr>
        <w:t>（4）为确保网上操作合法、有效和安全，请供应商确保在电子竞标过程中能够对相关数据电文进行加密和使用电子签章，妥善保管CA数字证书并使用有效的CA数字证书参与整个采购活动。</w:t>
      </w:r>
    </w:p>
    <w:p w14:paraId="70178712">
      <w:pPr>
        <w:spacing w:line="360" w:lineRule="auto"/>
        <w:ind w:firstLine="422" w:firstLineChars="200"/>
        <w:rPr>
          <w:rFonts w:ascii="宋体" w:hAnsi="宋体" w:cs="宋体"/>
          <w:b/>
          <w:bCs/>
          <w:color w:val="auto"/>
          <w:szCs w:val="21"/>
        </w:rPr>
      </w:pPr>
      <w:r>
        <w:rPr>
          <w:rFonts w:hint="eastAsia" w:ascii="宋体" w:hAnsi="宋体" w:cs="宋体"/>
          <w:b/>
          <w:bCs/>
          <w:color w:val="auto"/>
          <w:szCs w:val="21"/>
          <w:lang w:bidi="ar"/>
        </w:rPr>
        <w:t>注：供应商应当在首次响应文件提交截止时间前完成电子响应文件的上传、递交，</w:t>
      </w:r>
      <w:r>
        <w:rPr>
          <w:rFonts w:hint="eastAsia" w:ascii="宋体" w:hAnsi="宋体" w:cs="宋体"/>
          <w:b/>
          <w:color w:val="auto"/>
          <w:szCs w:val="21"/>
        </w:rPr>
        <w:t>首次响应文件提交截止时间</w:t>
      </w:r>
      <w:r>
        <w:rPr>
          <w:rFonts w:hint="eastAsia" w:ascii="宋体" w:hAnsi="宋体" w:cs="宋体"/>
          <w:b/>
          <w:bCs/>
          <w:color w:val="auto"/>
          <w:szCs w:val="21"/>
          <w:lang w:bidi="ar"/>
        </w:rPr>
        <w:t>前可以补充、修改或者撤回响应文件。补充或者修改响应文件的，应当先行撤回原文件，补充、修改后重新上传、递交。</w:t>
      </w:r>
      <w:r>
        <w:rPr>
          <w:rFonts w:hint="eastAsia" w:ascii="宋体" w:hAnsi="宋体" w:cs="宋体"/>
          <w:b/>
          <w:color w:val="auto"/>
          <w:szCs w:val="21"/>
        </w:rPr>
        <w:t>首次响应文件提交截止时间</w:t>
      </w:r>
      <w:r>
        <w:rPr>
          <w:rFonts w:hint="eastAsia" w:ascii="宋体" w:hAnsi="宋体" w:cs="宋体"/>
          <w:b/>
          <w:bCs/>
          <w:color w:val="auto"/>
          <w:szCs w:val="21"/>
          <w:lang w:bidi="ar"/>
        </w:rPr>
        <w:t>前未完成上传、递交的，视为撤回响应文件。</w:t>
      </w:r>
      <w:r>
        <w:rPr>
          <w:rFonts w:hint="eastAsia" w:ascii="宋体" w:hAnsi="宋体" w:cs="宋体"/>
          <w:b/>
          <w:color w:val="auto"/>
          <w:szCs w:val="21"/>
        </w:rPr>
        <w:t>首次响应文件提交截止时间</w:t>
      </w:r>
      <w:r>
        <w:rPr>
          <w:rFonts w:hint="eastAsia" w:ascii="宋体" w:hAnsi="宋体" w:cs="宋体"/>
          <w:b/>
          <w:bCs/>
          <w:color w:val="auto"/>
          <w:szCs w:val="21"/>
          <w:lang w:bidi="ar"/>
        </w:rPr>
        <w:t>以后上传递交的响应文件，“</w:t>
      </w:r>
      <w:r>
        <w:rPr>
          <w:rFonts w:hint="eastAsia" w:ascii="宋体" w:hAnsi="宋体" w:cs="宋体"/>
          <w:b/>
          <w:bCs/>
          <w:color w:val="auto"/>
          <w:szCs w:val="21"/>
          <w:lang w:eastAsia="zh-CN" w:bidi="ar"/>
        </w:rPr>
        <w:t>广西政府采购云平台</w:t>
      </w:r>
      <w:r>
        <w:rPr>
          <w:rFonts w:hint="eastAsia" w:ascii="宋体" w:hAnsi="宋体" w:cs="宋体"/>
          <w:b/>
          <w:bCs/>
          <w:color w:val="auto"/>
          <w:szCs w:val="21"/>
          <w:lang w:bidi="ar"/>
        </w:rPr>
        <w:t>”平台将予以拒收。</w:t>
      </w:r>
    </w:p>
    <w:p w14:paraId="1B613C19">
      <w:pPr>
        <w:widowControl/>
        <w:spacing w:line="360" w:lineRule="auto"/>
        <w:ind w:firstLine="420" w:firstLineChars="200"/>
        <w:rPr>
          <w:rFonts w:ascii="宋体" w:hAnsi="宋体" w:cs="宋体"/>
          <w:b/>
          <w:bCs/>
          <w:color w:val="auto"/>
          <w:szCs w:val="21"/>
        </w:rPr>
      </w:pPr>
      <w:r>
        <w:rPr>
          <w:rFonts w:hint="eastAsia" w:ascii="宋体" w:hAnsi="宋体" w:cs="宋体"/>
          <w:color w:val="auto"/>
          <w:kern w:val="0"/>
          <w:szCs w:val="21"/>
          <w:lang w:bidi="ar"/>
        </w:rPr>
        <w:t>7、</w:t>
      </w:r>
      <w:r>
        <w:rPr>
          <w:rFonts w:hint="eastAsia" w:ascii="宋体" w:hAnsi="宋体" w:cs="宋体"/>
          <w:color w:val="auto"/>
          <w:szCs w:val="21"/>
          <w:lang w:bidi="ar"/>
        </w:rPr>
        <w:t>CA证书在线解密：首次响应文件开启时，须要供应商携带制作响应文件时用来加密的有效数字证书（CA认证）登录“</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”平台电子开标大厅现场按规定时间对加密的响应文件进行解密，否则后果自负。</w:t>
      </w:r>
    </w:p>
    <w:p w14:paraId="7AE21895">
      <w:pPr>
        <w:widowControl/>
        <w:spacing w:line="360" w:lineRule="auto"/>
        <w:ind w:firstLine="420" w:firstLineChars="200"/>
        <w:rPr>
          <w:rFonts w:ascii="宋体" w:hAnsi="宋体" w:cs="宋体"/>
          <w:color w:val="auto"/>
          <w:kern w:val="0"/>
          <w:szCs w:val="21"/>
        </w:rPr>
      </w:pPr>
      <w:r>
        <w:rPr>
          <w:rFonts w:hint="eastAsia" w:ascii="宋体" w:hAnsi="宋体" w:cs="宋体"/>
          <w:color w:val="auto"/>
          <w:szCs w:val="21"/>
          <w:lang w:bidi="ar"/>
        </w:rPr>
        <w:t>8、供应商需要在具备有摄像头及语音功能且互联网网络状况良好的电脑登录“</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”平台远程开标大厅参与本次磋商，否则后果自负。</w:t>
      </w:r>
    </w:p>
    <w:p w14:paraId="445D9E38">
      <w:pPr>
        <w:widowControl/>
        <w:spacing w:line="360" w:lineRule="auto"/>
        <w:ind w:firstLine="420" w:firstLineChars="200"/>
        <w:rPr>
          <w:rFonts w:ascii="宋体" w:hAnsi="宋体" w:cs="宋体"/>
          <w:color w:val="auto"/>
          <w:kern w:val="0"/>
          <w:szCs w:val="21"/>
        </w:rPr>
      </w:pPr>
      <w:r>
        <w:rPr>
          <w:rFonts w:hint="eastAsia" w:ascii="宋体" w:hAnsi="宋体" w:cs="宋体"/>
          <w:color w:val="auto"/>
          <w:szCs w:val="21"/>
          <w:lang w:bidi="ar"/>
        </w:rPr>
        <w:t>9、若对项目采购电子交易系统操作有疑问，可登录“</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w:t>
      </w:r>
      <w:r>
        <w:rPr>
          <w:rFonts w:hint="eastAsia" w:ascii="宋体" w:hAnsi="宋体" w:cs="宋体"/>
          <w:color w:val="auto"/>
          <w:szCs w:val="21"/>
          <w:lang w:eastAsia="zh-CN" w:bidi="ar"/>
        </w:rPr>
        <w:t>https://www.gcy.zfcg.gxzf.gov.cn/</w:t>
      </w:r>
      <w:r>
        <w:rPr>
          <w:rFonts w:hint="eastAsia" w:ascii="宋体" w:hAnsi="宋体" w:cs="宋体"/>
          <w:color w:val="auto"/>
          <w:szCs w:val="21"/>
          <w:lang w:bidi="ar"/>
        </w:rPr>
        <w:t>），点击右侧咨询小采，获取采小蜜智能服务管家帮助，或拨打</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服务热线400-881-7190获取热线服务帮助。</w:t>
      </w:r>
    </w:p>
    <w:bookmarkEnd w:id="6"/>
    <w:bookmarkEnd w:id="15"/>
    <w:p w14:paraId="0C21410E">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八、凡对本次采购提出询问，请按</w:t>
      </w:r>
      <w:r>
        <w:rPr>
          <w:rFonts w:ascii="黑体" w:hAnsi="黑体" w:eastAsia="黑体"/>
          <w:b/>
          <w:color w:val="auto"/>
          <w:sz w:val="24"/>
        </w:rPr>
        <w:t>以下方式</w:t>
      </w:r>
      <w:r>
        <w:rPr>
          <w:rFonts w:hint="eastAsia" w:ascii="黑体" w:hAnsi="黑体" w:eastAsia="黑体"/>
          <w:b/>
          <w:color w:val="auto"/>
          <w:sz w:val="24"/>
        </w:rPr>
        <w:t>联系。</w:t>
      </w:r>
      <w:bookmarkEnd w:id="7"/>
      <w:bookmarkEnd w:id="8"/>
      <w:bookmarkEnd w:id="9"/>
      <w:bookmarkEnd w:id="10"/>
      <w:bookmarkEnd w:id="11"/>
    </w:p>
    <w:p w14:paraId="309CB851">
      <w:pPr>
        <w:spacing w:line="360" w:lineRule="auto"/>
        <w:ind w:firstLine="567" w:firstLineChars="270"/>
        <w:jc w:val="left"/>
        <w:rPr>
          <w:rFonts w:ascii="宋体" w:hAnsi="宋体" w:cs="宋体"/>
          <w:color w:val="auto"/>
          <w:szCs w:val="21"/>
        </w:rPr>
      </w:pPr>
      <w:bookmarkStart w:id="18" w:name="_Toc35393806"/>
      <w:bookmarkStart w:id="19" w:name="_Toc35393637"/>
      <w:bookmarkStart w:id="20" w:name="_Toc28359019"/>
      <w:bookmarkStart w:id="21" w:name="_Toc28359096"/>
      <w:r>
        <w:rPr>
          <w:rFonts w:hint="eastAsia" w:ascii="宋体" w:hAnsi="宋体" w:cs="宋体"/>
          <w:color w:val="auto"/>
          <w:szCs w:val="21"/>
        </w:rPr>
        <w:t>1.采购人信息</w:t>
      </w:r>
    </w:p>
    <w:p w14:paraId="1A4F7AD6">
      <w:pPr>
        <w:spacing w:line="360" w:lineRule="auto"/>
        <w:ind w:firstLine="567" w:firstLineChars="270"/>
        <w:jc w:val="left"/>
        <w:rPr>
          <w:rFonts w:hint="eastAsia" w:ascii="宋体" w:hAnsi="宋体" w:eastAsia="宋体"/>
          <w:color w:val="auto"/>
          <w:szCs w:val="21"/>
          <w:lang w:eastAsia="zh-CN"/>
        </w:rPr>
      </w:pPr>
      <w:r>
        <w:rPr>
          <w:rFonts w:hint="eastAsia" w:ascii="宋体" w:hAnsi="宋体"/>
          <w:color w:val="auto"/>
          <w:szCs w:val="21"/>
        </w:rPr>
        <w:t>名 称：</w:t>
      </w:r>
      <w:r>
        <w:rPr>
          <w:rFonts w:hint="eastAsia" w:ascii="宋体" w:hAnsi="宋体" w:cs="Arial"/>
          <w:color w:val="auto"/>
          <w:lang w:eastAsia="zh-CN"/>
        </w:rPr>
        <w:t>广西壮族自治区生态环境厅</w:t>
      </w:r>
    </w:p>
    <w:p w14:paraId="10B798DE">
      <w:pPr>
        <w:spacing w:line="360" w:lineRule="auto"/>
        <w:ind w:firstLine="567" w:firstLineChars="270"/>
        <w:jc w:val="left"/>
        <w:rPr>
          <w:rFonts w:hint="eastAsia" w:ascii="宋体" w:hAnsi="宋体" w:eastAsia="宋体"/>
          <w:color w:val="auto"/>
          <w:szCs w:val="21"/>
          <w:lang w:eastAsia="zh-CN"/>
        </w:rPr>
      </w:pPr>
      <w:r>
        <w:rPr>
          <w:rFonts w:hint="eastAsia" w:ascii="宋体" w:hAnsi="宋体"/>
          <w:color w:val="auto"/>
          <w:szCs w:val="21"/>
        </w:rPr>
        <w:t>地址：</w:t>
      </w:r>
      <w:bookmarkStart w:id="22" w:name="OLE_LINK9"/>
      <w:r>
        <w:rPr>
          <w:rFonts w:hint="eastAsia" w:ascii="宋体" w:hAnsi="宋体"/>
          <w:color w:val="auto"/>
          <w:szCs w:val="21"/>
          <w:lang w:eastAsia="zh-CN"/>
        </w:rPr>
        <w:t>广西南宁市青秀区佛子岭路16号</w:t>
      </w:r>
      <w:bookmarkEnd w:id="22"/>
    </w:p>
    <w:p w14:paraId="55CC75EC">
      <w:pPr>
        <w:spacing w:line="360" w:lineRule="auto"/>
        <w:ind w:firstLine="567" w:firstLineChars="270"/>
        <w:jc w:val="left"/>
        <w:rPr>
          <w:rFonts w:hint="default" w:ascii="宋体" w:hAnsi="宋体"/>
          <w:color w:val="auto"/>
          <w:szCs w:val="21"/>
          <w:lang w:val="en-US"/>
        </w:rPr>
      </w:pPr>
      <w:r>
        <w:rPr>
          <w:rFonts w:hint="eastAsia" w:ascii="宋体" w:hAnsi="宋体"/>
          <w:color w:val="auto"/>
          <w:szCs w:val="21"/>
        </w:rPr>
        <w:t>联系方式：</w:t>
      </w:r>
      <w:bookmarkStart w:id="23" w:name="OLE_LINK20"/>
      <w:bookmarkStart w:id="24" w:name="OLE_LINK27"/>
      <w:r>
        <w:rPr>
          <w:rFonts w:hint="eastAsia" w:ascii="宋体" w:hAnsi="宋体"/>
          <w:color w:val="auto"/>
          <w:szCs w:val="21"/>
        </w:rPr>
        <w:t>0771-</w:t>
      </w:r>
      <w:bookmarkEnd w:id="23"/>
      <w:bookmarkStart w:id="25" w:name="_Toc28359009"/>
      <w:bookmarkStart w:id="26" w:name="_Toc28359086"/>
      <w:r>
        <w:rPr>
          <w:rFonts w:hint="eastAsia" w:ascii="宋体" w:hAnsi="宋体"/>
          <w:color w:val="auto"/>
          <w:szCs w:val="21"/>
          <w:lang w:val="en-US" w:eastAsia="zh-CN"/>
        </w:rPr>
        <w:t>5313068</w:t>
      </w:r>
      <w:bookmarkEnd w:id="24"/>
    </w:p>
    <w:p w14:paraId="4CED46AE">
      <w:pPr>
        <w:spacing w:line="360" w:lineRule="auto"/>
        <w:ind w:firstLine="567" w:firstLineChars="270"/>
        <w:jc w:val="left"/>
        <w:rPr>
          <w:rFonts w:hint="eastAsia" w:ascii="宋体" w:hAnsi="宋体" w:eastAsia="宋体"/>
          <w:color w:val="auto"/>
          <w:szCs w:val="21"/>
          <w:lang w:eastAsia="zh-CN"/>
        </w:rPr>
      </w:pPr>
      <w:r>
        <w:rPr>
          <w:rFonts w:hint="eastAsia" w:ascii="宋体" w:hAnsi="宋体"/>
          <w:color w:val="auto"/>
          <w:szCs w:val="21"/>
        </w:rPr>
        <w:t>采购联系人：</w:t>
      </w:r>
      <w:r>
        <w:rPr>
          <w:rFonts w:hint="eastAsia"/>
          <w:color w:val="auto"/>
          <w:lang w:val="en-US" w:eastAsia="zh-CN"/>
        </w:rPr>
        <w:t>黄</w:t>
      </w:r>
      <w:r>
        <w:rPr>
          <w:rFonts w:hint="eastAsia"/>
          <w:color w:val="auto"/>
          <w:lang w:eastAsia="zh-CN"/>
        </w:rPr>
        <w:t>工</w:t>
      </w:r>
    </w:p>
    <w:p w14:paraId="26990941">
      <w:pPr>
        <w:spacing w:line="360" w:lineRule="auto"/>
        <w:ind w:firstLine="567" w:firstLineChars="270"/>
        <w:jc w:val="left"/>
        <w:rPr>
          <w:rFonts w:ascii="宋体" w:hAnsi="宋体"/>
          <w:color w:val="auto"/>
          <w:szCs w:val="21"/>
        </w:rPr>
      </w:pPr>
      <w:r>
        <w:rPr>
          <w:rFonts w:hint="eastAsia" w:ascii="宋体" w:hAnsi="宋体"/>
          <w:color w:val="auto"/>
          <w:szCs w:val="21"/>
        </w:rPr>
        <w:t>2.采购代理机构信息</w:t>
      </w:r>
      <w:bookmarkEnd w:id="25"/>
      <w:bookmarkEnd w:id="26"/>
    </w:p>
    <w:p w14:paraId="4558B6C7">
      <w:pPr>
        <w:spacing w:line="360" w:lineRule="auto"/>
        <w:ind w:firstLine="567" w:firstLineChars="270"/>
        <w:rPr>
          <w:rFonts w:ascii="宋体" w:hAnsi="宋体"/>
          <w:color w:val="auto"/>
          <w:szCs w:val="21"/>
        </w:rPr>
      </w:pPr>
      <w:r>
        <w:rPr>
          <w:rFonts w:hint="eastAsia" w:ascii="宋体" w:hAnsi="宋体"/>
          <w:color w:val="auto"/>
          <w:szCs w:val="21"/>
        </w:rPr>
        <w:t>名 称：</w:t>
      </w:r>
      <w:r>
        <w:rPr>
          <w:rFonts w:hint="eastAsia" w:ascii="宋体" w:hAnsi="宋体" w:cs="Arial"/>
          <w:color w:val="auto"/>
          <w:szCs w:val="21"/>
        </w:rPr>
        <w:t>广西科文招标有限公司</w:t>
      </w:r>
    </w:p>
    <w:p w14:paraId="69CA9289">
      <w:pPr>
        <w:spacing w:line="360" w:lineRule="auto"/>
        <w:ind w:firstLine="567" w:firstLineChars="270"/>
        <w:rPr>
          <w:rFonts w:ascii="宋体" w:hAnsi="宋体"/>
          <w:color w:val="auto"/>
          <w:szCs w:val="21"/>
        </w:rPr>
      </w:pPr>
      <w:r>
        <w:rPr>
          <w:rFonts w:hint="eastAsia" w:ascii="宋体" w:hAnsi="宋体"/>
          <w:color w:val="auto"/>
          <w:szCs w:val="21"/>
        </w:rPr>
        <w:t>地　址：</w:t>
      </w:r>
      <w:r>
        <w:rPr>
          <w:rFonts w:hint="eastAsia" w:ascii="宋体" w:hAnsi="宋体" w:cs="Arial"/>
          <w:color w:val="auto"/>
          <w:szCs w:val="21"/>
        </w:rPr>
        <w:t>广西南宁市民族大道141号中鼎万象东方D区五层</w:t>
      </w:r>
    </w:p>
    <w:p w14:paraId="366880C0">
      <w:pPr>
        <w:spacing w:line="360" w:lineRule="auto"/>
        <w:ind w:firstLine="567" w:firstLineChars="270"/>
        <w:rPr>
          <w:rFonts w:ascii="宋体" w:hAnsi="宋体"/>
          <w:color w:val="auto"/>
          <w:szCs w:val="21"/>
          <w:u w:val="none"/>
        </w:rPr>
      </w:pPr>
      <w:r>
        <w:rPr>
          <w:rFonts w:hint="eastAsia" w:ascii="宋体" w:hAnsi="宋体"/>
          <w:color w:val="auto"/>
          <w:szCs w:val="21"/>
          <w:u w:val="none"/>
        </w:rPr>
        <w:t>联系方式：</w:t>
      </w:r>
      <w:bookmarkStart w:id="27" w:name="_Toc28359010"/>
      <w:bookmarkStart w:id="28" w:name="_Toc28359087"/>
      <w:r>
        <w:rPr>
          <w:rFonts w:hint="eastAsia" w:ascii="宋体" w:hAnsi="宋体"/>
          <w:color w:val="auto"/>
          <w:szCs w:val="21"/>
          <w:u w:val="none"/>
        </w:rPr>
        <w:t>0771-2023873</w:t>
      </w:r>
    </w:p>
    <w:p w14:paraId="199F684E">
      <w:pPr>
        <w:spacing w:line="360" w:lineRule="auto"/>
        <w:ind w:firstLine="567" w:firstLineChars="270"/>
        <w:rPr>
          <w:rFonts w:ascii="宋体" w:hAnsi="宋体"/>
          <w:color w:val="auto"/>
          <w:szCs w:val="21"/>
          <w:u w:val="none"/>
        </w:rPr>
      </w:pPr>
      <w:r>
        <w:rPr>
          <w:rFonts w:hint="eastAsia" w:ascii="宋体" w:hAnsi="宋体" w:cs="宋体"/>
          <w:color w:val="auto"/>
          <w:szCs w:val="21"/>
          <w:u w:val="none"/>
        </w:rPr>
        <w:t>3.项目</w:t>
      </w:r>
      <w:r>
        <w:rPr>
          <w:rFonts w:ascii="宋体" w:hAnsi="宋体" w:cs="宋体"/>
          <w:color w:val="auto"/>
          <w:szCs w:val="21"/>
          <w:u w:val="none"/>
        </w:rPr>
        <w:t>联系方式</w:t>
      </w:r>
      <w:bookmarkEnd w:id="27"/>
      <w:bookmarkEnd w:id="28"/>
    </w:p>
    <w:p w14:paraId="4ECF3482">
      <w:pPr>
        <w:pStyle w:val="12"/>
        <w:spacing w:line="360" w:lineRule="auto"/>
        <w:ind w:firstLine="567" w:firstLineChars="270"/>
        <w:rPr>
          <w:rFonts w:hAnsi="宋体"/>
          <w:color w:val="auto"/>
          <w:sz w:val="21"/>
          <w:u w:val="none"/>
        </w:rPr>
      </w:pPr>
      <w:r>
        <w:rPr>
          <w:rFonts w:hint="eastAsia" w:hAnsi="宋体"/>
          <w:color w:val="auto"/>
          <w:sz w:val="21"/>
          <w:u w:val="none"/>
        </w:rPr>
        <w:t>项目联系人：银晓云</w:t>
      </w:r>
    </w:p>
    <w:p w14:paraId="645EC63B">
      <w:pPr>
        <w:spacing w:line="360" w:lineRule="auto"/>
        <w:ind w:firstLine="567" w:firstLineChars="270"/>
        <w:rPr>
          <w:rFonts w:ascii="宋体" w:hAnsi="宋体"/>
          <w:color w:val="auto"/>
          <w:szCs w:val="21"/>
          <w:u w:val="single"/>
        </w:rPr>
      </w:pPr>
      <w:r>
        <w:rPr>
          <w:rFonts w:hint="eastAsia" w:ascii="宋体" w:hAnsi="宋体"/>
          <w:color w:val="auto"/>
          <w:szCs w:val="21"/>
          <w:u w:val="none"/>
        </w:rPr>
        <w:t>电　话：0771-2023873</w:t>
      </w:r>
    </w:p>
    <w:p w14:paraId="35E107FE">
      <w:pPr>
        <w:spacing w:line="380" w:lineRule="exact"/>
        <w:ind w:firstLine="6195" w:firstLineChars="2950"/>
        <w:rPr>
          <w:rFonts w:ascii="宋体" w:hAnsi="宋体" w:cs="Arial"/>
          <w:color w:val="auto"/>
          <w:szCs w:val="21"/>
          <w:u w:val="single"/>
        </w:rPr>
      </w:pPr>
    </w:p>
    <w:p w14:paraId="69AB6D5E">
      <w:pPr>
        <w:spacing w:line="380" w:lineRule="exact"/>
        <w:ind w:firstLine="6195" w:firstLineChars="2950"/>
        <w:rPr>
          <w:rFonts w:ascii="宋体" w:hAnsi="宋体" w:cs="Arial"/>
          <w:color w:val="auto"/>
          <w:szCs w:val="21"/>
          <w:u w:val="single"/>
        </w:rPr>
      </w:pPr>
    </w:p>
    <w:p w14:paraId="4495912F">
      <w:pPr>
        <w:spacing w:line="380" w:lineRule="exact"/>
        <w:ind w:firstLine="6405" w:firstLineChars="3050"/>
        <w:rPr>
          <w:rFonts w:ascii="宋体" w:hAnsi="宋体"/>
          <w:color w:val="auto"/>
          <w:szCs w:val="21"/>
        </w:rPr>
      </w:pPr>
      <w:r>
        <w:rPr>
          <w:rFonts w:hint="eastAsia" w:ascii="宋体" w:hAnsi="宋体" w:cs="Arial"/>
          <w:color w:val="auto"/>
          <w:szCs w:val="21"/>
        </w:rPr>
        <w:t>广西科文招标有限公司</w:t>
      </w:r>
    </w:p>
    <w:p w14:paraId="4FCEE587">
      <w:pPr>
        <w:snapToGrid w:val="0"/>
        <w:spacing w:line="380" w:lineRule="exact"/>
        <w:ind w:left="238"/>
        <w:jc w:val="center"/>
        <w:rPr>
          <w:rFonts w:ascii="宋体" w:hAnsi="宋体"/>
          <w:b/>
          <w:bCs/>
          <w:color w:val="auto"/>
          <w:sz w:val="32"/>
          <w:szCs w:val="32"/>
        </w:rPr>
      </w:pPr>
      <w:r>
        <w:rPr>
          <w:rFonts w:hint="eastAsia" w:ascii="宋体" w:hAnsi="宋体"/>
          <w:color w:val="auto"/>
        </w:rPr>
        <w:t xml:space="preserve">                                                   </w:t>
      </w:r>
      <w:r>
        <w:rPr>
          <w:rFonts w:hint="eastAsia" w:ascii="宋体" w:hAnsi="宋体"/>
          <w:color w:val="auto"/>
          <w:lang w:eastAsia="zh-CN"/>
        </w:rPr>
        <w:t>2025年</w:t>
      </w:r>
      <w:r>
        <w:rPr>
          <w:rFonts w:hint="eastAsia" w:ascii="宋体" w:hAnsi="宋体"/>
          <w:color w:val="auto"/>
          <w:lang w:val="en-US" w:eastAsia="zh-CN"/>
        </w:rPr>
        <w:t>5</w:t>
      </w:r>
      <w:r>
        <w:rPr>
          <w:rFonts w:hint="eastAsia" w:ascii="宋体" w:hAnsi="宋体"/>
          <w:color w:val="auto"/>
          <w:lang w:eastAsia="zh-CN"/>
        </w:rPr>
        <w:t>月</w:t>
      </w:r>
      <w:r>
        <w:rPr>
          <w:rFonts w:hint="eastAsia" w:ascii="宋体" w:hAnsi="宋体"/>
          <w:color w:val="auto"/>
          <w:lang w:val="en-US" w:eastAsia="zh-CN"/>
        </w:rPr>
        <w:t>21</w:t>
      </w:r>
      <w:r>
        <w:rPr>
          <w:rFonts w:hint="eastAsia" w:ascii="宋体" w:hAnsi="宋体"/>
          <w:color w:val="auto"/>
        </w:rPr>
        <w:t>日</w:t>
      </w:r>
      <w:bookmarkEnd w:id="5"/>
      <w:bookmarkEnd w:id="18"/>
      <w:bookmarkEnd w:id="19"/>
      <w:bookmarkEnd w:id="20"/>
      <w:bookmarkEnd w:id="21"/>
      <w:r>
        <w:rPr>
          <w:rFonts w:ascii="宋体" w:hAnsi="宋体"/>
          <w:b/>
          <w:bCs/>
          <w:color w:val="auto"/>
          <w:sz w:val="32"/>
          <w:szCs w:val="32"/>
        </w:rPr>
        <w:br w:type="page"/>
      </w:r>
    </w:p>
    <w:bookmarkEnd w:id="3"/>
    <w:p w14:paraId="0E31138C">
      <w:pPr>
        <w:pStyle w:val="3"/>
        <w:jc w:val="center"/>
        <w:rPr>
          <w:color w:val="auto"/>
        </w:rPr>
      </w:pPr>
      <w:bookmarkStart w:id="29" w:name="_Toc6236"/>
      <w:bookmarkStart w:id="166" w:name="_GoBack"/>
      <w:bookmarkEnd w:id="166"/>
      <w:r>
        <w:rPr>
          <w:rFonts w:hint="eastAsia"/>
          <w:color w:val="auto"/>
        </w:rPr>
        <w:t>第二章 供应商须知</w:t>
      </w:r>
      <w:bookmarkEnd w:id="29"/>
    </w:p>
    <w:p w14:paraId="059BEC23">
      <w:pPr>
        <w:spacing w:line="400" w:lineRule="exact"/>
        <w:jc w:val="center"/>
        <w:rPr>
          <w:rFonts w:ascii="宋体" w:hAnsi="宋体"/>
          <w:b/>
          <w:color w:val="auto"/>
          <w:sz w:val="32"/>
          <w:szCs w:val="32"/>
        </w:rPr>
      </w:pPr>
      <w:r>
        <w:rPr>
          <w:rFonts w:hint="eastAsia" w:ascii="宋体" w:hAnsi="宋体"/>
          <w:b/>
          <w:color w:val="auto"/>
          <w:sz w:val="32"/>
          <w:szCs w:val="32"/>
        </w:rPr>
        <w:t>供应商须知前附表</w:t>
      </w:r>
    </w:p>
    <w:p w14:paraId="4BDDE1E2">
      <w:pPr>
        <w:spacing w:line="400" w:lineRule="exact"/>
        <w:jc w:val="center"/>
        <w:rPr>
          <w:rFonts w:ascii="宋体" w:hAnsi="宋体"/>
          <w:b/>
          <w:color w:val="auto"/>
          <w:sz w:val="32"/>
          <w:szCs w:val="32"/>
        </w:rPr>
      </w:pPr>
    </w:p>
    <w:tbl>
      <w:tblPr>
        <w:tblStyle w:val="19"/>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294A7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2647C419">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条款号</w:t>
            </w:r>
          </w:p>
        </w:tc>
        <w:tc>
          <w:tcPr>
            <w:tcW w:w="8627" w:type="dxa"/>
          </w:tcPr>
          <w:p w14:paraId="7B37ECAE">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内    容</w:t>
            </w:r>
          </w:p>
        </w:tc>
      </w:tr>
      <w:tr w14:paraId="6DD01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99161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8627" w:type="dxa"/>
            <w:vAlign w:val="center"/>
          </w:tcPr>
          <w:p w14:paraId="4544DDE0">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供应商的资格条件</w:t>
            </w:r>
            <w:r>
              <w:rPr>
                <w:rFonts w:hint="eastAsia" w:asciiTheme="minorEastAsia" w:hAnsiTheme="minorEastAsia" w:eastAsiaTheme="minorEastAsia" w:cstheme="minorEastAsia"/>
                <w:color w:val="auto"/>
                <w:szCs w:val="21"/>
              </w:rPr>
              <w:t>：详见竞争性磋商公告</w:t>
            </w:r>
          </w:p>
        </w:tc>
      </w:tr>
      <w:tr w14:paraId="598D3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5EB84D">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w:t>
            </w:r>
          </w:p>
        </w:tc>
        <w:tc>
          <w:tcPr>
            <w:tcW w:w="8627" w:type="dxa"/>
            <w:vAlign w:val="center"/>
          </w:tcPr>
          <w:p w14:paraId="2ED41BDD">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是否接受联合体竞标：详见竞争性磋商公告</w:t>
            </w:r>
          </w:p>
        </w:tc>
      </w:tr>
      <w:tr w14:paraId="08109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0F3E4F">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w:t>
            </w:r>
          </w:p>
        </w:tc>
        <w:tc>
          <w:tcPr>
            <w:tcW w:w="8627" w:type="dxa"/>
            <w:vAlign w:val="center"/>
          </w:tcPr>
          <w:p w14:paraId="69650F31">
            <w:pPr>
              <w:pStyle w:val="7"/>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本项目不允许分包。</w:t>
            </w:r>
          </w:p>
          <w:p w14:paraId="2CDB4817">
            <w:pPr>
              <w:pStyle w:val="7"/>
              <w:spacing w:line="400" w:lineRule="exac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分包内容：</w:t>
            </w:r>
            <w:r>
              <w:rPr>
                <w:rFonts w:hint="eastAsia" w:asciiTheme="minorEastAsia" w:hAnsiTheme="minorEastAsia" w:eastAsiaTheme="minorEastAsia" w:cstheme="minorEastAsia"/>
                <w:color w:val="auto"/>
                <w:szCs w:val="21"/>
                <w:u w:val="single"/>
              </w:rPr>
              <w:t>无。</w:t>
            </w:r>
          </w:p>
          <w:p w14:paraId="623774FB">
            <w:pPr>
              <w:pStyle w:val="7"/>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分包金额或者比例：</w:t>
            </w:r>
            <w:r>
              <w:rPr>
                <w:rFonts w:hint="eastAsia" w:asciiTheme="minorEastAsia" w:hAnsiTheme="minorEastAsia" w:eastAsiaTheme="minorEastAsia" w:cstheme="minorEastAsia"/>
                <w:color w:val="auto"/>
                <w:szCs w:val="21"/>
                <w:u w:val="single"/>
              </w:rPr>
              <w:t>无。</w:t>
            </w:r>
          </w:p>
        </w:tc>
      </w:tr>
      <w:tr w14:paraId="1391B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65E9E5">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12.1.1</w:t>
            </w:r>
          </w:p>
        </w:tc>
        <w:tc>
          <w:tcPr>
            <w:tcW w:w="8627" w:type="dxa"/>
            <w:vAlign w:val="center"/>
          </w:tcPr>
          <w:p w14:paraId="4BEFFF65">
            <w:pPr>
              <w:snapToGrid w:val="0"/>
              <w:spacing w:line="360" w:lineRule="auto"/>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资格证明文件</w:t>
            </w:r>
          </w:p>
          <w:p w14:paraId="7AE482BC">
            <w:pPr>
              <w:pStyle w:val="7"/>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1、供应商为法人或者其他组织的，证明文件为其营业执照复印件（如营业执照或者事业单位法人证书或者执业许可证等）；供应商为自然人的，证明文件为其身份证复印件；（</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19082FF3">
            <w:pPr>
              <w:spacing w:line="360" w:lineRule="auto"/>
              <w:contextualSpacing/>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2、供应商依法缴纳税收的相关材料（</w:t>
            </w:r>
            <w:bookmarkStart w:id="30" w:name="OLE_LINK21"/>
            <w:bookmarkStart w:id="31" w:name="OLE_LINK10"/>
            <w:r>
              <w:rPr>
                <w:rFonts w:hint="eastAsia" w:asciiTheme="minorEastAsia" w:hAnsiTheme="minorEastAsia" w:eastAsiaTheme="minorEastAsia" w:cstheme="minorEastAsia"/>
                <w:color w:val="auto"/>
                <w:szCs w:val="21"/>
                <w:u w:val="single"/>
              </w:rPr>
              <w:t>202</w:t>
            </w:r>
            <w:r>
              <w:rPr>
                <w:rFonts w:hint="eastAsia" w:asciiTheme="minorEastAsia" w:hAnsiTheme="minorEastAsia" w:eastAsiaTheme="minorEastAsia" w:cstheme="minorEastAsia"/>
                <w:color w:val="auto"/>
                <w:szCs w:val="21"/>
                <w:u w:val="single"/>
                <w:lang w:val="en-US" w:eastAsia="zh-CN"/>
              </w:rPr>
              <w:t>5</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月以来任意1个月</w:t>
            </w:r>
            <w:bookmarkEnd w:id="30"/>
            <w:r>
              <w:rPr>
                <w:rFonts w:hint="eastAsia" w:asciiTheme="minorEastAsia" w:hAnsiTheme="minorEastAsia" w:eastAsiaTheme="minorEastAsia" w:cstheme="minorEastAsia"/>
                <w:color w:val="auto"/>
                <w:szCs w:val="21"/>
              </w:rPr>
              <w:t>依法缴纳税收</w:t>
            </w:r>
            <w:bookmarkEnd w:id="31"/>
            <w:r>
              <w:rPr>
                <w:rFonts w:hint="eastAsia" w:asciiTheme="minorEastAsia" w:hAnsiTheme="minorEastAsia" w:eastAsiaTheme="minorEastAsia" w:cstheme="minorEastAsia"/>
                <w:color w:val="auto"/>
                <w:szCs w:val="21"/>
              </w:rPr>
              <w:t>的凭据复印件；依法免税的，必须提供相应文件证明其依法免税。从成立之日起到响应文件提交截止时间止不足要求月数的，只需提供从成立之日起的依法缴纳税收相应证明文件）；（</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3CC2632C">
            <w:pPr>
              <w:spacing w:line="360" w:lineRule="auto"/>
              <w:contextualSpacing/>
              <w:jc w:val="righ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3、供应商依法缴纳社会保障资金的相关材料[</w:t>
            </w:r>
            <w:r>
              <w:rPr>
                <w:rFonts w:hint="eastAsia" w:asciiTheme="minorEastAsia" w:hAnsiTheme="minorEastAsia" w:eastAsiaTheme="minorEastAsia" w:cstheme="minorEastAsia"/>
                <w:color w:val="auto"/>
                <w:szCs w:val="21"/>
                <w:u w:val="single"/>
              </w:rPr>
              <w:t>202</w:t>
            </w:r>
            <w:r>
              <w:rPr>
                <w:rFonts w:hint="eastAsia" w:asciiTheme="minorEastAsia" w:hAnsiTheme="minorEastAsia" w:eastAsiaTheme="minorEastAsia" w:cstheme="minorEastAsia"/>
                <w:color w:val="auto"/>
                <w:szCs w:val="21"/>
                <w:u w:val="single"/>
                <w:lang w:val="en-US" w:eastAsia="zh-CN"/>
              </w:rPr>
              <w:t>5</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lang w:val="en-US" w:eastAsia="zh-CN"/>
              </w:rPr>
              <w:t>1</w:t>
            </w:r>
            <w:r>
              <w:rPr>
                <w:rFonts w:hint="eastAsia" w:asciiTheme="minorEastAsia" w:hAnsiTheme="minorEastAsia" w:eastAsiaTheme="minorEastAsia" w:cstheme="minorEastAsia"/>
                <w:color w:val="auto"/>
                <w:szCs w:val="21"/>
              </w:rPr>
              <w:t>月以来任意1个月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2526C0C6">
            <w:pPr>
              <w:spacing w:line="360" w:lineRule="auto"/>
              <w:contextualSpacing/>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4、供应商财务状况报告（</w:t>
            </w:r>
            <w:r>
              <w:rPr>
                <w:rFonts w:hint="eastAsia" w:asciiTheme="minorEastAsia" w:hAnsiTheme="minorEastAsia" w:eastAsiaTheme="minorEastAsia" w:cstheme="minorEastAsia"/>
                <w:color w:val="auto"/>
                <w:szCs w:val="21"/>
                <w:u w:val="single"/>
              </w:rPr>
              <w:t xml:space="preserve"> 202</w:t>
            </w:r>
            <w:r>
              <w:rPr>
                <w:rFonts w:hint="eastAsia" w:asciiTheme="minorEastAsia" w:hAnsiTheme="minorEastAsia" w:eastAsiaTheme="minorEastAsia" w:cstheme="minorEastAsia"/>
                <w:color w:val="auto"/>
                <w:szCs w:val="21"/>
                <w:u w:val="single"/>
                <w:lang w:val="en-US" w:eastAsia="zh-CN"/>
              </w:rPr>
              <w:t>3</w:t>
            </w:r>
            <w:r>
              <w:rPr>
                <w:rFonts w:hint="eastAsia" w:asciiTheme="minorEastAsia" w:hAnsiTheme="minorEastAsia" w:eastAsiaTheme="minorEastAsia" w:cstheme="minorEastAsia"/>
                <w:color w:val="auto"/>
                <w:szCs w:val="21"/>
                <w:u w:val="single"/>
              </w:rPr>
              <w:t>或202</w:t>
            </w:r>
            <w:r>
              <w:rPr>
                <w:rFonts w:hint="eastAsia" w:asciiTheme="minorEastAsia" w:hAnsiTheme="minorEastAsia" w:eastAsiaTheme="minorEastAsia" w:cstheme="minorEastAsia"/>
                <w:color w:val="auto"/>
                <w:szCs w:val="21"/>
                <w:u w:val="single"/>
                <w:lang w:val="en-US" w:eastAsia="zh-CN"/>
              </w:rPr>
              <w:t>4</w:t>
            </w:r>
            <w:r>
              <w:rPr>
                <w:rFonts w:hint="eastAsia" w:asciiTheme="minorEastAsia" w:hAnsiTheme="minorEastAsia" w:eastAsiaTheme="minorEastAsia" w:cstheme="minorEastAsia"/>
                <w:color w:val="auto"/>
                <w:szCs w:val="21"/>
              </w:rPr>
              <w:t>年度财务报表复印件或者银行出具的资信证明；供应商属于成立时间</w:t>
            </w:r>
            <w:r>
              <w:rPr>
                <w:rFonts w:hint="eastAsia" w:asciiTheme="minorEastAsia" w:hAnsiTheme="minorEastAsia" w:eastAsiaTheme="minorEastAsia" w:cstheme="minorEastAsia"/>
                <w:color w:val="auto"/>
                <w:kern w:val="0"/>
                <w:szCs w:val="21"/>
              </w:rPr>
              <w:t>在规定年度之后</w:t>
            </w:r>
            <w:r>
              <w:rPr>
                <w:rFonts w:hint="eastAsia" w:asciiTheme="minorEastAsia" w:hAnsiTheme="minorEastAsia" w:eastAsiaTheme="minorEastAsia" w:cstheme="minorEastAsia"/>
                <w:color w:val="auto"/>
                <w:szCs w:val="21"/>
              </w:rPr>
              <w:t>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
                <w:color w:val="auto"/>
                <w:szCs w:val="21"/>
              </w:rPr>
              <w:t>除自然人外必须提供，否则响应文件按无效响应处理</w:t>
            </w:r>
            <w:r>
              <w:rPr>
                <w:rFonts w:hint="eastAsia" w:asciiTheme="minorEastAsia" w:hAnsiTheme="minorEastAsia" w:eastAsiaTheme="minorEastAsia" w:cstheme="minorEastAsia"/>
                <w:bCs/>
                <w:color w:val="auto"/>
                <w:szCs w:val="21"/>
              </w:rPr>
              <w:t>）</w:t>
            </w:r>
          </w:p>
          <w:p w14:paraId="11C190BB">
            <w:pPr>
              <w:snapToGri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5、供应商直接控股、管理关系信息表（格式后附）；（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1CE54FF5">
            <w:pPr>
              <w:snapToGri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6、竞标声明（格式后附）；（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66F1D369">
            <w:pPr>
              <w:snapToGrid w:val="0"/>
              <w:spacing w:line="360" w:lineRule="auto"/>
              <w:jc w:val="left"/>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7、</w:t>
            </w:r>
            <w:r>
              <w:rPr>
                <w:rFonts w:hint="eastAsia" w:asciiTheme="minorEastAsia" w:hAnsiTheme="minorEastAsia" w:eastAsiaTheme="minorEastAsia" w:cstheme="minorEastAsia"/>
                <w:color w:val="auto"/>
                <w:szCs w:val="21"/>
                <w:lang w:val="en-US" w:eastAsia="zh-CN"/>
              </w:rPr>
              <w:t>特定资格：</w:t>
            </w:r>
            <w:r>
              <w:rPr>
                <w:rFonts w:hint="eastAsia" w:ascii="宋体" w:hAnsi="宋体"/>
                <w:color w:val="auto"/>
                <w:szCs w:val="21"/>
              </w:rPr>
              <w:t>供应商须</w:t>
            </w:r>
            <w:r>
              <w:rPr>
                <w:rFonts w:hint="eastAsia" w:ascii="宋体" w:hAnsi="宋体"/>
                <w:color w:val="auto"/>
                <w:szCs w:val="21"/>
                <w:lang w:val="en-US" w:eastAsia="zh-CN"/>
              </w:rPr>
              <w:t>提供</w:t>
            </w:r>
            <w:r>
              <w:rPr>
                <w:rFonts w:hint="eastAsia" w:ascii="宋体" w:hAnsi="宋体"/>
                <w:color w:val="auto"/>
                <w:szCs w:val="21"/>
              </w:rPr>
              <w:t>有效期内检验检测机构资质认定证书（CMA 证书）</w:t>
            </w:r>
            <w:r>
              <w:rPr>
                <w:rFonts w:hint="eastAsia" w:ascii="宋体" w:hAnsi="宋体"/>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7F3BAC09">
            <w:pPr>
              <w:snapToGri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中小企业声明函（服务）或残疾人福利性单位声明函或监狱企业证明文件；</w:t>
            </w:r>
          </w:p>
          <w:p w14:paraId="06AA3B58">
            <w:pPr>
              <w:snapToGrid w:val="0"/>
              <w:spacing w:line="360" w:lineRule="auto"/>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、除磋商文件规定必须提供以外，供应商认为需要提供的其他证明材料；</w:t>
            </w:r>
          </w:p>
          <w:p w14:paraId="22EEA791">
            <w:pPr>
              <w:snapToGrid w:val="0"/>
              <w:spacing w:line="360" w:lineRule="auto"/>
              <w:ind w:firstLine="422" w:firstLineChars="200"/>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w:t>
            </w:r>
          </w:p>
          <w:p w14:paraId="00C99F1C">
            <w:pPr>
              <w:snapToGrid w:val="0"/>
              <w:spacing w:line="360" w:lineRule="auto"/>
              <w:ind w:firstLine="413" w:firstLineChars="196"/>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1、以上标明“必须提供”的材料属于复印件的，必须加盖供应商公章，否则响应文件按无效响应处理。</w:t>
            </w:r>
          </w:p>
          <w:p w14:paraId="0CEECFFB">
            <w:pPr>
              <w:snapToGrid w:val="0"/>
              <w:spacing w:line="360" w:lineRule="auto"/>
              <w:ind w:firstLine="422" w:firstLineChars="200"/>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2、竞标声明必须由法定代表人在规定签章处签字并加盖供应商公章，否则响应文件按无效响应处理。</w:t>
            </w:r>
          </w:p>
          <w:p w14:paraId="0883B14B">
            <w:pPr>
              <w:snapToGrid w:val="0"/>
              <w:spacing w:line="360" w:lineRule="auto"/>
              <w:ind w:firstLine="422"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3、供应商直接控股、管理关系信息表必须由法定代表人或者委托代理人在规定签章处签字并加盖供应商公章，否则响应文件按无效响应处理。</w:t>
            </w:r>
          </w:p>
          <w:p w14:paraId="78A9FC07">
            <w:pPr>
              <w:pStyle w:val="7"/>
              <w:spacing w:line="360" w:lineRule="auto"/>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color w:val="auto"/>
                <w:szCs w:val="21"/>
              </w:rPr>
              <w:t>4、分公司参加竞标的，应当取得总公司授权</w:t>
            </w:r>
            <w:r>
              <w:rPr>
                <w:rFonts w:hint="eastAsia" w:asciiTheme="minorEastAsia" w:hAnsiTheme="minorEastAsia" w:eastAsiaTheme="minorEastAsia" w:cstheme="minorEastAsia"/>
                <w:b/>
                <w:color w:val="auto"/>
                <w:szCs w:val="21"/>
              </w:rPr>
              <w:t>，否则响应文件按无效响应处理。</w:t>
            </w:r>
          </w:p>
        </w:tc>
      </w:tr>
      <w:tr w14:paraId="5891C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FF0908">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12.1.2</w:t>
            </w:r>
          </w:p>
        </w:tc>
        <w:tc>
          <w:tcPr>
            <w:tcW w:w="8627" w:type="dxa"/>
            <w:vAlign w:val="center"/>
          </w:tcPr>
          <w:p w14:paraId="547A7A92">
            <w:pPr>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报价商务技术文件</w:t>
            </w:r>
          </w:p>
          <w:p w14:paraId="5DCE9C28">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1、无串通竞标行为的承诺函（格式后附）；（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39CCE589">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2、竞标报价表（格式后附）；（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2478489A">
            <w:pPr>
              <w:snapToGri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3、法定代表人身份证明及法定代表人有效身份证正反面复印件（格式后附）；（</w:t>
            </w:r>
            <w:r>
              <w:rPr>
                <w:rFonts w:hint="eastAsia" w:asciiTheme="minorEastAsia" w:hAnsiTheme="minorEastAsia" w:eastAsiaTheme="minorEastAsia" w:cstheme="minorEastAsia"/>
                <w:b/>
                <w:bCs/>
                <w:color w:val="auto"/>
                <w:szCs w:val="21"/>
              </w:rPr>
              <w:t>除自然人竞标外</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1A7D5B6C">
            <w:pPr>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4、</w:t>
            </w:r>
            <w:bookmarkStart w:id="32" w:name="OLE_LINK23"/>
            <w:r>
              <w:rPr>
                <w:rFonts w:hint="eastAsia" w:asciiTheme="minorEastAsia" w:hAnsiTheme="minorEastAsia" w:eastAsiaTheme="minorEastAsia" w:cstheme="minorEastAsia"/>
                <w:color w:val="auto"/>
                <w:szCs w:val="21"/>
              </w:rPr>
              <w:t>授权委托书及委托代理人有效身份证正反面复印件，委托代理时，</w:t>
            </w:r>
            <w:bookmarkStart w:id="33" w:name="OLE_LINK22"/>
            <w:r>
              <w:rPr>
                <w:rFonts w:hint="eastAsia" w:asciiTheme="minorEastAsia" w:hAnsiTheme="minorEastAsia" w:eastAsiaTheme="minorEastAsia" w:cstheme="minorEastAsia"/>
                <w:color w:val="auto"/>
                <w:szCs w:val="21"/>
              </w:rPr>
              <w:t>被授权人提供在供应商本单位所缴纳社保证明文件</w:t>
            </w:r>
            <w:bookmarkEnd w:id="32"/>
            <w:bookmarkEnd w:id="33"/>
            <w:r>
              <w:rPr>
                <w:rFonts w:hint="eastAsia" w:asciiTheme="minorEastAsia" w:hAnsiTheme="minorEastAsia" w:eastAsiaTheme="minorEastAsia" w:cstheme="minorEastAsia"/>
                <w:color w:val="auto"/>
                <w:szCs w:val="21"/>
              </w:rPr>
              <w:t>（格式</w:t>
            </w:r>
            <w:r>
              <w:rPr>
                <w:rFonts w:hint="eastAsia" w:asciiTheme="minorEastAsia" w:hAnsiTheme="minorEastAsia" w:eastAsiaTheme="minorEastAsia" w:cstheme="minorEastAsia"/>
                <w:color w:val="auto"/>
                <w:szCs w:val="21"/>
                <w:lang w:val="en-US" w:eastAsia="zh-CN"/>
              </w:rPr>
              <w:t>自拟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color w:val="auto"/>
                <w:szCs w:val="21"/>
              </w:rPr>
              <w:t>委托时必须提供，否则响应文件按无效响应处理</w:t>
            </w:r>
            <w:r>
              <w:rPr>
                <w:rFonts w:hint="eastAsia" w:asciiTheme="minorEastAsia" w:hAnsiTheme="minorEastAsia" w:eastAsiaTheme="minorEastAsia" w:cstheme="minorEastAsia"/>
                <w:color w:val="auto"/>
                <w:szCs w:val="21"/>
              </w:rPr>
              <w:t>）</w:t>
            </w:r>
          </w:p>
          <w:p w14:paraId="0072A153">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5、磋商保证金提交凭证；（</w:t>
            </w:r>
            <w:r>
              <w:rPr>
                <w:rFonts w:hint="eastAsia" w:asciiTheme="minorEastAsia" w:hAnsiTheme="minorEastAsia" w:eastAsiaTheme="minorEastAsia" w:cstheme="minorEastAsia"/>
                <w:b/>
                <w:bCs/>
                <w:color w:val="auto"/>
                <w:szCs w:val="21"/>
              </w:rPr>
              <w:t>如要求提交磋商保证金的则必须提供</w:t>
            </w:r>
            <w:r>
              <w:rPr>
                <w:rFonts w:hint="eastAsia" w:asciiTheme="minorEastAsia" w:hAnsiTheme="minorEastAsia" w:eastAsiaTheme="minorEastAsia" w:cstheme="minorEastAsia"/>
                <w:b/>
                <w:color w:val="auto"/>
                <w:szCs w:val="21"/>
              </w:rPr>
              <w:t>，否则响应文件按无效响应处理</w:t>
            </w:r>
            <w:r>
              <w:rPr>
                <w:rFonts w:hint="eastAsia" w:asciiTheme="minorEastAsia" w:hAnsiTheme="minorEastAsia" w:eastAsiaTheme="minorEastAsia" w:cstheme="minorEastAsia"/>
                <w:color w:val="auto"/>
                <w:szCs w:val="21"/>
              </w:rPr>
              <w:t>）</w:t>
            </w:r>
          </w:p>
          <w:p w14:paraId="68E03C1C">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6、商务要求偏离表（格式后附）；（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55F0A0CA">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bookmarkStart w:id="34" w:name="OLE_LINK24"/>
            <w:r>
              <w:rPr>
                <w:rFonts w:hint="eastAsia" w:asciiTheme="minorEastAsia" w:hAnsiTheme="minorEastAsia" w:eastAsiaTheme="minorEastAsia" w:cstheme="minorEastAsia"/>
                <w:color w:val="auto"/>
                <w:szCs w:val="21"/>
              </w:rPr>
              <w:t>服务方案</w:t>
            </w:r>
            <w:bookmarkEnd w:id="34"/>
            <w:r>
              <w:rPr>
                <w:rFonts w:hint="eastAsia" w:asciiTheme="minorEastAsia" w:hAnsiTheme="minorEastAsia" w:eastAsiaTheme="minorEastAsia" w:cstheme="minorEastAsia"/>
                <w:color w:val="auto"/>
                <w:szCs w:val="21"/>
              </w:rPr>
              <w:t>（格式自拟）；（</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524ABD4A">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8、技术要求偏离表（格式后附）；（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52A291DA">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、对应采购需求的技术要求、商务要求提供的其他文件资料（格式自拟）；</w:t>
            </w:r>
          </w:p>
          <w:p w14:paraId="23582F04">
            <w:pPr>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、供应商认为需要提供的其他有关资料。</w:t>
            </w:r>
          </w:p>
          <w:p w14:paraId="3634E02E">
            <w:pPr>
              <w:snapToGrid w:val="0"/>
              <w:spacing w:line="360" w:lineRule="auto"/>
              <w:ind w:firstLine="422" w:firstLineChars="200"/>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注：以上标明“必须提供”的材料属于复印件的，必须加盖供应商公章，否则响应文件按无效响应处理。</w:t>
            </w:r>
          </w:p>
        </w:tc>
      </w:tr>
      <w:tr w14:paraId="74A4F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B720F7">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15.2</w:t>
            </w:r>
          </w:p>
        </w:tc>
        <w:tc>
          <w:tcPr>
            <w:tcW w:w="8627" w:type="dxa"/>
            <w:vAlign w:val="center"/>
          </w:tcPr>
          <w:p w14:paraId="6E2F0AE7">
            <w:pPr>
              <w:snapToGri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none"/>
              </w:rPr>
              <w:t>竞标报价是履行合同的最终价格，即满足全部采购需求所应提供的服务的价格；包括包含人力成本、服务采购、编制报告而进行的所有调研、资料收集、现场勘察、调研安排等完成本项目所有服务内容所需的一切费用和售后服务、保险、税金及其它所有成本费用的汇总。</w:t>
            </w:r>
            <w:r>
              <w:rPr>
                <w:rFonts w:hint="eastAsia" w:asciiTheme="minorEastAsia" w:hAnsiTheme="minorEastAsia" w:eastAsiaTheme="minorEastAsia" w:cstheme="minorEastAsia"/>
                <w:b/>
                <w:color w:val="auto"/>
                <w:szCs w:val="21"/>
                <w:highlight w:val="none"/>
              </w:rPr>
              <w:t>（采购需求另有约定的，从其约定。）</w:t>
            </w:r>
          </w:p>
        </w:tc>
      </w:tr>
      <w:tr w14:paraId="702EC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B8BFDE">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16.2</w:t>
            </w:r>
          </w:p>
        </w:tc>
        <w:tc>
          <w:tcPr>
            <w:tcW w:w="8627" w:type="dxa"/>
            <w:vAlign w:val="center"/>
          </w:tcPr>
          <w:p w14:paraId="78CA3AFF">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竞标有效期：首次响应文件提交截止之日起60天内。</w:t>
            </w:r>
          </w:p>
        </w:tc>
      </w:tr>
      <w:tr w14:paraId="580A4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C49D80">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17.1</w:t>
            </w:r>
          </w:p>
        </w:tc>
        <w:tc>
          <w:tcPr>
            <w:tcW w:w="8627" w:type="dxa"/>
            <w:vAlign w:val="center"/>
          </w:tcPr>
          <w:p w14:paraId="2BC7C94A">
            <w:pPr>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本项目收取磋商保证金，具体规定如下：</w:t>
            </w:r>
          </w:p>
          <w:p w14:paraId="49A6D2AC">
            <w:pPr>
              <w:snapToGrid w:val="0"/>
              <w:spacing w:line="360" w:lineRule="auto"/>
              <w:rPr>
                <w:rFonts w:hint="eastAsia" w:asciiTheme="minorEastAsia" w:hAnsiTheme="minorEastAsia" w:eastAsiaTheme="minorEastAsia" w:cstheme="minorEastAsia"/>
                <w:color w:val="auto"/>
                <w:szCs w:val="21"/>
              </w:rPr>
            </w:pPr>
            <w:bookmarkStart w:id="35" w:name="OLE_LINK3"/>
            <w:r>
              <w:rPr>
                <w:rFonts w:hint="eastAsia" w:asciiTheme="minorEastAsia" w:hAnsiTheme="minorEastAsia" w:eastAsiaTheme="minorEastAsia" w:cstheme="minorEastAsia"/>
                <w:color w:val="auto"/>
                <w:szCs w:val="21"/>
              </w:rPr>
              <w:t>磋商保证金</w:t>
            </w:r>
            <w:bookmarkEnd w:id="35"/>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1.6</w:t>
            </w:r>
            <w:r>
              <w:rPr>
                <w:rFonts w:hint="eastAsia" w:asciiTheme="minorEastAsia" w:hAnsiTheme="minorEastAsia" w:eastAsiaTheme="minorEastAsia" w:cstheme="minorEastAsia"/>
                <w:color w:val="auto"/>
                <w:szCs w:val="21"/>
                <w:lang w:eastAsia="zh-CN"/>
              </w:rPr>
              <w:t>万元整</w:t>
            </w:r>
            <w:r>
              <w:rPr>
                <w:rFonts w:hint="eastAsia" w:asciiTheme="minorEastAsia" w:hAnsiTheme="minorEastAsia" w:eastAsiaTheme="minorEastAsia" w:cstheme="minorEastAsia"/>
                <w:color w:val="auto"/>
                <w:szCs w:val="21"/>
              </w:rPr>
              <w:t>；</w:t>
            </w:r>
          </w:p>
          <w:p w14:paraId="71690877">
            <w:pPr>
              <w:snapToGrid w:val="0"/>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磋商保证金的交纳方式：银行转账、支票、汇票、本票或者金融、担保金融、担保机构出具的保函，禁止采用现钞方式。采用银行转账方式的，在响应文件提交截止时间前交至指定账户并且到账（开户名称</w:t>
            </w:r>
            <w:bookmarkStart w:id="36" w:name="OLE_LINK16"/>
            <w:r>
              <w:rPr>
                <w:rFonts w:hint="eastAsia" w:asciiTheme="minorEastAsia" w:hAnsiTheme="minorEastAsia" w:eastAsiaTheme="minorEastAsia" w:cstheme="minorEastAsia"/>
                <w:color w:val="auto"/>
                <w:szCs w:val="21"/>
              </w:rPr>
              <w:t>：广西科文招标有限公司</w:t>
            </w:r>
            <w:bookmarkEnd w:id="36"/>
            <w:r>
              <w:rPr>
                <w:rFonts w:hint="eastAsia" w:asciiTheme="minorEastAsia" w:hAnsiTheme="minorEastAsia" w:eastAsiaTheme="minorEastAsia" w:cstheme="minorEastAsia"/>
                <w:color w:val="auto"/>
                <w:szCs w:val="21"/>
              </w:rPr>
              <w:t>，开户银行：</w:t>
            </w:r>
            <w:bookmarkStart w:id="37" w:name="OLE_LINK17"/>
            <w:r>
              <w:rPr>
                <w:rFonts w:hint="eastAsia" w:asciiTheme="minorEastAsia" w:hAnsiTheme="minorEastAsia" w:eastAsiaTheme="minorEastAsia" w:cstheme="minorEastAsia"/>
                <w:color w:val="auto"/>
                <w:szCs w:val="21"/>
              </w:rPr>
              <w:t>广西北部湾银行南宁分行营业部</w:t>
            </w:r>
            <w:bookmarkEnd w:id="37"/>
            <w:r>
              <w:rPr>
                <w:rFonts w:hint="eastAsia" w:asciiTheme="minorEastAsia" w:hAnsiTheme="minorEastAsia" w:eastAsiaTheme="minorEastAsia" w:cstheme="minorEastAsia"/>
                <w:color w:val="auto"/>
                <w:szCs w:val="21"/>
              </w:rPr>
              <w:t>，银行账号：</w:t>
            </w:r>
            <w:bookmarkStart w:id="38" w:name="OLE_LINK18"/>
            <w:r>
              <w:rPr>
                <w:rFonts w:hint="eastAsia" w:asciiTheme="minorEastAsia" w:hAnsiTheme="minorEastAsia" w:eastAsiaTheme="minorEastAsia" w:cstheme="minorEastAsia"/>
                <w:color w:val="auto"/>
                <w:szCs w:val="21"/>
              </w:rPr>
              <w:t>0101012090615689</w:t>
            </w:r>
            <w:bookmarkEnd w:id="38"/>
            <w:r>
              <w:rPr>
                <w:rFonts w:hint="eastAsia" w:asciiTheme="minorEastAsia" w:hAnsiTheme="minorEastAsia" w:eastAsiaTheme="minorEastAsia" w:cstheme="minorEastAsia"/>
                <w:color w:val="auto"/>
                <w:kern w:val="0"/>
                <w:szCs w:val="21"/>
              </w:rPr>
              <w:t>）；采用支票、汇票、本票或者保函等方式的，在响应文件提交截止时间前，供应商必须提交支票、汇票、本票或者保函原件。否则视为无效磋商保证金。</w:t>
            </w:r>
          </w:p>
          <w:p w14:paraId="33D4CCE5">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相关要求：</w:t>
            </w:r>
          </w:p>
          <w:p w14:paraId="623F24B9">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Theme="minorEastAsia" w:hAnsiTheme="minorEastAsia" w:eastAsiaTheme="minorEastAsia" w:cstheme="minorEastAsia"/>
                <w:b/>
                <w:color w:val="auto"/>
                <w:szCs w:val="21"/>
              </w:rPr>
              <w:t>否则响应文件按无效响应处理</w:t>
            </w:r>
            <w:r>
              <w:rPr>
                <w:rFonts w:hint="eastAsia" w:asciiTheme="minorEastAsia" w:hAnsiTheme="minorEastAsia" w:eastAsiaTheme="minorEastAsia" w:cstheme="minorEastAsia"/>
                <w:color w:val="auto"/>
                <w:szCs w:val="21"/>
              </w:rPr>
              <w:t>。</w:t>
            </w:r>
          </w:p>
          <w:p w14:paraId="0E114CBD">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Theme="minorEastAsia" w:hAnsiTheme="minorEastAsia" w:eastAsiaTheme="minorEastAsia" w:cstheme="minorEastAsia"/>
                <w:b/>
                <w:color w:val="auto"/>
                <w:szCs w:val="21"/>
              </w:rPr>
              <w:t>否则响应文件按无效响应处理</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color w:val="auto"/>
                <w:szCs w:val="21"/>
              </w:rPr>
              <w:t>供应商必须在首次响应文件提交截止时间前将支票、汇票、本票或者金融、担保机构出具的保函原件提交给采购代理机构，由采购代理机构向供应商出具回执，并妥善保管。</w:t>
            </w:r>
          </w:p>
          <w:p w14:paraId="024F3BFA">
            <w:pPr>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备注： </w:t>
            </w:r>
          </w:p>
          <w:p w14:paraId="1FD2D3DD">
            <w:pPr>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1、磋商保证金在响应文件提交截止时间后提交的，或者不按规定交纳方式交纳的，或者未足额交纳的（包含保函额度不足的），视为无效磋商保证金。</w:t>
            </w:r>
          </w:p>
          <w:p w14:paraId="339931C3">
            <w:pPr>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2、供应商采用现钞方式或者从个人账户（自然人竞标除外）转出的磋商保证金，视为无效磋商保证金。</w:t>
            </w:r>
          </w:p>
          <w:p w14:paraId="7B70D722">
            <w:pPr>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3、支票、汇票或者本票出现无效或者背书情形的，视为无效磋商保证金。</w:t>
            </w:r>
          </w:p>
          <w:p w14:paraId="70B313D1">
            <w:pPr>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4、保函有效期低于竞标有效期的，视为无效磋商保证金。</w:t>
            </w:r>
          </w:p>
          <w:p w14:paraId="2BFABAF3">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5、采用金融、担保机构出具保函的，必须为无条件保函，否则视为无效磋商保证金。</w:t>
            </w:r>
          </w:p>
        </w:tc>
      </w:tr>
      <w:tr w14:paraId="2FDA9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2FE3B3AC">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18.2</w:t>
            </w:r>
          </w:p>
        </w:tc>
        <w:tc>
          <w:tcPr>
            <w:tcW w:w="8627" w:type="dxa"/>
            <w:vAlign w:val="center"/>
          </w:tcPr>
          <w:p w14:paraId="36A19E17">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响应文件应按资格证明文件、报价商务技术文件分别编制，</w:t>
            </w:r>
            <w:r>
              <w:rPr>
                <w:rFonts w:hint="eastAsia" w:asciiTheme="minorEastAsia" w:hAnsiTheme="minorEastAsia" w:eastAsiaTheme="minorEastAsia" w:cstheme="minorEastAsia"/>
                <w:color w:val="auto"/>
                <w:szCs w:val="21"/>
                <w:lang w:bidi="ar"/>
              </w:rPr>
              <w:t>并按“</w:t>
            </w:r>
            <w:r>
              <w:rPr>
                <w:rFonts w:hint="eastAsia" w:asciiTheme="minorEastAsia" w:hAnsiTheme="minorEastAsia" w:eastAsiaTheme="minorEastAsia" w:cstheme="minorEastAsia"/>
                <w:color w:val="auto"/>
                <w:szCs w:val="21"/>
                <w:lang w:eastAsia="zh-CN" w:bidi="ar"/>
              </w:rPr>
              <w:t>广西政府采购云平台</w:t>
            </w:r>
            <w:r>
              <w:rPr>
                <w:rFonts w:hint="eastAsia" w:asciiTheme="minorEastAsia" w:hAnsiTheme="minorEastAsia" w:eastAsiaTheme="minorEastAsia" w:cstheme="minorEastAsia"/>
                <w:color w:val="auto"/>
                <w:szCs w:val="21"/>
                <w:lang w:bidi="ar"/>
              </w:rPr>
              <w:t>”平台的要求编制、加密、上传。</w:t>
            </w:r>
          </w:p>
        </w:tc>
      </w:tr>
      <w:tr w14:paraId="19B09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722CC0">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20.1</w:t>
            </w:r>
          </w:p>
        </w:tc>
        <w:tc>
          <w:tcPr>
            <w:tcW w:w="8627" w:type="dxa"/>
            <w:vAlign w:val="center"/>
          </w:tcPr>
          <w:p w14:paraId="0D81ADF0">
            <w:pPr>
              <w:spacing w:line="360" w:lineRule="auto"/>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首次响应文件提交截止时间：详见竞争性磋商公告。</w:t>
            </w:r>
          </w:p>
          <w:p w14:paraId="458DD889">
            <w:pPr>
              <w:spacing w:line="360" w:lineRule="auto"/>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首次响应文件提交地点：详见竞争性磋商公告。</w:t>
            </w:r>
          </w:p>
        </w:tc>
      </w:tr>
      <w:tr w14:paraId="4CE91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F2B2273">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24.1</w:t>
            </w:r>
          </w:p>
        </w:tc>
        <w:tc>
          <w:tcPr>
            <w:tcW w:w="8627" w:type="dxa"/>
            <w:vAlign w:val="center"/>
          </w:tcPr>
          <w:p w14:paraId="36F58D2E">
            <w:pP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磋商小组的人数：3人。</w:t>
            </w:r>
          </w:p>
        </w:tc>
      </w:tr>
      <w:tr w14:paraId="6F6D7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2982FD">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25.2</w:t>
            </w:r>
          </w:p>
        </w:tc>
        <w:tc>
          <w:tcPr>
            <w:tcW w:w="8627" w:type="dxa"/>
            <w:vAlign w:val="center"/>
          </w:tcPr>
          <w:p w14:paraId="1A02954A">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采购代理机构将依托电子交易平台发起开始解密指令，</w:t>
            </w:r>
            <w:r>
              <w:rPr>
                <w:rFonts w:hint="eastAsia" w:asciiTheme="minorEastAsia" w:hAnsiTheme="minorEastAsia" w:eastAsiaTheme="minorEastAsia" w:cstheme="minorEastAsia"/>
                <w:b/>
                <w:color w:val="auto"/>
                <w:szCs w:val="21"/>
              </w:rPr>
              <w:t>供应商的法定代表人或其委托代理人须携带加密时所用的CA锁按平台提示和采购文件的规定登录到“</w:t>
            </w:r>
            <w:r>
              <w:rPr>
                <w:rFonts w:hint="eastAsia" w:asciiTheme="minorEastAsia" w:hAnsiTheme="minorEastAsia" w:eastAsiaTheme="minorEastAsia" w:cstheme="minorEastAsia"/>
                <w:b/>
                <w:color w:val="auto"/>
                <w:szCs w:val="21"/>
                <w:lang w:eastAsia="zh-CN"/>
              </w:rPr>
              <w:t>广西政府采购云平台</w:t>
            </w:r>
            <w:r>
              <w:rPr>
                <w:rFonts w:hint="eastAsia" w:asciiTheme="minorEastAsia" w:hAnsiTheme="minorEastAsia" w:eastAsiaTheme="minorEastAsia" w:cstheme="minorEastAsia"/>
                <w:b/>
                <w:color w:val="auto"/>
                <w:szCs w:val="21"/>
              </w:rPr>
              <w:t>”平台电子开标大厅签到并在发起解密指令之时起30分钟内完成对电子响应文件在线解密。</w:t>
            </w:r>
            <w:r>
              <w:rPr>
                <w:rFonts w:hint="eastAsia" w:asciiTheme="minorEastAsia" w:hAnsiTheme="minorEastAsia" w:eastAsiaTheme="minorEastAsia" w:cstheme="minorEastAsia"/>
                <w:b/>
                <w:bCs/>
                <w:color w:val="auto"/>
                <w:szCs w:val="21"/>
              </w:rPr>
              <w:t>响应文件未按时解密的，</w:t>
            </w:r>
            <w:r>
              <w:rPr>
                <w:rFonts w:hint="eastAsia" w:asciiTheme="minorEastAsia" w:hAnsiTheme="minorEastAsia" w:eastAsiaTheme="minorEastAsia" w:cstheme="minorEastAsia"/>
                <w:b/>
                <w:color w:val="auto"/>
                <w:szCs w:val="21"/>
              </w:rPr>
              <w:t>视为响应</w:t>
            </w:r>
            <w:r>
              <w:rPr>
                <w:rFonts w:hint="eastAsia" w:asciiTheme="minorEastAsia" w:hAnsiTheme="minorEastAsia" w:eastAsiaTheme="minorEastAsia" w:cstheme="minorEastAsia"/>
                <w:b/>
                <w:bCs/>
                <w:color w:val="auto"/>
                <w:szCs w:val="21"/>
              </w:rPr>
              <w:t>文件无效。</w:t>
            </w:r>
          </w:p>
        </w:tc>
      </w:tr>
      <w:tr w14:paraId="6A3BF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C018261">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w:t>
            </w:r>
          </w:p>
        </w:tc>
        <w:tc>
          <w:tcPr>
            <w:tcW w:w="8627" w:type="dxa"/>
            <w:vAlign w:val="center"/>
          </w:tcPr>
          <w:p w14:paraId="0897B3FD">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rPr>
              <w:t>商务</w:t>
            </w:r>
            <w:bookmarkStart w:id="39" w:name="OLE_LINK13"/>
            <w:r>
              <w:rPr>
                <w:rFonts w:hint="eastAsia" w:asciiTheme="minorEastAsia" w:hAnsiTheme="minorEastAsia" w:eastAsiaTheme="minorEastAsia" w:cstheme="minorEastAsia"/>
                <w:color w:val="auto"/>
                <w:szCs w:val="21"/>
              </w:rPr>
              <w:t>要求评审</w:t>
            </w:r>
            <w:bookmarkEnd w:id="39"/>
            <w:r>
              <w:rPr>
                <w:rFonts w:hint="eastAsia" w:asciiTheme="minorEastAsia" w:hAnsiTheme="minorEastAsia" w:eastAsiaTheme="minorEastAsia" w:cstheme="minorEastAsia"/>
                <w:color w:val="auto"/>
                <w:szCs w:val="21"/>
              </w:rPr>
              <w:t>中允许负偏离的</w:t>
            </w:r>
            <w:r>
              <w:rPr>
                <w:rFonts w:hint="eastAsia" w:asciiTheme="minorEastAsia" w:hAnsiTheme="minorEastAsia" w:eastAsiaTheme="minorEastAsia" w:cstheme="minorEastAsia"/>
                <w:color w:val="auto"/>
                <w:szCs w:val="21"/>
                <w:highlight w:val="none"/>
              </w:rPr>
              <w:t>条款数为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w:t>
            </w:r>
          </w:p>
          <w:p w14:paraId="57F3DA50">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none"/>
              </w:rPr>
              <w:t>技术要求评审中允许负偏离的条款数为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w:t>
            </w:r>
          </w:p>
        </w:tc>
      </w:tr>
      <w:tr w14:paraId="77AFA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vAlign w:val="center"/>
          </w:tcPr>
          <w:p w14:paraId="0BB40DE2">
            <w:pPr>
              <w:spacing w:line="360" w:lineRule="auto"/>
              <w:jc w:val="center"/>
              <w:rPr>
                <w:rFonts w:asciiTheme="minorEastAsia" w:hAnsiTheme="minorEastAsia" w:eastAsiaTheme="minorEastAsia" w:cstheme="minorEastAsia"/>
                <w:color w:val="auto"/>
                <w:szCs w:val="21"/>
              </w:rPr>
            </w:pPr>
          </w:p>
        </w:tc>
        <w:tc>
          <w:tcPr>
            <w:tcW w:w="8627" w:type="dxa"/>
            <w:vAlign w:val="center"/>
          </w:tcPr>
          <w:p w14:paraId="1AB428C2">
            <w:pPr>
              <w:pStyle w:val="7"/>
              <w:spacing w:line="320" w:lineRule="exact"/>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磋商的顺序：按“</w:t>
            </w:r>
            <w:r>
              <w:rPr>
                <w:rFonts w:hint="eastAsia" w:asciiTheme="minorEastAsia" w:hAnsiTheme="minorEastAsia" w:eastAsiaTheme="minorEastAsia" w:cstheme="minorEastAsia"/>
                <w:color w:val="auto"/>
                <w:szCs w:val="21"/>
                <w:lang w:eastAsia="zh-CN"/>
              </w:rPr>
              <w:t>广西政府采购云平台</w:t>
            </w:r>
            <w:r>
              <w:rPr>
                <w:rFonts w:hint="eastAsia" w:asciiTheme="minorEastAsia" w:hAnsiTheme="minorEastAsia" w:eastAsiaTheme="minorEastAsia" w:cstheme="minorEastAsia"/>
                <w:color w:val="auto"/>
                <w:szCs w:val="21"/>
              </w:rPr>
              <w:t>”系统的编号顺序。</w:t>
            </w:r>
          </w:p>
          <w:p w14:paraId="27C793FD">
            <w:pPr>
              <w:pStyle w:val="7"/>
              <w:spacing w:line="360" w:lineRule="auto"/>
              <w:jc w:val="both"/>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符合磋商资格的供应商必须在接到磋商通知后规定时间内参加磋商，未在规定时间内参加磋商的视同放弃参加磋商权利，其响应文件按无效响应处理。</w:t>
            </w:r>
          </w:p>
          <w:p w14:paraId="0583F221">
            <w:pPr>
              <w:pStyle w:val="7"/>
              <w:spacing w:line="360" w:lineRule="auto"/>
              <w:jc w:val="both"/>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注：参与磋商前，供应商法定代表人或者委托代理人向磋商小组出示本人有效证件原件[有效证件可以是身份证（含临时身份证明）或者护照的其中一项]。</w:t>
            </w:r>
          </w:p>
        </w:tc>
      </w:tr>
      <w:tr w14:paraId="1D577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E0D570">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28.1</w:t>
            </w:r>
          </w:p>
        </w:tc>
        <w:tc>
          <w:tcPr>
            <w:tcW w:w="8627" w:type="dxa"/>
            <w:vAlign w:val="center"/>
          </w:tcPr>
          <w:p w14:paraId="418D4E4A">
            <w:pPr>
              <w:autoSpaceDE w:val="0"/>
              <w:autoSpaceDN w:val="0"/>
              <w:snapToGrid w:val="0"/>
              <w:spacing w:line="360" w:lineRule="auto"/>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本项目收取履约保证金</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rPr>
              <w:t>具体规定如下：</w:t>
            </w:r>
          </w:p>
          <w:p w14:paraId="430823C2">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rPr>
              <w:t>履约保证金金额：</w:t>
            </w:r>
            <w:r>
              <w:rPr>
                <w:rFonts w:hint="eastAsia" w:asciiTheme="minorEastAsia" w:hAnsiTheme="minorEastAsia" w:eastAsiaTheme="minorEastAsia" w:cstheme="minorEastAsia"/>
                <w:color w:val="auto"/>
                <w:szCs w:val="21"/>
                <w:highlight w:val="none"/>
                <w:lang w:val="en-US" w:eastAsia="zh-CN"/>
              </w:rPr>
              <w:t>合同金额的5%（中小企业缴纳数额为合同金额的2%），</w:t>
            </w:r>
          </w:p>
          <w:p w14:paraId="50873B84">
            <w:pPr>
              <w:autoSpaceDE w:val="0"/>
              <w:autoSpaceDN w:val="0"/>
              <w:snapToGrid w:val="0"/>
              <w:spacing w:line="360" w:lineRule="auto"/>
              <w:textAlignment w:val="bottom"/>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履约保证金提交方式：银行转账、支票、汇票、本票或者金融、担保机构出具的保函等非现金方式（参照磋商保证金）。</w:t>
            </w:r>
          </w:p>
          <w:p w14:paraId="5B1A4628">
            <w:pPr>
              <w:autoSpaceDE w:val="0"/>
              <w:autoSpaceDN w:val="0"/>
              <w:snapToGrid w:val="0"/>
              <w:spacing w:line="360" w:lineRule="auto"/>
              <w:contextualSpacing w:val="0"/>
              <w:textAlignment w:val="bottom"/>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履约保证金退付方式、时间及条件：</w:t>
            </w:r>
            <w:r>
              <w:rPr>
                <w:rFonts w:hint="eastAsia" w:asciiTheme="minorEastAsia" w:hAnsiTheme="minorEastAsia" w:eastAsiaTheme="minorEastAsia" w:cstheme="minorEastAsia"/>
                <w:b w:val="0"/>
                <w:bCs w:val="0"/>
                <w:color w:val="auto"/>
                <w:szCs w:val="21"/>
                <w:u w:val="none"/>
                <w:lang w:val="en-US" w:eastAsia="zh-CN"/>
              </w:rPr>
              <w:t>详见合同条款</w:t>
            </w:r>
          </w:p>
          <w:p w14:paraId="00CE4DC5">
            <w:pPr>
              <w:autoSpaceDE w:val="0"/>
              <w:autoSpaceDN w:val="0"/>
              <w:snapToGrid w:val="0"/>
              <w:spacing w:line="360" w:lineRule="auto"/>
              <w:textAlignment w:val="bottom"/>
              <w:rPr>
                <w:rFonts w:hint="eastAsia" w:ascii="宋体" w:hAnsi="宋体"/>
                <w:b/>
                <w:bCs/>
                <w:color w:val="auto"/>
                <w:szCs w:val="21"/>
              </w:rPr>
            </w:pPr>
            <w:r>
              <w:rPr>
                <w:rFonts w:hint="eastAsia" w:asciiTheme="minorEastAsia" w:hAnsiTheme="minorEastAsia" w:eastAsiaTheme="minorEastAsia" w:cstheme="minorEastAsia"/>
                <w:color w:val="auto"/>
                <w:szCs w:val="21"/>
              </w:rPr>
              <w:t>履约保证金指定账户：</w:t>
            </w:r>
            <w:r>
              <w:rPr>
                <w:rFonts w:hint="eastAsia" w:ascii="宋体" w:hAnsi="宋体"/>
                <w:b/>
                <w:bCs/>
                <w:color w:val="auto"/>
                <w:szCs w:val="21"/>
              </w:rPr>
              <w:t>履约保证金提交至</w:t>
            </w:r>
            <w:r>
              <w:rPr>
                <w:rFonts w:hint="eastAsia" w:ascii="宋体" w:hAnsi="宋体" w:cs="宋体"/>
                <w:b/>
                <w:bCs/>
                <w:color w:val="auto"/>
                <w:szCs w:val="21"/>
              </w:rPr>
              <w:t>采购单位指定账户，具体账户信息在签订合同前提供。</w:t>
            </w:r>
          </w:p>
          <w:p w14:paraId="16588807">
            <w:pPr>
              <w:spacing w:line="360" w:lineRule="auto"/>
              <w:contextualSpacing/>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b/>
                <w:color w:val="auto"/>
                <w:szCs w:val="21"/>
              </w:rPr>
              <w:t>1</w:t>
            </w:r>
            <w:bookmarkStart w:id="40" w:name="_Hlk54170335"/>
            <w:r>
              <w:rPr>
                <w:rFonts w:hint="eastAsia" w:asciiTheme="minorEastAsia" w:hAnsiTheme="minorEastAsia" w:eastAsiaTheme="minorEastAsia" w:cstheme="minorEastAsia"/>
                <w:b/>
                <w:color w:val="auto"/>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40"/>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t>3、采用金融、担保机构出具的保函的，必须为无条件保函，否则不予签订合同。</w:t>
            </w:r>
          </w:p>
          <w:p w14:paraId="0DC00FAA">
            <w:pPr>
              <w:spacing w:line="360" w:lineRule="auto"/>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4、投标人为联合体的，由联合体其中一方按规定提交的履约保证金，视为有效履约保证金。</w:t>
            </w:r>
          </w:p>
        </w:tc>
      </w:tr>
      <w:tr w14:paraId="286A0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40D985">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29.1</w:t>
            </w:r>
          </w:p>
        </w:tc>
        <w:tc>
          <w:tcPr>
            <w:tcW w:w="8627" w:type="dxa"/>
            <w:vAlign w:val="center"/>
          </w:tcPr>
          <w:p w14:paraId="57CF6888">
            <w:pPr>
              <w:autoSpaceDE w:val="0"/>
              <w:autoSpaceDN w:val="0"/>
              <w:snapToGrid w:val="0"/>
              <w:spacing w:line="360" w:lineRule="auto"/>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签订合同携带的证明材料： </w:t>
            </w:r>
          </w:p>
          <w:p w14:paraId="3A9CDD56">
            <w:pPr>
              <w:autoSpaceDE w:val="0"/>
              <w:autoSpaceDN w:val="0"/>
              <w:snapToGrid w:val="0"/>
              <w:spacing w:line="360" w:lineRule="auto"/>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1、委托代理人负责签订合同的，须携带授权委托书及委托代理人身份证原件等其他资格证件。</w:t>
            </w:r>
          </w:p>
          <w:p w14:paraId="4752EE60">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2、法定代表人负责签订合同的，须携带法定代表人身份证明原件及身份证原件等其他证明材料。</w:t>
            </w:r>
          </w:p>
        </w:tc>
      </w:tr>
      <w:tr w14:paraId="70A0B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E1034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31.2</w:t>
            </w:r>
          </w:p>
        </w:tc>
        <w:tc>
          <w:tcPr>
            <w:tcW w:w="8627" w:type="dxa"/>
            <w:vAlign w:val="center"/>
          </w:tcPr>
          <w:p w14:paraId="425CD50E">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接收质疑函方式：以纸质书面形式。</w:t>
            </w:r>
          </w:p>
          <w:p w14:paraId="5961313A">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质疑联系部门及联系方式：广西科文招标有限公司，质疑联系人：梁壮贤     负责人：银晓云     联系电话：0771-2023873，通讯地址：广西南宁市民族大道141号中鼎万象东方D区五层</w:t>
            </w:r>
          </w:p>
          <w:p w14:paraId="0FBC8D34">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现场提交质疑办理业务时间：工作日，上午8:00-12:00；下午15:00-18:00（北京时间）</w:t>
            </w:r>
          </w:p>
        </w:tc>
      </w:tr>
      <w:tr w14:paraId="4B747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8" w:hRule="atLeast"/>
          <w:jc w:val="center"/>
        </w:trPr>
        <w:tc>
          <w:tcPr>
            <w:tcW w:w="992" w:type="dxa"/>
            <w:vAlign w:val="center"/>
          </w:tcPr>
          <w:p w14:paraId="32E035F0">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32.1</w:t>
            </w:r>
          </w:p>
        </w:tc>
        <w:tc>
          <w:tcPr>
            <w:tcW w:w="8627" w:type="dxa"/>
            <w:vAlign w:val="center"/>
          </w:tcPr>
          <w:p w14:paraId="1DB37F30">
            <w:pPr>
              <w:pStyle w:val="12"/>
              <w:snapToGrid w:val="0"/>
              <w:spacing w:line="400" w:lineRule="exac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采购代理服务费支付方式：本项目的招标代理服务费按以下收费标准向成交供应商收取，领取成交通知书前，成交供应商应向采购代理机构一次付清招标代理服务费，否则采购代理机构有权不予以办理后续相关手续。</w:t>
            </w:r>
          </w:p>
          <w:p w14:paraId="0F7501D6">
            <w:pPr>
              <w:pStyle w:val="12"/>
              <w:snapToGrid w:val="0"/>
              <w:spacing w:line="400" w:lineRule="exac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2、采购代理服务费收取标准：</w:t>
            </w:r>
            <w:r>
              <w:rPr>
                <w:rFonts w:hint="eastAsia" w:asciiTheme="minorEastAsia" w:hAnsiTheme="minorEastAsia" w:eastAsiaTheme="minorEastAsia" w:cstheme="minorEastAsia"/>
                <w:color w:val="auto"/>
                <w:sz w:val="21"/>
              </w:rPr>
              <w:fldChar w:fldCharType="begin"/>
            </w:r>
            <w:r>
              <w:rPr>
                <w:rFonts w:hint="eastAsia" w:asciiTheme="minorEastAsia" w:hAnsiTheme="minorEastAsia" w:eastAsiaTheme="minorEastAsia" w:cstheme="minorEastAsia"/>
                <w:color w:val="auto"/>
                <w:sz w:val="21"/>
              </w:rPr>
              <w:instrText xml:space="preserve"> eq \o\ac(□,√)</w:instrText>
            </w:r>
            <w:r>
              <w:rPr>
                <w:rFonts w:hint="eastAsia" w:asciiTheme="minorEastAsia" w:hAnsiTheme="minorEastAsia" w:eastAsiaTheme="minorEastAsia" w:cstheme="minorEastAsia"/>
                <w:color w:val="auto"/>
                <w:sz w:val="21"/>
              </w:rPr>
              <w:fldChar w:fldCharType="end"/>
            </w:r>
            <w:r>
              <w:rPr>
                <w:rFonts w:hint="eastAsia" w:asciiTheme="minorEastAsia" w:hAnsiTheme="minorEastAsia" w:eastAsiaTheme="minorEastAsia" w:cstheme="minorEastAsia"/>
                <w:color w:val="auto"/>
                <w:sz w:val="21"/>
              </w:rPr>
              <w:t>以项目（</w:t>
            </w:r>
            <w:r>
              <w:rPr>
                <w:rFonts w:hint="eastAsia" w:asciiTheme="minorEastAsia" w:hAnsiTheme="minorEastAsia" w:eastAsiaTheme="minorEastAsia" w:cstheme="minorEastAsia"/>
                <w:color w:val="auto"/>
                <w:sz w:val="21"/>
              </w:rPr>
              <w:fldChar w:fldCharType="begin"/>
            </w:r>
            <w:r>
              <w:rPr>
                <w:rFonts w:hint="eastAsia" w:asciiTheme="minorEastAsia" w:hAnsiTheme="minorEastAsia" w:eastAsiaTheme="minorEastAsia" w:cstheme="minorEastAsia"/>
                <w:color w:val="auto"/>
                <w:sz w:val="21"/>
              </w:rPr>
              <w:instrText xml:space="preserve"> eq \o\ac(□,√)</w:instrText>
            </w:r>
            <w:r>
              <w:rPr>
                <w:rFonts w:hint="eastAsia" w:asciiTheme="minorEastAsia" w:hAnsiTheme="minorEastAsia" w:eastAsiaTheme="minorEastAsia" w:cstheme="minorEastAsia"/>
                <w:color w:val="auto"/>
                <w:sz w:val="21"/>
              </w:rPr>
              <w:fldChar w:fldCharType="end"/>
            </w:r>
            <w:r>
              <w:rPr>
                <w:rFonts w:hint="eastAsia" w:asciiTheme="minorEastAsia" w:hAnsiTheme="minorEastAsia" w:eastAsiaTheme="minorEastAsia" w:cstheme="minorEastAsia"/>
                <w:color w:val="auto"/>
                <w:sz w:val="21"/>
                <w:lang w:val="en-US" w:eastAsia="zh-CN"/>
              </w:rPr>
              <w:t>成交金额</w:t>
            </w:r>
            <w:r>
              <w:rPr>
                <w:rFonts w:hint="eastAsia" w:asciiTheme="minorEastAsia" w:hAnsiTheme="minorEastAsia" w:eastAsiaTheme="minorEastAsia" w:cstheme="minorEastAsia"/>
                <w:color w:val="auto"/>
                <w:sz w:val="21"/>
              </w:rPr>
              <w:t>）为计费额，按收费计算标准（</w:t>
            </w:r>
            <w:r>
              <w:rPr>
                <w:rFonts w:hint="eastAsia" w:asciiTheme="minorEastAsia" w:hAnsiTheme="minorEastAsia" w:eastAsiaTheme="minorEastAsia" w:cstheme="minorEastAsia"/>
                <w:color w:val="auto"/>
                <w:sz w:val="21"/>
              </w:rPr>
              <w:fldChar w:fldCharType="begin"/>
            </w:r>
            <w:r>
              <w:rPr>
                <w:rFonts w:hint="eastAsia" w:asciiTheme="minorEastAsia" w:hAnsiTheme="minorEastAsia" w:eastAsiaTheme="minorEastAsia" w:cstheme="minorEastAsia"/>
                <w:color w:val="auto"/>
                <w:sz w:val="21"/>
              </w:rPr>
              <w:instrText xml:space="preserve"> eq \o\ac(□,√)</w:instrText>
            </w:r>
            <w:r>
              <w:rPr>
                <w:rFonts w:hint="eastAsia" w:asciiTheme="minorEastAsia" w:hAnsiTheme="minorEastAsia" w:eastAsiaTheme="minorEastAsia" w:cstheme="minorEastAsia"/>
                <w:color w:val="auto"/>
                <w:sz w:val="21"/>
              </w:rPr>
              <w:fldChar w:fldCharType="end"/>
            </w:r>
            <w:r>
              <w:rPr>
                <w:rFonts w:hint="eastAsia" w:asciiTheme="minorEastAsia" w:hAnsiTheme="minorEastAsia" w:eastAsiaTheme="minorEastAsia" w:cstheme="minorEastAsia"/>
                <w:color w:val="auto"/>
                <w:sz w:val="21"/>
              </w:rPr>
              <w:t>服务招标）采用差额定率累进法计算出收费基准价格，采购代理服务费收费以（</w:t>
            </w:r>
            <w:r>
              <w:rPr>
                <w:rFonts w:hint="eastAsia" w:asciiTheme="minorEastAsia" w:hAnsiTheme="minorEastAsia" w:eastAsiaTheme="minorEastAsia" w:cstheme="minorEastAsia"/>
                <w:color w:val="auto"/>
                <w:sz w:val="21"/>
              </w:rPr>
              <w:fldChar w:fldCharType="begin"/>
            </w:r>
            <w:r>
              <w:rPr>
                <w:rFonts w:hint="eastAsia" w:asciiTheme="minorEastAsia" w:hAnsiTheme="minorEastAsia" w:eastAsiaTheme="minorEastAsia" w:cstheme="minorEastAsia"/>
                <w:color w:val="auto"/>
                <w:sz w:val="21"/>
              </w:rPr>
              <w:instrText xml:space="preserve"> eq \o\ac(□,√)</w:instrText>
            </w:r>
            <w:r>
              <w:rPr>
                <w:rFonts w:hint="eastAsia" w:asciiTheme="minorEastAsia" w:hAnsiTheme="minorEastAsia" w:eastAsiaTheme="minorEastAsia" w:cstheme="minorEastAsia"/>
                <w:color w:val="auto"/>
                <w:sz w:val="21"/>
              </w:rPr>
              <w:fldChar w:fldCharType="end"/>
            </w:r>
            <w:r>
              <w:rPr>
                <w:rFonts w:hint="eastAsia" w:asciiTheme="minorEastAsia" w:hAnsiTheme="minorEastAsia" w:eastAsiaTheme="minorEastAsia" w:cstheme="minorEastAsia"/>
                <w:color w:val="auto"/>
                <w:sz w:val="21"/>
              </w:rPr>
              <w:t>收费基准价格）收取。</w:t>
            </w:r>
          </w:p>
          <w:p w14:paraId="43133032">
            <w:pPr>
              <w:pStyle w:val="12"/>
              <w:snapToGrid w:val="0"/>
              <w:spacing w:line="400" w:lineRule="exac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广西科文招标有限公司服务费银行账户：</w:t>
            </w:r>
          </w:p>
          <w:p w14:paraId="3325F01C">
            <w:pPr>
              <w:pStyle w:val="12"/>
              <w:snapToGrid w:val="0"/>
              <w:spacing w:line="400" w:lineRule="exac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开户名称：广西科文招标有限公司南宁六分公司</w:t>
            </w:r>
          </w:p>
          <w:p w14:paraId="3319BF71">
            <w:pPr>
              <w:pStyle w:val="12"/>
              <w:snapToGrid w:val="0"/>
              <w:spacing w:line="400" w:lineRule="exac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开户银行：广西北部湾银行股份有限公司南宁市云景支行</w:t>
            </w:r>
          </w:p>
          <w:p w14:paraId="43D080C0">
            <w:pPr>
              <w:pStyle w:val="12"/>
              <w:snapToGrid w:val="0"/>
              <w:spacing w:line="400" w:lineRule="exac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银行</w:t>
            </w:r>
            <w:r>
              <w:rPr>
                <w:rFonts w:hint="eastAsia" w:asciiTheme="minorEastAsia" w:hAnsiTheme="minorEastAsia" w:eastAsiaTheme="minorEastAsia" w:cstheme="minorEastAsia"/>
                <w:color w:val="auto"/>
                <w:sz w:val="21"/>
                <w:lang w:eastAsia="zh-Hans"/>
              </w:rPr>
              <w:t>账</w:t>
            </w:r>
            <w:r>
              <w:rPr>
                <w:rFonts w:hint="eastAsia" w:asciiTheme="minorEastAsia" w:hAnsiTheme="minorEastAsia" w:eastAsiaTheme="minorEastAsia" w:cstheme="minorEastAsia"/>
                <w:color w:val="auto"/>
                <w:sz w:val="21"/>
              </w:rPr>
              <w:t>号：8050 3274 93 00001</w:t>
            </w:r>
          </w:p>
        </w:tc>
      </w:tr>
      <w:tr w14:paraId="26912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586B43">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w:t>
            </w:r>
          </w:p>
        </w:tc>
        <w:tc>
          <w:tcPr>
            <w:tcW w:w="8627" w:type="dxa"/>
            <w:vAlign w:val="center"/>
          </w:tcPr>
          <w:p w14:paraId="59A4AB49">
            <w:pPr>
              <w:pStyle w:val="12"/>
              <w:snapToGrid w:val="0"/>
              <w:spacing w:line="360" w:lineRule="auto"/>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sz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34DD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8A4C2F">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33.2</w:t>
            </w:r>
          </w:p>
        </w:tc>
        <w:tc>
          <w:tcPr>
            <w:tcW w:w="8627" w:type="dxa"/>
            <w:vAlign w:val="center"/>
          </w:tcPr>
          <w:p w14:paraId="3DF69781">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68FCE4CA">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2、供应商为其他组织或者自然人时，本磋商文件规定的法定代表人指负责人或者自然人。本磋商文件所称负责人是指参加竞标的其他组织</w:t>
            </w:r>
            <w:r>
              <w:rPr>
                <w:rFonts w:hint="eastAsia" w:asciiTheme="minorEastAsia" w:hAnsiTheme="minorEastAsia" w:eastAsiaTheme="minorEastAsia" w:cstheme="minorEastAsia"/>
                <w:bCs/>
                <w:color w:val="auto"/>
                <w:sz w:val="21"/>
              </w:rPr>
              <w:t>营业执照或者执业许可证等证照上的</w:t>
            </w:r>
            <w:r>
              <w:rPr>
                <w:rFonts w:hint="eastAsia" w:asciiTheme="minorEastAsia" w:hAnsiTheme="minorEastAsia" w:eastAsiaTheme="minorEastAsia" w:cstheme="minorEastAsia"/>
                <w:color w:val="auto"/>
                <w:sz w:val="21"/>
              </w:rPr>
              <w:t>负责人，本磋商文件所称自然人指参与竞标的自然人本人，</w:t>
            </w:r>
            <w:r>
              <w:rPr>
                <w:rFonts w:hint="eastAsia" w:asciiTheme="minorEastAsia" w:hAnsiTheme="minorEastAsia" w:eastAsiaTheme="minorEastAsia" w:cstheme="minorEastAsia"/>
                <w:bCs/>
                <w:color w:val="auto"/>
                <w:sz w:val="21"/>
              </w:rPr>
              <w:t>且应具备独立承担民事责任能力，自然人应当为年满18岁以上成年人（十六周岁以上的未成年人，以自己的劳动收入为主要生活来源的，视为完全民事行为能力人）。</w:t>
            </w:r>
          </w:p>
          <w:p w14:paraId="2EDBF6A4">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3、本磋商文件中描述供应商的“签字”是指供应商的法定代表人或者委托代理人在文件规定签署处签名（含电子签名）的行为，私章、印鉴等其他形式均不能代替签字。</w:t>
            </w:r>
          </w:p>
          <w:p w14:paraId="10EB1927">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4、自然人竞标的，磋商文件规定盖公章处由自然人摁手指指印。</w:t>
            </w:r>
          </w:p>
          <w:p w14:paraId="6AF54417">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5、本磋商文件所称的“以上”“以下”“以内”“届满”，包括本数；所称的“不满”“超过”“以外”，不包括本数。</w:t>
            </w:r>
          </w:p>
        </w:tc>
      </w:tr>
    </w:tbl>
    <w:p w14:paraId="5DA74388">
      <w:pPr>
        <w:spacing w:line="40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14:paraId="45977ADA">
      <w:pPr>
        <w:spacing w:line="400" w:lineRule="exact"/>
        <w:jc w:val="center"/>
        <w:rPr>
          <w:rFonts w:ascii="宋体" w:hAnsi="宋体"/>
          <w:b/>
          <w:color w:val="auto"/>
          <w:sz w:val="32"/>
          <w:szCs w:val="32"/>
        </w:rPr>
      </w:pPr>
    </w:p>
    <w:p w14:paraId="2CE59396">
      <w:pPr>
        <w:spacing w:line="360" w:lineRule="auto"/>
        <w:jc w:val="center"/>
        <w:rPr>
          <w:rFonts w:ascii="宋体" w:hAnsi="宋体"/>
          <w:b/>
          <w:bCs/>
          <w:color w:val="auto"/>
          <w:sz w:val="32"/>
          <w:szCs w:val="32"/>
        </w:rPr>
      </w:pPr>
      <w:r>
        <w:rPr>
          <w:rFonts w:hint="eastAsia" w:ascii="宋体" w:hAnsi="宋体"/>
          <w:b/>
          <w:bCs/>
          <w:color w:val="auto"/>
          <w:sz w:val="32"/>
          <w:szCs w:val="32"/>
        </w:rPr>
        <w:t>一、总则</w:t>
      </w:r>
    </w:p>
    <w:p w14:paraId="340A2DEB">
      <w:pPr>
        <w:spacing w:line="400" w:lineRule="exact"/>
        <w:rPr>
          <w:rFonts w:ascii="宋体" w:hAnsi="宋体"/>
          <w:color w:val="auto"/>
          <w:szCs w:val="21"/>
        </w:rPr>
      </w:pPr>
    </w:p>
    <w:p w14:paraId="7345FB5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14:paraId="5A3A4A62">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7D13D9FB">
      <w:pPr>
        <w:spacing w:line="360" w:lineRule="auto"/>
        <w:ind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1A717428">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2.定义</w:t>
      </w:r>
    </w:p>
    <w:p w14:paraId="46B5A1AE">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14:paraId="024119FB">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7D260D97">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1F82BDEF">
      <w:pPr>
        <w:spacing w:line="360" w:lineRule="auto"/>
        <w:ind w:firstLine="420" w:firstLineChars="200"/>
        <w:rPr>
          <w:rFonts w:ascii="宋体" w:hAnsi="宋体" w:cs="宋体"/>
          <w:color w:val="auto"/>
          <w:szCs w:val="21"/>
        </w:rPr>
      </w:pPr>
      <w:r>
        <w:rPr>
          <w:rFonts w:hint="eastAsia" w:ascii="宋体" w:hAnsi="宋体"/>
          <w:color w:val="auto"/>
          <w:szCs w:val="21"/>
        </w:rPr>
        <w:t>2.4“服务”是指除货物和工程以外的其他政府采购对象。</w:t>
      </w:r>
    </w:p>
    <w:p w14:paraId="2C5F95B4">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14:paraId="446DD59E">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14:paraId="16A948B5">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w:t>
      </w:r>
      <w:r>
        <w:rPr>
          <w:rFonts w:hint="eastAsia" w:ascii="宋体" w:hAnsi="宋体" w:cs="宋体"/>
          <w:color w:val="auto"/>
          <w:spacing w:val="-6"/>
          <w:szCs w:val="21"/>
        </w:rPr>
        <w:t>是指：供应商根据本磋商文件要求，编制包含资格证明、报价商务技术等所有内容的文件。</w:t>
      </w:r>
    </w:p>
    <w:p w14:paraId="37CE58A6">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2.8“实质性要求”是指磋商文件中已经指明不满足则响应文件按无效响应处理的条款，或者不能负偏离的条款，或者采购需求中带“▲”的条款。</w:t>
      </w:r>
    </w:p>
    <w:p w14:paraId="33A4D12A">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14:paraId="385F6189">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14:paraId="19D2277F">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45ECB0BF">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14:paraId="29272A3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14:paraId="4AE69F81">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14:paraId="583A67EC">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4.竞标费用</w:t>
      </w:r>
    </w:p>
    <w:p w14:paraId="7811AF5C">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43F9DE72">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 xml:space="preserve">5.转包与分包             </w:t>
      </w:r>
    </w:p>
    <w:p w14:paraId="17A620E5">
      <w:pPr>
        <w:pStyle w:val="5"/>
        <w:keepNext w:val="0"/>
        <w:keepLines w:val="0"/>
        <w:spacing w:before="0" w:after="0" w:line="360" w:lineRule="auto"/>
        <w:ind w:left="420" w:leftChars="200"/>
        <w:rPr>
          <w:rFonts w:ascii="宋体" w:hAnsi="宋体"/>
          <w:b w:val="0"/>
          <w:color w:val="auto"/>
          <w:sz w:val="21"/>
          <w:szCs w:val="21"/>
        </w:rPr>
      </w:pPr>
      <w:bookmarkStart w:id="41" w:name="_Toc254970673"/>
      <w:bookmarkStart w:id="42" w:name="_Toc254970532"/>
      <w:r>
        <w:rPr>
          <w:rFonts w:hint="eastAsia" w:ascii="宋体" w:hAnsi="宋体"/>
          <w:b w:val="0"/>
          <w:color w:val="auto"/>
          <w:sz w:val="21"/>
          <w:szCs w:val="21"/>
        </w:rPr>
        <w:t>5.1本项目不允许转包。</w:t>
      </w:r>
    </w:p>
    <w:p w14:paraId="56828C4F">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6.特别说明</w:t>
      </w:r>
      <w:bookmarkEnd w:id="41"/>
      <w:bookmarkEnd w:id="42"/>
    </w:p>
    <w:p w14:paraId="24BD7A96">
      <w:pPr>
        <w:spacing w:line="360" w:lineRule="auto"/>
        <w:ind w:firstLine="420" w:firstLineChars="200"/>
        <w:rPr>
          <w:rFonts w:ascii="宋体" w:hAnsi="宋体" w:cs="宋体"/>
          <w:color w:val="auto"/>
          <w:szCs w:val="21"/>
        </w:rPr>
      </w:pPr>
      <w:bookmarkStart w:id="43" w:name="_8.1提供相同品牌产品且通过资格审查、符合性审查的不同投标人参加同一合"/>
      <w:bookmarkEnd w:id="43"/>
      <w:r>
        <w:rPr>
          <w:rFonts w:hint="eastAsia" w:ascii="宋体" w:hAnsi="宋体" w:cs="宋体"/>
          <w:color w:val="auto"/>
          <w:szCs w:val="21"/>
        </w:rPr>
        <w:t>6.</w:t>
      </w:r>
      <w:r>
        <w:rPr>
          <w:rFonts w:ascii="宋体" w:hAnsi="宋体" w:cs="宋体"/>
          <w:color w:val="auto"/>
          <w:szCs w:val="21"/>
        </w:rPr>
        <w:t>1</w:t>
      </w:r>
      <w:bookmarkStart w:id="44"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44"/>
    <w:p w14:paraId="410C5D96">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70A411CC">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3</w:t>
      </w:r>
      <w:r>
        <w:rPr>
          <w:rFonts w:hint="eastAsia" w:ascii="宋体" w:hAnsi="宋体" w:cs="宋体"/>
          <w:color w:val="auto"/>
          <w:szCs w:val="21"/>
        </w:rPr>
        <w:t>供应商在竞标活动中提供任何疑似虚假材料，将报监管部门查处；签订合同后发现的，成交供应商须依法赔偿采购人，且民事赔偿并不免除违法供应商的行政与刑事责任。</w:t>
      </w:r>
    </w:p>
    <w:p w14:paraId="0FD73F20">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75143B9B">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14:paraId="447ACC8B">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14:paraId="454AAFC0">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56A202EB">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21DCE504">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14:paraId="6061A3AE">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8246FB9">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74774DF3">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（1）不同供应商的响应文件由同一单位或者个人编制； </w:t>
      </w:r>
    </w:p>
    <w:p w14:paraId="4E6CA32E">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14:paraId="68E9856D">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1E331B2F">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4411DAF0">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14:paraId="68486A8B">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3500D795">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55BDEC1A">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7EEC0C7A">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3AC2F8B1">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616E0E43">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35711530">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49DC9219">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421AB50B">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124F7A4D">
      <w:pPr>
        <w:spacing w:line="360" w:lineRule="auto"/>
        <w:ind w:firstLine="420" w:firstLineChars="200"/>
        <w:rPr>
          <w:rFonts w:ascii="宋体" w:hAnsi="宋体" w:cs="宋体"/>
          <w:color w:val="auto"/>
          <w:szCs w:val="21"/>
        </w:rPr>
      </w:pPr>
    </w:p>
    <w:p w14:paraId="72E6FFD1">
      <w:pPr>
        <w:spacing w:line="360" w:lineRule="auto"/>
        <w:ind w:left="1" w:firstLine="417" w:firstLineChars="199"/>
        <w:jc w:val="center"/>
        <w:rPr>
          <w:rFonts w:ascii="宋体" w:hAnsi="宋体"/>
          <w:color w:val="auto"/>
        </w:rPr>
      </w:pPr>
      <w:bookmarkStart w:id="45" w:name="_Toc254970534"/>
      <w:bookmarkStart w:id="46" w:name="_Toc254970675"/>
    </w:p>
    <w:p w14:paraId="299DC0E7">
      <w:pPr>
        <w:spacing w:line="360" w:lineRule="auto"/>
        <w:jc w:val="center"/>
        <w:rPr>
          <w:rFonts w:ascii="宋体" w:hAnsi="宋体"/>
          <w:b/>
          <w:bCs/>
          <w:color w:val="auto"/>
          <w:sz w:val="32"/>
          <w:szCs w:val="32"/>
        </w:rPr>
      </w:pPr>
      <w:r>
        <w:rPr>
          <w:rFonts w:hint="eastAsia" w:ascii="宋体" w:hAnsi="宋体"/>
          <w:b/>
          <w:bCs/>
          <w:color w:val="auto"/>
          <w:sz w:val="32"/>
          <w:szCs w:val="32"/>
        </w:rPr>
        <w:t>二、磋商文件</w:t>
      </w:r>
      <w:bookmarkEnd w:id="45"/>
      <w:bookmarkEnd w:id="46"/>
    </w:p>
    <w:p w14:paraId="64B7E8D4">
      <w:pPr>
        <w:spacing w:line="360" w:lineRule="auto"/>
        <w:ind w:firstLine="482" w:firstLineChars="200"/>
        <w:rPr>
          <w:rFonts w:ascii="黑体" w:hAnsi="黑体" w:eastAsia="黑体" w:cs="宋体"/>
          <w:b/>
          <w:bCs/>
          <w:color w:val="auto"/>
          <w:sz w:val="24"/>
        </w:rPr>
      </w:pPr>
    </w:p>
    <w:p w14:paraId="4D27F8EB">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7.磋商文件的构成</w:t>
      </w:r>
    </w:p>
    <w:p w14:paraId="42CC11D3">
      <w:pPr>
        <w:spacing w:line="360" w:lineRule="auto"/>
        <w:ind w:firstLine="420" w:firstLineChars="200"/>
        <w:jc w:val="left"/>
        <w:rPr>
          <w:rFonts w:ascii="宋体" w:hAnsi="宋体"/>
          <w:color w:val="auto"/>
          <w:szCs w:val="21"/>
        </w:rPr>
      </w:pPr>
      <w:r>
        <w:rPr>
          <w:rFonts w:hint="eastAsia" w:ascii="宋体" w:hAnsi="宋体"/>
          <w:color w:val="auto"/>
          <w:szCs w:val="21"/>
        </w:rPr>
        <w:t>（1）竞争性磋商公告；</w:t>
      </w:r>
    </w:p>
    <w:p w14:paraId="30239DCA">
      <w:pPr>
        <w:spacing w:line="360" w:lineRule="auto"/>
        <w:ind w:firstLine="420" w:firstLineChars="200"/>
        <w:jc w:val="left"/>
        <w:rPr>
          <w:rFonts w:ascii="宋体" w:hAnsi="宋体"/>
          <w:color w:val="auto"/>
          <w:szCs w:val="21"/>
        </w:rPr>
      </w:pPr>
      <w:r>
        <w:rPr>
          <w:rFonts w:hint="eastAsia" w:ascii="宋体" w:hAnsi="宋体"/>
          <w:color w:val="auto"/>
          <w:szCs w:val="21"/>
        </w:rPr>
        <w:t xml:space="preserve">（2）供应商须知； </w:t>
      </w:r>
    </w:p>
    <w:p w14:paraId="38C7F930">
      <w:pPr>
        <w:spacing w:line="360" w:lineRule="auto"/>
        <w:ind w:firstLine="420" w:firstLineChars="200"/>
        <w:jc w:val="left"/>
        <w:rPr>
          <w:rFonts w:ascii="宋体" w:hAnsi="宋体"/>
          <w:color w:val="auto"/>
          <w:szCs w:val="21"/>
        </w:rPr>
      </w:pPr>
      <w:r>
        <w:rPr>
          <w:rFonts w:hint="eastAsia" w:ascii="宋体" w:hAnsi="宋体"/>
          <w:color w:val="auto"/>
          <w:szCs w:val="21"/>
        </w:rPr>
        <w:t>（3）采购需求；</w:t>
      </w:r>
    </w:p>
    <w:p w14:paraId="6D92EBF6">
      <w:pPr>
        <w:spacing w:line="360" w:lineRule="auto"/>
        <w:ind w:firstLine="420" w:firstLineChars="200"/>
        <w:jc w:val="left"/>
        <w:rPr>
          <w:rFonts w:ascii="宋体" w:hAnsi="宋体"/>
          <w:color w:val="auto"/>
          <w:szCs w:val="21"/>
        </w:rPr>
      </w:pPr>
      <w:r>
        <w:rPr>
          <w:rFonts w:hint="eastAsia" w:ascii="宋体" w:hAnsi="宋体"/>
          <w:color w:val="auto"/>
          <w:szCs w:val="21"/>
        </w:rPr>
        <w:t>（4）评审程序、评审方法和评审标准；</w:t>
      </w:r>
    </w:p>
    <w:p w14:paraId="203FFAA2">
      <w:pPr>
        <w:spacing w:line="360" w:lineRule="auto"/>
        <w:ind w:firstLine="420" w:firstLineChars="200"/>
        <w:jc w:val="left"/>
        <w:rPr>
          <w:rFonts w:ascii="宋体" w:hAnsi="宋体"/>
          <w:color w:val="auto"/>
          <w:szCs w:val="21"/>
        </w:rPr>
      </w:pPr>
      <w:r>
        <w:rPr>
          <w:rFonts w:hint="eastAsia" w:ascii="宋体" w:hAnsi="宋体"/>
          <w:color w:val="auto"/>
          <w:szCs w:val="21"/>
        </w:rPr>
        <w:t>（5）响应文件格式；</w:t>
      </w:r>
    </w:p>
    <w:p w14:paraId="391CE81F">
      <w:pPr>
        <w:spacing w:line="360" w:lineRule="auto"/>
        <w:ind w:firstLine="420" w:firstLineChars="200"/>
        <w:jc w:val="left"/>
        <w:rPr>
          <w:rFonts w:ascii="宋体" w:hAnsi="宋体"/>
          <w:color w:val="auto"/>
          <w:szCs w:val="21"/>
        </w:rPr>
      </w:pPr>
      <w:r>
        <w:rPr>
          <w:rFonts w:hint="eastAsia" w:ascii="宋体" w:hAnsi="宋体"/>
          <w:color w:val="auto"/>
          <w:szCs w:val="21"/>
        </w:rPr>
        <w:t>（6）合同文本。</w:t>
      </w:r>
    </w:p>
    <w:p w14:paraId="63D7EC0A">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8.供应商的询问</w:t>
      </w:r>
    </w:p>
    <w:p w14:paraId="5D0B637A">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，以纸质书面形式向</w:t>
      </w:r>
      <w:r>
        <w:rPr>
          <w:rFonts w:ascii="宋体" w:hAnsi="宋体"/>
          <w:color w:val="auto"/>
          <w:szCs w:val="21"/>
        </w:rPr>
        <w:t>采购人、采购代理机构</w:t>
      </w:r>
      <w:r>
        <w:rPr>
          <w:rFonts w:hint="eastAsia" w:ascii="宋体" w:hAnsi="宋体"/>
          <w:color w:val="auto"/>
          <w:szCs w:val="21"/>
        </w:rPr>
        <w:t>提出</w:t>
      </w:r>
      <w:r>
        <w:rPr>
          <w:rFonts w:hint="eastAsia" w:ascii="宋体" w:hAnsi="宋体" w:cs="宋体"/>
          <w:color w:val="auto"/>
          <w:szCs w:val="21"/>
        </w:rPr>
        <w:t>，否则，由此产生的后果由供应商自行负责。</w:t>
      </w:r>
    </w:p>
    <w:p w14:paraId="1655F64E">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9.磋商文件的澄清和修改</w:t>
      </w:r>
    </w:p>
    <w:p w14:paraId="40501E3C">
      <w:pPr>
        <w:spacing w:line="400" w:lineRule="exact"/>
        <w:ind w:firstLine="420" w:firstLineChars="200"/>
        <w:rPr>
          <w:rFonts w:ascii="宋体" w:hAnsi="宋体" w:cs="宋体"/>
          <w:color w:val="auto"/>
          <w:szCs w:val="21"/>
        </w:rPr>
      </w:pPr>
      <w:r>
        <w:rPr>
          <w:rFonts w:hint="eastAsia" w:ascii="宋体" w:hAnsi="宋体" w:cs="宋体"/>
          <w:color w:val="auto"/>
          <w:szCs w:val="21"/>
        </w:rPr>
        <w:t>9.1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rPr>
        <w:t>5</w:t>
      </w:r>
      <w:r>
        <w:rPr>
          <w:rFonts w:hint="eastAsia" w:ascii="宋体" w:hAnsi="宋体" w:cs="宋体"/>
          <w:color w:val="auto"/>
          <w:szCs w:val="21"/>
        </w:rPr>
        <w:t>日前，在原公告发布媒体上发布更正公告；不足</w:t>
      </w:r>
      <w:r>
        <w:rPr>
          <w:rFonts w:ascii="宋体" w:hAnsi="宋体" w:cs="宋体"/>
          <w:color w:val="auto"/>
          <w:szCs w:val="21"/>
        </w:rPr>
        <w:t>5</w:t>
      </w:r>
      <w:r>
        <w:rPr>
          <w:rFonts w:hint="eastAsia" w:ascii="宋体" w:hAnsi="宋体" w:cs="宋体"/>
          <w:color w:val="auto"/>
          <w:szCs w:val="21"/>
        </w:rPr>
        <w:t>日的，采购人、采购代理机构应当顺延提交首次响应文件截止时间。</w:t>
      </w:r>
    </w:p>
    <w:p w14:paraId="73DCB5C1">
      <w:pPr>
        <w:spacing w:line="400" w:lineRule="exact"/>
        <w:ind w:firstLine="420" w:firstLineChars="200"/>
        <w:rPr>
          <w:rFonts w:ascii="宋体" w:hAnsi="宋体"/>
          <w:color w:val="auto"/>
          <w:szCs w:val="21"/>
        </w:rPr>
      </w:pPr>
      <w:r>
        <w:rPr>
          <w:rFonts w:hint="eastAsia" w:ascii="宋体" w:hAnsi="宋体" w:cs="宋体"/>
          <w:color w:val="auto"/>
        </w:rPr>
        <w:t>9.2采购人和采购代理机构可以视采购具体情况，变更</w:t>
      </w:r>
      <w:r>
        <w:rPr>
          <w:rFonts w:hint="eastAsia" w:ascii="宋体" w:hAnsi="宋体" w:cs="宋体"/>
          <w:color w:val="auto"/>
          <w:szCs w:val="21"/>
        </w:rPr>
        <w:t>首次响应文件提交截止时间和开启时间</w:t>
      </w:r>
      <w:r>
        <w:rPr>
          <w:rFonts w:hint="eastAsia" w:ascii="宋体" w:hAnsi="宋体" w:cs="宋体"/>
          <w:color w:val="auto"/>
        </w:rPr>
        <w:t>，</w:t>
      </w:r>
      <w:r>
        <w:rPr>
          <w:rFonts w:hint="eastAsia" w:ascii="宋体" w:hAnsi="宋体"/>
          <w:color w:val="auto"/>
        </w:rPr>
        <w:t>并</w:t>
      </w:r>
      <w:r>
        <w:rPr>
          <w:rFonts w:hint="eastAsia" w:ascii="宋体" w:hAnsi="宋体"/>
          <w:color w:val="auto"/>
          <w:szCs w:val="21"/>
        </w:rPr>
        <w:t>在原公告发布媒体上发布更正公告。</w:t>
      </w:r>
    </w:p>
    <w:p w14:paraId="25B25714">
      <w:pPr>
        <w:spacing w:line="400" w:lineRule="exact"/>
        <w:ind w:firstLine="420" w:firstLineChars="200"/>
        <w:rPr>
          <w:rFonts w:ascii="宋体" w:hAnsi="宋体" w:cs="宋体"/>
          <w:color w:val="auto"/>
        </w:rPr>
      </w:pPr>
      <w:r>
        <w:rPr>
          <w:rFonts w:hint="eastAsia" w:ascii="宋体" w:hAnsi="宋体" w:cs="宋体"/>
          <w:color w:val="auto"/>
        </w:rPr>
        <w:t>9.3</w:t>
      </w:r>
      <w:r>
        <w:rPr>
          <w:rFonts w:hint="eastAsia" w:ascii="宋体" w:hAnsi="宋体" w:cs="宋体"/>
          <w:color w:val="auto"/>
          <w:szCs w:val="21"/>
        </w:rPr>
        <w:t>磋商文件</w:t>
      </w:r>
      <w:r>
        <w:rPr>
          <w:rFonts w:hint="eastAsia" w:ascii="宋体" w:hAnsi="宋体"/>
          <w:color w:val="auto"/>
          <w:szCs w:val="21"/>
        </w:rPr>
        <w:t>澄清、答复、修改、补充的内容为</w:t>
      </w:r>
      <w:r>
        <w:rPr>
          <w:rFonts w:hint="eastAsia" w:ascii="宋体" w:hAnsi="宋体" w:cs="宋体"/>
          <w:color w:val="auto"/>
          <w:szCs w:val="21"/>
        </w:rPr>
        <w:t>磋商文件</w:t>
      </w:r>
      <w:r>
        <w:rPr>
          <w:rFonts w:hint="eastAsia" w:ascii="宋体" w:hAnsi="宋体"/>
          <w:color w:val="auto"/>
          <w:szCs w:val="21"/>
        </w:rPr>
        <w:t>的组成部分。</w:t>
      </w:r>
      <w:r>
        <w:rPr>
          <w:rFonts w:hint="eastAsia" w:ascii="宋体" w:hAnsi="宋体"/>
          <w:b/>
          <w:color w:val="auto"/>
          <w:szCs w:val="21"/>
        </w:rPr>
        <w:t>当</w:t>
      </w:r>
      <w:r>
        <w:rPr>
          <w:rFonts w:hint="eastAsia" w:ascii="宋体" w:hAnsi="宋体" w:cs="宋体"/>
          <w:b/>
          <w:color w:val="auto"/>
          <w:szCs w:val="21"/>
        </w:rPr>
        <w:t>磋商文件</w:t>
      </w:r>
      <w:r>
        <w:rPr>
          <w:rFonts w:hint="eastAsia" w:ascii="宋体" w:hAnsi="宋体"/>
          <w:b/>
          <w:color w:val="auto"/>
          <w:szCs w:val="21"/>
        </w:rPr>
        <w:t>与</w:t>
      </w:r>
      <w:r>
        <w:rPr>
          <w:rFonts w:hint="eastAsia" w:ascii="宋体" w:hAnsi="宋体" w:cs="宋体"/>
          <w:b/>
          <w:color w:val="auto"/>
          <w:szCs w:val="21"/>
        </w:rPr>
        <w:t>磋商文件</w:t>
      </w:r>
      <w:r>
        <w:rPr>
          <w:rFonts w:hint="eastAsia" w:ascii="宋体" w:hAnsi="宋体"/>
          <w:b/>
          <w:color w:val="auto"/>
          <w:szCs w:val="21"/>
        </w:rPr>
        <w:t>的澄清、答复、修改、补充通知就同一内容的表述不一致时，以最后发出的文件为准。</w:t>
      </w:r>
    </w:p>
    <w:p w14:paraId="4A86002F">
      <w:pPr>
        <w:spacing w:line="400" w:lineRule="exact"/>
        <w:ind w:firstLine="422" w:firstLineChars="200"/>
        <w:rPr>
          <w:rFonts w:ascii="宋体" w:hAnsi="宋体"/>
          <w:b/>
          <w:color w:val="auto"/>
          <w:szCs w:val="21"/>
        </w:rPr>
      </w:pPr>
      <w:r>
        <w:rPr>
          <w:rFonts w:hint="eastAsia" w:ascii="宋体" w:hAnsi="宋体" w:cs="宋体"/>
          <w:b/>
          <w:color w:val="auto"/>
        </w:rPr>
        <w:t>9.4</w:t>
      </w:r>
      <w:r>
        <w:rPr>
          <w:rFonts w:hint="eastAsia" w:ascii="宋体" w:hAnsi="宋体"/>
          <w:b/>
          <w:color w:val="auto"/>
          <w:szCs w:val="21"/>
        </w:rPr>
        <w:t>响应文件未按磋商文件的澄清、修改后的内容编制的，其响应文件作无效响应处理。</w:t>
      </w:r>
    </w:p>
    <w:p w14:paraId="647B00C5">
      <w:pPr>
        <w:spacing w:line="400" w:lineRule="exact"/>
        <w:ind w:firstLine="422" w:firstLineChars="200"/>
        <w:rPr>
          <w:rFonts w:ascii="宋体" w:hAnsi="宋体"/>
          <w:b/>
          <w:color w:val="auto"/>
          <w:szCs w:val="21"/>
        </w:rPr>
      </w:pPr>
    </w:p>
    <w:p w14:paraId="4F127D5B">
      <w:pPr>
        <w:spacing w:line="360" w:lineRule="auto"/>
        <w:jc w:val="center"/>
        <w:rPr>
          <w:rFonts w:ascii="宋体" w:hAnsi="宋体"/>
          <w:b/>
          <w:bCs/>
          <w:color w:val="auto"/>
          <w:sz w:val="32"/>
          <w:szCs w:val="32"/>
        </w:rPr>
      </w:pPr>
      <w:r>
        <w:rPr>
          <w:rFonts w:hint="eastAsia" w:ascii="宋体" w:hAnsi="宋体"/>
          <w:b/>
          <w:bCs/>
          <w:color w:val="auto"/>
          <w:sz w:val="32"/>
          <w:szCs w:val="32"/>
        </w:rPr>
        <w:t>三、响应文件的编制</w:t>
      </w:r>
    </w:p>
    <w:p w14:paraId="36D9E7CF">
      <w:pPr>
        <w:spacing w:line="360" w:lineRule="auto"/>
        <w:ind w:firstLine="482" w:firstLineChars="200"/>
        <w:rPr>
          <w:rFonts w:ascii="黑体" w:hAnsi="黑体" w:eastAsia="黑体" w:cs="宋体"/>
          <w:b/>
          <w:bCs/>
          <w:color w:val="auto"/>
          <w:sz w:val="24"/>
        </w:rPr>
      </w:pPr>
    </w:p>
    <w:p w14:paraId="6166496F">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10.响应文件的编制原则</w:t>
      </w:r>
    </w:p>
    <w:p w14:paraId="72894AC2">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6D314594">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11.响应文件的组成</w:t>
      </w:r>
    </w:p>
    <w:p w14:paraId="2FC8D8FD">
      <w:pPr>
        <w:spacing w:line="360" w:lineRule="auto"/>
        <w:ind w:firstLine="420" w:firstLineChars="200"/>
        <w:rPr>
          <w:rFonts w:ascii="宋体" w:hAnsi="宋体" w:cs="宋体"/>
          <w:color w:val="auto"/>
          <w:szCs w:val="21"/>
        </w:rPr>
      </w:pPr>
      <w:r>
        <w:rPr>
          <w:rFonts w:hint="eastAsia" w:ascii="宋体" w:hAnsi="宋体" w:cs="宋体"/>
          <w:color w:val="auto"/>
          <w:szCs w:val="21"/>
        </w:rPr>
        <w:t>11.1响应文件由资格证明文件、报价商务技术文件两部分组成。</w:t>
      </w:r>
    </w:p>
    <w:p w14:paraId="6B72669B">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11</w:t>
      </w:r>
      <w:r>
        <w:rPr>
          <w:rFonts w:ascii="宋体" w:hAnsi="宋体" w:cs="宋体"/>
          <w:color w:val="auto"/>
          <w:szCs w:val="21"/>
        </w:rPr>
        <w:t>.1.1</w:t>
      </w:r>
      <w:r>
        <w:rPr>
          <w:rFonts w:hint="eastAsia" w:ascii="宋体" w:hAnsi="宋体" w:cs="宋体"/>
          <w:color w:val="auto"/>
          <w:szCs w:val="21"/>
        </w:rPr>
        <w:t>资格证明文件：详见须知前附表</w:t>
      </w:r>
    </w:p>
    <w:p w14:paraId="7267DD21">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11</w:t>
      </w:r>
      <w:r>
        <w:rPr>
          <w:rFonts w:ascii="宋体" w:hAnsi="宋体" w:cs="宋体"/>
          <w:color w:val="auto"/>
          <w:szCs w:val="21"/>
        </w:rPr>
        <w:t>.1.2</w:t>
      </w:r>
      <w:r>
        <w:rPr>
          <w:rFonts w:hint="eastAsia" w:ascii="宋体" w:hAnsi="宋体" w:cs="宋体"/>
          <w:color w:val="auto"/>
          <w:szCs w:val="21"/>
        </w:rPr>
        <w:t>报价商务技术文件：详见须知前附表</w:t>
      </w:r>
    </w:p>
    <w:p w14:paraId="1582F0BE">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12.计量单位</w:t>
      </w:r>
    </w:p>
    <w:p w14:paraId="6BC55FB9">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6C8F882A">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13.竞标的风险</w:t>
      </w:r>
    </w:p>
    <w:p w14:paraId="4179C744">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1A0F8693">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14.竞标报价</w:t>
      </w:r>
    </w:p>
    <w:p w14:paraId="4E51EBD7">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14.1竞标报价应按磋商文件中“竞标报价表”格式填写。</w:t>
      </w:r>
    </w:p>
    <w:p w14:paraId="6F43C29F">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14.2竞标报价的内容见“供应商须知前附表”。</w:t>
      </w:r>
    </w:p>
    <w:p w14:paraId="6784711E">
      <w:pPr>
        <w:spacing w:line="360" w:lineRule="auto"/>
        <w:ind w:left="426" w:leftChars="203"/>
        <w:rPr>
          <w:rFonts w:ascii="宋体" w:hAnsi="宋体" w:cs="宋体"/>
          <w:color w:val="auto"/>
          <w:szCs w:val="21"/>
        </w:rPr>
      </w:pPr>
      <w:r>
        <w:rPr>
          <w:rFonts w:hint="eastAsia" w:ascii="宋体" w:hAnsi="宋体" w:cs="宋体"/>
          <w:color w:val="auto"/>
          <w:szCs w:val="21"/>
        </w:rPr>
        <w:t>14.3竞标报价要求</w:t>
      </w:r>
    </w:p>
    <w:p w14:paraId="23091798">
      <w:pPr>
        <w:spacing w:line="360" w:lineRule="auto"/>
        <w:ind w:firstLine="422" w:firstLineChars="200"/>
        <w:rPr>
          <w:rFonts w:ascii="宋体" w:hAnsi="宋体" w:cs="宋体"/>
          <w:b/>
          <w:color w:val="auto"/>
          <w:szCs w:val="21"/>
        </w:rPr>
      </w:pPr>
      <w:r>
        <w:rPr>
          <w:rFonts w:hint="eastAsia" w:ascii="宋体" w:hAnsi="宋体" w:cs="宋体"/>
          <w:b/>
          <w:color w:val="auto"/>
          <w:szCs w:val="21"/>
        </w:rPr>
        <w:t>14</w:t>
      </w:r>
      <w:r>
        <w:rPr>
          <w:rFonts w:ascii="宋体" w:hAnsi="宋体" w:cs="宋体"/>
          <w:b/>
          <w:color w:val="auto"/>
          <w:szCs w:val="21"/>
        </w:rPr>
        <w:t>.3.1</w:t>
      </w:r>
      <w:r>
        <w:rPr>
          <w:rFonts w:hint="eastAsia" w:ascii="宋体" w:hAnsi="宋体" w:cs="宋体"/>
          <w:b/>
          <w:color w:val="auto"/>
          <w:szCs w:val="21"/>
        </w:rPr>
        <w:t>供应商的竞标报价应符合以下要求，否则响应文件按无效响应处理：</w:t>
      </w:r>
    </w:p>
    <w:p w14:paraId="685179F8">
      <w:pPr>
        <w:spacing w:line="360" w:lineRule="auto"/>
        <w:ind w:firstLine="420" w:firstLine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（1）供应商必须就“采购需求”中所竞标的每个分标的全部内容分别作完整唯一总价报价，不得存在漏项报价；</w:t>
      </w:r>
    </w:p>
    <w:p w14:paraId="445B5393">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）供应商必须就所竞标的分标的单项内容作唯一报价。</w:t>
      </w:r>
    </w:p>
    <w:p w14:paraId="591E321E">
      <w:pPr>
        <w:spacing w:line="360" w:lineRule="auto"/>
        <w:ind w:firstLine="420" w:firstLineChars="200"/>
        <w:rPr>
          <w:rFonts w:ascii="宋体" w:hAnsi="宋体" w:cs="宋体"/>
          <w:color w:val="auto"/>
          <w:szCs w:val="21"/>
        </w:rPr>
      </w:pPr>
      <w:r>
        <w:rPr>
          <w:rFonts w:hint="eastAsia" w:ascii="宋体" w:hAnsi="宋体" w:cs="宋体"/>
          <w:color w:val="auto"/>
          <w:szCs w:val="21"/>
        </w:rPr>
        <w:t>14.3.</w:t>
      </w:r>
      <w:r>
        <w:rPr>
          <w:rFonts w:ascii="宋体" w:hAnsi="宋体" w:cs="宋体"/>
          <w:color w:val="auto"/>
          <w:szCs w:val="21"/>
        </w:rPr>
        <w:t>2</w:t>
      </w:r>
      <w:r>
        <w:rPr>
          <w:rFonts w:hint="eastAsia" w:ascii="宋体" w:hAnsi="宋体" w:cs="宋体"/>
          <w:color w:val="auto"/>
          <w:szCs w:val="21"/>
        </w:rPr>
        <w:t>最后报价超过所竞标分标规定的采购预算金额或者最高限价的，其响应文件将按无效响应处理。</w:t>
      </w:r>
      <w:bookmarkStart w:id="47" w:name="_Hlk42592874"/>
    </w:p>
    <w:bookmarkEnd w:id="47"/>
    <w:p w14:paraId="3D20634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15.竞标有效期</w:t>
      </w:r>
    </w:p>
    <w:p w14:paraId="10610126">
      <w:pPr>
        <w:spacing w:line="360" w:lineRule="auto"/>
        <w:ind w:firstLine="420" w:firstLineChars="200"/>
        <w:rPr>
          <w:rFonts w:ascii="宋体" w:hAnsi="宋体" w:cs="宋体"/>
          <w:color w:val="auto"/>
          <w:szCs w:val="21"/>
        </w:rPr>
      </w:pPr>
      <w:r>
        <w:rPr>
          <w:rFonts w:hint="eastAsia" w:ascii="宋体" w:hAnsi="宋体" w:cs="宋体"/>
          <w:color w:val="auto"/>
          <w:szCs w:val="21"/>
        </w:rPr>
        <w:t>15.1竞标有效期是指为保证采购人有足够的时间在提交响应文件后完成评审、确定成交供应商、合同签订等工作而要求供应商提交的响应文件在一定时间内保持有效的期限。</w:t>
      </w:r>
    </w:p>
    <w:p w14:paraId="7719DDB8">
      <w:pPr>
        <w:spacing w:line="360" w:lineRule="auto"/>
        <w:ind w:firstLine="420" w:firstLineChars="200"/>
        <w:rPr>
          <w:rFonts w:ascii="宋体" w:hAnsi="宋体" w:cs="宋体"/>
          <w:color w:val="auto"/>
          <w:szCs w:val="21"/>
        </w:rPr>
      </w:pPr>
      <w:r>
        <w:rPr>
          <w:rFonts w:hint="eastAsia" w:ascii="宋体" w:hAnsi="宋体" w:cs="宋体"/>
          <w:color w:val="auto"/>
          <w:szCs w:val="21"/>
        </w:rPr>
        <w:t>15.2 竞标有效期应由供应商按“供应商须知前附表”规定的期限作出响应。</w:t>
      </w:r>
    </w:p>
    <w:p w14:paraId="4E9BE8A9">
      <w:pPr>
        <w:spacing w:line="360" w:lineRule="auto"/>
        <w:ind w:firstLine="420" w:firstLineChars="200"/>
        <w:rPr>
          <w:rFonts w:ascii="宋体" w:hAnsi="宋体" w:cs="宋体"/>
          <w:color w:val="auto"/>
          <w:szCs w:val="21"/>
        </w:rPr>
      </w:pPr>
      <w:r>
        <w:rPr>
          <w:rFonts w:hint="eastAsia" w:ascii="宋体" w:hAnsi="宋体" w:cs="宋体"/>
          <w:color w:val="auto"/>
          <w:szCs w:val="21"/>
        </w:rPr>
        <w:t>15.3供应商的响应文件在竞标有效期内均保持有效。</w:t>
      </w:r>
    </w:p>
    <w:p w14:paraId="56089F7A">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16.磋商保证金</w:t>
      </w:r>
    </w:p>
    <w:p w14:paraId="0A2EE4F8">
      <w:pPr>
        <w:spacing w:line="360" w:lineRule="auto"/>
        <w:ind w:left="420" w:leftChars="200"/>
        <w:rPr>
          <w:rFonts w:ascii="宋体" w:hAnsi="宋体" w:cs="宋体"/>
          <w:color w:val="auto"/>
          <w:szCs w:val="21"/>
        </w:rPr>
      </w:pPr>
      <w:r>
        <w:rPr>
          <w:rFonts w:hint="eastAsia" w:ascii="宋体" w:hAnsi="宋体" w:cs="宋体"/>
          <w:color w:val="auto"/>
          <w:szCs w:val="21"/>
        </w:rPr>
        <w:t>16.1供应商须按“供应商须知前附表”的规定提交磋商保证金。</w:t>
      </w:r>
    </w:p>
    <w:p w14:paraId="13211F4C">
      <w:pPr>
        <w:spacing w:line="360" w:lineRule="auto"/>
        <w:ind w:left="420" w:leftChars="200"/>
        <w:rPr>
          <w:rFonts w:ascii="宋体" w:hAnsi="宋体" w:cs="宋体"/>
          <w:color w:val="auto"/>
          <w:szCs w:val="21"/>
        </w:rPr>
      </w:pPr>
      <w:r>
        <w:rPr>
          <w:rFonts w:hint="eastAsia" w:ascii="宋体" w:hAnsi="宋体" w:cs="宋体"/>
          <w:color w:val="auto"/>
          <w:szCs w:val="21"/>
        </w:rPr>
        <w:t>16.2磋商保证金的退还</w:t>
      </w:r>
    </w:p>
    <w:p w14:paraId="321A5024">
      <w:pPr>
        <w:spacing w:line="360" w:lineRule="auto"/>
        <w:ind w:firstLine="420" w:firstLineChars="200"/>
        <w:rPr>
          <w:rFonts w:ascii="宋体" w:hAnsi="宋体" w:cs="宋体"/>
          <w:color w:val="auto"/>
          <w:szCs w:val="21"/>
        </w:rPr>
      </w:pPr>
      <w:bookmarkStart w:id="48" w:name="_Hlk66782243"/>
      <w:r>
        <w:rPr>
          <w:rFonts w:hint="eastAsia" w:ascii="宋体" w:hAnsi="宋体" w:cs="宋体"/>
          <w:color w:val="auto"/>
          <w:szCs w:val="21"/>
        </w:rPr>
        <w:t>未</w:t>
      </w:r>
      <w:r>
        <w:rPr>
          <w:rFonts w:hint="eastAsia" w:ascii="宋体" w:hAnsi="宋体" w:cs="宋体"/>
          <w:color w:val="auto"/>
          <w:spacing w:val="-6"/>
          <w:szCs w:val="21"/>
        </w:rPr>
        <w:t>成交供应商的磋商保证金自成交通知书发出之日起5个工作日内退还；</w:t>
      </w:r>
      <w:r>
        <w:rPr>
          <w:rFonts w:hint="eastAsia" w:ascii="宋体" w:hAnsi="宋体" w:cs="宋体"/>
          <w:color w:val="auto"/>
          <w:szCs w:val="21"/>
        </w:rPr>
        <w:t>成交供应商的磋商保证金自签订合同之日起5个工作日内退还。</w:t>
      </w:r>
      <w:bookmarkEnd w:id="48"/>
      <w:r>
        <w:rPr>
          <w:rFonts w:hint="eastAsia" w:ascii="宋体" w:hAnsi="宋体" w:cs="宋体"/>
          <w:color w:val="auto"/>
          <w:szCs w:val="21"/>
        </w:rPr>
        <w:t xml:space="preserve"> </w:t>
      </w:r>
    </w:p>
    <w:p w14:paraId="0988E08E">
      <w:pPr>
        <w:spacing w:line="360" w:lineRule="auto"/>
        <w:ind w:left="420" w:leftChars="200"/>
        <w:rPr>
          <w:rFonts w:ascii="宋体" w:hAnsi="宋体" w:cs="宋体"/>
          <w:color w:val="auto"/>
          <w:szCs w:val="21"/>
        </w:rPr>
      </w:pPr>
      <w:r>
        <w:rPr>
          <w:rFonts w:hint="eastAsia" w:ascii="宋体" w:hAnsi="宋体" w:cs="宋体"/>
          <w:color w:val="auto"/>
          <w:szCs w:val="21"/>
        </w:rPr>
        <w:t>16.3磋商保证金不计息。</w:t>
      </w:r>
    </w:p>
    <w:p w14:paraId="7B5974E9">
      <w:pPr>
        <w:spacing w:line="360" w:lineRule="auto"/>
        <w:ind w:left="420" w:leftChars="200"/>
        <w:rPr>
          <w:rFonts w:ascii="宋体" w:hAnsi="宋体" w:cs="宋体"/>
          <w:color w:val="auto"/>
          <w:szCs w:val="21"/>
        </w:rPr>
      </w:pPr>
      <w:r>
        <w:rPr>
          <w:rFonts w:hint="eastAsia" w:ascii="宋体" w:hAnsi="宋体" w:cs="宋体"/>
          <w:color w:val="auto"/>
          <w:szCs w:val="21"/>
        </w:rPr>
        <w:t xml:space="preserve">16.4供应商有下列情形之一的，磋商保证金将不予退还： </w:t>
      </w:r>
    </w:p>
    <w:p w14:paraId="6C9E6B2E">
      <w:pPr>
        <w:spacing w:line="360" w:lineRule="auto"/>
        <w:ind w:left="420" w:leftChars="200"/>
        <w:rPr>
          <w:rFonts w:ascii="宋体" w:hAnsi="宋体" w:cs="宋体"/>
          <w:color w:val="auto"/>
          <w:szCs w:val="21"/>
        </w:rPr>
      </w:pPr>
      <w:r>
        <w:rPr>
          <w:rFonts w:hint="eastAsia" w:ascii="宋体" w:hAnsi="宋体" w:cs="宋体"/>
          <w:color w:val="auto"/>
          <w:szCs w:val="21"/>
        </w:rPr>
        <w:t>（1）供应商在提交首次响应文件截止时间后撤回响应文件的；</w:t>
      </w:r>
    </w:p>
    <w:p w14:paraId="6267E28E">
      <w:pPr>
        <w:spacing w:line="360" w:lineRule="auto"/>
        <w:ind w:left="420" w:leftChars="200"/>
        <w:rPr>
          <w:rFonts w:ascii="宋体" w:hAnsi="宋体" w:cs="宋体"/>
          <w:color w:val="auto"/>
          <w:szCs w:val="21"/>
        </w:rPr>
      </w:pPr>
      <w:r>
        <w:rPr>
          <w:rFonts w:hint="eastAsia" w:ascii="宋体" w:hAnsi="宋体" w:cs="宋体"/>
          <w:color w:val="auto"/>
          <w:szCs w:val="21"/>
        </w:rPr>
        <w:t>（2）供应商在响应文件中提供虚假材料的；</w:t>
      </w:r>
    </w:p>
    <w:p w14:paraId="59A20A4B">
      <w:pPr>
        <w:spacing w:line="360" w:lineRule="auto"/>
        <w:ind w:firstLine="420" w:firstLineChars="200"/>
        <w:rPr>
          <w:rFonts w:ascii="宋体" w:hAnsi="宋体" w:cs="宋体"/>
          <w:color w:val="auto"/>
          <w:szCs w:val="21"/>
        </w:rPr>
      </w:pPr>
      <w:r>
        <w:rPr>
          <w:rFonts w:hint="eastAsia" w:ascii="宋体" w:hAnsi="宋体" w:cs="宋体"/>
          <w:color w:val="auto"/>
          <w:szCs w:val="21"/>
        </w:rPr>
        <w:t>（3）除因不可抗力或者磋商文件认可的情形以外，成交供应商不与采购人签订合同的；</w:t>
      </w:r>
    </w:p>
    <w:p w14:paraId="73CAA351">
      <w:pPr>
        <w:spacing w:line="360" w:lineRule="auto"/>
        <w:ind w:left="420" w:leftChars="200"/>
        <w:rPr>
          <w:rFonts w:ascii="宋体" w:hAnsi="宋体" w:cs="宋体"/>
          <w:color w:val="auto"/>
          <w:szCs w:val="21"/>
        </w:rPr>
      </w:pPr>
      <w:r>
        <w:rPr>
          <w:rFonts w:hint="eastAsia" w:ascii="宋体" w:hAnsi="宋体" w:cs="宋体"/>
          <w:color w:val="auto"/>
          <w:szCs w:val="21"/>
        </w:rPr>
        <w:t>（4）供应商与采购人、其他供应商或者采购代理机构恶意串通的；</w:t>
      </w:r>
    </w:p>
    <w:p w14:paraId="117C6767">
      <w:pPr>
        <w:spacing w:line="360" w:lineRule="auto"/>
        <w:ind w:left="420" w:leftChars="200"/>
        <w:rPr>
          <w:rFonts w:ascii="宋体" w:hAnsi="宋体" w:cs="宋体"/>
          <w:color w:val="auto"/>
          <w:szCs w:val="21"/>
        </w:rPr>
      </w:pPr>
      <w:r>
        <w:rPr>
          <w:rFonts w:hint="eastAsia" w:ascii="宋体" w:hAnsi="宋体" w:cs="宋体"/>
          <w:color w:val="auto"/>
          <w:szCs w:val="21"/>
        </w:rPr>
        <w:t>（5）法律法规规定的其他情形。</w:t>
      </w:r>
    </w:p>
    <w:p w14:paraId="075E5CB9">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17.响应文件编制的要求</w:t>
      </w:r>
    </w:p>
    <w:p w14:paraId="3682F923">
      <w:pPr>
        <w:spacing w:line="360" w:lineRule="auto"/>
        <w:ind w:firstLine="420" w:firstLineChars="200"/>
        <w:rPr>
          <w:rFonts w:ascii="宋体" w:hAnsi="宋体" w:cs="宋体"/>
          <w:color w:val="auto"/>
          <w:spacing w:val="-6"/>
          <w:szCs w:val="21"/>
        </w:rPr>
      </w:pPr>
      <w:r>
        <w:rPr>
          <w:rFonts w:hint="eastAsia" w:ascii="宋体" w:hAnsi="宋体" w:cs="宋体"/>
          <w:color w:val="auto"/>
          <w:szCs w:val="21"/>
        </w:rPr>
        <w:t>17.1供应商应按本磋商文件规定的格式和顺序编制响应文件并标注页码，响应文件内容</w:t>
      </w:r>
      <w:r>
        <w:rPr>
          <w:rFonts w:hint="eastAsia" w:ascii="宋体" w:hAnsi="宋体" w:cs="宋体"/>
          <w:color w:val="auto"/>
          <w:spacing w:val="-6"/>
          <w:szCs w:val="21"/>
        </w:rPr>
        <w:t>不完整、编排混乱导致响应文件被误读、漏读或者查找不到相关内容的，</w:t>
      </w:r>
      <w:r>
        <w:rPr>
          <w:rFonts w:hint="eastAsia" w:ascii="宋体" w:hAnsi="宋体"/>
          <w:color w:val="auto"/>
        </w:rPr>
        <w:t>由此引发的</w:t>
      </w:r>
      <w:r>
        <w:rPr>
          <w:rFonts w:hint="eastAsia" w:ascii="宋体" w:hAnsi="宋体" w:cs="宋体"/>
          <w:color w:val="auto"/>
          <w:spacing w:val="-6"/>
          <w:szCs w:val="21"/>
        </w:rPr>
        <w:t>后果由供应商承担。</w:t>
      </w:r>
    </w:p>
    <w:p w14:paraId="1CC79066">
      <w:pPr>
        <w:spacing w:line="360" w:lineRule="auto"/>
        <w:ind w:firstLine="420" w:firstLineChars="200"/>
        <w:rPr>
          <w:rFonts w:ascii="宋体" w:hAnsi="宋体" w:cs="宋体"/>
          <w:color w:val="auto"/>
          <w:szCs w:val="21"/>
        </w:rPr>
      </w:pPr>
      <w:r>
        <w:rPr>
          <w:rFonts w:hint="eastAsia" w:ascii="宋体" w:hAnsi="宋体" w:cs="宋体"/>
          <w:color w:val="auto"/>
          <w:szCs w:val="21"/>
        </w:rPr>
        <w:t>17.2响应文件应按资格证明文件、报价商务技术文件分别编制电子文件，</w:t>
      </w:r>
      <w:r>
        <w:rPr>
          <w:rFonts w:hint="eastAsia" w:ascii="宋体" w:hAnsi="宋体" w:cs="宋体"/>
          <w:color w:val="auto"/>
          <w:szCs w:val="21"/>
          <w:lang w:bidi="ar"/>
        </w:rPr>
        <w:t>并按“</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”平台的要求编制、加密、上传。</w:t>
      </w:r>
    </w:p>
    <w:p w14:paraId="04E53124">
      <w:pPr>
        <w:spacing w:line="360" w:lineRule="auto"/>
        <w:ind w:firstLine="420" w:firstLineChars="200"/>
        <w:rPr>
          <w:rFonts w:ascii="宋体" w:hAnsi="宋体" w:cs="宋体"/>
          <w:color w:val="auto"/>
          <w:szCs w:val="21"/>
        </w:rPr>
      </w:pPr>
      <w:r>
        <w:rPr>
          <w:rFonts w:hint="eastAsia" w:ascii="宋体" w:hAnsi="宋体" w:cs="宋体"/>
          <w:color w:val="auto"/>
          <w:szCs w:val="21"/>
        </w:rPr>
        <w:t>17.</w:t>
      </w:r>
      <w:bookmarkStart w:id="49" w:name="_Hlk65832699"/>
      <w:r>
        <w:rPr>
          <w:rFonts w:hint="eastAsia" w:ascii="宋体" w:hAnsi="宋体" w:cs="宋体"/>
          <w:color w:val="auto"/>
          <w:szCs w:val="21"/>
        </w:rPr>
        <w:t>3</w:t>
      </w:r>
      <w:r>
        <w:rPr>
          <w:rFonts w:hint="eastAsia" w:ascii="宋体" w:hAnsi="宋体"/>
          <w:color w:val="auto"/>
          <w:szCs w:val="21"/>
        </w:rPr>
        <w:t>响应文件须由供应商在规定位置盖公章并签字</w:t>
      </w:r>
      <w:bookmarkStart w:id="50" w:name="_Hlk65832569"/>
      <w:r>
        <w:rPr>
          <w:rFonts w:hint="eastAsia" w:ascii="宋体" w:hAnsi="宋体"/>
          <w:color w:val="auto"/>
          <w:szCs w:val="21"/>
        </w:rPr>
        <w:t>（具体以供应商须知前附表或响应文件格式规定为准）</w:t>
      </w:r>
      <w:bookmarkEnd w:id="49"/>
      <w:bookmarkEnd w:id="50"/>
      <w:r>
        <w:rPr>
          <w:rFonts w:hint="eastAsia" w:ascii="宋体" w:hAnsi="宋体" w:cs="宋体"/>
          <w:color w:val="auto"/>
          <w:szCs w:val="21"/>
        </w:rPr>
        <w:t>，否则其响应文件按无效响应处理。</w:t>
      </w:r>
    </w:p>
    <w:p w14:paraId="1952BEC2">
      <w:pPr>
        <w:spacing w:line="360" w:lineRule="auto"/>
        <w:ind w:firstLine="420" w:firstLineChars="200"/>
        <w:rPr>
          <w:rFonts w:ascii="宋体" w:hAnsi="宋体" w:cs="宋体"/>
          <w:color w:val="auto"/>
          <w:szCs w:val="21"/>
        </w:rPr>
      </w:pPr>
      <w:r>
        <w:rPr>
          <w:rFonts w:hint="eastAsia" w:ascii="宋体" w:hAnsi="宋体" w:cs="宋体"/>
          <w:color w:val="auto"/>
          <w:szCs w:val="21"/>
        </w:rPr>
        <w:t>17.4响应文件中标注的供应商名称应与营业执照（事业单位法人证书、执业许可证、自然人身份证）及公章一致，否则其响应文件按无效响应处理。</w:t>
      </w:r>
    </w:p>
    <w:p w14:paraId="39358994">
      <w:pPr>
        <w:spacing w:line="360" w:lineRule="auto"/>
        <w:ind w:firstLine="420" w:firstLineChars="200"/>
        <w:rPr>
          <w:rFonts w:ascii="宋体" w:hAnsi="宋体" w:cs="宋体"/>
          <w:color w:val="auto"/>
          <w:szCs w:val="21"/>
        </w:rPr>
      </w:pPr>
      <w:r>
        <w:rPr>
          <w:rFonts w:hint="eastAsia" w:ascii="宋体" w:hAnsi="宋体" w:cs="宋体"/>
          <w:color w:val="auto"/>
          <w:szCs w:val="21"/>
        </w:rPr>
        <w:t>17.5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7B0A06C">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18.响应文件的加密、解密</w:t>
      </w:r>
    </w:p>
    <w:p w14:paraId="2C71A2B3">
      <w:pPr>
        <w:spacing w:line="360" w:lineRule="auto"/>
        <w:ind w:firstLine="420" w:firstLineChars="200"/>
        <w:rPr>
          <w:rFonts w:ascii="宋体" w:hAnsi="宋体" w:cs="宋体"/>
          <w:color w:val="auto"/>
          <w:szCs w:val="21"/>
        </w:rPr>
      </w:pPr>
      <w:r>
        <w:rPr>
          <w:rFonts w:hint="eastAsia" w:ascii="宋体" w:hAnsi="宋体"/>
          <w:color w:val="auto"/>
          <w:szCs w:val="21"/>
        </w:rPr>
        <w:t>18.1电子</w:t>
      </w:r>
      <w:r>
        <w:rPr>
          <w:rFonts w:hint="eastAsia" w:ascii="宋体" w:hAnsi="宋体" w:cs="宋体"/>
          <w:color w:val="auto"/>
          <w:szCs w:val="21"/>
        </w:rPr>
        <w:t>响应文件</w:t>
      </w:r>
      <w:r>
        <w:rPr>
          <w:rFonts w:hint="eastAsia" w:ascii="宋体" w:hAnsi="宋体"/>
          <w:color w:val="auto"/>
          <w:szCs w:val="21"/>
        </w:rPr>
        <w:t>编制完成后，供应商应按“</w:t>
      </w:r>
      <w:r>
        <w:rPr>
          <w:rFonts w:hint="eastAsia" w:ascii="宋体" w:hAnsi="宋体"/>
          <w:color w:val="auto"/>
          <w:szCs w:val="21"/>
          <w:lang w:eastAsia="zh-CN"/>
        </w:rPr>
        <w:t>广西政府采购云平台</w:t>
      </w:r>
      <w:r>
        <w:rPr>
          <w:rFonts w:hint="eastAsia" w:ascii="宋体" w:hAnsi="宋体"/>
          <w:color w:val="auto"/>
          <w:szCs w:val="21"/>
        </w:rPr>
        <w:t>”平台的要求进行加密，并在规定时间内解密，否则，由此产生的后果由供应商自行负责。</w:t>
      </w:r>
    </w:p>
    <w:p w14:paraId="1FC10360">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19.响应文件的提交</w:t>
      </w:r>
    </w:p>
    <w:p w14:paraId="4CB555D9">
      <w:pPr>
        <w:spacing w:line="360" w:lineRule="auto"/>
        <w:ind w:firstLine="420" w:firstLineChars="200"/>
        <w:rPr>
          <w:rFonts w:ascii="宋体" w:hAnsi="宋体" w:cs="宋体"/>
          <w:color w:val="auto"/>
          <w:szCs w:val="21"/>
        </w:rPr>
      </w:pPr>
      <w:r>
        <w:rPr>
          <w:rFonts w:hint="eastAsia" w:ascii="宋体" w:hAnsi="宋体" w:cs="宋体"/>
          <w:color w:val="auto"/>
          <w:szCs w:val="21"/>
        </w:rPr>
        <w:t>19.1供应商必须在“供应商须知前附表”规定的时间和地点提交响应文件。</w:t>
      </w:r>
    </w:p>
    <w:p w14:paraId="03D3B463">
      <w:pPr>
        <w:widowControl/>
        <w:spacing w:line="360" w:lineRule="auto"/>
        <w:ind w:firstLine="420" w:firstLineChars="200"/>
        <w:rPr>
          <w:rFonts w:ascii="宋体" w:hAnsi="宋体" w:cs="宋体"/>
          <w:b/>
          <w:color w:val="auto"/>
          <w:szCs w:val="21"/>
          <w:lang w:bidi="ar"/>
        </w:rPr>
      </w:pPr>
      <w:r>
        <w:rPr>
          <w:rFonts w:hint="eastAsia" w:ascii="宋体" w:hAnsi="宋体" w:cs="宋体"/>
          <w:color w:val="auto"/>
          <w:szCs w:val="21"/>
        </w:rPr>
        <w:t>19.2</w:t>
      </w:r>
      <w:r>
        <w:rPr>
          <w:rFonts w:hint="eastAsia" w:ascii="宋体" w:hAnsi="宋体" w:cs="宋体"/>
          <w:color w:val="auto"/>
          <w:szCs w:val="21"/>
          <w:lang w:bidi="ar"/>
        </w:rPr>
        <w:t>本项目为全流程电子化政府采购项目，通过“</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”平台（http：//www.zcygov.cn）实行在线电子竞标，供应商应先安装“</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电子交易客户端”（请自行前往“</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”平台进行下载），并按照本项目竞争性磋商文件和“</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”平台的要求编制、加密后在首次响应文件提交截止时间前通过网络上传至“</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w:t>
      </w:r>
      <w:r>
        <w:rPr>
          <w:rFonts w:hint="eastAsia" w:ascii="宋体" w:hAnsi="宋体" w:cs="宋体"/>
          <w:b/>
          <w:color w:val="auto"/>
          <w:szCs w:val="21"/>
          <w:lang w:bidi="ar"/>
        </w:rPr>
        <w:t>供应商在“</w:t>
      </w:r>
      <w:r>
        <w:rPr>
          <w:rFonts w:hint="eastAsia" w:ascii="宋体" w:hAnsi="宋体" w:cs="宋体"/>
          <w:b/>
          <w:color w:val="auto"/>
          <w:szCs w:val="21"/>
          <w:lang w:eastAsia="zh-CN" w:bidi="ar"/>
        </w:rPr>
        <w:t>广西政府采购云平台</w:t>
      </w:r>
      <w:r>
        <w:rPr>
          <w:rFonts w:hint="eastAsia" w:ascii="宋体" w:hAnsi="宋体" w:cs="宋体"/>
          <w:b/>
          <w:color w:val="auto"/>
          <w:szCs w:val="21"/>
          <w:lang w:bidi="ar"/>
        </w:rPr>
        <w:t>”平台提交电子版响应文件时，请填写参加远程开标活动经办人联系方式。</w:t>
      </w:r>
    </w:p>
    <w:p w14:paraId="625008BD">
      <w:pPr>
        <w:pStyle w:val="5"/>
        <w:keepNext w:val="0"/>
        <w:keepLines w:val="0"/>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19.3未在规定时间内上传或者未按“</w:t>
      </w:r>
      <w:r>
        <w:rPr>
          <w:rFonts w:hint="eastAsia" w:ascii="宋体" w:hAnsi="宋体"/>
          <w:b w:val="0"/>
          <w:color w:val="auto"/>
          <w:sz w:val="21"/>
          <w:szCs w:val="21"/>
          <w:lang w:eastAsia="zh-CN"/>
        </w:rPr>
        <w:t>广西政府采购云平台</w:t>
      </w:r>
      <w:r>
        <w:rPr>
          <w:rFonts w:hint="eastAsia" w:ascii="宋体" w:hAnsi="宋体"/>
          <w:b w:val="0"/>
          <w:color w:val="auto"/>
          <w:sz w:val="21"/>
          <w:szCs w:val="21"/>
        </w:rPr>
        <w:t>”平台的要求编制、加密的电子响应文件，“</w:t>
      </w:r>
      <w:r>
        <w:rPr>
          <w:rFonts w:hint="eastAsia" w:ascii="宋体" w:hAnsi="宋体"/>
          <w:b w:val="0"/>
          <w:color w:val="auto"/>
          <w:sz w:val="21"/>
          <w:szCs w:val="21"/>
          <w:lang w:eastAsia="zh-CN"/>
        </w:rPr>
        <w:t>广西政府采购云平台</w:t>
      </w:r>
      <w:r>
        <w:rPr>
          <w:rFonts w:hint="eastAsia" w:ascii="宋体" w:hAnsi="宋体"/>
          <w:b w:val="0"/>
          <w:color w:val="auto"/>
          <w:sz w:val="21"/>
          <w:szCs w:val="21"/>
        </w:rPr>
        <w:t>”平台将拒收。</w:t>
      </w:r>
    </w:p>
    <w:p w14:paraId="5A2D2B83">
      <w:pPr>
        <w:pStyle w:val="6"/>
        <w:rPr>
          <w:rFonts w:ascii="宋体" w:hAnsi="宋体" w:cs="宋体"/>
          <w:color w:val="auto"/>
          <w:szCs w:val="21"/>
        </w:rPr>
      </w:pPr>
      <w:r>
        <w:rPr>
          <w:rFonts w:hint="eastAsia" w:ascii="宋体" w:hAnsi="宋体"/>
          <w:color w:val="auto"/>
          <w:szCs w:val="21"/>
        </w:rPr>
        <w:t>19.4电子</w:t>
      </w:r>
      <w:r>
        <w:rPr>
          <w:rFonts w:hint="eastAsia" w:ascii="宋体" w:hAnsi="宋体" w:cs="宋体"/>
          <w:color w:val="auto"/>
          <w:szCs w:val="21"/>
        </w:rPr>
        <w:t>响应文件</w:t>
      </w:r>
      <w:r>
        <w:rPr>
          <w:rFonts w:hint="eastAsia" w:ascii="宋体" w:hAnsi="宋体"/>
          <w:color w:val="auto"/>
          <w:szCs w:val="21"/>
        </w:rPr>
        <w:t>提交方</w:t>
      </w:r>
      <w:r>
        <w:rPr>
          <w:rFonts w:hint="eastAsia" w:ascii="宋体" w:hAnsi="宋体"/>
          <w:bCs/>
          <w:color w:val="auto"/>
          <w:szCs w:val="21"/>
        </w:rPr>
        <w:t>式见“竞争性磋商公告”</w:t>
      </w:r>
      <w:r>
        <w:rPr>
          <w:rFonts w:hint="eastAsia" w:ascii="宋体" w:hAnsi="宋体"/>
          <w:color w:val="auto"/>
          <w:szCs w:val="21"/>
        </w:rPr>
        <w:t>中“四、响应文件提交”。</w:t>
      </w:r>
    </w:p>
    <w:p w14:paraId="2D0D967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20.首次响应文件的补充、修改与撤回</w:t>
      </w:r>
    </w:p>
    <w:p w14:paraId="5D3918E0">
      <w:pPr>
        <w:spacing w:line="360" w:lineRule="auto"/>
        <w:ind w:firstLine="420" w:firstLineChars="200"/>
        <w:rPr>
          <w:rFonts w:ascii="宋体" w:hAnsi="宋体" w:cs="宋体"/>
          <w:bCs/>
          <w:color w:val="auto"/>
          <w:szCs w:val="21"/>
          <w:lang w:bidi="ar"/>
        </w:rPr>
      </w:pPr>
      <w:r>
        <w:rPr>
          <w:rFonts w:hint="eastAsia" w:ascii="宋体" w:hAnsi="宋体" w:cs="宋体"/>
          <w:bCs/>
          <w:color w:val="auto"/>
          <w:szCs w:val="21"/>
          <w:lang w:bidi="ar"/>
        </w:rPr>
        <w:t>20.1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bCs/>
          <w:color w:val="auto"/>
          <w:szCs w:val="21"/>
          <w:lang w:eastAsia="zh-CN" w:bidi="ar"/>
        </w:rPr>
        <w:t>广西政府采购云平台</w:t>
      </w:r>
      <w:r>
        <w:rPr>
          <w:rFonts w:hint="eastAsia" w:ascii="宋体" w:hAnsi="宋体" w:cs="宋体"/>
          <w:bCs/>
          <w:color w:val="auto"/>
          <w:szCs w:val="21"/>
          <w:lang w:bidi="ar"/>
        </w:rPr>
        <w:t>”平台将予以拒收。</w:t>
      </w:r>
    </w:p>
    <w:p w14:paraId="23D1CDC1">
      <w:pPr>
        <w:spacing w:line="360" w:lineRule="auto"/>
        <w:ind w:firstLine="482" w:firstLineChars="200"/>
        <w:rPr>
          <w:rFonts w:ascii="黑体" w:hAnsi="黑体" w:eastAsia="黑体" w:cs="宋体"/>
          <w:b/>
          <w:bCs/>
          <w:color w:val="auto"/>
          <w:sz w:val="24"/>
        </w:rPr>
      </w:pPr>
      <w:bookmarkStart w:id="51" w:name="_Hlk45702405"/>
      <w:r>
        <w:rPr>
          <w:rFonts w:hint="eastAsia" w:ascii="黑体" w:hAnsi="黑体" w:eastAsia="黑体" w:cs="宋体"/>
          <w:b/>
          <w:bCs/>
          <w:color w:val="auto"/>
          <w:sz w:val="24"/>
        </w:rPr>
        <w:t>21. 首次响应文件的退回</w:t>
      </w:r>
    </w:p>
    <w:p w14:paraId="299B6EBF">
      <w:pPr>
        <w:spacing w:line="400" w:lineRule="exact"/>
        <w:ind w:firstLine="420" w:firstLineChars="200"/>
        <w:rPr>
          <w:rFonts w:ascii="宋体" w:hAnsi="宋体" w:cs="宋体"/>
          <w:color w:val="auto"/>
          <w:szCs w:val="21"/>
        </w:rPr>
      </w:pPr>
      <w:r>
        <w:rPr>
          <w:rFonts w:hint="eastAsia" w:ascii="宋体" w:hAnsi="宋体" w:cs="宋体"/>
          <w:color w:val="auto"/>
          <w:szCs w:val="21"/>
        </w:rPr>
        <w:t>21.1在首次响应文件提交截止时间提交响应文件的供应商不足3家时，</w:t>
      </w:r>
      <w:r>
        <w:rPr>
          <w:rFonts w:hint="eastAsia" w:ascii="宋体" w:hAnsi="宋体"/>
          <w:color w:val="auto"/>
          <w:szCs w:val="21"/>
        </w:rPr>
        <w:t>采购代理机构将根据“</w:t>
      </w:r>
      <w:r>
        <w:rPr>
          <w:rFonts w:hint="eastAsia" w:ascii="宋体" w:hAnsi="宋体"/>
          <w:color w:val="auto"/>
          <w:szCs w:val="21"/>
          <w:lang w:eastAsia="zh-CN"/>
        </w:rPr>
        <w:t>广西政府采购云平台</w:t>
      </w:r>
      <w:r>
        <w:rPr>
          <w:rFonts w:hint="eastAsia" w:ascii="宋体" w:hAnsi="宋体"/>
          <w:color w:val="auto"/>
          <w:szCs w:val="21"/>
        </w:rPr>
        <w:t>”平台的操作将电子版响应文件退回，</w:t>
      </w:r>
      <w:r>
        <w:rPr>
          <w:rFonts w:hint="eastAsia" w:ascii="宋体" w:hAnsi="宋体" w:cs="宋体"/>
          <w:color w:val="auto"/>
          <w:szCs w:val="21"/>
        </w:rPr>
        <w:t>除此之外采购人和采购代理机构对已提交的电子响应文件概不退回。</w:t>
      </w:r>
    </w:p>
    <w:p w14:paraId="3AD01549">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22. 截止时间后的撤回</w:t>
      </w:r>
    </w:p>
    <w:p w14:paraId="367B588F">
      <w:pPr>
        <w:spacing w:line="360" w:lineRule="auto"/>
        <w:ind w:firstLine="420" w:firstLineChars="200"/>
        <w:rPr>
          <w:rFonts w:ascii="宋体" w:hAnsi="宋体" w:cs="宋体"/>
          <w:color w:val="auto"/>
          <w:szCs w:val="21"/>
        </w:rPr>
      </w:pPr>
      <w:r>
        <w:rPr>
          <w:rFonts w:hint="eastAsia" w:ascii="宋体" w:hAnsi="宋体" w:cs="宋体"/>
          <w:color w:val="auto"/>
          <w:szCs w:val="21"/>
        </w:rPr>
        <w:t>22.1供应商在首次响应文件提交截止时间后书面通知采购人、采购代理机构书面撤回响应文件的，将根据本须知正文16.4的规定不予退还其磋商保证金。</w:t>
      </w:r>
    </w:p>
    <w:bookmarkEnd w:id="51"/>
    <w:p w14:paraId="79237704">
      <w:pPr>
        <w:spacing w:line="360" w:lineRule="auto"/>
        <w:rPr>
          <w:rFonts w:ascii="宋体" w:hAnsi="宋体"/>
          <w:color w:val="auto"/>
          <w:szCs w:val="21"/>
        </w:rPr>
      </w:pPr>
    </w:p>
    <w:p w14:paraId="41DBA065">
      <w:pPr>
        <w:spacing w:line="360" w:lineRule="auto"/>
        <w:jc w:val="center"/>
        <w:rPr>
          <w:rFonts w:ascii="宋体" w:hAnsi="宋体"/>
          <w:b/>
          <w:bCs/>
          <w:color w:val="auto"/>
          <w:sz w:val="32"/>
          <w:szCs w:val="32"/>
        </w:rPr>
      </w:pPr>
      <w:r>
        <w:rPr>
          <w:rFonts w:hint="eastAsia" w:ascii="宋体" w:hAnsi="宋体"/>
          <w:b/>
          <w:bCs/>
          <w:color w:val="auto"/>
          <w:sz w:val="32"/>
          <w:szCs w:val="32"/>
        </w:rPr>
        <w:t>四、评审及磋商</w:t>
      </w:r>
    </w:p>
    <w:p w14:paraId="5299D06D">
      <w:pPr>
        <w:spacing w:line="360" w:lineRule="auto"/>
        <w:ind w:firstLine="482" w:firstLineChars="200"/>
        <w:rPr>
          <w:rFonts w:ascii="黑体" w:hAnsi="黑体" w:eastAsia="黑体" w:cs="宋体"/>
          <w:b/>
          <w:bCs/>
          <w:color w:val="auto"/>
          <w:sz w:val="24"/>
        </w:rPr>
      </w:pPr>
    </w:p>
    <w:p w14:paraId="0E93956A">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23.磋商小组成立</w:t>
      </w:r>
    </w:p>
    <w:p w14:paraId="3E959E02">
      <w:pPr>
        <w:spacing w:line="360" w:lineRule="auto"/>
        <w:ind w:firstLine="420" w:firstLineChars="200"/>
        <w:rPr>
          <w:rFonts w:ascii="宋体" w:hAnsi="宋体" w:cs="宋体"/>
          <w:color w:val="auto"/>
          <w:szCs w:val="21"/>
        </w:rPr>
      </w:pPr>
      <w:r>
        <w:rPr>
          <w:rFonts w:hint="eastAsia" w:ascii="宋体" w:hAnsi="宋体" w:cs="宋体"/>
          <w:color w:val="auto"/>
          <w:szCs w:val="21"/>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FE74D8E">
      <w:pPr>
        <w:spacing w:line="360" w:lineRule="auto"/>
        <w:ind w:firstLine="420" w:firstLineChars="200"/>
        <w:rPr>
          <w:rFonts w:ascii="宋体" w:hAnsi="宋体" w:cs="宋体"/>
          <w:color w:val="auto"/>
          <w:szCs w:val="21"/>
        </w:rPr>
      </w:pPr>
      <w:r>
        <w:rPr>
          <w:rFonts w:hint="eastAsia" w:ascii="宋体" w:hAnsi="宋体" w:cs="宋体"/>
          <w:color w:val="auto"/>
          <w:szCs w:val="21"/>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A34EFEB">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4</w:t>
      </w:r>
      <w:r>
        <w:rPr>
          <w:rFonts w:ascii="黑体" w:hAnsi="黑体" w:eastAsia="黑体" w:cs="宋体"/>
          <w:b/>
          <w:bCs/>
          <w:color w:val="auto"/>
          <w:sz w:val="24"/>
        </w:rPr>
        <w:t>.</w:t>
      </w:r>
      <w:r>
        <w:rPr>
          <w:rFonts w:hint="eastAsia" w:ascii="黑体" w:hAnsi="黑体" w:eastAsia="黑体" w:cs="宋体"/>
          <w:b/>
          <w:bCs/>
          <w:color w:val="auto"/>
          <w:sz w:val="24"/>
        </w:rPr>
        <w:t>首次响应文件的开启</w:t>
      </w:r>
    </w:p>
    <w:p w14:paraId="44AA13EC">
      <w:pPr>
        <w:spacing w:line="360" w:lineRule="auto"/>
        <w:ind w:firstLine="420" w:firstLineChars="200"/>
        <w:rPr>
          <w:rFonts w:ascii="宋体" w:hAnsi="宋体" w:cs="宋体"/>
          <w:color w:val="auto"/>
          <w:szCs w:val="21"/>
        </w:rPr>
      </w:pPr>
      <w:r>
        <w:rPr>
          <w:rFonts w:hint="eastAsia" w:ascii="宋体" w:hAnsi="宋体" w:cs="宋体"/>
          <w:color w:val="auto"/>
          <w:szCs w:val="21"/>
        </w:rPr>
        <w:t>24.1首次响应文件由磋商小组或者采购代理机构在“供应商须知前附表”规定的时间开启。</w:t>
      </w:r>
    </w:p>
    <w:p w14:paraId="039C2662">
      <w:pPr>
        <w:spacing w:line="360" w:lineRule="auto"/>
        <w:ind w:firstLine="420" w:firstLineChars="200"/>
        <w:rPr>
          <w:rFonts w:ascii="宋体" w:hAnsi="宋体" w:cs="宋体"/>
          <w:color w:val="auto"/>
          <w:szCs w:val="21"/>
        </w:rPr>
      </w:pPr>
      <w:r>
        <w:rPr>
          <w:rFonts w:hint="eastAsia" w:ascii="宋体" w:hAnsi="宋体" w:cs="宋体"/>
          <w:color w:val="auto"/>
          <w:szCs w:val="21"/>
        </w:rPr>
        <w:t>24.2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rPr>
        <w:t>供应商的法定代表人或其委托代理人须携带加密时所用的CA锁按平台提示和采购文件的规定登录到“</w:t>
      </w:r>
      <w:r>
        <w:rPr>
          <w:rFonts w:hint="eastAsia" w:ascii="宋体" w:hAnsi="宋体" w:cs="宋体"/>
          <w:b/>
          <w:color w:val="auto"/>
          <w:szCs w:val="21"/>
          <w:lang w:eastAsia="zh-CN"/>
        </w:rPr>
        <w:t>广西政府采购云平台</w:t>
      </w:r>
      <w:r>
        <w:rPr>
          <w:rFonts w:hint="eastAsia" w:ascii="宋体" w:hAnsi="宋体" w:cs="宋体"/>
          <w:b/>
          <w:color w:val="auto"/>
          <w:szCs w:val="21"/>
        </w:rPr>
        <w:t>”平台电子开标大厅签到并在发起解密指令之时起30分钟内完成对电子响应文件在线解密。</w:t>
      </w:r>
      <w:r>
        <w:rPr>
          <w:rFonts w:hint="eastAsia" w:ascii="宋体" w:hAnsi="宋体"/>
          <w:b/>
          <w:bCs/>
          <w:color w:val="auto"/>
          <w:szCs w:val="21"/>
        </w:rPr>
        <w:t>响应文件未按时解密的，</w:t>
      </w:r>
      <w:r>
        <w:rPr>
          <w:rFonts w:hint="eastAsia" w:ascii="宋体" w:hAnsi="宋体" w:cs="宋体"/>
          <w:b/>
          <w:color w:val="auto"/>
          <w:szCs w:val="21"/>
        </w:rPr>
        <w:t>视为响应</w:t>
      </w:r>
      <w:r>
        <w:rPr>
          <w:rFonts w:hint="eastAsia" w:ascii="宋体" w:hAnsi="宋体"/>
          <w:b/>
          <w:bCs/>
          <w:color w:val="auto"/>
          <w:szCs w:val="21"/>
        </w:rPr>
        <w:t>文件无效。</w:t>
      </w:r>
      <w:r>
        <w:rPr>
          <w:rFonts w:hint="eastAsia" w:ascii="宋体" w:hAnsi="宋体" w:cs="宋体"/>
          <w:color w:val="auto"/>
          <w:szCs w:val="21"/>
        </w:rPr>
        <w:t>（解密异常情况处理：详见本章25.2电子交易活动的中止。）</w:t>
      </w:r>
    </w:p>
    <w:p w14:paraId="1E71A294">
      <w:pPr>
        <w:spacing w:line="360" w:lineRule="auto"/>
        <w:ind w:firstLine="420" w:firstLineChars="200"/>
        <w:rPr>
          <w:rFonts w:ascii="宋体" w:hAnsi="宋体" w:cs="宋体"/>
          <w:color w:val="auto"/>
          <w:szCs w:val="21"/>
        </w:rPr>
      </w:pPr>
      <w:r>
        <w:rPr>
          <w:rFonts w:hint="eastAsia" w:ascii="宋体" w:hAnsi="宋体" w:cs="宋体"/>
          <w:color w:val="auto"/>
          <w:szCs w:val="21"/>
        </w:rPr>
        <w:t>24.3成功解密响应文件的供应商不足3家的，不得磋商。</w:t>
      </w:r>
    </w:p>
    <w:p w14:paraId="73DDF562">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5.评审程序、评审方法和评审标准</w:t>
      </w:r>
    </w:p>
    <w:p w14:paraId="66A37215">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1磋商小组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2481BC3A">
      <w:pPr>
        <w:spacing w:line="400" w:lineRule="exact"/>
        <w:ind w:firstLine="420" w:firstLineChars="200"/>
        <w:rPr>
          <w:rFonts w:ascii="宋体" w:hAnsi="宋体" w:cs="宋体"/>
          <w:color w:val="auto"/>
        </w:rPr>
      </w:pPr>
      <w:r>
        <w:rPr>
          <w:rFonts w:hint="eastAsia" w:ascii="宋体" w:hAnsi="宋体" w:cs="宋体"/>
          <w:color w:val="auto"/>
        </w:rPr>
        <w:t>25.2电子交易活动的中止。采购过程中出现以下情形，导致电子交易平台无法正常运行，或者无法保证电子交易的公平、公正和安全时，采购机构可中止电子交易活动：</w:t>
      </w:r>
    </w:p>
    <w:p w14:paraId="7403A5EF">
      <w:pPr>
        <w:spacing w:line="400" w:lineRule="exact"/>
        <w:ind w:firstLine="420" w:firstLineChars="200"/>
        <w:rPr>
          <w:rFonts w:ascii="宋体" w:hAnsi="宋体" w:cs="宋体"/>
          <w:color w:val="auto"/>
        </w:rPr>
      </w:pPr>
      <w:r>
        <w:rPr>
          <w:rFonts w:hint="eastAsia" w:ascii="宋体" w:hAnsi="宋体" w:cs="宋体"/>
          <w:color w:val="auto"/>
        </w:rPr>
        <w:t xml:space="preserve">（1）电子交易平台发生故障而无法登录访问的； </w:t>
      </w:r>
    </w:p>
    <w:p w14:paraId="321E7662">
      <w:pPr>
        <w:spacing w:line="400" w:lineRule="exact"/>
        <w:ind w:firstLine="420" w:firstLineChars="200"/>
        <w:rPr>
          <w:rFonts w:ascii="宋体" w:hAnsi="宋体" w:cs="宋体"/>
          <w:color w:val="auto"/>
        </w:rPr>
      </w:pPr>
      <w:r>
        <w:rPr>
          <w:rFonts w:hint="eastAsia" w:ascii="宋体" w:hAnsi="宋体" w:cs="宋体"/>
          <w:color w:val="auto"/>
        </w:rPr>
        <w:t>（2）电子交易平台应用或数据库出现错误，不能进行正常操作的；</w:t>
      </w:r>
    </w:p>
    <w:p w14:paraId="3B3631D1">
      <w:pPr>
        <w:spacing w:line="400" w:lineRule="exact"/>
        <w:ind w:firstLine="420" w:firstLineChars="200"/>
        <w:rPr>
          <w:rFonts w:ascii="宋体" w:hAnsi="宋体" w:cs="宋体"/>
          <w:color w:val="auto"/>
        </w:rPr>
      </w:pPr>
      <w:r>
        <w:rPr>
          <w:rFonts w:hint="eastAsia" w:ascii="宋体" w:hAnsi="宋体" w:cs="宋体"/>
          <w:color w:val="auto"/>
        </w:rPr>
        <w:t>（3）电子交易平台发现严重安全漏洞，有潜在泄密危险的；</w:t>
      </w:r>
    </w:p>
    <w:p w14:paraId="00EB67FF">
      <w:pPr>
        <w:spacing w:line="400" w:lineRule="exact"/>
        <w:ind w:firstLine="420" w:firstLineChars="200"/>
        <w:rPr>
          <w:rFonts w:ascii="宋体" w:hAnsi="宋体" w:cs="宋体"/>
          <w:color w:val="auto"/>
        </w:rPr>
      </w:pPr>
      <w:r>
        <w:rPr>
          <w:rFonts w:hint="eastAsia" w:ascii="宋体" w:hAnsi="宋体" w:cs="宋体"/>
          <w:color w:val="auto"/>
        </w:rPr>
        <w:t xml:space="preserve">（4）病毒发作导致不能进行正常操作的； </w:t>
      </w:r>
    </w:p>
    <w:p w14:paraId="36804A40">
      <w:pPr>
        <w:spacing w:line="400" w:lineRule="exact"/>
        <w:ind w:firstLine="420" w:firstLineChars="200"/>
        <w:rPr>
          <w:rFonts w:ascii="宋体" w:hAnsi="宋体" w:cs="宋体"/>
          <w:color w:val="auto"/>
        </w:rPr>
      </w:pPr>
      <w:r>
        <w:rPr>
          <w:rFonts w:hint="eastAsia" w:ascii="宋体" w:hAnsi="宋体" w:cs="宋体"/>
          <w:color w:val="auto"/>
        </w:rPr>
        <w:t>（4）其他无法保证电子交易的公平、公正和安全的情况。</w:t>
      </w:r>
    </w:p>
    <w:p w14:paraId="3426F123">
      <w:pPr>
        <w:spacing w:line="400" w:lineRule="exact"/>
        <w:ind w:firstLine="420" w:firstLineChars="200"/>
        <w:rPr>
          <w:rFonts w:ascii="宋体" w:hAnsi="宋体" w:cs="宋体"/>
          <w:color w:val="auto"/>
          <w:szCs w:val="21"/>
        </w:rPr>
      </w:pPr>
      <w:r>
        <w:rPr>
          <w:rFonts w:hint="eastAsia" w:ascii="宋体" w:hAnsi="宋体" w:cs="宋体"/>
          <w:color w:val="auto"/>
        </w:rPr>
        <w:t>25.3出现以上情形，不影响采购公平、公正性的，采购代理机构可以待上述情形消除后继续组织电子交易活动；影响或可能影响采购公平、公正性的，经采购代理机构确认后，应当重新采购。</w:t>
      </w:r>
    </w:p>
    <w:p w14:paraId="722FAACA">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6.确定成交供应商及结果公告</w:t>
      </w:r>
    </w:p>
    <w:p w14:paraId="104F6E9C">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6.1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08C4862">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6.2采购代理机构应当在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r>
        <w:rPr>
          <w:rFonts w:hint="eastAsia" w:ascii="宋体" w:hAnsi="宋体" w:cs="宋体"/>
          <w:b/>
          <w:color w:val="auto"/>
          <w:szCs w:val="21"/>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rPr>
        <w:t>排名第二的成交候选人因上述规定的同样原因被取消成交资格的，采购人可以确定排名第三的成交候选人为成交供应商，以此类推。以上信息查询记录及相关证据与磋商文件一并保存。</w:t>
      </w:r>
      <w:bookmarkStart w:id="52"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52"/>
    </w:p>
    <w:p w14:paraId="00CF3ACE">
      <w:pPr>
        <w:spacing w:line="360" w:lineRule="auto"/>
        <w:ind w:firstLine="420" w:firstLineChars="200"/>
        <w:rPr>
          <w:rFonts w:ascii="宋体" w:hAnsi="宋体" w:cs="Courier New"/>
          <w:color w:val="auto"/>
          <w:szCs w:val="21"/>
        </w:rPr>
      </w:pPr>
      <w:r>
        <w:rPr>
          <w:rFonts w:hint="eastAsia" w:ascii="宋体" w:hAnsi="宋体" w:cs="宋体"/>
          <w:color w:val="auto"/>
          <w:szCs w:val="21"/>
        </w:rPr>
        <w:t>26</w:t>
      </w:r>
      <w:r>
        <w:rPr>
          <w:rFonts w:ascii="宋体" w:hAnsi="宋体" w:cs="宋体"/>
          <w:color w:val="auto"/>
          <w:szCs w:val="21"/>
        </w:rPr>
        <w:t>.3</w:t>
      </w:r>
      <w:r>
        <w:rPr>
          <w:rFonts w:hint="eastAsia" w:ascii="宋体" w:hAnsi="宋体" w:cs="Courier New"/>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color w:val="auto"/>
          <w:szCs w:val="21"/>
        </w:rPr>
        <w:t>拒绝签订政府采购合同的成交供应商不得参加对该项目重新开展的采购活动。</w:t>
      </w:r>
    </w:p>
    <w:p w14:paraId="0D43A948">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7.签订合同</w:t>
      </w:r>
    </w:p>
    <w:p w14:paraId="485B8C22">
      <w:pPr>
        <w:spacing w:line="360" w:lineRule="auto"/>
        <w:ind w:firstLine="424" w:firstLineChars="202"/>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7</w:t>
      </w:r>
      <w:r>
        <w:rPr>
          <w:rFonts w:ascii="宋体" w:hAnsi="宋体" w:cs="宋体"/>
          <w:color w:val="auto"/>
          <w:szCs w:val="21"/>
        </w:rPr>
        <w:t>.1</w:t>
      </w:r>
      <w:r>
        <w:rPr>
          <w:rFonts w:hint="eastAsia" w:ascii="宋体" w:hAnsi="宋体" w:cs="宋体"/>
          <w:color w:val="auto"/>
          <w:szCs w:val="21"/>
        </w:rPr>
        <w:t>成交供应商在收到成交通知书</w:t>
      </w:r>
      <w:r>
        <w:rPr>
          <w:rFonts w:hint="eastAsia" w:ascii="宋体" w:hAnsi="宋体"/>
          <w:color w:val="auto"/>
          <w:szCs w:val="21"/>
        </w:rPr>
        <w:t>（书面或电子）</w:t>
      </w:r>
      <w:r>
        <w:rPr>
          <w:rFonts w:hint="eastAsia" w:ascii="宋体" w:hAnsi="宋体" w:cs="宋体"/>
          <w:color w:val="auto"/>
          <w:szCs w:val="21"/>
        </w:rPr>
        <w:t>后，应当在签订合同时向采购人出示相关证明材料，具体内容详见 “供应商须知前附表”，经采购人核验合格后方可签订合同</w:t>
      </w:r>
      <w:r>
        <w:rPr>
          <w:rFonts w:hint="eastAsia" w:ascii="宋体" w:hAnsi="宋体"/>
          <w:color w:val="auto"/>
          <w:szCs w:val="21"/>
        </w:rPr>
        <w:t>（书面或电子）</w:t>
      </w:r>
      <w:r>
        <w:rPr>
          <w:rFonts w:hint="eastAsia" w:ascii="宋体" w:hAnsi="宋体" w:cs="宋体"/>
          <w:color w:val="auto"/>
          <w:szCs w:val="21"/>
        </w:rPr>
        <w:t>。</w:t>
      </w:r>
    </w:p>
    <w:p w14:paraId="309FACFC">
      <w:pPr>
        <w:spacing w:line="360" w:lineRule="auto"/>
        <w:ind w:firstLine="424" w:firstLineChars="202"/>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7.2 签订合同时间：按成交通知书规定的时间与采购人签订政府采购合同</w:t>
      </w:r>
      <w:r>
        <w:rPr>
          <w:rFonts w:hint="eastAsia" w:ascii="宋体" w:hAnsi="宋体"/>
          <w:color w:val="auto"/>
          <w:szCs w:val="21"/>
        </w:rPr>
        <w:t>（最长不能超过25自然日）</w:t>
      </w:r>
      <w:r>
        <w:rPr>
          <w:rFonts w:hint="eastAsia" w:ascii="宋体" w:hAnsi="宋体" w:cs="宋体"/>
          <w:color w:val="auto"/>
          <w:szCs w:val="21"/>
        </w:rPr>
        <w:t>。</w:t>
      </w:r>
    </w:p>
    <w:p w14:paraId="3BC73DB7">
      <w:pPr>
        <w:spacing w:line="360" w:lineRule="auto"/>
        <w:ind w:firstLine="424" w:firstLineChars="202"/>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7.3</w:t>
      </w:r>
      <w:r>
        <w:rPr>
          <w:rFonts w:hint="eastAsia" w:ascii="宋体" w:hAnsi="宋体"/>
          <w:color w:val="auto"/>
          <w:szCs w:val="21"/>
        </w:rPr>
        <w:t>成交供应商拒绝与采购人签订合同的，按照本须知正文第</w:t>
      </w:r>
      <w:r>
        <w:rPr>
          <w:rFonts w:ascii="宋体" w:hAnsi="宋体"/>
          <w:color w:val="auto"/>
          <w:szCs w:val="21"/>
        </w:rPr>
        <w:t>2</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3</w:t>
      </w:r>
      <w:r>
        <w:rPr>
          <w:rFonts w:ascii="宋体" w:hAnsi="宋体"/>
          <w:color w:val="auto"/>
          <w:szCs w:val="21"/>
        </w:rPr>
        <w:t>条的规定</w:t>
      </w:r>
      <w:r>
        <w:rPr>
          <w:rFonts w:hint="eastAsia" w:ascii="宋体" w:hAnsi="宋体"/>
          <w:color w:val="auto"/>
          <w:szCs w:val="21"/>
        </w:rPr>
        <w:t>执行</w:t>
      </w:r>
      <w:r>
        <w:rPr>
          <w:rFonts w:hint="eastAsia" w:ascii="宋体" w:hAnsi="宋体" w:cs="宋体"/>
          <w:color w:val="auto"/>
          <w:szCs w:val="21"/>
        </w:rPr>
        <w:t>。</w:t>
      </w:r>
    </w:p>
    <w:p w14:paraId="32DC42B2">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28.政府采购合同公告</w:t>
      </w:r>
    </w:p>
    <w:p w14:paraId="3B691FC3">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699465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29. 询问、质疑和投诉</w:t>
      </w:r>
    </w:p>
    <w:p w14:paraId="32FEC558">
      <w:pPr>
        <w:pStyle w:val="6"/>
        <w:spacing w:line="360" w:lineRule="auto"/>
        <w:rPr>
          <w:rFonts w:ascii="宋体" w:hAnsi="宋体"/>
          <w:color w:val="auto"/>
          <w:szCs w:val="21"/>
        </w:rPr>
      </w:pPr>
      <w:r>
        <w:rPr>
          <w:rFonts w:hint="eastAsia" w:ascii="宋体" w:hAnsi="宋体" w:cs="宋体"/>
          <w:color w:val="auto"/>
        </w:rPr>
        <w:t>29.1供应商对政府采购活动事项有疑问的，可以向采购人、采购代理机构提出询问，采购人或者采购代理机构应当在3个工作日内对供应商依法提出的询问作出答复，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14:paraId="192EAA66">
      <w:pPr>
        <w:spacing w:line="360" w:lineRule="auto"/>
        <w:ind w:firstLine="420" w:firstLineChars="200"/>
        <w:rPr>
          <w:rFonts w:ascii="宋体" w:hAnsi="宋体" w:cs="宋体"/>
          <w:color w:val="auto"/>
        </w:rPr>
      </w:pPr>
      <w:r>
        <w:rPr>
          <w:rFonts w:hint="eastAsia" w:ascii="宋体" w:hAnsi="宋体" w:cs="宋体"/>
          <w:color w:val="auto"/>
        </w:rPr>
        <w:t>29.2供应商认为磋商文件、采购过程或者成交结果使自己的合法权益受到损害的，应当在知道或者应知其权益受到损害之日起7个工作日内，以纸质书面形式向采购人、采购代理机构提出质疑，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58E5C224">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52AC27EC">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14:paraId="17E1ABD8">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14:paraId="3B13F99C">
      <w:pPr>
        <w:spacing w:line="360" w:lineRule="auto"/>
        <w:ind w:firstLine="420" w:firstLineChars="200"/>
        <w:rPr>
          <w:rFonts w:ascii="宋体" w:hAnsi="宋体" w:cs="宋体"/>
          <w:color w:val="auto"/>
        </w:rPr>
      </w:pPr>
      <w:r>
        <w:rPr>
          <w:rFonts w:hint="eastAsia" w:ascii="宋体" w:hAnsi="宋体" w:cs="宋体"/>
          <w:color w:val="auto"/>
        </w:rPr>
        <w:t>29.3供应商提出的询问或者质疑超出采购人对采购代理机构委托授权范围的，采购代理机构应当告知供应商向采购人提出。政府采购评审专家应当配合采购人或者采购代理机构答复供应商的询问和质疑。</w:t>
      </w:r>
    </w:p>
    <w:p w14:paraId="5C618EEF">
      <w:pPr>
        <w:spacing w:line="360" w:lineRule="auto"/>
        <w:ind w:firstLine="420" w:firstLineChars="200"/>
        <w:rPr>
          <w:rFonts w:ascii="宋体" w:hAnsi="宋体" w:cs="宋体"/>
          <w:color w:val="auto"/>
        </w:rPr>
      </w:pPr>
      <w:r>
        <w:rPr>
          <w:rFonts w:hint="eastAsia" w:ascii="宋体" w:hAnsi="宋体" w:cs="宋体"/>
          <w:color w:val="auto"/>
        </w:rPr>
        <w:t>29.4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2E661EE6">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14:paraId="0A17AD5E">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14:paraId="79182813">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14:paraId="059418F3">
      <w:pPr>
        <w:spacing w:line="360" w:lineRule="auto"/>
        <w:ind w:firstLine="420" w:firstLineChars="200"/>
        <w:rPr>
          <w:rFonts w:ascii="宋体" w:hAnsi="宋体" w:cs="宋体"/>
          <w:color w:val="auto"/>
        </w:rPr>
      </w:pPr>
      <w:r>
        <w:rPr>
          <w:rFonts w:hint="eastAsia" w:ascii="宋体" w:hAnsi="宋体" w:cs="宋体"/>
          <w:color w:val="auto"/>
        </w:rPr>
        <w:t>（4）事实依据；</w:t>
      </w:r>
    </w:p>
    <w:p w14:paraId="56D7A564">
      <w:pPr>
        <w:spacing w:line="360" w:lineRule="auto"/>
        <w:ind w:firstLine="420" w:firstLineChars="200"/>
        <w:rPr>
          <w:rFonts w:ascii="宋体" w:hAnsi="宋体" w:cs="宋体"/>
          <w:color w:val="auto"/>
        </w:rPr>
      </w:pPr>
      <w:r>
        <w:rPr>
          <w:rFonts w:hint="eastAsia" w:ascii="宋体" w:hAnsi="宋体" w:cs="宋体"/>
          <w:color w:val="auto"/>
        </w:rPr>
        <w:t>（5）必要的法律依据；</w:t>
      </w:r>
    </w:p>
    <w:p w14:paraId="01E5DD5C">
      <w:pPr>
        <w:spacing w:line="360" w:lineRule="auto"/>
        <w:ind w:firstLine="420" w:firstLineChars="200"/>
        <w:rPr>
          <w:rFonts w:ascii="宋体" w:hAnsi="宋体" w:cs="宋体"/>
          <w:color w:val="auto"/>
        </w:rPr>
      </w:pPr>
      <w:r>
        <w:rPr>
          <w:rFonts w:hint="eastAsia" w:ascii="宋体" w:hAnsi="宋体" w:cs="宋体"/>
          <w:color w:val="auto"/>
        </w:rPr>
        <w:t>（6）提出质疑的日期。</w:t>
      </w:r>
    </w:p>
    <w:p w14:paraId="0733D0F2">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58D002BC">
      <w:pPr>
        <w:spacing w:line="360" w:lineRule="auto"/>
        <w:ind w:firstLine="420" w:firstLineChars="200"/>
        <w:rPr>
          <w:rFonts w:ascii="宋体" w:hAnsi="宋体" w:cs="宋体"/>
          <w:color w:val="auto"/>
        </w:rPr>
      </w:pPr>
      <w:r>
        <w:rPr>
          <w:rFonts w:hint="eastAsia" w:ascii="宋体" w:hAnsi="宋体" w:cs="宋体"/>
          <w:color w:val="auto"/>
        </w:rPr>
        <w:t>29</w:t>
      </w:r>
      <w:r>
        <w:rPr>
          <w:rFonts w:ascii="宋体" w:hAnsi="宋体" w:cs="宋体"/>
          <w:color w:val="auto"/>
        </w:rPr>
        <w:t>.5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7CA92A04">
      <w:pPr>
        <w:spacing w:line="360" w:lineRule="auto"/>
        <w:ind w:firstLine="420" w:firstLineChars="200"/>
        <w:rPr>
          <w:rFonts w:ascii="宋体" w:hAnsi="宋体" w:cs="宋体"/>
          <w:color w:val="auto"/>
        </w:rPr>
      </w:pPr>
      <w:r>
        <w:rPr>
          <w:rFonts w:hint="eastAsia" w:ascii="宋体" w:hAnsi="宋体" w:cs="宋体"/>
          <w:color w:val="auto"/>
        </w:rPr>
        <w:t>（1）对采购文件提出的质疑，依法通过澄清或者修改可以继续开展采购活动的，澄清或者修改采购文件后继续开展采购活动；否则应当修改采购文件后重新开展采购活动。</w:t>
      </w:r>
    </w:p>
    <w:p w14:paraId="30943F87">
      <w:pPr>
        <w:spacing w:line="360" w:lineRule="auto"/>
        <w:ind w:firstLine="420" w:firstLineChars="200"/>
        <w:rPr>
          <w:rFonts w:ascii="宋体" w:hAnsi="宋体" w:cs="宋体"/>
          <w:color w:val="auto"/>
        </w:rPr>
      </w:pPr>
      <w:r>
        <w:rPr>
          <w:rFonts w:hint="eastAsia" w:ascii="宋体" w:hAnsi="宋体" w:cs="宋体"/>
          <w:color w:val="auto"/>
        </w:rPr>
        <w:t>（2）对采购过程或者成交结果提出的质疑，合格供应商符合法定数量时，可以从合格的成交候选人中另行确定成交供应商的，应当依法另行确定成交供应商；否则应当重新开展采购活动。</w:t>
      </w:r>
    </w:p>
    <w:p w14:paraId="1F89BCC3">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2DD15B47">
      <w:pPr>
        <w:spacing w:line="360" w:lineRule="auto"/>
        <w:ind w:firstLine="420" w:firstLineChars="200"/>
        <w:rPr>
          <w:rFonts w:ascii="宋体" w:hAnsi="宋体" w:cs="宋体"/>
          <w:color w:val="auto"/>
          <w:szCs w:val="21"/>
        </w:rPr>
      </w:pPr>
      <w:r>
        <w:rPr>
          <w:rFonts w:hint="eastAsia" w:ascii="宋体" w:hAnsi="宋体" w:cs="宋体"/>
          <w:color w:val="auto"/>
        </w:rPr>
        <w:t>29.</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4469771">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0.其他内容</w:t>
      </w:r>
    </w:p>
    <w:p w14:paraId="70628D84">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0.1代理服务费：代理服务收取标准及缴费账户详见“供应商须知前附表”。</w:t>
      </w:r>
    </w:p>
    <w:p w14:paraId="5882F63C">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0</w:t>
      </w:r>
      <w:r>
        <w:rPr>
          <w:rFonts w:ascii="宋体" w:hAnsi="宋体" w:cs="宋体"/>
          <w:color w:val="auto"/>
          <w:szCs w:val="21"/>
        </w:rPr>
        <w:t>.2</w:t>
      </w:r>
      <w:r>
        <w:rPr>
          <w:rFonts w:hint="eastAsia" w:ascii="宋体" w:hAnsi="宋体" w:cs="宋体"/>
          <w:color w:val="auto"/>
          <w:szCs w:val="21"/>
        </w:rPr>
        <w:t>代理服务费收费计算标准：</w:t>
      </w:r>
    </w:p>
    <w:tbl>
      <w:tblPr>
        <w:tblStyle w:val="19"/>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479A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41E43ACE">
            <w:pPr>
              <w:spacing w:line="360" w:lineRule="auto"/>
              <w:rPr>
                <w:rFonts w:ascii="宋体" w:hAnsi="宋体" w:cs="宋体"/>
                <w:color w:val="auto"/>
                <w:szCs w:val="21"/>
              </w:rPr>
            </w:pPr>
            <w:r>
              <w:rPr>
                <w:rFonts w:hint="eastAsia" w:ascii="宋体" w:hAnsi="宋体" w:cs="宋体"/>
                <w:color w:val="auto"/>
                <w:szCs w:val="21"/>
              </w:rPr>
              <w:t xml:space="preserve">               费率</w:t>
            </w:r>
          </w:p>
          <w:p w14:paraId="794AEAB6">
            <w:pPr>
              <w:spacing w:line="360" w:lineRule="auto"/>
              <w:rPr>
                <w:rFonts w:ascii="宋体" w:hAnsi="宋体" w:cs="宋体"/>
                <w:color w:val="auto"/>
                <w:szCs w:val="21"/>
              </w:rPr>
            </w:pPr>
            <w:r>
              <w:rPr>
                <w:rFonts w:hint="eastAsia" w:ascii="宋体" w:hAnsi="宋体" w:cs="宋体"/>
                <w:color w:val="auto"/>
                <w:szCs w:val="21"/>
              </w:rPr>
              <w:t>金额</w:t>
            </w:r>
          </w:p>
        </w:tc>
        <w:tc>
          <w:tcPr>
            <w:tcW w:w="1659" w:type="dxa"/>
            <w:vAlign w:val="center"/>
          </w:tcPr>
          <w:p w14:paraId="0C47D73F">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2" w:type="dxa"/>
            <w:vAlign w:val="center"/>
          </w:tcPr>
          <w:p w14:paraId="181D2721">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6" w:type="dxa"/>
            <w:vAlign w:val="center"/>
          </w:tcPr>
          <w:p w14:paraId="7D363667">
            <w:pPr>
              <w:spacing w:line="360" w:lineRule="auto"/>
              <w:jc w:val="center"/>
              <w:rPr>
                <w:rFonts w:ascii="宋体" w:hAnsi="宋体" w:cs="宋体"/>
                <w:color w:val="auto"/>
                <w:szCs w:val="21"/>
              </w:rPr>
            </w:pPr>
            <w:r>
              <w:rPr>
                <w:rFonts w:hint="eastAsia" w:ascii="宋体" w:hAnsi="宋体" w:cs="宋体"/>
                <w:color w:val="auto"/>
                <w:szCs w:val="21"/>
              </w:rPr>
              <w:t>工程类</w:t>
            </w:r>
          </w:p>
        </w:tc>
      </w:tr>
      <w:tr w14:paraId="59E5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E685C2F">
            <w:pPr>
              <w:spacing w:line="360" w:lineRule="auto"/>
              <w:rPr>
                <w:rFonts w:ascii="宋体" w:hAnsi="宋体" w:cs="宋体"/>
                <w:color w:val="auto"/>
                <w:szCs w:val="21"/>
              </w:rPr>
            </w:pPr>
            <w:r>
              <w:rPr>
                <w:rFonts w:hint="eastAsia" w:ascii="宋体" w:hAnsi="宋体" w:cs="宋体"/>
                <w:color w:val="auto"/>
                <w:szCs w:val="21"/>
              </w:rPr>
              <w:t>100万元以下</w:t>
            </w:r>
          </w:p>
        </w:tc>
        <w:tc>
          <w:tcPr>
            <w:tcW w:w="1659" w:type="dxa"/>
          </w:tcPr>
          <w:p w14:paraId="4182F9CC">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2" w:type="dxa"/>
          </w:tcPr>
          <w:p w14:paraId="5F6C2C98">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6" w:type="dxa"/>
          </w:tcPr>
          <w:p w14:paraId="12F36BFB">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14:paraId="7DF4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91DD081">
            <w:pPr>
              <w:spacing w:line="360" w:lineRule="auto"/>
              <w:rPr>
                <w:rFonts w:ascii="宋体" w:hAnsi="宋体" w:cs="宋体"/>
                <w:color w:val="auto"/>
                <w:szCs w:val="21"/>
              </w:rPr>
            </w:pPr>
            <w:r>
              <w:rPr>
                <w:rFonts w:hint="eastAsia" w:ascii="宋体" w:hAnsi="宋体" w:cs="宋体"/>
                <w:color w:val="auto"/>
                <w:szCs w:val="21"/>
              </w:rPr>
              <w:t>100～500万元</w:t>
            </w:r>
          </w:p>
        </w:tc>
        <w:tc>
          <w:tcPr>
            <w:tcW w:w="1659" w:type="dxa"/>
          </w:tcPr>
          <w:p w14:paraId="259DD428">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2" w:type="dxa"/>
          </w:tcPr>
          <w:p w14:paraId="17BC10BC">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6" w:type="dxa"/>
          </w:tcPr>
          <w:p w14:paraId="1110A1AE">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14:paraId="1282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C6E805F">
            <w:pPr>
              <w:spacing w:line="360" w:lineRule="auto"/>
              <w:rPr>
                <w:rFonts w:ascii="宋体" w:hAnsi="宋体" w:cs="宋体"/>
                <w:color w:val="auto"/>
                <w:szCs w:val="21"/>
              </w:rPr>
            </w:pPr>
            <w:r>
              <w:rPr>
                <w:rFonts w:hint="eastAsia" w:ascii="宋体" w:hAnsi="宋体" w:cs="宋体"/>
                <w:color w:val="auto"/>
                <w:szCs w:val="21"/>
              </w:rPr>
              <w:t>500～1000万元</w:t>
            </w:r>
          </w:p>
        </w:tc>
        <w:tc>
          <w:tcPr>
            <w:tcW w:w="1659" w:type="dxa"/>
          </w:tcPr>
          <w:p w14:paraId="74788D5B">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2" w:type="dxa"/>
          </w:tcPr>
          <w:p w14:paraId="7CF631DA">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6" w:type="dxa"/>
          </w:tcPr>
          <w:p w14:paraId="352295A7">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14:paraId="53EE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D32A5F2">
            <w:pPr>
              <w:spacing w:line="360" w:lineRule="auto"/>
              <w:rPr>
                <w:rFonts w:ascii="宋体" w:hAnsi="宋体" w:cs="宋体"/>
                <w:color w:val="auto"/>
                <w:szCs w:val="21"/>
              </w:rPr>
            </w:pPr>
            <w:r>
              <w:rPr>
                <w:rFonts w:hint="eastAsia" w:ascii="宋体" w:hAnsi="宋体" w:cs="宋体"/>
                <w:color w:val="auto"/>
                <w:szCs w:val="21"/>
              </w:rPr>
              <w:t>1000～5000万元</w:t>
            </w:r>
          </w:p>
        </w:tc>
        <w:tc>
          <w:tcPr>
            <w:tcW w:w="1659" w:type="dxa"/>
          </w:tcPr>
          <w:p w14:paraId="0371365C">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2" w:type="dxa"/>
          </w:tcPr>
          <w:p w14:paraId="24441E60">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6" w:type="dxa"/>
          </w:tcPr>
          <w:p w14:paraId="6C05C73F">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14:paraId="2079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7000EA5">
            <w:pPr>
              <w:spacing w:line="360" w:lineRule="auto"/>
              <w:rPr>
                <w:rFonts w:ascii="宋体" w:hAnsi="宋体" w:cs="宋体"/>
                <w:color w:val="auto"/>
                <w:szCs w:val="21"/>
              </w:rPr>
            </w:pPr>
            <w:r>
              <w:rPr>
                <w:rFonts w:hint="eastAsia" w:ascii="宋体" w:hAnsi="宋体" w:cs="宋体"/>
                <w:color w:val="auto"/>
                <w:szCs w:val="21"/>
              </w:rPr>
              <w:t>5000万元～1亿元</w:t>
            </w:r>
          </w:p>
        </w:tc>
        <w:tc>
          <w:tcPr>
            <w:tcW w:w="1659" w:type="dxa"/>
          </w:tcPr>
          <w:p w14:paraId="6A8F9C2D">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2" w:type="dxa"/>
          </w:tcPr>
          <w:p w14:paraId="4EA64F2D">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6" w:type="dxa"/>
          </w:tcPr>
          <w:p w14:paraId="48771203">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14:paraId="5DFF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29184D1">
            <w:pPr>
              <w:spacing w:line="360" w:lineRule="auto"/>
              <w:rPr>
                <w:rFonts w:ascii="宋体" w:hAnsi="宋体" w:cs="宋体"/>
                <w:color w:val="auto"/>
                <w:szCs w:val="21"/>
              </w:rPr>
            </w:pPr>
            <w:r>
              <w:rPr>
                <w:rFonts w:hint="eastAsia" w:ascii="宋体" w:hAnsi="宋体" w:cs="宋体"/>
                <w:color w:val="auto"/>
                <w:szCs w:val="21"/>
              </w:rPr>
              <w:t>1～5亿元</w:t>
            </w:r>
          </w:p>
        </w:tc>
        <w:tc>
          <w:tcPr>
            <w:tcW w:w="1659" w:type="dxa"/>
          </w:tcPr>
          <w:p w14:paraId="0AB4C6E4">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2" w:type="dxa"/>
          </w:tcPr>
          <w:p w14:paraId="4E2F303B">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6" w:type="dxa"/>
          </w:tcPr>
          <w:p w14:paraId="3DAAC638">
            <w:pPr>
              <w:spacing w:line="360" w:lineRule="auto"/>
              <w:rPr>
                <w:rFonts w:ascii="宋体" w:hAnsi="宋体" w:cs="宋体"/>
                <w:color w:val="auto"/>
                <w:szCs w:val="21"/>
              </w:rPr>
            </w:pPr>
            <w:r>
              <w:rPr>
                <w:rFonts w:hint="eastAsia" w:ascii="宋体" w:hAnsi="宋体" w:cs="宋体"/>
                <w:color w:val="auto"/>
                <w:szCs w:val="21"/>
              </w:rPr>
              <w:t xml:space="preserve">  0.05%</w:t>
            </w:r>
          </w:p>
        </w:tc>
      </w:tr>
      <w:tr w14:paraId="01B0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74D9D4A">
            <w:pPr>
              <w:spacing w:line="360" w:lineRule="auto"/>
              <w:rPr>
                <w:rFonts w:ascii="宋体" w:hAnsi="宋体" w:cs="宋体"/>
                <w:color w:val="auto"/>
                <w:szCs w:val="21"/>
              </w:rPr>
            </w:pPr>
            <w:r>
              <w:rPr>
                <w:rFonts w:hint="eastAsia" w:ascii="宋体" w:hAnsi="宋体" w:cs="宋体"/>
                <w:color w:val="auto"/>
                <w:szCs w:val="21"/>
              </w:rPr>
              <w:t>5～10亿元</w:t>
            </w:r>
          </w:p>
        </w:tc>
        <w:tc>
          <w:tcPr>
            <w:tcW w:w="1659" w:type="dxa"/>
          </w:tcPr>
          <w:p w14:paraId="2EDB27B0">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2" w:type="dxa"/>
          </w:tcPr>
          <w:p w14:paraId="6CA7AB18">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6" w:type="dxa"/>
          </w:tcPr>
          <w:p w14:paraId="66C2339C">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14:paraId="25CA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C639C38">
            <w:pPr>
              <w:spacing w:line="360" w:lineRule="auto"/>
              <w:rPr>
                <w:rFonts w:ascii="宋体" w:hAnsi="宋体" w:cs="宋体"/>
                <w:color w:val="auto"/>
                <w:szCs w:val="21"/>
              </w:rPr>
            </w:pPr>
            <w:r>
              <w:rPr>
                <w:rFonts w:hint="eastAsia" w:ascii="宋体" w:hAnsi="宋体" w:cs="宋体"/>
                <w:color w:val="auto"/>
                <w:szCs w:val="21"/>
              </w:rPr>
              <w:t>10～50亿元</w:t>
            </w:r>
          </w:p>
        </w:tc>
        <w:tc>
          <w:tcPr>
            <w:tcW w:w="1659" w:type="dxa"/>
          </w:tcPr>
          <w:p w14:paraId="1E6D5659">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2" w:type="dxa"/>
          </w:tcPr>
          <w:p w14:paraId="675A4E2F">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6" w:type="dxa"/>
          </w:tcPr>
          <w:p w14:paraId="5196A7FA">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14:paraId="252D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595925D">
            <w:pPr>
              <w:spacing w:line="360" w:lineRule="auto"/>
              <w:rPr>
                <w:rFonts w:ascii="宋体" w:hAnsi="宋体" w:cs="宋体"/>
                <w:color w:val="auto"/>
                <w:szCs w:val="21"/>
              </w:rPr>
            </w:pPr>
            <w:r>
              <w:rPr>
                <w:rFonts w:hint="eastAsia" w:ascii="宋体" w:hAnsi="宋体" w:cs="宋体"/>
                <w:color w:val="auto"/>
                <w:szCs w:val="21"/>
              </w:rPr>
              <w:t>50～100亿元</w:t>
            </w:r>
          </w:p>
        </w:tc>
        <w:tc>
          <w:tcPr>
            <w:tcW w:w="1659" w:type="dxa"/>
          </w:tcPr>
          <w:p w14:paraId="34589CB5">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2" w:type="dxa"/>
          </w:tcPr>
          <w:p w14:paraId="0800C8ED">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6" w:type="dxa"/>
          </w:tcPr>
          <w:p w14:paraId="05D18F23">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14:paraId="0F9D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00BD10">
            <w:pPr>
              <w:spacing w:line="360" w:lineRule="auto"/>
              <w:rPr>
                <w:rFonts w:ascii="宋体" w:hAnsi="宋体" w:cs="宋体"/>
                <w:color w:val="auto"/>
                <w:szCs w:val="21"/>
              </w:rPr>
            </w:pPr>
            <w:r>
              <w:rPr>
                <w:rFonts w:hint="eastAsia" w:ascii="宋体" w:hAnsi="宋体" w:cs="宋体"/>
                <w:color w:val="auto"/>
                <w:szCs w:val="21"/>
              </w:rPr>
              <w:t>100亿以上</w:t>
            </w:r>
          </w:p>
        </w:tc>
        <w:tc>
          <w:tcPr>
            <w:tcW w:w="1659" w:type="dxa"/>
          </w:tcPr>
          <w:p w14:paraId="3E5D7507">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2" w:type="dxa"/>
          </w:tcPr>
          <w:p w14:paraId="4D2DE71D">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6" w:type="dxa"/>
          </w:tcPr>
          <w:p w14:paraId="7C0E74A6">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14:paraId="169D1057">
      <w:pPr>
        <w:spacing w:line="360" w:lineRule="auto"/>
        <w:ind w:firstLine="420" w:firstLineChars="200"/>
        <w:rPr>
          <w:rFonts w:ascii="宋体" w:hAnsi="宋体" w:cs="宋体"/>
          <w:color w:val="auto"/>
        </w:rPr>
      </w:pPr>
      <w:r>
        <w:rPr>
          <w:rFonts w:ascii="宋体" w:hAnsi="宋体" w:cs="宋体"/>
          <w:color w:val="auto"/>
        </w:rPr>
        <w:t>注：</w:t>
      </w:r>
    </w:p>
    <w:p w14:paraId="5CEE3211">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14:paraId="6A5221EC">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14:paraId="47BA718F">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服务采购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w:t>
      </w:r>
      <w:r>
        <w:rPr>
          <w:rFonts w:hint="eastAsia" w:ascii="宋体" w:hAnsi="宋体" w:cs="宋体"/>
          <w:color w:val="auto"/>
        </w:rPr>
        <w:t>或者暂定价</w:t>
      </w:r>
      <w:r>
        <w:rPr>
          <w:rFonts w:ascii="宋体" w:hAnsi="宋体" w:cs="宋体"/>
          <w:color w:val="auto"/>
        </w:rPr>
        <w:t>为150万元，计算</w:t>
      </w:r>
      <w:r>
        <w:rPr>
          <w:rFonts w:hint="eastAsia" w:ascii="宋体" w:hAnsi="宋体" w:cs="宋体"/>
          <w:color w:val="auto"/>
        </w:rPr>
        <w:t>采购</w:t>
      </w:r>
      <w:r>
        <w:rPr>
          <w:rFonts w:ascii="宋体" w:hAnsi="宋体" w:cs="宋体"/>
          <w:color w:val="auto"/>
        </w:rPr>
        <w:t>代理收费额如下：</w:t>
      </w:r>
    </w:p>
    <w:p w14:paraId="2ABBB27F">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ascii="宋体" w:hAnsi="宋体" w:cs="宋体"/>
          <w:color w:val="auto"/>
        </w:rPr>
        <w:t>100 万元 ×l.5 %＝ 1.5 万元</w:t>
      </w:r>
    </w:p>
    <w:p w14:paraId="32478B49">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ascii="宋体" w:hAnsi="宋体" w:cs="宋体"/>
          <w:color w:val="auto"/>
        </w:rPr>
        <w:t>（ 150 － 100 ）万元 ×0.8%＝ 0.4万元</w:t>
      </w:r>
    </w:p>
    <w:p w14:paraId="0040ED5B">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ascii="宋体" w:hAnsi="宋体" w:cs="宋体"/>
          <w:color w:val="auto"/>
        </w:rPr>
        <w:t>合计收费＝ 1.5 ＋ 0.4＝ 1.9 万元</w:t>
      </w:r>
    </w:p>
    <w:p w14:paraId="4F63ED13">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0</w:t>
      </w:r>
      <w:r>
        <w:rPr>
          <w:rFonts w:ascii="宋体" w:hAnsi="宋体" w:cs="宋体"/>
          <w:color w:val="auto"/>
          <w:kern w:val="0"/>
          <w:szCs w:val="21"/>
        </w:rPr>
        <w:t xml:space="preserve">.3 </w:t>
      </w:r>
      <w:r>
        <w:rPr>
          <w:rFonts w:hint="eastAsia" w:ascii="宋体" w:hAnsi="宋体" w:cs="宋体"/>
          <w:color w:val="auto"/>
          <w:kern w:val="0"/>
          <w:szCs w:val="21"/>
        </w:rPr>
        <w:t>代理服务费交纳</w:t>
      </w:r>
      <w:r>
        <w:rPr>
          <w:rFonts w:ascii="宋体" w:hAnsi="宋体" w:cs="宋体"/>
          <w:color w:val="auto"/>
          <w:kern w:val="0"/>
          <w:szCs w:val="21"/>
        </w:rPr>
        <w:t>银行帐号信息</w:t>
      </w:r>
    </w:p>
    <w:p w14:paraId="36A4A33A">
      <w:pPr>
        <w:pStyle w:val="12"/>
        <w:keepNext w:val="0"/>
        <w:keepLines w:val="0"/>
        <w:pageBreakBefore w:val="0"/>
        <w:widowControl w:val="0"/>
        <w:kinsoku/>
        <w:wordWrap/>
        <w:overflowPunct/>
        <w:topLinePunct w:val="0"/>
        <w:autoSpaceDE/>
        <w:autoSpaceDN/>
        <w:bidi w:val="0"/>
        <w:adjustRightInd/>
        <w:snapToGrid w:val="0"/>
        <w:spacing w:line="500" w:lineRule="exact"/>
        <w:ind w:firstLine="800" w:firstLineChars="400"/>
        <w:rPr>
          <w:rFonts w:hAnsi="宋体"/>
          <w:color w:val="auto"/>
        </w:rPr>
      </w:pPr>
      <w:r>
        <w:rPr>
          <w:rFonts w:hint="eastAsia" w:hAnsi="宋体"/>
          <w:color w:val="auto"/>
        </w:rPr>
        <w:t>开户名称：广西科文招标有限公司南宁六分公司</w:t>
      </w:r>
    </w:p>
    <w:p w14:paraId="734E9824">
      <w:pPr>
        <w:pStyle w:val="12"/>
        <w:keepNext w:val="0"/>
        <w:keepLines w:val="0"/>
        <w:pageBreakBefore w:val="0"/>
        <w:widowControl w:val="0"/>
        <w:kinsoku/>
        <w:wordWrap/>
        <w:overflowPunct/>
        <w:topLinePunct w:val="0"/>
        <w:autoSpaceDE/>
        <w:autoSpaceDN/>
        <w:bidi w:val="0"/>
        <w:adjustRightInd/>
        <w:snapToGrid w:val="0"/>
        <w:spacing w:line="500" w:lineRule="exact"/>
        <w:ind w:firstLine="800" w:firstLineChars="400"/>
        <w:rPr>
          <w:rFonts w:hAnsi="宋体"/>
          <w:color w:val="auto"/>
        </w:rPr>
      </w:pPr>
      <w:r>
        <w:rPr>
          <w:rFonts w:hint="eastAsia" w:hAnsi="宋体"/>
          <w:color w:val="auto"/>
        </w:rPr>
        <w:t>开户银行：广西北部湾银行股份有限公司南宁市云景支行</w:t>
      </w:r>
    </w:p>
    <w:p w14:paraId="65BC4B04">
      <w:pPr>
        <w:keepNext w:val="0"/>
        <w:keepLines w:val="0"/>
        <w:pageBreakBefore w:val="0"/>
        <w:widowControl w:val="0"/>
        <w:kinsoku/>
        <w:wordWrap/>
        <w:overflowPunct/>
        <w:topLinePunct w:val="0"/>
        <w:autoSpaceDE/>
        <w:autoSpaceDN/>
        <w:bidi w:val="0"/>
        <w:adjustRightInd/>
        <w:spacing w:line="500" w:lineRule="exact"/>
        <w:ind w:firstLine="840" w:firstLineChars="400"/>
        <w:rPr>
          <w:rFonts w:hAnsi="宋体"/>
          <w:color w:val="auto"/>
        </w:rPr>
      </w:pPr>
      <w:r>
        <w:rPr>
          <w:rFonts w:hint="eastAsia" w:hAnsi="宋体"/>
          <w:color w:val="auto"/>
        </w:rPr>
        <w:t>银行</w:t>
      </w:r>
      <w:r>
        <w:rPr>
          <w:rFonts w:hint="eastAsia" w:hAnsi="宋体"/>
          <w:color w:val="auto"/>
          <w:lang w:eastAsia="zh-Hans"/>
        </w:rPr>
        <w:t>账</w:t>
      </w:r>
      <w:r>
        <w:rPr>
          <w:rFonts w:hint="eastAsia" w:hAnsi="宋体"/>
          <w:color w:val="auto"/>
        </w:rPr>
        <w:t>号：8050 3274 93 00001</w:t>
      </w:r>
    </w:p>
    <w:p w14:paraId="7A48F9DB">
      <w:pPr>
        <w:keepNext w:val="0"/>
        <w:keepLines w:val="0"/>
        <w:pageBreakBefore w:val="0"/>
        <w:widowControl w:val="0"/>
        <w:kinsoku/>
        <w:wordWrap/>
        <w:overflowPunct/>
        <w:topLinePunct w:val="0"/>
        <w:autoSpaceDE/>
        <w:autoSpaceDN/>
        <w:bidi w:val="0"/>
        <w:adjustRightInd/>
        <w:spacing w:line="500" w:lineRule="exact"/>
        <w:ind w:firstLine="482" w:firstLineChars="200"/>
        <w:rPr>
          <w:rFonts w:ascii="黑体" w:hAnsi="黑体" w:eastAsia="黑体" w:cs="宋体"/>
          <w:b/>
          <w:bCs/>
          <w:color w:val="auto"/>
          <w:sz w:val="24"/>
        </w:rPr>
      </w:pPr>
      <w:r>
        <w:rPr>
          <w:rFonts w:hint="eastAsia" w:ascii="黑体" w:hAnsi="黑体" w:eastAsia="黑体" w:cs="宋体"/>
          <w:b/>
          <w:bCs/>
          <w:color w:val="auto"/>
          <w:sz w:val="24"/>
        </w:rPr>
        <w:t>31</w:t>
      </w:r>
      <w:r>
        <w:rPr>
          <w:rFonts w:ascii="黑体" w:hAnsi="黑体" w:eastAsia="黑体" w:cs="宋体"/>
          <w:b/>
          <w:bCs/>
          <w:color w:val="auto"/>
          <w:sz w:val="24"/>
        </w:rPr>
        <w:t>.需要补充的其他内容</w:t>
      </w:r>
    </w:p>
    <w:p w14:paraId="51D21D6C">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cs="宋体"/>
          <w:color w:val="auto"/>
          <w:kern w:val="2"/>
          <w:sz w:val="21"/>
        </w:rPr>
      </w:pPr>
      <w:r>
        <w:rPr>
          <w:rFonts w:hint="eastAsia" w:hAnsi="宋体" w:cs="宋体"/>
          <w:color w:val="auto"/>
          <w:kern w:val="2"/>
          <w:sz w:val="21"/>
        </w:rPr>
        <w:t>31</w:t>
      </w:r>
      <w:r>
        <w:rPr>
          <w:rFonts w:hAnsi="宋体" w:cs="宋体"/>
          <w:color w:val="auto"/>
          <w:kern w:val="2"/>
          <w:sz w:val="21"/>
        </w:rPr>
        <w:t>.1</w:t>
      </w:r>
      <w:r>
        <w:rPr>
          <w:rFonts w:hint="eastAsia" w:hAnsi="宋体" w:cs="宋体"/>
          <w:color w:val="auto"/>
          <w:kern w:val="2"/>
          <w:sz w:val="21"/>
        </w:rPr>
        <w:t>本磋商文件解释规则详见“供应商须知前附表”。</w:t>
      </w:r>
    </w:p>
    <w:p w14:paraId="243DD4B9">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cs="宋体"/>
          <w:color w:val="auto"/>
          <w:kern w:val="2"/>
          <w:sz w:val="21"/>
        </w:rPr>
      </w:pPr>
      <w:r>
        <w:rPr>
          <w:rFonts w:hAnsi="宋体" w:cs="宋体"/>
          <w:color w:val="auto"/>
          <w:kern w:val="2"/>
          <w:sz w:val="21"/>
        </w:rPr>
        <w:t>3</w:t>
      </w:r>
      <w:r>
        <w:rPr>
          <w:rFonts w:hint="eastAsia" w:hAnsi="宋体" w:cs="宋体"/>
          <w:color w:val="auto"/>
          <w:kern w:val="2"/>
          <w:sz w:val="21"/>
        </w:rPr>
        <w:t>1</w:t>
      </w:r>
      <w:r>
        <w:rPr>
          <w:rFonts w:hAnsi="宋体" w:cs="宋体"/>
          <w:color w:val="auto"/>
          <w:kern w:val="2"/>
          <w:sz w:val="21"/>
        </w:rPr>
        <w:t>.2</w:t>
      </w:r>
      <w:r>
        <w:rPr>
          <w:rFonts w:hint="eastAsia" w:hAnsi="宋体" w:cs="宋体"/>
          <w:color w:val="auto"/>
          <w:kern w:val="2"/>
          <w:sz w:val="21"/>
        </w:rPr>
        <w:t xml:space="preserve"> 其他事项详见“供应商须知前附表”。</w:t>
      </w:r>
    </w:p>
    <w:p w14:paraId="329AE616">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cs="宋体"/>
          <w:color w:val="auto"/>
          <w:kern w:val="2"/>
          <w:sz w:val="21"/>
        </w:rPr>
      </w:pPr>
      <w:r>
        <w:rPr>
          <w:rFonts w:hint="eastAsia" w:hAnsi="宋体" w:cs="宋体"/>
          <w:color w:val="auto"/>
          <w:kern w:val="2"/>
          <w:sz w:val="21"/>
        </w:rPr>
        <w:t>31</w:t>
      </w:r>
      <w:r>
        <w:rPr>
          <w:rFonts w:hAnsi="宋体" w:cs="宋体"/>
          <w:color w:val="auto"/>
          <w:kern w:val="2"/>
          <w:sz w:val="21"/>
        </w:rPr>
        <w:t>.3</w:t>
      </w:r>
      <w:r>
        <w:rPr>
          <w:rFonts w:hint="eastAsia" w:hAnsi="宋体" w:cs="宋体"/>
          <w:color w:val="auto"/>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40FB34A">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14:paraId="5A799D6E">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14:paraId="1F0B0A9E">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36D95043">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b/>
          <w:color w:val="auto"/>
          <w:sz w:val="32"/>
          <w:szCs w:val="32"/>
        </w:rPr>
      </w:pPr>
      <w:r>
        <w:rPr>
          <w:rFonts w:hint="eastAsia" w:hAnsi="宋体" w:cs="宋体"/>
          <w:color w:val="auto"/>
          <w:kern w:val="2"/>
          <w:sz w:val="21"/>
        </w:rPr>
        <w:t>在货物采购项目中，供应商提供的货物既有中小企业制造货物，也有大型企业制造货物的，不享受本磋商文件规定的中小企业扶持政策。</w:t>
      </w:r>
    </w:p>
    <w:p w14:paraId="47B346CC">
      <w:pPr>
        <w:pStyle w:val="3"/>
        <w:spacing w:line="360" w:lineRule="auto"/>
        <w:jc w:val="center"/>
        <w:rPr>
          <w:rFonts w:ascii="宋体" w:hAnsi="宋体"/>
          <w:color w:val="auto"/>
          <w:sz w:val="32"/>
          <w:szCs w:val="32"/>
        </w:rPr>
      </w:pPr>
      <w:r>
        <w:rPr>
          <w:color w:val="auto"/>
        </w:rPr>
        <w:br w:type="page"/>
      </w:r>
      <w:bookmarkStart w:id="53" w:name="_Toc11651"/>
      <w:r>
        <w:rPr>
          <w:rFonts w:hint="eastAsia"/>
          <w:color w:val="auto"/>
        </w:rPr>
        <w:t>第三章 采购需求</w:t>
      </w:r>
      <w:bookmarkEnd w:id="53"/>
    </w:p>
    <w:p w14:paraId="4C061025">
      <w:pPr>
        <w:spacing w:line="360" w:lineRule="auto"/>
        <w:jc w:val="left"/>
        <w:rPr>
          <w:rFonts w:ascii="宋体" w:hAnsi="宋体" w:cs="宋体"/>
          <w:b/>
          <w:color w:val="auto"/>
          <w:szCs w:val="21"/>
        </w:rPr>
      </w:pPr>
      <w:r>
        <w:rPr>
          <w:rFonts w:hint="eastAsia" w:ascii="宋体" w:hAnsi="宋体" w:cs="宋体"/>
          <w:b/>
          <w:color w:val="auto"/>
          <w:szCs w:val="21"/>
        </w:rPr>
        <w:t>说明：</w:t>
      </w:r>
    </w:p>
    <w:p w14:paraId="00D0F849">
      <w:pPr>
        <w:spacing w:line="360" w:lineRule="exact"/>
        <w:ind w:left="-10" w:leftChars="-5" w:right="2" w:rightChars="1" w:firstLine="422" w:firstLineChars="200"/>
        <w:rPr>
          <w:rFonts w:hAnsi="宋体"/>
          <w:b/>
          <w:bCs/>
          <w:color w:val="auto"/>
        </w:rPr>
      </w:pPr>
      <w:r>
        <w:rPr>
          <w:rFonts w:hint="eastAsia" w:hAnsi="宋体"/>
          <w:b/>
          <w:bCs/>
          <w:color w:val="auto"/>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b/>
          <w:bCs/>
          <w:color w:val="auto"/>
        </w:rPr>
        <w:t>中</w:t>
      </w:r>
      <w:r>
        <w:rPr>
          <w:rFonts w:hint="eastAsia" w:hAnsi="宋体"/>
          <w:b/>
          <w:bCs/>
          <w:color w:val="auto"/>
        </w:rPr>
        <w:t>的技术要求。</w:t>
      </w:r>
    </w:p>
    <w:p w14:paraId="16732276">
      <w:pPr>
        <w:spacing w:line="360" w:lineRule="exact"/>
        <w:ind w:left="-10" w:leftChars="-5" w:right="2" w:rightChars="1" w:firstLine="422" w:firstLineChars="200"/>
        <w:rPr>
          <w:rFonts w:hAnsi="宋体"/>
          <w:b/>
          <w:bCs/>
          <w:color w:val="auto"/>
        </w:rPr>
      </w:pPr>
      <w:r>
        <w:rPr>
          <w:rFonts w:hint="eastAsia" w:hAnsi="宋体"/>
          <w:b/>
          <w:bCs/>
          <w:color w:val="auto"/>
        </w:rPr>
        <w:t>2、</w:t>
      </w:r>
      <w:r>
        <w:rPr>
          <w:rFonts w:hAnsi="宋体"/>
          <w:b/>
          <w:bCs/>
          <w:color w:val="auto"/>
        </w:rPr>
        <w:t>根据《财政部 发展改革委 生态环境部 市场监管总局关于调整优化节能产品、环境标志产品政府采购执行机制的通知》（财库〔2019〕9 号）和《关于印发节能产品政府采购品目清单的通知》（财库〔2019〕19 号）的规定，采购需求</w:t>
      </w:r>
      <w:r>
        <w:rPr>
          <w:rFonts w:hint="eastAsia" w:hAnsi="宋体"/>
          <w:b/>
          <w:bCs/>
          <w:color w:val="auto"/>
        </w:rPr>
        <w:t>中如有货物产品，且货物</w:t>
      </w:r>
      <w:r>
        <w:rPr>
          <w:rFonts w:hAnsi="宋体"/>
          <w:b/>
          <w:bCs/>
          <w:color w:val="auto"/>
        </w:rPr>
        <w:t>产品属于节能产品政府采购品目清单内标注“★”的（详见本章后附的节能产品政府采购品目清单），供应商的竞标货物必须使用政府强制采购的节能产品，否则响应文件作无效响应处理。</w:t>
      </w:r>
    </w:p>
    <w:p w14:paraId="055924E8">
      <w:pPr>
        <w:spacing w:line="360" w:lineRule="exact"/>
        <w:ind w:left="-10" w:leftChars="-5" w:right="2" w:rightChars="1" w:firstLine="422" w:firstLineChars="200"/>
        <w:rPr>
          <w:rFonts w:hAnsi="宋体"/>
          <w:b/>
          <w:bCs/>
          <w:color w:val="auto"/>
        </w:rPr>
      </w:pPr>
      <w:r>
        <w:rPr>
          <w:rFonts w:hint="eastAsia" w:hAnsi="宋体"/>
          <w:b/>
          <w:bCs/>
          <w:color w:val="auto"/>
        </w:rPr>
        <w:t>3、如供应商竞标产品存在侵犯他人的知识产权或者专利成果行为的，由供应商自行承担相应法律责任。</w:t>
      </w:r>
    </w:p>
    <w:p w14:paraId="74315191">
      <w:pPr>
        <w:spacing w:line="360" w:lineRule="exact"/>
        <w:ind w:left="-10" w:leftChars="-5" w:right="2" w:rightChars="1" w:firstLine="422" w:firstLineChars="200"/>
        <w:rPr>
          <w:rFonts w:hAnsi="宋体"/>
          <w:b/>
          <w:bCs/>
          <w:color w:val="auto"/>
        </w:rPr>
      </w:pPr>
      <w:r>
        <w:rPr>
          <w:rFonts w:hint="eastAsia" w:hAnsi="宋体"/>
          <w:b/>
          <w:bCs/>
          <w:color w:val="auto"/>
        </w:rPr>
        <w:t>4、“实质性要求”是指竞争性磋商文件中已经指明不满足则响应无效的条款，或者不能负偏离的条款，或者采购需求中带“▲”的条款。</w:t>
      </w:r>
    </w:p>
    <w:p w14:paraId="3DAC6BA0">
      <w:pPr>
        <w:spacing w:line="360" w:lineRule="exact"/>
        <w:ind w:left="-10" w:leftChars="-5" w:right="2" w:rightChars="1" w:firstLine="422" w:firstLineChars="200"/>
        <w:rPr>
          <w:rFonts w:hint="eastAsia" w:hAnsi="宋体"/>
          <w:b/>
          <w:bCs/>
          <w:color w:val="auto"/>
        </w:rPr>
      </w:pPr>
      <w:r>
        <w:rPr>
          <w:rFonts w:hint="eastAsia" w:hAnsi="宋体"/>
          <w:b/>
          <w:bCs/>
          <w:color w:val="auto"/>
        </w:rPr>
        <w:t>5、供应商应根据自身实际情况如实响应竞争性磋商文件，不得仅将竞争性磋商文件内容简单复制粘贴作为竞标响应，否则将作无效响应处理（定制采购不适用本条款）。</w:t>
      </w:r>
    </w:p>
    <w:p w14:paraId="35D5DA61">
      <w:pPr>
        <w:spacing w:line="360" w:lineRule="exact"/>
        <w:ind w:left="-10" w:leftChars="-5" w:right="2" w:rightChars="1" w:firstLine="422" w:firstLineChars="200"/>
        <w:jc w:val="left"/>
        <w:rPr>
          <w:rFonts w:hint="eastAsia" w:ascii="宋体" w:hAnsi="宋体"/>
          <w:b/>
          <w:color w:val="auto"/>
          <w:szCs w:val="21"/>
        </w:rPr>
      </w:pPr>
      <w:r>
        <w:rPr>
          <w:rFonts w:hint="eastAsia" w:ascii="宋体" w:hAnsi="宋体"/>
          <w:b/>
          <w:color w:val="auto"/>
          <w:szCs w:val="21"/>
        </w:rPr>
        <w:t>采购预算：</w:t>
      </w:r>
      <w:r>
        <w:rPr>
          <w:rFonts w:hint="eastAsia" w:ascii="宋体" w:hAnsi="宋体"/>
          <w:b/>
          <w:color w:val="auto"/>
          <w:szCs w:val="21"/>
          <w:lang w:val="en-US" w:eastAsia="zh-CN"/>
        </w:rPr>
        <w:t>160.00</w:t>
      </w:r>
      <w:r>
        <w:rPr>
          <w:rFonts w:hint="eastAsia" w:ascii="宋体" w:hAnsi="宋体"/>
          <w:b/>
          <w:color w:val="auto"/>
          <w:szCs w:val="21"/>
        </w:rPr>
        <w:t>万元</w:t>
      </w:r>
    </w:p>
    <w:p w14:paraId="16D57AD6">
      <w:pPr>
        <w:pStyle w:val="2"/>
        <w:rPr>
          <w:color w:val="auto"/>
        </w:rPr>
      </w:pPr>
    </w:p>
    <w:tbl>
      <w:tblPr>
        <w:tblStyle w:val="19"/>
        <w:tblW w:w="98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99"/>
        <w:gridCol w:w="900"/>
        <w:gridCol w:w="750"/>
        <w:gridCol w:w="6025"/>
      </w:tblGrid>
      <w:tr w14:paraId="5E32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3C3EE746">
            <w:pPr>
              <w:keepNext w:val="0"/>
              <w:keepLines w:val="0"/>
              <w:pageBreakBefore w:val="0"/>
              <w:kinsoku/>
              <w:wordWrap/>
              <w:overflowPunct/>
              <w:topLinePunct w:val="0"/>
              <w:autoSpaceDE/>
              <w:autoSpaceDN/>
              <w:bidi w:val="0"/>
              <w:spacing w:line="360" w:lineRule="exact"/>
              <w:ind w:left="0" w:leftChars="0" w:right="2" w:rightChars="1"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499" w:type="dxa"/>
            <w:vAlign w:val="center"/>
          </w:tcPr>
          <w:p w14:paraId="1F5F27E1">
            <w:pPr>
              <w:keepNext w:val="0"/>
              <w:keepLines w:val="0"/>
              <w:pageBreakBefore w:val="0"/>
              <w:kinsoku/>
              <w:wordWrap/>
              <w:overflowPunct/>
              <w:topLinePunct w:val="0"/>
              <w:autoSpaceDE/>
              <w:autoSpaceDN/>
              <w:bidi w:val="0"/>
              <w:spacing w:line="360" w:lineRule="exact"/>
              <w:ind w:left="0" w:leftChars="0" w:right="2" w:rightChars="1"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标的名称</w:t>
            </w:r>
          </w:p>
        </w:tc>
        <w:tc>
          <w:tcPr>
            <w:tcW w:w="900" w:type="dxa"/>
            <w:vAlign w:val="center"/>
          </w:tcPr>
          <w:p w14:paraId="7A039CD5">
            <w:pPr>
              <w:keepNext w:val="0"/>
              <w:keepLines w:val="0"/>
              <w:pageBreakBefore w:val="0"/>
              <w:kinsoku/>
              <w:wordWrap/>
              <w:overflowPunct/>
              <w:topLinePunct w:val="0"/>
              <w:autoSpaceDE/>
              <w:autoSpaceDN/>
              <w:bidi w:val="0"/>
              <w:spacing w:line="360" w:lineRule="exact"/>
              <w:ind w:left="0" w:leftChars="0" w:right="2" w:rightChars="1"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数量及单位</w:t>
            </w:r>
          </w:p>
        </w:tc>
        <w:tc>
          <w:tcPr>
            <w:tcW w:w="750" w:type="dxa"/>
            <w:vAlign w:val="center"/>
          </w:tcPr>
          <w:p w14:paraId="118777EF">
            <w:pPr>
              <w:keepNext w:val="0"/>
              <w:keepLines w:val="0"/>
              <w:pageBreakBefore w:val="0"/>
              <w:kinsoku/>
              <w:wordWrap/>
              <w:overflowPunct/>
              <w:topLinePunct w:val="0"/>
              <w:autoSpaceDE/>
              <w:autoSpaceDN/>
              <w:bidi w:val="0"/>
              <w:spacing w:line="360" w:lineRule="exact"/>
              <w:ind w:left="0" w:leftChars="0" w:right="2" w:rightChars="1"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所属</w:t>
            </w:r>
          </w:p>
          <w:p w14:paraId="4F92CE60">
            <w:pPr>
              <w:keepNext w:val="0"/>
              <w:keepLines w:val="0"/>
              <w:pageBreakBefore w:val="0"/>
              <w:kinsoku/>
              <w:wordWrap/>
              <w:overflowPunct/>
              <w:topLinePunct w:val="0"/>
              <w:autoSpaceDE/>
              <w:autoSpaceDN/>
              <w:bidi w:val="0"/>
              <w:spacing w:line="360" w:lineRule="exact"/>
              <w:ind w:left="0" w:leftChars="0" w:right="2" w:rightChars="1"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行业</w:t>
            </w:r>
          </w:p>
        </w:tc>
        <w:tc>
          <w:tcPr>
            <w:tcW w:w="6025" w:type="dxa"/>
            <w:vAlign w:val="center"/>
          </w:tcPr>
          <w:p w14:paraId="2C1455A0">
            <w:pPr>
              <w:keepNext w:val="0"/>
              <w:keepLines w:val="0"/>
              <w:pageBreakBefore w:val="0"/>
              <w:numPr>
                <w:ilvl w:val="-1"/>
                <w:numId w:val="0"/>
              </w:numPr>
              <w:tabs>
                <w:tab w:val="left" w:pos="312"/>
              </w:tabs>
              <w:kinsoku/>
              <w:wordWrap/>
              <w:overflowPunct w:val="0"/>
              <w:topLinePunct w:val="0"/>
              <w:autoSpaceDE/>
              <w:autoSpaceDN/>
              <w:bidi w:val="0"/>
              <w:spacing w:line="400" w:lineRule="exact"/>
              <w:ind w:left="420" w:leftChars="200" w:right="0" w:rightChars="0" w:firstLine="2100" w:firstLineChars="1000"/>
              <w:jc w:val="left"/>
              <w:textAlignment w:val="auto"/>
              <w:rPr>
                <w:rFonts w:hint="eastAsia" w:ascii="宋体" w:hAnsi="宋体" w:eastAsia="宋体" w:cs="宋体"/>
                <w:sz w:val="21"/>
                <w:szCs w:val="21"/>
              </w:rPr>
            </w:pPr>
            <w:r>
              <w:rPr>
                <w:rFonts w:hint="eastAsia" w:ascii="宋体" w:hAnsi="宋体" w:eastAsia="宋体" w:cs="宋体"/>
                <w:sz w:val="21"/>
                <w:szCs w:val="21"/>
              </w:rPr>
              <w:t>技术要求</w:t>
            </w:r>
          </w:p>
        </w:tc>
      </w:tr>
      <w:tr w14:paraId="60CC2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55" w:type="dxa"/>
            <w:vAlign w:val="center"/>
          </w:tcPr>
          <w:p w14:paraId="2D94B0D0">
            <w:pPr>
              <w:keepNext w:val="0"/>
              <w:keepLines w:val="0"/>
              <w:pageBreakBefore w:val="0"/>
              <w:tabs>
                <w:tab w:val="left" w:pos="180"/>
                <w:tab w:val="left" w:pos="1620"/>
              </w:tabs>
              <w:kinsoku/>
              <w:wordWrap/>
              <w:overflowPunct/>
              <w:topLinePunct w:val="0"/>
              <w:autoSpaceDE/>
              <w:autoSpaceDN/>
              <w:bidi w:val="0"/>
              <w:spacing w:line="45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99" w:type="dxa"/>
            <w:vAlign w:val="center"/>
          </w:tcPr>
          <w:p w14:paraId="7E8CC171">
            <w:pPr>
              <w:keepNext w:val="0"/>
              <w:keepLines w:val="0"/>
              <w:pageBreakBefore w:val="0"/>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 w:val="21"/>
                <w:szCs w:val="21"/>
                <w:lang w:val="en-US" w:eastAsia="zh-CN"/>
              </w:rPr>
            </w:pPr>
            <w:bookmarkStart w:id="54" w:name="OLE_LINK25"/>
            <w:r>
              <w:rPr>
                <w:rFonts w:hint="eastAsia" w:ascii="宋体" w:hAnsi="宋体" w:eastAsia="宋体" w:cs="宋体"/>
                <w:color w:val="auto"/>
                <w:sz w:val="21"/>
                <w:szCs w:val="21"/>
                <w:lang w:eastAsia="zh-CN"/>
              </w:rPr>
              <w:t>广西伴生放射性固体废物环境风险隐患排查</w:t>
            </w:r>
            <w:bookmarkEnd w:id="54"/>
          </w:p>
        </w:tc>
        <w:tc>
          <w:tcPr>
            <w:tcW w:w="900" w:type="dxa"/>
            <w:vAlign w:val="center"/>
          </w:tcPr>
          <w:p w14:paraId="4C3E0576">
            <w:pPr>
              <w:keepNext w:val="0"/>
              <w:keepLines w:val="0"/>
              <w:pageBreakBefore w:val="0"/>
              <w:kinsoku/>
              <w:wordWrap/>
              <w:overflowPunct/>
              <w:topLinePunct w:val="0"/>
              <w:autoSpaceDE/>
              <w:autoSpaceDN/>
              <w:bidi w:val="0"/>
              <w:adjustRightInd w:val="0"/>
              <w:snapToGrid w:val="0"/>
              <w:spacing w:line="450" w:lineRule="exact"/>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w:t>
            </w:r>
          </w:p>
        </w:tc>
        <w:tc>
          <w:tcPr>
            <w:tcW w:w="750" w:type="dxa"/>
            <w:vAlign w:val="center"/>
          </w:tcPr>
          <w:p w14:paraId="3207AC2C">
            <w:pPr>
              <w:keepNext w:val="0"/>
              <w:keepLines w:val="0"/>
              <w:pageBreakBefore w:val="0"/>
              <w:kinsoku/>
              <w:wordWrap/>
              <w:overflowPunct/>
              <w:topLinePunct w:val="0"/>
              <w:autoSpaceDE/>
              <w:autoSpaceDN/>
              <w:bidi w:val="0"/>
              <w:spacing w:line="45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其他未列明行业</w:t>
            </w:r>
          </w:p>
        </w:tc>
        <w:tc>
          <w:tcPr>
            <w:tcW w:w="6025" w:type="dxa"/>
            <w:vAlign w:val="center"/>
          </w:tcPr>
          <w:p w14:paraId="498B320C">
            <w:pPr>
              <w:spacing w:line="400" w:lineRule="exact"/>
              <w:ind w:firstLine="422" w:firstLineChars="200"/>
              <w:outlineLvl w:val="9"/>
              <w:rPr>
                <w:rFonts w:hint="eastAsia" w:ascii="宋体" w:hAnsi="宋体" w:eastAsia="宋体" w:cs="宋体"/>
                <w:b/>
                <w:bCs/>
                <w:sz w:val="21"/>
                <w:szCs w:val="21"/>
              </w:rPr>
            </w:pPr>
            <w:r>
              <w:rPr>
                <w:rFonts w:hint="eastAsia" w:ascii="宋体" w:hAnsi="宋体" w:eastAsia="宋体" w:cs="宋体"/>
                <w:b/>
                <w:bCs/>
                <w:sz w:val="21"/>
                <w:szCs w:val="21"/>
              </w:rPr>
              <w:t>（一）项目总体要求</w:t>
            </w:r>
          </w:p>
          <w:p w14:paraId="56761F60">
            <w:pPr>
              <w:overflowPunct/>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过资料分析和现场踏勘，按照《关于发布&lt;矿产资源开发利用辐射环境监督管理名录&gt;的公告》（公告2020年第54号）规定的涉及稀土、锆及氧化锆、铌/钽、锡、铝、铅/锌、铜、铁、钒、钼、镍、锗、钛、金、磷酸盐、煤等16类矿产资源类别，对不少于74家可能涉及伴生放射性开发利用的企业开展现场调查，调查的企业来源为2017-2019年第二次全国污染源普查广西伴生矿普查发现的重点企业。调查内容包括单位名称、统一社会信用代码、位置信息、联系方式、环评验收、企业规模、矿产种类、原料来源、废水排放、环境管理现状、伴生放射性固体废物贮存现状等。并对采样分析确定的伴生放射性矿开发利用企业开展流出物监测与辐射环境监测。编制广西伴生放射性固体废物环境风险隐患排查专项调查报告，深入分析广西伴生放射性固体废物情况和调查国内、国际相关工作情况，给出针对性对策建议。编制加强伴生放射性矿产资源开发利用辐射安全管理相关政策性文件（草拟稿），为完善广西伴生放射性矿产资源开发利用活动辐射安全管理提供可靠的技术支撑。</w:t>
            </w:r>
          </w:p>
          <w:p w14:paraId="6BD990DD">
            <w:pPr>
              <w:spacing w:line="400" w:lineRule="exact"/>
              <w:ind w:left="0" w:leftChars="0" w:firstLine="422" w:firstLineChars="200"/>
              <w:outlineLvl w:val="9"/>
              <w:rPr>
                <w:rFonts w:hint="eastAsia" w:ascii="宋体" w:hAnsi="宋体" w:eastAsia="宋体" w:cs="宋体"/>
                <w:b/>
                <w:bCs/>
                <w:sz w:val="21"/>
                <w:szCs w:val="21"/>
              </w:rPr>
            </w:pPr>
            <w:r>
              <w:rPr>
                <w:rFonts w:hint="eastAsia" w:ascii="宋体" w:hAnsi="宋体" w:eastAsia="宋体" w:cs="宋体"/>
                <w:b/>
                <w:bCs/>
                <w:sz w:val="21"/>
                <w:szCs w:val="21"/>
              </w:rPr>
              <w:t>(二）技术要求</w:t>
            </w:r>
          </w:p>
          <w:p w14:paraId="2CA63386">
            <w:pPr>
              <w:overflowPunct/>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调查对象和内容。通过资料分析和现场踏勘，按照《关于发布&lt;矿产资源开发利用辐射环境监督管理名录&gt;的公告》（公告2020年第54号）规定的涉及稀土、锆及氧化锆、铌/钽、锡、铝、铅/锌、铜、铁、钒、钼、镍、锗、钛、金、磷酸盐、煤等16类矿产资源类别，对不少于74家可能涉及伴生放射性开发利用的企业开展现场调查。查清基本情况、企业及周边环境现状、伴生放射性固体废物情况、伴生放射性固体废物贮存及处置设施情况，制作并填写有关表格。并对企业活动中原料、中间产品、尾矿（渣）或者其他残留物巡测采样。</w:t>
            </w:r>
          </w:p>
          <w:p w14:paraId="329045E5">
            <w:pPr>
              <w:overflowPunct/>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流出物监测与辐射环境监测。根据现场调查采样分析结果，对企业开发利用活动中原料、中间产品、尾矿（渣）或者其他残留物中铀（钍）系单个核素含量超过1Bq/g的伴生放射性开发利用企业开展有关环境辐射监测。监测内容：①陆地γ辐射剂量率，根据有关企业开发活动实际布设点位，主要在物料堆存点、厂界周围、空气和土壤采样点等布设。监测点位数不少于400个，监测频次1次。在调查中发现的特别偏高和偏低点位，为进一步弄清影响范围和水平，需适当加密布点。②氡及其子体，主要在企业周围布设。监测点位分别不少于60个，监测频次1次。③地表水（如有），样品数不少于14个，监测项目U天然、Th、</w:t>
            </w:r>
            <w:r>
              <w:rPr>
                <w:rFonts w:hint="eastAsia" w:ascii="宋体" w:hAnsi="宋体" w:eastAsia="宋体" w:cs="宋体"/>
                <w:sz w:val="21"/>
                <w:szCs w:val="21"/>
                <w:vertAlign w:val="superscript"/>
              </w:rPr>
              <w:t>226</w:t>
            </w:r>
            <w:r>
              <w:rPr>
                <w:rFonts w:hint="eastAsia" w:ascii="宋体" w:hAnsi="宋体" w:eastAsia="宋体" w:cs="宋体"/>
                <w:sz w:val="21"/>
                <w:szCs w:val="21"/>
              </w:rPr>
              <w:t>Ra，监测频次1次。④地下水，采集尾矿（渣）库、采场、堆场及工业场地附近200m内具有代表性的居民饮用水井或灌溉水井，样品数不少于22个，监测项目U天然、Th、</w:t>
            </w:r>
            <w:r>
              <w:rPr>
                <w:rFonts w:hint="eastAsia" w:ascii="宋体" w:hAnsi="宋体" w:eastAsia="宋体" w:cs="宋体"/>
                <w:sz w:val="21"/>
                <w:szCs w:val="21"/>
                <w:vertAlign w:val="superscript"/>
              </w:rPr>
              <w:t>226</w:t>
            </w:r>
            <w:r>
              <w:rPr>
                <w:rFonts w:hint="eastAsia" w:ascii="宋体" w:hAnsi="宋体" w:eastAsia="宋体" w:cs="宋体"/>
                <w:sz w:val="21"/>
                <w:szCs w:val="21"/>
              </w:rPr>
              <w:t>Ra，监测频次1次。⑤土壤，主要采集厂界周围土壤、排放口最近农田等，样品数不少于50个，监测项目</w:t>
            </w:r>
            <w:r>
              <w:rPr>
                <w:rFonts w:hint="eastAsia" w:ascii="宋体" w:hAnsi="宋体" w:eastAsia="宋体" w:cs="宋体"/>
                <w:sz w:val="21"/>
                <w:szCs w:val="21"/>
                <w:vertAlign w:val="superscript"/>
              </w:rPr>
              <w:t>238</w:t>
            </w:r>
            <w:r>
              <w:rPr>
                <w:rFonts w:hint="eastAsia" w:ascii="宋体" w:hAnsi="宋体" w:eastAsia="宋体" w:cs="宋体"/>
                <w:sz w:val="21"/>
                <w:szCs w:val="21"/>
              </w:rPr>
              <w:t>U、</w:t>
            </w:r>
            <w:r>
              <w:rPr>
                <w:rFonts w:hint="eastAsia" w:ascii="宋体" w:hAnsi="宋体" w:eastAsia="宋体" w:cs="宋体"/>
                <w:sz w:val="21"/>
                <w:szCs w:val="21"/>
                <w:vertAlign w:val="superscript"/>
              </w:rPr>
              <w:t>232</w:t>
            </w:r>
            <w:r>
              <w:rPr>
                <w:rFonts w:hint="eastAsia" w:ascii="宋体" w:hAnsi="宋体" w:eastAsia="宋体" w:cs="宋体"/>
                <w:sz w:val="21"/>
                <w:szCs w:val="21"/>
              </w:rPr>
              <w:t>Th、</w:t>
            </w:r>
            <w:r>
              <w:rPr>
                <w:rFonts w:hint="eastAsia" w:ascii="宋体" w:hAnsi="宋体" w:eastAsia="宋体" w:cs="宋体"/>
                <w:sz w:val="21"/>
                <w:szCs w:val="21"/>
                <w:vertAlign w:val="superscript"/>
              </w:rPr>
              <w:t>226</w:t>
            </w:r>
            <w:r>
              <w:rPr>
                <w:rFonts w:hint="eastAsia" w:ascii="宋体" w:hAnsi="宋体" w:eastAsia="宋体" w:cs="宋体"/>
                <w:sz w:val="21"/>
                <w:szCs w:val="21"/>
              </w:rPr>
              <w:t>Ra，监测频次1次。⑥废水（如有），采集车间排放口、总排放口、尾矿（渣）库渗出水排放口，监测项目U天然、Th、</w:t>
            </w:r>
            <w:r>
              <w:rPr>
                <w:rFonts w:hint="eastAsia" w:ascii="宋体" w:hAnsi="宋体" w:eastAsia="宋体" w:cs="宋体"/>
                <w:sz w:val="21"/>
                <w:szCs w:val="21"/>
                <w:vertAlign w:val="superscript"/>
              </w:rPr>
              <w:t>226</w:t>
            </w:r>
            <w:r>
              <w:rPr>
                <w:rFonts w:hint="eastAsia" w:ascii="宋体" w:hAnsi="宋体" w:eastAsia="宋体" w:cs="宋体"/>
                <w:sz w:val="21"/>
                <w:szCs w:val="21"/>
              </w:rPr>
              <w:t>Ra、总α、总β，样品数不少于11个，监测频次1次。⑦原料、中间产品、尾矿（渣）等，样品不少于100个，监测项目</w:t>
            </w:r>
            <w:r>
              <w:rPr>
                <w:rFonts w:hint="eastAsia" w:ascii="宋体" w:hAnsi="宋体" w:eastAsia="宋体" w:cs="宋体"/>
                <w:sz w:val="21"/>
                <w:szCs w:val="21"/>
                <w:vertAlign w:val="superscript"/>
              </w:rPr>
              <w:t>238</w:t>
            </w:r>
            <w:r>
              <w:rPr>
                <w:rFonts w:hint="eastAsia" w:ascii="宋体" w:hAnsi="宋体" w:eastAsia="宋体" w:cs="宋体"/>
                <w:sz w:val="21"/>
                <w:szCs w:val="21"/>
              </w:rPr>
              <w:t>U、</w:t>
            </w:r>
            <w:r>
              <w:rPr>
                <w:rFonts w:hint="eastAsia" w:ascii="宋体" w:hAnsi="宋体" w:eastAsia="宋体" w:cs="宋体"/>
                <w:sz w:val="21"/>
                <w:szCs w:val="21"/>
                <w:vertAlign w:val="superscript"/>
              </w:rPr>
              <w:t>232</w:t>
            </w:r>
            <w:r>
              <w:rPr>
                <w:rFonts w:hint="eastAsia" w:ascii="宋体" w:hAnsi="宋体" w:eastAsia="宋体" w:cs="宋体"/>
                <w:sz w:val="21"/>
                <w:szCs w:val="21"/>
              </w:rPr>
              <w:t>Th、</w:t>
            </w:r>
            <w:r>
              <w:rPr>
                <w:rFonts w:hint="eastAsia" w:ascii="宋体" w:hAnsi="宋体" w:eastAsia="宋体" w:cs="宋体"/>
                <w:sz w:val="21"/>
                <w:szCs w:val="21"/>
                <w:vertAlign w:val="superscript"/>
              </w:rPr>
              <w:t>226</w:t>
            </w:r>
            <w:r>
              <w:rPr>
                <w:rFonts w:hint="eastAsia" w:ascii="宋体" w:hAnsi="宋体" w:eastAsia="宋体" w:cs="宋体"/>
                <w:sz w:val="21"/>
                <w:szCs w:val="21"/>
              </w:rPr>
              <w:t>Ra，监测频次1次。</w:t>
            </w:r>
          </w:p>
          <w:p w14:paraId="128598BD">
            <w:pPr>
              <w:overflowPunct/>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（3）编制工作方案和质保大纲并组织相关领域专家对项目工作方案和质保大纲等开展评审，工作方案中需明确排查企业的名录。</w:t>
            </w:r>
          </w:p>
          <w:p w14:paraId="73850726">
            <w:pPr>
              <w:overflowPunct/>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（4）编制广西</w:t>
            </w:r>
            <w:bookmarkStart w:id="55" w:name="OLE_LINK2"/>
            <w:r>
              <w:rPr>
                <w:rFonts w:hint="eastAsia" w:ascii="宋体" w:hAnsi="宋体" w:eastAsia="宋体" w:cs="宋体"/>
                <w:sz w:val="21"/>
                <w:szCs w:val="21"/>
              </w:rPr>
              <w:t>伴生放射性固体废物环境风险隐患排查专项调查报告</w:t>
            </w:r>
            <w:bookmarkEnd w:id="55"/>
            <w:r>
              <w:rPr>
                <w:rFonts w:hint="eastAsia" w:ascii="宋体" w:hAnsi="宋体" w:eastAsia="宋体" w:cs="宋体"/>
                <w:sz w:val="21"/>
                <w:szCs w:val="21"/>
              </w:rPr>
              <w:t>，深入分析广西伴生放射性固体废物情况和调查国内、国际相关工作情况，给出针对性对策建议。</w:t>
            </w:r>
          </w:p>
          <w:p w14:paraId="7804EFD6">
            <w:pPr>
              <w:overflowPunct/>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（5）编制加强伴生放射性矿产资源开发利用辐射安全管理相关政策性文件（草拟稿）。该文件的大纲应包括环保手续落实、辐射环境监测、辐射环境管理、放射性固体废物暂存等方面。</w:t>
            </w:r>
          </w:p>
          <w:p w14:paraId="725A416F">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（6）实验室环境</w:t>
            </w:r>
          </w:p>
          <w:p w14:paraId="6DF37CD9">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供应商应具有独立的实验室，固定场所的设施条件和环境应满足监测仪器和监测方法所需的技术要求，并通过实验室</w:t>
            </w:r>
            <w:r>
              <w:rPr>
                <w:rFonts w:hint="eastAsia" w:ascii="宋体" w:hAnsi="宋体" w:cs="宋体"/>
                <w:color w:val="000000"/>
                <w:sz w:val="21"/>
                <w:szCs w:val="21"/>
                <w:lang w:val="en-US" w:eastAsia="zh-CN"/>
              </w:rPr>
              <w:t>CMA</w:t>
            </w:r>
            <w:r>
              <w:rPr>
                <w:rFonts w:hint="eastAsia" w:ascii="宋体" w:hAnsi="宋体" w:eastAsia="宋体" w:cs="宋体"/>
                <w:color w:val="000000"/>
                <w:sz w:val="21"/>
                <w:szCs w:val="21"/>
              </w:rPr>
              <w:t>资质认证，监测区域应有明显标识，对相互有影响的活动区域进行有效隔离，防止交叉污染。对可能影响监测结果质量的监测环境条件，应进行识别、监控和记录，保证其符合相关技术要求；当分析环境条件下不能满足监测要求时，应停止监测。前处理实验室、仪器设备区域和储存室要分区管理，前处理实验室要配备有通风系统。实验区域内应具有对项目样品进行储存的房间。</w:t>
            </w:r>
          </w:p>
          <w:p w14:paraId="1E4BB440">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（7）设施设备要求</w:t>
            </w:r>
          </w:p>
          <w:p w14:paraId="69048848">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供应商应配备完成本项目所需要的专用设备，所有参与本项目的专用设备须严格按照国家计量法的要求完成检定和校准，仪器使用时间在检定有效期内（竞标时须提供在有效期内的检定或校准证书），如设备是租用的，应出具租用证明。</w:t>
            </w:r>
          </w:p>
          <w:p w14:paraId="7B803D78">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2、设备基本需求如下表：</w:t>
            </w:r>
          </w:p>
          <w:tbl>
            <w:tblPr>
              <w:tblStyle w:val="19"/>
              <w:tblW w:w="5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64"/>
              <w:gridCol w:w="2154"/>
            </w:tblGrid>
            <w:tr w14:paraId="7DD0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1" w:type="dxa"/>
                  <w:noWrap w:val="0"/>
                  <w:vAlign w:val="center"/>
                </w:tcPr>
                <w:p w14:paraId="65778ABE">
                  <w:pPr>
                    <w:spacing w:line="400" w:lineRule="exact"/>
                    <w:ind w:firstLine="0" w:firstLineChars="0"/>
                    <w:rPr>
                      <w:rFonts w:hint="eastAsia" w:ascii="宋体" w:hAnsi="宋体" w:eastAsia="宋体" w:cs="宋体"/>
                      <w:b/>
                      <w:bCs/>
                      <w:color w:val="000000"/>
                      <w:sz w:val="21"/>
                      <w:szCs w:val="21"/>
                    </w:rPr>
                  </w:pPr>
                  <w:bookmarkStart w:id="56" w:name="_Hlk72736964"/>
                  <w:r>
                    <w:rPr>
                      <w:rFonts w:hint="eastAsia" w:ascii="宋体" w:hAnsi="宋体" w:eastAsia="宋体" w:cs="宋体"/>
                      <w:b/>
                      <w:bCs/>
                      <w:color w:val="000000"/>
                      <w:sz w:val="21"/>
                      <w:szCs w:val="21"/>
                    </w:rPr>
                    <w:t>序号</w:t>
                  </w:r>
                </w:p>
              </w:tc>
              <w:tc>
                <w:tcPr>
                  <w:tcW w:w="2764" w:type="dxa"/>
                  <w:noWrap w:val="0"/>
                  <w:vAlign w:val="center"/>
                </w:tcPr>
                <w:p w14:paraId="16ADA155">
                  <w:pPr>
                    <w:spacing w:line="400" w:lineRule="exact"/>
                    <w:ind w:firstLine="843" w:firstLineChars="4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设备类型</w:t>
                  </w:r>
                </w:p>
              </w:tc>
              <w:tc>
                <w:tcPr>
                  <w:tcW w:w="2154" w:type="dxa"/>
                  <w:noWrap w:val="0"/>
                  <w:vAlign w:val="center"/>
                </w:tcPr>
                <w:p w14:paraId="698BB78C">
                  <w:pPr>
                    <w:spacing w:line="400" w:lineRule="exact"/>
                    <w:ind w:firstLine="0" w:firstLineChars="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基本数量要求（台）</w:t>
                  </w:r>
                </w:p>
              </w:tc>
            </w:tr>
            <w:tr w14:paraId="3DB3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1" w:type="dxa"/>
                  <w:noWrap w:val="0"/>
                  <w:vAlign w:val="center"/>
                </w:tcPr>
                <w:p w14:paraId="1F3059F4">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764" w:type="dxa"/>
                  <w:noWrap w:val="0"/>
                  <w:vAlign w:val="center"/>
                </w:tcPr>
                <w:p w14:paraId="3CBF7DAD">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X-γ辐射剂量率仪</w:t>
                  </w:r>
                </w:p>
              </w:tc>
              <w:tc>
                <w:tcPr>
                  <w:tcW w:w="2154" w:type="dxa"/>
                  <w:noWrap w:val="0"/>
                  <w:vAlign w:val="center"/>
                </w:tcPr>
                <w:p w14:paraId="04665FBC">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1547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1" w:type="dxa"/>
                  <w:noWrap w:val="0"/>
                  <w:vAlign w:val="center"/>
                </w:tcPr>
                <w:p w14:paraId="5737C186">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764" w:type="dxa"/>
                  <w:noWrap w:val="0"/>
                  <w:vAlign w:val="center"/>
                </w:tcPr>
                <w:p w14:paraId="6E23656E">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氡浓度及子体测量仪</w:t>
                  </w:r>
                </w:p>
              </w:tc>
              <w:tc>
                <w:tcPr>
                  <w:tcW w:w="2154" w:type="dxa"/>
                  <w:noWrap w:val="0"/>
                  <w:vAlign w:val="center"/>
                </w:tcPr>
                <w:p w14:paraId="115E7BCC">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5AA3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1" w:type="dxa"/>
                  <w:noWrap w:val="0"/>
                  <w:vAlign w:val="center"/>
                </w:tcPr>
                <w:p w14:paraId="14FCB64F">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764" w:type="dxa"/>
                  <w:noWrap w:val="0"/>
                  <w:vAlign w:val="center"/>
                </w:tcPr>
                <w:p w14:paraId="6D8F6A5C">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高纯锗γ谱仪</w:t>
                  </w:r>
                </w:p>
              </w:tc>
              <w:tc>
                <w:tcPr>
                  <w:tcW w:w="2154" w:type="dxa"/>
                  <w:noWrap w:val="0"/>
                  <w:vAlign w:val="center"/>
                </w:tcPr>
                <w:p w14:paraId="38225435">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0361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1" w:type="dxa"/>
                  <w:noWrap w:val="0"/>
                  <w:vAlign w:val="center"/>
                </w:tcPr>
                <w:p w14:paraId="35E2D6CE">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764" w:type="dxa"/>
                  <w:noWrap w:val="0"/>
                  <w:vAlign w:val="center"/>
                </w:tcPr>
                <w:p w14:paraId="3CFBDA7A">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微量铀分析仪</w:t>
                  </w:r>
                </w:p>
              </w:tc>
              <w:tc>
                <w:tcPr>
                  <w:tcW w:w="2154" w:type="dxa"/>
                  <w:noWrap w:val="0"/>
                  <w:vAlign w:val="center"/>
                </w:tcPr>
                <w:p w14:paraId="3102790A">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3649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1" w:type="dxa"/>
                  <w:noWrap w:val="0"/>
                  <w:vAlign w:val="center"/>
                </w:tcPr>
                <w:p w14:paraId="4A6A46D7">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764" w:type="dxa"/>
                  <w:noWrap w:val="0"/>
                  <w:vAlign w:val="center"/>
                </w:tcPr>
                <w:p w14:paraId="78D997AA">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紫外分光光度计</w:t>
                  </w:r>
                </w:p>
              </w:tc>
              <w:tc>
                <w:tcPr>
                  <w:tcW w:w="2154" w:type="dxa"/>
                  <w:noWrap w:val="0"/>
                  <w:vAlign w:val="center"/>
                </w:tcPr>
                <w:p w14:paraId="4691684C">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2764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1" w:type="dxa"/>
                  <w:noWrap w:val="0"/>
                  <w:vAlign w:val="center"/>
                </w:tcPr>
                <w:p w14:paraId="26EC60F9">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764" w:type="dxa"/>
                  <w:noWrap w:val="0"/>
                  <w:vAlign w:val="center"/>
                </w:tcPr>
                <w:p w14:paraId="1E036ECC">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低本底α、β计数器</w:t>
                  </w:r>
                </w:p>
              </w:tc>
              <w:tc>
                <w:tcPr>
                  <w:tcW w:w="2154" w:type="dxa"/>
                  <w:noWrap w:val="0"/>
                  <w:vAlign w:val="center"/>
                </w:tcPr>
                <w:p w14:paraId="438B623A">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bookmarkEnd w:id="56"/>
          </w:tbl>
          <w:p w14:paraId="2230D3DE">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3、供应商应配备能够完成项目的用车。</w:t>
            </w:r>
          </w:p>
          <w:p w14:paraId="327CD576">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4、供应商应具有数量充足的实验试剂、器皿、量具，监测必备的辅助设备、劳保用品、应急用品及救护用品。</w:t>
            </w:r>
          </w:p>
          <w:p w14:paraId="1888861E">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（8）机构及人员要求</w:t>
            </w:r>
          </w:p>
          <w:p w14:paraId="6D3473F0">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1、供应商应具备项目所需的监测能力，具体包括X-γ辐射剂量率、空气中氡、水中铀、水中钍、水中镭-226、固体中γ核素分析、水中总α、总β分析。</w:t>
            </w:r>
          </w:p>
          <w:p w14:paraId="2891DD2F">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2、供应商应具有与承担本项目相关的团队，人员应当分工明确，结构合理，技术力量、能力应满足本项目的需要，团队成员应为供应商正式员工。</w:t>
            </w:r>
          </w:p>
          <w:p w14:paraId="1DB294C5">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3、本项目必须配备项目负责人1名，项目负责人应具备5年以上从事辐射环境监测的工作经验，具有高级工程师及以上职称。</w:t>
            </w:r>
          </w:p>
          <w:p w14:paraId="78BFB541">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4、其它技术人员8名，均需持有环境保护部门或核工业等相关部门颁发的监测项目所需的上岗证或考核合格证。</w:t>
            </w:r>
          </w:p>
          <w:p w14:paraId="595EC9B4">
            <w:pPr>
              <w:spacing w:line="400" w:lineRule="exact"/>
              <w:ind w:left="0" w:leftChars="0" w:firstLine="422" w:firstLineChars="200"/>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(三）服务要求</w:t>
            </w:r>
          </w:p>
          <w:p w14:paraId="50A7EA20">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（1）乙方应按照采购服务总体要求按时按质完成项目。</w:t>
            </w:r>
          </w:p>
          <w:p w14:paraId="77A1AFE8">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（2）乙方提供服务的质量保证期按交付服务成果验收合格并签署验收合格单之日起计算，为</w:t>
            </w:r>
            <w:r>
              <w:rPr>
                <w:rFonts w:hint="eastAsia" w:ascii="宋体" w:hAnsi="宋体" w:eastAsia="宋体" w:cs="宋体"/>
                <w:color w:val="000000"/>
                <w:sz w:val="21"/>
                <w:szCs w:val="21"/>
                <w:lang w:val="en-US" w:eastAsia="zh-CN"/>
              </w:rPr>
              <w:t>365</w:t>
            </w:r>
            <w:r>
              <w:rPr>
                <w:rFonts w:hint="eastAsia" w:ascii="宋体" w:hAnsi="宋体" w:eastAsia="宋体" w:cs="宋体"/>
                <w:color w:val="000000"/>
                <w:sz w:val="21"/>
                <w:szCs w:val="21"/>
              </w:rPr>
              <w:t>日，在质量保证期内因服务成果本身的技术问题，乙方应对服务出现的问题负责处理解决并承担一切费用。</w:t>
            </w:r>
          </w:p>
          <w:p w14:paraId="1D5E6919">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（3）在质量保证期内发生技术服务问题，乙方应在接到甲方通知后24 小时内到达甲方现场在甲方指定的期限内解决问题。</w:t>
            </w:r>
          </w:p>
          <w:p w14:paraId="7E7BA58E">
            <w:pPr>
              <w:keepNext w:val="0"/>
              <w:keepLines w:val="0"/>
              <w:pageBreakBefore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（4）乙方应做好保密服务。</w:t>
            </w:r>
          </w:p>
        </w:tc>
      </w:tr>
      <w:tr w14:paraId="08EA1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29" w:type="dxa"/>
            <w:gridSpan w:val="5"/>
            <w:tcBorders>
              <w:top w:val="single" w:color="auto" w:sz="4" w:space="0"/>
              <w:left w:val="single" w:color="auto" w:sz="4" w:space="0"/>
              <w:bottom w:val="single" w:color="auto" w:sz="4" w:space="0"/>
              <w:right w:val="single" w:color="auto" w:sz="4" w:space="0"/>
            </w:tcBorders>
            <w:vAlign w:val="center"/>
          </w:tcPr>
          <w:p w14:paraId="1D8D3925">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商务要求：</w:t>
            </w:r>
          </w:p>
          <w:p w14:paraId="7D439392">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一、合同签订期：自成交通知书发出之日起25日内。</w:t>
            </w:r>
          </w:p>
          <w:p w14:paraId="2FAB5FAC">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二、服务期限：自合同签订之日至2025年12月31日。</w:t>
            </w:r>
          </w:p>
          <w:p w14:paraId="64F70A91">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三、服务的地点：广西区内采购人指定地点。</w:t>
            </w:r>
          </w:p>
          <w:p w14:paraId="3C6AEEAC">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四、提交成果内容要求：</w:t>
            </w:r>
          </w:p>
          <w:p w14:paraId="1BF8BB8E">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完成《广西伴生放射性固体废物环境风险隐患排查项目工作大纲》《广西伴生放射性固体废物环境风险隐患排查项目质保大纲》《广西伴生放射性固体废物环境风险隐患排查专项调查报告》《加强伴生放射性矿产资源开发利用辐射安全管理相关政策性文件（草拟稿）》四个成果材料。并提交完成项目验收，做好项目归档。</w:t>
            </w:r>
          </w:p>
          <w:p w14:paraId="4E2C6C1F">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五、付款方式：</w:t>
            </w:r>
          </w:p>
          <w:p w14:paraId="2CA662E0">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1、签订合同后10个工作日内，采购人向供应商支付45%的合同金额。</w:t>
            </w:r>
          </w:p>
          <w:p w14:paraId="33AE8655">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向采购人提交《广西伴生放射性固体废物环境风险隐患排查项目工作大纲》《广西伴生放射性固体废物环境风险隐患排查项目质保大纲》并经采购人审核通过后10个工作日内，采购人向供应商支付30%的合同金额。</w:t>
            </w:r>
          </w:p>
          <w:p w14:paraId="1A9C6511">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3、供应商完成现场排查工作量的70%并向采购人提出申请后10个工作日内，采购人向供应商支付15%的合同款。</w:t>
            </w:r>
          </w:p>
          <w:p w14:paraId="2DC58679">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4、供应商向采购人提交项目剩余成果材料，通过专家评审且完成验收后，采购人向供应商支付剩余10%的合同款。</w:t>
            </w:r>
          </w:p>
          <w:p w14:paraId="552AC97A">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六、报价要求</w:t>
            </w:r>
          </w:p>
          <w:p w14:paraId="6933C118">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项目按总包干报价，包括所有服务、技术支持、售后服务、差旅费、劳务费、材料费、培训费、验收费、手续费、专家评审费、保险费和各项税金及由于市场价格波动增加的费用，以及不可预见费等全部费用。（采购人不再支付任何费用）。</w:t>
            </w:r>
          </w:p>
          <w:p w14:paraId="2D10C93C">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七、其他要求</w:t>
            </w:r>
          </w:p>
          <w:p w14:paraId="30EA671C">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1、本项目不接受存在知识产权纠纷或存在潜在知识产权纠纷的技术方案。</w:t>
            </w:r>
          </w:p>
          <w:p w14:paraId="518BD2DA">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2、供应商提供的技术服务必须保证具备自有知识产权，如发生与知识产权有关的纠纷，由供应商解决并承担全部责任，与采购人无关。</w:t>
            </w:r>
          </w:p>
          <w:p w14:paraId="0497A167">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3、合同履行要求</w:t>
            </w:r>
          </w:p>
          <w:p w14:paraId="5EE0A59F">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（1）由采购人组织验收，验收不通过的事项，供应商须在采购人指定的时限内完成。遇特殊情况的，可由双方依据客观事实商议完成时限。</w:t>
            </w:r>
          </w:p>
          <w:p w14:paraId="476E6E4D">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（2）如发现供应商提供虚假材料谋取成交违法行为，采购人将报告同级财政部门和相关行政主管部门依法追究其法律责任。</w:t>
            </w:r>
          </w:p>
          <w:p w14:paraId="6AE2E681">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供应商如有因技术、数据造假（相关案件、信用记录）记录，一律不得参与投标及评标。如供应商不符合上述要求、隐瞒、提供虚假承诺等行为，由采购人或代理机构第一时间报监管部门并按照《中华人民共和国政府采购法》相关规定处理，供应商承担所有责任和费用，采购人保留进一步追究责任的权利，供应商不得做任何辩解。</w:t>
            </w:r>
          </w:p>
        </w:tc>
      </w:tr>
    </w:tbl>
    <w:p w14:paraId="1F0DFB53">
      <w:pPr>
        <w:widowControl/>
        <w:snapToGrid w:val="0"/>
        <w:spacing w:line="300" w:lineRule="exact"/>
        <w:jc w:val="left"/>
        <w:rPr>
          <w:rFonts w:ascii="宋体" w:hAnsi="Courier New"/>
          <w:color w:val="auto"/>
          <w:kern w:val="0"/>
          <w:sz w:val="20"/>
          <w:szCs w:val="21"/>
        </w:rPr>
      </w:pPr>
    </w:p>
    <w:p w14:paraId="6048F423">
      <w:pPr>
        <w:pStyle w:val="3"/>
        <w:rPr>
          <w:color w:val="auto"/>
        </w:rPr>
      </w:pPr>
      <w:r>
        <w:rPr>
          <w:color w:val="auto"/>
          <w:sz w:val="18"/>
          <w:szCs w:val="18"/>
        </w:rPr>
        <w:br w:type="page"/>
      </w:r>
      <w:r>
        <w:rPr>
          <w:rFonts w:hint="eastAsia"/>
          <w:color w:val="auto"/>
          <w:sz w:val="18"/>
          <w:szCs w:val="18"/>
          <w:lang w:val="en-US" w:eastAsia="zh-CN"/>
        </w:rPr>
        <w:t xml:space="preserve">    </w:t>
      </w:r>
      <w:bookmarkStart w:id="57" w:name="_Toc11340"/>
      <w:r>
        <w:rPr>
          <w:rFonts w:hint="eastAsia"/>
          <w:color w:val="auto"/>
        </w:rPr>
        <w:t>第四章  评审程序、评审方法和评审标准</w:t>
      </w:r>
      <w:bookmarkEnd w:id="57"/>
    </w:p>
    <w:p w14:paraId="10076851">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14:paraId="2564396E">
      <w:pPr>
        <w:spacing w:line="360" w:lineRule="auto"/>
        <w:ind w:firstLine="482" w:firstLineChars="200"/>
        <w:rPr>
          <w:rFonts w:ascii="黑体" w:hAnsi="黑体" w:eastAsia="黑体" w:cs="宋体"/>
          <w:b/>
          <w:bCs/>
          <w:color w:val="auto"/>
          <w:sz w:val="24"/>
        </w:rPr>
      </w:pPr>
    </w:p>
    <w:p w14:paraId="511EEA97">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14:paraId="688FD4BB">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14:paraId="339D92D1">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（1）查询渠道：</w:t>
      </w:r>
      <w:r>
        <w:rPr>
          <w:rFonts w:ascii="宋体" w:hAnsi="宋体" w:cs="宋体"/>
          <w:color w:val="auto"/>
          <w:szCs w:val="21"/>
        </w:rPr>
        <w:t>“信用中国”网站（www.creditchina.gov.cn）、中国政府采购网（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cs="宋体"/>
          <w:color w:val="auto"/>
        </w:rPr>
        <w:t>www.ccgp.gov.cn</w:t>
      </w:r>
      <w:r>
        <w:rPr>
          <w:rFonts w:cs="宋体"/>
          <w:color w:val="auto"/>
        </w:rPr>
        <w:fldChar w:fldCharType="end"/>
      </w:r>
      <w:r>
        <w:rPr>
          <w:rFonts w:ascii="宋体" w:hAnsi="宋体" w:cs="宋体"/>
          <w:color w:val="auto"/>
          <w:szCs w:val="21"/>
        </w:rPr>
        <w:t>）</w:t>
      </w:r>
    </w:p>
    <w:p w14:paraId="1BB45D41">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（2）信用查询截止时点：</w:t>
      </w:r>
      <w:r>
        <w:rPr>
          <w:rFonts w:ascii="宋体" w:hAnsi="宋体" w:cs="宋体"/>
          <w:color w:val="auto"/>
          <w:szCs w:val="21"/>
        </w:rPr>
        <w:t>资格审查结束前</w:t>
      </w:r>
    </w:p>
    <w:p w14:paraId="65F75916">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（3）查询记录和证据留存方式：将查询网站中的查询记录截图并作为评审资料保存。</w:t>
      </w:r>
    </w:p>
    <w:p w14:paraId="16BD29C8">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678B615">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14:paraId="259E7EC9">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.3供应商有下列情形之一的，资格审查不通过，其响应文件按无效响应处理：</w:t>
      </w:r>
    </w:p>
    <w:p w14:paraId="2B22ACEF">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5D10C975">
      <w:pPr>
        <w:spacing w:line="360" w:lineRule="auto"/>
        <w:ind w:firstLine="420" w:firstLineChars="200"/>
        <w:rPr>
          <w:rFonts w:ascii="宋体" w:hAnsi="宋体" w:cs="宋体"/>
          <w:color w:val="auto"/>
          <w:szCs w:val="21"/>
        </w:rPr>
      </w:pPr>
      <w:r>
        <w:rPr>
          <w:rFonts w:hint="eastAsia" w:ascii="宋体" w:hAnsi="宋体" w:cs="宋体"/>
          <w:color w:val="auto"/>
          <w:szCs w:val="21"/>
        </w:rPr>
        <w:t>（2）响应文件的资格证明文件缺少任一项“供应商须知前附表”资格证明文件规定的“必须提供”的文件资料的；</w:t>
      </w:r>
    </w:p>
    <w:p w14:paraId="71784835">
      <w:pPr>
        <w:spacing w:line="360" w:lineRule="auto"/>
        <w:ind w:firstLine="420" w:firstLineChars="200"/>
        <w:rPr>
          <w:rFonts w:ascii="宋体" w:hAnsi="宋体" w:cs="宋体"/>
          <w:color w:val="auto"/>
          <w:szCs w:val="21"/>
        </w:rPr>
      </w:pPr>
      <w:r>
        <w:rPr>
          <w:rFonts w:hint="eastAsia" w:ascii="宋体" w:hAnsi="宋体" w:cs="宋体"/>
          <w:color w:val="auto"/>
          <w:szCs w:val="21"/>
        </w:rPr>
        <w:t>（3）响应文件中的资格证明文件出现任一项不符合“供应商须知前附表”资格证明文件规定的“必须提供”的文件资料要求或者无效的；</w:t>
      </w:r>
    </w:p>
    <w:p w14:paraId="44FC003C">
      <w:pPr>
        <w:spacing w:line="360" w:lineRule="auto"/>
        <w:ind w:firstLine="420" w:firstLineChars="200"/>
        <w:rPr>
          <w:rFonts w:ascii="宋体" w:hAnsi="宋体" w:cs="宋体"/>
          <w:color w:val="auto"/>
          <w:szCs w:val="21"/>
        </w:rPr>
      </w:pPr>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（4）同一合同项下的不同供应商，单位负责人为同一人或者存在直接控股、管理关系的；为本项目提供过整体设计、规范编制或者项目管理、监理、检测等服务的供应商，再参加该采购项目的其他采购活动的。</w:t>
      </w:r>
    </w:p>
    <w:p w14:paraId="5F2A0A67">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采购人或者采购代理机构应当重新开展采购活动。</w:t>
      </w:r>
    </w:p>
    <w:p w14:paraId="34BC818C">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14:paraId="3DD3A9E0">
      <w:pPr>
        <w:spacing w:line="360" w:lineRule="auto"/>
        <w:ind w:firstLine="420" w:firstLineChars="200"/>
        <w:rPr>
          <w:rFonts w:ascii="宋体" w:hAnsi="宋体" w:cs="宋体"/>
          <w:color w:val="auto"/>
          <w:szCs w:val="21"/>
        </w:rPr>
      </w:pPr>
      <w:bookmarkStart w:id="58" w:name="_Hlk42528882"/>
      <w:r>
        <w:rPr>
          <w:rFonts w:ascii="宋体" w:hAnsi="宋体" w:cs="宋体"/>
          <w:color w:val="auto"/>
          <w:szCs w:val="21"/>
        </w:rPr>
        <w:t>2.1</w:t>
      </w:r>
      <w:r>
        <w:rPr>
          <w:rFonts w:hint="eastAsia" w:ascii="宋体" w:hAnsi="宋体" w:cs="宋体"/>
          <w:color w:val="auto"/>
          <w:szCs w:val="21"/>
        </w:rPr>
        <w:t>由磋商小组对</w:t>
      </w:r>
      <w:r>
        <w:rPr>
          <w:rFonts w:hint="eastAsia" w:ascii="宋体" w:hAnsi="宋体"/>
          <w:color w:val="auto"/>
          <w:szCs w:val="21"/>
        </w:rPr>
        <w:t>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58"/>
    <w:p w14:paraId="5794B10A">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BC1736">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并加盖供应商公章</w:t>
      </w:r>
      <w:r>
        <w:rPr>
          <w:rFonts w:hint="eastAsia" w:ascii="宋体" w:hAnsi="宋体" w:cs="宋体"/>
          <w:color w:val="auto"/>
          <w:spacing w:val="-6"/>
          <w:szCs w:val="21"/>
        </w:rPr>
        <w:t>。供应商为自然人的，必须由本人签字并附其身份证明。</w:t>
      </w:r>
    </w:p>
    <w:p w14:paraId="62F85795">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14:paraId="55A23E42">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7E86D156">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14:paraId="7F548A12">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5B371A3A">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249A99B4">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0615F647">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73FD983F">
      <w:pPr>
        <w:spacing w:line="360" w:lineRule="auto"/>
        <w:ind w:firstLine="420" w:firstLineChars="200"/>
        <w:rPr>
          <w:rFonts w:ascii="宋体" w:hAnsi="宋体" w:cs="宋体"/>
          <w:color w:val="auto"/>
          <w:szCs w:val="21"/>
        </w:rPr>
      </w:pPr>
      <w:r>
        <w:rPr>
          <w:rFonts w:hint="eastAsia" w:ascii="宋体" w:hAnsi="宋体" w:cs="宋体"/>
          <w:color w:val="auto"/>
          <w:szCs w:val="21"/>
        </w:rPr>
        <w:t>在评审时，如发现下列情形之一的，将被视为响应文件无效响应处理：</w:t>
      </w:r>
    </w:p>
    <w:p w14:paraId="46EA0C33">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50A6E085">
      <w:pPr>
        <w:spacing w:line="360" w:lineRule="auto"/>
        <w:ind w:firstLine="420" w:firstLineChars="200"/>
        <w:rPr>
          <w:rFonts w:ascii="宋体" w:hAnsi="宋体" w:cs="宋体"/>
          <w:color w:val="auto"/>
          <w:szCs w:val="21"/>
        </w:rPr>
      </w:pPr>
      <w:r>
        <w:rPr>
          <w:rFonts w:hint="eastAsia" w:ascii="宋体" w:hAnsi="宋体" w:cs="宋体"/>
          <w:color w:val="auto"/>
          <w:szCs w:val="21"/>
        </w:rPr>
        <w:t>1）响应文件未按磋商文件要求签署、盖章；</w:t>
      </w:r>
    </w:p>
    <w:p w14:paraId="1A4D8A08">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2）委托代理人未能出具有效身份证或者出具的身份证与授权委托书中的信息不符的； </w:t>
      </w:r>
    </w:p>
    <w:p w14:paraId="57E6CC19">
      <w:pPr>
        <w:spacing w:line="360" w:lineRule="auto"/>
        <w:ind w:firstLine="420" w:firstLineChars="200"/>
        <w:rPr>
          <w:rFonts w:ascii="宋体" w:hAnsi="宋体" w:cs="宋体"/>
          <w:color w:val="auto"/>
          <w:szCs w:val="21"/>
        </w:rPr>
      </w:pPr>
      <w:r>
        <w:rPr>
          <w:rFonts w:hint="eastAsia" w:ascii="宋体" w:hAnsi="宋体" w:cs="宋体"/>
          <w:color w:val="auto"/>
          <w:szCs w:val="21"/>
        </w:rPr>
        <w:t>3）提交的磋商保证金无效的或者未按照磋商文件的规定提交磋商保证金；</w:t>
      </w:r>
    </w:p>
    <w:p w14:paraId="4AAEC97F">
      <w:pPr>
        <w:spacing w:line="360" w:lineRule="auto"/>
        <w:ind w:firstLine="420" w:firstLineChars="200"/>
        <w:rPr>
          <w:rFonts w:ascii="宋体" w:hAnsi="宋体" w:cs="宋体"/>
          <w:color w:val="auto"/>
          <w:szCs w:val="21"/>
        </w:rPr>
      </w:pPr>
      <w:r>
        <w:rPr>
          <w:rFonts w:hint="eastAsia" w:ascii="宋体" w:hAnsi="宋体" w:cs="宋体"/>
          <w:color w:val="auto"/>
          <w:szCs w:val="21"/>
        </w:rPr>
        <w:t>4）响应文件中的报价商务技术文件出现任一项不符合“供应商须知前附表”中“必须提供”或者“委托时必须提供”文件资料要求的规定或者提供的报价商务技术文件无效。</w:t>
      </w:r>
    </w:p>
    <w:p w14:paraId="167A9504">
      <w:pPr>
        <w:spacing w:line="360" w:lineRule="auto"/>
        <w:ind w:firstLine="420" w:firstLineChars="200"/>
        <w:rPr>
          <w:rFonts w:ascii="宋体" w:hAnsi="宋体" w:cs="宋体"/>
          <w:color w:val="auto"/>
          <w:szCs w:val="21"/>
        </w:rPr>
      </w:pPr>
      <w:r>
        <w:rPr>
          <w:rFonts w:hint="eastAsia" w:ascii="宋体" w:hAnsi="宋体" w:cs="宋体"/>
          <w:color w:val="auto"/>
          <w:szCs w:val="21"/>
        </w:rPr>
        <w:t>5）商务条款中标“▲”的条款发生负偏离或者允许负偏离的条款数超过“供应商须知前附表”规定项数的；</w:t>
      </w:r>
    </w:p>
    <w:p w14:paraId="5D323843">
      <w:pPr>
        <w:spacing w:line="360" w:lineRule="auto"/>
        <w:ind w:firstLine="420" w:firstLineChars="200"/>
        <w:rPr>
          <w:rFonts w:ascii="宋体" w:hAnsi="宋体" w:cs="宋体"/>
          <w:color w:val="auto"/>
          <w:szCs w:val="21"/>
        </w:rPr>
      </w:pPr>
      <w:r>
        <w:rPr>
          <w:rFonts w:hint="eastAsia" w:ascii="宋体" w:hAnsi="宋体" w:cs="宋体"/>
          <w:color w:val="auto"/>
          <w:szCs w:val="21"/>
        </w:rPr>
        <w:t>6）未对竞标有效期作出响应或者响应文件承诺的竞标有效期不满足磋商文件要求；</w:t>
      </w:r>
    </w:p>
    <w:p w14:paraId="1DBAC4F7">
      <w:pPr>
        <w:spacing w:line="360" w:lineRule="auto"/>
        <w:ind w:firstLine="420" w:firstLineChars="200"/>
        <w:rPr>
          <w:rFonts w:ascii="宋体" w:hAnsi="宋体" w:cs="宋体"/>
          <w:color w:val="auto"/>
          <w:szCs w:val="21"/>
        </w:rPr>
      </w:pPr>
      <w:r>
        <w:rPr>
          <w:rFonts w:hint="eastAsia" w:ascii="宋体" w:hAnsi="宋体" w:cs="宋体"/>
          <w:color w:val="auto"/>
          <w:szCs w:val="21"/>
        </w:rPr>
        <w:t>7）响应文件的实质性内容未使用中文表述、使用计量单位不符合磋商文件要求；</w:t>
      </w:r>
    </w:p>
    <w:p w14:paraId="274ABFCA">
      <w:pPr>
        <w:spacing w:line="360" w:lineRule="auto"/>
        <w:ind w:firstLine="420" w:firstLineChars="200"/>
        <w:rPr>
          <w:rFonts w:ascii="宋体" w:hAnsi="宋体" w:cs="宋体"/>
          <w:color w:val="auto"/>
          <w:szCs w:val="21"/>
        </w:rPr>
      </w:pPr>
      <w:r>
        <w:rPr>
          <w:rFonts w:hint="eastAsia" w:ascii="宋体" w:hAnsi="宋体" w:cs="宋体"/>
          <w:color w:val="auto"/>
          <w:szCs w:val="21"/>
        </w:rPr>
        <w:t>8）响应文件中的文件资料因填写不齐全或者内容虚假或者出现其他情形而导致被磋商小组认定无效；</w:t>
      </w:r>
    </w:p>
    <w:p w14:paraId="0851741B">
      <w:pPr>
        <w:spacing w:line="360" w:lineRule="auto"/>
        <w:ind w:firstLine="420" w:firstLineChars="200"/>
        <w:rPr>
          <w:rFonts w:ascii="宋体" w:hAnsi="宋体" w:cs="宋体"/>
          <w:color w:val="auto"/>
          <w:szCs w:val="21"/>
        </w:rPr>
      </w:pPr>
      <w:r>
        <w:rPr>
          <w:rFonts w:hint="eastAsia" w:ascii="宋体" w:hAnsi="宋体" w:cs="宋体"/>
          <w:color w:val="auto"/>
          <w:szCs w:val="21"/>
        </w:rPr>
        <w:t>9）响应文件含有采购人不能接受的附加条件；</w:t>
      </w:r>
    </w:p>
    <w:p w14:paraId="4E2D3E33">
      <w:pPr>
        <w:spacing w:line="360" w:lineRule="auto"/>
        <w:ind w:firstLine="420" w:firstLineChars="200"/>
        <w:rPr>
          <w:rFonts w:ascii="宋体" w:hAnsi="宋体" w:cs="宋体"/>
          <w:color w:val="auto"/>
          <w:szCs w:val="21"/>
        </w:rPr>
      </w:pPr>
      <w:r>
        <w:rPr>
          <w:rFonts w:hint="eastAsia" w:ascii="宋体" w:hAnsi="宋体" w:cs="宋体"/>
          <w:color w:val="auto"/>
          <w:szCs w:val="21"/>
        </w:rPr>
        <w:t>10）属于“供应商须知正文”第7.</w:t>
      </w:r>
      <w:r>
        <w:rPr>
          <w:rFonts w:ascii="宋体" w:hAnsi="宋体" w:cs="宋体"/>
          <w:color w:val="auto"/>
          <w:szCs w:val="21"/>
        </w:rPr>
        <w:t>5</w:t>
      </w:r>
      <w:r>
        <w:rPr>
          <w:rFonts w:hint="eastAsia" w:ascii="宋体" w:hAnsi="宋体" w:cs="宋体"/>
          <w:color w:val="auto"/>
          <w:szCs w:val="21"/>
        </w:rPr>
        <w:t>条情形；</w:t>
      </w:r>
    </w:p>
    <w:p w14:paraId="306CB512">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1）技术要求中标“▲”的条款发生负偏离或允许负偏离的条款数超过“供应商须知前附表”规定项数的；</w:t>
      </w:r>
    </w:p>
    <w:p w14:paraId="396DA58B">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2）虚假竞标，或者出现其他情形而导致被磋商小组认定无效；</w:t>
      </w:r>
    </w:p>
    <w:p w14:paraId="403D2D85">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w:t>
      </w:r>
      <w:bookmarkStart w:id="59" w:name="_Hlk71704147"/>
      <w:r>
        <w:rPr>
          <w:rFonts w:hint="eastAsia" w:ascii="宋体" w:hAnsi="宋体" w:cs="宋体"/>
          <w:color w:val="auto"/>
          <w:szCs w:val="21"/>
        </w:rPr>
        <w:t>磋商文件未载明允许提供备选（替代）竞标方案或明确不允许提供备选（替代）竞标方案时，供应商提供了备选（替代）竞标方案的；</w:t>
      </w:r>
      <w:bookmarkEnd w:id="59"/>
    </w:p>
    <w:p w14:paraId="6534D012">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4）响应文件标注的项目名称或者项目编号与磋商文件标注的项目名称或者项目编号不一致的；</w:t>
      </w:r>
    </w:p>
    <w:p w14:paraId="55EB6781">
      <w:pPr>
        <w:spacing w:line="360" w:lineRule="auto"/>
        <w:ind w:firstLine="420" w:firstLineChars="200"/>
        <w:rPr>
          <w:rFonts w:ascii="宋体" w:hAnsi="宋体" w:cs="宋体"/>
          <w:color w:val="auto"/>
          <w:szCs w:val="21"/>
        </w:rPr>
      </w:pPr>
      <w:r>
        <w:rPr>
          <w:rFonts w:hint="eastAsia" w:ascii="宋体" w:hAnsi="宋体" w:cs="宋体"/>
          <w:color w:val="auto"/>
          <w:szCs w:val="21"/>
        </w:rPr>
        <w:t>15）</w:t>
      </w:r>
      <w:r>
        <w:rPr>
          <w:rFonts w:hint="eastAsia" w:ascii="宋体" w:hAnsi="宋体"/>
          <w:color w:val="auto"/>
          <w:szCs w:val="21"/>
        </w:rPr>
        <w:t>竞争性磋商文件明确不允许分包，响应文件拟分包的；</w:t>
      </w:r>
    </w:p>
    <w:p w14:paraId="733C3A7C">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6）未响应磋商文件实质性要求；</w:t>
      </w:r>
    </w:p>
    <w:p w14:paraId="0447239E">
      <w:pPr>
        <w:spacing w:line="360" w:lineRule="auto"/>
        <w:ind w:firstLine="420" w:firstLineChars="200"/>
        <w:rPr>
          <w:rFonts w:ascii="宋体" w:hAnsi="宋体" w:cs="宋体"/>
          <w:color w:val="auto"/>
          <w:szCs w:val="21"/>
        </w:rPr>
      </w:pPr>
      <w:r>
        <w:rPr>
          <w:rFonts w:hint="eastAsia" w:ascii="宋体" w:hAnsi="宋体" w:cs="宋体"/>
          <w:color w:val="auto"/>
          <w:szCs w:val="21"/>
        </w:rPr>
        <w:t>17）法律、法规和磋商文件规定的其他无效情形。</w:t>
      </w:r>
    </w:p>
    <w:p w14:paraId="3903095C">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70A675D2">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报价商务技术文件中规定的“竞标报价表”；</w:t>
      </w:r>
    </w:p>
    <w:p w14:paraId="11598A9D">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w:t>
      </w:r>
    </w:p>
    <w:p w14:paraId="62778C62">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9268904">
      <w:pPr>
        <w:spacing w:line="360" w:lineRule="auto"/>
        <w:ind w:firstLine="420" w:firstLineChars="200"/>
        <w:rPr>
          <w:rFonts w:ascii="宋体" w:hAnsi="宋体" w:cs="宋体"/>
          <w:color w:val="auto"/>
          <w:szCs w:val="21"/>
        </w:rPr>
      </w:pPr>
      <w:r>
        <w:rPr>
          <w:rFonts w:hint="eastAsia" w:ascii="宋体" w:hAnsi="宋体" w:cs="宋体"/>
          <w:color w:val="auto"/>
          <w:szCs w:val="21"/>
        </w:rPr>
        <w:t>4）最后报价超过所竞标分标规定的采购预算金额或者最高限价的（如本项目公布了最高限价）；</w:t>
      </w:r>
      <w:bookmarkStart w:id="60" w:name="_Hlk42596405"/>
      <w:r>
        <w:rPr>
          <w:rFonts w:hint="eastAsia" w:ascii="宋体" w:hAnsi="宋体" w:cs="宋体"/>
          <w:color w:val="auto"/>
          <w:szCs w:val="21"/>
        </w:rPr>
        <w:t xml:space="preserve"> </w:t>
      </w:r>
      <w:bookmarkEnd w:id="60"/>
    </w:p>
    <w:p w14:paraId="2B1C9B9D">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5）修正后的报价，供应商不确认的；或者经供应商确认修正后的最后报价超过所竞标分标规定的采购预算金额或者最高限价（如本项目公布了最高限价）；</w:t>
      </w:r>
    </w:p>
    <w:p w14:paraId="5CF4906C">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olor w:val="auto"/>
          <w:szCs w:val="21"/>
        </w:rPr>
        <w:t>响应文件响应的标的数量及单位与竞争性磋商采购文件要求实质性不一致的。</w:t>
      </w:r>
    </w:p>
    <w:p w14:paraId="2DA04885">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18D90F65">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14:paraId="2A509E96">
      <w:pPr>
        <w:spacing w:line="360" w:lineRule="auto"/>
        <w:ind w:firstLine="420" w:firstLineChars="200"/>
        <w:rPr>
          <w:rFonts w:ascii="宋体" w:hAnsi="宋体" w:cs="宋体"/>
          <w:color w:val="auto"/>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在规定时间内参加磋商，未在规定时间内参加磋商的视同放弃参加磋商权利，其响应文件按无效响应处理。</w:t>
      </w:r>
    </w:p>
    <w:p w14:paraId="64359ACF">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B5192B2">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对磋商文件作出的实质性变动是磋商文件的有效组成部分，由磋商小组及时以电子磋商记录形式同时通知所有参加磋商的供应商。</w:t>
      </w:r>
    </w:p>
    <w:p w14:paraId="065DCC98">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556EB8C8">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磋商的任何一方不得透露与磋商有关的其他供应商的技术资料、价格和其他信息。</w:t>
      </w:r>
    </w:p>
    <w:p w14:paraId="287795CA">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6</w:t>
      </w:r>
      <w:r>
        <w:rPr>
          <w:rFonts w:hint="eastAsia" w:ascii="宋体" w:hAnsi="宋体"/>
          <w:color w:val="auto"/>
          <w:szCs w:val="21"/>
        </w:rPr>
        <w:t>对磋商过程提交的响应文件进行有效性、完整性和响应程度审查，通过审查的合格供应商不足3家的，采购人或者采购代理机构应当重新开展采购活动。</w:t>
      </w:r>
    </w:p>
    <w:p w14:paraId="383B5E2E">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7</w:t>
      </w:r>
      <w:r>
        <w:rPr>
          <w:color w:val="auto"/>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12F0E91">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14:paraId="7742B82E">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磋商文件能够详细列明采购标的的技术、服务要求的，磋商结束后，由磋商小组要求所有继续参加磋商的供应商在规定时间内以电子文件形式提交最后报价，除本章第3.7、</w:t>
      </w:r>
      <w:r>
        <w:rPr>
          <w:rFonts w:ascii="宋体" w:hAnsi="宋体" w:cs="宋体"/>
          <w:color w:val="auto"/>
          <w:szCs w:val="21"/>
        </w:rPr>
        <w:t>4.3</w:t>
      </w:r>
      <w:r>
        <w:rPr>
          <w:rFonts w:hint="eastAsia" w:ascii="宋体" w:hAnsi="宋体" w:cs="宋体"/>
          <w:color w:val="auto"/>
          <w:szCs w:val="21"/>
        </w:rPr>
        <w:t>条外，提交最后报价的供应商不得少于3家，否则必须重新采购。</w:t>
      </w:r>
    </w:p>
    <w:p w14:paraId="38261254">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48552CC9">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rPr>
        <w:t>本章第3.</w:t>
      </w:r>
      <w:r>
        <w:rPr>
          <w:rFonts w:hint="eastAsia"/>
          <w:color w:val="auto"/>
        </w:rPr>
        <w:t>7</w:t>
      </w:r>
      <w:r>
        <w:rPr>
          <w:color w:val="auto"/>
        </w:rPr>
        <w:t>条情形的，</w:t>
      </w:r>
      <w:r>
        <w:rPr>
          <w:rFonts w:hint="eastAsia" w:ascii="宋体" w:hAnsi="宋体" w:cs="宋体"/>
          <w:color w:val="auto"/>
          <w:szCs w:val="21"/>
        </w:rPr>
        <w:t>提交最后报价的供应商可以为2家。</w:t>
      </w:r>
    </w:p>
    <w:p w14:paraId="35301C23">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已经提交响应文件的供应商，在提交最后报价之前，可以根据磋商情况退出磋商，退出磋商的供应商的响应文件按无效响应处理。采购人、采购代理机构将退还退出磋商的供应商的保证金。</w:t>
      </w:r>
    </w:p>
    <w:p w14:paraId="4038EB9E">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w:t>
      </w:r>
    </w:p>
    <w:p w14:paraId="41FF5F8D">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磋商小组收齐某一分标最后报价后或达到规定时间后统一开启，磋商小组对最后报价进行有效性、完整性和响应程度的审查。</w:t>
      </w:r>
    </w:p>
    <w:p w14:paraId="456F5DDC">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响应文件最后报价出现前后不一致的，按照本章第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2FD3441D">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经供应商确认修正后的最后报价作为评审及签订合同的依据。</w:t>
      </w:r>
    </w:p>
    <w:p w14:paraId="4B70D1B5">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9</w:t>
      </w:r>
      <w:r>
        <w:rPr>
          <w:rFonts w:hint="eastAsia" w:ascii="宋体" w:hAnsi="宋体" w:cs="宋体"/>
          <w:color w:val="auto"/>
          <w:szCs w:val="21"/>
        </w:rPr>
        <w:t>供应商出现最后报价按无效响应处理或者响应文件按无效响应处理时</w:t>
      </w:r>
      <w:r>
        <w:rPr>
          <w:rFonts w:hint="eastAsia" w:ascii="宋体" w:hAnsi="宋体"/>
          <w:color w:val="auto"/>
          <w:sz w:val="22"/>
          <w:szCs w:val="22"/>
        </w:rPr>
        <w:t>，磋商小组应当告知有关供应商</w:t>
      </w:r>
      <w:r>
        <w:rPr>
          <w:rFonts w:hint="eastAsia" w:ascii="宋体" w:hAnsi="宋体" w:cs="宋体"/>
          <w:color w:val="auto"/>
          <w:szCs w:val="21"/>
        </w:rPr>
        <w:t>。</w:t>
      </w:r>
    </w:p>
    <w:p w14:paraId="7123B725">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.10</w:t>
      </w:r>
      <w:r>
        <w:rPr>
          <w:rFonts w:hint="eastAsia" w:ascii="宋体" w:hAnsi="宋体" w:cs="宋体"/>
          <w:color w:val="auto"/>
          <w:szCs w:val="21"/>
        </w:rPr>
        <w:t>最后报价结束后，磋商小组不得再与供应商进行任何形式的商谈。</w:t>
      </w:r>
    </w:p>
    <w:p w14:paraId="58BA0C9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646312D1">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77C56C40">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06EE54B5">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087F0966">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1C5AC3FF">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76E9DA48">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评标价为供应商的最后报价进行政策性扣除后的价格，评标价只是作为评审时使用。最终成交供应商的成交金额等于最后报价（如有修正，以确认修正后的最后报价为准）。</w:t>
      </w:r>
    </w:p>
    <w:p w14:paraId="07450C24">
      <w:pPr>
        <w:spacing w:line="360" w:lineRule="auto"/>
        <w:ind w:firstLine="420" w:firstLineChars="200"/>
        <w:rPr>
          <w:rFonts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hint="eastAsia" w:ascii="宋体" w:hAnsi="宋体" w:cs="宋体"/>
          <w:color w:val="auto"/>
          <w:szCs w:val="21"/>
        </w:rPr>
        <w:t>3.7、</w:t>
      </w:r>
      <w:r>
        <w:rPr>
          <w:rFonts w:ascii="宋体" w:hAnsi="宋体" w:cs="宋体"/>
          <w:color w:val="auto"/>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14:paraId="21DA2751">
      <w:pPr>
        <w:spacing w:line="360" w:lineRule="auto"/>
        <w:ind w:firstLine="420" w:firstLineChars="200"/>
        <w:rPr>
          <w:rFonts w:ascii="宋体" w:hAnsi="宋体" w:cs="宋体"/>
          <w:color w:val="auto"/>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E5A5289">
      <w:pPr>
        <w:spacing w:line="360" w:lineRule="auto"/>
        <w:jc w:val="center"/>
        <w:rPr>
          <w:rFonts w:ascii="宋体" w:hAnsi="宋体"/>
          <w:bCs/>
          <w:color w:val="auto"/>
          <w:szCs w:val="21"/>
        </w:rPr>
      </w:pPr>
      <w:r>
        <w:rPr>
          <w:rFonts w:ascii="宋体" w:hAnsi="宋体"/>
          <w:b/>
          <w:color w:val="auto"/>
          <w:sz w:val="32"/>
          <w:szCs w:val="32"/>
        </w:rPr>
        <w:br w:type="page"/>
      </w:r>
      <w:r>
        <w:rPr>
          <w:rFonts w:hint="eastAsia" w:ascii="宋体" w:hAnsi="宋体"/>
          <w:b/>
          <w:color w:val="auto"/>
          <w:sz w:val="32"/>
          <w:szCs w:val="32"/>
        </w:rPr>
        <w:t>二、评审标准</w:t>
      </w:r>
    </w:p>
    <w:p w14:paraId="7694013F">
      <w:pPr>
        <w:spacing w:line="360" w:lineRule="auto"/>
        <w:ind w:firstLine="420" w:firstLineChars="200"/>
        <w:rPr>
          <w:color w:val="auto"/>
          <w:sz w:val="18"/>
          <w:szCs w:val="18"/>
        </w:rPr>
      </w:pPr>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评审依据：磋商小组将以磋商响应文件为评审依据，对供应商的报价、技术、商务等方面内容打分。（计分方法按四舍五入取至百分位</w:t>
      </w:r>
    </w:p>
    <w:tbl>
      <w:tblPr>
        <w:tblStyle w:val="19"/>
        <w:tblpPr w:leftFromText="180" w:rightFromText="180" w:vertAnchor="text" w:horzAnchor="page" w:tblpX="1497" w:tblpY="599"/>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23"/>
        <w:gridCol w:w="6615"/>
        <w:gridCol w:w="773"/>
      </w:tblGrid>
      <w:tr w14:paraId="3FA3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DB8422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bookmarkStart w:id="61" w:name="PO_3000001868_PM051"/>
            <w:r>
              <w:rPr>
                <w:rFonts w:hint="eastAsia" w:ascii="宋体" w:hAnsi="宋体" w:eastAsia="宋体" w:cs="Times New Roman"/>
                <w:bCs/>
                <w:color w:val="auto"/>
                <w:kern w:val="2"/>
                <w:sz w:val="21"/>
                <w:szCs w:val="21"/>
                <w:lang w:val="en-US" w:eastAsia="zh-CN" w:bidi="ar-SA"/>
              </w:rPr>
              <w:t>评标项目</w:t>
            </w:r>
          </w:p>
        </w:tc>
        <w:tc>
          <w:tcPr>
            <w:tcW w:w="923" w:type="dxa"/>
            <w:vAlign w:val="center"/>
          </w:tcPr>
          <w:p w14:paraId="3C12FAE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评标</w:t>
            </w:r>
          </w:p>
          <w:p w14:paraId="580DF43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分值</w:t>
            </w:r>
          </w:p>
        </w:tc>
        <w:tc>
          <w:tcPr>
            <w:tcW w:w="6615" w:type="dxa"/>
            <w:vAlign w:val="center"/>
          </w:tcPr>
          <w:p w14:paraId="1E8F333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评标方法描述</w:t>
            </w:r>
          </w:p>
        </w:tc>
        <w:tc>
          <w:tcPr>
            <w:tcW w:w="773" w:type="dxa"/>
            <w:vAlign w:val="center"/>
          </w:tcPr>
          <w:p w14:paraId="24257E1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备注</w:t>
            </w:r>
          </w:p>
        </w:tc>
      </w:tr>
      <w:tr w14:paraId="32CA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9" w:type="dxa"/>
            <w:gridSpan w:val="4"/>
            <w:vAlign w:val="center"/>
          </w:tcPr>
          <w:p w14:paraId="7DD3BF0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（一）价格分（满分10分）</w:t>
            </w:r>
          </w:p>
        </w:tc>
      </w:tr>
      <w:tr w14:paraId="24B5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15B62C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投标报价</w:t>
            </w:r>
          </w:p>
        </w:tc>
        <w:tc>
          <w:tcPr>
            <w:tcW w:w="923" w:type="dxa"/>
            <w:vAlign w:val="center"/>
          </w:tcPr>
          <w:p w14:paraId="28F976F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10分</w:t>
            </w:r>
          </w:p>
        </w:tc>
        <w:tc>
          <w:tcPr>
            <w:tcW w:w="6615" w:type="dxa"/>
            <w:vAlign w:val="center"/>
          </w:tcPr>
          <w:p w14:paraId="1B7ACF8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（1）评审报价为磋商供应商的磋商报价进行政策性扣除后的价格，评审报价只是作为评审时使用。最终成交人的成交金额等于最后磋商报价。</w:t>
            </w:r>
          </w:p>
          <w:p w14:paraId="19FF0B0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（2）按照《政府采购促进中小企业发展管理办法》（财库〔2020〕46号）的规定，磋商供应商在其响应文件中提供《中小企业声明函》，且其服务为小型和微型企业承接的，对其最后报价给予10%的扣除。</w:t>
            </w:r>
          </w:p>
          <w:p w14:paraId="2BE5F10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F0C293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88A46C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（5）政策性扣除计算方法。</w:t>
            </w:r>
          </w:p>
          <w:p w14:paraId="469BE92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 xml:space="preserve">在服务采购项目中，服务由小微企业承接；对符合上述要求的磋商供应商的磋商报价给予10%的扣除，扣除后的价格为评审报价，即评审报价=磋商报价×（1-10%）。 </w:t>
            </w:r>
          </w:p>
          <w:p w14:paraId="4767409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（6）满足采购文件要求且评审报价最低的评审报价为评审基准价，其价格分为满分。</w:t>
            </w:r>
          </w:p>
          <w:p w14:paraId="472F571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（7）价格分计算公式：</w:t>
            </w:r>
          </w:p>
          <w:p w14:paraId="07E04CD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价格分=(评审基准价／某有效供应商评审报价)×10分</w:t>
            </w:r>
          </w:p>
          <w:p w14:paraId="752332A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（8）低价说明。</w:t>
            </w:r>
          </w:p>
          <w:p w14:paraId="4FCB28A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cs="Times New Roman"/>
                <w:bCs/>
                <w:color w:val="auto"/>
                <w:kern w:val="2"/>
                <w:sz w:val="21"/>
                <w:szCs w:val="21"/>
                <w:lang w:val="en-US" w:eastAsia="zh-CN" w:bidi="ar-SA"/>
              </w:rPr>
              <w:t>磋商小组</w:t>
            </w:r>
            <w:r>
              <w:rPr>
                <w:rFonts w:hint="eastAsia" w:ascii="宋体" w:hAnsi="宋体" w:eastAsia="宋体" w:cs="Times New Roman"/>
                <w:bCs/>
                <w:color w:val="auto"/>
                <w:kern w:val="2"/>
                <w:sz w:val="21"/>
                <w:szCs w:val="21"/>
                <w:lang w:val="en-US" w:eastAsia="zh-CN" w:bidi="ar-SA"/>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Times New Roman"/>
                <w:bCs/>
                <w:color w:val="auto"/>
                <w:kern w:val="2"/>
                <w:sz w:val="21"/>
                <w:szCs w:val="21"/>
                <w:lang w:val="en-US" w:eastAsia="zh-CN" w:bidi="ar-SA"/>
              </w:rPr>
              <w:t>磋商小组</w:t>
            </w:r>
            <w:r>
              <w:rPr>
                <w:rFonts w:hint="eastAsia" w:ascii="宋体" w:hAnsi="宋体" w:eastAsia="宋体" w:cs="Times New Roman"/>
                <w:bCs/>
                <w:color w:val="auto"/>
                <w:kern w:val="2"/>
                <w:sz w:val="21"/>
                <w:szCs w:val="21"/>
                <w:lang w:val="en-US" w:eastAsia="zh-CN" w:bidi="ar-SA"/>
              </w:rPr>
              <w:t>应当将其作为无效投标处理。</w:t>
            </w:r>
          </w:p>
        </w:tc>
        <w:tc>
          <w:tcPr>
            <w:tcW w:w="773" w:type="dxa"/>
            <w:vAlign w:val="center"/>
          </w:tcPr>
          <w:p w14:paraId="6718F5F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p>
        </w:tc>
      </w:tr>
      <w:tr w14:paraId="0A23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9" w:type="dxa"/>
            <w:gridSpan w:val="4"/>
            <w:vAlign w:val="center"/>
          </w:tcPr>
          <w:p w14:paraId="5D887A6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（二）技术分（满分70分）</w:t>
            </w:r>
          </w:p>
        </w:tc>
      </w:tr>
      <w:tr w14:paraId="4F25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C452CC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项目技术实施方案</w:t>
            </w:r>
          </w:p>
        </w:tc>
        <w:tc>
          <w:tcPr>
            <w:tcW w:w="923" w:type="dxa"/>
            <w:vAlign w:val="center"/>
          </w:tcPr>
          <w:p w14:paraId="0F6A86E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16分</w:t>
            </w:r>
          </w:p>
        </w:tc>
        <w:tc>
          <w:tcPr>
            <w:tcW w:w="6615" w:type="dxa"/>
            <w:vAlign w:val="center"/>
          </w:tcPr>
          <w:p w14:paraId="508C66A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不提供或不满足一档要求不得分。</w:t>
            </w:r>
          </w:p>
          <w:p w14:paraId="7C57797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一档（4分）：提供项目实施方案或监测方案，质量保证或质量控制措施，满足采购需求，方案叙述沉杂，描述粗略。</w:t>
            </w:r>
          </w:p>
          <w:p w14:paraId="486382E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二档（8分）：提供项目实施方案或监测方案，质量保证或质量控制措施，方案内容描述完整，</w:t>
            </w:r>
            <w:bookmarkStart w:id="62" w:name="OLE_LINK46"/>
            <w:bookmarkStart w:id="63" w:name="OLE_LINK47"/>
            <w:r>
              <w:rPr>
                <w:rFonts w:hint="eastAsia" w:ascii="宋体" w:hAnsi="宋体" w:eastAsia="宋体" w:cs="Times New Roman"/>
                <w:bCs/>
                <w:color w:val="auto"/>
                <w:kern w:val="2"/>
                <w:sz w:val="21"/>
                <w:szCs w:val="21"/>
                <w:lang w:val="en-US" w:eastAsia="zh-CN" w:bidi="ar-SA"/>
              </w:rPr>
              <w:t>符合项目实际情况</w:t>
            </w:r>
            <w:bookmarkEnd w:id="62"/>
            <w:bookmarkEnd w:id="63"/>
            <w:r>
              <w:rPr>
                <w:rFonts w:hint="eastAsia" w:ascii="宋体" w:hAnsi="宋体" w:eastAsia="宋体" w:cs="Times New Roman"/>
                <w:bCs/>
                <w:color w:val="auto"/>
                <w:kern w:val="2"/>
                <w:sz w:val="21"/>
                <w:szCs w:val="21"/>
                <w:lang w:val="en-US" w:eastAsia="zh-CN" w:bidi="ar-SA"/>
              </w:rPr>
              <w:t>，有可操作性。</w:t>
            </w:r>
          </w:p>
          <w:p w14:paraId="16AB474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三档（12分）：提供项目详细的实施方案或监测方案，质量保证或质量控制措施，方案内容描述完整、详细，符合项目实际情况，完全具备可操作性。</w:t>
            </w:r>
          </w:p>
          <w:p w14:paraId="23B0E29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四档（16分）：提供项目非常详细实施方案或监测方案，项目实施方案科学合理，方案描述具体详细。管理制度和管理体系完善，有明确详尽的质量保证及质量控制措施。可操作性完全满足需求。</w:t>
            </w:r>
          </w:p>
          <w:p w14:paraId="2A613CF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（注：设备必须提供有效期内的检定或校准证书或其他相关证明材料，租用的设备必须提供租用证明，否则不予计分）。</w:t>
            </w:r>
          </w:p>
        </w:tc>
        <w:tc>
          <w:tcPr>
            <w:tcW w:w="773" w:type="dxa"/>
            <w:vAlign w:val="center"/>
          </w:tcPr>
          <w:p w14:paraId="39D0DA0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p>
        </w:tc>
      </w:tr>
      <w:tr w14:paraId="7D50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2D0C5D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仪器设备设施</w:t>
            </w:r>
          </w:p>
        </w:tc>
        <w:tc>
          <w:tcPr>
            <w:tcW w:w="923" w:type="dxa"/>
            <w:vAlign w:val="center"/>
          </w:tcPr>
          <w:p w14:paraId="70CE086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16分</w:t>
            </w:r>
          </w:p>
        </w:tc>
        <w:tc>
          <w:tcPr>
            <w:tcW w:w="6615" w:type="dxa"/>
            <w:vAlign w:val="center"/>
          </w:tcPr>
          <w:p w14:paraId="1142CA2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不提供或不满足一档要求不得分。</w:t>
            </w:r>
          </w:p>
          <w:p w14:paraId="261786C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一档（4分）：拟投入本项目的仪器设备有5项（含）以上为租用的（非供应商自有的）或设备均为供应商自有的但数量仅仅满足项目数量基本要求。</w:t>
            </w:r>
          </w:p>
          <w:p w14:paraId="1134DF5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二档（8分）：</w:t>
            </w:r>
            <w:bookmarkStart w:id="64" w:name="OLE_LINK5"/>
            <w:r>
              <w:rPr>
                <w:rFonts w:hint="eastAsia" w:ascii="宋体" w:hAnsi="宋体" w:eastAsia="宋体" w:cs="Times New Roman"/>
                <w:bCs/>
                <w:color w:val="auto"/>
                <w:kern w:val="2"/>
                <w:sz w:val="21"/>
                <w:szCs w:val="21"/>
                <w:lang w:val="en-US" w:eastAsia="zh-CN" w:bidi="ar-SA"/>
              </w:rPr>
              <w:t>拟投入本项目的仪器设备数量有5项设备均为供应商自有的，且3项优于项目基本数量要求。</w:t>
            </w:r>
          </w:p>
          <w:bookmarkEnd w:id="64"/>
          <w:p w14:paraId="690D30E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三档（12分）：</w:t>
            </w:r>
            <w:bookmarkStart w:id="65" w:name="OLE_LINK4"/>
            <w:r>
              <w:rPr>
                <w:rFonts w:hint="eastAsia" w:ascii="宋体" w:hAnsi="宋体" w:eastAsia="宋体" w:cs="Times New Roman"/>
                <w:bCs/>
                <w:color w:val="auto"/>
                <w:kern w:val="2"/>
                <w:sz w:val="21"/>
                <w:szCs w:val="21"/>
                <w:lang w:val="en-US" w:eastAsia="zh-CN" w:bidi="ar-SA"/>
              </w:rPr>
              <w:t>拟投入本项目的仪器设备数量有6项设备均为供应商自有的，且4项优于项目基本数量要求。</w:t>
            </w:r>
          </w:p>
          <w:bookmarkEnd w:id="65"/>
          <w:p w14:paraId="3FC223A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四档（16分）：拟投入本项目的仪器设备数量有6项设备均为供应商自有的，且6项均优于项目基本数量要求。</w:t>
            </w:r>
          </w:p>
          <w:p w14:paraId="7D83723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（注：设备必须提供有效期内的检定或校准证书或其他相关证明材料，自有/租用的设备必须提供自有/租用证明，否则不予计分）。</w:t>
            </w:r>
          </w:p>
        </w:tc>
        <w:tc>
          <w:tcPr>
            <w:tcW w:w="773" w:type="dxa"/>
            <w:vAlign w:val="center"/>
          </w:tcPr>
          <w:p w14:paraId="381394B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p>
        </w:tc>
      </w:tr>
      <w:tr w14:paraId="40E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3" w:hRule="atLeast"/>
        </w:trPr>
        <w:tc>
          <w:tcPr>
            <w:tcW w:w="748" w:type="dxa"/>
            <w:vAlign w:val="center"/>
          </w:tcPr>
          <w:p w14:paraId="048E983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车辆及人员能力</w:t>
            </w:r>
          </w:p>
        </w:tc>
        <w:tc>
          <w:tcPr>
            <w:tcW w:w="923" w:type="dxa"/>
            <w:vAlign w:val="center"/>
          </w:tcPr>
          <w:p w14:paraId="673DBE7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38分</w:t>
            </w:r>
          </w:p>
        </w:tc>
        <w:tc>
          <w:tcPr>
            <w:tcW w:w="6615" w:type="dxa"/>
            <w:vAlign w:val="center"/>
          </w:tcPr>
          <w:p w14:paraId="52DC775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（1）车辆配备分（满分8分）</w:t>
            </w:r>
          </w:p>
          <w:p w14:paraId="418D64D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未提供供应商自有车辆有效期内行驶证的不得分。</w:t>
            </w:r>
          </w:p>
          <w:p w14:paraId="0722029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每提供1辆供应商自有车辆有效期内行驶证的得2分，此项满分8分。</w:t>
            </w:r>
          </w:p>
          <w:p w14:paraId="7C9788A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（2）拟投入人员分（满分10分）</w:t>
            </w:r>
          </w:p>
          <w:p w14:paraId="07F8E06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除项目负责人外，其它技术人员仅有10人的不得分。</w:t>
            </w:r>
          </w:p>
          <w:p w14:paraId="5215616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除项目负责人外，其它技术人员在10人的基础上，每多1人加2分，此项满分10分。</w:t>
            </w:r>
          </w:p>
          <w:p w14:paraId="6D2F435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（3）人员职称能力分（满分20分）</w:t>
            </w:r>
          </w:p>
          <w:p w14:paraId="5CCC695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①除项目负责人外，其它技术人员持有高级职称证书的，每有1人加0.5分，此项满分10分。</w:t>
            </w:r>
          </w:p>
          <w:p w14:paraId="13E4CA1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②除项目负责人外，其它技术人员持有注册核安全工程师证的，每有1人加1分，此项满分10分。</w:t>
            </w:r>
          </w:p>
          <w:p w14:paraId="23F2C18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（注：车辆应提供有效期内行驶证或其它相关证明材料，供应商需提供以上人员相关证书复印件并加盖公章，否则不得分）</w:t>
            </w:r>
          </w:p>
        </w:tc>
        <w:tc>
          <w:tcPr>
            <w:tcW w:w="773" w:type="dxa"/>
            <w:vAlign w:val="center"/>
          </w:tcPr>
          <w:p w14:paraId="4C0FB10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p>
        </w:tc>
      </w:tr>
      <w:tr w14:paraId="3560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9" w:type="dxa"/>
            <w:gridSpan w:val="4"/>
            <w:vAlign w:val="center"/>
          </w:tcPr>
          <w:p w14:paraId="43B5A98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（三）商务分（满分20分）</w:t>
            </w:r>
          </w:p>
        </w:tc>
      </w:tr>
      <w:tr w14:paraId="6B06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D9C2DC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服务承诺</w:t>
            </w:r>
          </w:p>
        </w:tc>
        <w:tc>
          <w:tcPr>
            <w:tcW w:w="923" w:type="dxa"/>
            <w:vAlign w:val="center"/>
          </w:tcPr>
          <w:p w14:paraId="3AF6341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9分</w:t>
            </w:r>
          </w:p>
        </w:tc>
        <w:tc>
          <w:tcPr>
            <w:tcW w:w="6615" w:type="dxa"/>
            <w:vAlign w:val="center"/>
          </w:tcPr>
          <w:p w14:paraId="4A6582B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不提供或不满足一档要求不得分。</w:t>
            </w:r>
          </w:p>
          <w:p w14:paraId="39224B6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一档（3分）：供应商提供有服务承诺，售后服务响应及承诺仅满足采购文件需求；</w:t>
            </w:r>
          </w:p>
          <w:p w14:paraId="71F96D0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二档（6分）：供应商提供详细的服务承诺，并提供针对监测分析及监测结果有详细具体的承诺，承诺监测结果数据符合国家相关标准，并能按时向采购人提交相关监测调查结果材料，售后服务响应时间及承诺满足招标文件需求。</w:t>
            </w:r>
          </w:p>
          <w:p w14:paraId="7D09705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三档（9分）：供应商提供有详细完整的服务承诺，并提供针对监测分析及监测结果有详细具体的承诺，承诺监测结果数据符合国家相关标准，并能及时向采购人提交相关监测调查结果材料且承诺配置有数据分析及处理功能的专用电脑和必要的电子终端设备，以及承诺设置专人管理，保证样品信息、监测数据的安全和保密性，确保不泄密。售后服务响应时间及承诺完全满足招标文件需求。</w:t>
            </w:r>
          </w:p>
        </w:tc>
        <w:tc>
          <w:tcPr>
            <w:tcW w:w="773" w:type="dxa"/>
            <w:vAlign w:val="center"/>
          </w:tcPr>
          <w:p w14:paraId="21216D0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p>
        </w:tc>
      </w:tr>
      <w:tr w14:paraId="3031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050BF2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信誉分</w:t>
            </w:r>
          </w:p>
        </w:tc>
        <w:tc>
          <w:tcPr>
            <w:tcW w:w="923" w:type="dxa"/>
            <w:vAlign w:val="center"/>
          </w:tcPr>
          <w:p w14:paraId="6A20F7B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3分</w:t>
            </w:r>
          </w:p>
        </w:tc>
        <w:tc>
          <w:tcPr>
            <w:tcW w:w="6615" w:type="dxa"/>
            <w:vAlign w:val="center"/>
          </w:tcPr>
          <w:p w14:paraId="4101A15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供应商通过生态环境部（原环境保护部）辐射环境监测能力评估的，得3分。（提供证明材料复印件并加盖公章）</w:t>
            </w:r>
          </w:p>
        </w:tc>
        <w:tc>
          <w:tcPr>
            <w:tcW w:w="773" w:type="dxa"/>
            <w:vAlign w:val="center"/>
          </w:tcPr>
          <w:p w14:paraId="3C23AE1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p>
        </w:tc>
      </w:tr>
      <w:tr w14:paraId="2B35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4D4BBE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业绩分</w:t>
            </w:r>
          </w:p>
        </w:tc>
        <w:tc>
          <w:tcPr>
            <w:tcW w:w="923" w:type="dxa"/>
            <w:vAlign w:val="center"/>
          </w:tcPr>
          <w:p w14:paraId="32AC9BF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8分</w:t>
            </w:r>
          </w:p>
        </w:tc>
        <w:tc>
          <w:tcPr>
            <w:tcW w:w="6615" w:type="dxa"/>
            <w:vAlign w:val="center"/>
          </w:tcPr>
          <w:p w14:paraId="0EEBB3C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供应商2021年以来承接过类似项目的，每有一个项目的得1分，满分8分。（以双方签订的合同复印件或相关单位等出具的文件为证明材料并加盖公章，同时需附项目验收通过证明材料）</w:t>
            </w:r>
          </w:p>
        </w:tc>
        <w:tc>
          <w:tcPr>
            <w:tcW w:w="773" w:type="dxa"/>
            <w:vAlign w:val="center"/>
          </w:tcPr>
          <w:p w14:paraId="59DCCB8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p>
        </w:tc>
      </w:tr>
      <w:tr w14:paraId="6375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6" w:type="dxa"/>
            <w:gridSpan w:val="3"/>
            <w:vAlign w:val="center"/>
          </w:tcPr>
          <w:p w14:paraId="26CE1B3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总得分=（一）+（二）+（三）。</w:t>
            </w:r>
          </w:p>
        </w:tc>
        <w:tc>
          <w:tcPr>
            <w:tcW w:w="773" w:type="dxa"/>
            <w:vAlign w:val="center"/>
          </w:tcPr>
          <w:p w14:paraId="54F9B05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Cs/>
                <w:color w:val="auto"/>
                <w:kern w:val="2"/>
                <w:sz w:val="21"/>
                <w:szCs w:val="21"/>
                <w:lang w:val="en-US" w:eastAsia="zh-CN" w:bidi="ar-SA"/>
              </w:rPr>
            </w:pPr>
          </w:p>
        </w:tc>
      </w:tr>
      <w:bookmarkEnd w:id="61"/>
    </w:tbl>
    <w:p w14:paraId="17C612F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7.由磋商小组根据综合评分情况，按照评审得分由高到低顺序推荐3名及以上成交候选供应商，并编写评审报告。符合本章第3.7、4.3条情形的，可以推荐2家成交候选供应商。评审得分相同的，按照最后报价（不计算价格折扣）由低到高的顺序推荐。评审得分且最后报价（不计算价格折扣）相同的，按照技术指标优劣顺序推荐（按综合评分中服务水平、后续服务、履约能力得分高低依次确定）。采购人应当确定磋商小组推荐排名第一的成交候选供应商为成交供应商。排名第一的成交候选供应商放弃成交、因不可抗力提出不能成交，采购人可以确定排名第二的成交候选供应商为成交供应商。排名第二的成交候选供应商因前款规定的同样原因不能签订合同的，采购人可以确定排名第三的成交候选供应商为成交供应商。</w:t>
      </w:r>
    </w:p>
    <w:p w14:paraId="4F354B93">
      <w:pPr>
        <w:spacing w:line="360" w:lineRule="auto"/>
        <w:ind w:firstLine="480" w:firstLineChars="200"/>
        <w:rPr>
          <w:rFonts w:hint="eastAsia" w:ascii="仿宋" w:hAnsi="仿宋" w:eastAsia="仿宋" w:cs="仿宋"/>
          <w:bCs/>
          <w:color w:val="auto"/>
          <w:kern w:val="2"/>
          <w:sz w:val="24"/>
          <w:szCs w:val="24"/>
          <w:highlight w:val="none"/>
          <w:lang w:val="en-US" w:eastAsia="zh-CN" w:bidi="ar-SA"/>
        </w:rPr>
      </w:pPr>
    </w:p>
    <w:p w14:paraId="3C9A16F0">
      <w:pPr>
        <w:pStyle w:val="2"/>
        <w:rPr>
          <w:color w:val="auto"/>
        </w:rPr>
      </w:pPr>
    </w:p>
    <w:p w14:paraId="562441C7">
      <w:pPr>
        <w:pStyle w:val="3"/>
        <w:jc w:val="center"/>
        <w:rPr>
          <w:rFonts w:hint="eastAsia"/>
          <w:color w:val="auto"/>
        </w:rPr>
      </w:pPr>
      <w:bookmarkStart w:id="66" w:name="_Toc14624"/>
    </w:p>
    <w:p w14:paraId="55F108A6">
      <w:pPr>
        <w:pStyle w:val="3"/>
        <w:jc w:val="center"/>
        <w:rPr>
          <w:rFonts w:hint="eastAsia"/>
          <w:color w:val="auto"/>
        </w:rPr>
      </w:pPr>
    </w:p>
    <w:p w14:paraId="4C31DE68">
      <w:pPr>
        <w:pStyle w:val="3"/>
        <w:jc w:val="center"/>
        <w:rPr>
          <w:color w:val="auto"/>
        </w:rPr>
      </w:pPr>
      <w:r>
        <w:rPr>
          <w:rFonts w:hint="eastAsia"/>
          <w:color w:val="auto"/>
        </w:rPr>
        <w:t>第五章 响应文件格式</w:t>
      </w:r>
      <w:bookmarkEnd w:id="66"/>
      <w:bookmarkStart w:id="67" w:name="_Toc35611516"/>
      <w:bookmarkStart w:id="68" w:name="_Toc35611438"/>
      <w:bookmarkStart w:id="69" w:name="_Toc31728084"/>
      <w:bookmarkStart w:id="70" w:name="_Toc71365925"/>
      <w:bookmarkStart w:id="71" w:name="_Toc31723070"/>
      <w:bookmarkStart w:id="72" w:name="_Toc44229899"/>
    </w:p>
    <w:p w14:paraId="5C47F184">
      <w:pPr>
        <w:rPr>
          <w:b/>
          <w:color w:val="auto"/>
          <w:sz w:val="32"/>
          <w:szCs w:val="32"/>
        </w:rPr>
      </w:pPr>
      <w:r>
        <w:rPr>
          <w:rFonts w:hint="eastAsia"/>
          <w:b/>
          <w:color w:val="auto"/>
          <w:sz w:val="32"/>
          <w:szCs w:val="32"/>
        </w:rPr>
        <w:t>一、资格证明文件格式</w:t>
      </w:r>
      <w:bookmarkEnd w:id="67"/>
      <w:bookmarkEnd w:id="68"/>
      <w:bookmarkEnd w:id="69"/>
      <w:bookmarkEnd w:id="70"/>
      <w:bookmarkEnd w:id="71"/>
      <w:bookmarkEnd w:id="72"/>
    </w:p>
    <w:p w14:paraId="0D75B81A">
      <w:pPr>
        <w:snapToGrid w:val="0"/>
        <w:spacing w:before="156" w:beforeLines="50" w:after="50" w:line="360" w:lineRule="auto"/>
        <w:jc w:val="left"/>
        <w:rPr>
          <w:rFonts w:hint="eastAsia" w:ascii="宋体" w:hAnsi="宋体"/>
          <w:b/>
          <w:color w:val="auto"/>
          <w:sz w:val="24"/>
        </w:rPr>
      </w:pPr>
      <w:r>
        <w:rPr>
          <w:rFonts w:hint="eastAsia" w:ascii="宋体" w:hAnsi="宋体"/>
          <w:b/>
          <w:color w:val="auto"/>
          <w:sz w:val="32"/>
          <w:szCs w:val="32"/>
        </w:rPr>
        <w:t>1.资格证明文件封面格式：</w:t>
      </w:r>
      <w:r>
        <w:rPr>
          <w:rFonts w:hint="eastAsia" w:ascii="宋体" w:hAnsi="宋体"/>
          <w:b/>
          <w:color w:val="auto"/>
          <w:sz w:val="24"/>
        </w:rPr>
        <w:t xml:space="preserve"> </w:t>
      </w:r>
    </w:p>
    <w:p w14:paraId="68D59DC8">
      <w:pPr>
        <w:snapToGrid w:val="0"/>
        <w:spacing w:before="156" w:beforeLines="50" w:after="50"/>
        <w:rPr>
          <w:rFonts w:ascii="宋体" w:hAnsi="宋体"/>
          <w:bCs/>
          <w:color w:val="auto"/>
          <w:sz w:val="32"/>
          <w:szCs w:val="20"/>
        </w:rPr>
      </w:pPr>
      <w:r>
        <w:rPr>
          <w:rFonts w:hint="eastAsia" w:ascii="宋体" w:hAnsi="宋体"/>
          <w:color w:val="auto"/>
          <w:sz w:val="24"/>
        </w:rPr>
        <w:t xml:space="preserve">                                                    </w:t>
      </w:r>
    </w:p>
    <w:p w14:paraId="5FB7FB0B">
      <w:pPr>
        <w:snapToGrid w:val="0"/>
        <w:spacing w:before="156" w:beforeLines="50" w:after="50"/>
        <w:rPr>
          <w:rFonts w:ascii="宋体" w:hAnsi="宋体"/>
          <w:color w:val="auto"/>
          <w:sz w:val="24"/>
          <w:szCs w:val="20"/>
        </w:rPr>
      </w:pPr>
    </w:p>
    <w:p w14:paraId="140ACC7E">
      <w:pPr>
        <w:snapToGrid w:val="0"/>
        <w:spacing w:before="156" w:beforeLines="50" w:after="50"/>
        <w:jc w:val="center"/>
        <w:rPr>
          <w:rFonts w:ascii="方正小标宋简体" w:hAnsi="方正小标宋简体" w:eastAsia="方正小标宋简体" w:cs="方正小标宋简体"/>
          <w:bCs/>
          <w:color w:val="auto"/>
          <w:sz w:val="84"/>
          <w:szCs w:val="84"/>
        </w:rPr>
      </w:pPr>
      <w:r>
        <w:rPr>
          <w:rFonts w:hint="eastAsia" w:ascii="方正小标宋简体" w:hAnsi="方正小标宋简体" w:eastAsia="方正小标宋简体" w:cs="方正小标宋简体"/>
          <w:bCs/>
          <w:color w:val="auto"/>
          <w:sz w:val="84"/>
          <w:szCs w:val="84"/>
        </w:rPr>
        <w:t>响  应  文  件</w:t>
      </w:r>
    </w:p>
    <w:p w14:paraId="1F6501B2">
      <w:pPr>
        <w:snapToGrid w:val="0"/>
        <w:spacing w:before="156" w:beforeLines="50" w:after="50"/>
        <w:jc w:val="center"/>
        <w:rPr>
          <w:rFonts w:ascii="方正小标宋简体" w:hAnsi="方正小标宋简体" w:eastAsia="方正小标宋简体" w:cs="方正小标宋简体"/>
          <w:bCs/>
          <w:color w:val="auto"/>
          <w:sz w:val="44"/>
          <w:szCs w:val="44"/>
        </w:rPr>
      </w:pPr>
    </w:p>
    <w:p w14:paraId="1F68F70E">
      <w:pPr>
        <w:snapToGrid w:val="0"/>
        <w:spacing w:before="156" w:beforeLines="50" w:after="50"/>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资  格  证  明  文  件</w:t>
      </w:r>
    </w:p>
    <w:p w14:paraId="1D2D7785">
      <w:pPr>
        <w:snapToGrid w:val="0"/>
        <w:spacing w:before="156" w:beforeLines="50" w:after="50"/>
        <w:rPr>
          <w:rFonts w:ascii="宋体" w:hAnsi="宋体"/>
          <w:bCs/>
          <w:color w:val="auto"/>
          <w:sz w:val="24"/>
          <w:szCs w:val="20"/>
        </w:rPr>
      </w:pPr>
    </w:p>
    <w:p w14:paraId="4E368E9F">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640" w:firstLineChars="200"/>
        <w:textAlignment w:val="auto"/>
        <w:rPr>
          <w:rFonts w:ascii="宋体" w:hAnsi="宋体" w:cs="仿宋_GB2312"/>
          <w:bCs/>
          <w:color w:val="auto"/>
          <w:sz w:val="32"/>
          <w:szCs w:val="32"/>
        </w:rPr>
      </w:pPr>
      <w:r>
        <w:rPr>
          <w:rFonts w:hint="eastAsia" w:ascii="宋体" w:hAnsi="宋体" w:cs="仿宋_GB2312"/>
          <w:bCs/>
          <w:color w:val="auto"/>
          <w:sz w:val="32"/>
          <w:szCs w:val="32"/>
        </w:rPr>
        <w:t>项目名称：</w:t>
      </w:r>
    </w:p>
    <w:p w14:paraId="649FB0D8">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rPr>
      </w:pPr>
    </w:p>
    <w:p w14:paraId="49F17910">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rPr>
      </w:pPr>
      <w:r>
        <w:rPr>
          <w:rFonts w:hint="eastAsia" w:ascii="宋体" w:hAnsi="宋体" w:cs="仿宋_GB2312"/>
          <w:bCs/>
          <w:color w:val="auto"/>
          <w:sz w:val="32"/>
          <w:szCs w:val="32"/>
        </w:rPr>
        <w:t>项目编号：</w:t>
      </w:r>
    </w:p>
    <w:p w14:paraId="3F8544D3">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rPr>
      </w:pPr>
      <w:r>
        <w:rPr>
          <w:rFonts w:hint="eastAsia" w:ascii="宋体" w:hAnsi="宋体" w:cs="仿宋_GB2312"/>
          <w:bCs/>
          <w:color w:val="auto"/>
          <w:sz w:val="32"/>
          <w:szCs w:val="32"/>
        </w:rPr>
        <w:t xml:space="preserve"> </w:t>
      </w:r>
    </w:p>
    <w:p w14:paraId="2C6CD9E6">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rPr>
      </w:pPr>
      <w:r>
        <w:rPr>
          <w:rFonts w:hint="eastAsia" w:ascii="宋体" w:hAnsi="宋体" w:cs="仿宋_GB2312"/>
          <w:bCs/>
          <w:color w:val="auto"/>
          <w:sz w:val="32"/>
          <w:szCs w:val="32"/>
        </w:rPr>
        <w:t>所竞分标：</w:t>
      </w:r>
    </w:p>
    <w:p w14:paraId="0BF411C5">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rPr>
      </w:pPr>
    </w:p>
    <w:p w14:paraId="7E3F2B5C">
      <w:pPr>
        <w:pStyle w:val="6"/>
        <w:keepNext w:val="0"/>
        <w:keepLines w:val="0"/>
        <w:pageBreakBefore w:val="0"/>
        <w:widowControl w:val="0"/>
        <w:kinsoku/>
        <w:wordWrap/>
        <w:overflowPunct/>
        <w:topLinePunct w:val="0"/>
        <w:autoSpaceDE/>
        <w:autoSpaceDN/>
        <w:bidi w:val="0"/>
        <w:adjustRightInd/>
        <w:snapToGrid w:val="0"/>
        <w:spacing w:before="50" w:after="50" w:line="500" w:lineRule="exact"/>
        <w:ind w:firstLine="720" w:firstLineChars="225"/>
        <w:textAlignment w:val="auto"/>
        <w:rPr>
          <w:rFonts w:ascii="宋体" w:hAnsi="宋体" w:cs="仿宋_GB2312"/>
          <w:bCs/>
          <w:color w:val="auto"/>
          <w:sz w:val="32"/>
          <w:szCs w:val="32"/>
        </w:rPr>
      </w:pPr>
      <w:r>
        <w:rPr>
          <w:rFonts w:hint="eastAsia" w:ascii="宋体" w:hAnsi="宋体" w:cs="仿宋_GB2312"/>
          <w:bCs/>
          <w:color w:val="auto"/>
          <w:sz w:val="32"/>
          <w:szCs w:val="32"/>
        </w:rPr>
        <w:t>供应商名称：</w:t>
      </w:r>
    </w:p>
    <w:p w14:paraId="491F8269">
      <w:pPr>
        <w:pStyle w:val="6"/>
        <w:keepNext w:val="0"/>
        <w:keepLines w:val="0"/>
        <w:pageBreakBefore w:val="0"/>
        <w:widowControl w:val="0"/>
        <w:kinsoku/>
        <w:wordWrap/>
        <w:overflowPunct/>
        <w:topLinePunct w:val="0"/>
        <w:autoSpaceDE/>
        <w:autoSpaceDN/>
        <w:bidi w:val="0"/>
        <w:adjustRightInd/>
        <w:snapToGrid w:val="0"/>
        <w:spacing w:before="50" w:after="50" w:line="500" w:lineRule="exact"/>
        <w:ind w:firstLine="720" w:firstLineChars="225"/>
        <w:textAlignment w:val="auto"/>
        <w:rPr>
          <w:rFonts w:ascii="宋体" w:hAnsi="宋体" w:cs="仿宋_GB2312"/>
          <w:bCs/>
          <w:color w:val="auto"/>
          <w:sz w:val="32"/>
          <w:szCs w:val="32"/>
        </w:rPr>
      </w:pPr>
    </w:p>
    <w:p w14:paraId="58E13C8F">
      <w:pPr>
        <w:pStyle w:val="6"/>
        <w:snapToGrid w:val="0"/>
        <w:spacing w:before="50" w:after="50"/>
        <w:ind w:firstLine="1280" w:firstLineChars="400"/>
        <w:rPr>
          <w:rFonts w:ascii="宋体" w:hAnsi="宋体" w:cs="仿宋_GB2312"/>
          <w:bCs/>
          <w:color w:val="auto"/>
          <w:sz w:val="32"/>
          <w:szCs w:val="32"/>
        </w:rPr>
      </w:pPr>
    </w:p>
    <w:p w14:paraId="56A82FD2">
      <w:pPr>
        <w:snapToGrid w:val="0"/>
        <w:spacing w:before="156"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498ACEAB">
      <w:pPr>
        <w:snapToGrid w:val="0"/>
        <w:spacing w:before="156" w:beforeLines="50" w:after="50" w:line="360" w:lineRule="auto"/>
        <w:ind w:left="142"/>
        <w:jc w:val="left"/>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14:paraId="76BDCB62">
      <w:pPr>
        <w:snapToGrid w:val="0"/>
        <w:spacing w:before="156"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34D7F669">
      <w:pPr>
        <w:snapToGrid w:val="0"/>
        <w:spacing w:before="156" w:beforeLines="50" w:after="50"/>
        <w:rPr>
          <w:rFonts w:ascii="宋体" w:hAnsi="宋体"/>
          <w:color w:val="auto"/>
          <w:sz w:val="24"/>
          <w:szCs w:val="20"/>
        </w:rPr>
      </w:pPr>
      <w:r>
        <w:rPr>
          <w:rFonts w:ascii="宋体" w:hAnsi="宋体"/>
          <w:color w:val="auto"/>
          <w:sz w:val="24"/>
          <w:szCs w:val="20"/>
        </w:rPr>
        <w:t xml:space="preserve"> </w:t>
      </w:r>
    </w:p>
    <w:p w14:paraId="2B2935F2">
      <w:pPr>
        <w:spacing w:line="300" w:lineRule="auto"/>
        <w:rPr>
          <w:rFonts w:ascii="宋体" w:hAnsi="宋体"/>
          <w:color w:val="auto"/>
          <w:szCs w:val="21"/>
        </w:rPr>
      </w:pPr>
    </w:p>
    <w:p w14:paraId="669BBE30">
      <w:pPr>
        <w:spacing w:line="300" w:lineRule="auto"/>
        <w:rPr>
          <w:rFonts w:ascii="宋体" w:hAnsi="宋体"/>
          <w:color w:val="auto"/>
          <w:szCs w:val="21"/>
        </w:rPr>
      </w:pPr>
    </w:p>
    <w:p w14:paraId="639C7EEA">
      <w:pPr>
        <w:spacing w:line="300" w:lineRule="auto"/>
        <w:rPr>
          <w:rFonts w:ascii="宋体" w:hAnsi="宋体"/>
          <w:color w:val="auto"/>
          <w:szCs w:val="21"/>
        </w:rPr>
      </w:pPr>
    </w:p>
    <w:p w14:paraId="21E80019">
      <w:pPr>
        <w:spacing w:line="300" w:lineRule="auto"/>
        <w:rPr>
          <w:rFonts w:ascii="宋体" w:hAnsi="宋体"/>
          <w:color w:val="auto"/>
          <w:szCs w:val="21"/>
        </w:rPr>
      </w:pPr>
    </w:p>
    <w:p w14:paraId="00D851B7">
      <w:pPr>
        <w:spacing w:line="300" w:lineRule="auto"/>
        <w:rPr>
          <w:rFonts w:ascii="宋体" w:hAnsi="宋体"/>
          <w:color w:val="auto"/>
          <w:szCs w:val="21"/>
        </w:rPr>
      </w:pPr>
    </w:p>
    <w:p w14:paraId="45182B9C">
      <w:pPr>
        <w:spacing w:line="300" w:lineRule="auto"/>
        <w:rPr>
          <w:rFonts w:ascii="宋体" w:hAnsi="宋体"/>
          <w:color w:val="auto"/>
          <w:szCs w:val="21"/>
        </w:rPr>
      </w:pPr>
    </w:p>
    <w:p w14:paraId="4C223477">
      <w:pPr>
        <w:spacing w:line="300" w:lineRule="auto"/>
        <w:rPr>
          <w:rFonts w:ascii="宋体" w:hAnsi="宋体"/>
          <w:color w:val="auto"/>
          <w:szCs w:val="21"/>
        </w:rPr>
      </w:pPr>
    </w:p>
    <w:p w14:paraId="610BF42C">
      <w:pPr>
        <w:spacing w:line="300" w:lineRule="auto"/>
        <w:rPr>
          <w:rFonts w:ascii="宋体" w:hAnsi="宋体"/>
          <w:color w:val="auto"/>
          <w:szCs w:val="21"/>
        </w:rPr>
      </w:pPr>
    </w:p>
    <w:p w14:paraId="04DAE2CD">
      <w:pPr>
        <w:spacing w:line="300" w:lineRule="auto"/>
        <w:rPr>
          <w:rFonts w:ascii="宋体" w:hAnsi="宋体"/>
          <w:color w:val="auto"/>
          <w:szCs w:val="21"/>
        </w:rPr>
      </w:pPr>
    </w:p>
    <w:p w14:paraId="2F0208F0">
      <w:pPr>
        <w:spacing w:line="300" w:lineRule="auto"/>
        <w:rPr>
          <w:rFonts w:ascii="宋体" w:hAnsi="宋体"/>
          <w:color w:val="auto"/>
          <w:szCs w:val="21"/>
        </w:rPr>
      </w:pPr>
    </w:p>
    <w:p w14:paraId="1A3CD284">
      <w:pPr>
        <w:spacing w:line="300" w:lineRule="auto"/>
        <w:rPr>
          <w:rFonts w:ascii="宋体" w:hAnsi="宋体"/>
          <w:color w:val="auto"/>
          <w:szCs w:val="21"/>
        </w:rPr>
      </w:pPr>
    </w:p>
    <w:p w14:paraId="653649E9">
      <w:pPr>
        <w:spacing w:line="300" w:lineRule="auto"/>
        <w:rPr>
          <w:rFonts w:ascii="宋体" w:hAnsi="宋体"/>
          <w:color w:val="auto"/>
          <w:szCs w:val="21"/>
        </w:rPr>
      </w:pPr>
    </w:p>
    <w:p w14:paraId="07123D5E">
      <w:pPr>
        <w:spacing w:line="300" w:lineRule="auto"/>
        <w:rPr>
          <w:rFonts w:ascii="宋体" w:hAnsi="宋体"/>
          <w:color w:val="auto"/>
          <w:szCs w:val="21"/>
        </w:rPr>
      </w:pPr>
    </w:p>
    <w:p w14:paraId="5D8795C3">
      <w:pPr>
        <w:pStyle w:val="2"/>
        <w:rPr>
          <w:rFonts w:ascii="宋体" w:hAnsi="宋体"/>
          <w:color w:val="auto"/>
          <w:szCs w:val="21"/>
        </w:rPr>
      </w:pPr>
    </w:p>
    <w:p w14:paraId="438E58EC">
      <w:pPr>
        <w:rPr>
          <w:rFonts w:ascii="宋体" w:hAnsi="宋体"/>
          <w:color w:val="auto"/>
          <w:szCs w:val="21"/>
        </w:rPr>
      </w:pPr>
    </w:p>
    <w:p w14:paraId="75CD8A42">
      <w:pPr>
        <w:pStyle w:val="2"/>
        <w:rPr>
          <w:rFonts w:ascii="宋体" w:hAnsi="宋体"/>
          <w:color w:val="auto"/>
          <w:szCs w:val="21"/>
        </w:rPr>
      </w:pPr>
    </w:p>
    <w:p w14:paraId="079EECF9">
      <w:pPr>
        <w:rPr>
          <w:rFonts w:ascii="宋体" w:hAnsi="宋体"/>
          <w:color w:val="auto"/>
          <w:szCs w:val="21"/>
        </w:rPr>
      </w:pPr>
    </w:p>
    <w:p w14:paraId="594712BB">
      <w:pPr>
        <w:pStyle w:val="2"/>
        <w:rPr>
          <w:rFonts w:ascii="宋体" w:hAnsi="宋体"/>
          <w:color w:val="auto"/>
          <w:szCs w:val="21"/>
        </w:rPr>
      </w:pPr>
    </w:p>
    <w:p w14:paraId="08208316">
      <w:pPr>
        <w:rPr>
          <w:rFonts w:ascii="宋体" w:hAnsi="宋体"/>
          <w:color w:val="auto"/>
          <w:szCs w:val="21"/>
        </w:rPr>
      </w:pPr>
    </w:p>
    <w:p w14:paraId="5DD2DFCB">
      <w:pPr>
        <w:pStyle w:val="2"/>
        <w:rPr>
          <w:rFonts w:ascii="宋体" w:hAnsi="宋体"/>
          <w:color w:val="auto"/>
          <w:szCs w:val="21"/>
        </w:rPr>
      </w:pPr>
    </w:p>
    <w:p w14:paraId="2D81E5AF">
      <w:pPr>
        <w:rPr>
          <w:rFonts w:ascii="宋体" w:hAnsi="宋体"/>
          <w:color w:val="auto"/>
          <w:szCs w:val="21"/>
        </w:rPr>
      </w:pPr>
    </w:p>
    <w:p w14:paraId="1358AB96">
      <w:pPr>
        <w:pStyle w:val="2"/>
        <w:rPr>
          <w:rFonts w:ascii="宋体" w:hAnsi="宋体"/>
          <w:color w:val="auto"/>
          <w:szCs w:val="21"/>
        </w:rPr>
      </w:pPr>
    </w:p>
    <w:p w14:paraId="03A78B1B">
      <w:pPr>
        <w:rPr>
          <w:rFonts w:ascii="宋体" w:hAnsi="宋体"/>
          <w:color w:val="auto"/>
          <w:szCs w:val="21"/>
        </w:rPr>
      </w:pPr>
    </w:p>
    <w:p w14:paraId="2C807A98">
      <w:pPr>
        <w:pStyle w:val="2"/>
        <w:rPr>
          <w:rFonts w:ascii="宋体" w:hAnsi="宋体"/>
          <w:color w:val="auto"/>
          <w:szCs w:val="21"/>
        </w:rPr>
      </w:pPr>
    </w:p>
    <w:p w14:paraId="4C339DDC">
      <w:pPr>
        <w:rPr>
          <w:rFonts w:ascii="宋体" w:hAnsi="宋体"/>
          <w:color w:val="auto"/>
          <w:szCs w:val="21"/>
        </w:rPr>
      </w:pPr>
    </w:p>
    <w:p w14:paraId="56676C33">
      <w:pPr>
        <w:pStyle w:val="2"/>
        <w:rPr>
          <w:rFonts w:ascii="宋体" w:hAnsi="宋体"/>
          <w:color w:val="auto"/>
          <w:szCs w:val="21"/>
        </w:rPr>
      </w:pPr>
    </w:p>
    <w:p w14:paraId="3B29BC7E">
      <w:pPr>
        <w:rPr>
          <w:rFonts w:ascii="宋体" w:hAnsi="宋体"/>
          <w:color w:val="auto"/>
          <w:szCs w:val="21"/>
        </w:rPr>
      </w:pPr>
    </w:p>
    <w:p w14:paraId="44F8F089">
      <w:pPr>
        <w:pStyle w:val="2"/>
        <w:rPr>
          <w:color w:val="auto"/>
        </w:rPr>
      </w:pPr>
    </w:p>
    <w:p w14:paraId="5A512DD3">
      <w:pPr>
        <w:spacing w:line="300" w:lineRule="auto"/>
        <w:rPr>
          <w:rFonts w:ascii="宋体" w:hAnsi="宋体"/>
          <w:color w:val="auto"/>
          <w:szCs w:val="21"/>
        </w:rPr>
      </w:pPr>
    </w:p>
    <w:p w14:paraId="7E4146DB">
      <w:pPr>
        <w:spacing w:line="300" w:lineRule="auto"/>
        <w:rPr>
          <w:rFonts w:ascii="宋体" w:hAnsi="宋体"/>
          <w:color w:val="auto"/>
          <w:szCs w:val="21"/>
        </w:rPr>
      </w:pPr>
    </w:p>
    <w:p w14:paraId="340C6D81">
      <w:pPr>
        <w:spacing w:line="320" w:lineRule="exact"/>
        <w:jc w:val="left"/>
        <w:rPr>
          <w:rFonts w:ascii="宋体" w:hAnsi="宋体"/>
          <w:color w:val="auto"/>
          <w:szCs w:val="21"/>
        </w:rPr>
      </w:pPr>
      <w:r>
        <w:rPr>
          <w:rFonts w:ascii="宋体" w:hAnsi="宋体"/>
          <w:color w:val="auto"/>
          <w:szCs w:val="21"/>
        </w:rPr>
        <w:br w:type="page"/>
      </w:r>
      <w:r>
        <w:rPr>
          <w:rFonts w:hint="eastAsia" w:ascii="宋体" w:hAnsi="宋体"/>
          <w:color w:val="auto"/>
          <w:szCs w:val="21"/>
        </w:rPr>
        <w:t xml:space="preserve"> </w:t>
      </w:r>
    </w:p>
    <w:p w14:paraId="314B6797">
      <w:pPr>
        <w:wordWrap w:val="0"/>
        <w:spacing w:before="156" w:beforeLines="50" w:after="50" w:line="320" w:lineRule="exact"/>
        <w:ind w:right="482" w:firstLine="210" w:firstLineChars="100"/>
        <w:contextualSpacing/>
        <w:jc w:val="center"/>
        <w:rPr>
          <w:rFonts w:ascii="宋体" w:hAnsi="宋体"/>
          <w:color w:val="auto"/>
          <w:szCs w:val="21"/>
        </w:rPr>
      </w:pPr>
    </w:p>
    <w:p w14:paraId="3D1140BE">
      <w:pPr>
        <w:spacing w:line="320" w:lineRule="exact"/>
        <w:jc w:val="center"/>
        <w:rPr>
          <w:rFonts w:ascii="宋体" w:hAnsi="宋体"/>
          <w:b/>
          <w:color w:val="auto"/>
          <w:sz w:val="32"/>
          <w:szCs w:val="32"/>
        </w:rPr>
      </w:pPr>
      <w:r>
        <w:rPr>
          <w:rFonts w:hint="eastAsia" w:ascii="宋体" w:hAnsi="宋体"/>
          <w:b/>
          <w:color w:val="auto"/>
          <w:sz w:val="32"/>
          <w:szCs w:val="32"/>
        </w:rPr>
        <w:t>供应商直接控股、管理关系信息表</w:t>
      </w:r>
    </w:p>
    <w:p w14:paraId="4EDDCC80">
      <w:pPr>
        <w:snapToGrid w:val="0"/>
        <w:spacing w:before="156" w:beforeLines="50" w:after="50" w:line="360" w:lineRule="auto"/>
        <w:jc w:val="center"/>
        <w:rPr>
          <w:rFonts w:ascii="宋体" w:hAnsi="宋体"/>
          <w:b/>
          <w:color w:val="auto"/>
          <w:sz w:val="24"/>
        </w:rPr>
      </w:pPr>
    </w:p>
    <w:p w14:paraId="4D7FDF25">
      <w:pPr>
        <w:spacing w:line="360" w:lineRule="auto"/>
        <w:contextualSpacing/>
        <w:jc w:val="center"/>
        <w:rPr>
          <w:rFonts w:ascii="宋体" w:hAnsi="宋体"/>
          <w:b/>
          <w:color w:val="auto"/>
          <w:sz w:val="32"/>
          <w:szCs w:val="32"/>
        </w:rPr>
      </w:pPr>
      <w:r>
        <w:rPr>
          <w:rFonts w:hint="eastAsia" w:ascii="宋体" w:hAnsi="宋体"/>
          <w:b/>
          <w:color w:val="auto"/>
          <w:sz w:val="32"/>
          <w:szCs w:val="32"/>
        </w:rPr>
        <w:t>供应商直接控股股东信息表</w:t>
      </w:r>
    </w:p>
    <w:p w14:paraId="515C2D70">
      <w:pPr>
        <w:spacing w:line="360" w:lineRule="auto"/>
        <w:contextualSpacing/>
        <w:jc w:val="center"/>
        <w:rPr>
          <w:rFonts w:ascii="宋体" w:hAnsi="宋体"/>
          <w:b/>
          <w:color w:val="auto"/>
          <w:sz w:val="24"/>
        </w:rPr>
      </w:pPr>
    </w:p>
    <w:tbl>
      <w:tblPr>
        <w:tblStyle w:val="1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789B3E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948323">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A0D97D">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0D38F3">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B45808">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512E96">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645A049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0F7365">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8ED2D6">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4BEDA2">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B39E3D">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0BD192">
            <w:pPr>
              <w:widowControl/>
              <w:spacing w:line="360" w:lineRule="auto"/>
              <w:contextualSpacing/>
              <w:jc w:val="center"/>
              <w:rPr>
                <w:rFonts w:ascii="宋体" w:hAnsi="宋体" w:cs="宋体"/>
                <w:color w:val="auto"/>
                <w:kern w:val="0"/>
                <w:sz w:val="24"/>
              </w:rPr>
            </w:pPr>
          </w:p>
        </w:tc>
      </w:tr>
      <w:tr w14:paraId="23A4D7B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542757">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9A0662">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16459D">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715025">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982ADA">
            <w:pPr>
              <w:widowControl/>
              <w:spacing w:line="360" w:lineRule="auto"/>
              <w:contextualSpacing/>
              <w:jc w:val="center"/>
              <w:rPr>
                <w:rFonts w:ascii="宋体" w:hAnsi="宋体" w:cs="宋体"/>
                <w:color w:val="auto"/>
                <w:kern w:val="0"/>
                <w:sz w:val="24"/>
              </w:rPr>
            </w:pPr>
          </w:p>
        </w:tc>
      </w:tr>
      <w:tr w14:paraId="6E76C53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D68D98">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ED247D">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AC3A69">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ECDD45">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B99720">
            <w:pPr>
              <w:widowControl/>
              <w:spacing w:line="360" w:lineRule="auto"/>
              <w:contextualSpacing/>
              <w:jc w:val="center"/>
              <w:rPr>
                <w:rFonts w:ascii="宋体" w:hAnsi="宋体" w:cs="宋体"/>
                <w:color w:val="auto"/>
                <w:kern w:val="0"/>
                <w:sz w:val="24"/>
              </w:rPr>
            </w:pPr>
          </w:p>
        </w:tc>
      </w:tr>
      <w:tr w14:paraId="22B6C4A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91E448">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7A6A0D">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01A76E">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FA6670">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7F36D7">
            <w:pPr>
              <w:widowControl/>
              <w:spacing w:line="360" w:lineRule="auto"/>
              <w:contextualSpacing/>
              <w:jc w:val="center"/>
              <w:rPr>
                <w:rFonts w:ascii="宋体" w:hAnsi="宋体" w:cs="宋体"/>
                <w:color w:val="auto"/>
                <w:kern w:val="0"/>
                <w:sz w:val="24"/>
              </w:rPr>
            </w:pPr>
          </w:p>
        </w:tc>
      </w:tr>
    </w:tbl>
    <w:p w14:paraId="4BBC6544">
      <w:pPr>
        <w:spacing w:line="360" w:lineRule="auto"/>
        <w:contextualSpacing/>
        <w:jc w:val="left"/>
        <w:rPr>
          <w:rFonts w:ascii="宋体" w:hAnsi="宋体" w:cs="宋体"/>
          <w:color w:val="auto"/>
          <w:sz w:val="24"/>
        </w:rPr>
      </w:pPr>
      <w:r>
        <w:rPr>
          <w:rFonts w:hint="eastAsia" w:ascii="宋体" w:hAnsi="宋体" w:cs="宋体"/>
          <w:color w:val="auto"/>
          <w:sz w:val="24"/>
        </w:rPr>
        <w:t>注：</w:t>
      </w:r>
    </w:p>
    <w:p w14:paraId="5B8A32F2">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93B1577">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7A9E7A8E">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3.供应商不存在直接控股股东的，则填“无”。</w:t>
      </w:r>
    </w:p>
    <w:p w14:paraId="614131E5">
      <w:pPr>
        <w:snapToGrid w:val="0"/>
        <w:spacing w:line="360" w:lineRule="auto"/>
        <w:jc w:val="left"/>
        <w:rPr>
          <w:rFonts w:ascii="宋体" w:hAnsi="宋体" w:cs="宋体"/>
          <w:color w:val="auto"/>
          <w:sz w:val="24"/>
        </w:rPr>
      </w:pPr>
    </w:p>
    <w:p w14:paraId="5405D2B5">
      <w:pPr>
        <w:snapToGrid w:val="0"/>
        <w:spacing w:line="360" w:lineRule="auto"/>
        <w:jc w:val="left"/>
        <w:rPr>
          <w:rFonts w:ascii="宋体" w:hAnsi="宋体" w:cs="宋体"/>
          <w:color w:val="auto"/>
          <w:sz w:val="24"/>
        </w:rPr>
      </w:pPr>
    </w:p>
    <w:p w14:paraId="0CA594B3">
      <w:pPr>
        <w:snapToGrid w:val="0"/>
        <w:spacing w:line="360" w:lineRule="auto"/>
        <w:jc w:val="left"/>
        <w:rPr>
          <w:rFonts w:ascii="宋体" w:hAnsi="宋体" w:cs="宋体"/>
          <w:color w:val="auto"/>
          <w:sz w:val="24"/>
        </w:rPr>
      </w:pPr>
    </w:p>
    <w:p w14:paraId="51A0C1A9">
      <w:pPr>
        <w:snapToGrid w:val="0"/>
        <w:spacing w:before="156" w:beforeLines="50" w:line="360" w:lineRule="auto"/>
        <w:ind w:right="480" w:firstLine="3480" w:firstLineChars="1450"/>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13EA280D">
      <w:pPr>
        <w:snapToGrid w:val="0"/>
        <w:spacing w:before="156" w:beforeLines="50" w:after="50" w:line="360" w:lineRule="auto"/>
        <w:ind w:right="480" w:firstLine="3480" w:firstLineChars="1450"/>
        <w:rPr>
          <w:rFonts w:ascii="宋体" w:hAnsi="宋体" w:cs="宋体"/>
          <w:color w:val="auto"/>
          <w:sz w:val="24"/>
          <w:u w:val="single"/>
        </w:rPr>
      </w:pPr>
      <w:r>
        <w:rPr>
          <w:rFonts w:hint="eastAsia" w:ascii="宋体" w:hAnsi="宋体" w:cs="宋体"/>
          <w:color w:val="auto"/>
          <w:sz w:val="24"/>
        </w:rPr>
        <w:t>供应商（盖公章 ）：</w:t>
      </w:r>
      <w:r>
        <w:rPr>
          <w:rFonts w:hint="eastAsia" w:ascii="宋体" w:hAnsi="宋体" w:cs="宋体"/>
          <w:color w:val="auto"/>
          <w:sz w:val="24"/>
          <w:u w:val="single"/>
        </w:rPr>
        <w:t xml:space="preserve">                           </w:t>
      </w:r>
    </w:p>
    <w:p w14:paraId="1F68D130">
      <w:pPr>
        <w:snapToGrid w:val="0"/>
        <w:spacing w:before="156" w:beforeLines="50" w:after="50" w:line="360" w:lineRule="auto"/>
        <w:ind w:right="480" w:firstLine="5280" w:firstLineChars="2200"/>
        <w:rPr>
          <w:rFonts w:ascii="宋体" w:hAnsi="宋体"/>
          <w:b/>
          <w:color w:val="auto"/>
          <w:sz w:val="28"/>
          <w:szCs w:val="28"/>
        </w:rPr>
      </w:pPr>
      <w:r>
        <w:rPr>
          <w:rFonts w:hint="eastAsia" w:ascii="宋体" w:hAnsi="宋体" w:cs="宋体"/>
          <w:color w:val="auto"/>
          <w:sz w:val="24"/>
        </w:rPr>
        <w:t>年    月    日</w:t>
      </w:r>
      <w:r>
        <w:rPr>
          <w:rFonts w:ascii="宋体" w:hAnsi="宋体"/>
          <w:b/>
          <w:color w:val="auto"/>
          <w:sz w:val="28"/>
          <w:szCs w:val="28"/>
        </w:rPr>
        <w:br w:type="page"/>
      </w:r>
    </w:p>
    <w:p w14:paraId="4E33E3C1">
      <w:pPr>
        <w:spacing w:line="320" w:lineRule="exact"/>
        <w:jc w:val="center"/>
        <w:rPr>
          <w:rFonts w:ascii="宋体" w:hAnsi="宋体"/>
          <w:b/>
          <w:color w:val="auto"/>
          <w:sz w:val="32"/>
          <w:szCs w:val="32"/>
        </w:rPr>
      </w:pPr>
      <w:r>
        <w:rPr>
          <w:rFonts w:hint="eastAsia" w:ascii="宋体" w:hAnsi="宋体"/>
          <w:b/>
          <w:color w:val="auto"/>
          <w:sz w:val="32"/>
          <w:szCs w:val="32"/>
        </w:rPr>
        <w:t>供应商直接管理关系信息表</w:t>
      </w:r>
    </w:p>
    <w:p w14:paraId="35E73B6E">
      <w:pPr>
        <w:snapToGrid w:val="0"/>
        <w:spacing w:line="360" w:lineRule="auto"/>
        <w:jc w:val="center"/>
        <w:rPr>
          <w:rFonts w:ascii="宋体" w:hAnsi="宋体"/>
          <w:b/>
          <w:color w:val="auto"/>
          <w:sz w:val="24"/>
        </w:rPr>
      </w:pPr>
    </w:p>
    <w:tbl>
      <w:tblPr>
        <w:tblStyle w:val="1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A7BD7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04E6CC">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77374B">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C4697D">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71584D">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15BC064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DF757A">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ECA7D6">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D33C85">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3D4009">
            <w:pPr>
              <w:widowControl/>
              <w:spacing w:line="360" w:lineRule="auto"/>
              <w:contextualSpacing/>
              <w:jc w:val="center"/>
              <w:rPr>
                <w:rFonts w:ascii="宋体" w:hAnsi="宋体" w:cs="宋体"/>
                <w:color w:val="auto"/>
                <w:kern w:val="0"/>
                <w:sz w:val="24"/>
              </w:rPr>
            </w:pPr>
          </w:p>
        </w:tc>
      </w:tr>
      <w:tr w14:paraId="339D1ED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64BA12">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41951">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42D3CD">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6695F1">
            <w:pPr>
              <w:widowControl/>
              <w:spacing w:line="360" w:lineRule="auto"/>
              <w:contextualSpacing/>
              <w:jc w:val="center"/>
              <w:rPr>
                <w:rFonts w:ascii="宋体" w:hAnsi="宋体" w:cs="宋体"/>
                <w:color w:val="auto"/>
                <w:kern w:val="0"/>
                <w:sz w:val="24"/>
              </w:rPr>
            </w:pPr>
          </w:p>
        </w:tc>
      </w:tr>
      <w:tr w14:paraId="5814D6A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4F53D2">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20D3DC">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48CF00">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75E3A1">
            <w:pPr>
              <w:widowControl/>
              <w:spacing w:line="360" w:lineRule="auto"/>
              <w:contextualSpacing/>
              <w:jc w:val="center"/>
              <w:rPr>
                <w:rFonts w:ascii="宋体" w:hAnsi="宋体" w:cs="宋体"/>
                <w:color w:val="auto"/>
                <w:kern w:val="0"/>
                <w:sz w:val="24"/>
              </w:rPr>
            </w:pPr>
          </w:p>
        </w:tc>
      </w:tr>
      <w:tr w14:paraId="4C39771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1C2AC9">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B16FDD">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55A8A5">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C53586">
            <w:pPr>
              <w:widowControl/>
              <w:spacing w:line="360" w:lineRule="auto"/>
              <w:contextualSpacing/>
              <w:jc w:val="center"/>
              <w:rPr>
                <w:rFonts w:ascii="宋体" w:hAnsi="宋体" w:cs="宋体"/>
                <w:color w:val="auto"/>
                <w:kern w:val="0"/>
                <w:sz w:val="24"/>
              </w:rPr>
            </w:pPr>
          </w:p>
        </w:tc>
      </w:tr>
    </w:tbl>
    <w:p w14:paraId="4C47A5C5">
      <w:pPr>
        <w:spacing w:line="360" w:lineRule="auto"/>
        <w:contextualSpacing/>
        <w:jc w:val="left"/>
        <w:rPr>
          <w:rFonts w:ascii="宋体" w:hAnsi="宋体"/>
          <w:color w:val="auto"/>
          <w:sz w:val="24"/>
        </w:rPr>
      </w:pPr>
      <w:r>
        <w:rPr>
          <w:rFonts w:hint="eastAsia" w:ascii="宋体" w:hAnsi="宋体"/>
          <w:color w:val="auto"/>
          <w:sz w:val="24"/>
        </w:rPr>
        <w:t>注：</w:t>
      </w:r>
    </w:p>
    <w:p w14:paraId="02817C5E">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38E41288">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27A9B86B">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3.供应商不存在直接管理关系的，则填“无”。</w:t>
      </w:r>
    </w:p>
    <w:p w14:paraId="6DEC0382">
      <w:pPr>
        <w:spacing w:line="360" w:lineRule="auto"/>
        <w:contextualSpacing/>
        <w:jc w:val="left"/>
        <w:rPr>
          <w:rFonts w:ascii="宋体" w:hAnsi="宋体"/>
          <w:color w:val="auto"/>
          <w:sz w:val="24"/>
        </w:rPr>
      </w:pPr>
    </w:p>
    <w:p w14:paraId="33300B1B">
      <w:pPr>
        <w:spacing w:line="360" w:lineRule="auto"/>
        <w:contextualSpacing/>
        <w:jc w:val="left"/>
        <w:rPr>
          <w:rFonts w:ascii="宋体" w:hAnsi="宋体"/>
          <w:color w:val="auto"/>
          <w:sz w:val="24"/>
        </w:rPr>
      </w:pPr>
    </w:p>
    <w:p w14:paraId="280DFA8A">
      <w:pPr>
        <w:spacing w:line="360" w:lineRule="auto"/>
        <w:contextualSpacing/>
        <w:jc w:val="left"/>
        <w:rPr>
          <w:color w:val="auto"/>
          <w:sz w:val="24"/>
        </w:rPr>
      </w:pPr>
    </w:p>
    <w:p w14:paraId="734E5C6E">
      <w:pPr>
        <w:spacing w:line="360" w:lineRule="auto"/>
        <w:contextualSpacing/>
        <w:jc w:val="left"/>
        <w:rPr>
          <w:color w:val="auto"/>
          <w:sz w:val="24"/>
        </w:rPr>
      </w:pPr>
    </w:p>
    <w:p w14:paraId="13A30540">
      <w:pPr>
        <w:spacing w:line="360" w:lineRule="auto"/>
        <w:contextualSpacing/>
        <w:jc w:val="left"/>
        <w:rPr>
          <w:color w:val="auto"/>
          <w:sz w:val="24"/>
        </w:rPr>
      </w:pPr>
    </w:p>
    <w:p w14:paraId="21A99F1C">
      <w:pPr>
        <w:spacing w:line="360" w:lineRule="auto"/>
        <w:contextualSpacing/>
        <w:jc w:val="left"/>
        <w:rPr>
          <w:rFonts w:ascii="宋体" w:hAnsi="宋体"/>
          <w:color w:val="auto"/>
          <w:sz w:val="24"/>
        </w:rPr>
      </w:pPr>
    </w:p>
    <w:p w14:paraId="6D67328A">
      <w:pPr>
        <w:spacing w:line="360" w:lineRule="auto"/>
        <w:ind w:right="480" w:firstLine="3360" w:firstLineChars="1400"/>
        <w:contextualSpacing/>
        <w:rPr>
          <w:rFonts w:ascii="宋体" w:hAnsi="宋体"/>
          <w:color w:val="auto"/>
          <w:sz w:val="24"/>
          <w:u w:val="single"/>
        </w:rPr>
      </w:pPr>
      <w:r>
        <w:rPr>
          <w:rFonts w:hint="eastAsia" w:ascii="宋体" w:hAnsi="宋体"/>
          <w:color w:val="auto"/>
          <w:sz w:val="24"/>
        </w:rPr>
        <w:t>法定代表人或者委托代理人签字：</w:t>
      </w:r>
      <w:r>
        <w:rPr>
          <w:rFonts w:hint="eastAsia" w:ascii="宋体" w:hAnsi="宋体"/>
          <w:color w:val="auto"/>
          <w:sz w:val="24"/>
          <w:u w:val="single"/>
        </w:rPr>
        <w:t xml:space="preserve">               </w:t>
      </w:r>
    </w:p>
    <w:p w14:paraId="6BE4EC13">
      <w:pPr>
        <w:spacing w:line="360" w:lineRule="auto"/>
        <w:ind w:right="480" w:firstLine="3360" w:firstLineChars="1400"/>
        <w:contextualSpacing/>
        <w:rPr>
          <w:rFonts w:ascii="宋体" w:hAnsi="宋体"/>
          <w:color w:val="auto"/>
          <w:sz w:val="24"/>
        </w:rPr>
      </w:pPr>
      <w:r>
        <w:rPr>
          <w:rFonts w:hint="eastAsia" w:ascii="宋体" w:hAnsi="宋体"/>
          <w:color w:val="auto"/>
          <w:sz w:val="24"/>
        </w:rPr>
        <w:t>供应商（盖公章）：</w:t>
      </w:r>
      <w:r>
        <w:rPr>
          <w:rFonts w:hint="eastAsia" w:ascii="宋体" w:hAnsi="宋体"/>
          <w:color w:val="auto"/>
          <w:sz w:val="24"/>
          <w:u w:val="single"/>
        </w:rPr>
        <w:t xml:space="preserve">                </w:t>
      </w:r>
    </w:p>
    <w:p w14:paraId="4FB07DAA">
      <w:pPr>
        <w:spacing w:line="360" w:lineRule="auto"/>
        <w:ind w:right="480" w:firstLine="240" w:firstLineChars="100"/>
        <w:contextualSpacing/>
        <w:jc w:val="center"/>
        <w:rPr>
          <w:rFonts w:ascii="宋体" w:hAnsi="宋体"/>
          <w:color w:val="auto"/>
          <w:sz w:val="28"/>
          <w:szCs w:val="28"/>
        </w:rPr>
      </w:pPr>
      <w:r>
        <w:rPr>
          <w:rFonts w:hint="eastAsia" w:ascii="宋体" w:hAnsi="宋体"/>
          <w:color w:val="auto"/>
          <w:sz w:val="24"/>
        </w:rPr>
        <w:t xml:space="preserve">                                        年    月    日</w:t>
      </w:r>
    </w:p>
    <w:p w14:paraId="07F910F2">
      <w:pPr>
        <w:spacing w:line="320" w:lineRule="exact"/>
        <w:jc w:val="center"/>
        <w:rPr>
          <w:rFonts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14:paraId="007820AB">
      <w:pPr>
        <w:spacing w:line="320" w:lineRule="exact"/>
        <w:jc w:val="center"/>
        <w:rPr>
          <w:rFonts w:ascii="宋体" w:hAnsi="宋体"/>
          <w:color w:val="auto"/>
          <w:sz w:val="24"/>
          <w:szCs w:val="20"/>
        </w:rPr>
      </w:pPr>
    </w:p>
    <w:p w14:paraId="754A70FD">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3059EEFD">
      <w:pPr>
        <w:spacing w:line="360" w:lineRule="auto"/>
        <w:ind w:firstLine="480" w:firstLineChars="200"/>
        <w:contextualSpacing/>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2B560BE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0FC120E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14:paraId="5DF2387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14:paraId="52042B5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14:paraId="7FE2A66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14:paraId="2DD5D139">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14:paraId="4053FF6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14:paraId="735BA287">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14:paraId="544A2427">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14:paraId="04E7E77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14:paraId="534D544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14:paraId="7D324ED7">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14:paraId="713CED1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14:paraId="1DC359F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1F6950B">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14:paraId="7C88F95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6727CB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89EE3A7">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76E4F4A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28809F4">
      <w:pPr>
        <w:pStyle w:val="12"/>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14:paraId="721508CA">
      <w:pPr>
        <w:pStyle w:val="12"/>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3CB45EF4">
      <w:pPr>
        <w:pStyle w:val="11"/>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帐号：</w:t>
      </w:r>
      <w:r>
        <w:rPr>
          <w:rFonts w:hint="eastAsia" w:ascii="宋体" w:hAnsi="宋体" w:cs="宋体"/>
          <w:color w:val="auto"/>
          <w:sz w:val="24"/>
          <w:u w:val="single"/>
        </w:rPr>
        <w:t xml:space="preserve">                               </w:t>
      </w:r>
    </w:p>
    <w:p w14:paraId="6065FAB4">
      <w:pPr>
        <w:pStyle w:val="11"/>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293F97D3">
      <w:pPr>
        <w:pStyle w:val="11"/>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14:paraId="1D538515">
      <w:pPr>
        <w:pStyle w:val="11"/>
        <w:tabs>
          <w:tab w:val="left" w:pos="939"/>
        </w:tabs>
        <w:spacing w:line="360" w:lineRule="auto"/>
        <w:ind w:left="0" w:leftChars="0" w:firstLine="482" w:firstLineChars="200"/>
        <w:rPr>
          <w:rFonts w:ascii="宋体" w:hAnsi="宋体" w:cs="宋体"/>
          <w:b/>
          <w:color w:val="auto"/>
          <w:sz w:val="24"/>
        </w:rPr>
      </w:pPr>
      <w:r>
        <w:rPr>
          <w:rFonts w:hint="eastAsia" w:ascii="宋体" w:hAnsi="宋体" w:cs="宋体"/>
          <w:b/>
          <w:color w:val="auto"/>
          <w:sz w:val="24"/>
        </w:rPr>
        <w:t>注：如为联合体竞标，盖章处须加盖联合体各方公章并由联合体各方法定代表人签署，否则其响应文件按无效响应处理。</w:t>
      </w:r>
    </w:p>
    <w:p w14:paraId="3EC0CE91">
      <w:pPr>
        <w:pStyle w:val="11"/>
        <w:tabs>
          <w:tab w:val="left" w:pos="939"/>
        </w:tabs>
        <w:spacing w:line="360" w:lineRule="auto"/>
        <w:ind w:left="0" w:leftChars="0" w:firstLine="480" w:firstLineChars="200"/>
        <w:rPr>
          <w:rFonts w:ascii="宋体" w:hAnsi="宋体" w:cs="宋体"/>
          <w:color w:val="auto"/>
          <w:sz w:val="24"/>
        </w:rPr>
      </w:pPr>
    </w:p>
    <w:p w14:paraId="75FB6288">
      <w:pPr>
        <w:spacing w:line="360" w:lineRule="auto"/>
        <w:ind w:firstLine="4320" w:firstLineChars="1800"/>
        <w:contextualSpacing/>
        <w:rPr>
          <w:color w:val="auto"/>
          <w:sz w:val="24"/>
        </w:rPr>
      </w:pPr>
      <w:r>
        <w:rPr>
          <w:rFonts w:hint="eastAsia"/>
          <w:color w:val="auto"/>
          <w:sz w:val="24"/>
        </w:rPr>
        <w:t>法定代表人（签字或者盖章）：</w:t>
      </w:r>
      <w:r>
        <w:rPr>
          <w:rFonts w:hint="eastAsia"/>
          <w:color w:val="auto"/>
          <w:sz w:val="24"/>
          <w:u w:val="single"/>
        </w:rPr>
        <w:t xml:space="preserve">                             </w:t>
      </w:r>
      <w:r>
        <w:rPr>
          <w:rFonts w:hint="eastAsia"/>
          <w:color w:val="auto"/>
          <w:sz w:val="24"/>
        </w:rPr>
        <w:t xml:space="preserve">                                     </w:t>
      </w:r>
    </w:p>
    <w:p w14:paraId="4B7D13F6">
      <w:pPr>
        <w:spacing w:line="360" w:lineRule="auto"/>
        <w:ind w:firstLine="4320" w:firstLineChars="1800"/>
        <w:contextualSpacing/>
        <w:rPr>
          <w:rFonts w:ascii="宋体" w:hAnsi="宋体" w:cs="宋体"/>
          <w:color w:val="auto"/>
          <w:sz w:val="24"/>
          <w:u w:val="single"/>
        </w:rPr>
      </w:pPr>
      <w:r>
        <w:rPr>
          <w:rFonts w:hint="eastAsia"/>
          <w:color w:val="auto"/>
          <w:sz w:val="24"/>
        </w:rPr>
        <w:t>供应商（盖公章）：</w:t>
      </w:r>
      <w:r>
        <w:rPr>
          <w:rFonts w:hint="eastAsia"/>
          <w:color w:val="auto"/>
          <w:sz w:val="24"/>
          <w:u w:val="single"/>
        </w:rPr>
        <w:t xml:space="preserve">                               </w:t>
      </w:r>
      <w:r>
        <w:rPr>
          <w:rFonts w:hint="eastAsia"/>
          <w:color w:val="auto"/>
          <w:sz w:val="24"/>
        </w:rPr>
        <w:t xml:space="preserve">       </w:t>
      </w:r>
      <w:r>
        <w:rPr>
          <w:rFonts w:hint="eastAsia" w:ascii="宋体" w:hAnsi="宋体" w:cs="宋体"/>
          <w:color w:val="auto"/>
          <w:sz w:val="24"/>
        </w:rPr>
        <w:t xml:space="preserve">    </w:t>
      </w:r>
    </w:p>
    <w:p w14:paraId="6A2D7D6F">
      <w:pPr>
        <w:spacing w:line="360" w:lineRule="auto"/>
        <w:ind w:right="480" w:firstLine="240" w:firstLineChars="100"/>
        <w:contextualSpacing/>
        <w:jc w:val="center"/>
        <w:rPr>
          <w:color w:val="auto"/>
          <w:sz w:val="24"/>
        </w:rPr>
      </w:pPr>
      <w:r>
        <w:rPr>
          <w:rFonts w:hint="eastAsia" w:ascii="宋体" w:hAnsi="宋体" w:cs="宋体"/>
          <w:color w:val="auto"/>
          <w:sz w:val="24"/>
        </w:rPr>
        <w:t xml:space="preserve">                                                  </w:t>
      </w:r>
      <w:r>
        <w:rPr>
          <w:rFonts w:hint="eastAsia"/>
          <w:color w:val="auto"/>
          <w:sz w:val="24"/>
        </w:rPr>
        <w:t xml:space="preserve"> 年    月    日</w:t>
      </w:r>
    </w:p>
    <w:p w14:paraId="416D202C">
      <w:pPr>
        <w:pStyle w:val="6"/>
        <w:overflowPunct w:val="0"/>
        <w:spacing w:line="520" w:lineRule="exact"/>
        <w:ind w:right="480" w:firstLine="321" w:firstLineChars="100"/>
        <w:contextualSpacing/>
        <w:jc w:val="center"/>
        <w:rPr>
          <w:rFonts w:ascii="宋体" w:hAnsi="宋体"/>
          <w:b/>
          <w:bCs/>
          <w:color w:val="auto"/>
          <w:sz w:val="32"/>
          <w:szCs w:val="32"/>
        </w:rPr>
      </w:pPr>
    </w:p>
    <w:p w14:paraId="20E8A78D">
      <w:pPr>
        <w:snapToGrid w:val="0"/>
        <w:spacing w:before="156" w:beforeLines="50" w:after="50" w:line="360" w:lineRule="auto"/>
        <w:ind w:right="480"/>
        <w:rPr>
          <w:rFonts w:ascii="宋体" w:hAnsi="宋体"/>
          <w:b/>
          <w:color w:val="auto"/>
          <w:sz w:val="32"/>
          <w:szCs w:val="32"/>
        </w:rPr>
      </w:pPr>
      <w:r>
        <w:rPr>
          <w:rFonts w:ascii="宋体" w:hAns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报价商务技术文件格式</w:t>
      </w:r>
    </w:p>
    <w:p w14:paraId="4794F130">
      <w:pPr>
        <w:snapToGrid w:val="0"/>
        <w:spacing w:before="156" w:beforeLines="50" w:after="50" w:line="360" w:lineRule="auto"/>
        <w:jc w:val="left"/>
        <w:rPr>
          <w:rFonts w:ascii="宋体" w:hAnsi="宋体"/>
          <w:b/>
          <w:color w:val="auto"/>
          <w:sz w:val="32"/>
          <w:szCs w:val="32"/>
        </w:rPr>
      </w:pPr>
      <w:r>
        <w:rPr>
          <w:rFonts w:hint="eastAsia" w:ascii="宋体" w:hAnsi="宋体"/>
          <w:b/>
          <w:color w:val="auto"/>
          <w:sz w:val="32"/>
          <w:szCs w:val="32"/>
        </w:rPr>
        <w:t>1.报价商务技术文件封面格式</w:t>
      </w:r>
    </w:p>
    <w:p w14:paraId="36195C92">
      <w:pPr>
        <w:snapToGrid w:val="0"/>
        <w:spacing w:before="156" w:beforeLines="50" w:after="50"/>
        <w:rPr>
          <w:rFonts w:ascii="宋体" w:hAnsi="宋体"/>
          <w:bCs/>
          <w:color w:val="auto"/>
          <w:sz w:val="32"/>
          <w:szCs w:val="20"/>
        </w:rPr>
      </w:pPr>
      <w:r>
        <w:rPr>
          <w:rFonts w:hint="eastAsia" w:ascii="宋体" w:hAnsi="宋体"/>
          <w:color w:val="auto"/>
          <w:sz w:val="24"/>
        </w:rPr>
        <w:t xml:space="preserve">                                                   </w:t>
      </w:r>
    </w:p>
    <w:p w14:paraId="21A247E8">
      <w:pPr>
        <w:snapToGrid w:val="0"/>
        <w:spacing w:before="156" w:beforeLines="50" w:after="50"/>
        <w:rPr>
          <w:rFonts w:ascii="宋体" w:hAnsi="宋体"/>
          <w:color w:val="auto"/>
          <w:sz w:val="24"/>
          <w:szCs w:val="20"/>
        </w:rPr>
      </w:pPr>
    </w:p>
    <w:p w14:paraId="5F67CF1E">
      <w:pPr>
        <w:snapToGrid w:val="0"/>
        <w:spacing w:before="156" w:beforeLines="50" w:after="50"/>
        <w:jc w:val="center"/>
        <w:rPr>
          <w:rFonts w:ascii="方正小标宋简体" w:hAnsi="方正小标宋简体" w:eastAsia="方正小标宋简体" w:cs="方正小标宋简体"/>
          <w:bCs/>
          <w:color w:val="auto"/>
          <w:sz w:val="84"/>
          <w:szCs w:val="84"/>
        </w:rPr>
      </w:pPr>
      <w:r>
        <w:rPr>
          <w:rFonts w:hint="eastAsia" w:ascii="方正小标宋简体" w:hAnsi="方正小标宋简体" w:eastAsia="方正小标宋简体" w:cs="方正小标宋简体"/>
          <w:bCs/>
          <w:color w:val="auto"/>
          <w:sz w:val="84"/>
          <w:szCs w:val="84"/>
        </w:rPr>
        <w:t>响  应  文  件</w:t>
      </w:r>
    </w:p>
    <w:p w14:paraId="11D4C23A">
      <w:pPr>
        <w:snapToGrid w:val="0"/>
        <w:spacing w:before="156" w:beforeLines="50" w:after="50"/>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报  价  商  务  技  术  文  件</w:t>
      </w:r>
    </w:p>
    <w:p w14:paraId="3F5CDC5A">
      <w:pPr>
        <w:snapToGrid w:val="0"/>
        <w:spacing w:before="156" w:beforeLines="50" w:after="50"/>
        <w:rPr>
          <w:rFonts w:ascii="宋体" w:hAnsi="宋体"/>
          <w:bCs/>
          <w:color w:val="auto"/>
          <w:sz w:val="24"/>
          <w:szCs w:val="20"/>
        </w:rPr>
      </w:pPr>
    </w:p>
    <w:p w14:paraId="73B9B3D7">
      <w:pPr>
        <w:snapToGrid w:val="0"/>
        <w:spacing w:before="156" w:beforeLines="50" w:after="50"/>
        <w:rPr>
          <w:rFonts w:ascii="宋体" w:hAnsi="宋体"/>
          <w:bCs/>
          <w:color w:val="auto"/>
          <w:sz w:val="24"/>
          <w:szCs w:val="20"/>
        </w:rPr>
      </w:pPr>
    </w:p>
    <w:p w14:paraId="48C0B815">
      <w:pPr>
        <w:snapToGrid w:val="0"/>
        <w:spacing w:before="156" w:beforeLines="50" w:after="50"/>
        <w:rPr>
          <w:rFonts w:ascii="宋体" w:hAnsi="宋体"/>
          <w:bCs/>
          <w:color w:val="auto"/>
          <w:sz w:val="24"/>
          <w:szCs w:val="20"/>
        </w:rPr>
      </w:pPr>
    </w:p>
    <w:p w14:paraId="7E1D9586">
      <w:pPr>
        <w:snapToGrid w:val="0"/>
        <w:spacing w:before="156" w:beforeLines="50" w:after="50"/>
        <w:rPr>
          <w:rFonts w:ascii="宋体" w:hAnsi="宋体"/>
          <w:bCs/>
          <w:color w:val="auto"/>
          <w:sz w:val="24"/>
          <w:szCs w:val="20"/>
        </w:rPr>
      </w:pPr>
    </w:p>
    <w:p w14:paraId="5758B2E0">
      <w:pPr>
        <w:snapToGrid w:val="0"/>
        <w:spacing w:before="156" w:beforeLines="50" w:after="50"/>
        <w:rPr>
          <w:rFonts w:ascii="宋体" w:hAnsi="宋体"/>
          <w:bCs/>
          <w:color w:val="auto"/>
          <w:sz w:val="24"/>
          <w:szCs w:val="20"/>
        </w:rPr>
      </w:pPr>
    </w:p>
    <w:p w14:paraId="20C292DB">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24507743">
      <w:pPr>
        <w:snapToGrid w:val="0"/>
        <w:spacing w:before="156" w:beforeLines="50" w:after="50"/>
        <w:ind w:firstLine="720" w:firstLineChars="225"/>
        <w:rPr>
          <w:rFonts w:ascii="宋体" w:hAnsi="宋体" w:cs="仿宋_GB2312"/>
          <w:bCs/>
          <w:color w:val="auto"/>
          <w:sz w:val="32"/>
          <w:szCs w:val="32"/>
        </w:rPr>
      </w:pPr>
    </w:p>
    <w:p w14:paraId="131156C7">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14:paraId="0C3FDE5B">
      <w:pPr>
        <w:snapToGrid w:val="0"/>
        <w:spacing w:before="156"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 xml:space="preserve"> </w:t>
      </w:r>
    </w:p>
    <w:p w14:paraId="57E4E47B">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w:t>
      </w:r>
    </w:p>
    <w:p w14:paraId="4C1451D8">
      <w:pPr>
        <w:snapToGrid w:val="0"/>
        <w:spacing w:before="156" w:beforeLines="50" w:after="50"/>
        <w:ind w:firstLine="720" w:firstLineChars="225"/>
        <w:rPr>
          <w:rFonts w:ascii="宋体" w:hAnsi="宋体" w:cs="仿宋_GB2312"/>
          <w:bCs/>
          <w:color w:val="auto"/>
          <w:sz w:val="32"/>
          <w:szCs w:val="32"/>
        </w:rPr>
      </w:pPr>
    </w:p>
    <w:p w14:paraId="5C6D8DE5">
      <w:pPr>
        <w:pStyle w:val="6"/>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14:paraId="7E109B57">
      <w:pPr>
        <w:pStyle w:val="6"/>
        <w:snapToGrid w:val="0"/>
        <w:spacing w:before="50" w:after="50"/>
        <w:ind w:firstLine="720" w:firstLineChars="225"/>
        <w:rPr>
          <w:rFonts w:ascii="宋体" w:hAnsi="宋体" w:cs="仿宋_GB2312"/>
          <w:bCs/>
          <w:color w:val="auto"/>
          <w:sz w:val="32"/>
          <w:szCs w:val="32"/>
        </w:rPr>
      </w:pPr>
    </w:p>
    <w:p w14:paraId="3F14986C">
      <w:pPr>
        <w:pStyle w:val="6"/>
        <w:snapToGrid w:val="0"/>
        <w:spacing w:before="50" w:after="50"/>
        <w:ind w:firstLine="720" w:firstLineChars="225"/>
        <w:rPr>
          <w:rFonts w:ascii="宋体" w:hAnsi="宋体" w:cs="仿宋_GB2312"/>
          <w:bCs/>
          <w:color w:val="auto"/>
          <w:sz w:val="32"/>
          <w:szCs w:val="32"/>
        </w:rPr>
      </w:pPr>
    </w:p>
    <w:p w14:paraId="78E393F6">
      <w:pPr>
        <w:pStyle w:val="6"/>
        <w:snapToGrid w:val="0"/>
        <w:spacing w:before="50" w:after="50"/>
        <w:ind w:firstLine="1280" w:firstLineChars="400"/>
        <w:rPr>
          <w:rFonts w:ascii="宋体" w:hAnsi="宋体" w:cs="仿宋_GB2312"/>
          <w:bCs/>
          <w:color w:val="auto"/>
          <w:sz w:val="32"/>
          <w:szCs w:val="32"/>
        </w:rPr>
      </w:pPr>
    </w:p>
    <w:p w14:paraId="4F0F7DA1">
      <w:pPr>
        <w:snapToGrid w:val="0"/>
        <w:spacing w:before="156"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7E023B80">
      <w:pPr>
        <w:snapToGrid w:val="0"/>
        <w:spacing w:before="156" w:beforeLines="50" w:after="50" w:line="360" w:lineRule="auto"/>
        <w:ind w:left="142"/>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2.报价商务技术文件目录</w:t>
      </w:r>
    </w:p>
    <w:p w14:paraId="356CD076">
      <w:pPr>
        <w:snapToGrid w:val="0"/>
        <w:spacing w:before="156"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65ABBDC3">
      <w:pPr>
        <w:spacing w:line="400" w:lineRule="exact"/>
        <w:rPr>
          <w:rFonts w:ascii="仿宋_GB2312" w:hAnsi="仿宋_GB2312" w:eastAsia="仿宋_GB2312" w:cs="仿宋_GB2312"/>
          <w:color w:val="auto"/>
          <w:sz w:val="32"/>
          <w:szCs w:val="32"/>
        </w:rPr>
      </w:pPr>
    </w:p>
    <w:p w14:paraId="7DDB03DD">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14:paraId="760CB6FE">
      <w:pPr>
        <w:spacing w:line="360" w:lineRule="auto"/>
        <w:ind w:firstLine="640" w:firstLineChars="200"/>
        <w:contextualSpacing/>
        <w:rPr>
          <w:rFonts w:ascii="仿宋_GB2312" w:hAnsi="仿宋_GB2312" w:eastAsia="仿宋_GB2312" w:cs="仿宋_GB2312"/>
          <w:color w:val="auto"/>
          <w:sz w:val="32"/>
          <w:szCs w:val="32"/>
        </w:rPr>
      </w:pPr>
    </w:p>
    <w:p w14:paraId="22C5A8D5">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14:paraId="266F556F">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 xml:space="preserve">1.不同供应商的响应文件由同一单位或者个人编制； </w:t>
      </w:r>
    </w:p>
    <w:p w14:paraId="74A5F667">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14:paraId="1D5978F4">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14:paraId="44A05BEB">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14:paraId="687F97D6">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14:paraId="160DF3EA">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14:paraId="46E1B883">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14:paraId="2A15DFD8">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14:paraId="435B6301">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14:paraId="54927DC8">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14:paraId="1542D02C">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14:paraId="02A40668">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14:paraId="09FCCA73">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14:paraId="6D91B707">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14:paraId="70F93EDA">
      <w:pPr>
        <w:spacing w:line="360" w:lineRule="auto"/>
        <w:ind w:firstLine="480" w:firstLineChars="200"/>
        <w:contextualSpacing/>
        <w:rPr>
          <w:rFonts w:ascii="宋体" w:hAnsi="宋体" w:cs="仿宋_GB2312"/>
          <w:color w:val="auto"/>
          <w:sz w:val="24"/>
        </w:rPr>
      </w:pPr>
    </w:p>
    <w:p w14:paraId="3988A0C7">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14:paraId="7485A2EB">
      <w:pPr>
        <w:spacing w:line="360" w:lineRule="auto"/>
        <w:contextualSpacing/>
        <w:rPr>
          <w:rFonts w:ascii="宋体" w:hAnsi="宋体" w:cs="仿宋_GB2312"/>
          <w:color w:val="auto"/>
          <w:sz w:val="24"/>
        </w:rPr>
      </w:pPr>
    </w:p>
    <w:p w14:paraId="6596BD86">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供应商（盖公章）：</w:t>
      </w:r>
    </w:p>
    <w:p w14:paraId="09317205">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14:paraId="407A3DAB">
      <w:pPr>
        <w:spacing w:line="520" w:lineRule="exact"/>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竞  标  报  价  表</w:t>
      </w:r>
    </w:p>
    <w:p w14:paraId="323F08DD">
      <w:pPr>
        <w:spacing w:line="440" w:lineRule="exact"/>
        <w:jc w:val="center"/>
        <w:rPr>
          <w:rFonts w:ascii="方正小标宋简体" w:hAnsi="方正小标宋简体" w:eastAsia="方正小标宋简体" w:cs="方正小标宋简体"/>
          <w:bCs/>
          <w:color w:val="auto"/>
          <w:sz w:val="32"/>
          <w:szCs w:val="32"/>
        </w:rPr>
      </w:pPr>
    </w:p>
    <w:p w14:paraId="5B1FCFA9">
      <w:pPr>
        <w:spacing w:line="360" w:lineRule="auto"/>
        <w:contextualSpacing/>
        <w:rPr>
          <w:rFonts w:ascii="宋体" w:hAnsi="宋体" w:cs="仿宋_GB2312"/>
          <w:color w:val="auto"/>
          <w:sz w:val="24"/>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6C6BBB32">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r>
        <w:rPr>
          <w:rFonts w:hint="eastAsia" w:ascii="宋体" w:hAnsi="宋体" w:cs="仿宋_GB2312"/>
          <w:color w:val="auto"/>
          <w:sz w:val="24"/>
          <w:u w:val="single"/>
        </w:rPr>
        <w:t xml:space="preserve">                                         </w:t>
      </w:r>
    </w:p>
    <w:p w14:paraId="38ACB97C">
      <w:pPr>
        <w:spacing w:line="360" w:lineRule="auto"/>
        <w:contextualSpacing/>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0E3B5432">
      <w:pPr>
        <w:spacing w:line="360" w:lineRule="auto"/>
        <w:contextualSpacing/>
        <w:rPr>
          <w:rFonts w:ascii="宋体" w:hAnsi="宋体" w:cs="仿宋_GB2312"/>
          <w:color w:val="auto"/>
          <w:sz w:val="24"/>
        </w:rPr>
      </w:pPr>
      <w:r>
        <w:rPr>
          <w:rFonts w:hint="eastAsia" w:ascii="宋体" w:hAnsi="宋体" w:cs="仿宋_GB2312"/>
          <w:color w:val="auto"/>
          <w:sz w:val="24"/>
        </w:rPr>
        <w:t xml:space="preserve">                                                单位：元</w:t>
      </w:r>
    </w:p>
    <w:tbl>
      <w:tblPr>
        <w:tblStyle w:val="19"/>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BF3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0DF8DDE">
            <w:pPr>
              <w:spacing w:line="360" w:lineRule="auto"/>
              <w:contextualSpacing/>
              <w:jc w:val="center"/>
              <w:rPr>
                <w:rFonts w:ascii="宋体" w:hAnsi="宋体" w:cs="仿宋_GB2312"/>
                <w:color w:val="auto"/>
                <w:sz w:val="24"/>
              </w:rPr>
            </w:pPr>
            <w:r>
              <w:rPr>
                <w:rFonts w:ascii="宋体" w:hAnsi="宋体" w:cs="仿宋_GB2312"/>
                <w:color w:val="auto"/>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77531B8F">
            <w:pPr>
              <w:spacing w:line="360" w:lineRule="auto"/>
              <w:contextualSpacing/>
              <w:jc w:val="center"/>
              <w:rPr>
                <w:rFonts w:ascii="宋体" w:hAnsi="宋体" w:cs="仿宋_GB2312"/>
                <w:color w:val="auto"/>
                <w:sz w:val="24"/>
              </w:rPr>
            </w:pPr>
            <w:r>
              <w:rPr>
                <w:rFonts w:hint="eastAsia" w:ascii="宋体" w:hAnsi="宋体" w:cs="仿宋_GB2312"/>
                <w:color w:val="auto"/>
                <w:sz w:val="24"/>
              </w:rPr>
              <w:t>标的</w:t>
            </w:r>
            <w:r>
              <w:rPr>
                <w:rFonts w:ascii="宋体" w:hAnsi="宋体" w:cs="仿宋_GB2312"/>
                <w:color w:val="auto"/>
                <w:sz w:val="24"/>
              </w:rPr>
              <w:t>名称</w:t>
            </w:r>
            <w:r>
              <w:rPr>
                <w:rFonts w:hint="eastAsia" w:ascii="宋体" w:hAnsi="宋体" w:cs="仿宋_GB2312"/>
                <w:color w:val="auto"/>
                <w:sz w:val="24"/>
              </w:rPr>
              <w:t>（按各分标</w:t>
            </w:r>
            <w:r>
              <w:rPr>
                <w:rFonts w:hint="eastAsia" w:ascii="宋体" w:hAnsi="宋体" w:cs="仿宋_GB2312"/>
                <w:color w:val="auto"/>
                <w:sz w:val="24"/>
                <w:lang w:eastAsia="zh-CN"/>
              </w:rPr>
              <w:t>（</w:t>
            </w:r>
            <w:r>
              <w:rPr>
                <w:rFonts w:hint="eastAsia" w:ascii="宋体" w:hAnsi="宋体" w:cs="仿宋_GB2312"/>
                <w:color w:val="auto"/>
                <w:sz w:val="24"/>
                <w:lang w:val="en-US" w:eastAsia="zh-CN"/>
              </w:rPr>
              <w:t>如有）</w:t>
            </w:r>
            <w:r>
              <w:rPr>
                <w:rFonts w:hint="eastAsia" w:ascii="宋体" w:hAnsi="宋体" w:cs="仿宋_GB2312"/>
                <w:color w:val="auto"/>
                <w:sz w:val="24"/>
              </w:rPr>
              <w:t>实际填写）</w:t>
            </w:r>
          </w:p>
        </w:tc>
        <w:tc>
          <w:tcPr>
            <w:tcW w:w="617" w:type="dxa"/>
            <w:tcBorders>
              <w:top w:val="single" w:color="auto" w:sz="4" w:space="0"/>
              <w:left w:val="single" w:color="auto" w:sz="4" w:space="0"/>
              <w:bottom w:val="single" w:color="auto" w:sz="4" w:space="0"/>
              <w:right w:val="single" w:color="auto" w:sz="4" w:space="0"/>
            </w:tcBorders>
            <w:vAlign w:val="center"/>
          </w:tcPr>
          <w:p w14:paraId="7D9A8C63">
            <w:pPr>
              <w:spacing w:line="360" w:lineRule="auto"/>
              <w:contextualSpacing/>
              <w:jc w:val="center"/>
              <w:rPr>
                <w:rFonts w:ascii="宋体" w:hAnsi="宋体" w:cs="仿宋_GB2312"/>
                <w:color w:val="auto"/>
                <w:sz w:val="24"/>
              </w:rPr>
            </w:pPr>
            <w:r>
              <w:rPr>
                <w:rFonts w:hint="eastAsia" w:ascii="宋体" w:hAnsi="宋体" w:cs="仿宋_GB2312"/>
                <w:color w:val="auto"/>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5B331280">
            <w:pPr>
              <w:spacing w:line="360" w:lineRule="auto"/>
              <w:contextualSpacing/>
              <w:jc w:val="center"/>
              <w:rPr>
                <w:rFonts w:ascii="宋体" w:hAnsi="宋体" w:cs="仿宋_GB2312"/>
                <w:color w:val="auto"/>
                <w:sz w:val="24"/>
              </w:rPr>
            </w:pPr>
            <w:r>
              <w:rPr>
                <w:rFonts w:hint="eastAsia" w:ascii="宋体" w:hAnsi="宋体" w:cs="仿宋_GB2312"/>
                <w:color w:val="auto"/>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3BD45C8D">
            <w:pPr>
              <w:spacing w:line="360" w:lineRule="auto"/>
              <w:contextualSpacing/>
              <w:jc w:val="center"/>
              <w:rPr>
                <w:rFonts w:ascii="宋体" w:hAnsi="宋体" w:cs="仿宋_GB2312"/>
                <w:color w:val="auto"/>
                <w:sz w:val="24"/>
              </w:rPr>
            </w:pPr>
            <w:r>
              <w:rPr>
                <w:rFonts w:hint="eastAsia" w:ascii="宋体" w:hAnsi="宋体" w:cs="仿宋_GB2312"/>
                <w:color w:val="auto"/>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652422B5">
            <w:pPr>
              <w:spacing w:line="360" w:lineRule="auto"/>
              <w:contextualSpacing/>
              <w:jc w:val="center"/>
              <w:rPr>
                <w:rFonts w:ascii="宋体" w:hAnsi="宋体" w:cs="仿宋_GB2312"/>
                <w:color w:val="auto"/>
                <w:sz w:val="24"/>
              </w:rPr>
            </w:pPr>
            <w:r>
              <w:rPr>
                <w:rFonts w:hint="eastAsia" w:ascii="宋体" w:hAnsi="宋体" w:cs="仿宋_GB2312"/>
                <w:color w:val="auto"/>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014E38B4">
            <w:pPr>
              <w:spacing w:line="360" w:lineRule="auto"/>
              <w:contextualSpacing/>
              <w:jc w:val="center"/>
              <w:rPr>
                <w:rFonts w:ascii="宋体" w:hAnsi="宋体" w:cs="仿宋_GB2312"/>
                <w:color w:val="auto"/>
                <w:sz w:val="24"/>
              </w:rPr>
            </w:pPr>
            <w:r>
              <w:rPr>
                <w:rFonts w:ascii="宋体" w:hAnsi="宋体" w:cs="仿宋_GB2312"/>
                <w:color w:val="auto"/>
                <w:sz w:val="24"/>
              </w:rPr>
              <w:t>备注</w:t>
            </w:r>
          </w:p>
        </w:tc>
      </w:tr>
      <w:tr w14:paraId="376C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96146C9">
            <w:pPr>
              <w:spacing w:line="360" w:lineRule="auto"/>
              <w:contextualSpacing/>
              <w:jc w:val="center"/>
              <w:rPr>
                <w:rFonts w:ascii="宋体" w:hAnsi="宋体" w:cs="仿宋_GB2312"/>
                <w:color w:val="auto"/>
                <w:sz w:val="24"/>
              </w:rPr>
            </w:pPr>
            <w:r>
              <w:rPr>
                <w:rFonts w:ascii="宋体" w:hAnsi="宋体" w:cs="仿宋_GB2312"/>
                <w:color w:val="auto"/>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04D2962D">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5356D582">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50729AA7">
            <w:pPr>
              <w:spacing w:line="360" w:lineRule="auto"/>
              <w:contextualSpacing/>
              <w:jc w:val="center"/>
              <w:rPr>
                <w:rFonts w:ascii="宋体" w:hAnsi="宋体" w:cs="仿宋_GB2312"/>
                <w:color w:val="auto"/>
                <w:sz w:val="24"/>
              </w:rPr>
            </w:pPr>
          </w:p>
        </w:tc>
        <w:tc>
          <w:tcPr>
            <w:tcW w:w="2194" w:type="dxa"/>
            <w:tcBorders>
              <w:top w:val="single" w:color="auto" w:sz="4" w:space="0"/>
              <w:left w:val="single" w:color="auto" w:sz="4" w:space="0"/>
              <w:bottom w:val="single" w:color="auto" w:sz="4" w:space="0"/>
              <w:right w:val="single" w:color="auto" w:sz="4" w:space="0"/>
            </w:tcBorders>
          </w:tcPr>
          <w:p w14:paraId="35B2C137">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tcPr>
          <w:p w14:paraId="0CDE5779">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786415AD">
            <w:pPr>
              <w:spacing w:line="360" w:lineRule="auto"/>
              <w:contextualSpacing/>
              <w:rPr>
                <w:rFonts w:ascii="宋体" w:hAnsi="宋体" w:cs="仿宋_GB2312"/>
                <w:color w:val="auto"/>
                <w:sz w:val="24"/>
              </w:rPr>
            </w:pPr>
          </w:p>
        </w:tc>
      </w:tr>
      <w:tr w14:paraId="78F0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5203D38">
            <w:pPr>
              <w:spacing w:line="360" w:lineRule="auto"/>
              <w:contextualSpacing/>
              <w:jc w:val="center"/>
              <w:rPr>
                <w:rFonts w:ascii="宋体" w:hAnsi="宋体" w:cs="仿宋_GB2312"/>
                <w:color w:val="auto"/>
                <w:sz w:val="24"/>
              </w:rPr>
            </w:pPr>
            <w:r>
              <w:rPr>
                <w:rFonts w:hint="eastAsia" w:ascii="宋体" w:hAnsi="宋体" w:cs="仿宋_GB2312"/>
                <w:color w:val="auto"/>
                <w:sz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6584DA7D">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6ADCDA49">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2A00597C">
            <w:pPr>
              <w:spacing w:line="360" w:lineRule="auto"/>
              <w:contextualSpacing/>
              <w:jc w:val="center"/>
              <w:rPr>
                <w:rFonts w:ascii="宋体" w:hAnsi="宋体" w:cs="仿宋_GB2312"/>
                <w:color w:val="auto"/>
                <w:sz w:val="24"/>
              </w:rPr>
            </w:pPr>
          </w:p>
        </w:tc>
        <w:tc>
          <w:tcPr>
            <w:tcW w:w="2194" w:type="dxa"/>
            <w:tcBorders>
              <w:top w:val="single" w:color="auto" w:sz="4" w:space="0"/>
              <w:left w:val="single" w:color="auto" w:sz="4" w:space="0"/>
              <w:bottom w:val="single" w:color="auto" w:sz="4" w:space="0"/>
              <w:right w:val="single" w:color="auto" w:sz="4" w:space="0"/>
            </w:tcBorders>
          </w:tcPr>
          <w:p w14:paraId="794E8695">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tcPr>
          <w:p w14:paraId="3A9A877B">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3F057233">
            <w:pPr>
              <w:spacing w:line="360" w:lineRule="auto"/>
              <w:contextualSpacing/>
              <w:rPr>
                <w:rFonts w:ascii="宋体" w:hAnsi="宋体" w:cs="仿宋_GB2312"/>
                <w:color w:val="auto"/>
                <w:sz w:val="24"/>
              </w:rPr>
            </w:pPr>
          </w:p>
        </w:tc>
      </w:tr>
      <w:tr w14:paraId="7D17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D6D2A69">
            <w:pPr>
              <w:spacing w:line="360" w:lineRule="auto"/>
              <w:contextualSpacing/>
              <w:jc w:val="center"/>
              <w:rPr>
                <w:rFonts w:ascii="宋体" w:hAnsi="宋体" w:cs="仿宋_GB2312"/>
                <w:color w:val="auto"/>
                <w:sz w:val="24"/>
              </w:rPr>
            </w:pPr>
            <w:r>
              <w:rPr>
                <w:rFonts w:hint="eastAsia" w:ascii="宋体" w:hAnsi="宋体" w:cs="仿宋_GB2312"/>
                <w:color w:val="auto"/>
                <w:sz w:val="24"/>
              </w:rPr>
              <w:t>3</w:t>
            </w:r>
          </w:p>
        </w:tc>
        <w:tc>
          <w:tcPr>
            <w:tcW w:w="2712" w:type="dxa"/>
            <w:tcBorders>
              <w:top w:val="single" w:color="auto" w:sz="4" w:space="0"/>
              <w:left w:val="single" w:color="auto" w:sz="4" w:space="0"/>
              <w:bottom w:val="single" w:color="auto" w:sz="4" w:space="0"/>
              <w:right w:val="single" w:color="auto" w:sz="4" w:space="0"/>
            </w:tcBorders>
            <w:vAlign w:val="center"/>
          </w:tcPr>
          <w:p w14:paraId="17536FFE">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5CEE9B6F">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tcPr>
          <w:p w14:paraId="53DF530D">
            <w:pPr>
              <w:spacing w:line="360" w:lineRule="auto"/>
              <w:contextualSpacing/>
              <w:rPr>
                <w:rFonts w:ascii="宋体" w:hAnsi="宋体" w:cs="仿宋_GB2312"/>
                <w:color w:val="auto"/>
                <w:sz w:val="24"/>
              </w:rPr>
            </w:pPr>
          </w:p>
        </w:tc>
        <w:tc>
          <w:tcPr>
            <w:tcW w:w="2194" w:type="dxa"/>
            <w:tcBorders>
              <w:top w:val="single" w:color="auto" w:sz="4" w:space="0"/>
              <w:left w:val="single" w:color="auto" w:sz="4" w:space="0"/>
              <w:bottom w:val="single" w:color="auto" w:sz="4" w:space="0"/>
              <w:right w:val="single" w:color="auto" w:sz="4" w:space="0"/>
            </w:tcBorders>
          </w:tcPr>
          <w:p w14:paraId="6A8F153D">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tcPr>
          <w:p w14:paraId="3C48D2C4">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3C6A9494">
            <w:pPr>
              <w:spacing w:line="360" w:lineRule="auto"/>
              <w:contextualSpacing/>
              <w:rPr>
                <w:rFonts w:ascii="宋体" w:hAnsi="宋体" w:cs="仿宋_GB2312"/>
                <w:color w:val="auto"/>
                <w:sz w:val="24"/>
              </w:rPr>
            </w:pPr>
          </w:p>
        </w:tc>
      </w:tr>
      <w:tr w14:paraId="7F21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EE3D3AB">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64A8B19E">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617" w:type="dxa"/>
            <w:tcBorders>
              <w:top w:val="single" w:color="auto" w:sz="4" w:space="0"/>
              <w:left w:val="single" w:color="auto" w:sz="4" w:space="0"/>
              <w:bottom w:val="single" w:color="auto" w:sz="4" w:space="0"/>
              <w:right w:val="single" w:color="auto" w:sz="4" w:space="0"/>
            </w:tcBorders>
            <w:vAlign w:val="center"/>
          </w:tcPr>
          <w:p w14:paraId="057F0FC4">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617" w:type="dxa"/>
            <w:tcBorders>
              <w:top w:val="single" w:color="auto" w:sz="4" w:space="0"/>
              <w:left w:val="single" w:color="auto" w:sz="4" w:space="0"/>
              <w:bottom w:val="single" w:color="auto" w:sz="4" w:space="0"/>
              <w:right w:val="single" w:color="auto" w:sz="4" w:space="0"/>
            </w:tcBorders>
            <w:vAlign w:val="center"/>
          </w:tcPr>
          <w:p w14:paraId="3EA4FF4E">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2194" w:type="dxa"/>
            <w:tcBorders>
              <w:top w:val="single" w:color="auto" w:sz="4" w:space="0"/>
              <w:left w:val="single" w:color="auto" w:sz="4" w:space="0"/>
              <w:bottom w:val="single" w:color="auto" w:sz="4" w:space="0"/>
              <w:right w:val="single" w:color="auto" w:sz="4" w:space="0"/>
            </w:tcBorders>
            <w:vAlign w:val="center"/>
          </w:tcPr>
          <w:p w14:paraId="1F8CC394">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1184" w:type="dxa"/>
            <w:tcBorders>
              <w:top w:val="single" w:color="auto" w:sz="4" w:space="0"/>
              <w:left w:val="single" w:color="auto" w:sz="4" w:space="0"/>
              <w:bottom w:val="single" w:color="auto" w:sz="4" w:space="0"/>
              <w:right w:val="single" w:color="auto" w:sz="4" w:space="0"/>
            </w:tcBorders>
            <w:vAlign w:val="center"/>
          </w:tcPr>
          <w:p w14:paraId="2B2AC068">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1184" w:type="dxa"/>
            <w:tcBorders>
              <w:top w:val="single" w:color="auto" w:sz="4" w:space="0"/>
              <w:left w:val="single" w:color="auto" w:sz="4" w:space="0"/>
              <w:bottom w:val="single" w:color="auto" w:sz="4" w:space="0"/>
              <w:right w:val="single" w:color="auto" w:sz="4" w:space="0"/>
            </w:tcBorders>
            <w:vAlign w:val="center"/>
          </w:tcPr>
          <w:p w14:paraId="6EA72C01">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r>
      <w:tr w14:paraId="4864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15656DF1">
            <w:pPr>
              <w:spacing w:line="360" w:lineRule="auto"/>
              <w:contextualSpacing/>
              <w:rPr>
                <w:rFonts w:ascii="宋体" w:hAnsi="宋体" w:cs="仿宋_GB2312"/>
                <w:color w:val="auto"/>
                <w:sz w:val="24"/>
              </w:rPr>
            </w:pPr>
            <w:r>
              <w:rPr>
                <w:rFonts w:hint="eastAsia" w:ascii="宋体" w:hAnsi="宋体" w:cs="仿宋_GB2312"/>
                <w:color w:val="auto"/>
                <w:sz w:val="24"/>
              </w:rPr>
              <w:t>合计金额大写：人民币</w:t>
            </w:r>
            <w:r>
              <w:rPr>
                <w:rFonts w:hint="eastAsia" w:ascii="宋体" w:hAnsi="宋体" w:cs="仿宋_GB2312"/>
                <w:color w:val="auto"/>
                <w:sz w:val="24"/>
                <w:u w:val="single"/>
              </w:rPr>
              <w:t xml:space="preserve">           </w:t>
            </w:r>
            <w:r>
              <w:rPr>
                <w:rFonts w:hint="eastAsia" w:ascii="宋体" w:hAnsi="宋体" w:cs="仿宋_GB2312"/>
                <w:color w:val="auto"/>
                <w:sz w:val="24"/>
              </w:rPr>
              <w:t>（￥</w:t>
            </w:r>
            <w:r>
              <w:rPr>
                <w:rFonts w:hint="eastAsia" w:ascii="宋体" w:hAnsi="宋体" w:cs="仿宋_GB2312"/>
                <w:color w:val="auto"/>
                <w:sz w:val="24"/>
                <w:u w:val="single"/>
              </w:rPr>
              <w:t xml:space="preserve">           </w:t>
            </w:r>
            <w:r>
              <w:rPr>
                <w:rFonts w:hint="eastAsia" w:ascii="宋体" w:hAnsi="宋体" w:cs="仿宋_GB2312"/>
                <w:color w:val="auto"/>
                <w:sz w:val="24"/>
              </w:rPr>
              <w:t>）</w:t>
            </w:r>
          </w:p>
        </w:tc>
      </w:tr>
      <w:tr w14:paraId="3B69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2A3CF997">
            <w:pPr>
              <w:spacing w:line="360" w:lineRule="auto"/>
              <w:contextualSpacing/>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服务期限：自签订合同之日起至2025年12月31日。</w:t>
            </w:r>
          </w:p>
        </w:tc>
      </w:tr>
    </w:tbl>
    <w:p w14:paraId="0399646A">
      <w:pPr>
        <w:spacing w:line="360" w:lineRule="auto"/>
        <w:contextualSpacing/>
        <w:jc w:val="left"/>
        <w:rPr>
          <w:rFonts w:ascii="宋体" w:hAnsi="宋体" w:cs="仿宋_GB2312"/>
          <w:color w:val="auto"/>
          <w:sz w:val="24"/>
        </w:rPr>
      </w:pPr>
    </w:p>
    <w:p w14:paraId="0F2117D4">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14:paraId="5EC3D9A8">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1.供应商的报价表必须由法定代表人或者委托代理人签字并加盖供应商公章，</w:t>
      </w:r>
      <w:r>
        <w:rPr>
          <w:rFonts w:hint="eastAsia" w:ascii="宋体" w:hAnsi="宋体" w:cs="仿宋_GB2312"/>
          <w:b/>
          <w:color w:val="auto"/>
          <w:sz w:val="24"/>
        </w:rPr>
        <w:t>否则其响应文件按无效响应处理</w:t>
      </w:r>
      <w:r>
        <w:rPr>
          <w:rFonts w:hint="eastAsia" w:ascii="宋体" w:hAnsi="宋体" w:cs="仿宋_GB2312"/>
          <w:color w:val="auto"/>
          <w:sz w:val="24"/>
        </w:rPr>
        <w:t>。</w:t>
      </w:r>
    </w:p>
    <w:p w14:paraId="7383CD82">
      <w:pPr>
        <w:spacing w:line="360" w:lineRule="auto"/>
        <w:ind w:firstLine="480" w:firstLineChars="200"/>
        <w:contextualSpacing/>
        <w:jc w:val="left"/>
        <w:rPr>
          <w:rFonts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报价一经涂改，应在涂改处加盖供应商公章或者由法定代表人或者委托代理人签字后加盖公章</w:t>
      </w:r>
      <w:r>
        <w:rPr>
          <w:rFonts w:hint="eastAsia" w:ascii="宋体" w:hAnsi="宋体" w:cs="仿宋_GB2312"/>
          <w:b/>
          <w:color w:val="auto"/>
          <w:sz w:val="24"/>
        </w:rPr>
        <w:t>，否则其响应文件按无效响应处理。</w:t>
      </w:r>
    </w:p>
    <w:p w14:paraId="2F6BA3EA">
      <w:pPr>
        <w:spacing w:line="360" w:lineRule="auto"/>
        <w:ind w:right="-817" w:rightChars="-389"/>
        <w:contextualSpacing/>
        <w:rPr>
          <w:rFonts w:ascii="宋体" w:hAnsi="宋体" w:cs="仿宋_GB2312"/>
          <w:color w:val="auto"/>
          <w:sz w:val="24"/>
        </w:rPr>
      </w:pPr>
    </w:p>
    <w:p w14:paraId="6B72A8A8">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                    </w:t>
      </w:r>
    </w:p>
    <w:p w14:paraId="6767DF7F">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供应商（盖公章）：      </w:t>
      </w:r>
    </w:p>
    <w:p w14:paraId="5307CCF1">
      <w:pPr>
        <w:spacing w:line="360" w:lineRule="auto"/>
        <w:ind w:right="-817" w:rightChars="-389" w:firstLine="4080" w:firstLineChars="1700"/>
        <w:contextualSpacing/>
        <w:rPr>
          <w:rFonts w:ascii="宋体" w:hAnsi="宋体" w:cs="仿宋_GB2312"/>
          <w:b/>
          <w:color w:val="auto"/>
          <w:sz w:val="24"/>
        </w:rPr>
      </w:pPr>
      <w:r>
        <w:rPr>
          <w:rFonts w:hint="eastAsia" w:ascii="宋体" w:hAnsi="宋体" w:cs="仿宋_GB2312"/>
          <w:color w:val="auto"/>
          <w:sz w:val="24"/>
        </w:rPr>
        <w:t>日期：   年   月   日</w:t>
      </w:r>
    </w:p>
    <w:p w14:paraId="15339CF4">
      <w:pPr>
        <w:spacing w:before="312" w:beforeLines="100" w:after="156" w:afterLines="50" w:line="520" w:lineRule="exact"/>
        <w:ind w:left="540"/>
        <w:jc w:val="center"/>
        <w:rPr>
          <w:rFonts w:ascii="仿宋_GB2312" w:hAnsi="仿宋_GB2312" w:eastAsia="仿宋_GB2312" w:cs="仿宋_GB2312"/>
          <w:color w:val="auto"/>
          <w:sz w:val="32"/>
          <w:szCs w:val="32"/>
        </w:rPr>
      </w:pPr>
      <w:r>
        <w:rPr>
          <w:rFonts w:hint="eastAsia" w:ascii="宋体" w:hAnsi="Courier New"/>
          <w:b/>
          <w:color w:val="auto"/>
          <w:sz w:val="32"/>
          <w:szCs w:val="32"/>
        </w:rPr>
        <w:br w:type="page"/>
      </w:r>
      <w:r>
        <w:rPr>
          <w:rFonts w:hint="eastAsia" w:ascii="方正小标宋简体" w:hAnsi="方正小标宋简体" w:eastAsia="方正小标宋简体" w:cs="方正小标宋简体"/>
          <w:bCs/>
          <w:color w:val="auto"/>
          <w:sz w:val="44"/>
          <w:szCs w:val="44"/>
        </w:rPr>
        <w:t>法定代表人身份证明</w:t>
      </w:r>
    </w:p>
    <w:p w14:paraId="6C6CD21A">
      <w:pPr>
        <w:spacing w:line="360" w:lineRule="auto"/>
        <w:ind w:left="540"/>
        <w:contextualSpacing/>
        <w:rPr>
          <w:rFonts w:ascii="仿宋_GB2312" w:hAnsi="仿宋_GB2312" w:eastAsia="仿宋_GB2312" w:cs="仿宋_GB2312"/>
          <w:color w:val="auto"/>
          <w:sz w:val="32"/>
          <w:szCs w:val="32"/>
        </w:rPr>
      </w:pPr>
    </w:p>
    <w:p w14:paraId="6C58A1D1">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p>
    <w:p w14:paraId="48F9B2AC">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r>
        <w:rPr>
          <w:rFonts w:hint="eastAsia" w:ascii="宋体" w:hAnsi="宋体" w:cs="仿宋_GB2312"/>
          <w:color w:val="auto"/>
          <w:sz w:val="24"/>
          <w:u w:val="single"/>
        </w:rPr>
        <w:t xml:space="preserve">                                                        </w:t>
      </w:r>
    </w:p>
    <w:p w14:paraId="085C2477">
      <w:pPr>
        <w:spacing w:line="360" w:lineRule="auto"/>
        <w:ind w:left="540"/>
        <w:contextualSpacing/>
        <w:rPr>
          <w:rFonts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u w:val="single"/>
        </w:rPr>
        <w:t xml:space="preserve">                </w:t>
      </w:r>
      <w:r>
        <w:rPr>
          <w:rFonts w:hint="eastAsia" w:ascii="宋体" w:hAnsi="宋体" w:cs="仿宋_GB2312"/>
          <w:color w:val="auto"/>
          <w:sz w:val="24"/>
        </w:rPr>
        <w:t>性     别：</w:t>
      </w:r>
      <w:r>
        <w:rPr>
          <w:rFonts w:hint="eastAsia" w:ascii="宋体" w:hAnsi="宋体" w:cs="仿宋_GB2312"/>
          <w:color w:val="auto"/>
          <w:sz w:val="24"/>
          <w:u w:val="single"/>
        </w:rPr>
        <w:t xml:space="preserve">                </w:t>
      </w:r>
    </w:p>
    <w:p w14:paraId="68EFE96F">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u w:val="single"/>
        </w:rPr>
        <w:t xml:space="preserve">                </w:t>
      </w:r>
      <w:r>
        <w:rPr>
          <w:rFonts w:hint="eastAsia" w:ascii="宋体" w:hAnsi="宋体" w:cs="仿宋_GB2312"/>
          <w:color w:val="auto"/>
          <w:sz w:val="24"/>
        </w:rPr>
        <w:t>职     务：</w:t>
      </w:r>
      <w:r>
        <w:rPr>
          <w:rFonts w:hint="eastAsia" w:ascii="宋体" w:hAnsi="宋体" w:cs="仿宋_GB2312"/>
          <w:color w:val="auto"/>
          <w:sz w:val="24"/>
          <w:u w:val="single"/>
        </w:rPr>
        <w:t xml:space="preserve">                </w:t>
      </w:r>
    </w:p>
    <w:p w14:paraId="655687CB">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p>
    <w:p w14:paraId="2AE8246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14:paraId="5E89C7B0">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14:paraId="0B48066D">
      <w:pPr>
        <w:spacing w:line="360" w:lineRule="auto"/>
        <w:ind w:left="540"/>
        <w:contextualSpacing/>
        <w:rPr>
          <w:rFonts w:ascii="宋体" w:hAnsi="宋体" w:cs="仿宋_GB2312"/>
          <w:color w:val="auto"/>
          <w:sz w:val="24"/>
        </w:rPr>
      </w:pPr>
    </w:p>
    <w:p w14:paraId="528E26A5">
      <w:pPr>
        <w:spacing w:line="360" w:lineRule="auto"/>
        <w:ind w:left="540"/>
        <w:contextualSpacing/>
        <w:rPr>
          <w:rFonts w:ascii="宋体" w:hAnsi="宋体" w:cs="仿宋_GB2312"/>
          <w:color w:val="auto"/>
          <w:sz w:val="24"/>
        </w:rPr>
      </w:pPr>
    </w:p>
    <w:p w14:paraId="26839864">
      <w:pPr>
        <w:spacing w:line="360" w:lineRule="auto"/>
        <w:ind w:left="540"/>
        <w:contextualSpacing/>
        <w:rPr>
          <w:rFonts w:ascii="宋体" w:hAnsi="宋体" w:cs="仿宋_GB2312"/>
          <w:color w:val="auto"/>
          <w:sz w:val="24"/>
        </w:rPr>
      </w:pPr>
    </w:p>
    <w:p w14:paraId="64EB7D5B">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附件：法定代表人有效身份证正反面复印件</w:t>
      </w:r>
    </w:p>
    <w:p w14:paraId="146BDD0C">
      <w:pPr>
        <w:spacing w:line="360" w:lineRule="auto"/>
        <w:ind w:left="540"/>
        <w:contextualSpacing/>
        <w:rPr>
          <w:rFonts w:ascii="宋体" w:hAnsi="宋体" w:cs="仿宋_GB2312"/>
          <w:color w:val="auto"/>
          <w:sz w:val="24"/>
        </w:rPr>
      </w:pPr>
    </w:p>
    <w:p w14:paraId="53FBC764">
      <w:pPr>
        <w:spacing w:line="360" w:lineRule="auto"/>
        <w:ind w:left="540"/>
        <w:contextualSpacing/>
        <w:jc w:val="right"/>
        <w:rPr>
          <w:rFonts w:ascii="宋体" w:hAnsi="宋体" w:cs="仿宋_GB2312"/>
          <w:color w:val="auto"/>
          <w:sz w:val="24"/>
        </w:rPr>
      </w:pPr>
      <w:r>
        <w:rPr>
          <w:rFonts w:hint="eastAsia" w:ascii="宋体" w:hAnsi="宋体" w:cs="仿宋_GB2312"/>
          <w:color w:val="auto"/>
          <w:sz w:val="24"/>
        </w:rPr>
        <w:t>供应商（盖公章）：</w:t>
      </w:r>
      <w:r>
        <w:rPr>
          <w:rFonts w:hint="eastAsia" w:ascii="宋体" w:hAnsi="宋体" w:cs="仿宋_GB2312"/>
          <w:color w:val="auto"/>
          <w:sz w:val="24"/>
          <w:u w:val="single"/>
        </w:rPr>
        <w:t xml:space="preserve">               </w:t>
      </w:r>
    </w:p>
    <w:p w14:paraId="7915751C">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u w:val="single"/>
        </w:rPr>
        <w:t xml:space="preserve">     </w:t>
      </w:r>
      <w:r>
        <w:rPr>
          <w:rFonts w:hint="eastAsia" w:ascii="宋体" w:hAnsi="宋体" w:cs="仿宋_GB2312"/>
          <w:color w:val="auto"/>
          <w:sz w:val="24"/>
        </w:rPr>
        <w:t>年</w:t>
      </w:r>
      <w:r>
        <w:rPr>
          <w:rFonts w:hint="eastAsia" w:ascii="宋体" w:hAnsi="宋体" w:cs="仿宋_GB2312"/>
          <w:color w:val="auto"/>
          <w:sz w:val="24"/>
          <w:u w:val="single"/>
        </w:rPr>
        <w:t xml:space="preserve">     </w:t>
      </w:r>
      <w:r>
        <w:rPr>
          <w:rFonts w:hint="eastAsia" w:ascii="宋体" w:hAnsi="宋体" w:cs="仿宋_GB2312"/>
          <w:color w:val="auto"/>
          <w:sz w:val="24"/>
        </w:rPr>
        <w:t>月</w:t>
      </w:r>
      <w:r>
        <w:rPr>
          <w:rFonts w:hint="eastAsia" w:ascii="宋体" w:hAnsi="宋体" w:cs="仿宋_GB2312"/>
          <w:color w:val="auto"/>
          <w:sz w:val="24"/>
          <w:u w:val="single"/>
        </w:rPr>
        <w:t xml:space="preserve">     </w:t>
      </w:r>
      <w:r>
        <w:rPr>
          <w:rFonts w:hint="eastAsia" w:ascii="宋体" w:hAnsi="宋体" w:cs="仿宋_GB2312"/>
          <w:color w:val="auto"/>
          <w:sz w:val="24"/>
        </w:rPr>
        <w:t>日</w:t>
      </w:r>
    </w:p>
    <w:p w14:paraId="20D124D2">
      <w:pPr>
        <w:spacing w:line="360" w:lineRule="auto"/>
        <w:contextualSpacing/>
        <w:jc w:val="center"/>
        <w:rPr>
          <w:rFonts w:ascii="宋体" w:hAnsi="宋体" w:cs="仿宋_GB2312"/>
          <w:b/>
          <w:color w:val="auto"/>
          <w:sz w:val="24"/>
        </w:rPr>
      </w:pPr>
    </w:p>
    <w:p w14:paraId="437A125D">
      <w:pPr>
        <w:spacing w:line="360" w:lineRule="auto"/>
        <w:contextualSpacing/>
        <w:jc w:val="left"/>
        <w:rPr>
          <w:rFonts w:ascii="宋体" w:hAnsi="宋体" w:cs="仿宋_GB2312"/>
          <w:color w:val="auto"/>
          <w:sz w:val="24"/>
        </w:rPr>
      </w:pPr>
    </w:p>
    <w:p w14:paraId="2743EE5B">
      <w:pPr>
        <w:spacing w:line="360" w:lineRule="auto"/>
        <w:contextualSpacing/>
        <w:jc w:val="left"/>
        <w:rPr>
          <w:rFonts w:ascii="宋体" w:hAnsi="宋体" w:cs="仿宋_GB2312"/>
          <w:color w:val="auto"/>
          <w:sz w:val="24"/>
        </w:rPr>
      </w:pPr>
      <w:r>
        <w:rPr>
          <w:rFonts w:hint="eastAsia" w:ascii="宋体" w:hAnsi="宋体" w:cs="仿宋_GB2312"/>
          <w:color w:val="auto"/>
          <w:sz w:val="24"/>
        </w:rPr>
        <w:t>注：自然人竞标的无需提供，联合体竞标的只需牵头人出具。</w:t>
      </w:r>
    </w:p>
    <w:p w14:paraId="27642FEC">
      <w:pPr>
        <w:adjustRightInd w:val="0"/>
        <w:snapToGrid w:val="0"/>
        <w:spacing w:line="300" w:lineRule="auto"/>
        <w:jc w:val="left"/>
        <w:rPr>
          <w:rFonts w:ascii="宋体" w:hAnsi="宋体"/>
          <w:b/>
          <w:color w:val="auto"/>
          <w:szCs w:val="21"/>
        </w:rPr>
      </w:pPr>
    </w:p>
    <w:p w14:paraId="4BFAC913">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ascii="方正小标宋简体" w:hAnsi="方正小标宋简体" w:eastAsia="方正小标宋简体" w:cs="方正小标宋简体"/>
          <w:color w:val="auto"/>
          <w:sz w:val="44"/>
          <w:szCs w:val="44"/>
        </w:rPr>
        <w:t xml:space="preserve"> </w:t>
      </w:r>
    </w:p>
    <w:p w14:paraId="24C4CFE0">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授权委托书</w:t>
      </w:r>
    </w:p>
    <w:p w14:paraId="16A7F220">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14:paraId="6DF9B115">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14:paraId="252FA1F2">
      <w:pPr>
        <w:spacing w:line="520" w:lineRule="exact"/>
        <w:rPr>
          <w:rFonts w:ascii="仿宋_GB2312" w:hAnsi="仿宋_GB2312" w:eastAsia="仿宋_GB2312" w:cs="仿宋_GB2312"/>
          <w:color w:val="auto"/>
          <w:sz w:val="32"/>
          <w:szCs w:val="32"/>
        </w:rPr>
      </w:pPr>
    </w:p>
    <w:p w14:paraId="1E122EBA">
      <w:pPr>
        <w:spacing w:line="360" w:lineRule="auto"/>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14:paraId="73DFAD05">
      <w:pPr>
        <w:spacing w:line="360" w:lineRule="auto"/>
        <w:ind w:firstLine="480" w:firstLineChars="200"/>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法定代表人/负责人/自然人本人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w:t>
      </w:r>
      <w:r>
        <w:rPr>
          <w:rFonts w:hint="eastAsia" w:ascii="宋体" w:hAnsi="宋体" w:cs="仿宋_GB2312"/>
          <w:color w:val="auto"/>
          <w:sz w:val="24"/>
          <w:u w:val="single"/>
        </w:rPr>
        <w:t xml:space="preserve">              </w:t>
      </w:r>
      <w:r>
        <w:rPr>
          <w:rFonts w:hint="eastAsia" w:ascii="宋体" w:hAnsi="宋体" w:cs="仿宋_GB2312"/>
          <w:color w:val="auto"/>
          <w:sz w:val="24"/>
        </w:rPr>
        <w:t>项目的竞标活动，并代表我方全权办理针对上述项目的所有采购程序和环节的具体事务和签署相关文件。</w:t>
      </w:r>
    </w:p>
    <w:p w14:paraId="1EF7B054">
      <w:pPr>
        <w:spacing w:line="360" w:lineRule="auto"/>
        <w:rPr>
          <w:rFonts w:ascii="宋体" w:hAnsi="宋体" w:cs="仿宋_GB2312"/>
          <w:color w:val="auto"/>
          <w:sz w:val="24"/>
        </w:rPr>
      </w:pPr>
      <w:r>
        <w:rPr>
          <w:rFonts w:hint="eastAsia" w:ascii="宋体" w:hAnsi="宋体" w:cs="仿宋_GB2312"/>
          <w:color w:val="auto"/>
          <w:sz w:val="24"/>
        </w:rPr>
        <w:t xml:space="preserve">    我方对委托代理人的签字事项负全部责任。</w:t>
      </w:r>
    </w:p>
    <w:p w14:paraId="2D9C847B">
      <w:pPr>
        <w:spacing w:line="360" w:lineRule="auto"/>
        <w:ind w:firstLine="480" w:firstLineChars="200"/>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57E7DF61">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委托代理人无转委托权，特此委托。</w:t>
      </w:r>
    </w:p>
    <w:p w14:paraId="62B9037F">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附：法定代表人身份证明及委托代理人有效身份证正反面复印件</w:t>
      </w:r>
    </w:p>
    <w:p w14:paraId="72C67E74">
      <w:pPr>
        <w:spacing w:line="360" w:lineRule="auto"/>
        <w:rPr>
          <w:rFonts w:ascii="宋体" w:hAnsi="宋体" w:cs="仿宋_GB2312"/>
          <w:color w:val="auto"/>
          <w:sz w:val="24"/>
        </w:rPr>
      </w:pPr>
    </w:p>
    <w:p w14:paraId="6AF17962">
      <w:pPr>
        <w:spacing w:line="360" w:lineRule="auto"/>
        <w:rPr>
          <w:rFonts w:ascii="宋体" w:hAnsi="宋体" w:cs="仿宋_GB2312"/>
          <w:color w:val="auto"/>
          <w:sz w:val="24"/>
        </w:rPr>
      </w:pPr>
      <w:r>
        <w:rPr>
          <w:rFonts w:hint="eastAsia" w:ascii="宋体" w:hAnsi="宋体" w:cs="仿宋_GB2312"/>
          <w:color w:val="auto"/>
          <w:sz w:val="24"/>
        </w:rPr>
        <w:t xml:space="preserve">委托代理人（签字）：         法定代表人（签字或者盖章）：                    </w:t>
      </w:r>
    </w:p>
    <w:p w14:paraId="5726A16D">
      <w:pPr>
        <w:spacing w:line="360" w:lineRule="auto"/>
        <w:rPr>
          <w:rFonts w:ascii="宋体" w:hAnsi="宋体" w:cs="仿宋_GB2312"/>
          <w:color w:val="auto"/>
          <w:sz w:val="24"/>
        </w:rPr>
      </w:pPr>
      <w:r>
        <w:rPr>
          <w:rFonts w:hint="eastAsia" w:ascii="宋体" w:hAnsi="宋体" w:cs="仿宋_GB2312"/>
          <w:color w:val="auto"/>
          <w:sz w:val="24"/>
        </w:rPr>
        <w:t xml:space="preserve">委托代理人身份证号码：                              </w:t>
      </w:r>
    </w:p>
    <w:p w14:paraId="7D5B52A0">
      <w:pPr>
        <w:spacing w:line="360" w:lineRule="auto"/>
        <w:rPr>
          <w:rFonts w:ascii="宋体" w:hAnsi="宋体" w:cs="仿宋_GB2312"/>
          <w:color w:val="auto"/>
          <w:sz w:val="24"/>
        </w:rPr>
      </w:pPr>
      <w:r>
        <w:rPr>
          <w:rFonts w:hint="eastAsia" w:ascii="宋体" w:hAnsi="宋体" w:cs="仿宋_GB2312"/>
          <w:color w:val="auto"/>
          <w:sz w:val="24"/>
        </w:rPr>
        <w:t xml:space="preserve">                                </w:t>
      </w:r>
    </w:p>
    <w:p w14:paraId="21AB946D">
      <w:pPr>
        <w:spacing w:line="360" w:lineRule="auto"/>
        <w:rPr>
          <w:rFonts w:ascii="宋体" w:hAnsi="宋体" w:cs="仿宋_GB2312"/>
          <w:color w:val="auto"/>
          <w:sz w:val="24"/>
        </w:rPr>
      </w:pPr>
      <w:r>
        <w:rPr>
          <w:rFonts w:hint="eastAsia" w:ascii="宋体" w:hAnsi="宋体" w:cs="仿宋_GB2312"/>
          <w:color w:val="auto"/>
          <w:sz w:val="24"/>
        </w:rPr>
        <w:t xml:space="preserve">                         供应商（盖公章）：                      </w:t>
      </w:r>
    </w:p>
    <w:p w14:paraId="3DBA3AA4">
      <w:pPr>
        <w:spacing w:line="360" w:lineRule="auto"/>
        <w:rPr>
          <w:rFonts w:ascii="宋体" w:hAnsi="宋体" w:cs="仿宋_GB2312"/>
          <w:color w:val="auto"/>
          <w:sz w:val="24"/>
        </w:rPr>
      </w:pPr>
      <w:r>
        <w:rPr>
          <w:rFonts w:hint="eastAsia" w:ascii="宋体" w:hAnsi="宋体" w:cs="仿宋_GB2312"/>
          <w:color w:val="auto"/>
          <w:sz w:val="24"/>
        </w:rPr>
        <w:t xml:space="preserve">                                         年    月    日</w:t>
      </w:r>
    </w:p>
    <w:p w14:paraId="45DD2DDC">
      <w:pPr>
        <w:spacing w:line="360" w:lineRule="auto"/>
        <w:rPr>
          <w:rFonts w:ascii="宋体" w:hAnsi="宋体" w:cs="仿宋_GB2312"/>
          <w:color w:val="auto"/>
          <w:sz w:val="24"/>
        </w:rPr>
      </w:pPr>
    </w:p>
    <w:p w14:paraId="0D386657">
      <w:pPr>
        <w:spacing w:line="360" w:lineRule="auto"/>
        <w:rPr>
          <w:rFonts w:ascii="宋体" w:hAnsi="宋体" w:cs="仿宋_GB2312"/>
          <w:color w:val="auto"/>
          <w:sz w:val="24"/>
        </w:rPr>
      </w:pPr>
      <w:r>
        <w:rPr>
          <w:rFonts w:hint="eastAsia" w:ascii="宋体" w:hAnsi="宋体" w:cs="仿宋_GB2312"/>
          <w:color w:val="auto"/>
          <w:sz w:val="24"/>
        </w:rPr>
        <w:t>注：1. 法定代表人必须在授权委托书上亲笔签字或者盖章，委托代理人必须在授权委托书上亲笔签字，</w:t>
      </w:r>
      <w:r>
        <w:rPr>
          <w:rFonts w:hint="eastAsia" w:ascii="宋体" w:hAnsi="宋体" w:cs="仿宋_GB2312"/>
          <w:b/>
          <w:color w:val="auto"/>
          <w:sz w:val="24"/>
        </w:rPr>
        <w:t>否则其响应文件按无效响应处理。</w:t>
      </w:r>
    </w:p>
    <w:p w14:paraId="28DE2B9F">
      <w:pPr>
        <w:spacing w:line="360" w:lineRule="auto"/>
        <w:ind w:firstLine="480" w:firstLineChars="200"/>
        <w:jc w:val="left"/>
        <w:rPr>
          <w:rFonts w:ascii="宋体" w:hAnsi="宋体" w:cs="仿宋_GB2312"/>
          <w:color w:val="auto"/>
          <w:sz w:val="24"/>
        </w:rPr>
      </w:pPr>
      <w:r>
        <w:rPr>
          <w:rFonts w:ascii="宋体" w:hAnsi="宋体" w:cs="仿宋_GB2312"/>
          <w:color w:val="auto"/>
          <w:sz w:val="24"/>
        </w:rPr>
        <w:t>2.</w:t>
      </w:r>
      <w:bookmarkStart w:id="73" w:name="_Hlk65853109"/>
      <w:bookmarkStart w:id="74" w:name="_Hlk65853542"/>
      <w:r>
        <w:rPr>
          <w:rFonts w:hint="eastAsia" w:ascii="宋体" w:hAnsi="宋体" w:cs="仿宋_GB2312"/>
          <w:color w:val="auto"/>
          <w:sz w:val="24"/>
        </w:rPr>
        <w:t>法人、其他组织竞标时“我方”是指“我单位”，自然人竞标时“我方”是指“本人”。</w:t>
      </w:r>
      <w:bookmarkEnd w:id="73"/>
    </w:p>
    <w:bookmarkEnd w:id="74"/>
    <w:p w14:paraId="6D15425C">
      <w:pPr>
        <w:spacing w:line="360" w:lineRule="auto"/>
        <w:ind w:firstLine="420" w:firstLineChars="200"/>
        <w:jc w:val="left"/>
        <w:rPr>
          <w:rFonts w:ascii="仿宋_GB2312" w:hAnsi="仿宋_GB2312" w:eastAsia="仿宋_GB2312" w:cs="仿宋_GB2312"/>
          <w:color w:val="auto"/>
          <w:szCs w:val="21"/>
        </w:rPr>
      </w:pPr>
    </w:p>
    <w:p w14:paraId="4AD730BD">
      <w:pPr>
        <w:spacing w:line="500" w:lineRule="exact"/>
        <w:jc w:val="center"/>
        <w:rPr>
          <w:rFonts w:ascii="方正小标宋简体" w:hAnsi="方正小标宋简体" w:eastAsia="方正小标宋简体" w:cs="方正小标宋简体"/>
          <w:bCs/>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bCs/>
          <w:color w:val="auto"/>
          <w:sz w:val="44"/>
          <w:szCs w:val="44"/>
        </w:rPr>
        <w:t>商务要求偏离表</w:t>
      </w:r>
    </w:p>
    <w:p w14:paraId="2CC8FD64">
      <w:pPr>
        <w:spacing w:line="360" w:lineRule="auto"/>
        <w:contextualSpacing/>
        <w:jc w:val="left"/>
        <w:rPr>
          <w:rFonts w:ascii="宋体" w:hAnsi="宋体"/>
          <w:color w:val="auto"/>
          <w:sz w:val="24"/>
        </w:rPr>
      </w:pPr>
    </w:p>
    <w:p w14:paraId="3DB97974">
      <w:pPr>
        <w:pStyle w:val="12"/>
        <w:spacing w:line="360" w:lineRule="auto"/>
        <w:contextualSpacing/>
        <w:rPr>
          <w:rFonts w:hAnsi="宋体" w:cs="仿宋_GB2312"/>
          <w:color w:val="auto"/>
          <w:sz w:val="24"/>
          <w:szCs w:val="24"/>
        </w:rPr>
      </w:pPr>
      <w:r>
        <w:rPr>
          <w:rFonts w:hint="eastAsia" w:hAnsi="宋体" w:cs="仿宋_GB2312"/>
          <w:color w:val="auto"/>
          <w:sz w:val="24"/>
          <w:szCs w:val="24"/>
        </w:rPr>
        <w:t>所竞分标：</w:t>
      </w:r>
      <w:r>
        <w:rPr>
          <w:rFonts w:hint="eastAsia" w:hAnsi="宋体" w:cs="仿宋_GB2312"/>
          <w:color w:val="auto"/>
          <w:sz w:val="24"/>
          <w:szCs w:val="24"/>
          <w:u w:val="single"/>
        </w:rPr>
        <w:t xml:space="preserve">              </w:t>
      </w:r>
    </w:p>
    <w:p w14:paraId="76E27B7A">
      <w:pPr>
        <w:spacing w:line="360" w:lineRule="auto"/>
        <w:contextualSpacing/>
        <w:jc w:val="left"/>
        <w:rPr>
          <w:rFonts w:ascii="宋体" w:hAnsi="宋体" w:cs="仿宋_GB2312"/>
          <w:color w:val="auto"/>
          <w:sz w:val="24"/>
          <w:u w:val="single"/>
        </w:rPr>
      </w:pPr>
    </w:p>
    <w:tbl>
      <w:tblPr>
        <w:tblStyle w:val="1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55D9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73AA796">
            <w:pPr>
              <w:spacing w:line="360" w:lineRule="auto"/>
              <w:contextualSpacing/>
              <w:jc w:val="center"/>
              <w:rPr>
                <w:rFonts w:ascii="宋体" w:hAnsi="宋体" w:cs="仿宋_GB2312"/>
                <w:color w:val="auto"/>
                <w:sz w:val="24"/>
              </w:rPr>
            </w:pPr>
            <w:r>
              <w:rPr>
                <w:rFonts w:hint="eastAsia" w:ascii="宋体" w:hAnsi="宋体" w:cs="仿宋_GB2312"/>
                <w:color w:val="auto"/>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BBB24EA">
            <w:pPr>
              <w:spacing w:line="360" w:lineRule="auto"/>
              <w:contextualSpacing/>
              <w:jc w:val="center"/>
              <w:rPr>
                <w:rFonts w:ascii="宋体" w:hAnsi="宋体" w:cs="仿宋_GB2312"/>
                <w:color w:val="auto"/>
                <w:sz w:val="24"/>
              </w:rPr>
            </w:pPr>
            <w:r>
              <w:rPr>
                <w:rFonts w:hint="eastAsia" w:ascii="宋体" w:hAnsi="宋体" w:cs="仿宋_GB2312"/>
                <w:color w:val="auto"/>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5D91D744">
            <w:pPr>
              <w:spacing w:line="360" w:lineRule="auto"/>
              <w:contextualSpacing/>
              <w:jc w:val="center"/>
              <w:rPr>
                <w:rFonts w:ascii="宋体" w:hAnsi="宋体" w:cs="仿宋_GB2312"/>
                <w:color w:val="auto"/>
                <w:sz w:val="24"/>
              </w:rPr>
            </w:pPr>
            <w:r>
              <w:rPr>
                <w:rFonts w:hint="eastAsia" w:ascii="宋体" w:hAnsi="宋体" w:cs="仿宋_GB2312"/>
                <w:color w:val="auto"/>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29B8CD9A">
            <w:pPr>
              <w:spacing w:line="360" w:lineRule="auto"/>
              <w:contextualSpacing/>
              <w:jc w:val="center"/>
              <w:rPr>
                <w:rFonts w:ascii="宋体" w:hAnsi="宋体" w:cs="仿宋_GB2312"/>
                <w:color w:val="auto"/>
                <w:sz w:val="24"/>
              </w:rPr>
            </w:pPr>
            <w:r>
              <w:rPr>
                <w:rFonts w:hint="eastAsia" w:ascii="宋体" w:hAnsi="宋体" w:cs="仿宋_GB2312"/>
                <w:color w:val="auto"/>
                <w:sz w:val="24"/>
              </w:rPr>
              <w:t>偏离说明</w:t>
            </w:r>
          </w:p>
        </w:tc>
      </w:tr>
      <w:tr w14:paraId="1048F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3EEB33B">
            <w:pPr>
              <w:jc w:val="center"/>
              <w:rPr>
                <w:rFonts w:ascii="宋体" w:hAnsi="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7CDDF203">
            <w:pPr>
              <w:spacing w:line="360" w:lineRule="auto"/>
              <w:contextualSpacing/>
              <w:jc w:val="center"/>
              <w:rPr>
                <w:rFonts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29E741D0">
            <w:pPr>
              <w:spacing w:line="360" w:lineRule="auto"/>
              <w:contextualSpacing/>
              <w:jc w:val="center"/>
              <w:rPr>
                <w:rFonts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3C67FAD">
            <w:pPr>
              <w:spacing w:line="360" w:lineRule="auto"/>
              <w:contextualSpacing/>
              <w:jc w:val="center"/>
              <w:rPr>
                <w:rFonts w:ascii="宋体" w:hAnsi="宋体" w:cs="仿宋_GB2312"/>
                <w:color w:val="auto"/>
                <w:sz w:val="24"/>
              </w:rPr>
            </w:pPr>
          </w:p>
        </w:tc>
      </w:tr>
      <w:tr w14:paraId="74D81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3702E654">
            <w:pPr>
              <w:jc w:val="center"/>
              <w:rPr>
                <w:rFonts w:ascii="宋体" w:hAnsi="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40C63349">
            <w:pPr>
              <w:spacing w:line="360" w:lineRule="auto"/>
              <w:contextualSpacing/>
              <w:jc w:val="center"/>
              <w:rPr>
                <w:rFonts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927A4B4">
            <w:pPr>
              <w:spacing w:line="360" w:lineRule="auto"/>
              <w:ind w:left="43"/>
              <w:contextualSpacing/>
              <w:jc w:val="center"/>
              <w:rPr>
                <w:rFonts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0B227AE">
            <w:pPr>
              <w:spacing w:line="360" w:lineRule="auto"/>
              <w:ind w:left="43"/>
              <w:contextualSpacing/>
              <w:jc w:val="center"/>
              <w:rPr>
                <w:rFonts w:ascii="宋体" w:hAnsi="宋体" w:cs="仿宋_GB2312"/>
                <w:color w:val="auto"/>
                <w:sz w:val="24"/>
              </w:rPr>
            </w:pPr>
          </w:p>
        </w:tc>
      </w:tr>
      <w:tr w14:paraId="26DC4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F924290">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263336D8">
            <w:pPr>
              <w:spacing w:line="360" w:lineRule="auto"/>
              <w:contextualSpacing/>
              <w:jc w:val="center"/>
              <w:rPr>
                <w:rFonts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2BC4C6AD">
            <w:pPr>
              <w:spacing w:line="360" w:lineRule="auto"/>
              <w:contextualSpacing/>
              <w:jc w:val="center"/>
              <w:rPr>
                <w:rFonts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7B043F6">
            <w:pPr>
              <w:spacing w:line="360" w:lineRule="auto"/>
              <w:contextualSpacing/>
              <w:jc w:val="center"/>
              <w:rPr>
                <w:rFonts w:ascii="宋体" w:hAnsi="宋体" w:cs="仿宋_GB2312"/>
                <w:color w:val="auto"/>
                <w:sz w:val="24"/>
              </w:rPr>
            </w:pPr>
          </w:p>
        </w:tc>
      </w:tr>
    </w:tbl>
    <w:p w14:paraId="34E23107">
      <w:pPr>
        <w:pStyle w:val="8"/>
        <w:spacing w:after="0" w:line="360" w:lineRule="auto"/>
        <w:contextualSpacing/>
        <w:rPr>
          <w:rFonts w:ascii="宋体" w:hAnsi="宋体"/>
          <w:color w:val="auto"/>
          <w:kern w:val="0"/>
          <w:sz w:val="24"/>
          <w:szCs w:val="24"/>
        </w:rPr>
      </w:pPr>
      <w:r>
        <w:rPr>
          <w:rFonts w:hint="eastAsia" w:ascii="宋体" w:hAnsi="宋体"/>
          <w:color w:val="auto"/>
          <w:kern w:val="0"/>
          <w:sz w:val="24"/>
          <w:szCs w:val="24"/>
        </w:rPr>
        <w:t>注：</w:t>
      </w:r>
    </w:p>
    <w:p w14:paraId="01D69E5A">
      <w:pPr>
        <w:pStyle w:val="8"/>
        <w:spacing w:after="0" w:line="360" w:lineRule="auto"/>
        <w:contextualSpacing/>
        <w:rPr>
          <w:rFonts w:ascii="宋体" w:hAnsi="宋体"/>
          <w:color w:val="auto"/>
          <w:kern w:val="0"/>
          <w:sz w:val="24"/>
          <w:szCs w:val="24"/>
        </w:rPr>
      </w:pPr>
      <w:r>
        <w:rPr>
          <w:rFonts w:hint="eastAsia" w:ascii="宋体" w:hAnsi="宋体"/>
          <w:color w:val="auto"/>
          <w:kern w:val="0"/>
          <w:sz w:val="24"/>
          <w:szCs w:val="24"/>
        </w:rPr>
        <w:t>1. 说明：应对照磋商文件“第三章 采购需求”中的商务要求逐条作出明确响应，并作出偏离说明。</w:t>
      </w:r>
    </w:p>
    <w:p w14:paraId="0D2D004B">
      <w:pPr>
        <w:spacing w:line="360" w:lineRule="auto"/>
        <w:contextualSpacing/>
        <w:jc w:val="left"/>
        <w:rPr>
          <w:rFonts w:ascii="宋体" w:hAnsi="宋体" w:cs="仿宋_GB2312"/>
          <w:color w:val="auto"/>
          <w:sz w:val="24"/>
          <w:u w:val="single"/>
        </w:rPr>
      </w:pPr>
      <w:r>
        <w:rPr>
          <w:rFonts w:hint="eastAsia" w:ascii="宋体" w:hAnsi="宋体"/>
          <w:color w:val="auto"/>
          <w:kern w:val="0"/>
          <w:sz w:val="24"/>
        </w:rPr>
        <w:t>2.供应商应根据自身的承诺，对照磋商文件要求在“偏离说明”中注明“正偏离”、“负偏离”或者“无偏离”。既不属于“正偏离”也不属于“负偏离”即为“无偏离”。</w:t>
      </w:r>
    </w:p>
    <w:p w14:paraId="33CA9953">
      <w:pPr>
        <w:spacing w:line="360" w:lineRule="auto"/>
        <w:ind w:right="-817" w:rightChars="-389"/>
        <w:contextualSpacing/>
        <w:rPr>
          <w:rFonts w:ascii="宋体" w:hAnsi="宋体" w:cs="仿宋_GB2312"/>
          <w:color w:val="auto"/>
          <w:sz w:val="24"/>
        </w:rPr>
      </w:pPr>
    </w:p>
    <w:p w14:paraId="32FDA4B4">
      <w:pPr>
        <w:spacing w:line="360" w:lineRule="auto"/>
        <w:ind w:right="-817" w:rightChars="-389" w:firstLine="960" w:firstLineChars="4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                    </w:t>
      </w:r>
    </w:p>
    <w:p w14:paraId="3DAF3C3E">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供应商（盖公章）：      </w:t>
      </w:r>
    </w:p>
    <w:p w14:paraId="7D7EFDBB">
      <w:pPr>
        <w:spacing w:line="360" w:lineRule="auto"/>
        <w:ind w:right="-817" w:rightChars="-389" w:firstLine="4080" w:firstLineChars="1700"/>
        <w:contextualSpacing/>
        <w:rPr>
          <w:rFonts w:ascii="仿宋_GB2312" w:hAnsi="仿宋_GB2312" w:eastAsia="仿宋_GB2312" w:cs="仿宋_GB2312"/>
          <w:b/>
          <w:color w:val="auto"/>
          <w:sz w:val="32"/>
          <w:szCs w:val="32"/>
        </w:rPr>
      </w:pPr>
      <w:r>
        <w:rPr>
          <w:rFonts w:hint="eastAsia" w:ascii="宋体" w:hAnsi="宋体" w:cs="仿宋_GB2312"/>
          <w:color w:val="auto"/>
          <w:sz w:val="24"/>
        </w:rPr>
        <w:t>日期：   年   月   日</w:t>
      </w:r>
    </w:p>
    <w:p w14:paraId="2019AB61">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6221AC6A">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56798805">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318D9E4F">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654BEF85">
      <w:pPr>
        <w:adjustRightInd w:val="0"/>
        <w:snapToGrid w:val="0"/>
        <w:spacing w:line="520" w:lineRule="exact"/>
        <w:rPr>
          <w:rFonts w:ascii="宋体" w:hAnsi="宋体"/>
          <w:color w:val="auto"/>
          <w:szCs w:val="21"/>
          <w:u w:val="single"/>
        </w:rPr>
      </w:pPr>
    </w:p>
    <w:p w14:paraId="78F4305C">
      <w:pPr>
        <w:adjustRightInd w:val="0"/>
        <w:snapToGrid w:val="0"/>
        <w:spacing w:line="300" w:lineRule="auto"/>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技术要求偏离表</w:t>
      </w:r>
    </w:p>
    <w:p w14:paraId="1DD296FB">
      <w:pPr>
        <w:spacing w:line="520" w:lineRule="exact"/>
        <w:rPr>
          <w:rFonts w:ascii="仿宋_GB2312" w:hAnsi="仿宋_GB2312" w:eastAsia="仿宋_GB2312" w:cs="仿宋_GB2312"/>
          <w:color w:val="auto"/>
          <w:sz w:val="32"/>
          <w:szCs w:val="32"/>
        </w:rPr>
      </w:pPr>
    </w:p>
    <w:p w14:paraId="6DD1AD48">
      <w:pPr>
        <w:spacing w:line="360" w:lineRule="auto"/>
        <w:contextualSpacing/>
        <w:rPr>
          <w:rFonts w:ascii="宋体" w:hAnsi="宋体" w:cs="仿宋_GB2312"/>
          <w:color w:val="auto"/>
          <w:sz w:val="24"/>
          <w:u w:val="single"/>
        </w:rPr>
      </w:pPr>
      <w:r>
        <w:rPr>
          <w:rFonts w:hint="eastAsia" w:ascii="宋体" w:hAnsi="宋体" w:cs="仿宋_GB2312"/>
          <w:color w:val="auto"/>
          <w:sz w:val="24"/>
        </w:rPr>
        <w:t>采购项目编号：</w:t>
      </w:r>
      <w:r>
        <w:rPr>
          <w:rFonts w:hint="eastAsia" w:ascii="宋体" w:hAnsi="宋体" w:cs="仿宋_GB2312"/>
          <w:color w:val="auto"/>
          <w:sz w:val="24"/>
          <w:u w:val="single"/>
        </w:rPr>
        <w:t xml:space="preserve">                 </w:t>
      </w:r>
    </w:p>
    <w:p w14:paraId="0803AF89">
      <w:pPr>
        <w:spacing w:line="360" w:lineRule="auto"/>
        <w:contextualSpacing/>
        <w:rPr>
          <w:rFonts w:ascii="宋体" w:hAnsi="宋体" w:cs="仿宋_GB2312"/>
          <w:color w:val="auto"/>
          <w:sz w:val="24"/>
        </w:rPr>
      </w:pPr>
      <w:r>
        <w:rPr>
          <w:rFonts w:hint="eastAsia" w:ascii="宋体" w:hAnsi="宋体" w:cs="仿宋_GB2312"/>
          <w:color w:val="auto"/>
          <w:sz w:val="24"/>
        </w:rPr>
        <w:t>采购项目名称：</w:t>
      </w:r>
      <w:r>
        <w:rPr>
          <w:rFonts w:hint="eastAsia" w:ascii="宋体" w:hAnsi="宋体" w:cs="仿宋_GB2312"/>
          <w:color w:val="auto"/>
          <w:sz w:val="24"/>
          <w:u w:val="single"/>
        </w:rPr>
        <w:t xml:space="preserve">                 </w:t>
      </w:r>
    </w:p>
    <w:p w14:paraId="01EDEFE4">
      <w:pPr>
        <w:spacing w:line="360" w:lineRule="auto"/>
        <w:contextualSpacing/>
        <w:rPr>
          <w:rFonts w:ascii="宋体" w:hAnsi="宋体" w:cs="仿宋_GB2312"/>
          <w:color w:val="auto"/>
          <w:sz w:val="24"/>
          <w:u w:val="single"/>
        </w:rPr>
      </w:pPr>
      <w:r>
        <w:rPr>
          <w:rFonts w:hint="eastAsia" w:ascii="宋体" w:hAnsi="宋体" w:cs="仿宋_GB2312"/>
          <w:color w:val="auto"/>
          <w:sz w:val="24"/>
        </w:rPr>
        <w:t>分标号：</w:t>
      </w:r>
      <w:r>
        <w:rPr>
          <w:rFonts w:hint="eastAsia" w:ascii="宋体" w:hAnsi="宋体" w:cs="仿宋_GB2312"/>
          <w:color w:val="auto"/>
          <w:sz w:val="24"/>
          <w:u w:val="single"/>
        </w:rPr>
        <w:t xml:space="preserve">                       </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92"/>
        <w:gridCol w:w="3292"/>
        <w:gridCol w:w="2962"/>
        <w:gridCol w:w="1616"/>
      </w:tblGrid>
      <w:tr w14:paraId="70623D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287D4E29">
            <w:pPr>
              <w:pStyle w:val="10"/>
              <w:spacing w:line="360" w:lineRule="auto"/>
              <w:ind w:firstLine="0" w:firstLineChars="0"/>
              <w:contextualSpacing/>
              <w:jc w:val="center"/>
              <w:rPr>
                <w:rFonts w:ascii="宋体" w:hAnsi="宋体" w:eastAsia="宋体" w:cs="仿宋_GB2312"/>
                <w:color w:val="auto"/>
                <w:kern w:val="2"/>
                <w:sz w:val="24"/>
                <w:szCs w:val="24"/>
              </w:rPr>
            </w:pPr>
            <w:bookmarkStart w:id="75" w:name="_Toc173211900"/>
            <w:bookmarkStart w:id="76" w:name="_Toc295404981"/>
            <w:bookmarkStart w:id="77" w:name="_Toc254970588"/>
            <w:bookmarkStart w:id="78" w:name="_Toc301781611"/>
            <w:bookmarkStart w:id="79" w:name="_Toc297193185"/>
            <w:bookmarkStart w:id="80" w:name="_Toc383699906"/>
            <w:bookmarkStart w:id="81" w:name="_Toc254970729"/>
            <w:bookmarkStart w:id="82" w:name="_Toc373333689"/>
            <w:bookmarkStart w:id="83" w:name="_Toc173066401"/>
            <w:r>
              <w:rPr>
                <w:rFonts w:hint="eastAsia" w:ascii="宋体" w:hAnsi="宋体" w:eastAsia="宋体" w:cs="仿宋_GB2312"/>
                <w:color w:val="auto"/>
                <w:kern w:val="2"/>
                <w:sz w:val="24"/>
                <w:szCs w:val="24"/>
              </w:rPr>
              <w:t>序号</w:t>
            </w:r>
            <w:bookmarkEnd w:id="75"/>
            <w:bookmarkEnd w:id="76"/>
            <w:bookmarkEnd w:id="77"/>
            <w:bookmarkEnd w:id="78"/>
            <w:bookmarkEnd w:id="79"/>
            <w:bookmarkEnd w:id="80"/>
            <w:bookmarkEnd w:id="81"/>
            <w:bookmarkEnd w:id="82"/>
            <w:bookmarkEnd w:id="83"/>
          </w:p>
        </w:tc>
        <w:tc>
          <w:tcPr>
            <w:tcW w:w="992" w:type="dxa"/>
            <w:tcBorders>
              <w:right w:val="single" w:color="auto" w:sz="4" w:space="0"/>
            </w:tcBorders>
            <w:vAlign w:val="center"/>
          </w:tcPr>
          <w:p w14:paraId="4E1BC9DD">
            <w:pPr>
              <w:pStyle w:val="10"/>
              <w:spacing w:line="360" w:lineRule="auto"/>
              <w:ind w:firstLine="0" w:firstLineChars="0"/>
              <w:contextualSpacing/>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名称</w:t>
            </w:r>
          </w:p>
        </w:tc>
        <w:tc>
          <w:tcPr>
            <w:tcW w:w="3292" w:type="dxa"/>
            <w:tcBorders>
              <w:left w:val="single" w:color="auto" w:sz="4" w:space="0"/>
            </w:tcBorders>
            <w:vAlign w:val="center"/>
          </w:tcPr>
          <w:p w14:paraId="7277B251">
            <w:pPr>
              <w:pStyle w:val="10"/>
              <w:spacing w:line="360" w:lineRule="auto"/>
              <w:ind w:firstLine="0" w:firstLineChars="0"/>
              <w:contextualSpacing/>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磋商文件技术要求</w:t>
            </w:r>
          </w:p>
        </w:tc>
        <w:tc>
          <w:tcPr>
            <w:tcW w:w="2962" w:type="dxa"/>
            <w:vAlign w:val="center"/>
          </w:tcPr>
          <w:p w14:paraId="19D60EF5">
            <w:pPr>
              <w:pStyle w:val="10"/>
              <w:spacing w:line="360" w:lineRule="auto"/>
              <w:ind w:firstLine="0" w:firstLineChars="0"/>
              <w:contextualSpacing/>
              <w:jc w:val="center"/>
              <w:rPr>
                <w:rFonts w:ascii="宋体" w:hAnsi="宋体" w:eastAsia="宋体" w:cs="仿宋_GB2312"/>
                <w:color w:val="auto"/>
                <w:kern w:val="2"/>
                <w:sz w:val="24"/>
                <w:szCs w:val="24"/>
              </w:rPr>
            </w:pPr>
            <w:bookmarkStart w:id="84" w:name="_Toc301781613"/>
            <w:bookmarkStart w:id="85" w:name="_Toc295404983"/>
            <w:bookmarkStart w:id="86" w:name="_Toc254970731"/>
            <w:bookmarkStart w:id="87" w:name="_Toc173066403"/>
            <w:bookmarkStart w:id="88" w:name="_Toc383699908"/>
            <w:bookmarkStart w:id="89" w:name="_Toc373333691"/>
            <w:bookmarkStart w:id="90" w:name="_Toc297193187"/>
            <w:bookmarkStart w:id="91" w:name="_Toc173211902"/>
            <w:bookmarkStart w:id="92" w:name="_Toc254970590"/>
            <w:r>
              <w:rPr>
                <w:rFonts w:hint="eastAsia" w:ascii="宋体" w:hAnsi="宋体" w:eastAsia="宋体" w:cs="仿宋_GB2312"/>
                <w:color w:val="auto"/>
                <w:kern w:val="2"/>
                <w:sz w:val="24"/>
                <w:szCs w:val="24"/>
              </w:rPr>
              <w:t>竞标响应</w:t>
            </w:r>
            <w:bookmarkEnd w:id="84"/>
            <w:bookmarkEnd w:id="85"/>
            <w:bookmarkEnd w:id="86"/>
            <w:bookmarkEnd w:id="87"/>
            <w:bookmarkEnd w:id="88"/>
            <w:bookmarkEnd w:id="89"/>
            <w:bookmarkEnd w:id="90"/>
            <w:bookmarkEnd w:id="91"/>
            <w:bookmarkEnd w:id="92"/>
          </w:p>
        </w:tc>
        <w:tc>
          <w:tcPr>
            <w:tcW w:w="1616" w:type="dxa"/>
            <w:vAlign w:val="center"/>
          </w:tcPr>
          <w:p w14:paraId="625E5691">
            <w:pPr>
              <w:pStyle w:val="10"/>
              <w:spacing w:line="360" w:lineRule="auto"/>
              <w:ind w:firstLine="0" w:firstLineChars="0"/>
              <w:contextualSpacing/>
              <w:jc w:val="center"/>
              <w:rPr>
                <w:rFonts w:ascii="宋体" w:hAnsi="宋体" w:eastAsia="宋体" w:cs="仿宋_GB2312"/>
                <w:color w:val="auto"/>
                <w:kern w:val="2"/>
                <w:sz w:val="24"/>
                <w:szCs w:val="24"/>
              </w:rPr>
            </w:pPr>
            <w:bookmarkStart w:id="93" w:name="_Toc373333692"/>
            <w:bookmarkStart w:id="94" w:name="_Toc173066404"/>
            <w:bookmarkStart w:id="95" w:name="_Toc301781614"/>
            <w:bookmarkStart w:id="96" w:name="_Toc173211903"/>
            <w:bookmarkStart w:id="97" w:name="_Toc383699909"/>
            <w:bookmarkStart w:id="98" w:name="_Toc295404984"/>
            <w:bookmarkStart w:id="99" w:name="_Toc254970591"/>
            <w:bookmarkStart w:id="100" w:name="_Toc297193188"/>
            <w:bookmarkStart w:id="101" w:name="_Toc254970732"/>
            <w:r>
              <w:rPr>
                <w:rFonts w:hint="eastAsia" w:ascii="宋体" w:hAnsi="宋体" w:eastAsia="宋体" w:cs="仿宋_GB2312"/>
                <w:color w:val="auto"/>
                <w:kern w:val="2"/>
                <w:sz w:val="24"/>
                <w:szCs w:val="24"/>
              </w:rPr>
              <w:t>偏离</w:t>
            </w:r>
            <w:bookmarkEnd w:id="93"/>
            <w:bookmarkEnd w:id="94"/>
            <w:bookmarkEnd w:id="95"/>
            <w:bookmarkEnd w:id="96"/>
            <w:bookmarkEnd w:id="97"/>
            <w:bookmarkEnd w:id="98"/>
            <w:bookmarkEnd w:id="99"/>
            <w:bookmarkEnd w:id="100"/>
            <w:bookmarkEnd w:id="101"/>
            <w:bookmarkStart w:id="102" w:name="_Toc173211904"/>
            <w:bookmarkStart w:id="103" w:name="_Toc254970733"/>
            <w:bookmarkStart w:id="104" w:name="_Toc297193189"/>
            <w:bookmarkStart w:id="105" w:name="_Toc373333693"/>
            <w:bookmarkStart w:id="106" w:name="_Toc295404985"/>
            <w:bookmarkStart w:id="107" w:name="_Toc254970592"/>
            <w:bookmarkStart w:id="108" w:name="_Toc173066405"/>
            <w:bookmarkStart w:id="109" w:name="_Toc301781615"/>
            <w:bookmarkStart w:id="110" w:name="_Toc383699910"/>
            <w:r>
              <w:rPr>
                <w:rFonts w:hint="eastAsia" w:ascii="宋体" w:hAnsi="宋体" w:eastAsia="宋体" w:cs="仿宋_GB2312"/>
                <w:color w:val="auto"/>
                <w:kern w:val="2"/>
                <w:sz w:val="24"/>
                <w:szCs w:val="24"/>
              </w:rPr>
              <w:t>说明</w:t>
            </w:r>
            <w:bookmarkEnd w:id="102"/>
            <w:bookmarkEnd w:id="103"/>
            <w:bookmarkEnd w:id="104"/>
            <w:bookmarkEnd w:id="105"/>
            <w:bookmarkEnd w:id="106"/>
            <w:bookmarkEnd w:id="107"/>
            <w:bookmarkEnd w:id="108"/>
            <w:bookmarkEnd w:id="109"/>
            <w:bookmarkEnd w:id="110"/>
          </w:p>
        </w:tc>
      </w:tr>
      <w:tr w14:paraId="27E43B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4FB770A6">
            <w:pPr>
              <w:pStyle w:val="10"/>
              <w:spacing w:line="360" w:lineRule="auto"/>
              <w:ind w:firstLine="0" w:firstLineChars="0"/>
              <w:contextualSpacing/>
              <w:jc w:val="center"/>
              <w:rPr>
                <w:rFonts w:ascii="宋体" w:hAnsi="宋体" w:eastAsia="宋体" w:cs="仿宋_GB2312"/>
                <w:color w:val="auto"/>
                <w:kern w:val="2"/>
                <w:sz w:val="24"/>
                <w:szCs w:val="24"/>
              </w:rPr>
            </w:pPr>
            <w:bookmarkStart w:id="111" w:name="_Toc297193190"/>
            <w:bookmarkStart w:id="112" w:name="_Toc173211905"/>
            <w:bookmarkStart w:id="113" w:name="_Toc373333694"/>
            <w:bookmarkStart w:id="114" w:name="_Toc295404986"/>
            <w:bookmarkStart w:id="115" w:name="_Toc254970593"/>
            <w:bookmarkStart w:id="116" w:name="_Toc301781616"/>
            <w:bookmarkStart w:id="117" w:name="_Toc173066406"/>
            <w:bookmarkStart w:id="118" w:name="_Toc383699911"/>
            <w:bookmarkStart w:id="119" w:name="_Toc254970734"/>
            <w:r>
              <w:rPr>
                <w:rFonts w:hint="eastAsia" w:ascii="宋体" w:hAnsi="宋体" w:eastAsia="宋体" w:cs="仿宋_GB2312"/>
                <w:color w:val="auto"/>
                <w:kern w:val="2"/>
                <w:sz w:val="24"/>
                <w:szCs w:val="24"/>
              </w:rPr>
              <w:t>1</w:t>
            </w:r>
            <w:bookmarkEnd w:id="111"/>
            <w:bookmarkEnd w:id="112"/>
            <w:bookmarkEnd w:id="113"/>
            <w:bookmarkEnd w:id="114"/>
            <w:bookmarkEnd w:id="115"/>
            <w:bookmarkEnd w:id="116"/>
            <w:bookmarkEnd w:id="117"/>
            <w:bookmarkEnd w:id="118"/>
            <w:bookmarkEnd w:id="119"/>
          </w:p>
        </w:tc>
        <w:tc>
          <w:tcPr>
            <w:tcW w:w="992" w:type="dxa"/>
            <w:tcBorders>
              <w:right w:val="single" w:color="auto" w:sz="4" w:space="0"/>
            </w:tcBorders>
            <w:vAlign w:val="center"/>
          </w:tcPr>
          <w:p w14:paraId="29528BF8">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6AAB41A8">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33EB4B9B">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vAlign w:val="center"/>
          </w:tcPr>
          <w:p w14:paraId="2B43A4ED">
            <w:pPr>
              <w:pStyle w:val="10"/>
              <w:spacing w:line="360" w:lineRule="auto"/>
              <w:ind w:firstLine="0" w:firstLineChars="0"/>
              <w:contextualSpacing/>
              <w:jc w:val="center"/>
              <w:rPr>
                <w:rFonts w:ascii="宋体" w:hAnsi="宋体" w:eastAsia="宋体" w:cs="仿宋_GB2312"/>
                <w:color w:val="auto"/>
                <w:kern w:val="2"/>
                <w:sz w:val="24"/>
                <w:szCs w:val="24"/>
              </w:rPr>
            </w:pPr>
          </w:p>
        </w:tc>
      </w:tr>
      <w:tr w14:paraId="3F3908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20E8765D">
            <w:pPr>
              <w:pStyle w:val="10"/>
              <w:spacing w:line="360" w:lineRule="auto"/>
              <w:ind w:firstLine="0" w:firstLineChars="0"/>
              <w:contextualSpacing/>
              <w:jc w:val="center"/>
              <w:rPr>
                <w:rFonts w:ascii="宋体" w:hAnsi="宋体" w:eastAsia="宋体" w:cs="仿宋_GB2312"/>
                <w:color w:val="auto"/>
                <w:kern w:val="2"/>
                <w:sz w:val="24"/>
                <w:szCs w:val="24"/>
              </w:rPr>
            </w:pPr>
            <w:bookmarkStart w:id="120" w:name="_Toc297193191"/>
            <w:bookmarkStart w:id="121" w:name="_Toc173211906"/>
            <w:bookmarkStart w:id="122" w:name="_Toc254970594"/>
            <w:bookmarkStart w:id="123" w:name="_Toc373333695"/>
            <w:bookmarkStart w:id="124" w:name="_Toc383699912"/>
            <w:bookmarkStart w:id="125" w:name="_Toc173066407"/>
            <w:bookmarkStart w:id="126" w:name="_Toc301781617"/>
            <w:bookmarkStart w:id="127" w:name="_Toc254970735"/>
            <w:bookmarkStart w:id="128" w:name="_Toc295404987"/>
            <w:r>
              <w:rPr>
                <w:rFonts w:hint="eastAsia" w:ascii="宋体" w:hAnsi="宋体" w:eastAsia="宋体" w:cs="仿宋_GB2312"/>
                <w:color w:val="auto"/>
                <w:kern w:val="2"/>
                <w:sz w:val="24"/>
                <w:szCs w:val="24"/>
              </w:rPr>
              <w:t>2</w:t>
            </w:r>
            <w:bookmarkEnd w:id="120"/>
            <w:bookmarkEnd w:id="121"/>
            <w:bookmarkEnd w:id="122"/>
            <w:bookmarkEnd w:id="123"/>
            <w:bookmarkEnd w:id="124"/>
            <w:bookmarkEnd w:id="125"/>
            <w:bookmarkEnd w:id="126"/>
            <w:bookmarkEnd w:id="127"/>
            <w:bookmarkEnd w:id="128"/>
          </w:p>
        </w:tc>
        <w:tc>
          <w:tcPr>
            <w:tcW w:w="992" w:type="dxa"/>
            <w:tcBorders>
              <w:right w:val="single" w:color="auto" w:sz="4" w:space="0"/>
            </w:tcBorders>
            <w:vAlign w:val="center"/>
          </w:tcPr>
          <w:p w14:paraId="046E580C">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3F5A80E7">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211953F2">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vAlign w:val="center"/>
          </w:tcPr>
          <w:p w14:paraId="2FAE452C">
            <w:pPr>
              <w:pStyle w:val="10"/>
              <w:spacing w:line="360" w:lineRule="auto"/>
              <w:ind w:firstLine="0" w:firstLineChars="0"/>
              <w:contextualSpacing/>
              <w:jc w:val="center"/>
              <w:rPr>
                <w:rFonts w:ascii="宋体" w:hAnsi="宋体" w:eastAsia="宋体" w:cs="仿宋_GB2312"/>
                <w:color w:val="auto"/>
                <w:kern w:val="2"/>
                <w:sz w:val="24"/>
                <w:szCs w:val="24"/>
              </w:rPr>
            </w:pPr>
          </w:p>
        </w:tc>
      </w:tr>
      <w:tr w14:paraId="3FCD38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04C90EC0">
            <w:pPr>
              <w:pStyle w:val="10"/>
              <w:spacing w:line="360" w:lineRule="auto"/>
              <w:ind w:firstLine="0" w:firstLineChars="0"/>
              <w:contextualSpacing/>
              <w:jc w:val="center"/>
              <w:rPr>
                <w:rFonts w:ascii="宋体" w:hAnsi="宋体" w:eastAsia="宋体" w:cs="仿宋_GB2312"/>
                <w:color w:val="auto"/>
                <w:kern w:val="2"/>
                <w:sz w:val="24"/>
                <w:szCs w:val="24"/>
              </w:rPr>
            </w:pPr>
            <w:bookmarkStart w:id="129" w:name="_Toc295404988"/>
            <w:bookmarkStart w:id="130" w:name="_Toc173066408"/>
            <w:bookmarkStart w:id="131" w:name="_Toc254970736"/>
            <w:bookmarkStart w:id="132" w:name="_Toc173211907"/>
            <w:bookmarkStart w:id="133" w:name="_Toc373333696"/>
            <w:bookmarkStart w:id="134" w:name="_Toc383699913"/>
            <w:bookmarkStart w:id="135" w:name="_Toc297193192"/>
            <w:bookmarkStart w:id="136" w:name="_Toc301781618"/>
            <w:bookmarkStart w:id="137" w:name="_Toc254970595"/>
            <w:r>
              <w:rPr>
                <w:rFonts w:hint="eastAsia" w:ascii="宋体" w:hAnsi="宋体" w:eastAsia="宋体" w:cs="仿宋_GB2312"/>
                <w:color w:val="auto"/>
                <w:kern w:val="2"/>
                <w:sz w:val="24"/>
                <w:szCs w:val="24"/>
              </w:rPr>
              <w:t>3</w:t>
            </w:r>
            <w:bookmarkEnd w:id="129"/>
            <w:bookmarkEnd w:id="130"/>
            <w:bookmarkEnd w:id="131"/>
            <w:bookmarkEnd w:id="132"/>
            <w:bookmarkEnd w:id="133"/>
            <w:bookmarkEnd w:id="134"/>
            <w:bookmarkEnd w:id="135"/>
            <w:bookmarkEnd w:id="136"/>
            <w:bookmarkEnd w:id="137"/>
          </w:p>
        </w:tc>
        <w:tc>
          <w:tcPr>
            <w:tcW w:w="992" w:type="dxa"/>
            <w:tcBorders>
              <w:right w:val="single" w:color="auto" w:sz="4" w:space="0"/>
            </w:tcBorders>
            <w:vAlign w:val="center"/>
          </w:tcPr>
          <w:p w14:paraId="0C61B60E">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538FF3CC">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0F37A3F6">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vAlign w:val="center"/>
          </w:tcPr>
          <w:p w14:paraId="5354D734">
            <w:pPr>
              <w:pStyle w:val="10"/>
              <w:spacing w:line="360" w:lineRule="auto"/>
              <w:ind w:firstLine="0" w:firstLineChars="0"/>
              <w:contextualSpacing/>
              <w:jc w:val="center"/>
              <w:rPr>
                <w:rFonts w:ascii="宋体" w:hAnsi="宋体" w:eastAsia="宋体" w:cs="仿宋_GB2312"/>
                <w:color w:val="auto"/>
                <w:kern w:val="2"/>
                <w:sz w:val="24"/>
                <w:szCs w:val="24"/>
              </w:rPr>
            </w:pPr>
          </w:p>
        </w:tc>
      </w:tr>
      <w:tr w14:paraId="5FB8CD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54AC8BDF">
            <w:pPr>
              <w:pStyle w:val="10"/>
              <w:spacing w:line="360" w:lineRule="auto"/>
              <w:ind w:firstLine="0" w:firstLineChars="0"/>
              <w:contextualSpacing/>
              <w:jc w:val="center"/>
              <w:rPr>
                <w:rFonts w:ascii="宋体" w:hAnsi="宋体" w:eastAsia="宋体" w:cs="仿宋_GB2312"/>
                <w:color w:val="auto"/>
                <w:kern w:val="2"/>
                <w:sz w:val="24"/>
                <w:szCs w:val="24"/>
              </w:rPr>
            </w:pPr>
            <w:bookmarkStart w:id="138" w:name="_Toc173211908"/>
            <w:bookmarkStart w:id="139" w:name="_Toc383699914"/>
            <w:bookmarkStart w:id="140" w:name="_Toc173066409"/>
            <w:bookmarkStart w:id="141" w:name="_Toc373333697"/>
            <w:bookmarkStart w:id="142" w:name="_Toc297193193"/>
            <w:bookmarkStart w:id="143" w:name="_Toc254970737"/>
            <w:bookmarkStart w:id="144" w:name="_Toc295404989"/>
            <w:bookmarkStart w:id="145" w:name="_Toc301781619"/>
            <w:bookmarkStart w:id="146" w:name="_Toc254970596"/>
            <w:r>
              <w:rPr>
                <w:rFonts w:hint="eastAsia" w:ascii="宋体" w:hAnsi="宋体" w:eastAsia="宋体" w:cs="仿宋_GB2312"/>
                <w:color w:val="auto"/>
                <w:kern w:val="2"/>
                <w:sz w:val="24"/>
                <w:szCs w:val="24"/>
              </w:rPr>
              <w:t>4</w:t>
            </w:r>
            <w:bookmarkEnd w:id="138"/>
            <w:bookmarkEnd w:id="139"/>
            <w:bookmarkEnd w:id="140"/>
            <w:bookmarkEnd w:id="141"/>
            <w:bookmarkEnd w:id="142"/>
            <w:bookmarkEnd w:id="143"/>
            <w:bookmarkEnd w:id="144"/>
            <w:bookmarkEnd w:id="145"/>
            <w:bookmarkEnd w:id="146"/>
          </w:p>
        </w:tc>
        <w:tc>
          <w:tcPr>
            <w:tcW w:w="992" w:type="dxa"/>
            <w:tcBorders>
              <w:right w:val="single" w:color="auto" w:sz="4" w:space="0"/>
            </w:tcBorders>
            <w:vAlign w:val="center"/>
          </w:tcPr>
          <w:p w14:paraId="47876E7C">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3DD6D4E6">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05D23D53">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vAlign w:val="center"/>
          </w:tcPr>
          <w:p w14:paraId="2FCA62AA">
            <w:pPr>
              <w:pStyle w:val="10"/>
              <w:spacing w:line="360" w:lineRule="auto"/>
              <w:ind w:firstLine="0" w:firstLineChars="0"/>
              <w:contextualSpacing/>
              <w:jc w:val="center"/>
              <w:rPr>
                <w:rFonts w:ascii="宋体" w:hAnsi="宋体" w:eastAsia="宋体" w:cs="仿宋_GB2312"/>
                <w:color w:val="auto"/>
                <w:kern w:val="2"/>
                <w:sz w:val="24"/>
                <w:szCs w:val="24"/>
              </w:rPr>
            </w:pPr>
          </w:p>
        </w:tc>
      </w:tr>
      <w:tr w14:paraId="1F7856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6D3DC2BE">
            <w:pPr>
              <w:pStyle w:val="10"/>
              <w:spacing w:line="360" w:lineRule="auto"/>
              <w:ind w:firstLine="0" w:firstLineChars="0"/>
              <w:contextualSpacing/>
              <w:jc w:val="center"/>
              <w:rPr>
                <w:rFonts w:ascii="宋体" w:hAnsi="宋体" w:eastAsia="宋体" w:cs="仿宋_GB2312"/>
                <w:color w:val="auto"/>
                <w:kern w:val="2"/>
                <w:sz w:val="24"/>
                <w:szCs w:val="24"/>
              </w:rPr>
            </w:pPr>
            <w:bookmarkStart w:id="147" w:name="_Toc383699915"/>
            <w:bookmarkStart w:id="148" w:name="_Toc254970738"/>
            <w:bookmarkStart w:id="149" w:name="_Toc173211909"/>
            <w:bookmarkStart w:id="150" w:name="_Toc373333698"/>
            <w:bookmarkStart w:id="151" w:name="_Toc173066410"/>
            <w:bookmarkStart w:id="152" w:name="_Toc254970597"/>
            <w:bookmarkStart w:id="153" w:name="_Toc301781620"/>
            <w:bookmarkStart w:id="154" w:name="_Toc295404990"/>
            <w:bookmarkStart w:id="155" w:name="_Toc297193194"/>
            <w:r>
              <w:rPr>
                <w:rFonts w:hint="eastAsia" w:ascii="宋体" w:hAnsi="宋体" w:eastAsia="宋体" w:cs="仿宋_GB2312"/>
                <w:color w:val="auto"/>
                <w:kern w:val="2"/>
                <w:sz w:val="24"/>
                <w:szCs w:val="24"/>
              </w:rPr>
              <w:t>5</w:t>
            </w:r>
            <w:bookmarkEnd w:id="147"/>
            <w:bookmarkEnd w:id="148"/>
            <w:bookmarkEnd w:id="149"/>
            <w:bookmarkEnd w:id="150"/>
            <w:bookmarkEnd w:id="151"/>
            <w:bookmarkEnd w:id="152"/>
            <w:bookmarkEnd w:id="153"/>
            <w:bookmarkEnd w:id="154"/>
            <w:bookmarkEnd w:id="155"/>
          </w:p>
        </w:tc>
        <w:tc>
          <w:tcPr>
            <w:tcW w:w="992" w:type="dxa"/>
            <w:tcBorders>
              <w:right w:val="single" w:color="auto" w:sz="4" w:space="0"/>
            </w:tcBorders>
            <w:vAlign w:val="center"/>
          </w:tcPr>
          <w:p w14:paraId="5A89CF04">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74A5E4EA">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22DD933C">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vAlign w:val="center"/>
          </w:tcPr>
          <w:p w14:paraId="5A481D6B">
            <w:pPr>
              <w:pStyle w:val="10"/>
              <w:spacing w:line="360" w:lineRule="auto"/>
              <w:ind w:firstLine="0" w:firstLineChars="0"/>
              <w:contextualSpacing/>
              <w:jc w:val="center"/>
              <w:rPr>
                <w:rFonts w:ascii="宋体" w:hAnsi="宋体" w:eastAsia="宋体" w:cs="仿宋_GB2312"/>
                <w:color w:val="auto"/>
                <w:kern w:val="2"/>
                <w:sz w:val="24"/>
                <w:szCs w:val="24"/>
              </w:rPr>
            </w:pPr>
          </w:p>
        </w:tc>
      </w:tr>
      <w:tr w14:paraId="438A5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2" w:type="dxa"/>
            <w:vAlign w:val="center"/>
          </w:tcPr>
          <w:p w14:paraId="77DB1506">
            <w:pPr>
              <w:pStyle w:val="10"/>
              <w:spacing w:line="360" w:lineRule="auto"/>
              <w:ind w:firstLine="0" w:firstLineChars="0"/>
              <w:contextualSpacing/>
              <w:jc w:val="center"/>
              <w:rPr>
                <w:rFonts w:ascii="宋体" w:hAnsi="宋体" w:eastAsia="宋体" w:cs="仿宋_GB2312"/>
                <w:color w:val="auto"/>
                <w:kern w:val="2"/>
                <w:sz w:val="24"/>
                <w:szCs w:val="24"/>
              </w:rPr>
            </w:pPr>
            <w:bookmarkStart w:id="156" w:name="_Toc301781621"/>
            <w:bookmarkStart w:id="157" w:name="_Toc297193195"/>
            <w:bookmarkStart w:id="158" w:name="_Toc373333699"/>
            <w:bookmarkStart w:id="159" w:name="_Toc173066415"/>
            <w:bookmarkStart w:id="160" w:name="_Toc173211914"/>
            <w:bookmarkStart w:id="161" w:name="_Toc254970602"/>
            <w:bookmarkStart w:id="162" w:name="_Toc295404991"/>
            <w:bookmarkStart w:id="163" w:name="_Toc254970743"/>
            <w:bookmarkStart w:id="164" w:name="_Toc383699916"/>
            <w:r>
              <w:rPr>
                <w:rFonts w:hint="eastAsia" w:ascii="宋体" w:hAnsi="宋体" w:eastAsia="宋体" w:cs="仿宋_GB2312"/>
                <w:color w:val="auto"/>
                <w:kern w:val="2"/>
                <w:sz w:val="24"/>
                <w:szCs w:val="24"/>
              </w:rPr>
              <w:t>…</w:t>
            </w:r>
            <w:bookmarkEnd w:id="156"/>
            <w:bookmarkEnd w:id="157"/>
            <w:bookmarkEnd w:id="158"/>
            <w:bookmarkEnd w:id="159"/>
            <w:bookmarkEnd w:id="160"/>
            <w:bookmarkEnd w:id="161"/>
            <w:bookmarkEnd w:id="162"/>
            <w:bookmarkEnd w:id="163"/>
            <w:bookmarkEnd w:id="164"/>
          </w:p>
        </w:tc>
        <w:tc>
          <w:tcPr>
            <w:tcW w:w="992" w:type="dxa"/>
            <w:tcBorders>
              <w:right w:val="single" w:color="auto" w:sz="4" w:space="0"/>
            </w:tcBorders>
            <w:vAlign w:val="center"/>
          </w:tcPr>
          <w:p w14:paraId="562D62FD">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0D81C4B0">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0051A82E">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tcBorders>
              <w:right w:val="single" w:color="auto" w:sz="4" w:space="0"/>
            </w:tcBorders>
            <w:vAlign w:val="center"/>
          </w:tcPr>
          <w:p w14:paraId="0FC62999">
            <w:pPr>
              <w:pStyle w:val="10"/>
              <w:spacing w:line="360" w:lineRule="auto"/>
              <w:ind w:firstLine="0" w:firstLineChars="0"/>
              <w:contextualSpacing/>
              <w:jc w:val="center"/>
              <w:rPr>
                <w:rFonts w:ascii="宋体" w:hAnsi="宋体" w:eastAsia="宋体" w:cs="仿宋_GB2312"/>
                <w:color w:val="auto"/>
                <w:kern w:val="2"/>
                <w:sz w:val="24"/>
                <w:szCs w:val="24"/>
              </w:rPr>
            </w:pPr>
          </w:p>
        </w:tc>
      </w:tr>
    </w:tbl>
    <w:p w14:paraId="5C71C9AC">
      <w:pPr>
        <w:adjustRightInd w:val="0"/>
        <w:spacing w:line="360" w:lineRule="auto"/>
        <w:contextualSpacing/>
        <w:rPr>
          <w:rFonts w:ascii="宋体" w:hAnsi="宋体" w:cs="仿宋_GB2312"/>
          <w:color w:val="auto"/>
          <w:sz w:val="24"/>
        </w:rPr>
      </w:pPr>
    </w:p>
    <w:p w14:paraId="0EDE933A">
      <w:pPr>
        <w:pStyle w:val="10"/>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注：</w:t>
      </w:r>
    </w:p>
    <w:p w14:paraId="554DA4D0">
      <w:pPr>
        <w:pStyle w:val="10"/>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1. 说明：应对照磋商文件“第三章 采购需求”中的技术要求逐条作出明确响应，并作出偏离说明。</w:t>
      </w:r>
    </w:p>
    <w:p w14:paraId="02CBE4E2">
      <w:pPr>
        <w:pStyle w:val="10"/>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2.供应商应根据自身的承诺，对照磋商文件要求，在“偏离说明”中注明“正偏离”、“负偏离”或者“无偏离”。既不属于“正偏离”也不属于“负偏离”即为“无偏离”。</w:t>
      </w:r>
    </w:p>
    <w:p w14:paraId="60D44A8E">
      <w:pPr>
        <w:spacing w:line="360" w:lineRule="auto"/>
        <w:ind w:right="-817" w:rightChars="-389"/>
        <w:contextualSpacing/>
        <w:rPr>
          <w:rFonts w:ascii="宋体" w:hAnsi="宋体" w:cs="仿宋_GB2312"/>
          <w:color w:val="auto"/>
          <w:sz w:val="24"/>
        </w:rPr>
      </w:pPr>
    </w:p>
    <w:p w14:paraId="24200A5B">
      <w:pPr>
        <w:spacing w:line="360" w:lineRule="auto"/>
        <w:ind w:right="-817" w:rightChars="-389" w:firstLine="960" w:firstLineChars="4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                    </w:t>
      </w:r>
    </w:p>
    <w:p w14:paraId="18872EE4">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供应商（盖公章）：      </w:t>
      </w:r>
    </w:p>
    <w:p w14:paraId="03C22DAE">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769C5FB5">
      <w:pPr>
        <w:snapToGrid w:val="0"/>
        <w:spacing w:before="156" w:beforeLines="50" w:after="50"/>
        <w:ind w:left="142"/>
        <w:jc w:val="left"/>
        <w:rPr>
          <w:rFonts w:ascii="宋体" w:hAnsi="宋体"/>
          <w:b/>
          <w:color w:val="auto"/>
          <w:sz w:val="24"/>
        </w:rPr>
      </w:pPr>
      <w:r>
        <w:rPr>
          <w:rFonts w:ascii="宋体" w:hAnsi="宋体" w:cs="仿宋_GB2312"/>
          <w:color w:val="auto"/>
          <w:sz w:val="24"/>
        </w:rPr>
        <w:br w:type="page"/>
      </w:r>
      <w:r>
        <w:rPr>
          <w:rFonts w:hint="eastAsia" w:ascii="宋体" w:hAnsi="宋体"/>
          <w:b/>
          <w:color w:val="auto"/>
          <w:sz w:val="24"/>
        </w:rPr>
        <w:t>项目实施人员一览表格式</w:t>
      </w:r>
    </w:p>
    <w:p w14:paraId="60EB8CE3">
      <w:pPr>
        <w:snapToGrid w:val="0"/>
        <w:spacing w:before="156" w:beforeLines="50" w:after="50"/>
        <w:ind w:left="142"/>
        <w:jc w:val="left"/>
        <w:rPr>
          <w:rFonts w:ascii="宋体" w:hAnsi="宋体"/>
          <w:b/>
          <w:color w:val="auto"/>
          <w:sz w:val="24"/>
        </w:rPr>
      </w:pPr>
    </w:p>
    <w:p w14:paraId="0E293522">
      <w:pPr>
        <w:spacing w:line="360" w:lineRule="auto"/>
        <w:ind w:left="142"/>
        <w:contextualSpacing/>
        <w:jc w:val="center"/>
        <w:rPr>
          <w:rFonts w:ascii="宋体" w:hAnsi="宋体"/>
          <w:b/>
          <w:color w:val="auto"/>
          <w:sz w:val="32"/>
          <w:szCs w:val="32"/>
        </w:rPr>
      </w:pPr>
      <w:r>
        <w:rPr>
          <w:rFonts w:hint="eastAsia" w:ascii="宋体" w:hAnsi="宋体"/>
          <w:b/>
          <w:color w:val="auto"/>
          <w:sz w:val="32"/>
          <w:szCs w:val="32"/>
        </w:rPr>
        <w:t>项目实施人员一览表</w:t>
      </w:r>
    </w:p>
    <w:p w14:paraId="49D64567">
      <w:pPr>
        <w:pStyle w:val="12"/>
        <w:spacing w:line="360" w:lineRule="auto"/>
        <w:contextualSpacing/>
        <w:rPr>
          <w:color w:val="auto"/>
          <w:sz w:val="24"/>
          <w:szCs w:val="24"/>
        </w:rPr>
      </w:pPr>
      <w:r>
        <w:rPr>
          <w:rFonts w:hint="eastAsia"/>
          <w:color w:val="auto"/>
          <w:sz w:val="24"/>
          <w:szCs w:val="24"/>
        </w:rPr>
        <w:t>所竞分标：</w:t>
      </w:r>
      <w:r>
        <w:rPr>
          <w:rFonts w:hint="eastAsia"/>
          <w:color w:val="auto"/>
          <w:sz w:val="24"/>
          <w:szCs w:val="24"/>
          <w:u w:val="single"/>
        </w:rPr>
        <w:t xml:space="preserve">     </w:t>
      </w:r>
      <w:r>
        <w:rPr>
          <w:rFonts w:hint="eastAsia"/>
          <w:color w:val="auto"/>
          <w:sz w:val="24"/>
          <w:szCs w:val="24"/>
        </w:rPr>
        <w:t>分标</w:t>
      </w:r>
    </w:p>
    <w:tbl>
      <w:tblPr>
        <w:tblStyle w:val="1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5E3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86F981">
            <w:pPr>
              <w:spacing w:line="360" w:lineRule="auto"/>
              <w:contextualSpacing/>
              <w:jc w:val="center"/>
              <w:rPr>
                <w:rFonts w:ascii="宋体" w:hAnsi="宋体"/>
                <w:color w:val="auto"/>
                <w:sz w:val="24"/>
                <w:szCs w:val="20"/>
              </w:rPr>
            </w:pPr>
            <w:r>
              <w:rPr>
                <w:rFonts w:hint="eastAsia" w:ascii="宋体" w:hAnsi="宋体"/>
                <w:color w:val="auto"/>
                <w:sz w:val="24"/>
                <w:szCs w:val="20"/>
              </w:rPr>
              <w:t>姓名</w:t>
            </w:r>
          </w:p>
        </w:tc>
        <w:tc>
          <w:tcPr>
            <w:tcW w:w="709" w:type="dxa"/>
            <w:vAlign w:val="center"/>
          </w:tcPr>
          <w:p w14:paraId="7EFB34A4">
            <w:pPr>
              <w:spacing w:line="360" w:lineRule="auto"/>
              <w:contextualSpacing/>
              <w:jc w:val="center"/>
              <w:rPr>
                <w:rFonts w:ascii="宋体" w:hAnsi="宋体"/>
                <w:color w:val="auto"/>
                <w:sz w:val="24"/>
                <w:szCs w:val="20"/>
              </w:rPr>
            </w:pPr>
            <w:r>
              <w:rPr>
                <w:rFonts w:hint="eastAsia" w:ascii="宋体" w:hAnsi="宋体"/>
                <w:color w:val="auto"/>
                <w:sz w:val="24"/>
                <w:szCs w:val="20"/>
              </w:rPr>
              <w:t>职务</w:t>
            </w:r>
          </w:p>
        </w:tc>
        <w:tc>
          <w:tcPr>
            <w:tcW w:w="1701" w:type="dxa"/>
            <w:vAlign w:val="center"/>
          </w:tcPr>
          <w:p w14:paraId="340BE74A">
            <w:pPr>
              <w:spacing w:line="360" w:lineRule="auto"/>
              <w:contextualSpacing/>
              <w:jc w:val="center"/>
              <w:rPr>
                <w:rFonts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420" w:type="dxa"/>
            <w:vAlign w:val="center"/>
          </w:tcPr>
          <w:p w14:paraId="2A56B512">
            <w:pPr>
              <w:spacing w:line="360" w:lineRule="auto"/>
              <w:contextualSpacing/>
              <w:jc w:val="center"/>
              <w:rPr>
                <w:rFonts w:ascii="宋体" w:hAnsi="宋体"/>
                <w:color w:val="auto"/>
                <w:sz w:val="24"/>
                <w:szCs w:val="20"/>
              </w:rPr>
            </w:pPr>
            <w:r>
              <w:rPr>
                <w:rFonts w:hint="eastAsia" w:ascii="宋体" w:hAnsi="宋体"/>
                <w:color w:val="auto"/>
                <w:sz w:val="24"/>
                <w:szCs w:val="20"/>
              </w:rPr>
              <w:t>证书编号</w:t>
            </w:r>
          </w:p>
        </w:tc>
        <w:tc>
          <w:tcPr>
            <w:tcW w:w="1698" w:type="dxa"/>
            <w:vAlign w:val="center"/>
          </w:tcPr>
          <w:p w14:paraId="1720BDC2">
            <w:pPr>
              <w:spacing w:line="360" w:lineRule="auto"/>
              <w:contextualSpacing/>
              <w:jc w:val="center"/>
              <w:rPr>
                <w:rFonts w:ascii="宋体" w:hAnsi="宋体"/>
                <w:color w:val="auto"/>
                <w:sz w:val="24"/>
                <w:szCs w:val="20"/>
              </w:rPr>
            </w:pPr>
            <w:r>
              <w:rPr>
                <w:rFonts w:hint="eastAsia" w:ascii="宋体" w:hAnsi="宋体"/>
                <w:color w:val="auto"/>
                <w:sz w:val="24"/>
                <w:szCs w:val="20"/>
              </w:rPr>
              <w:t>参加本单位</w:t>
            </w:r>
          </w:p>
          <w:p w14:paraId="2DBA4E29">
            <w:pPr>
              <w:spacing w:line="360" w:lineRule="auto"/>
              <w:contextualSpacing/>
              <w:jc w:val="center"/>
              <w:rPr>
                <w:rFonts w:ascii="宋体" w:hAnsi="宋体"/>
                <w:color w:val="auto"/>
                <w:sz w:val="24"/>
                <w:szCs w:val="20"/>
              </w:rPr>
            </w:pPr>
            <w:r>
              <w:rPr>
                <w:rFonts w:hint="eastAsia" w:ascii="宋体" w:hAnsi="宋体"/>
                <w:color w:val="auto"/>
                <w:sz w:val="24"/>
                <w:szCs w:val="20"/>
              </w:rPr>
              <w:t>工作时间</w:t>
            </w:r>
          </w:p>
        </w:tc>
        <w:tc>
          <w:tcPr>
            <w:tcW w:w="1843" w:type="dxa"/>
            <w:vAlign w:val="center"/>
          </w:tcPr>
          <w:p w14:paraId="109C7794">
            <w:pPr>
              <w:spacing w:line="360" w:lineRule="auto"/>
              <w:contextualSpacing/>
              <w:jc w:val="center"/>
              <w:rPr>
                <w:rFonts w:ascii="宋体" w:hAnsi="宋体"/>
                <w:color w:val="auto"/>
                <w:sz w:val="24"/>
                <w:szCs w:val="20"/>
              </w:rPr>
            </w:pPr>
            <w:r>
              <w:rPr>
                <w:rFonts w:hint="eastAsia" w:ascii="宋体" w:hAnsi="宋体"/>
                <w:color w:val="auto"/>
                <w:sz w:val="24"/>
                <w:szCs w:val="20"/>
              </w:rPr>
              <w:t>劳动合同编号</w:t>
            </w:r>
          </w:p>
        </w:tc>
      </w:tr>
      <w:tr w14:paraId="7797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80E62F">
            <w:pPr>
              <w:spacing w:line="360" w:lineRule="auto"/>
              <w:contextualSpacing/>
              <w:jc w:val="center"/>
              <w:rPr>
                <w:rFonts w:ascii="宋体" w:hAnsi="宋体"/>
                <w:color w:val="auto"/>
                <w:sz w:val="24"/>
                <w:szCs w:val="20"/>
              </w:rPr>
            </w:pPr>
          </w:p>
        </w:tc>
        <w:tc>
          <w:tcPr>
            <w:tcW w:w="709" w:type="dxa"/>
            <w:vAlign w:val="center"/>
          </w:tcPr>
          <w:p w14:paraId="3A95D2C8">
            <w:pPr>
              <w:spacing w:line="360" w:lineRule="auto"/>
              <w:contextualSpacing/>
              <w:jc w:val="center"/>
              <w:rPr>
                <w:rFonts w:ascii="宋体" w:hAnsi="宋体"/>
                <w:color w:val="auto"/>
                <w:sz w:val="24"/>
                <w:szCs w:val="20"/>
              </w:rPr>
            </w:pPr>
          </w:p>
        </w:tc>
        <w:tc>
          <w:tcPr>
            <w:tcW w:w="1701" w:type="dxa"/>
            <w:vAlign w:val="center"/>
          </w:tcPr>
          <w:p w14:paraId="5EB1C73B">
            <w:pPr>
              <w:spacing w:line="360" w:lineRule="auto"/>
              <w:contextualSpacing/>
              <w:jc w:val="center"/>
              <w:rPr>
                <w:rFonts w:ascii="宋体" w:hAnsi="宋体"/>
                <w:color w:val="auto"/>
                <w:sz w:val="24"/>
                <w:szCs w:val="20"/>
              </w:rPr>
            </w:pPr>
          </w:p>
        </w:tc>
        <w:tc>
          <w:tcPr>
            <w:tcW w:w="1420" w:type="dxa"/>
            <w:vAlign w:val="center"/>
          </w:tcPr>
          <w:p w14:paraId="48B1425A">
            <w:pPr>
              <w:spacing w:line="360" w:lineRule="auto"/>
              <w:contextualSpacing/>
              <w:jc w:val="center"/>
              <w:rPr>
                <w:rFonts w:ascii="宋体" w:hAnsi="宋体"/>
                <w:color w:val="auto"/>
                <w:sz w:val="24"/>
                <w:szCs w:val="20"/>
              </w:rPr>
            </w:pPr>
          </w:p>
        </w:tc>
        <w:tc>
          <w:tcPr>
            <w:tcW w:w="1698" w:type="dxa"/>
            <w:vAlign w:val="center"/>
          </w:tcPr>
          <w:p w14:paraId="4F122CEE">
            <w:pPr>
              <w:spacing w:line="360" w:lineRule="auto"/>
              <w:contextualSpacing/>
              <w:jc w:val="center"/>
              <w:rPr>
                <w:rFonts w:ascii="宋体" w:hAnsi="宋体"/>
                <w:color w:val="auto"/>
                <w:sz w:val="24"/>
                <w:szCs w:val="20"/>
              </w:rPr>
            </w:pPr>
          </w:p>
        </w:tc>
        <w:tc>
          <w:tcPr>
            <w:tcW w:w="1843" w:type="dxa"/>
            <w:vAlign w:val="center"/>
          </w:tcPr>
          <w:p w14:paraId="766EDA76">
            <w:pPr>
              <w:spacing w:line="360" w:lineRule="auto"/>
              <w:contextualSpacing/>
              <w:jc w:val="center"/>
              <w:rPr>
                <w:rFonts w:ascii="宋体" w:hAnsi="宋体"/>
                <w:color w:val="auto"/>
                <w:sz w:val="24"/>
                <w:szCs w:val="20"/>
              </w:rPr>
            </w:pPr>
          </w:p>
        </w:tc>
      </w:tr>
      <w:tr w14:paraId="2C20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35B537">
            <w:pPr>
              <w:spacing w:line="360" w:lineRule="auto"/>
              <w:contextualSpacing/>
              <w:jc w:val="center"/>
              <w:rPr>
                <w:rFonts w:ascii="宋体" w:hAnsi="宋体"/>
                <w:color w:val="auto"/>
                <w:sz w:val="24"/>
                <w:szCs w:val="20"/>
              </w:rPr>
            </w:pPr>
          </w:p>
        </w:tc>
        <w:tc>
          <w:tcPr>
            <w:tcW w:w="709" w:type="dxa"/>
            <w:vAlign w:val="center"/>
          </w:tcPr>
          <w:p w14:paraId="1374D28B">
            <w:pPr>
              <w:spacing w:line="360" w:lineRule="auto"/>
              <w:contextualSpacing/>
              <w:jc w:val="center"/>
              <w:rPr>
                <w:rFonts w:ascii="宋体" w:hAnsi="宋体"/>
                <w:color w:val="auto"/>
                <w:sz w:val="24"/>
                <w:szCs w:val="20"/>
              </w:rPr>
            </w:pPr>
          </w:p>
        </w:tc>
        <w:tc>
          <w:tcPr>
            <w:tcW w:w="1701" w:type="dxa"/>
            <w:vAlign w:val="center"/>
          </w:tcPr>
          <w:p w14:paraId="3F61BDFB">
            <w:pPr>
              <w:spacing w:line="360" w:lineRule="auto"/>
              <w:contextualSpacing/>
              <w:jc w:val="center"/>
              <w:rPr>
                <w:rFonts w:ascii="宋体" w:hAnsi="宋体"/>
                <w:color w:val="auto"/>
                <w:sz w:val="24"/>
                <w:szCs w:val="20"/>
              </w:rPr>
            </w:pPr>
          </w:p>
        </w:tc>
        <w:tc>
          <w:tcPr>
            <w:tcW w:w="1420" w:type="dxa"/>
            <w:vAlign w:val="center"/>
          </w:tcPr>
          <w:p w14:paraId="6709D50B">
            <w:pPr>
              <w:spacing w:line="360" w:lineRule="auto"/>
              <w:contextualSpacing/>
              <w:jc w:val="center"/>
              <w:rPr>
                <w:rFonts w:ascii="宋体" w:hAnsi="宋体"/>
                <w:color w:val="auto"/>
                <w:sz w:val="24"/>
                <w:szCs w:val="20"/>
              </w:rPr>
            </w:pPr>
          </w:p>
        </w:tc>
        <w:tc>
          <w:tcPr>
            <w:tcW w:w="1698" w:type="dxa"/>
            <w:vAlign w:val="center"/>
          </w:tcPr>
          <w:p w14:paraId="7FF4B00C">
            <w:pPr>
              <w:spacing w:line="360" w:lineRule="auto"/>
              <w:contextualSpacing/>
              <w:jc w:val="center"/>
              <w:rPr>
                <w:rFonts w:ascii="宋体" w:hAnsi="宋体"/>
                <w:color w:val="auto"/>
                <w:sz w:val="24"/>
                <w:szCs w:val="20"/>
              </w:rPr>
            </w:pPr>
          </w:p>
        </w:tc>
        <w:tc>
          <w:tcPr>
            <w:tcW w:w="1843" w:type="dxa"/>
            <w:vAlign w:val="center"/>
          </w:tcPr>
          <w:p w14:paraId="2686D49F">
            <w:pPr>
              <w:spacing w:line="360" w:lineRule="auto"/>
              <w:contextualSpacing/>
              <w:jc w:val="center"/>
              <w:rPr>
                <w:rFonts w:ascii="宋体" w:hAnsi="宋体"/>
                <w:color w:val="auto"/>
                <w:sz w:val="24"/>
                <w:szCs w:val="20"/>
              </w:rPr>
            </w:pPr>
          </w:p>
        </w:tc>
      </w:tr>
      <w:tr w14:paraId="2827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5867BC">
            <w:pPr>
              <w:spacing w:line="360" w:lineRule="auto"/>
              <w:contextualSpacing/>
              <w:jc w:val="center"/>
              <w:rPr>
                <w:rFonts w:ascii="宋体" w:hAnsi="宋体"/>
                <w:color w:val="auto"/>
                <w:sz w:val="24"/>
                <w:szCs w:val="20"/>
              </w:rPr>
            </w:pPr>
          </w:p>
        </w:tc>
        <w:tc>
          <w:tcPr>
            <w:tcW w:w="709" w:type="dxa"/>
            <w:vAlign w:val="center"/>
          </w:tcPr>
          <w:p w14:paraId="110974DF">
            <w:pPr>
              <w:spacing w:line="360" w:lineRule="auto"/>
              <w:contextualSpacing/>
              <w:jc w:val="center"/>
              <w:rPr>
                <w:rFonts w:ascii="宋体" w:hAnsi="宋体"/>
                <w:color w:val="auto"/>
                <w:sz w:val="24"/>
                <w:szCs w:val="20"/>
              </w:rPr>
            </w:pPr>
          </w:p>
        </w:tc>
        <w:tc>
          <w:tcPr>
            <w:tcW w:w="1701" w:type="dxa"/>
            <w:vAlign w:val="center"/>
          </w:tcPr>
          <w:p w14:paraId="5832C53D">
            <w:pPr>
              <w:spacing w:line="360" w:lineRule="auto"/>
              <w:contextualSpacing/>
              <w:jc w:val="center"/>
              <w:rPr>
                <w:rFonts w:ascii="宋体" w:hAnsi="宋体"/>
                <w:color w:val="auto"/>
                <w:sz w:val="24"/>
                <w:szCs w:val="20"/>
              </w:rPr>
            </w:pPr>
          </w:p>
        </w:tc>
        <w:tc>
          <w:tcPr>
            <w:tcW w:w="1420" w:type="dxa"/>
            <w:vAlign w:val="center"/>
          </w:tcPr>
          <w:p w14:paraId="7A562A2A">
            <w:pPr>
              <w:spacing w:line="360" w:lineRule="auto"/>
              <w:contextualSpacing/>
              <w:jc w:val="center"/>
              <w:rPr>
                <w:rFonts w:ascii="宋体" w:hAnsi="宋体"/>
                <w:color w:val="auto"/>
                <w:sz w:val="24"/>
                <w:szCs w:val="20"/>
              </w:rPr>
            </w:pPr>
          </w:p>
        </w:tc>
        <w:tc>
          <w:tcPr>
            <w:tcW w:w="1698" w:type="dxa"/>
            <w:vAlign w:val="center"/>
          </w:tcPr>
          <w:p w14:paraId="04008854">
            <w:pPr>
              <w:spacing w:line="360" w:lineRule="auto"/>
              <w:contextualSpacing/>
              <w:jc w:val="center"/>
              <w:rPr>
                <w:rFonts w:ascii="宋体" w:hAnsi="宋体"/>
                <w:color w:val="auto"/>
                <w:sz w:val="24"/>
                <w:szCs w:val="20"/>
              </w:rPr>
            </w:pPr>
          </w:p>
        </w:tc>
        <w:tc>
          <w:tcPr>
            <w:tcW w:w="1843" w:type="dxa"/>
            <w:vAlign w:val="center"/>
          </w:tcPr>
          <w:p w14:paraId="1B956AD1">
            <w:pPr>
              <w:spacing w:line="360" w:lineRule="auto"/>
              <w:contextualSpacing/>
              <w:jc w:val="center"/>
              <w:rPr>
                <w:rFonts w:ascii="宋体" w:hAnsi="宋体"/>
                <w:color w:val="auto"/>
                <w:sz w:val="24"/>
                <w:szCs w:val="20"/>
              </w:rPr>
            </w:pPr>
          </w:p>
        </w:tc>
      </w:tr>
    </w:tbl>
    <w:p w14:paraId="61F7C81C">
      <w:pPr>
        <w:spacing w:line="360" w:lineRule="auto"/>
        <w:contextualSpacing/>
        <w:jc w:val="left"/>
        <w:rPr>
          <w:rFonts w:ascii="宋体" w:hAnsi="宋体"/>
          <w:color w:val="auto"/>
          <w:sz w:val="24"/>
          <w:szCs w:val="20"/>
        </w:rPr>
      </w:pPr>
      <w:r>
        <w:rPr>
          <w:rFonts w:hint="eastAsia" w:ascii="宋体" w:hAnsi="宋体"/>
          <w:color w:val="auto"/>
          <w:sz w:val="24"/>
          <w:szCs w:val="20"/>
        </w:rPr>
        <w:t>注：</w:t>
      </w:r>
    </w:p>
    <w:p w14:paraId="00AB36E8">
      <w:pPr>
        <w:spacing w:line="360" w:lineRule="auto"/>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在填写时，如本表格不适合供应商的实际情况，可根据本表格式自行制表填写。</w:t>
      </w:r>
    </w:p>
    <w:p w14:paraId="148D2AC8">
      <w:pPr>
        <w:spacing w:line="360" w:lineRule="auto"/>
        <w:contextualSpacing/>
        <w:jc w:val="left"/>
        <w:rPr>
          <w:rFonts w:ascii="宋体" w:hAnsi="宋体"/>
          <w:color w:val="auto"/>
          <w:sz w:val="24"/>
          <w:szCs w:val="20"/>
        </w:rPr>
      </w:pPr>
      <w:r>
        <w:rPr>
          <w:rFonts w:ascii="宋体" w:hAnsi="宋体"/>
          <w:color w:val="auto"/>
          <w:sz w:val="24"/>
          <w:szCs w:val="20"/>
        </w:rPr>
        <w:t>2.</w:t>
      </w:r>
      <w:r>
        <w:rPr>
          <w:rFonts w:hint="eastAsia" w:ascii="宋体" w:hAnsi="宋体"/>
          <w:color w:val="auto"/>
          <w:sz w:val="24"/>
          <w:szCs w:val="20"/>
        </w:rPr>
        <w:t>供应商应当附本表所列证书的复印件并加盖供应商公章。</w:t>
      </w:r>
    </w:p>
    <w:p w14:paraId="2ECA1622">
      <w:pPr>
        <w:spacing w:line="360" w:lineRule="auto"/>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14:paraId="5732218B">
      <w:pPr>
        <w:spacing w:line="360" w:lineRule="auto"/>
        <w:contextualSpacing/>
        <w:jc w:val="left"/>
        <w:rPr>
          <w:rFonts w:ascii="宋体" w:hAnsi="宋体"/>
          <w:color w:val="auto"/>
          <w:sz w:val="24"/>
          <w:szCs w:val="20"/>
        </w:rPr>
      </w:pPr>
      <w:r>
        <w:rPr>
          <w:rFonts w:hint="eastAsia" w:ascii="宋体" w:hAnsi="宋体"/>
          <w:color w:val="auto"/>
          <w:spacing w:val="20"/>
          <w:sz w:val="24"/>
        </w:rPr>
        <w:t>供应商（盖公章）：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7324C660">
      <w:pPr>
        <w:snapToGrid w:val="0"/>
        <w:spacing w:before="50" w:after="156" w:afterLines="50"/>
        <w:jc w:val="left"/>
        <w:rPr>
          <w:rFonts w:ascii="宋体" w:hAnsi="宋体"/>
          <w:color w:val="auto"/>
          <w:sz w:val="24"/>
          <w:szCs w:val="20"/>
        </w:rPr>
      </w:pPr>
    </w:p>
    <w:p w14:paraId="0F470152">
      <w:pPr>
        <w:snapToGrid w:val="0"/>
        <w:spacing w:before="50" w:after="50" w:line="360" w:lineRule="auto"/>
        <w:ind w:right="-817" w:rightChars="-389" w:firstLine="5461" w:firstLineChars="1700"/>
        <w:rPr>
          <w:rFonts w:ascii="仿宋_GB2312" w:hAnsi="仿宋_GB2312" w:eastAsia="仿宋_GB2312" w:cs="仿宋_GB2312"/>
          <w:b/>
          <w:color w:val="auto"/>
          <w:sz w:val="32"/>
          <w:szCs w:val="32"/>
        </w:rPr>
      </w:pPr>
    </w:p>
    <w:p w14:paraId="17101FC3">
      <w:pPr>
        <w:spacing w:line="300" w:lineRule="auto"/>
        <w:rPr>
          <w:rFonts w:ascii="宋体" w:hAnsi="宋体"/>
          <w:color w:val="auto"/>
          <w:szCs w:val="21"/>
        </w:rPr>
      </w:pPr>
      <w:r>
        <w:rPr>
          <w:rFonts w:ascii="宋体" w:hAnsi="宋体"/>
          <w:b/>
          <w:bCs/>
          <w:color w:val="auto"/>
          <w:sz w:val="24"/>
        </w:rPr>
        <w:br w:type="page"/>
      </w:r>
      <w:r>
        <w:rPr>
          <w:rFonts w:hint="eastAsia" w:ascii="宋体" w:hAnsi="宋体"/>
          <w:b/>
          <w:bCs/>
          <w:color w:val="auto"/>
          <w:sz w:val="24"/>
        </w:rPr>
        <w:t>其他文书、文件格式</w:t>
      </w:r>
    </w:p>
    <w:p w14:paraId="390957B4">
      <w:pPr>
        <w:jc w:val="center"/>
        <w:rPr>
          <w:rFonts w:ascii="方正小标宋简体" w:hAnsi="方正小标宋简体" w:eastAsia="方正小标宋简体" w:cs="方正小标宋简体"/>
          <w:color w:val="auto"/>
          <w:sz w:val="44"/>
          <w:szCs w:val="44"/>
        </w:rPr>
      </w:pPr>
      <w:bookmarkStart w:id="165" w:name="_Toc71365926"/>
      <w:r>
        <w:rPr>
          <w:rFonts w:hint="eastAsia" w:ascii="方正小标宋简体" w:hAnsi="方正小标宋简体" w:eastAsia="方正小标宋简体" w:cs="方正小标宋简体"/>
          <w:color w:val="auto"/>
          <w:sz w:val="44"/>
          <w:szCs w:val="44"/>
        </w:rPr>
        <w:t>中小企业声明函（服务）</w:t>
      </w:r>
      <w:bookmarkEnd w:id="165"/>
    </w:p>
    <w:p w14:paraId="72ADC22D">
      <w:pPr>
        <w:pStyle w:val="9"/>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服务全部由符合政策要求的中小企业承接。相关企业（含联合体中的中小企业、签订分包意向协议的中小企业）的具体情况如下：</w:t>
      </w:r>
    </w:p>
    <w:p w14:paraId="493D7669">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50A43F06">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588335D9">
      <w:pPr>
        <w:pStyle w:val="9"/>
        <w:spacing w:before="34" w:line="500" w:lineRule="exact"/>
        <w:ind w:right="142" w:firstLine="705" w:firstLineChars="294"/>
        <w:rPr>
          <w:rFonts w:ascii="宋体" w:hAnsi="宋体"/>
          <w:color w:val="auto"/>
          <w:sz w:val="24"/>
        </w:rPr>
      </w:pPr>
      <w:r>
        <w:rPr>
          <w:rFonts w:ascii="宋体" w:hAnsi="宋体"/>
          <w:color w:val="auto"/>
          <w:sz w:val="24"/>
        </w:rPr>
        <w:t xml:space="preserve">…… </w:t>
      </w:r>
    </w:p>
    <w:p w14:paraId="6523BE8D">
      <w:pPr>
        <w:pStyle w:val="9"/>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14:paraId="43D94478">
      <w:pPr>
        <w:pStyle w:val="9"/>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14:paraId="7A47826A">
      <w:pPr>
        <w:pStyle w:val="9"/>
        <w:spacing w:before="56" w:line="500" w:lineRule="exact"/>
        <w:ind w:right="1808" w:firstLine="705" w:firstLineChars="294"/>
        <w:rPr>
          <w:rFonts w:ascii="宋体" w:hAnsi="宋体"/>
          <w:color w:val="auto"/>
          <w:sz w:val="24"/>
        </w:rPr>
      </w:pPr>
    </w:p>
    <w:p w14:paraId="478CD28D">
      <w:pPr>
        <w:pStyle w:val="9"/>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14:paraId="3863B1A6">
      <w:pPr>
        <w:pStyle w:val="9"/>
        <w:spacing w:before="56" w:line="500" w:lineRule="exact"/>
        <w:ind w:right="1808" w:firstLine="5625" w:firstLineChars="2344"/>
        <w:rPr>
          <w:rFonts w:ascii="宋体" w:hAnsi="宋体"/>
          <w:color w:val="auto"/>
          <w:sz w:val="24"/>
        </w:rPr>
      </w:pPr>
      <w:r>
        <w:rPr>
          <w:rFonts w:ascii="宋体" w:hAnsi="宋体"/>
          <w:color w:val="auto"/>
          <w:sz w:val="24"/>
        </w:rPr>
        <w:t>日 期：</w:t>
      </w:r>
    </w:p>
    <w:p w14:paraId="69791FC1">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D707DEF">
      <w:pPr>
        <w:pStyle w:val="12"/>
        <w:jc w:val="left"/>
        <w:rPr>
          <w:rFonts w:ascii="Arial Unicode MS" w:hAnsi="Arial Unicode MS" w:eastAsia="Arial Unicode MS" w:cs="Arial Unicode MS"/>
          <w:color w:val="auto"/>
          <w:sz w:val="32"/>
          <w:szCs w:val="32"/>
        </w:rPr>
      </w:pPr>
      <w:r>
        <w:rPr>
          <w:rFonts w:hAnsi="宋体"/>
          <w:color w:val="auto"/>
          <w:sz w:val="24"/>
        </w:rPr>
        <w:br w:type="page"/>
      </w:r>
      <w:r>
        <w:rPr>
          <w:rFonts w:hint="eastAsia" w:ascii="Arial Unicode MS" w:hAnsi="Arial Unicode MS" w:eastAsia="Arial Unicode MS" w:cs="Arial Unicode MS"/>
          <w:color w:val="auto"/>
          <w:sz w:val="32"/>
          <w:szCs w:val="32"/>
        </w:rPr>
        <w:t>附：</w:t>
      </w:r>
    </w:p>
    <w:p w14:paraId="5642EF64">
      <w:pPr>
        <w:jc w:val="center"/>
        <w:rPr>
          <w:rFonts w:ascii="宋体" w:hAnsi="宋体" w:cs="Arial Unicode MS"/>
          <w:color w:val="auto"/>
          <w:sz w:val="44"/>
          <w:szCs w:val="44"/>
        </w:rPr>
      </w:pPr>
      <w:r>
        <w:rPr>
          <w:rFonts w:hint="eastAsia" w:ascii="宋体" w:hAnsi="宋体" w:cs="Arial Unicode MS"/>
          <w:color w:val="auto"/>
          <w:sz w:val="44"/>
          <w:szCs w:val="44"/>
        </w:rPr>
        <w:t>中小微企业划型标准</w:t>
      </w:r>
    </w:p>
    <w:p w14:paraId="12EC8E3A">
      <w:pPr>
        <w:ind w:left="1871"/>
        <w:rPr>
          <w:rFonts w:ascii="宋体" w:hAnsi="宋体" w:cs="Arial Unicode MS"/>
          <w:color w:val="auto"/>
          <w:szCs w:val="21"/>
        </w:rPr>
      </w:pPr>
    </w:p>
    <w:tbl>
      <w:tblPr>
        <w:tblStyle w:val="19"/>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0B6728B3">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3AA900B">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0C90E7C7">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7739D3CE">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25EA4F25">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14:paraId="7E4A20B6">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925" w:type="dxa"/>
            <w:tcBorders>
              <w:top w:val="single" w:color="auto" w:sz="4" w:space="0"/>
              <w:left w:val="nil"/>
              <w:bottom w:val="single" w:color="auto" w:sz="4" w:space="0"/>
              <w:right w:val="single" w:color="auto" w:sz="4" w:space="0"/>
            </w:tcBorders>
            <w:vAlign w:val="center"/>
          </w:tcPr>
          <w:p w14:paraId="78D54E31">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14:paraId="2B6772B1">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1FB3565C">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4ADFCEF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4CE7109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4D3701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1FF8A8B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50≤Y＜500</w:t>
            </w:r>
          </w:p>
        </w:tc>
        <w:tc>
          <w:tcPr>
            <w:tcW w:w="925" w:type="dxa"/>
            <w:tcBorders>
              <w:top w:val="nil"/>
              <w:left w:val="nil"/>
              <w:bottom w:val="single" w:color="auto" w:sz="4" w:space="0"/>
              <w:right w:val="single" w:color="auto" w:sz="4" w:space="0"/>
            </w:tcBorders>
            <w:vAlign w:val="center"/>
          </w:tcPr>
          <w:p w14:paraId="527F9C9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426B6BB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1A4454C">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5D20762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6A11C00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9886B2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0F7B5B1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7342DCD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112A4A1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DC50781">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7A73CC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A46E7A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364D04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2000≤Y＜40000</w:t>
            </w:r>
          </w:p>
        </w:tc>
        <w:tc>
          <w:tcPr>
            <w:tcW w:w="1440" w:type="dxa"/>
            <w:tcBorders>
              <w:top w:val="nil"/>
              <w:left w:val="nil"/>
              <w:bottom w:val="single" w:color="auto" w:sz="4" w:space="0"/>
              <w:right w:val="single" w:color="auto" w:sz="4" w:space="0"/>
            </w:tcBorders>
            <w:vAlign w:val="center"/>
          </w:tcPr>
          <w:p w14:paraId="46B1268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300≤Y＜2000</w:t>
            </w:r>
          </w:p>
        </w:tc>
        <w:tc>
          <w:tcPr>
            <w:tcW w:w="925" w:type="dxa"/>
            <w:tcBorders>
              <w:top w:val="nil"/>
              <w:left w:val="nil"/>
              <w:bottom w:val="single" w:color="auto" w:sz="4" w:space="0"/>
              <w:right w:val="single" w:color="auto" w:sz="4" w:space="0"/>
            </w:tcBorders>
            <w:vAlign w:val="center"/>
          </w:tcPr>
          <w:p w14:paraId="29CDFF7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052A353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8A3DC43">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21E591C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5E8D71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8296F9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6000≤Y＜80000</w:t>
            </w:r>
          </w:p>
        </w:tc>
        <w:tc>
          <w:tcPr>
            <w:tcW w:w="1440" w:type="dxa"/>
            <w:tcBorders>
              <w:top w:val="nil"/>
              <w:left w:val="nil"/>
              <w:bottom w:val="single" w:color="auto" w:sz="4" w:space="0"/>
              <w:right w:val="single" w:color="auto" w:sz="4" w:space="0"/>
            </w:tcBorders>
            <w:vAlign w:val="center"/>
          </w:tcPr>
          <w:p w14:paraId="61EF1FF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300≤Y＜6000</w:t>
            </w:r>
          </w:p>
        </w:tc>
        <w:tc>
          <w:tcPr>
            <w:tcW w:w="925" w:type="dxa"/>
            <w:tcBorders>
              <w:top w:val="nil"/>
              <w:left w:val="nil"/>
              <w:bottom w:val="single" w:color="auto" w:sz="4" w:space="0"/>
              <w:right w:val="single" w:color="auto" w:sz="4" w:space="0"/>
            </w:tcBorders>
            <w:vAlign w:val="center"/>
          </w:tcPr>
          <w:p w14:paraId="53C5075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0384938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1AD51B7">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D71834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142A6C4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04B18A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5000≤Z＜80000</w:t>
            </w:r>
          </w:p>
        </w:tc>
        <w:tc>
          <w:tcPr>
            <w:tcW w:w="1440" w:type="dxa"/>
            <w:tcBorders>
              <w:top w:val="nil"/>
              <w:left w:val="nil"/>
              <w:bottom w:val="single" w:color="auto" w:sz="4" w:space="0"/>
              <w:right w:val="single" w:color="auto" w:sz="4" w:space="0"/>
            </w:tcBorders>
            <w:vAlign w:val="center"/>
          </w:tcPr>
          <w:p w14:paraId="37E80B6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300≤Z＜5000</w:t>
            </w:r>
          </w:p>
        </w:tc>
        <w:tc>
          <w:tcPr>
            <w:tcW w:w="925" w:type="dxa"/>
            <w:tcBorders>
              <w:top w:val="nil"/>
              <w:left w:val="nil"/>
              <w:bottom w:val="single" w:color="auto" w:sz="4" w:space="0"/>
              <w:right w:val="single" w:color="auto" w:sz="4" w:space="0"/>
            </w:tcBorders>
            <w:vAlign w:val="center"/>
          </w:tcPr>
          <w:p w14:paraId="55BFB59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Z＜300</w:t>
            </w:r>
          </w:p>
        </w:tc>
      </w:tr>
      <w:tr w14:paraId="5AFB750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204493D">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3FF705B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7DC550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1A185CC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20≤X＜200</w:t>
            </w:r>
          </w:p>
        </w:tc>
        <w:tc>
          <w:tcPr>
            <w:tcW w:w="1440" w:type="dxa"/>
            <w:tcBorders>
              <w:top w:val="nil"/>
              <w:left w:val="nil"/>
              <w:bottom w:val="single" w:color="auto" w:sz="4" w:space="0"/>
              <w:right w:val="single" w:color="auto" w:sz="4" w:space="0"/>
            </w:tcBorders>
            <w:vAlign w:val="center"/>
          </w:tcPr>
          <w:p w14:paraId="4DCA3AB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5≤X＜20</w:t>
            </w:r>
          </w:p>
        </w:tc>
        <w:tc>
          <w:tcPr>
            <w:tcW w:w="925" w:type="dxa"/>
            <w:tcBorders>
              <w:top w:val="nil"/>
              <w:left w:val="nil"/>
              <w:bottom w:val="single" w:color="auto" w:sz="4" w:space="0"/>
              <w:right w:val="single" w:color="auto" w:sz="4" w:space="0"/>
            </w:tcBorders>
            <w:vAlign w:val="center"/>
          </w:tcPr>
          <w:p w14:paraId="0085E36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X＜5</w:t>
            </w:r>
          </w:p>
        </w:tc>
      </w:tr>
      <w:tr w14:paraId="6BFA2D1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DB7BE40">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A25415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87B2D0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658B8E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5000≤Y＜40000</w:t>
            </w:r>
          </w:p>
        </w:tc>
        <w:tc>
          <w:tcPr>
            <w:tcW w:w="1440" w:type="dxa"/>
            <w:tcBorders>
              <w:top w:val="nil"/>
              <w:left w:val="nil"/>
              <w:bottom w:val="single" w:color="auto" w:sz="4" w:space="0"/>
              <w:right w:val="single" w:color="auto" w:sz="4" w:space="0"/>
            </w:tcBorders>
            <w:vAlign w:val="center"/>
          </w:tcPr>
          <w:p w14:paraId="6E427B9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925" w:type="dxa"/>
            <w:tcBorders>
              <w:top w:val="nil"/>
              <w:left w:val="nil"/>
              <w:bottom w:val="single" w:color="auto" w:sz="4" w:space="0"/>
              <w:right w:val="single" w:color="auto" w:sz="4" w:space="0"/>
            </w:tcBorders>
            <w:vAlign w:val="center"/>
          </w:tcPr>
          <w:p w14:paraId="6BC2849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Y＜1000</w:t>
            </w:r>
          </w:p>
        </w:tc>
      </w:tr>
      <w:tr w14:paraId="51DC150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4060D4D">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62C8066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9723C0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36F2E1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50≤X＜300</w:t>
            </w:r>
          </w:p>
        </w:tc>
        <w:tc>
          <w:tcPr>
            <w:tcW w:w="1440" w:type="dxa"/>
            <w:tcBorders>
              <w:top w:val="nil"/>
              <w:left w:val="nil"/>
              <w:bottom w:val="single" w:color="auto" w:sz="4" w:space="0"/>
              <w:right w:val="single" w:color="auto" w:sz="4" w:space="0"/>
            </w:tcBorders>
            <w:vAlign w:val="center"/>
          </w:tcPr>
          <w:p w14:paraId="69F2354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10≤X＜50</w:t>
            </w:r>
          </w:p>
        </w:tc>
        <w:tc>
          <w:tcPr>
            <w:tcW w:w="925" w:type="dxa"/>
            <w:tcBorders>
              <w:top w:val="nil"/>
              <w:left w:val="nil"/>
              <w:bottom w:val="single" w:color="auto" w:sz="4" w:space="0"/>
              <w:right w:val="single" w:color="auto" w:sz="4" w:space="0"/>
            </w:tcBorders>
            <w:vAlign w:val="center"/>
          </w:tcPr>
          <w:p w14:paraId="041679E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5EC42E1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116C883">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B020A2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56717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7696BA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7FEF4CD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100≤Y＜500</w:t>
            </w:r>
          </w:p>
        </w:tc>
        <w:tc>
          <w:tcPr>
            <w:tcW w:w="925" w:type="dxa"/>
            <w:tcBorders>
              <w:top w:val="nil"/>
              <w:left w:val="nil"/>
              <w:bottom w:val="single" w:color="auto" w:sz="4" w:space="0"/>
              <w:right w:val="single" w:color="auto" w:sz="4" w:space="0"/>
            </w:tcBorders>
            <w:vAlign w:val="center"/>
          </w:tcPr>
          <w:p w14:paraId="2587CD2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F31D3B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14CA11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3CE3044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9F10F3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27F2175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62BCFF0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5B746D6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2E078B2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4C1B674">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6BD7CB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D73013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B3F50A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3000≤Y＜30000</w:t>
            </w:r>
          </w:p>
        </w:tc>
        <w:tc>
          <w:tcPr>
            <w:tcW w:w="1440" w:type="dxa"/>
            <w:tcBorders>
              <w:top w:val="nil"/>
              <w:left w:val="nil"/>
              <w:bottom w:val="single" w:color="auto" w:sz="4" w:space="0"/>
              <w:right w:val="single" w:color="auto" w:sz="4" w:space="0"/>
            </w:tcBorders>
            <w:vAlign w:val="center"/>
          </w:tcPr>
          <w:p w14:paraId="2A5EDBB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200≤Y＜3000</w:t>
            </w:r>
          </w:p>
        </w:tc>
        <w:tc>
          <w:tcPr>
            <w:tcW w:w="925" w:type="dxa"/>
            <w:tcBorders>
              <w:top w:val="nil"/>
              <w:left w:val="nil"/>
              <w:bottom w:val="single" w:color="auto" w:sz="4" w:space="0"/>
              <w:right w:val="single" w:color="auto" w:sz="4" w:space="0"/>
            </w:tcBorders>
            <w:vAlign w:val="center"/>
          </w:tcPr>
          <w:p w14:paraId="1EC44C7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w:t>
            </w:r>
          </w:p>
        </w:tc>
      </w:tr>
      <w:tr w14:paraId="64246F5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EE4A4F3">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550F700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DC0C10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36B129D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w:t>
            </w:r>
          </w:p>
        </w:tc>
        <w:tc>
          <w:tcPr>
            <w:tcW w:w="1440" w:type="dxa"/>
            <w:tcBorders>
              <w:top w:val="nil"/>
              <w:left w:val="nil"/>
              <w:bottom w:val="single" w:color="auto" w:sz="4" w:space="0"/>
              <w:right w:val="single" w:color="auto" w:sz="4" w:space="0"/>
            </w:tcBorders>
            <w:vAlign w:val="center"/>
          </w:tcPr>
          <w:p w14:paraId="27352DC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20≤X＜100</w:t>
            </w:r>
          </w:p>
        </w:tc>
        <w:tc>
          <w:tcPr>
            <w:tcW w:w="925" w:type="dxa"/>
            <w:tcBorders>
              <w:top w:val="nil"/>
              <w:left w:val="nil"/>
              <w:bottom w:val="single" w:color="auto" w:sz="4" w:space="0"/>
              <w:right w:val="single" w:color="auto" w:sz="4" w:space="0"/>
            </w:tcBorders>
            <w:vAlign w:val="center"/>
          </w:tcPr>
          <w:p w14:paraId="349755E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29467E3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401CF9C">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915F35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5D8191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8014F4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1000≤Y＜30000</w:t>
            </w:r>
          </w:p>
        </w:tc>
        <w:tc>
          <w:tcPr>
            <w:tcW w:w="1440" w:type="dxa"/>
            <w:tcBorders>
              <w:top w:val="nil"/>
              <w:left w:val="nil"/>
              <w:bottom w:val="single" w:color="auto" w:sz="4" w:space="0"/>
              <w:right w:val="single" w:color="auto" w:sz="4" w:space="0"/>
            </w:tcBorders>
            <w:vAlign w:val="center"/>
          </w:tcPr>
          <w:p w14:paraId="790575F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31C8D3A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7006EC6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1794DE1">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2D567F8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14884F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491C7B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708DCB0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3B6D66C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215625F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454DB4B">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5F6E9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34A88E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24CEC5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2000≤Y＜30000</w:t>
            </w:r>
          </w:p>
        </w:tc>
        <w:tc>
          <w:tcPr>
            <w:tcW w:w="1440" w:type="dxa"/>
            <w:tcBorders>
              <w:top w:val="nil"/>
              <w:left w:val="nil"/>
              <w:bottom w:val="single" w:color="auto" w:sz="4" w:space="0"/>
              <w:right w:val="single" w:color="auto" w:sz="4" w:space="0"/>
            </w:tcBorders>
            <w:vAlign w:val="center"/>
          </w:tcPr>
          <w:p w14:paraId="249EC39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377032E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663D641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0A104A9">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24DA34F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96F905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A634B2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1CCF61F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2727544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509F5D0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FDF6923">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6A174C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0D08B1A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4BA43E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5631827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5EFFC7A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138EE5E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8CD7197">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2ABABAF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AC644B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093D3CB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075E905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66B707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522B420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6E41AC5">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AB8C18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BBB6F6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AA2F63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6586BCC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148743C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47B4CEE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AADD40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50A1257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8A54EB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995B3C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100≤X＜2000</w:t>
            </w:r>
          </w:p>
        </w:tc>
        <w:tc>
          <w:tcPr>
            <w:tcW w:w="1440" w:type="dxa"/>
            <w:tcBorders>
              <w:top w:val="nil"/>
              <w:left w:val="nil"/>
              <w:bottom w:val="single" w:color="auto" w:sz="4" w:space="0"/>
              <w:right w:val="single" w:color="auto" w:sz="4" w:space="0"/>
            </w:tcBorders>
            <w:vAlign w:val="center"/>
          </w:tcPr>
          <w:p w14:paraId="4246B16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615EB7F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4F13EFA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B64B309">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FDC8D0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67D671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1C0FCE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1000≤Y＜100000</w:t>
            </w:r>
          </w:p>
        </w:tc>
        <w:tc>
          <w:tcPr>
            <w:tcW w:w="1440" w:type="dxa"/>
            <w:tcBorders>
              <w:top w:val="nil"/>
              <w:left w:val="nil"/>
              <w:bottom w:val="single" w:color="auto" w:sz="4" w:space="0"/>
              <w:right w:val="single" w:color="auto" w:sz="4" w:space="0"/>
            </w:tcBorders>
            <w:vAlign w:val="center"/>
          </w:tcPr>
          <w:p w14:paraId="5BC24DE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1AE83F9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0C96F46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C430829">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468DD83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8EF502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6369749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7C04EB1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332C9A0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6579011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66B1C2F">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1908F3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0FAF52F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730253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w:t>
            </w:r>
          </w:p>
        </w:tc>
        <w:tc>
          <w:tcPr>
            <w:tcW w:w="1440" w:type="dxa"/>
            <w:tcBorders>
              <w:top w:val="nil"/>
              <w:left w:val="nil"/>
              <w:bottom w:val="single" w:color="auto" w:sz="4" w:space="0"/>
              <w:right w:val="single" w:color="auto" w:sz="4" w:space="0"/>
            </w:tcBorders>
            <w:vAlign w:val="center"/>
          </w:tcPr>
          <w:p w14:paraId="54397A0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50≤Y＜1000</w:t>
            </w:r>
          </w:p>
        </w:tc>
        <w:tc>
          <w:tcPr>
            <w:tcW w:w="925" w:type="dxa"/>
            <w:tcBorders>
              <w:top w:val="nil"/>
              <w:left w:val="nil"/>
              <w:bottom w:val="single" w:color="auto" w:sz="4" w:space="0"/>
              <w:right w:val="single" w:color="auto" w:sz="4" w:space="0"/>
            </w:tcBorders>
            <w:vAlign w:val="center"/>
          </w:tcPr>
          <w:p w14:paraId="3CA716B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284ED84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FE0483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26E6857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D3AE9A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6A1C6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1000≤Y＜200000</w:t>
            </w:r>
          </w:p>
        </w:tc>
        <w:tc>
          <w:tcPr>
            <w:tcW w:w="1440" w:type="dxa"/>
            <w:tcBorders>
              <w:top w:val="nil"/>
              <w:left w:val="nil"/>
              <w:bottom w:val="single" w:color="auto" w:sz="4" w:space="0"/>
              <w:right w:val="single" w:color="auto" w:sz="4" w:space="0"/>
            </w:tcBorders>
            <w:vAlign w:val="center"/>
          </w:tcPr>
          <w:p w14:paraId="72C1B36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100≤X＜1000</w:t>
            </w:r>
          </w:p>
        </w:tc>
        <w:tc>
          <w:tcPr>
            <w:tcW w:w="925" w:type="dxa"/>
            <w:tcBorders>
              <w:top w:val="nil"/>
              <w:left w:val="nil"/>
              <w:bottom w:val="single" w:color="auto" w:sz="4" w:space="0"/>
              <w:right w:val="single" w:color="auto" w:sz="4" w:space="0"/>
            </w:tcBorders>
            <w:vAlign w:val="center"/>
          </w:tcPr>
          <w:p w14:paraId="783A380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56C5588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E6B6C4">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3DE1445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6958989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7A1E5A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5000≤Z＜10000</w:t>
            </w:r>
          </w:p>
        </w:tc>
        <w:tc>
          <w:tcPr>
            <w:tcW w:w="1440" w:type="dxa"/>
            <w:tcBorders>
              <w:top w:val="nil"/>
              <w:left w:val="nil"/>
              <w:bottom w:val="single" w:color="auto" w:sz="4" w:space="0"/>
              <w:right w:val="single" w:color="auto" w:sz="4" w:space="0"/>
            </w:tcBorders>
            <w:vAlign w:val="center"/>
          </w:tcPr>
          <w:p w14:paraId="03F0D6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2000≤Y＜5000</w:t>
            </w:r>
          </w:p>
        </w:tc>
        <w:tc>
          <w:tcPr>
            <w:tcW w:w="925" w:type="dxa"/>
            <w:tcBorders>
              <w:top w:val="nil"/>
              <w:left w:val="nil"/>
              <w:bottom w:val="single" w:color="auto" w:sz="4" w:space="0"/>
              <w:right w:val="single" w:color="auto" w:sz="4" w:space="0"/>
            </w:tcBorders>
            <w:vAlign w:val="center"/>
          </w:tcPr>
          <w:p w14:paraId="5A0386B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Y＜2000</w:t>
            </w:r>
          </w:p>
        </w:tc>
      </w:tr>
      <w:tr w14:paraId="705BB2E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633E4BE">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7A6AB90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F079D3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191E198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7C523C9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925" w:type="dxa"/>
            <w:tcBorders>
              <w:top w:val="nil"/>
              <w:left w:val="nil"/>
              <w:bottom w:val="single" w:color="auto" w:sz="4" w:space="0"/>
              <w:right w:val="single" w:color="auto" w:sz="4" w:space="0"/>
            </w:tcBorders>
            <w:vAlign w:val="center"/>
          </w:tcPr>
          <w:p w14:paraId="4FAED95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1432698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373B55">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247EDA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0EC8F6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17C474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440" w:type="dxa"/>
            <w:tcBorders>
              <w:top w:val="nil"/>
              <w:left w:val="nil"/>
              <w:bottom w:val="single" w:color="auto" w:sz="4" w:space="0"/>
              <w:right w:val="single" w:color="auto" w:sz="4" w:space="0"/>
            </w:tcBorders>
            <w:vAlign w:val="center"/>
          </w:tcPr>
          <w:p w14:paraId="0A7536E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500≤Y＜1000</w:t>
            </w:r>
          </w:p>
        </w:tc>
        <w:tc>
          <w:tcPr>
            <w:tcW w:w="925" w:type="dxa"/>
            <w:tcBorders>
              <w:top w:val="nil"/>
              <w:left w:val="nil"/>
              <w:bottom w:val="single" w:color="auto" w:sz="4" w:space="0"/>
              <w:right w:val="single" w:color="auto" w:sz="4" w:space="0"/>
            </w:tcBorders>
            <w:vAlign w:val="center"/>
          </w:tcPr>
          <w:p w14:paraId="23A0F57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Y＜500</w:t>
            </w:r>
          </w:p>
        </w:tc>
      </w:tr>
      <w:tr w14:paraId="2AC5E7D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1D1D39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22C712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E7779E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4146418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2D44E03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6CCA76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759F53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4DD51DC">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FFB36D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486FC74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0A9353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8000≤Z＜120000</w:t>
            </w:r>
          </w:p>
        </w:tc>
        <w:tc>
          <w:tcPr>
            <w:tcW w:w="1440" w:type="dxa"/>
            <w:tcBorders>
              <w:top w:val="nil"/>
              <w:left w:val="nil"/>
              <w:bottom w:val="single" w:color="auto" w:sz="4" w:space="0"/>
              <w:right w:val="single" w:color="auto" w:sz="4" w:space="0"/>
            </w:tcBorders>
            <w:vAlign w:val="center"/>
          </w:tcPr>
          <w:p w14:paraId="3541AE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100≤Z＜8000</w:t>
            </w:r>
          </w:p>
        </w:tc>
        <w:tc>
          <w:tcPr>
            <w:tcW w:w="925" w:type="dxa"/>
            <w:tcBorders>
              <w:top w:val="nil"/>
              <w:left w:val="nil"/>
              <w:bottom w:val="single" w:color="auto" w:sz="4" w:space="0"/>
              <w:right w:val="single" w:color="auto" w:sz="4" w:space="0"/>
            </w:tcBorders>
            <w:vAlign w:val="center"/>
          </w:tcPr>
          <w:p w14:paraId="7681EB0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41A9C3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1BB9B663">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0634D3D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B90455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AA7583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CB4E86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572B92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bl>
    <w:p w14:paraId="28529833">
      <w:pPr>
        <w:spacing w:line="360" w:lineRule="auto"/>
        <w:ind w:firstLine="525" w:firstLineChars="250"/>
        <w:rPr>
          <w:rFonts w:ascii="仿宋_GB2312" w:hAnsi="仿宋" w:eastAsia="仿宋_GB2312"/>
          <w:color w:val="auto"/>
          <w:szCs w:val="21"/>
        </w:rPr>
      </w:pPr>
    </w:p>
    <w:p w14:paraId="0E844410">
      <w:pPr>
        <w:spacing w:line="360" w:lineRule="auto"/>
        <w:ind w:firstLine="525" w:firstLineChars="250"/>
        <w:rPr>
          <w:rFonts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D7C383D">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残疾人福利性单位声明函</w:t>
      </w:r>
    </w:p>
    <w:p w14:paraId="159AE658">
      <w:pPr>
        <w:spacing w:line="360" w:lineRule="auto"/>
        <w:contextualSpacing/>
        <w:rPr>
          <w:rFonts w:ascii="仿宋_GB2312" w:hAnsi="仿宋_GB2312" w:eastAsia="仿宋_GB2312" w:cs="仿宋_GB2312"/>
          <w:color w:val="auto"/>
          <w:sz w:val="32"/>
          <w:szCs w:val="32"/>
        </w:rPr>
      </w:pPr>
    </w:p>
    <w:p w14:paraId="194BFC71">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u w:val="single"/>
        </w:rPr>
        <w:t xml:space="preserve">       </w:t>
      </w:r>
      <w:r>
        <w:rPr>
          <w:rFonts w:hint="eastAsia" w:ascii="宋体" w:hAnsi="宋体" w:cs="仿宋_GB2312"/>
          <w:color w:val="auto"/>
          <w:sz w:val="24"/>
        </w:rPr>
        <w:t>单位的</w:t>
      </w:r>
      <w:r>
        <w:rPr>
          <w:rFonts w:hint="eastAsia" w:ascii="宋体" w:hAnsi="宋体" w:cs="仿宋_GB2312"/>
          <w:color w:val="auto"/>
          <w:sz w:val="24"/>
          <w:u w:val="single"/>
        </w:rPr>
        <w:t xml:space="preserve">        </w:t>
      </w:r>
      <w:r>
        <w:rPr>
          <w:rFonts w:hint="eastAsia" w:ascii="宋体" w:hAnsi="宋体" w:cs="仿宋_GB2312"/>
          <w:color w:val="auto"/>
          <w:sz w:val="24"/>
        </w:rPr>
        <w:t>项目采购活动提供本单位制造的货物（由本单位承担工程/提供服务），或者提供其他残疾人福利性单位制造的货物（不包括使用非残疾人福利性单位注册商标的货物）。</w:t>
      </w:r>
    </w:p>
    <w:p w14:paraId="4073585F">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14:paraId="151AEFD7">
      <w:pPr>
        <w:spacing w:line="360" w:lineRule="auto"/>
        <w:contextualSpacing/>
        <w:rPr>
          <w:rFonts w:ascii="宋体" w:hAnsi="宋体" w:cs="仿宋_GB2312"/>
          <w:color w:val="auto"/>
          <w:sz w:val="24"/>
        </w:rPr>
      </w:pPr>
    </w:p>
    <w:p w14:paraId="5C2C7AC9">
      <w:pPr>
        <w:spacing w:line="360" w:lineRule="auto"/>
        <w:contextualSpacing/>
        <w:rPr>
          <w:rFonts w:ascii="宋体" w:hAnsi="宋体" w:cs="仿宋_GB2312"/>
          <w:color w:val="auto"/>
          <w:sz w:val="24"/>
        </w:rPr>
      </w:pPr>
    </w:p>
    <w:p w14:paraId="709DB53A">
      <w:pPr>
        <w:spacing w:line="360" w:lineRule="auto"/>
        <w:contextualSpacing/>
        <w:rPr>
          <w:rFonts w:ascii="宋体" w:hAnsi="宋体" w:cs="仿宋_GB2312"/>
          <w:color w:val="auto"/>
          <w:sz w:val="24"/>
        </w:rPr>
      </w:pPr>
    </w:p>
    <w:p w14:paraId="509F507D">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14:paraId="6630E1B9">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14:paraId="180640E4">
      <w:pPr>
        <w:spacing w:line="360" w:lineRule="auto"/>
        <w:contextualSpacing/>
        <w:rPr>
          <w:rFonts w:ascii="宋体" w:hAnsi="宋体" w:cs="仿宋_GB2312"/>
          <w:color w:val="auto"/>
          <w:sz w:val="24"/>
        </w:rPr>
      </w:pPr>
    </w:p>
    <w:p w14:paraId="76F5F8DC">
      <w:pPr>
        <w:spacing w:line="360" w:lineRule="auto"/>
        <w:contextualSpacing/>
        <w:rPr>
          <w:rFonts w:ascii="宋体" w:hAnsi="宋体" w:cs="仿宋_GB2312"/>
          <w:color w:val="auto"/>
          <w:sz w:val="24"/>
        </w:rPr>
      </w:pPr>
    </w:p>
    <w:p w14:paraId="09CDBC05">
      <w:pPr>
        <w:spacing w:line="360" w:lineRule="auto"/>
        <w:contextualSpacing/>
        <w:rPr>
          <w:rFonts w:ascii="宋体" w:hAnsi="宋体" w:cs="仿宋_GB2312"/>
          <w:color w:val="auto"/>
          <w:sz w:val="24"/>
        </w:rPr>
      </w:pPr>
    </w:p>
    <w:p w14:paraId="332FC715">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4F66A647">
      <w:pPr>
        <w:spacing w:line="360" w:lineRule="auto"/>
        <w:jc w:val="center"/>
        <w:rPr>
          <w:rFonts w:ascii="宋体" w:hAnsi="宋体" w:cs="仿宋_GB2312"/>
          <w:color w:val="auto"/>
          <w:sz w:val="24"/>
        </w:rPr>
      </w:pPr>
      <w:r>
        <w:rPr>
          <w:rFonts w:ascii="宋体" w:hAnsi="宋体" w:cs="仿宋_GB2312"/>
          <w:color w:val="auto"/>
          <w:sz w:val="24"/>
        </w:rPr>
        <w:br w:type="page"/>
      </w:r>
    </w:p>
    <w:p w14:paraId="6EB962ED">
      <w:pPr>
        <w:spacing w:line="360" w:lineRule="auto"/>
        <w:jc w:val="center"/>
        <w:rPr>
          <w:rFonts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w:t>
      </w:r>
      <w:r>
        <w:rPr>
          <w:rFonts w:hint="eastAsia" w:ascii="方正小标宋简体" w:hAnsi="方正小标宋简体" w:eastAsia="方正小标宋简体" w:cs="方正小标宋简体"/>
          <w:color w:val="auto"/>
          <w:sz w:val="28"/>
          <w:szCs w:val="28"/>
        </w:rPr>
        <w:t>（格式）</w:t>
      </w:r>
    </w:p>
    <w:p w14:paraId="62B0D7C5">
      <w:pPr>
        <w:pStyle w:val="12"/>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481BB71E">
      <w:pPr>
        <w:pStyle w:val="12"/>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4A782B5A">
      <w:pPr>
        <w:pStyle w:val="12"/>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015E3CCA">
      <w:pPr>
        <w:pStyle w:val="12"/>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4175E7F9">
      <w:pPr>
        <w:pStyle w:val="12"/>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1A4D207A">
      <w:pPr>
        <w:pStyle w:val="12"/>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5C8D9264">
      <w:pPr>
        <w:pStyle w:val="12"/>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61DEF4BC">
      <w:pPr>
        <w:pStyle w:val="12"/>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14:paraId="26463B3C">
      <w:pPr>
        <w:pStyle w:val="12"/>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6AE133E2">
      <w:pPr>
        <w:pStyle w:val="12"/>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31F1C0AC">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54808E99">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14:paraId="5FB129AF">
      <w:pPr>
        <w:pStyle w:val="12"/>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306250C6">
      <w:pPr>
        <w:pStyle w:val="12"/>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14:paraId="64261E9E">
      <w:pPr>
        <w:pStyle w:val="12"/>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14:paraId="42F8B708">
      <w:pPr>
        <w:pStyle w:val="12"/>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14:paraId="6DB9B6D7">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111B8B09">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5054D6AE">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4ECD97BF">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14:paraId="1145C5C1">
      <w:pPr>
        <w:pStyle w:val="12"/>
        <w:spacing w:line="360" w:lineRule="auto"/>
        <w:ind w:left="25" w:leftChars="12" w:firstLine="472" w:firstLineChars="197"/>
        <w:contextualSpacing/>
        <w:rPr>
          <w:rFonts w:hAnsi="宋体"/>
          <w:color w:val="auto"/>
          <w:sz w:val="24"/>
          <w:szCs w:val="24"/>
        </w:rPr>
      </w:pPr>
      <w:r>
        <w:rPr>
          <w:rFonts w:hAnsi="宋体"/>
          <w:color w:val="auto"/>
          <w:sz w:val="24"/>
          <w:szCs w:val="24"/>
        </w:rPr>
        <w:t>……</w:t>
      </w:r>
    </w:p>
    <w:p w14:paraId="73262CDD">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14:paraId="0CBD6048">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6E54941B">
      <w:pPr>
        <w:pStyle w:val="12"/>
        <w:spacing w:line="360" w:lineRule="auto"/>
        <w:ind w:left="25" w:leftChars="12" w:firstLine="352" w:firstLineChars="147"/>
        <w:contextualSpacing/>
        <w:rPr>
          <w:rFonts w:hAnsi="宋体"/>
          <w:color w:val="auto"/>
          <w:sz w:val="24"/>
          <w:szCs w:val="24"/>
        </w:rPr>
      </w:pPr>
    </w:p>
    <w:p w14:paraId="2DFDA97E">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14:paraId="5B9DA947">
      <w:pPr>
        <w:pStyle w:val="12"/>
        <w:spacing w:line="360" w:lineRule="auto"/>
        <w:ind w:firstLine="480" w:firstLineChars="200"/>
        <w:contextualSpacing/>
        <w:rPr>
          <w:rFonts w:hAnsi="宋体"/>
          <w:b/>
          <w:color w:val="auto"/>
          <w:sz w:val="24"/>
          <w:szCs w:val="24"/>
        </w:rPr>
      </w:pPr>
      <w:r>
        <w:rPr>
          <w:rFonts w:hint="eastAsia" w:hAnsi="宋体"/>
          <w:color w:val="auto"/>
          <w:sz w:val="24"/>
          <w:szCs w:val="24"/>
        </w:rPr>
        <w:t>日期：</w:t>
      </w:r>
    </w:p>
    <w:p w14:paraId="6AD2F56F">
      <w:pPr>
        <w:pStyle w:val="12"/>
        <w:spacing w:line="360" w:lineRule="auto"/>
        <w:contextualSpacing/>
        <w:rPr>
          <w:rFonts w:hAnsi="宋体"/>
          <w:b/>
          <w:color w:val="auto"/>
          <w:sz w:val="24"/>
          <w:szCs w:val="24"/>
        </w:rPr>
      </w:pPr>
      <w:r>
        <w:rPr>
          <w:rFonts w:hint="eastAsia" w:hAnsi="宋体"/>
          <w:b/>
          <w:color w:val="auto"/>
          <w:sz w:val="24"/>
          <w:szCs w:val="24"/>
        </w:rPr>
        <w:t>说明：</w:t>
      </w:r>
    </w:p>
    <w:p w14:paraId="6BB2DD86">
      <w:pPr>
        <w:pStyle w:val="12"/>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27C35995">
      <w:pPr>
        <w:pStyle w:val="12"/>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0E7B3E">
      <w:pPr>
        <w:pStyle w:val="12"/>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14:paraId="71277C40">
      <w:pPr>
        <w:pStyle w:val="12"/>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14:paraId="1B5E39E4">
      <w:pPr>
        <w:pStyle w:val="12"/>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62AC0F74">
      <w:pPr>
        <w:pStyle w:val="12"/>
        <w:snapToGrid w:val="0"/>
        <w:rPr>
          <w:b/>
          <w:color w:val="auto"/>
          <w:sz w:val="24"/>
          <w:szCs w:val="24"/>
        </w:rPr>
      </w:pPr>
    </w:p>
    <w:p w14:paraId="2230ED00">
      <w:pPr>
        <w:rPr>
          <w:color w:val="auto"/>
          <w:sz w:val="32"/>
          <w:szCs w:val="40"/>
        </w:rPr>
      </w:pPr>
    </w:p>
    <w:p w14:paraId="11488890">
      <w:pPr>
        <w:rPr>
          <w:color w:val="auto"/>
          <w:sz w:val="32"/>
          <w:szCs w:val="40"/>
        </w:rPr>
      </w:pPr>
    </w:p>
    <w:p w14:paraId="17B25CAC">
      <w:pPr>
        <w:rPr>
          <w:color w:val="auto"/>
          <w:sz w:val="32"/>
          <w:szCs w:val="40"/>
        </w:rPr>
      </w:pPr>
    </w:p>
    <w:p w14:paraId="7D95DD37">
      <w:pPr>
        <w:rPr>
          <w:color w:val="auto"/>
          <w:sz w:val="32"/>
          <w:szCs w:val="40"/>
        </w:rPr>
      </w:pPr>
    </w:p>
    <w:p w14:paraId="45B1FFE7">
      <w:pPr>
        <w:rPr>
          <w:color w:val="auto"/>
          <w:sz w:val="32"/>
          <w:szCs w:val="40"/>
        </w:rPr>
      </w:pPr>
    </w:p>
    <w:p w14:paraId="7454A3BD">
      <w:pPr>
        <w:rPr>
          <w:color w:val="auto"/>
          <w:sz w:val="32"/>
          <w:szCs w:val="40"/>
        </w:rPr>
      </w:pPr>
    </w:p>
    <w:p w14:paraId="06852758">
      <w:pPr>
        <w:rPr>
          <w:color w:val="auto"/>
          <w:sz w:val="32"/>
          <w:szCs w:val="40"/>
        </w:rPr>
      </w:pPr>
    </w:p>
    <w:p w14:paraId="66F9FE04">
      <w:pPr>
        <w:rPr>
          <w:color w:val="auto"/>
          <w:sz w:val="32"/>
          <w:szCs w:val="40"/>
        </w:rPr>
      </w:pPr>
    </w:p>
    <w:p w14:paraId="71627225">
      <w:pPr>
        <w:rPr>
          <w:color w:val="auto"/>
          <w:sz w:val="32"/>
          <w:szCs w:val="40"/>
        </w:rPr>
      </w:pPr>
    </w:p>
    <w:p w14:paraId="09DCE372">
      <w:pPr>
        <w:rPr>
          <w:color w:val="auto"/>
          <w:sz w:val="32"/>
          <w:szCs w:val="40"/>
        </w:rPr>
      </w:pPr>
    </w:p>
    <w:p w14:paraId="09CE8940">
      <w:pPr>
        <w:rPr>
          <w:color w:val="auto"/>
          <w:sz w:val="32"/>
          <w:szCs w:val="40"/>
        </w:rPr>
      </w:pPr>
    </w:p>
    <w:p w14:paraId="4FAEFDCC">
      <w:pPr>
        <w:rPr>
          <w:color w:val="auto"/>
          <w:sz w:val="32"/>
          <w:szCs w:val="40"/>
        </w:rPr>
      </w:pPr>
    </w:p>
    <w:p w14:paraId="08B2977A">
      <w:pPr>
        <w:rPr>
          <w:color w:val="auto"/>
          <w:sz w:val="32"/>
          <w:szCs w:val="40"/>
        </w:rPr>
      </w:pPr>
    </w:p>
    <w:p w14:paraId="34A47B5A">
      <w:pPr>
        <w:rPr>
          <w:color w:val="auto"/>
          <w:sz w:val="32"/>
          <w:szCs w:val="40"/>
        </w:rPr>
      </w:pPr>
    </w:p>
    <w:p w14:paraId="3BBB8FB4">
      <w:pPr>
        <w:spacing w:line="360" w:lineRule="auto"/>
        <w:jc w:val="center"/>
        <w:rPr>
          <w:rFonts w:ascii="方正小标宋简体" w:hAnsi="方正小标宋简体" w:eastAsia="方正小标宋简体" w:cs="方正小标宋简体"/>
          <w:color w:val="auto"/>
          <w:sz w:val="24"/>
        </w:rPr>
      </w:pPr>
      <w:r>
        <w:rPr>
          <w:rFonts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投诉书</w:t>
      </w:r>
      <w:r>
        <w:rPr>
          <w:rFonts w:hint="eastAsia" w:ascii="方正小标宋简体" w:hAnsi="方正小标宋简体" w:eastAsia="方正小标宋简体" w:cs="方正小标宋简体"/>
          <w:color w:val="auto"/>
          <w:sz w:val="28"/>
          <w:szCs w:val="28"/>
        </w:rPr>
        <w:t>（格式）</w:t>
      </w:r>
    </w:p>
    <w:p w14:paraId="532F1CDE">
      <w:pPr>
        <w:pStyle w:val="12"/>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08646DC4">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3D018692">
      <w:pPr>
        <w:pStyle w:val="12"/>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53FB868F">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14:paraId="0F907E09">
      <w:pPr>
        <w:pStyle w:val="12"/>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5B1D2D4A">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6E005C06">
      <w:pPr>
        <w:pStyle w:val="12"/>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6DD0F5B0">
      <w:pPr>
        <w:pStyle w:val="12"/>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6F5759F4">
      <w:pPr>
        <w:pStyle w:val="12"/>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14:paraId="104CAFFA">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3B14D45A">
      <w:pPr>
        <w:pStyle w:val="12"/>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681BE8D3">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5C7E7F5D">
      <w:pPr>
        <w:pStyle w:val="12"/>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14:paraId="6120D35E">
      <w:pPr>
        <w:pStyle w:val="12"/>
        <w:snapToGrid w:val="0"/>
        <w:spacing w:line="360" w:lineRule="auto"/>
        <w:ind w:firstLine="480" w:firstLineChars="200"/>
        <w:rPr>
          <w:rFonts w:hAnsi="宋体"/>
          <w:bCs/>
          <w:color w:val="auto"/>
          <w:sz w:val="24"/>
          <w:szCs w:val="24"/>
        </w:rPr>
      </w:pPr>
      <w:r>
        <w:rPr>
          <w:rFonts w:hAnsi="宋体"/>
          <w:bCs/>
          <w:color w:val="auto"/>
          <w:sz w:val="24"/>
          <w:szCs w:val="24"/>
        </w:rPr>
        <w:t>……</w:t>
      </w:r>
    </w:p>
    <w:p w14:paraId="3C317DAE">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28E9A17E">
      <w:pPr>
        <w:pStyle w:val="12"/>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7B41DE24">
      <w:pPr>
        <w:pStyle w:val="12"/>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6497ADAA">
      <w:pPr>
        <w:pStyle w:val="12"/>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14:paraId="7F9F6CBE">
      <w:pPr>
        <w:pStyle w:val="12"/>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7AE31565">
      <w:pPr>
        <w:pStyle w:val="12"/>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325BA8A2">
      <w:pPr>
        <w:pStyle w:val="12"/>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05F2D837">
      <w:pPr>
        <w:pStyle w:val="12"/>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4596E4BE">
      <w:pPr>
        <w:pStyle w:val="12"/>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竞争性磋商文件公告：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6A0D37A9">
      <w:pPr>
        <w:pStyle w:val="12"/>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0E586612">
      <w:pPr>
        <w:pStyle w:val="12"/>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14:paraId="29F89204">
      <w:pPr>
        <w:pStyle w:val="12"/>
        <w:spacing w:line="360" w:lineRule="auto"/>
        <w:ind w:firstLine="480" w:firstLineChars="200"/>
        <w:rPr>
          <w:rFonts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7117929C">
      <w:pPr>
        <w:pStyle w:val="12"/>
        <w:spacing w:line="360" w:lineRule="auto"/>
        <w:ind w:firstLine="241"/>
        <w:rPr>
          <w:rFonts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5EF0000C">
      <w:pPr>
        <w:pStyle w:val="12"/>
        <w:spacing w:line="360" w:lineRule="auto"/>
        <w:ind w:firstLine="241"/>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3BC3A451">
      <w:pPr>
        <w:pStyle w:val="12"/>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14:paraId="72122A45">
      <w:pPr>
        <w:pStyle w:val="12"/>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3B0611DA">
      <w:pPr>
        <w:pStyle w:val="12"/>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29EDF3F5">
      <w:pPr>
        <w:pStyle w:val="12"/>
        <w:spacing w:line="360" w:lineRule="auto"/>
        <w:ind w:firstLine="480" w:firstLineChars="200"/>
        <w:rPr>
          <w:rFonts w:hAnsi="宋体"/>
          <w:color w:val="auto"/>
          <w:sz w:val="24"/>
          <w:szCs w:val="24"/>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5B310664">
      <w:pPr>
        <w:pStyle w:val="12"/>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5279AE16">
      <w:pPr>
        <w:pStyle w:val="12"/>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66DC58AD">
      <w:pPr>
        <w:pStyle w:val="12"/>
        <w:spacing w:line="360" w:lineRule="auto"/>
        <w:ind w:left="25" w:leftChars="12" w:firstLine="472" w:firstLineChars="197"/>
        <w:rPr>
          <w:rFonts w:hAnsi="宋体"/>
          <w:bCs/>
          <w:color w:val="auto"/>
          <w:sz w:val="24"/>
          <w:szCs w:val="24"/>
        </w:rPr>
      </w:pPr>
      <w:r>
        <w:rPr>
          <w:rFonts w:hAnsi="宋体"/>
          <w:bCs/>
          <w:color w:val="auto"/>
          <w:sz w:val="24"/>
          <w:szCs w:val="24"/>
        </w:rPr>
        <w:t>……</w:t>
      </w:r>
    </w:p>
    <w:p w14:paraId="62B5A1DF">
      <w:pPr>
        <w:pStyle w:val="12"/>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14:paraId="681F9282">
      <w:pPr>
        <w:pStyle w:val="12"/>
        <w:spacing w:line="360" w:lineRule="auto"/>
        <w:ind w:left="25" w:leftChars="12" w:firstLine="472" w:firstLineChars="197"/>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0AE150BF">
      <w:pPr>
        <w:pStyle w:val="12"/>
        <w:spacing w:line="360" w:lineRule="auto"/>
        <w:ind w:left="25" w:leftChars="12" w:firstLine="352" w:firstLineChars="147"/>
        <w:rPr>
          <w:rFonts w:hAnsi="宋体"/>
          <w:color w:val="auto"/>
          <w:sz w:val="24"/>
          <w:szCs w:val="24"/>
        </w:rPr>
      </w:pPr>
    </w:p>
    <w:p w14:paraId="516FA084">
      <w:pPr>
        <w:pStyle w:val="12"/>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22A9A069">
      <w:pPr>
        <w:pStyle w:val="12"/>
        <w:spacing w:line="360" w:lineRule="auto"/>
        <w:ind w:left="25" w:leftChars="12" w:firstLine="352" w:firstLineChars="147"/>
        <w:rPr>
          <w:rFonts w:hAnsi="宋体"/>
          <w:color w:val="auto"/>
          <w:sz w:val="24"/>
          <w:szCs w:val="24"/>
        </w:rPr>
      </w:pPr>
    </w:p>
    <w:p w14:paraId="11CF4A79">
      <w:pPr>
        <w:pStyle w:val="12"/>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57A87215">
      <w:pPr>
        <w:pStyle w:val="12"/>
        <w:spacing w:line="360" w:lineRule="auto"/>
        <w:ind w:left="25" w:leftChars="12" w:firstLine="472" w:firstLineChars="197"/>
        <w:rPr>
          <w:rFonts w:hAnsi="宋体"/>
          <w:b/>
          <w:color w:val="auto"/>
          <w:sz w:val="24"/>
          <w:szCs w:val="24"/>
        </w:rPr>
      </w:pPr>
      <w:r>
        <w:rPr>
          <w:rFonts w:hint="eastAsia" w:hAnsi="宋体"/>
          <w:bCs/>
          <w:color w:val="auto"/>
          <w:sz w:val="24"/>
          <w:szCs w:val="24"/>
        </w:rPr>
        <w:t xml:space="preserve">                                                                                 </w:t>
      </w:r>
    </w:p>
    <w:p w14:paraId="7FE14C1E">
      <w:pPr>
        <w:pStyle w:val="12"/>
        <w:snapToGrid w:val="0"/>
        <w:spacing w:line="360" w:lineRule="auto"/>
        <w:rPr>
          <w:rFonts w:hAnsi="宋体"/>
          <w:b/>
          <w:color w:val="auto"/>
          <w:sz w:val="24"/>
          <w:szCs w:val="24"/>
        </w:rPr>
      </w:pPr>
      <w:r>
        <w:rPr>
          <w:rFonts w:hint="eastAsia" w:hAnsi="宋体"/>
          <w:b/>
          <w:color w:val="auto"/>
          <w:sz w:val="24"/>
          <w:szCs w:val="24"/>
        </w:rPr>
        <w:t>说明：</w:t>
      </w:r>
    </w:p>
    <w:p w14:paraId="4EA013BB">
      <w:pPr>
        <w:pStyle w:val="12"/>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54D21036">
      <w:pPr>
        <w:pStyle w:val="12"/>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9309799">
      <w:pPr>
        <w:pStyle w:val="12"/>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14:paraId="7FD360E0">
      <w:pPr>
        <w:pStyle w:val="12"/>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14:paraId="34A3F333">
      <w:pPr>
        <w:pStyle w:val="12"/>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14:paraId="214CCAFB">
      <w:pPr>
        <w:pStyle w:val="12"/>
        <w:spacing w:line="360" w:lineRule="auto"/>
        <w:ind w:left="25" w:leftChars="12" w:firstLine="354" w:firstLineChars="147"/>
        <w:rPr>
          <w:color w:val="auto"/>
        </w:rPr>
      </w:pPr>
      <w:r>
        <w:rPr>
          <w:rFonts w:hint="eastAsia" w:hAnsi="宋体"/>
          <w:b/>
          <w:color w:val="auto"/>
          <w:sz w:val="24"/>
          <w:szCs w:val="24"/>
        </w:rPr>
        <w:t>6.投诉人为法人或者其他组织的，投诉书应由法定代表人、主要负责人，或者其授权代表签字或者盖章，并加盖公章。</w:t>
      </w:r>
    </w:p>
    <w:p w14:paraId="7B89D1AA">
      <w:pPr>
        <w:spacing w:line="600" w:lineRule="exact"/>
        <w:jc w:val="center"/>
        <w:rPr>
          <w:rFonts w:hint="eastAsia"/>
          <w:color w:val="auto"/>
          <w:sz w:val="44"/>
          <w:szCs w:val="44"/>
        </w:rPr>
      </w:pPr>
    </w:p>
    <w:p w14:paraId="6C5A0BD7">
      <w:pPr>
        <w:spacing w:line="600" w:lineRule="exact"/>
        <w:jc w:val="center"/>
        <w:rPr>
          <w:color w:val="auto"/>
          <w:sz w:val="28"/>
          <w:szCs w:val="28"/>
        </w:rPr>
      </w:pPr>
      <w:r>
        <w:rPr>
          <w:rFonts w:hint="eastAsia"/>
          <w:color w:val="auto"/>
          <w:sz w:val="44"/>
          <w:szCs w:val="44"/>
        </w:rPr>
        <w:t>第六章</w:t>
      </w:r>
    </w:p>
    <w:p w14:paraId="4F98AB32">
      <w:pPr>
        <w:widowControl w:val="0"/>
        <w:spacing w:line="600" w:lineRule="exact"/>
        <w:jc w:val="center"/>
        <w:rPr>
          <w:rFonts w:ascii="Times New Roman" w:hAnsi="Times New Roman" w:eastAsia="方正小标宋_GBK"/>
          <w:color w:val="auto"/>
          <w:kern w:val="0"/>
          <w:sz w:val="44"/>
          <w:szCs w:val="44"/>
        </w:rPr>
      </w:pPr>
      <w:r>
        <w:rPr>
          <w:rFonts w:eastAsia="方正小标宋_GBK"/>
          <w:color w:val="auto"/>
          <w:kern w:val="0"/>
          <w:sz w:val="44"/>
          <w:szCs w:val="44"/>
        </w:rPr>
        <w:t>政</w:t>
      </w:r>
      <w:r>
        <w:rPr>
          <w:rFonts w:ascii="Times New Roman" w:hAnsi="Times New Roman" w:eastAsia="方正小标宋_GBK"/>
          <w:color w:val="auto"/>
          <w:kern w:val="0"/>
          <w:sz w:val="44"/>
          <w:szCs w:val="44"/>
        </w:rPr>
        <w:t>府采购技术服务合同</w:t>
      </w:r>
    </w:p>
    <w:p w14:paraId="5258AD8E">
      <w:pPr>
        <w:widowControl w:val="0"/>
        <w:spacing w:line="600" w:lineRule="exact"/>
        <w:rPr>
          <w:rFonts w:ascii="Times New Roman" w:hAnsi="Times New Roman" w:eastAsia="方正小标宋_GBK"/>
          <w:color w:val="auto"/>
          <w:kern w:val="0"/>
          <w:sz w:val="44"/>
          <w:szCs w:val="44"/>
        </w:rPr>
      </w:pPr>
    </w:p>
    <w:p w14:paraId="3A8CF0B1">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采购计划号：</w:t>
      </w:r>
      <w:r>
        <w:rPr>
          <w:rFonts w:hint="eastAsia" w:ascii="Times New Roman" w:hAnsi="Times New Roman" w:eastAsia="仿宋"/>
          <w:color w:val="auto"/>
          <w:sz w:val="32"/>
          <w:szCs w:val="32"/>
          <w:u w:val="single"/>
        </w:rPr>
        <w:t xml:space="preserve">                                            </w:t>
      </w:r>
    </w:p>
    <w:p w14:paraId="0EA4D7B8">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项目名称：</w:t>
      </w:r>
      <w:r>
        <w:rPr>
          <w:rFonts w:hint="eastAsia" w:ascii="Times New Roman" w:hAnsi="Times New Roman" w:eastAsia="仿宋"/>
          <w:color w:val="auto"/>
          <w:sz w:val="32"/>
          <w:szCs w:val="32"/>
          <w:u w:val="single"/>
        </w:rPr>
        <w:t xml:space="preserve">                                              </w:t>
      </w:r>
    </w:p>
    <w:p w14:paraId="52B3C71D">
      <w:pPr>
        <w:widowControl w:val="0"/>
        <w:spacing w:line="600" w:lineRule="exact"/>
        <w:rPr>
          <w:rFonts w:ascii="Times New Roman" w:hAnsi="Times New Roman" w:eastAsia="仿宋"/>
          <w:color w:val="auto"/>
          <w:kern w:val="0"/>
          <w:sz w:val="32"/>
          <w:szCs w:val="32"/>
          <w:u w:val="single"/>
        </w:rPr>
      </w:pPr>
      <w:r>
        <w:rPr>
          <w:rFonts w:ascii="Times New Roman" w:hAnsi="Times New Roman" w:eastAsia="仿宋"/>
          <w:color w:val="auto"/>
          <w:kern w:val="0"/>
          <w:sz w:val="32"/>
          <w:szCs w:val="32"/>
        </w:rPr>
        <w:t>项目编号：</w:t>
      </w:r>
      <w:r>
        <w:rPr>
          <w:rFonts w:hint="eastAsia" w:ascii="Times New Roman" w:hAnsi="Times New Roman" w:eastAsia="仿宋"/>
          <w:color w:val="auto"/>
          <w:kern w:val="0"/>
          <w:sz w:val="32"/>
          <w:szCs w:val="32"/>
          <w:u w:val="single"/>
        </w:rPr>
        <w:t xml:space="preserve"> </w:t>
      </w:r>
      <w:r>
        <w:rPr>
          <w:rFonts w:hint="eastAsia" w:ascii="Times New Roman" w:hAnsi="Times New Roman" w:eastAsia="仿宋"/>
          <w:color w:val="auto"/>
          <w:sz w:val="32"/>
          <w:szCs w:val="32"/>
          <w:u w:val="single"/>
        </w:rPr>
        <w:t xml:space="preserve">                                             </w:t>
      </w:r>
    </w:p>
    <w:p w14:paraId="2EE9FC77">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签订地点：</w:t>
      </w:r>
      <w:r>
        <w:rPr>
          <w:rFonts w:hint="eastAsia" w:ascii="Times New Roman" w:hAnsi="Times New Roman" w:eastAsia="仿宋"/>
          <w:color w:val="auto"/>
          <w:sz w:val="32"/>
          <w:szCs w:val="32"/>
          <w:u w:val="single"/>
        </w:rPr>
        <w:t xml:space="preserve">                                              </w:t>
      </w:r>
    </w:p>
    <w:p w14:paraId="47B6167D">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签订时间：</w:t>
      </w:r>
      <w:r>
        <w:rPr>
          <w:rFonts w:hint="eastAsia" w:ascii="Times New Roman" w:hAnsi="Times New Roman" w:eastAsia="仿宋"/>
          <w:color w:val="auto"/>
          <w:sz w:val="32"/>
          <w:szCs w:val="32"/>
          <w:u w:val="single"/>
        </w:rPr>
        <w:t xml:space="preserve">                                              </w:t>
      </w:r>
    </w:p>
    <w:p w14:paraId="1829692F">
      <w:pPr>
        <w:widowControl w:val="0"/>
        <w:spacing w:line="600" w:lineRule="exact"/>
        <w:rPr>
          <w:rFonts w:ascii="Times New Roman" w:hAnsi="Times New Roman" w:eastAsia="仿宋"/>
          <w:color w:val="auto"/>
          <w:kern w:val="0"/>
          <w:sz w:val="32"/>
          <w:szCs w:val="32"/>
        </w:rPr>
      </w:pPr>
    </w:p>
    <w:p w14:paraId="2469C875">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甲方（采购人）：</w:t>
      </w:r>
      <w:r>
        <w:rPr>
          <w:rFonts w:hint="eastAsia" w:ascii="Times New Roman" w:hAnsi="Times New Roman" w:eastAsia="仿宋"/>
          <w:color w:val="auto"/>
          <w:kern w:val="0"/>
          <w:sz w:val="32"/>
          <w:szCs w:val="32"/>
          <w:u w:val="single"/>
        </w:rPr>
        <w:t xml:space="preserve">                                        </w:t>
      </w:r>
    </w:p>
    <w:p w14:paraId="79AA1B11">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住所地：</w:t>
      </w:r>
      <w:r>
        <w:rPr>
          <w:rFonts w:hint="eastAsia" w:ascii="Times New Roman" w:hAnsi="Times New Roman" w:eastAsia="仿宋"/>
          <w:color w:val="auto"/>
          <w:kern w:val="0"/>
          <w:sz w:val="32"/>
          <w:szCs w:val="32"/>
          <w:u w:val="single"/>
        </w:rPr>
        <w:t xml:space="preserve">                                                </w:t>
      </w:r>
    </w:p>
    <w:p w14:paraId="307C0A8D">
      <w:pPr>
        <w:widowControl w:val="0"/>
        <w:spacing w:line="600" w:lineRule="exact"/>
        <w:rPr>
          <w:rFonts w:ascii="Times New Roman" w:hAnsi="Times New Roman" w:eastAsia="仿宋"/>
          <w:color w:val="auto"/>
          <w:kern w:val="0"/>
          <w:sz w:val="32"/>
          <w:szCs w:val="32"/>
          <w:u w:val="single"/>
        </w:rPr>
      </w:pPr>
      <w:r>
        <w:rPr>
          <w:rFonts w:ascii="Times New Roman" w:hAnsi="Times New Roman" w:eastAsia="仿宋"/>
          <w:color w:val="auto"/>
          <w:kern w:val="0"/>
          <w:sz w:val="32"/>
          <w:szCs w:val="32"/>
        </w:rPr>
        <w:t>法定代表人：</w:t>
      </w:r>
      <w:r>
        <w:rPr>
          <w:rFonts w:hint="eastAsia" w:ascii="Times New Roman" w:hAnsi="Times New Roman" w:eastAsia="仿宋"/>
          <w:color w:val="auto"/>
          <w:kern w:val="0"/>
          <w:sz w:val="32"/>
          <w:szCs w:val="32"/>
          <w:u w:val="single"/>
        </w:rPr>
        <w:t xml:space="preserve">                                            </w:t>
      </w:r>
    </w:p>
    <w:p w14:paraId="3AEF6D14">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通讯地址</w:t>
      </w:r>
      <w:r>
        <w:rPr>
          <w:rFonts w:hint="eastAsia" w:ascii="Times New Roman" w:hAnsi="Times New Roman" w:eastAsia="仿宋"/>
          <w:color w:val="auto"/>
          <w:kern w:val="0"/>
          <w:sz w:val="32"/>
          <w:szCs w:val="32"/>
        </w:rPr>
        <w:t>：</w:t>
      </w:r>
      <w:r>
        <w:rPr>
          <w:rFonts w:hint="eastAsia" w:ascii="Times New Roman" w:hAnsi="Times New Roman" w:eastAsia="仿宋"/>
          <w:color w:val="auto"/>
          <w:kern w:val="0"/>
          <w:sz w:val="32"/>
          <w:szCs w:val="32"/>
          <w:u w:val="single"/>
        </w:rPr>
        <w:t xml:space="preserve">                                              </w:t>
      </w:r>
    </w:p>
    <w:p w14:paraId="22C89805">
      <w:pPr>
        <w:widowControl w:val="0"/>
        <w:spacing w:line="600" w:lineRule="exact"/>
        <w:rPr>
          <w:rFonts w:ascii="Times New Roman" w:hAnsi="Times New Roman" w:eastAsia="仿宋"/>
          <w:color w:val="auto"/>
          <w:kern w:val="0"/>
          <w:sz w:val="32"/>
          <w:szCs w:val="32"/>
          <w:u w:val="single"/>
        </w:rPr>
      </w:pPr>
      <w:r>
        <w:rPr>
          <w:rFonts w:hint="eastAsia" w:ascii="Times New Roman" w:hAnsi="Times New Roman" w:eastAsia="仿宋"/>
          <w:color w:val="auto"/>
          <w:kern w:val="0"/>
          <w:sz w:val="32"/>
          <w:szCs w:val="32"/>
        </w:rPr>
        <w:t>联系</w:t>
      </w:r>
      <w:r>
        <w:rPr>
          <w:rFonts w:ascii="Times New Roman" w:hAnsi="Times New Roman" w:eastAsia="仿宋"/>
          <w:color w:val="auto"/>
          <w:kern w:val="0"/>
          <w:sz w:val="32"/>
          <w:szCs w:val="32"/>
        </w:rPr>
        <w:t>电话：</w:t>
      </w:r>
      <w:r>
        <w:rPr>
          <w:rFonts w:hint="eastAsia" w:ascii="Times New Roman" w:hAnsi="Times New Roman" w:eastAsia="仿宋"/>
          <w:color w:val="auto"/>
          <w:kern w:val="0"/>
          <w:sz w:val="32"/>
          <w:szCs w:val="32"/>
          <w:u w:val="single"/>
        </w:rPr>
        <w:t xml:space="preserve">                                              </w:t>
      </w:r>
    </w:p>
    <w:p w14:paraId="6404A9F1">
      <w:pPr>
        <w:widowControl w:val="0"/>
        <w:spacing w:line="600" w:lineRule="exact"/>
        <w:rPr>
          <w:rFonts w:ascii="Times New Roman" w:hAnsi="Times New Roman" w:eastAsia="仿宋"/>
          <w:color w:val="auto"/>
          <w:kern w:val="0"/>
          <w:sz w:val="32"/>
          <w:szCs w:val="32"/>
        </w:rPr>
      </w:pPr>
    </w:p>
    <w:p w14:paraId="60DE9031">
      <w:pPr>
        <w:widowControl w:val="0"/>
        <w:spacing w:line="600" w:lineRule="exact"/>
        <w:rPr>
          <w:rFonts w:ascii="Times New Roman" w:hAnsi="Times New Roman" w:eastAsia="仿宋"/>
          <w:color w:val="auto"/>
          <w:kern w:val="0"/>
          <w:sz w:val="32"/>
          <w:szCs w:val="32"/>
          <w:u w:val="single"/>
        </w:rPr>
      </w:pPr>
      <w:r>
        <w:rPr>
          <w:rFonts w:ascii="Times New Roman" w:hAnsi="Times New Roman" w:eastAsia="仿宋"/>
          <w:color w:val="auto"/>
          <w:kern w:val="0"/>
          <w:sz w:val="32"/>
          <w:szCs w:val="32"/>
        </w:rPr>
        <w:t>乙方（供应商）：</w:t>
      </w:r>
      <w:r>
        <w:rPr>
          <w:rFonts w:hint="eastAsia" w:ascii="Times New Roman" w:hAnsi="Times New Roman" w:eastAsia="仿宋"/>
          <w:color w:val="auto"/>
          <w:kern w:val="0"/>
          <w:sz w:val="32"/>
          <w:szCs w:val="32"/>
          <w:u w:val="single"/>
        </w:rPr>
        <w:t xml:space="preserve">                                        </w:t>
      </w:r>
    </w:p>
    <w:p w14:paraId="7ED231C7">
      <w:pPr>
        <w:widowControl w:val="0"/>
        <w:spacing w:line="600" w:lineRule="exact"/>
        <w:rPr>
          <w:rFonts w:ascii="Times New Roman" w:hAnsi="Times New Roman" w:eastAsia="仿宋"/>
          <w:color w:val="auto"/>
          <w:kern w:val="0"/>
          <w:sz w:val="32"/>
          <w:szCs w:val="32"/>
          <w:u w:val="single"/>
        </w:rPr>
      </w:pPr>
      <w:r>
        <w:rPr>
          <w:rFonts w:ascii="Times New Roman" w:hAnsi="Times New Roman" w:eastAsia="仿宋"/>
          <w:color w:val="auto"/>
          <w:kern w:val="0"/>
          <w:sz w:val="32"/>
          <w:szCs w:val="32"/>
        </w:rPr>
        <w:t>住所地：</w:t>
      </w:r>
      <w:r>
        <w:rPr>
          <w:rFonts w:hint="eastAsia" w:ascii="Times New Roman" w:hAnsi="Times New Roman" w:eastAsia="仿宋"/>
          <w:color w:val="auto"/>
          <w:kern w:val="0"/>
          <w:sz w:val="32"/>
          <w:szCs w:val="32"/>
          <w:u w:val="single"/>
        </w:rPr>
        <w:t xml:space="preserve">                                                </w:t>
      </w:r>
    </w:p>
    <w:p w14:paraId="341F757D">
      <w:pPr>
        <w:widowControl w:val="0"/>
        <w:spacing w:line="600" w:lineRule="exact"/>
        <w:rPr>
          <w:rFonts w:ascii="Times New Roman" w:hAnsi="Times New Roman" w:eastAsia="仿宋"/>
          <w:color w:val="auto"/>
          <w:kern w:val="0"/>
          <w:sz w:val="32"/>
          <w:szCs w:val="32"/>
          <w:u w:val="single"/>
        </w:rPr>
      </w:pPr>
      <w:r>
        <w:rPr>
          <w:rFonts w:ascii="Times New Roman" w:hAnsi="Times New Roman" w:eastAsia="仿宋"/>
          <w:color w:val="auto"/>
          <w:kern w:val="0"/>
          <w:sz w:val="32"/>
          <w:szCs w:val="32"/>
        </w:rPr>
        <w:t>法定代表人：</w:t>
      </w:r>
      <w:r>
        <w:rPr>
          <w:rFonts w:hint="eastAsia" w:ascii="Times New Roman" w:hAnsi="Times New Roman" w:eastAsia="仿宋"/>
          <w:color w:val="auto"/>
          <w:kern w:val="0"/>
          <w:sz w:val="32"/>
          <w:szCs w:val="32"/>
          <w:u w:val="single"/>
        </w:rPr>
        <w:t xml:space="preserve">                                            </w:t>
      </w:r>
    </w:p>
    <w:p w14:paraId="16763C77">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通讯地址：</w:t>
      </w:r>
      <w:r>
        <w:rPr>
          <w:rFonts w:hint="eastAsia" w:ascii="Times New Roman" w:hAnsi="Times New Roman" w:eastAsia="仿宋"/>
          <w:color w:val="auto"/>
          <w:kern w:val="0"/>
          <w:sz w:val="32"/>
          <w:szCs w:val="32"/>
          <w:u w:val="single"/>
        </w:rPr>
        <w:t xml:space="preserve">                                              </w:t>
      </w:r>
    </w:p>
    <w:p w14:paraId="0EBBFCF3">
      <w:pPr>
        <w:widowControl w:val="0"/>
        <w:spacing w:line="600" w:lineRule="exact"/>
        <w:rPr>
          <w:rFonts w:ascii="Times New Roman" w:hAnsi="Times New Roman" w:eastAsia="仿宋"/>
          <w:color w:val="auto"/>
          <w:kern w:val="0"/>
          <w:sz w:val="32"/>
          <w:szCs w:val="32"/>
        </w:rPr>
      </w:pPr>
      <w:r>
        <w:rPr>
          <w:rFonts w:hint="eastAsia" w:ascii="Times New Roman" w:hAnsi="Times New Roman" w:eastAsia="仿宋"/>
          <w:color w:val="auto"/>
          <w:kern w:val="0"/>
          <w:sz w:val="32"/>
          <w:szCs w:val="32"/>
        </w:rPr>
        <w:t>联系</w:t>
      </w:r>
      <w:r>
        <w:rPr>
          <w:rFonts w:ascii="Times New Roman" w:hAnsi="Times New Roman" w:eastAsia="仿宋"/>
          <w:color w:val="auto"/>
          <w:kern w:val="0"/>
          <w:sz w:val="32"/>
          <w:szCs w:val="32"/>
        </w:rPr>
        <w:t>电话：</w:t>
      </w:r>
      <w:r>
        <w:rPr>
          <w:rFonts w:hint="eastAsia" w:ascii="Times New Roman" w:hAnsi="Times New Roman" w:eastAsia="仿宋"/>
          <w:color w:val="auto"/>
          <w:kern w:val="0"/>
          <w:sz w:val="32"/>
          <w:szCs w:val="32"/>
          <w:u w:val="single"/>
        </w:rPr>
        <w:t xml:space="preserve">                                              </w:t>
      </w:r>
    </w:p>
    <w:p w14:paraId="54C0ADDD">
      <w:pPr>
        <w:widowControl w:val="0"/>
        <w:tabs>
          <w:tab w:val="center" w:pos="4153"/>
          <w:tab w:val="right" w:pos="8306"/>
        </w:tabs>
        <w:snapToGrid w:val="0"/>
        <w:jc w:val="left"/>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本合同为中小企业预留合同：（否）。</w:t>
      </w:r>
    </w:p>
    <w:p w14:paraId="794B1F7E">
      <w:pPr>
        <w:widowControl w:val="0"/>
        <w:spacing w:line="440" w:lineRule="exact"/>
        <w:jc w:val="left"/>
        <w:rPr>
          <w:rFonts w:ascii="宋体" w:hAnsi="宋体" w:cs="宋体"/>
          <w:color w:val="auto"/>
          <w:sz w:val="28"/>
          <w:szCs w:val="28"/>
        </w:rPr>
      </w:pPr>
    </w:p>
    <w:p w14:paraId="5A53B998">
      <w:pPr>
        <w:widowControl w:val="0"/>
        <w:spacing w:line="440" w:lineRule="exact"/>
        <w:jc w:val="left"/>
        <w:rPr>
          <w:rFonts w:ascii="宋体" w:hAnsi="宋体" w:cs="宋体"/>
          <w:color w:val="auto"/>
          <w:sz w:val="28"/>
          <w:szCs w:val="28"/>
        </w:rPr>
      </w:pPr>
    </w:p>
    <w:p w14:paraId="71EA3A68">
      <w:pPr>
        <w:widowControl w:val="0"/>
        <w:spacing w:line="600" w:lineRule="exact"/>
        <w:ind w:firstLine="640" w:firstLineChars="200"/>
        <w:jc w:val="left"/>
        <w:rPr>
          <w:rFonts w:ascii="Times New Roman" w:hAnsi="Times New Roman" w:eastAsia="仿宋"/>
          <w:color w:val="auto"/>
          <w:sz w:val="32"/>
          <w:szCs w:val="32"/>
        </w:rPr>
      </w:pPr>
      <w:r>
        <w:rPr>
          <w:rFonts w:ascii="Times New Roman" w:hAnsi="Times New Roman" w:eastAsia="仿宋"/>
          <w:color w:val="auto"/>
          <w:sz w:val="32"/>
          <w:szCs w:val="32"/>
        </w:rPr>
        <w:t>根据《中华人民共和国政府采购法》《中华人民共和国民法典》等法律、法规规定，按照招标文件（采购文件）规定条款和投标文件及承诺，甲乙双方签订本合同。</w:t>
      </w:r>
    </w:p>
    <w:p w14:paraId="23893A1D">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第一条　合同标的</w:t>
      </w:r>
    </w:p>
    <w:p w14:paraId="7E8894F6">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服务一览表</w:t>
      </w:r>
    </w:p>
    <w:tbl>
      <w:tblPr>
        <w:tblStyle w:val="19"/>
        <w:tblW w:w="946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074"/>
        <w:gridCol w:w="2564"/>
        <w:gridCol w:w="763"/>
        <w:gridCol w:w="941"/>
        <w:gridCol w:w="1350"/>
        <w:gridCol w:w="1255"/>
      </w:tblGrid>
      <w:tr w14:paraId="7E8E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18" w:type="dxa"/>
            <w:tcBorders>
              <w:top w:val="single" w:color="auto" w:sz="4" w:space="0"/>
              <w:left w:val="single" w:color="auto" w:sz="4" w:space="0"/>
              <w:bottom w:val="single" w:color="auto" w:sz="4" w:space="0"/>
              <w:right w:val="single" w:color="auto" w:sz="4" w:space="0"/>
            </w:tcBorders>
            <w:vAlign w:val="center"/>
          </w:tcPr>
          <w:p w14:paraId="699BF64A">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序号</w:t>
            </w:r>
          </w:p>
        </w:tc>
        <w:tc>
          <w:tcPr>
            <w:tcW w:w="2074" w:type="dxa"/>
            <w:tcBorders>
              <w:top w:val="single" w:color="auto" w:sz="4" w:space="0"/>
              <w:left w:val="single" w:color="auto" w:sz="4" w:space="0"/>
              <w:bottom w:val="single" w:color="auto" w:sz="4" w:space="0"/>
              <w:right w:val="single" w:color="auto" w:sz="4" w:space="0"/>
            </w:tcBorders>
            <w:vAlign w:val="center"/>
          </w:tcPr>
          <w:p w14:paraId="0E5791B7">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名称</w:t>
            </w:r>
          </w:p>
        </w:tc>
        <w:tc>
          <w:tcPr>
            <w:tcW w:w="2564" w:type="dxa"/>
            <w:tcBorders>
              <w:top w:val="single" w:color="auto" w:sz="4" w:space="0"/>
              <w:left w:val="single" w:color="auto" w:sz="4" w:space="0"/>
              <w:bottom w:val="single" w:color="auto" w:sz="4" w:space="0"/>
              <w:right w:val="single" w:color="auto" w:sz="4" w:space="0"/>
            </w:tcBorders>
            <w:vAlign w:val="center"/>
          </w:tcPr>
          <w:p w14:paraId="57521B8B">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服务内容</w:t>
            </w:r>
          </w:p>
        </w:tc>
        <w:tc>
          <w:tcPr>
            <w:tcW w:w="763" w:type="dxa"/>
            <w:tcBorders>
              <w:top w:val="single" w:color="auto" w:sz="4" w:space="0"/>
              <w:left w:val="single" w:color="auto" w:sz="4" w:space="0"/>
              <w:bottom w:val="single" w:color="auto" w:sz="4" w:space="0"/>
              <w:right w:val="single" w:color="auto" w:sz="4" w:space="0"/>
            </w:tcBorders>
            <w:vAlign w:val="center"/>
          </w:tcPr>
          <w:p w14:paraId="72810A78">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数量</w:t>
            </w:r>
          </w:p>
        </w:tc>
        <w:tc>
          <w:tcPr>
            <w:tcW w:w="941" w:type="dxa"/>
            <w:tcBorders>
              <w:top w:val="single" w:color="auto" w:sz="4" w:space="0"/>
              <w:left w:val="single" w:color="auto" w:sz="4" w:space="0"/>
              <w:bottom w:val="single" w:color="auto" w:sz="4" w:space="0"/>
              <w:right w:val="single" w:color="auto" w:sz="4" w:space="0"/>
            </w:tcBorders>
            <w:vAlign w:val="center"/>
          </w:tcPr>
          <w:p w14:paraId="5737F089">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单位</w:t>
            </w:r>
          </w:p>
        </w:tc>
        <w:tc>
          <w:tcPr>
            <w:tcW w:w="1350" w:type="dxa"/>
            <w:tcBorders>
              <w:top w:val="single" w:color="auto" w:sz="4" w:space="0"/>
              <w:left w:val="single" w:color="auto" w:sz="4" w:space="0"/>
              <w:bottom w:val="single" w:color="auto" w:sz="4" w:space="0"/>
              <w:right w:val="single" w:color="auto" w:sz="4" w:space="0"/>
            </w:tcBorders>
            <w:vAlign w:val="center"/>
          </w:tcPr>
          <w:p w14:paraId="3F1F2966">
            <w:pPr>
              <w:widowControl w:val="0"/>
              <w:spacing w:line="600" w:lineRule="exact"/>
              <w:jc w:val="center"/>
              <w:rPr>
                <w:rFonts w:ascii="Times New Roman" w:hAnsi="Times New Roman" w:eastAsia="仿宋"/>
                <w:color w:val="auto"/>
                <w:sz w:val="32"/>
                <w:szCs w:val="32"/>
              </w:rPr>
            </w:pPr>
            <w:r>
              <w:rPr>
                <w:rFonts w:ascii="Times New Roman" w:hAnsi="Times New Roman" w:eastAsia="仿宋"/>
                <w:color w:val="auto"/>
                <w:sz w:val="32"/>
                <w:szCs w:val="32"/>
              </w:rPr>
              <w:t>单  价</w:t>
            </w:r>
          </w:p>
          <w:p w14:paraId="38C30ED3">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（元）</w:t>
            </w:r>
          </w:p>
        </w:tc>
        <w:tc>
          <w:tcPr>
            <w:tcW w:w="1255" w:type="dxa"/>
            <w:tcBorders>
              <w:top w:val="single" w:color="auto" w:sz="4" w:space="0"/>
              <w:left w:val="single" w:color="auto" w:sz="4" w:space="0"/>
              <w:bottom w:val="single" w:color="auto" w:sz="4" w:space="0"/>
              <w:right w:val="single" w:color="auto" w:sz="4" w:space="0"/>
            </w:tcBorders>
            <w:vAlign w:val="center"/>
          </w:tcPr>
          <w:p w14:paraId="1DC23ACD">
            <w:pPr>
              <w:widowControl w:val="0"/>
              <w:spacing w:line="600" w:lineRule="exact"/>
              <w:jc w:val="center"/>
              <w:rPr>
                <w:rFonts w:ascii="Times New Roman" w:hAnsi="Times New Roman" w:eastAsia="仿宋"/>
                <w:color w:val="auto"/>
                <w:sz w:val="32"/>
                <w:szCs w:val="32"/>
              </w:rPr>
            </w:pPr>
            <w:r>
              <w:rPr>
                <w:rFonts w:ascii="Times New Roman" w:hAnsi="Times New Roman" w:eastAsia="仿宋"/>
                <w:color w:val="auto"/>
                <w:sz w:val="32"/>
                <w:szCs w:val="32"/>
              </w:rPr>
              <w:t>总  价</w:t>
            </w:r>
          </w:p>
          <w:p w14:paraId="39434D59">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（元）</w:t>
            </w:r>
          </w:p>
        </w:tc>
      </w:tr>
      <w:tr w14:paraId="17F9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18" w:type="dxa"/>
            <w:tcBorders>
              <w:top w:val="single" w:color="auto" w:sz="4" w:space="0"/>
              <w:left w:val="single" w:color="auto" w:sz="4" w:space="0"/>
              <w:bottom w:val="single" w:color="auto" w:sz="4" w:space="0"/>
              <w:right w:val="single" w:color="auto" w:sz="4" w:space="0"/>
            </w:tcBorders>
            <w:vAlign w:val="center"/>
          </w:tcPr>
          <w:p w14:paraId="2788F752">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1</w:t>
            </w:r>
          </w:p>
        </w:tc>
        <w:tc>
          <w:tcPr>
            <w:tcW w:w="2074" w:type="dxa"/>
            <w:tcBorders>
              <w:top w:val="single" w:color="auto" w:sz="4" w:space="0"/>
              <w:left w:val="single" w:color="auto" w:sz="4" w:space="0"/>
              <w:bottom w:val="single" w:color="auto" w:sz="4" w:space="0"/>
              <w:right w:val="single" w:color="auto" w:sz="4" w:space="0"/>
            </w:tcBorders>
            <w:vAlign w:val="center"/>
          </w:tcPr>
          <w:p w14:paraId="7026E9CA">
            <w:pPr>
              <w:widowControl w:val="0"/>
              <w:spacing w:line="600" w:lineRule="exact"/>
              <w:rPr>
                <w:rFonts w:ascii="Times New Roman" w:hAnsi="Times New Roman" w:eastAsia="仿宋"/>
                <w:color w:val="auto"/>
                <w:szCs w:val="21"/>
              </w:rPr>
            </w:pPr>
          </w:p>
        </w:tc>
        <w:tc>
          <w:tcPr>
            <w:tcW w:w="2564" w:type="dxa"/>
            <w:tcBorders>
              <w:top w:val="single" w:color="auto" w:sz="4" w:space="0"/>
              <w:left w:val="single" w:color="auto" w:sz="4" w:space="0"/>
              <w:bottom w:val="single" w:color="auto" w:sz="4" w:space="0"/>
              <w:right w:val="single" w:color="auto" w:sz="4" w:space="0"/>
            </w:tcBorders>
            <w:vAlign w:val="center"/>
          </w:tcPr>
          <w:p w14:paraId="6416EDE2">
            <w:pPr>
              <w:widowControl w:val="0"/>
              <w:spacing w:line="600" w:lineRule="exact"/>
              <w:rPr>
                <w:rFonts w:ascii="Times New Roman" w:hAnsi="Times New Roman" w:eastAsia="仿宋"/>
                <w:color w:val="auto"/>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7114FBD7">
            <w:pPr>
              <w:widowControl w:val="0"/>
              <w:spacing w:line="600" w:lineRule="exact"/>
              <w:rPr>
                <w:rFonts w:ascii="Times New Roman" w:hAnsi="Times New Roman" w:eastAsia="仿宋"/>
                <w:color w:val="auto"/>
                <w:szCs w:val="21"/>
              </w:rPr>
            </w:pPr>
          </w:p>
        </w:tc>
        <w:tc>
          <w:tcPr>
            <w:tcW w:w="941" w:type="dxa"/>
            <w:tcBorders>
              <w:top w:val="single" w:color="auto" w:sz="4" w:space="0"/>
              <w:left w:val="single" w:color="auto" w:sz="4" w:space="0"/>
              <w:bottom w:val="single" w:color="auto" w:sz="4" w:space="0"/>
              <w:right w:val="single" w:color="auto" w:sz="4" w:space="0"/>
            </w:tcBorders>
            <w:vAlign w:val="center"/>
          </w:tcPr>
          <w:p w14:paraId="678C061E">
            <w:pPr>
              <w:widowControl w:val="0"/>
              <w:spacing w:line="600" w:lineRule="exact"/>
              <w:rPr>
                <w:rFonts w:ascii="Times New Roman" w:hAnsi="Times New Roman" w:eastAsia="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14:paraId="59E42468">
            <w:pPr>
              <w:widowControl w:val="0"/>
              <w:spacing w:line="600" w:lineRule="exact"/>
              <w:rPr>
                <w:rFonts w:ascii="Times New Roman" w:hAnsi="Times New Roman" w:eastAsia="仿宋"/>
                <w:color w:val="auto"/>
                <w:szCs w:val="21"/>
                <w:lang w:val="en"/>
              </w:rPr>
            </w:pPr>
          </w:p>
        </w:tc>
        <w:tc>
          <w:tcPr>
            <w:tcW w:w="1255" w:type="dxa"/>
            <w:tcBorders>
              <w:top w:val="single" w:color="auto" w:sz="4" w:space="0"/>
              <w:left w:val="single" w:color="auto" w:sz="4" w:space="0"/>
              <w:bottom w:val="single" w:color="auto" w:sz="4" w:space="0"/>
              <w:right w:val="single" w:color="auto" w:sz="4" w:space="0"/>
            </w:tcBorders>
            <w:vAlign w:val="center"/>
          </w:tcPr>
          <w:p w14:paraId="4522C569">
            <w:pPr>
              <w:widowControl w:val="0"/>
              <w:spacing w:line="600" w:lineRule="exact"/>
              <w:rPr>
                <w:rFonts w:ascii="Times New Roman" w:hAnsi="Times New Roman" w:eastAsia="仿宋"/>
                <w:color w:val="auto"/>
                <w:szCs w:val="21"/>
              </w:rPr>
            </w:pPr>
          </w:p>
        </w:tc>
      </w:tr>
      <w:tr w14:paraId="334C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18" w:type="dxa"/>
            <w:tcBorders>
              <w:top w:val="single" w:color="auto" w:sz="4" w:space="0"/>
              <w:left w:val="single" w:color="auto" w:sz="4" w:space="0"/>
              <w:bottom w:val="single" w:color="auto" w:sz="4" w:space="0"/>
              <w:right w:val="single" w:color="auto" w:sz="4" w:space="0"/>
            </w:tcBorders>
            <w:vAlign w:val="center"/>
          </w:tcPr>
          <w:p w14:paraId="1F870156">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2</w:t>
            </w:r>
          </w:p>
        </w:tc>
        <w:tc>
          <w:tcPr>
            <w:tcW w:w="2074" w:type="dxa"/>
            <w:tcBorders>
              <w:top w:val="single" w:color="auto" w:sz="4" w:space="0"/>
              <w:left w:val="single" w:color="auto" w:sz="4" w:space="0"/>
              <w:bottom w:val="single" w:color="auto" w:sz="4" w:space="0"/>
              <w:right w:val="single" w:color="auto" w:sz="4" w:space="0"/>
            </w:tcBorders>
            <w:vAlign w:val="center"/>
          </w:tcPr>
          <w:p w14:paraId="1DEFF927">
            <w:pPr>
              <w:widowControl w:val="0"/>
              <w:spacing w:line="600" w:lineRule="exact"/>
              <w:rPr>
                <w:rFonts w:ascii="Times New Roman" w:hAnsi="Times New Roman" w:eastAsia="仿宋"/>
                <w:color w:val="auto"/>
                <w:szCs w:val="21"/>
              </w:rPr>
            </w:pPr>
          </w:p>
        </w:tc>
        <w:tc>
          <w:tcPr>
            <w:tcW w:w="2564" w:type="dxa"/>
            <w:tcBorders>
              <w:top w:val="single" w:color="auto" w:sz="4" w:space="0"/>
              <w:left w:val="single" w:color="auto" w:sz="4" w:space="0"/>
              <w:bottom w:val="single" w:color="auto" w:sz="4" w:space="0"/>
              <w:right w:val="single" w:color="auto" w:sz="4" w:space="0"/>
            </w:tcBorders>
            <w:vAlign w:val="center"/>
          </w:tcPr>
          <w:p w14:paraId="439BCDCF">
            <w:pPr>
              <w:widowControl w:val="0"/>
              <w:spacing w:line="600" w:lineRule="exact"/>
              <w:rPr>
                <w:rFonts w:ascii="Times New Roman" w:hAnsi="Times New Roman" w:eastAsia="仿宋"/>
                <w:color w:val="auto"/>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454F2712">
            <w:pPr>
              <w:widowControl w:val="0"/>
              <w:spacing w:line="600" w:lineRule="exact"/>
              <w:rPr>
                <w:rFonts w:ascii="Times New Roman" w:hAnsi="Times New Roman" w:eastAsia="仿宋"/>
                <w:color w:val="auto"/>
                <w:szCs w:val="21"/>
              </w:rPr>
            </w:pPr>
          </w:p>
        </w:tc>
        <w:tc>
          <w:tcPr>
            <w:tcW w:w="941" w:type="dxa"/>
            <w:tcBorders>
              <w:top w:val="single" w:color="auto" w:sz="4" w:space="0"/>
              <w:left w:val="single" w:color="auto" w:sz="4" w:space="0"/>
              <w:bottom w:val="single" w:color="auto" w:sz="4" w:space="0"/>
              <w:right w:val="single" w:color="auto" w:sz="4" w:space="0"/>
            </w:tcBorders>
            <w:vAlign w:val="center"/>
          </w:tcPr>
          <w:p w14:paraId="5BDE4A43">
            <w:pPr>
              <w:widowControl w:val="0"/>
              <w:spacing w:line="600" w:lineRule="exact"/>
              <w:rPr>
                <w:rFonts w:ascii="Times New Roman" w:hAnsi="Times New Roman" w:eastAsia="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14:paraId="0FE8E669">
            <w:pPr>
              <w:widowControl w:val="0"/>
              <w:spacing w:line="600" w:lineRule="exact"/>
              <w:rPr>
                <w:rFonts w:ascii="Times New Roman" w:hAnsi="Times New Roman" w:eastAsia="仿宋"/>
                <w:color w:val="auto"/>
                <w:szCs w:val="21"/>
              </w:rPr>
            </w:pPr>
          </w:p>
        </w:tc>
        <w:tc>
          <w:tcPr>
            <w:tcW w:w="1255" w:type="dxa"/>
            <w:tcBorders>
              <w:top w:val="single" w:color="auto" w:sz="4" w:space="0"/>
              <w:left w:val="single" w:color="auto" w:sz="4" w:space="0"/>
              <w:bottom w:val="single" w:color="auto" w:sz="4" w:space="0"/>
              <w:right w:val="single" w:color="auto" w:sz="4" w:space="0"/>
            </w:tcBorders>
            <w:vAlign w:val="center"/>
          </w:tcPr>
          <w:p w14:paraId="04B03FC1">
            <w:pPr>
              <w:widowControl w:val="0"/>
              <w:spacing w:line="600" w:lineRule="exact"/>
              <w:rPr>
                <w:rFonts w:ascii="Times New Roman" w:hAnsi="Times New Roman" w:eastAsia="仿宋"/>
                <w:color w:val="auto"/>
                <w:szCs w:val="21"/>
              </w:rPr>
            </w:pPr>
          </w:p>
        </w:tc>
      </w:tr>
      <w:tr w14:paraId="2FCE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18" w:type="dxa"/>
            <w:tcBorders>
              <w:top w:val="single" w:color="auto" w:sz="4" w:space="0"/>
              <w:left w:val="single" w:color="auto" w:sz="4" w:space="0"/>
              <w:bottom w:val="single" w:color="auto" w:sz="4" w:space="0"/>
              <w:right w:val="single" w:color="auto" w:sz="4" w:space="0"/>
            </w:tcBorders>
            <w:vAlign w:val="center"/>
          </w:tcPr>
          <w:p w14:paraId="74FAFECB">
            <w:pPr>
              <w:widowControl w:val="0"/>
              <w:spacing w:line="600" w:lineRule="exact"/>
              <w:rPr>
                <w:rFonts w:ascii="Times New Roman" w:hAnsi="Times New Roman" w:eastAsia="仿宋"/>
                <w:color w:val="auto"/>
                <w:szCs w:val="21"/>
              </w:rPr>
            </w:pPr>
            <w:r>
              <w:rPr>
                <w:rFonts w:ascii="Times New Roman" w:hAnsi="Times New Roman" w:eastAsia="仿宋"/>
                <w:color w:val="auto"/>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14:paraId="6100EF69">
            <w:pPr>
              <w:widowControl w:val="0"/>
              <w:spacing w:line="600" w:lineRule="exact"/>
              <w:rPr>
                <w:rFonts w:ascii="Times New Roman" w:hAnsi="Times New Roman" w:eastAsia="仿宋"/>
                <w:color w:val="auto"/>
                <w:szCs w:val="21"/>
              </w:rPr>
            </w:pPr>
          </w:p>
        </w:tc>
        <w:tc>
          <w:tcPr>
            <w:tcW w:w="2564" w:type="dxa"/>
            <w:tcBorders>
              <w:top w:val="single" w:color="auto" w:sz="4" w:space="0"/>
              <w:left w:val="single" w:color="auto" w:sz="4" w:space="0"/>
              <w:bottom w:val="single" w:color="auto" w:sz="4" w:space="0"/>
              <w:right w:val="single" w:color="auto" w:sz="4" w:space="0"/>
            </w:tcBorders>
            <w:vAlign w:val="center"/>
          </w:tcPr>
          <w:p w14:paraId="6AC9E32C">
            <w:pPr>
              <w:widowControl w:val="0"/>
              <w:spacing w:line="600" w:lineRule="exact"/>
              <w:rPr>
                <w:rFonts w:ascii="Times New Roman" w:hAnsi="Times New Roman" w:eastAsia="仿宋"/>
                <w:color w:val="auto"/>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0F40DA5B">
            <w:pPr>
              <w:widowControl w:val="0"/>
              <w:spacing w:line="600" w:lineRule="exact"/>
              <w:rPr>
                <w:rFonts w:ascii="Times New Roman" w:hAnsi="Times New Roman" w:eastAsia="仿宋"/>
                <w:color w:val="auto"/>
                <w:szCs w:val="21"/>
              </w:rPr>
            </w:pPr>
          </w:p>
        </w:tc>
        <w:tc>
          <w:tcPr>
            <w:tcW w:w="941" w:type="dxa"/>
            <w:tcBorders>
              <w:top w:val="single" w:color="auto" w:sz="4" w:space="0"/>
              <w:left w:val="single" w:color="auto" w:sz="4" w:space="0"/>
              <w:bottom w:val="single" w:color="auto" w:sz="4" w:space="0"/>
              <w:right w:val="single" w:color="auto" w:sz="4" w:space="0"/>
            </w:tcBorders>
            <w:vAlign w:val="center"/>
          </w:tcPr>
          <w:p w14:paraId="7A4D6775">
            <w:pPr>
              <w:widowControl w:val="0"/>
              <w:spacing w:line="600" w:lineRule="exact"/>
              <w:rPr>
                <w:rFonts w:ascii="Times New Roman" w:hAnsi="Times New Roman" w:eastAsia="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14:paraId="111193D8">
            <w:pPr>
              <w:widowControl w:val="0"/>
              <w:spacing w:line="600" w:lineRule="exact"/>
              <w:rPr>
                <w:rFonts w:ascii="Times New Roman" w:hAnsi="Times New Roman" w:eastAsia="仿宋"/>
                <w:color w:val="auto"/>
                <w:szCs w:val="21"/>
              </w:rPr>
            </w:pPr>
          </w:p>
        </w:tc>
        <w:tc>
          <w:tcPr>
            <w:tcW w:w="1255" w:type="dxa"/>
            <w:tcBorders>
              <w:top w:val="single" w:color="auto" w:sz="4" w:space="0"/>
              <w:left w:val="single" w:color="auto" w:sz="4" w:space="0"/>
              <w:bottom w:val="single" w:color="auto" w:sz="4" w:space="0"/>
              <w:right w:val="single" w:color="auto" w:sz="4" w:space="0"/>
            </w:tcBorders>
            <w:vAlign w:val="center"/>
          </w:tcPr>
          <w:p w14:paraId="47453EB9">
            <w:pPr>
              <w:widowControl w:val="0"/>
              <w:spacing w:line="600" w:lineRule="exact"/>
              <w:rPr>
                <w:rFonts w:ascii="Times New Roman" w:hAnsi="Times New Roman" w:eastAsia="仿宋"/>
                <w:color w:val="auto"/>
                <w:szCs w:val="21"/>
              </w:rPr>
            </w:pPr>
          </w:p>
        </w:tc>
      </w:tr>
      <w:tr w14:paraId="405D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465" w:type="dxa"/>
            <w:gridSpan w:val="7"/>
            <w:tcBorders>
              <w:top w:val="single" w:color="auto" w:sz="4" w:space="0"/>
              <w:left w:val="single" w:color="auto" w:sz="4" w:space="0"/>
              <w:bottom w:val="single" w:color="auto" w:sz="4" w:space="0"/>
              <w:right w:val="single" w:color="auto" w:sz="4" w:space="0"/>
            </w:tcBorders>
            <w:vAlign w:val="center"/>
          </w:tcPr>
          <w:p w14:paraId="432890F8">
            <w:pPr>
              <w:widowControl w:val="0"/>
              <w:spacing w:line="600" w:lineRule="exact"/>
              <w:rPr>
                <w:rFonts w:ascii="Times New Roman" w:hAnsi="Times New Roman" w:eastAsia="仿宋"/>
                <w:color w:val="auto"/>
                <w:szCs w:val="21"/>
              </w:rPr>
            </w:pPr>
            <w:r>
              <w:rPr>
                <w:rFonts w:ascii="Times New Roman" w:hAnsi="Times New Roman" w:eastAsia="仿宋"/>
                <w:color w:val="auto"/>
                <w:sz w:val="32"/>
                <w:szCs w:val="32"/>
              </w:rPr>
              <w:t>合同合计金额（人民币，大写）：</w:t>
            </w:r>
            <w:r>
              <w:rPr>
                <w:rFonts w:ascii="Times New Roman" w:hAnsi="Times New Roman" w:eastAsia="仿宋"/>
                <w:color w:val="auto"/>
                <w:szCs w:val="21"/>
                <w:u w:val="single"/>
              </w:rPr>
              <w:t xml:space="preserve">                             </w:t>
            </w:r>
            <w:r>
              <w:rPr>
                <w:rFonts w:ascii="Times New Roman" w:hAnsi="Times New Roman" w:eastAsia="仿宋"/>
                <w:color w:val="auto"/>
                <w:sz w:val="32"/>
                <w:szCs w:val="32"/>
              </w:rPr>
              <w:t>元整</w:t>
            </w:r>
            <w:r>
              <w:rPr>
                <w:rFonts w:ascii="Times New Roman" w:hAnsi="Times New Roman" w:eastAsia="仿宋"/>
                <w:color w:val="auto"/>
                <w:szCs w:val="21"/>
              </w:rPr>
              <w:t>（</w:t>
            </w:r>
            <w:r>
              <w:rPr>
                <w:rFonts w:hint="eastAsia" w:ascii="Times New Roman" w:hAnsi="Times New Roman" w:eastAsia="仿宋"/>
                <w:color w:val="auto"/>
                <w:sz w:val="32"/>
                <w:szCs w:val="32"/>
              </w:rPr>
              <w:t>￥</w:t>
            </w:r>
            <w:r>
              <w:rPr>
                <w:rFonts w:ascii="Times New Roman" w:hAnsi="Times New Roman" w:eastAsia="仿宋"/>
                <w:color w:val="auto"/>
                <w:sz w:val="32"/>
                <w:szCs w:val="32"/>
                <w:u w:val="single"/>
              </w:rPr>
              <w:t xml:space="preserve">     </w:t>
            </w:r>
            <w:r>
              <w:rPr>
                <w:rFonts w:hint="eastAsia" w:ascii="Times New Roman" w:hAnsi="Times New Roman" w:eastAsia="仿宋"/>
                <w:color w:val="auto"/>
                <w:sz w:val="32"/>
                <w:szCs w:val="32"/>
                <w:u w:val="single"/>
              </w:rPr>
              <w:t xml:space="preserve">    </w:t>
            </w:r>
            <w:r>
              <w:rPr>
                <w:rFonts w:ascii="Times New Roman" w:hAnsi="Times New Roman" w:eastAsia="仿宋"/>
                <w:color w:val="auto"/>
                <w:sz w:val="32"/>
                <w:szCs w:val="32"/>
                <w:u w:val="single"/>
              </w:rPr>
              <w:t xml:space="preserve">     </w:t>
            </w:r>
            <w:r>
              <w:rPr>
                <w:rFonts w:ascii="Times New Roman" w:hAnsi="Times New Roman" w:eastAsia="仿宋"/>
                <w:color w:val="auto"/>
                <w:szCs w:val="21"/>
              </w:rPr>
              <w:t>）</w:t>
            </w:r>
            <w:r>
              <w:rPr>
                <w:rFonts w:hint="eastAsia" w:ascii="Times New Roman" w:hAnsi="Times New Roman" w:eastAsia="仿宋"/>
                <w:color w:val="auto"/>
                <w:sz w:val="32"/>
                <w:szCs w:val="32"/>
              </w:rPr>
              <w:t>其中，不含税价款：</w:t>
            </w:r>
            <w:r>
              <w:rPr>
                <w:rFonts w:ascii="Times New Roman" w:hAnsi="Times New Roman" w:eastAsia="仿宋"/>
                <w:color w:val="auto"/>
                <w:szCs w:val="21"/>
                <w:u w:val="single"/>
              </w:rPr>
              <w:t xml:space="preserve">                     </w:t>
            </w:r>
            <w:r>
              <w:rPr>
                <w:rFonts w:ascii="Times New Roman" w:hAnsi="Times New Roman" w:eastAsia="仿宋"/>
                <w:color w:val="auto"/>
                <w:sz w:val="32"/>
                <w:szCs w:val="32"/>
              </w:rPr>
              <w:t>元整</w:t>
            </w:r>
            <w:r>
              <w:rPr>
                <w:rFonts w:hint="eastAsia" w:ascii="Times New Roman" w:hAnsi="Times New Roman" w:eastAsia="仿宋"/>
                <w:color w:val="auto"/>
                <w:sz w:val="32"/>
                <w:szCs w:val="32"/>
              </w:rPr>
              <w:t>，增值税价款：</w:t>
            </w:r>
            <w:r>
              <w:rPr>
                <w:rFonts w:ascii="Times New Roman" w:hAnsi="Times New Roman" w:eastAsia="仿宋"/>
                <w:color w:val="auto"/>
                <w:szCs w:val="21"/>
                <w:u w:val="single"/>
              </w:rPr>
              <w:t xml:space="preserve">                    </w:t>
            </w:r>
            <w:r>
              <w:rPr>
                <w:rFonts w:ascii="Times New Roman" w:hAnsi="Times New Roman" w:eastAsia="仿宋"/>
                <w:color w:val="auto"/>
                <w:sz w:val="32"/>
                <w:szCs w:val="32"/>
              </w:rPr>
              <w:t>元整</w:t>
            </w:r>
          </w:p>
        </w:tc>
      </w:tr>
    </w:tbl>
    <w:p w14:paraId="11488488">
      <w:pPr>
        <w:widowControl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合同合计金额包括但不限于满足本次招标全部采购需求所应提供的服务，以及伴随的货物和工程（如有）的价格</w:t>
      </w:r>
      <w:r>
        <w:rPr>
          <w:rFonts w:ascii="Times New Roman" w:hAnsi="Times New Roman" w:eastAsia="仿宋"/>
          <w:color w:val="auto"/>
          <w:kern w:val="0"/>
          <w:sz w:val="32"/>
          <w:szCs w:val="32"/>
        </w:rPr>
        <w:t>，包括但不限于</w:t>
      </w:r>
      <w:r>
        <w:rPr>
          <w:rFonts w:ascii="Times New Roman" w:hAnsi="Times New Roman" w:eastAsia="仿宋"/>
          <w:color w:val="auto"/>
          <w:sz w:val="32"/>
          <w:szCs w:val="32"/>
        </w:rPr>
        <w:t>服务、货物、工程的成本、运输（含保险）、安装（如有）、调试、检验、技术服务、培训、税费</w:t>
      </w:r>
      <w:r>
        <w:rPr>
          <w:rFonts w:hint="eastAsia" w:ascii="Times New Roman" w:hAnsi="Times New Roman" w:eastAsia="仿宋"/>
          <w:color w:val="auto"/>
          <w:sz w:val="32"/>
          <w:szCs w:val="32"/>
        </w:rPr>
        <w:t>、版权使用费（如有）</w:t>
      </w:r>
      <w:r>
        <w:rPr>
          <w:rFonts w:ascii="Times New Roman" w:hAnsi="Times New Roman" w:eastAsia="仿宋"/>
          <w:color w:val="auto"/>
          <w:sz w:val="32"/>
          <w:szCs w:val="32"/>
        </w:rPr>
        <w:t>等所有费用。</w:t>
      </w:r>
    </w:p>
    <w:p w14:paraId="002547CB">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第二条　质量保证</w:t>
      </w:r>
    </w:p>
    <w:p w14:paraId="02605413">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1.乙方应建立和完善履行合同的内部质量保证体系，并提供相关内部规章制度给甲方，以便甲方进行监督检查；</w:t>
      </w:r>
    </w:p>
    <w:p w14:paraId="4C463662">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2.乙方应保证履行合同的人员数量和素质、软件和硬件设备的配置、场地、环境和设施等满足全面履行合同的要求，并应接受甲方的监督检查。</w:t>
      </w:r>
    </w:p>
    <w:p w14:paraId="08C3FD0F">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乙方所提供的服务、服务质量及服务内容必须与合同、招标文件、投标文件及承诺相一致。有国家强制性标准的，还必须符合国家强制性标准的规定；没有国家强制性标准但有其他标准的，必须符合其他标准的规定。</w:t>
      </w:r>
    </w:p>
    <w:p w14:paraId="4D669170">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第三条　权利保证</w:t>
      </w:r>
    </w:p>
    <w:p w14:paraId="60C6F507">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1.甲方有权随时向乙方了解服务进度和对服务资金使用情况进行监督、检查，并要求乙方提供相关资料。</w:t>
      </w:r>
    </w:p>
    <w:p w14:paraId="3D41C113">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甲方有权按照合同约定或有关法律法规、政府管理的相关职能规定，对乙方服务进行监督和检查，有权要求乙方按照监督检查情况制定相应措施并加以整改。甲方不因行使该监督和检查权而承担任何责任，也不因此而减轻或免除乙方根据合同约定或相关法律法规规定应承担的任何义务或责任。</w:t>
      </w:r>
    </w:p>
    <w:p w14:paraId="7A28A290">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3.乙方应保证所提供服务在使用时不会侵犯任何第三方的专利权、商标权、工业设计权等知识产权及其他合法权利，且所有权、处分权等没有受到任何限制。</w:t>
      </w:r>
    </w:p>
    <w:p w14:paraId="28F0A40F">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4.没有甲方事先书面同意，乙方不得将由甲方提供的有关合同或者任何合同条文、规格、计划、图纸、样品或者资料提供给与履行本合同无关的任何其他人。即使向履行合同有关的人员提供，也应注意保密并限于履行合同的必需范围。乙方的保密义务持续有效，不因为本合同履行终止、解除或者无效而解除。</w:t>
      </w:r>
    </w:p>
    <w:p w14:paraId="52EF8AE9">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5.乙方保证所交付的服务成果的所有权完全属于乙方且无任何抵押、质押、查封等产权瑕疵。如乙方所交付服务成果有产权瑕疵的，视为乙方违约。但在已经全部支付完合同款后才发现有产权瑕疵的，乙方除了支付违约金，还应负担甲方由此产生的一切损失。</w:t>
      </w:r>
    </w:p>
    <w:p w14:paraId="0F662E6B">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第四条　交付和验收</w:t>
      </w:r>
    </w:p>
    <w:p w14:paraId="1BADD73A">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1.服务期限：</w:t>
      </w:r>
      <w:r>
        <w:rPr>
          <w:rFonts w:hint="eastAsia" w:ascii="仿宋" w:hAnsi="仿宋" w:eastAsia="仿宋" w:cs="仿宋"/>
          <w:bCs/>
          <w:color w:val="auto"/>
          <w:sz w:val="32"/>
          <w:szCs w:val="32"/>
          <w:u w:val="single"/>
        </w:rPr>
        <w:t>自合同签订之日起至2025年12月31日。</w:t>
      </w:r>
    </w:p>
    <w:p w14:paraId="15D46C85">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2.服务地点：</w:t>
      </w:r>
      <w:r>
        <w:rPr>
          <w:rFonts w:hint="eastAsia" w:ascii="仿宋" w:hAnsi="仿宋" w:eastAsia="仿宋" w:cs="仿宋"/>
          <w:bCs/>
          <w:color w:val="auto"/>
          <w:sz w:val="32"/>
          <w:szCs w:val="32"/>
          <w:u w:val="single"/>
        </w:rPr>
        <w:t>　  甲方指定地点          　。</w:t>
      </w:r>
    </w:p>
    <w:p w14:paraId="6C226C79">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3.乙方应按合同、招标文件、投标文件及承诺向甲方提供相应的服务，并提供服务质量和服务内容的相关技术资料。</w:t>
      </w:r>
    </w:p>
    <w:p w14:paraId="2E1DEC3A">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4.乙方提供不符合合同、招标文件、投标文件规定的服务成果，甲方有权拒绝接受。</w:t>
      </w:r>
    </w:p>
    <w:p w14:paraId="4E98AC0F">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5.乙方在完成服务前应对服务作出全面检查和对验收文件进行整理，并列出清单，作为甲方服务验收的技术依据，清单应随提交的服务成果交给甲方。</w:t>
      </w:r>
    </w:p>
    <w:p w14:paraId="62501B4A">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6.乙方完成服务后应及时书面通知甲方进行验收，甲方应在收到通知后七个工作日内进行验收，逾期不开始验收的，乙方可视同验收合格。</w:t>
      </w:r>
    </w:p>
    <w:p w14:paraId="5A914658">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7.甲乙双方应按照《广西壮族自治区政府采购项目履约验收管理办法》、合同、招标文件、投标文件验收，验收时乙方必须在现场，验收费用由乙方负责。服务质量和服务内容符合合同、招标文件、投标文件规定的要求的，由甲乙双方签署验收合格单并加盖甲方公章，甲乙双方各执一份。</w:t>
      </w:r>
    </w:p>
    <w:p w14:paraId="6731AFD2">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8.甲方在初步验收或者最终验收过程中发现乙方提供的服务、服务质量或服务内容不满足合同、招标文件、投标文件规定的，可暂缓向乙方付款，直到乙方及时完善并提交相应的服务成果且经甲方验收合格后，方可办理付款。</w:t>
      </w:r>
    </w:p>
    <w:p w14:paraId="78B1EE7A">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9.甲方验收时发现乙方提供的服务、服务质量或服务内容不满足合同、招标文件、投标文件规定并以书面形式提出异议的，乙方应自收到甲方书面异议后五个工作日内予以解决，否则甲方有权不出具验收合格单。乙方因解决异议问题而造成逾期的，按乙方逾期交付处理。</w:t>
      </w:r>
    </w:p>
    <w:p w14:paraId="7A041B81">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第五条　售后服务、服务质量保证期及培训</w:t>
      </w:r>
    </w:p>
    <w:p w14:paraId="76265503">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1.乙方应按照国家有关法律法规、合同、招标文件、投标文件所附的《服务承诺》要求为甲方提供相应的服务。</w:t>
      </w:r>
    </w:p>
    <w:p w14:paraId="08AED80B">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2.乙方提供服务的质量保证期按交付服务成果验收合格并签署验收合格单之日起计算，为365日，在质量保证期内因服务成果本身的技术问题，乙方应对服务出现的问题负责处理解决，并承担一切费用。</w:t>
      </w:r>
    </w:p>
    <w:p w14:paraId="1562EE9F">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3.在质量保证期内发生技术服务问题，乙方应在接到甲方通知后24小时内到达甲方现场，在甲方指定的期限内解决问题。</w:t>
      </w:r>
    </w:p>
    <w:p w14:paraId="365A2691">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第六条　付款方式</w:t>
      </w:r>
    </w:p>
    <w:p w14:paraId="5FA24B45">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1.资金性质：财政资金。</w:t>
      </w:r>
    </w:p>
    <w:p w14:paraId="1B0B7E2A">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2.付款方式</w:t>
      </w:r>
    </w:p>
    <w:p w14:paraId="3193D84F">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签订合同后10个工作日内，采购人向供应商支付45%的合同金额。</w:t>
      </w:r>
    </w:p>
    <w:p w14:paraId="5452E409">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供应商向采购人提交《广西伴生放射性固体废物环境风险隐患排查项目工作大纲》《广西伴生放射性固体废物环境风险隐患排查项目质保大纲》并经采购人审核通过后10个工作日内，采购人向供应商支付30%的合同金额。</w:t>
      </w:r>
    </w:p>
    <w:p w14:paraId="7D29826F">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供应商完成现场排查工作量的70%并向采购人提出申请后10个工作日内，采购人向供应商支付15%的合同款。</w:t>
      </w:r>
    </w:p>
    <w:p w14:paraId="07EE190D">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供应商向采购人提交项目剩余成果材料，通过专家评审且完成验收后，采购人向供应商支付剩余10%的合同款。</w:t>
      </w:r>
    </w:p>
    <w:p w14:paraId="3780D2A7">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）甲方在支付每笔款项前，乙方应当提供可供政府审计并且符合税务规定的正式发票，否则甲方有权拒付相应款项直至乙方能提供符合规定的发票为止。</w:t>
      </w:r>
    </w:p>
    <w:p w14:paraId="7BFD3766">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3.乙方指定以下账户为接受本合同价款的账户，并对其指定的下列账户信息真实性、安全性、准确性负责。</w:t>
      </w:r>
    </w:p>
    <w:p w14:paraId="36EC3F27">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账户名称</w:t>
      </w:r>
      <w:r>
        <w:rPr>
          <w:rFonts w:hint="eastAsia" w:ascii="仿宋" w:hAnsi="仿宋" w:eastAsia="仿宋" w:cs="仿宋"/>
          <w:bCs/>
          <w:color w:val="auto"/>
          <w:sz w:val="32"/>
          <w:szCs w:val="32"/>
          <w:u w:val="single"/>
        </w:rPr>
        <w:t>：　　　　　　　　　　　　　　　　　　；</w:t>
      </w:r>
    </w:p>
    <w:p w14:paraId="01A1EDE1">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开户银行</w:t>
      </w:r>
      <w:r>
        <w:rPr>
          <w:rFonts w:hint="eastAsia" w:ascii="仿宋" w:hAnsi="仿宋" w:eastAsia="仿宋" w:cs="仿宋"/>
          <w:bCs/>
          <w:color w:val="auto"/>
          <w:sz w:val="32"/>
          <w:szCs w:val="32"/>
          <w:u w:val="single"/>
        </w:rPr>
        <w:t>：　　　　　　　　　　　　　　　　　　</w:t>
      </w:r>
      <w:r>
        <w:rPr>
          <w:rFonts w:hint="eastAsia" w:ascii="仿宋" w:hAnsi="仿宋" w:eastAsia="仿宋" w:cs="仿宋"/>
          <w:bCs/>
          <w:color w:val="auto"/>
          <w:sz w:val="32"/>
          <w:szCs w:val="32"/>
        </w:rPr>
        <w:t>；</w:t>
      </w:r>
    </w:p>
    <w:p w14:paraId="3E8B9F78">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银行账号</w:t>
      </w:r>
      <w:r>
        <w:rPr>
          <w:rFonts w:hint="eastAsia" w:ascii="仿宋" w:hAnsi="仿宋" w:eastAsia="仿宋" w:cs="仿宋"/>
          <w:bCs/>
          <w:color w:val="auto"/>
          <w:sz w:val="32"/>
          <w:szCs w:val="32"/>
          <w:u w:val="single"/>
        </w:rPr>
        <w:t>：　　　　　　　　　　　　　　　　　　</w:t>
      </w:r>
      <w:r>
        <w:rPr>
          <w:rFonts w:hint="eastAsia" w:ascii="仿宋" w:hAnsi="仿宋" w:eastAsia="仿宋" w:cs="仿宋"/>
          <w:bCs/>
          <w:color w:val="auto"/>
          <w:sz w:val="32"/>
          <w:szCs w:val="32"/>
        </w:rPr>
        <w:t>；</w:t>
      </w:r>
    </w:p>
    <w:p w14:paraId="3E2DC1FE">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联系人</w:t>
      </w:r>
      <w:r>
        <w:rPr>
          <w:rFonts w:hint="eastAsia" w:ascii="仿宋" w:hAnsi="仿宋" w:eastAsia="仿宋" w:cs="仿宋"/>
          <w:bCs/>
          <w:color w:val="auto"/>
          <w:sz w:val="32"/>
          <w:szCs w:val="32"/>
          <w:u w:val="single"/>
        </w:rPr>
        <w:t>：　　　　　　　　　　　　　　　　　　　</w:t>
      </w:r>
      <w:r>
        <w:rPr>
          <w:rFonts w:hint="eastAsia" w:ascii="仿宋" w:hAnsi="仿宋" w:eastAsia="仿宋" w:cs="仿宋"/>
          <w:bCs/>
          <w:color w:val="auto"/>
          <w:sz w:val="32"/>
          <w:szCs w:val="32"/>
        </w:rPr>
        <w:t>；</w:t>
      </w:r>
    </w:p>
    <w:p w14:paraId="59B375B8">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联系电话</w:t>
      </w:r>
      <w:r>
        <w:rPr>
          <w:rFonts w:hint="eastAsia" w:ascii="仿宋" w:hAnsi="仿宋" w:eastAsia="仿宋" w:cs="仿宋"/>
          <w:bCs/>
          <w:color w:val="auto"/>
          <w:sz w:val="32"/>
          <w:szCs w:val="32"/>
          <w:u w:val="single"/>
        </w:rPr>
        <w:t>：　　　　　　　　　　　　　　　　　　</w:t>
      </w:r>
      <w:r>
        <w:rPr>
          <w:rFonts w:hint="eastAsia" w:ascii="仿宋" w:hAnsi="仿宋" w:eastAsia="仿宋" w:cs="仿宋"/>
          <w:bCs/>
          <w:color w:val="auto"/>
          <w:sz w:val="32"/>
          <w:szCs w:val="32"/>
        </w:rPr>
        <w:t>。</w:t>
      </w:r>
    </w:p>
    <w:p w14:paraId="2FC97F52">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如乙方上述账户信息发生变更，乙方应提前向甲方发送书面通知，未能提前书面通知而产生的不利后果由乙方自行承担。</w:t>
      </w:r>
    </w:p>
    <w:p w14:paraId="2F9A8E80">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4.甲方在支付每笔款项前，乙方应当提供可供政府审计并且符合税务规定的正式发票，否则甲方有权拒付相应款项直至乙方能提供符合规定的发票为止。</w:t>
      </w:r>
    </w:p>
    <w:p w14:paraId="1617A5C8">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第七条　履约保证金</w:t>
      </w:r>
    </w:p>
    <w:p w14:paraId="724142EA">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1.乙方须在签订合同后5个工作日内缴纳履约保证金。</w:t>
      </w:r>
    </w:p>
    <w:p w14:paraId="6CC0917D">
      <w:pPr>
        <w:widowControl w:val="0"/>
        <w:spacing w:line="600" w:lineRule="exact"/>
        <w:ind w:firstLine="640" w:firstLineChars="200"/>
        <w:rPr>
          <w:rFonts w:hint="eastAsia" w:ascii="仿宋" w:hAnsi="仿宋" w:eastAsia="仿宋" w:cs="仿宋"/>
          <w:bCs/>
          <w:color w:val="auto"/>
          <w:sz w:val="32"/>
          <w:szCs w:val="32"/>
          <w:u w:val="single"/>
        </w:rPr>
      </w:pPr>
      <w:r>
        <w:rPr>
          <w:rFonts w:hint="eastAsia" w:ascii="仿宋" w:hAnsi="仿宋" w:eastAsia="仿宋" w:cs="仿宋"/>
          <w:bCs/>
          <w:color w:val="auto"/>
          <w:sz w:val="32"/>
          <w:szCs w:val="32"/>
        </w:rPr>
        <w:t>2.乙方提供的履约保证金金额为：履约保证金金额为本项目成交总金额</w:t>
      </w:r>
      <w:r>
        <w:rPr>
          <w:rFonts w:hint="eastAsia" w:ascii="仿宋" w:hAnsi="仿宋" w:eastAsia="仿宋" w:cs="仿宋"/>
          <w:bCs/>
          <w:color w:val="auto"/>
          <w:sz w:val="32"/>
          <w:szCs w:val="32"/>
          <w:u w:val="single"/>
          <w:lang w:val="en-US" w:eastAsia="zh-CN"/>
        </w:rPr>
        <w:t>5</w:t>
      </w:r>
      <w:r>
        <w:rPr>
          <w:rFonts w:hint="eastAsia" w:ascii="仿宋" w:hAnsi="仿宋" w:eastAsia="仿宋" w:cs="仿宋"/>
          <w:bCs/>
          <w:color w:val="auto"/>
          <w:sz w:val="32"/>
          <w:szCs w:val="32"/>
          <w:u w:val="single"/>
        </w:rPr>
        <w:t>%</w:t>
      </w:r>
      <w:r>
        <w:rPr>
          <w:rFonts w:hint="eastAsia" w:ascii="仿宋" w:hAnsi="仿宋" w:eastAsia="仿宋" w:cs="仿宋"/>
          <w:bCs/>
          <w:color w:val="auto"/>
          <w:sz w:val="32"/>
          <w:szCs w:val="32"/>
        </w:rPr>
        <w:t>（中小企业缴纳成交总金额2%），</w:t>
      </w:r>
      <w:r>
        <w:rPr>
          <w:rFonts w:hint="eastAsia" w:ascii="仿宋" w:hAnsi="仿宋" w:eastAsia="仿宋" w:cs="仿宋"/>
          <w:bCs/>
          <w:color w:val="auto"/>
          <w:sz w:val="32"/>
          <w:szCs w:val="32"/>
          <w:u w:val="single"/>
        </w:rPr>
        <w:t>即   元×   %=   元。</w:t>
      </w:r>
    </w:p>
    <w:p w14:paraId="04DF9E6C">
      <w:pPr>
        <w:widowControl w:val="0"/>
        <w:spacing w:line="600" w:lineRule="exact"/>
        <w:ind w:firstLine="640" w:firstLineChars="200"/>
        <w:rPr>
          <w:rFonts w:hint="eastAsia" w:ascii="仿宋" w:hAnsi="仿宋" w:eastAsia="仿宋" w:cs="仿宋"/>
          <w:bCs/>
          <w:color w:val="auto"/>
          <w:sz w:val="32"/>
          <w:szCs w:val="32"/>
          <w:u w:val="single"/>
        </w:rPr>
      </w:pPr>
      <w:r>
        <w:rPr>
          <w:rFonts w:hint="eastAsia" w:ascii="仿宋" w:hAnsi="仿宋" w:eastAsia="仿宋" w:cs="仿宋"/>
          <w:bCs/>
          <w:color w:val="auto"/>
          <w:sz w:val="32"/>
          <w:szCs w:val="32"/>
        </w:rPr>
        <w:t>开户名称：</w:t>
      </w:r>
      <w:r>
        <w:rPr>
          <w:rFonts w:hint="eastAsia" w:ascii="仿宋" w:hAnsi="仿宋" w:eastAsia="仿宋" w:cs="仿宋"/>
          <w:bCs/>
          <w:color w:val="auto"/>
          <w:sz w:val="32"/>
          <w:szCs w:val="32"/>
          <w:u w:val="single"/>
        </w:rPr>
        <w:t>广西壮族自治区生态环境厅</w:t>
      </w:r>
    </w:p>
    <w:p w14:paraId="72F46092">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开户银行：</w:t>
      </w:r>
      <w:r>
        <w:rPr>
          <w:rFonts w:hint="eastAsia" w:ascii="仿宋" w:hAnsi="仿宋" w:eastAsia="仿宋" w:cs="仿宋"/>
          <w:bCs/>
          <w:color w:val="auto"/>
          <w:sz w:val="32"/>
          <w:szCs w:val="32"/>
          <w:u w:val="single"/>
        </w:rPr>
        <w:t xml:space="preserve">工行南宁银杉支行  </w:t>
      </w:r>
      <w:r>
        <w:rPr>
          <w:rFonts w:hint="eastAsia" w:ascii="仿宋" w:hAnsi="仿宋" w:eastAsia="仿宋" w:cs="仿宋"/>
          <w:bCs/>
          <w:color w:val="auto"/>
          <w:sz w:val="32"/>
          <w:szCs w:val="32"/>
        </w:rPr>
        <w:t xml:space="preserve">      </w:t>
      </w:r>
    </w:p>
    <w:p w14:paraId="604647ED">
      <w:pPr>
        <w:widowControl w:val="0"/>
        <w:spacing w:line="600" w:lineRule="exact"/>
        <w:ind w:firstLine="640" w:firstLineChars="200"/>
        <w:rPr>
          <w:rFonts w:hint="eastAsia" w:ascii="仿宋" w:hAnsi="仿宋" w:eastAsia="仿宋" w:cs="仿宋"/>
          <w:bCs/>
          <w:color w:val="auto"/>
          <w:sz w:val="32"/>
          <w:szCs w:val="32"/>
          <w:u w:val="single"/>
        </w:rPr>
      </w:pPr>
      <w:r>
        <w:rPr>
          <w:rFonts w:hint="eastAsia" w:ascii="仿宋" w:hAnsi="仿宋" w:eastAsia="仿宋" w:cs="仿宋"/>
          <w:bCs/>
          <w:color w:val="auto"/>
          <w:sz w:val="32"/>
          <w:szCs w:val="32"/>
        </w:rPr>
        <w:t>银行账号：</w:t>
      </w:r>
      <w:r>
        <w:rPr>
          <w:rFonts w:hint="eastAsia" w:ascii="仿宋" w:hAnsi="仿宋" w:eastAsia="仿宋" w:cs="仿宋"/>
          <w:bCs/>
          <w:color w:val="auto"/>
          <w:sz w:val="32"/>
          <w:szCs w:val="32"/>
          <w:u w:val="single"/>
        </w:rPr>
        <w:t xml:space="preserve">2102 1010 0926 4013 935 </w:t>
      </w:r>
    </w:p>
    <w:p w14:paraId="2379D9E6">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3.履约保证金递交方式：支票、汇票、本票或者金融、担保机构出具的保函等非现金方式。</w:t>
      </w:r>
    </w:p>
    <w:p w14:paraId="2D49081E">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4.履约保证金退付方式、时间及条件：由乙方向甲方提供《广西壮族自治区政府采购项目合同验收书》及《政府采购项目履约保证金退付意见书》，甲方在收到合格材料后五个工作日内办理退还手续（不计利息）。</w:t>
      </w:r>
    </w:p>
    <w:p w14:paraId="79B1573E">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第八条　税费</w:t>
      </w:r>
    </w:p>
    <w:p w14:paraId="63284341">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合同执行中相关的一切税费均由乙方负担。</w:t>
      </w:r>
    </w:p>
    <w:p w14:paraId="483B7FB1">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第九条　违约责任</w:t>
      </w:r>
    </w:p>
    <w:p w14:paraId="7003A4CB">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乙方没有按照合同、招标文件、投标文件规定的时间或期限提供服务的，每逾期一日，应按合同合计金额的3‰向甲方支付逾期提供服务的违约金；逾期超过十日的，甲方有权单方解除合同，并要求乙方退还已收取的款项，同时乙方应按照合同合计金额的10%向甲方支付违约金并承担因此给甲方造成的经济损失。</w:t>
      </w:r>
    </w:p>
    <w:p w14:paraId="2031DCFD">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乙方所提供的服务、服务质量、服务内容等不符合合同、招标文件、投标文件规定的要求的，应按甲方的要求，在甲方指定的期限内予以更换或改进，未在甲方指定的期限内更换或改进的，按乙方逾期提供服务承担违约责任。</w:t>
      </w:r>
    </w:p>
    <w:p w14:paraId="461E8A24">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乙方提供的服务如侵犯了第三方合法权益而引发的任何纠纷或者诉讼，均由乙方负责交涉并承担全部责任。如甲方为解决纠纷矛盾先期支付了费用的，乙方应当自收到甲方要求偿还费用的函之日起五日内向甲方偿还完毕。</w:t>
      </w:r>
    </w:p>
    <w:p w14:paraId="6581551E">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4.乙方因履行合同所发生的其他违约行为，每违约一次，应按合同合计金额的5%向甲方支付违约金，并赔偿甲方因此所造成全部损失。</w:t>
      </w:r>
    </w:p>
    <w:p w14:paraId="1078703F">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5.乙方支付的违约金不足以弥补甲方损失的，应承担赔偿责任，甲方有权继续向乙方追偿。乙方应支付给甲方的任何款项，甲方有权从任何应支付未支付给乙方的款项中直接抵扣。</w:t>
      </w:r>
    </w:p>
    <w:p w14:paraId="59AFA852">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6.本合同所称的甲方经济损失或者甲方损失，包括甲方遭受的全部直接经济损失及为此支出的合理费用（包括但不限于为此支出的调查费、诉讼费、保全费、律师费、差旅费等）。</w:t>
      </w:r>
    </w:p>
    <w:p w14:paraId="3923699E">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7.甲方延期付款的，每天向乙方偿付延期款额3‰的违约金，但违约金累计不得超过延期款额的5%。</w:t>
      </w:r>
    </w:p>
    <w:p w14:paraId="2D2710B5">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第十条　知识产权归属</w:t>
      </w:r>
    </w:p>
    <w:p w14:paraId="57515085">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乙方保证，甲乙双方在本合同执行中形成的任何成果或知识产权的所有权，归甲方所有，而且乙方应当完成甲方知识产权所有权确认所必需的全部行为、证书和文件等，并提供相应的支持和协助。</w:t>
      </w:r>
    </w:p>
    <w:p w14:paraId="7E18AD68">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第十一条　保密条款</w:t>
      </w:r>
    </w:p>
    <w:p w14:paraId="13B5ABDA">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1.甲乙双方都负有保守对方的单位机密或商业秘密的义务，保密范围包括但不限于技术情报、数据资料及其他公开后对对方造成影响或损失的秘密。</w:t>
      </w:r>
    </w:p>
    <w:p w14:paraId="5403180B">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2.任何一方违反保密条款，给对方造成损失，应按对方的实际损失承担赔偿责任。</w:t>
      </w:r>
    </w:p>
    <w:p w14:paraId="6BEFB49E">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3.本条款不因合同的变更、解除和终止而失效。</w:t>
      </w:r>
    </w:p>
    <w:p w14:paraId="691862B9">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第十二条　不可抗力事件处理</w:t>
      </w:r>
    </w:p>
    <w:p w14:paraId="43B56512">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1.在合同有效期内，任何一方因不可抗力事件导致不能履行合同，则合同履行期可延长，其延长期与不可抗力影响期相同。</w:t>
      </w:r>
    </w:p>
    <w:p w14:paraId="0DFE8C6A">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2.不可抗力事件发生后，应立即通知对方，并寄送有关权威机构出具的证明。</w:t>
      </w:r>
    </w:p>
    <w:p w14:paraId="36AF9684">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3.不可抗力事件延续一百二十天以上，双方应通过友好协商，确定是否继续履行合同。</w:t>
      </w:r>
    </w:p>
    <w:p w14:paraId="55BBFACC">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4.合同履行过程中，因接受政府行政指令而无法履行的，接受政府行政指令的一方可以免除责任。</w:t>
      </w:r>
    </w:p>
    <w:p w14:paraId="0286C693">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第十三条　合同争议解决</w:t>
      </w:r>
    </w:p>
    <w:p w14:paraId="0F96B56A">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1.因服务质量问题发生争议的，甲方应提交具有相应资质的机构进行鉴定。服务符合标准的，鉴定费由甲方承担；服务不符合标准的，鉴定费由乙方承担。</w:t>
      </w:r>
    </w:p>
    <w:p w14:paraId="7876C7BE">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2.因履行本合同引起的或者与本合同有关的争议，甲乙双方应首先通过友好协商解决，如果协商不能解决，可向甲方所在地有管辖权人民法院提起诉讼。</w:t>
      </w:r>
    </w:p>
    <w:p w14:paraId="78E4B0BE">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第十四条　合同生效及其他</w:t>
      </w:r>
    </w:p>
    <w:p w14:paraId="758A6C80">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1.合同经甲乙双方法定代表人或者授权代表签字并加盖单位公章后生效。</w:t>
      </w:r>
    </w:p>
    <w:p w14:paraId="37198C46">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2.合同执行中涉及采购资金和采购内容修改或者补充的，须经政府采购监管部门审批，并签书面补充协议报政府采购监管部门备案，方可作为主合同不可分割的一部分。</w:t>
      </w:r>
    </w:p>
    <w:p w14:paraId="6975B8D0">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3.合同未尽事宜，遵照《中华人民共和国民法典》等相关法律、法规规定有关条文执行。</w:t>
      </w:r>
    </w:p>
    <w:p w14:paraId="69B03E65">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第十五条　合同的变更、终止与转让</w:t>
      </w:r>
    </w:p>
    <w:p w14:paraId="0A97EA7E">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1.除《中华人民共和国政府采购法》第五十条规定的情形外，本合同一经签订，甲乙双方不得擅自变更、中止或者终止。</w:t>
      </w:r>
    </w:p>
    <w:p w14:paraId="5D39562F">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2.未经甲方书面同意，乙方不得擅自转让其应履行的合同义务。</w:t>
      </w:r>
    </w:p>
    <w:p w14:paraId="68622F2A">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第十六条　本合同与下列文件一起构成合同文件</w:t>
      </w:r>
    </w:p>
    <w:p w14:paraId="174A28FC">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1.保密协议；</w:t>
      </w:r>
    </w:p>
    <w:p w14:paraId="31F83866">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w:t>
      </w:r>
      <w:r>
        <w:rPr>
          <w:rFonts w:hint="eastAsia" w:ascii="仿宋" w:hAnsi="仿宋" w:eastAsia="仿宋" w:cs="仿宋"/>
          <w:bCs/>
          <w:color w:val="auto"/>
          <w:sz w:val="32"/>
          <w:szCs w:val="32"/>
          <w:lang w:val="en-US" w:eastAsia="zh-CN"/>
        </w:rPr>
        <w:t>成交</w:t>
      </w:r>
      <w:r>
        <w:rPr>
          <w:rFonts w:hint="eastAsia" w:ascii="仿宋" w:hAnsi="仿宋" w:eastAsia="仿宋" w:cs="仿宋"/>
          <w:bCs/>
          <w:color w:val="auto"/>
          <w:sz w:val="32"/>
          <w:szCs w:val="32"/>
        </w:rPr>
        <w:t>通知书；</w:t>
      </w:r>
    </w:p>
    <w:p w14:paraId="7539299B">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竞标报价</w:t>
      </w:r>
      <w:r>
        <w:rPr>
          <w:rFonts w:hint="eastAsia" w:ascii="仿宋" w:hAnsi="仿宋" w:eastAsia="仿宋" w:cs="仿宋"/>
          <w:bCs/>
          <w:color w:val="auto"/>
          <w:sz w:val="32"/>
          <w:szCs w:val="32"/>
        </w:rPr>
        <w:t>表；</w:t>
      </w:r>
    </w:p>
    <w:p w14:paraId="5B7CAED4">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4.采购需求；</w:t>
      </w:r>
    </w:p>
    <w:p w14:paraId="377E577D">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5.商务条款偏离表和</w:t>
      </w:r>
      <w:r>
        <w:rPr>
          <w:rFonts w:hint="eastAsia" w:ascii="仿宋" w:hAnsi="仿宋" w:eastAsia="仿宋" w:cs="仿宋"/>
          <w:bCs/>
          <w:color w:val="auto"/>
          <w:sz w:val="32"/>
          <w:szCs w:val="32"/>
          <w:lang w:val="en-US" w:eastAsia="zh-CN"/>
        </w:rPr>
        <w:t>技术</w:t>
      </w:r>
      <w:r>
        <w:rPr>
          <w:rFonts w:hint="eastAsia" w:ascii="仿宋" w:hAnsi="仿宋" w:eastAsia="仿宋" w:cs="仿宋"/>
          <w:bCs/>
          <w:color w:val="auto"/>
          <w:sz w:val="32"/>
          <w:szCs w:val="32"/>
        </w:rPr>
        <w:t>需求偏离表；</w:t>
      </w:r>
    </w:p>
    <w:p w14:paraId="0983F2C6">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响应</w:t>
      </w:r>
      <w:r>
        <w:rPr>
          <w:rFonts w:hint="eastAsia" w:ascii="仿宋" w:hAnsi="仿宋" w:eastAsia="仿宋" w:cs="仿宋"/>
          <w:bCs/>
          <w:color w:val="auto"/>
          <w:sz w:val="32"/>
          <w:szCs w:val="32"/>
        </w:rPr>
        <w:t>文件中的其他相关文件。</w:t>
      </w:r>
    </w:p>
    <w:p w14:paraId="62D54751">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上述合同文件互相补充和解释。如果合同文件之间存在矛盾或者不一致之处，以本合同、上述文件的排列顺序在先者为准。</w:t>
      </w:r>
    </w:p>
    <w:p w14:paraId="4C5BDF21">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第十七条　其他约定事项</w:t>
      </w:r>
    </w:p>
    <w:p w14:paraId="1FD6AB48">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1.本合同所有附件及相关文件均为本合同的有效组成部分，与本合同具有同等法律效力。若合同附件与本合同存在不一致的，则以本合同为准。</w:t>
      </w:r>
    </w:p>
    <w:p w14:paraId="6DA914E8">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2.在履行本合同过程中，所有经甲乙双方签署确认的文件（包括会议纪要、补充协议、往来信函、电子邮件等）即成为本合同的有效组成部分。</w:t>
      </w:r>
    </w:p>
    <w:p w14:paraId="25590B46">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3.甲乙双方确认，以下为各方真实有效通讯地址：</w:t>
      </w:r>
    </w:p>
    <w:p w14:paraId="4132EA96">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甲方</w:t>
      </w:r>
      <w:r>
        <w:rPr>
          <w:rFonts w:hint="eastAsia" w:ascii="仿宋" w:hAnsi="仿宋" w:eastAsia="仿宋" w:cs="仿宋"/>
          <w:bCs/>
          <w:color w:val="auto"/>
          <w:sz w:val="32"/>
          <w:szCs w:val="32"/>
          <w:u w:val="single"/>
        </w:rPr>
        <w:t>：　　　　　，</w:t>
      </w:r>
    </w:p>
    <w:p w14:paraId="575E658E">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地址</w:t>
      </w:r>
      <w:r>
        <w:rPr>
          <w:rFonts w:hint="eastAsia" w:ascii="仿宋" w:hAnsi="仿宋" w:eastAsia="仿宋" w:cs="仿宋"/>
          <w:bCs/>
          <w:color w:val="auto"/>
          <w:sz w:val="32"/>
          <w:szCs w:val="32"/>
          <w:u w:val="single"/>
        </w:rPr>
        <w:t>：　　　　　　　　　　　　</w:t>
      </w:r>
      <w:r>
        <w:rPr>
          <w:rFonts w:hint="eastAsia" w:ascii="仿宋" w:hAnsi="仿宋" w:eastAsia="仿宋" w:cs="仿宋"/>
          <w:bCs/>
          <w:color w:val="auto"/>
          <w:sz w:val="32"/>
          <w:szCs w:val="32"/>
        </w:rPr>
        <w:t xml:space="preserve">， </w:t>
      </w:r>
    </w:p>
    <w:p w14:paraId="60EFBF7A">
      <w:pPr>
        <w:widowControl w:val="0"/>
        <w:spacing w:line="600" w:lineRule="exact"/>
        <w:ind w:firstLine="640" w:firstLineChars="200"/>
        <w:rPr>
          <w:rFonts w:hint="eastAsia" w:ascii="仿宋" w:hAnsi="仿宋" w:eastAsia="仿宋" w:cs="仿宋"/>
          <w:bCs/>
          <w:color w:val="auto"/>
          <w:sz w:val="32"/>
          <w:szCs w:val="32"/>
          <w:u w:val="single"/>
        </w:rPr>
      </w:pPr>
      <w:r>
        <w:rPr>
          <w:rFonts w:hint="eastAsia" w:ascii="仿宋" w:hAnsi="仿宋" w:eastAsia="仿宋" w:cs="仿宋"/>
          <w:bCs/>
          <w:color w:val="auto"/>
          <w:sz w:val="32"/>
          <w:szCs w:val="32"/>
        </w:rPr>
        <w:t>收件人</w:t>
      </w:r>
      <w:r>
        <w:rPr>
          <w:rFonts w:hint="eastAsia" w:ascii="仿宋" w:hAnsi="仿宋" w:eastAsia="仿宋" w:cs="仿宋"/>
          <w:bCs/>
          <w:color w:val="auto"/>
          <w:sz w:val="32"/>
          <w:szCs w:val="32"/>
          <w:u w:val="single"/>
        </w:rPr>
        <w:t>：　　　　　，</w:t>
      </w:r>
    </w:p>
    <w:p w14:paraId="15179DDD">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联系电话</w:t>
      </w:r>
      <w:r>
        <w:rPr>
          <w:rFonts w:hint="eastAsia" w:ascii="仿宋" w:hAnsi="仿宋" w:eastAsia="仿宋" w:cs="仿宋"/>
          <w:bCs/>
          <w:color w:val="auto"/>
          <w:sz w:val="32"/>
          <w:szCs w:val="32"/>
          <w:u w:val="single"/>
        </w:rPr>
        <w:t>：　　　　　　　　　　　</w:t>
      </w:r>
      <w:r>
        <w:rPr>
          <w:rFonts w:hint="eastAsia" w:ascii="仿宋" w:hAnsi="仿宋" w:eastAsia="仿宋" w:cs="仿宋"/>
          <w:bCs/>
          <w:color w:val="auto"/>
          <w:sz w:val="32"/>
          <w:szCs w:val="32"/>
        </w:rPr>
        <w:t>，</w:t>
      </w:r>
    </w:p>
    <w:p w14:paraId="348972BD">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电子邮箱</w:t>
      </w:r>
      <w:r>
        <w:rPr>
          <w:rFonts w:hint="eastAsia" w:ascii="仿宋" w:hAnsi="仿宋" w:eastAsia="仿宋" w:cs="仿宋"/>
          <w:bCs/>
          <w:color w:val="auto"/>
          <w:sz w:val="32"/>
          <w:szCs w:val="32"/>
          <w:u w:val="single"/>
        </w:rPr>
        <w:t>：　　　　　　　　　。</w:t>
      </w:r>
    </w:p>
    <w:p w14:paraId="60B2CF48">
      <w:pPr>
        <w:widowControl w:val="0"/>
        <w:spacing w:line="600" w:lineRule="exact"/>
        <w:ind w:firstLine="640" w:firstLineChars="200"/>
        <w:rPr>
          <w:rFonts w:hint="eastAsia" w:ascii="仿宋" w:hAnsi="仿宋" w:eastAsia="仿宋" w:cs="仿宋"/>
          <w:bCs/>
          <w:color w:val="auto"/>
          <w:sz w:val="32"/>
          <w:szCs w:val="32"/>
          <w:u w:val="single"/>
        </w:rPr>
      </w:pPr>
      <w:r>
        <w:rPr>
          <w:rFonts w:hint="eastAsia" w:ascii="仿宋" w:hAnsi="仿宋" w:eastAsia="仿宋" w:cs="仿宋"/>
          <w:bCs/>
          <w:color w:val="auto"/>
          <w:sz w:val="32"/>
          <w:szCs w:val="32"/>
        </w:rPr>
        <w:t>乙方</w:t>
      </w:r>
      <w:r>
        <w:rPr>
          <w:rFonts w:hint="eastAsia" w:ascii="仿宋" w:hAnsi="仿宋" w:eastAsia="仿宋" w:cs="仿宋"/>
          <w:bCs/>
          <w:color w:val="auto"/>
          <w:sz w:val="32"/>
          <w:szCs w:val="32"/>
          <w:u w:val="single"/>
        </w:rPr>
        <w:t>：　　　　　，</w:t>
      </w:r>
    </w:p>
    <w:p w14:paraId="24317576">
      <w:pPr>
        <w:widowControl w:val="0"/>
        <w:spacing w:line="600" w:lineRule="exact"/>
        <w:ind w:firstLine="640" w:firstLineChars="200"/>
        <w:rPr>
          <w:rFonts w:hint="eastAsia" w:ascii="仿宋" w:hAnsi="仿宋" w:eastAsia="仿宋" w:cs="仿宋"/>
          <w:bCs/>
          <w:color w:val="auto"/>
          <w:sz w:val="32"/>
          <w:szCs w:val="32"/>
          <w:u w:val="single"/>
        </w:rPr>
      </w:pPr>
      <w:r>
        <w:rPr>
          <w:rFonts w:hint="eastAsia" w:ascii="仿宋" w:hAnsi="仿宋" w:eastAsia="仿宋" w:cs="仿宋"/>
          <w:bCs/>
          <w:color w:val="auto"/>
          <w:sz w:val="32"/>
          <w:szCs w:val="32"/>
        </w:rPr>
        <w:t>地址</w:t>
      </w:r>
      <w:r>
        <w:rPr>
          <w:rFonts w:hint="eastAsia" w:ascii="仿宋" w:hAnsi="仿宋" w:eastAsia="仿宋" w:cs="仿宋"/>
          <w:bCs/>
          <w:color w:val="auto"/>
          <w:sz w:val="32"/>
          <w:szCs w:val="32"/>
          <w:u w:val="single"/>
        </w:rPr>
        <w:t>：　　　　　　　　　　　　，</w:t>
      </w:r>
    </w:p>
    <w:p w14:paraId="21CE30FE">
      <w:pPr>
        <w:widowControl w:val="0"/>
        <w:spacing w:line="600" w:lineRule="exact"/>
        <w:ind w:firstLine="640" w:firstLineChars="200"/>
        <w:rPr>
          <w:rFonts w:hint="eastAsia" w:ascii="仿宋" w:hAnsi="仿宋" w:eastAsia="仿宋" w:cs="仿宋"/>
          <w:bCs/>
          <w:color w:val="auto"/>
          <w:sz w:val="32"/>
          <w:szCs w:val="32"/>
          <w:u w:val="single"/>
        </w:rPr>
      </w:pPr>
      <w:r>
        <w:rPr>
          <w:rFonts w:hint="eastAsia" w:ascii="仿宋" w:hAnsi="仿宋" w:eastAsia="仿宋" w:cs="仿宋"/>
          <w:bCs/>
          <w:color w:val="auto"/>
          <w:sz w:val="32"/>
          <w:szCs w:val="32"/>
        </w:rPr>
        <w:t>收件人</w:t>
      </w:r>
      <w:r>
        <w:rPr>
          <w:rFonts w:hint="eastAsia" w:ascii="仿宋" w:hAnsi="仿宋" w:eastAsia="仿宋" w:cs="仿宋"/>
          <w:bCs/>
          <w:color w:val="auto"/>
          <w:sz w:val="32"/>
          <w:szCs w:val="32"/>
          <w:u w:val="single"/>
        </w:rPr>
        <w:t>：　　　　　，</w:t>
      </w:r>
    </w:p>
    <w:p w14:paraId="549B15E4">
      <w:pPr>
        <w:widowControl w:val="0"/>
        <w:spacing w:line="600" w:lineRule="exact"/>
        <w:ind w:firstLine="640" w:firstLineChars="200"/>
        <w:rPr>
          <w:rFonts w:hint="eastAsia" w:ascii="仿宋" w:hAnsi="仿宋" w:eastAsia="仿宋" w:cs="仿宋"/>
          <w:bCs/>
          <w:color w:val="auto"/>
          <w:sz w:val="32"/>
          <w:szCs w:val="32"/>
          <w:u w:val="single"/>
        </w:rPr>
      </w:pPr>
      <w:r>
        <w:rPr>
          <w:rFonts w:hint="eastAsia" w:ascii="仿宋" w:hAnsi="仿宋" w:eastAsia="仿宋" w:cs="仿宋"/>
          <w:bCs/>
          <w:color w:val="auto"/>
          <w:sz w:val="32"/>
          <w:szCs w:val="32"/>
        </w:rPr>
        <w:t>联系电话</w:t>
      </w:r>
      <w:r>
        <w:rPr>
          <w:rFonts w:hint="eastAsia" w:ascii="仿宋" w:hAnsi="仿宋" w:eastAsia="仿宋" w:cs="仿宋"/>
          <w:bCs/>
          <w:color w:val="auto"/>
          <w:sz w:val="32"/>
          <w:szCs w:val="32"/>
          <w:u w:val="single"/>
        </w:rPr>
        <w:t>：　　　　　　　　　　　，</w:t>
      </w:r>
    </w:p>
    <w:p w14:paraId="1A91C241">
      <w:pPr>
        <w:widowControl w:val="0"/>
        <w:spacing w:line="600" w:lineRule="exact"/>
        <w:ind w:firstLine="640" w:firstLineChars="200"/>
        <w:rPr>
          <w:rFonts w:hint="eastAsia" w:ascii="仿宋" w:hAnsi="仿宋" w:eastAsia="仿宋" w:cs="仿宋"/>
          <w:bCs/>
          <w:color w:val="auto"/>
          <w:sz w:val="32"/>
          <w:szCs w:val="32"/>
          <w:u w:val="single"/>
        </w:rPr>
      </w:pPr>
      <w:r>
        <w:rPr>
          <w:rFonts w:hint="eastAsia" w:ascii="仿宋" w:hAnsi="仿宋" w:eastAsia="仿宋" w:cs="仿宋"/>
          <w:bCs/>
          <w:color w:val="auto"/>
          <w:sz w:val="32"/>
          <w:szCs w:val="32"/>
        </w:rPr>
        <w:t>电子邮箱</w:t>
      </w:r>
      <w:r>
        <w:rPr>
          <w:rFonts w:hint="eastAsia" w:ascii="仿宋" w:hAnsi="仿宋" w:eastAsia="仿宋" w:cs="仿宋"/>
          <w:bCs/>
          <w:color w:val="auto"/>
          <w:sz w:val="32"/>
          <w:szCs w:val="32"/>
          <w:u w:val="single"/>
        </w:rPr>
        <w:t>：　　　　　　　　　。</w:t>
      </w:r>
    </w:p>
    <w:p w14:paraId="733418F1">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14:paraId="4FFDC561">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4.本合同一式</w:t>
      </w:r>
      <w:r>
        <w:rPr>
          <w:rFonts w:hint="eastAsia" w:ascii="仿宋" w:hAnsi="仿宋" w:eastAsia="仿宋" w:cs="仿宋"/>
          <w:bCs/>
          <w:color w:val="auto"/>
          <w:sz w:val="32"/>
          <w:szCs w:val="32"/>
          <w:u w:val="single"/>
        </w:rPr>
        <w:t>　　份</w:t>
      </w:r>
      <w:r>
        <w:rPr>
          <w:rFonts w:hint="eastAsia" w:ascii="仿宋" w:hAnsi="仿宋" w:eastAsia="仿宋" w:cs="仿宋"/>
          <w:bCs/>
          <w:color w:val="auto"/>
          <w:sz w:val="32"/>
          <w:szCs w:val="32"/>
        </w:rPr>
        <w:t>，具有同等法律效力，采购代理机构各一份，甲乙双方各</w:t>
      </w:r>
      <w:r>
        <w:rPr>
          <w:rFonts w:hint="eastAsia" w:ascii="仿宋" w:hAnsi="仿宋" w:eastAsia="仿宋" w:cs="仿宋"/>
          <w:bCs/>
          <w:color w:val="auto"/>
          <w:sz w:val="32"/>
          <w:szCs w:val="32"/>
          <w:u w:val="single"/>
        </w:rPr>
        <w:t>　　份</w:t>
      </w:r>
      <w:r>
        <w:rPr>
          <w:rFonts w:hint="eastAsia" w:ascii="仿宋" w:hAnsi="仿宋" w:eastAsia="仿宋" w:cs="仿宋"/>
          <w:bCs/>
          <w:color w:val="auto"/>
          <w:sz w:val="32"/>
          <w:szCs w:val="32"/>
        </w:rPr>
        <w:t>。</w:t>
      </w:r>
    </w:p>
    <w:p w14:paraId="6B4787F7">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本条款不因合同的变更、解除和终止而失效。</w:t>
      </w:r>
    </w:p>
    <w:p w14:paraId="65B7B91B">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第十八条　合同附件</w:t>
      </w:r>
    </w:p>
    <w:p w14:paraId="10504139">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附件一：……</w:t>
      </w:r>
    </w:p>
    <w:p w14:paraId="6ED66438">
      <w:pPr>
        <w:widowControl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附件二：……</w:t>
      </w:r>
    </w:p>
    <w:p w14:paraId="05009EE8">
      <w:pPr>
        <w:widowControl w:val="0"/>
        <w:spacing w:line="600" w:lineRule="exact"/>
        <w:ind w:firstLine="640" w:firstLineChars="200"/>
        <w:rPr>
          <w:rFonts w:hint="eastAsia" w:ascii="仿宋" w:hAnsi="仿宋" w:eastAsia="仿宋" w:cs="仿宋"/>
          <w:color w:val="auto"/>
          <w:sz w:val="32"/>
          <w:szCs w:val="32"/>
        </w:rPr>
      </w:pPr>
    </w:p>
    <w:p w14:paraId="2A9FA2E8">
      <w:pPr>
        <w:widowControl w:val="0"/>
        <w:spacing w:line="600" w:lineRule="exact"/>
        <w:rPr>
          <w:rFonts w:ascii="Calibri" w:hAnsi="Calibri"/>
          <w:color w:val="auto"/>
          <w:szCs w:val="20"/>
        </w:rPr>
      </w:pPr>
    </w:p>
    <w:p w14:paraId="735E91ED">
      <w:pPr>
        <w:widowControl w:val="0"/>
        <w:spacing w:line="600" w:lineRule="exact"/>
        <w:rPr>
          <w:rFonts w:ascii="Times New Roman" w:hAnsi="Times New Roman" w:eastAsia="仿宋"/>
          <w:b/>
          <w:bCs/>
          <w:color w:val="auto"/>
          <w:sz w:val="32"/>
          <w:szCs w:val="32"/>
        </w:rPr>
      </w:pPr>
      <w:r>
        <w:rPr>
          <w:rFonts w:ascii="Times New Roman" w:hAnsi="Times New Roman" w:eastAsia="仿宋"/>
          <w:b/>
          <w:bCs/>
          <w:color w:val="auto"/>
          <w:sz w:val="32"/>
          <w:szCs w:val="32"/>
        </w:rPr>
        <w:t>甲方：                             乙方：</w:t>
      </w:r>
    </w:p>
    <w:p w14:paraId="04A61E8B">
      <w:pPr>
        <w:widowControl w:val="0"/>
        <w:spacing w:line="600" w:lineRule="exact"/>
        <w:rPr>
          <w:rFonts w:ascii="Times New Roman" w:hAnsi="Times New Roman" w:eastAsia="仿宋"/>
          <w:b/>
          <w:bCs/>
          <w:color w:val="auto"/>
          <w:sz w:val="32"/>
          <w:szCs w:val="32"/>
        </w:rPr>
      </w:pPr>
      <w:r>
        <w:rPr>
          <w:rFonts w:ascii="Times New Roman" w:hAnsi="Times New Roman" w:eastAsia="仿宋"/>
          <w:b/>
          <w:bCs/>
          <w:color w:val="auto"/>
          <w:sz w:val="32"/>
          <w:szCs w:val="32"/>
        </w:rPr>
        <w:t>法定代表人（负责人）：             法定代表人（负责人）：</w:t>
      </w:r>
    </w:p>
    <w:p w14:paraId="49817619">
      <w:pPr>
        <w:widowControl w:val="0"/>
        <w:spacing w:line="600" w:lineRule="exact"/>
        <w:rPr>
          <w:rFonts w:ascii="Times New Roman" w:hAnsi="Times New Roman" w:eastAsia="仿宋"/>
          <w:b/>
          <w:bCs/>
          <w:color w:val="auto"/>
          <w:sz w:val="32"/>
          <w:szCs w:val="32"/>
        </w:rPr>
      </w:pPr>
      <w:r>
        <w:rPr>
          <w:rFonts w:ascii="Times New Roman" w:hAnsi="Times New Roman" w:eastAsia="仿宋"/>
          <w:b/>
          <w:bCs/>
          <w:color w:val="auto"/>
          <w:sz w:val="32"/>
          <w:szCs w:val="32"/>
        </w:rPr>
        <w:t>授权代表：                       授权代表：</w:t>
      </w:r>
    </w:p>
    <w:p w14:paraId="4DD8E11F">
      <w:pPr>
        <w:spacing w:line="600" w:lineRule="exact"/>
        <w:ind w:firstLine="643" w:firstLineChars="200"/>
        <w:rPr>
          <w:rFonts w:asciiTheme="minorEastAsia" w:hAnsiTheme="minorEastAsia" w:eastAsiaTheme="minorEastAsia" w:cstheme="minorEastAsia"/>
          <w:b/>
          <w:bCs/>
          <w:color w:val="auto"/>
          <w:sz w:val="32"/>
          <w:szCs w:val="32"/>
        </w:rPr>
      </w:pPr>
      <w:r>
        <w:rPr>
          <w:rFonts w:ascii="Times New Roman" w:hAnsi="Times New Roman" w:eastAsia="仿宋"/>
          <w:b/>
          <w:bCs/>
          <w:color w:val="auto"/>
          <w:sz w:val="32"/>
          <w:szCs w:val="32"/>
        </w:rPr>
        <w:t>年  月  日                        年  月  日</w:t>
      </w:r>
    </w:p>
    <w:p w14:paraId="14F58B1A">
      <w:pPr>
        <w:rPr>
          <w:rFonts w:asciiTheme="minorEastAsia" w:hAnsiTheme="minorEastAsia" w:eastAsiaTheme="minorEastAsia" w:cstheme="minorEastAsia"/>
          <w:color w:val="auto"/>
          <w:szCs w:val="21"/>
        </w:rPr>
      </w:pPr>
    </w:p>
    <w:sectPr>
      <w:headerReference r:id="rId9" w:type="default"/>
      <w:footerReference r:id="rId10" w:type="default"/>
      <w:pgSz w:w="11906" w:h="16838"/>
      <w:pgMar w:top="1440" w:right="1361" w:bottom="1701"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AF83D">
    <w:pPr>
      <w:pStyle w:val="2"/>
      <w:tabs>
        <w:tab w:val="center" w:pos="4439"/>
        <w:tab w:val="clear" w:pos="4153"/>
      </w:tabs>
      <w:jc w:val="both"/>
    </w:pPr>
  </w:p>
  <w:p w14:paraId="672D74D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3C3C">
    <w:pPr>
      <w:pStyle w:val="2"/>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D646D4"/>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7D646D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3CCDA">
    <w:pPr>
      <w:pStyle w:val="2"/>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52C59">
                          <w:pPr>
                            <w:pStyle w:val="2"/>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8952C59">
                    <w:pPr>
                      <w:pStyle w:val="2"/>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p w14:paraId="07666CBA">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F975">
    <w:pPr>
      <w:pStyle w:val="2"/>
      <w:tabs>
        <w:tab w:val="center" w:pos="443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DEB21">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21DEB21">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AC2AD"/>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Dsm8M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EUOybwwEAAI8DAAAOAAAAAAAAAAEAIAAAAB4BAABkcnMvZTJvRG9jLnhtbFBL&#10;BQYAAAAABgAGAFkBAABTBQAAAAA=&#10;">
              <v:fill on="f" focussize="0,0"/>
              <v:stroke on="f"/>
              <v:imagedata o:title=""/>
              <o:lock v:ext="edit" aspectratio="f"/>
              <v:textbox inset="0mm,0mm,0mm,0mm" style="mso-fit-shape-to-text:t;">
                <w:txbxContent>
                  <w:p w14:paraId="0CFAC2A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9918">
    <w:pPr>
      <w:tabs>
        <w:tab w:val="center" w:pos="4153"/>
        <w:tab w:val="right" w:pos="8306"/>
      </w:tabs>
      <w:snapToGrid w:val="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A935B">
                          <w:pPr>
                            <w:pStyle w:val="2"/>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19A935B">
                    <w:pPr>
                      <w:pStyle w:val="2"/>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8809">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75CC4">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CED3">
    <w:pPr>
      <w:tabs>
        <w:tab w:val="center" w:pos="4153"/>
        <w:tab w:val="right" w:pos="8306"/>
      </w:tabs>
      <w:snapToGrid w:val="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ZmI5N2EyZWEzNWViMzMzNDY2ODg3MDJjZmRmYWIifQ=="/>
  </w:docVars>
  <w:rsids>
    <w:rsidRoot w:val="00172A27"/>
    <w:rsid w:val="00172A27"/>
    <w:rsid w:val="001A2ED6"/>
    <w:rsid w:val="001C7451"/>
    <w:rsid w:val="003A3D29"/>
    <w:rsid w:val="004B1C5F"/>
    <w:rsid w:val="0053560B"/>
    <w:rsid w:val="005368D2"/>
    <w:rsid w:val="006357B3"/>
    <w:rsid w:val="00653FB2"/>
    <w:rsid w:val="0066081D"/>
    <w:rsid w:val="006922FD"/>
    <w:rsid w:val="007273B5"/>
    <w:rsid w:val="00727C0D"/>
    <w:rsid w:val="007A1629"/>
    <w:rsid w:val="007D41A0"/>
    <w:rsid w:val="00807A70"/>
    <w:rsid w:val="008B62B5"/>
    <w:rsid w:val="00A3748E"/>
    <w:rsid w:val="00B370A3"/>
    <w:rsid w:val="00C60C95"/>
    <w:rsid w:val="00C74D47"/>
    <w:rsid w:val="00CA62AF"/>
    <w:rsid w:val="00CB0030"/>
    <w:rsid w:val="00D819BB"/>
    <w:rsid w:val="00F87DFE"/>
    <w:rsid w:val="013B6318"/>
    <w:rsid w:val="01637077"/>
    <w:rsid w:val="02E85F72"/>
    <w:rsid w:val="03190E3C"/>
    <w:rsid w:val="03E22691"/>
    <w:rsid w:val="049D76C3"/>
    <w:rsid w:val="04B977BE"/>
    <w:rsid w:val="05C06E69"/>
    <w:rsid w:val="05D215EF"/>
    <w:rsid w:val="068A7CAA"/>
    <w:rsid w:val="071E2BD4"/>
    <w:rsid w:val="071F5FC3"/>
    <w:rsid w:val="086F04DB"/>
    <w:rsid w:val="08A72F68"/>
    <w:rsid w:val="08C6173B"/>
    <w:rsid w:val="099F4EBC"/>
    <w:rsid w:val="09B702C8"/>
    <w:rsid w:val="0B886F7D"/>
    <w:rsid w:val="0D6D039D"/>
    <w:rsid w:val="0F777EAB"/>
    <w:rsid w:val="113C3B89"/>
    <w:rsid w:val="125445CE"/>
    <w:rsid w:val="129C128D"/>
    <w:rsid w:val="137B5542"/>
    <w:rsid w:val="13E52FA6"/>
    <w:rsid w:val="143D40FB"/>
    <w:rsid w:val="14C377BA"/>
    <w:rsid w:val="14FB2A5F"/>
    <w:rsid w:val="15316058"/>
    <w:rsid w:val="15833595"/>
    <w:rsid w:val="179C1CD1"/>
    <w:rsid w:val="17EB6080"/>
    <w:rsid w:val="18303A15"/>
    <w:rsid w:val="197A71AE"/>
    <w:rsid w:val="1A2742C5"/>
    <w:rsid w:val="1A6C6448"/>
    <w:rsid w:val="1AF66CC7"/>
    <w:rsid w:val="1B165A69"/>
    <w:rsid w:val="1B6F33E2"/>
    <w:rsid w:val="1C6E1C1A"/>
    <w:rsid w:val="1CF97FFE"/>
    <w:rsid w:val="1D413367"/>
    <w:rsid w:val="1E5E7A6C"/>
    <w:rsid w:val="1F2C23EB"/>
    <w:rsid w:val="1F4E10DC"/>
    <w:rsid w:val="1FA3607E"/>
    <w:rsid w:val="201940BA"/>
    <w:rsid w:val="222E4AC2"/>
    <w:rsid w:val="229E48DB"/>
    <w:rsid w:val="22E04EF3"/>
    <w:rsid w:val="23B12E3A"/>
    <w:rsid w:val="23C84766"/>
    <w:rsid w:val="23F85897"/>
    <w:rsid w:val="24166262"/>
    <w:rsid w:val="241E6196"/>
    <w:rsid w:val="24D938C4"/>
    <w:rsid w:val="25012E7A"/>
    <w:rsid w:val="259667C0"/>
    <w:rsid w:val="26DC0AC8"/>
    <w:rsid w:val="284249A6"/>
    <w:rsid w:val="2A42463D"/>
    <w:rsid w:val="2AAB59DF"/>
    <w:rsid w:val="2AC424EC"/>
    <w:rsid w:val="2AD07052"/>
    <w:rsid w:val="2AE80BD1"/>
    <w:rsid w:val="2AEF3A6B"/>
    <w:rsid w:val="2BB807BB"/>
    <w:rsid w:val="2C317AAC"/>
    <w:rsid w:val="2CC614DF"/>
    <w:rsid w:val="2D6362A8"/>
    <w:rsid w:val="2DAB6E3A"/>
    <w:rsid w:val="2EC102CF"/>
    <w:rsid w:val="2F4B024C"/>
    <w:rsid w:val="2FBB15F2"/>
    <w:rsid w:val="306D73EE"/>
    <w:rsid w:val="30DD13A1"/>
    <w:rsid w:val="310226A6"/>
    <w:rsid w:val="32656B43"/>
    <w:rsid w:val="335F0AF4"/>
    <w:rsid w:val="33BF137E"/>
    <w:rsid w:val="33E85AC1"/>
    <w:rsid w:val="3482405C"/>
    <w:rsid w:val="34E723A1"/>
    <w:rsid w:val="35807BF5"/>
    <w:rsid w:val="36A870A0"/>
    <w:rsid w:val="37707372"/>
    <w:rsid w:val="389410CF"/>
    <w:rsid w:val="38B27966"/>
    <w:rsid w:val="3A19573B"/>
    <w:rsid w:val="3BDE336A"/>
    <w:rsid w:val="3DC15BF5"/>
    <w:rsid w:val="3DC80937"/>
    <w:rsid w:val="3E175815"/>
    <w:rsid w:val="3F711193"/>
    <w:rsid w:val="3F9A45A3"/>
    <w:rsid w:val="3FFB653D"/>
    <w:rsid w:val="40814AC4"/>
    <w:rsid w:val="416070CE"/>
    <w:rsid w:val="41BB295C"/>
    <w:rsid w:val="423D7335"/>
    <w:rsid w:val="467A509E"/>
    <w:rsid w:val="46F25413"/>
    <w:rsid w:val="482308B2"/>
    <w:rsid w:val="49862BE9"/>
    <w:rsid w:val="4B876FC6"/>
    <w:rsid w:val="4C757341"/>
    <w:rsid w:val="4D843E33"/>
    <w:rsid w:val="4D9A3C2A"/>
    <w:rsid w:val="4DBC2B9E"/>
    <w:rsid w:val="4E746755"/>
    <w:rsid w:val="4F2B625A"/>
    <w:rsid w:val="4F956FB8"/>
    <w:rsid w:val="4FBC5F0F"/>
    <w:rsid w:val="50807A31"/>
    <w:rsid w:val="51F721D1"/>
    <w:rsid w:val="5234518C"/>
    <w:rsid w:val="527927EE"/>
    <w:rsid w:val="530E2CB8"/>
    <w:rsid w:val="53311CBE"/>
    <w:rsid w:val="553058C8"/>
    <w:rsid w:val="564451BE"/>
    <w:rsid w:val="570F7890"/>
    <w:rsid w:val="57AC4B16"/>
    <w:rsid w:val="58093FC9"/>
    <w:rsid w:val="58A35940"/>
    <w:rsid w:val="5A0F4559"/>
    <w:rsid w:val="5B9E711E"/>
    <w:rsid w:val="5BAC4E10"/>
    <w:rsid w:val="5C9379D6"/>
    <w:rsid w:val="5CB61DE6"/>
    <w:rsid w:val="5CFF3BED"/>
    <w:rsid w:val="5D1F71A0"/>
    <w:rsid w:val="5DAA3029"/>
    <w:rsid w:val="5DD67D10"/>
    <w:rsid w:val="5E8F4F96"/>
    <w:rsid w:val="5EB91CC6"/>
    <w:rsid w:val="5F11342E"/>
    <w:rsid w:val="5F366A95"/>
    <w:rsid w:val="5FE951D0"/>
    <w:rsid w:val="602E5843"/>
    <w:rsid w:val="60BA2960"/>
    <w:rsid w:val="60C813E2"/>
    <w:rsid w:val="61A97C45"/>
    <w:rsid w:val="61AC04BD"/>
    <w:rsid w:val="62735AF1"/>
    <w:rsid w:val="65462CAF"/>
    <w:rsid w:val="65DA7590"/>
    <w:rsid w:val="66D25E05"/>
    <w:rsid w:val="6754719E"/>
    <w:rsid w:val="677D74DE"/>
    <w:rsid w:val="67C16680"/>
    <w:rsid w:val="67C82EED"/>
    <w:rsid w:val="6848190E"/>
    <w:rsid w:val="69814687"/>
    <w:rsid w:val="6A3D51F8"/>
    <w:rsid w:val="6AA34F3E"/>
    <w:rsid w:val="6AB82243"/>
    <w:rsid w:val="6BC252A2"/>
    <w:rsid w:val="6C6003D6"/>
    <w:rsid w:val="6C6677E4"/>
    <w:rsid w:val="6C6D7564"/>
    <w:rsid w:val="6CF17079"/>
    <w:rsid w:val="6D155B3B"/>
    <w:rsid w:val="6D9B5175"/>
    <w:rsid w:val="6DB73ECD"/>
    <w:rsid w:val="6F1150E7"/>
    <w:rsid w:val="6F9D1C52"/>
    <w:rsid w:val="709217A3"/>
    <w:rsid w:val="70D95153"/>
    <w:rsid w:val="71B806CD"/>
    <w:rsid w:val="72640322"/>
    <w:rsid w:val="72F316A6"/>
    <w:rsid w:val="74060BC4"/>
    <w:rsid w:val="749F3ABC"/>
    <w:rsid w:val="756967A8"/>
    <w:rsid w:val="75CD59E7"/>
    <w:rsid w:val="76501D30"/>
    <w:rsid w:val="76604131"/>
    <w:rsid w:val="767A2AE5"/>
    <w:rsid w:val="76DA477C"/>
    <w:rsid w:val="77822FF8"/>
    <w:rsid w:val="77861FB4"/>
    <w:rsid w:val="77946BAE"/>
    <w:rsid w:val="77F674C1"/>
    <w:rsid w:val="77FD6CE2"/>
    <w:rsid w:val="7BAA1678"/>
    <w:rsid w:val="7BDD2EE3"/>
    <w:rsid w:val="7C0D1414"/>
    <w:rsid w:val="7D4D1C9B"/>
    <w:rsid w:val="7F9229B1"/>
    <w:rsid w:val="D9F96C4A"/>
    <w:rsid w:val="F7F7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1"/>
    <w:next w:val="6"/>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6">
    <w:name w:val="Normal Indent"/>
    <w:basedOn w:val="1"/>
    <w:qFormat/>
    <w:uiPriority w:val="0"/>
    <w:pPr>
      <w:ind w:firstLine="420"/>
    </w:pPr>
    <w:rPr>
      <w:szCs w:val="20"/>
    </w:rPr>
  </w:style>
  <w:style w:type="paragraph" w:styleId="7">
    <w:name w:val="annotation text"/>
    <w:basedOn w:val="1"/>
    <w:link w:val="26"/>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unhideWhenUsed/>
    <w:qFormat/>
    <w:uiPriority w:val="0"/>
    <w:pPr>
      <w:spacing w:after="120"/>
    </w:p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4"/>
    <w:qFormat/>
    <w:uiPriority w:val="0"/>
    <w:rPr>
      <w:rFonts w:ascii="宋体" w:hAnsi="Courier New"/>
      <w:kern w:val="0"/>
      <w:sz w:val="20"/>
      <w:szCs w:val="21"/>
    </w:rPr>
  </w:style>
  <w:style w:type="paragraph" w:styleId="13">
    <w:name w:val="Balloon Text"/>
    <w:basedOn w:val="1"/>
    <w:link w:val="25"/>
    <w:qFormat/>
    <w:uiPriority w:val="0"/>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tabs>
        <w:tab w:val="right" w:leader="dot" w:pos="8296"/>
      </w:tabs>
      <w:ind w:left="420" w:leftChars="200"/>
    </w:pPr>
  </w:style>
  <w:style w:type="paragraph" w:styleId="17">
    <w:name w:val="annotation subject"/>
    <w:basedOn w:val="7"/>
    <w:next w:val="7"/>
    <w:link w:val="27"/>
    <w:qFormat/>
    <w:uiPriority w:val="0"/>
    <w:rPr>
      <w:b/>
      <w:bCs/>
    </w:rPr>
  </w:style>
  <w:style w:type="paragraph" w:styleId="18">
    <w:name w:val="Body Text First Indent"/>
    <w:basedOn w:val="9"/>
    <w:qFormat/>
    <w:uiPriority w:val="0"/>
    <w:pPr>
      <w:spacing w:after="120" w:line="240" w:lineRule="auto"/>
      <w:ind w:firstLine="420" w:firstLineChars="100"/>
    </w:pPr>
    <w:rPr>
      <w:kern w:val="2"/>
      <w:sz w:val="21"/>
    </w:rPr>
  </w:style>
  <w:style w:type="table" w:styleId="20">
    <w:name w:val="Table Grid"/>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2">
    <w:name w:val="Hyperlink"/>
    <w:unhideWhenUsed/>
    <w:qFormat/>
    <w:uiPriority w:val="99"/>
    <w:rPr>
      <w:color w:val="0000FF"/>
      <w:u w:val="single"/>
    </w:rPr>
  </w:style>
  <w:style w:type="character" w:styleId="23">
    <w:name w:val="annotation reference"/>
    <w:basedOn w:val="21"/>
    <w:qFormat/>
    <w:uiPriority w:val="0"/>
    <w:rPr>
      <w:sz w:val="21"/>
      <w:szCs w:val="21"/>
    </w:rPr>
  </w:style>
  <w:style w:type="paragraph" w:customStyle="1" w:styleId="24">
    <w:name w:val="列出段落1"/>
    <w:basedOn w:val="1"/>
    <w:qFormat/>
    <w:uiPriority w:val="34"/>
    <w:pPr>
      <w:ind w:firstLine="420" w:firstLineChars="200"/>
    </w:pPr>
  </w:style>
  <w:style w:type="character" w:customStyle="1" w:styleId="25">
    <w:name w:val="批注框文本 字符"/>
    <w:basedOn w:val="21"/>
    <w:link w:val="13"/>
    <w:qFormat/>
    <w:uiPriority w:val="0"/>
    <w:rPr>
      <w:kern w:val="2"/>
      <w:sz w:val="18"/>
      <w:szCs w:val="18"/>
    </w:rPr>
  </w:style>
  <w:style w:type="character" w:customStyle="1" w:styleId="26">
    <w:name w:val="批注文字 字符"/>
    <w:basedOn w:val="21"/>
    <w:link w:val="7"/>
    <w:qFormat/>
    <w:uiPriority w:val="0"/>
    <w:rPr>
      <w:kern w:val="2"/>
      <w:sz w:val="21"/>
      <w:szCs w:val="24"/>
    </w:rPr>
  </w:style>
  <w:style w:type="character" w:customStyle="1" w:styleId="27">
    <w:name w:val="批注主题 字符"/>
    <w:basedOn w:val="26"/>
    <w:link w:val="17"/>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72</Pages>
  <Words>2658</Words>
  <Characters>3075</Characters>
  <Lines>563</Lines>
  <Paragraphs>158</Paragraphs>
  <TotalTime>52</TotalTime>
  <ScaleCrop>false</ScaleCrop>
  <LinksUpToDate>false</LinksUpToDate>
  <CharactersWithSpaces>3179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2020-11-28T02:06:00Z</dcterms:created>
  <dc:creator>lenovo1</dc:creator>
  <cp:lastModifiedBy>YR</cp:lastModifiedBy>
  <cp:lastPrinted>2025-04-10T01:38:00Z</cp:lastPrinted>
  <dcterms:modified xsi:type="dcterms:W3CDTF">2025-05-21T08:40:36Z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376F487CE6654A8E8C7E0A7CEA704C39</vt:lpwstr>
  </property>
  <property fmtid="{D5CDD505-2E9C-101B-9397-08002B2CF9AE}" pid="4" name="KSOTemplateDocerSaveRecord">
    <vt:lpwstr>eyJoZGlkIjoiZTQwZmI5N2EyZWEzNWViMzMzNDY2ODg3MDJjZmRmYWIiLCJ1c2VySWQiOiIzNTM4NjE4NzMifQ==</vt:lpwstr>
  </property>
</Properties>
</file>